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D41" w:rsidR="008E61C9" w:rsidP="00BD7237" w:rsidRDefault="001477A3" w14:paraId="36B5DD6C" w14:textId="77777777">
      <w:pPr>
        <w:pStyle w:val="Heading1"/>
        <w:ind w:left="0"/>
        <w:jc w:val="center"/>
        <w:rPr>
          <w:rFonts w:cs="Times New Roman"/>
        </w:rPr>
      </w:pPr>
      <w:r w:rsidRPr="00160D41">
        <w:rPr>
          <w:rFonts w:cs="Times New Roman"/>
        </w:rPr>
        <w:t>SUPPORTING STATEMENT</w:t>
      </w:r>
    </w:p>
    <w:p w:rsidRPr="00160D41" w:rsidR="00BD7237" w:rsidP="00BD7237" w:rsidRDefault="001477A3" w14:paraId="79FC3BAB" w14:textId="77777777">
      <w:pPr>
        <w:spacing w:before="22" w:line="259" w:lineRule="auto"/>
        <w:ind w:firstLine="14"/>
        <w:jc w:val="center"/>
        <w:rPr>
          <w:rFonts w:cs="Times New Roman"/>
          <w:b/>
          <w:szCs w:val="24"/>
        </w:rPr>
      </w:pPr>
      <w:r w:rsidRPr="00160D41">
        <w:rPr>
          <w:rFonts w:cs="Times New Roman"/>
          <w:b/>
          <w:szCs w:val="24"/>
        </w:rPr>
        <w:t>U.S. Department of Commerce</w:t>
      </w:r>
    </w:p>
    <w:p w:rsidRPr="00160D41" w:rsidR="008E61C9" w:rsidP="00BD7237" w:rsidRDefault="00BD7237" w14:paraId="5C89FB3E" w14:textId="77777777">
      <w:pPr>
        <w:spacing w:before="22" w:line="259" w:lineRule="auto"/>
        <w:ind w:firstLine="14"/>
        <w:jc w:val="center"/>
        <w:rPr>
          <w:rFonts w:cs="Times New Roman"/>
          <w:b/>
          <w:szCs w:val="24"/>
        </w:rPr>
      </w:pPr>
      <w:r w:rsidRPr="00160D41">
        <w:rPr>
          <w:rFonts w:cs="Times New Roman"/>
          <w:b/>
          <w:szCs w:val="24"/>
        </w:rPr>
        <w:t>National Oceanic &amp; Atmospheric Administration</w:t>
      </w:r>
    </w:p>
    <w:p w:rsidRPr="00EB7612" w:rsidR="00EB7612" w:rsidP="00BD7237" w:rsidRDefault="00EB7612" w14:paraId="506A543C" w14:textId="4175E732">
      <w:pPr>
        <w:spacing w:line="259" w:lineRule="auto"/>
        <w:ind w:hanging="6"/>
        <w:jc w:val="center"/>
        <w:rPr>
          <w:rFonts w:cs="Times New Roman"/>
          <w:b/>
          <w:szCs w:val="24"/>
        </w:rPr>
      </w:pPr>
      <w:r w:rsidRPr="00EB7612">
        <w:rPr>
          <w:rFonts w:cs="Times New Roman"/>
          <w:b/>
          <w:color w:val="000000"/>
          <w:szCs w:val="24"/>
          <w:shd w:val="clear" w:color="auto" w:fill="FFFFFF"/>
        </w:rPr>
        <w:t xml:space="preserve">Management and Oversight of the National Estuarine Research </w:t>
      </w:r>
      <w:r w:rsidR="00F71A88">
        <w:rPr>
          <w:rFonts w:cs="Times New Roman"/>
          <w:b/>
          <w:color w:val="000000"/>
          <w:szCs w:val="24"/>
          <w:shd w:val="clear" w:color="auto" w:fill="FFFFFF"/>
        </w:rPr>
        <w:t>Reserve</w:t>
      </w:r>
      <w:r w:rsidRPr="00EB7612">
        <w:rPr>
          <w:rFonts w:cs="Times New Roman"/>
          <w:b/>
          <w:color w:val="000000"/>
          <w:szCs w:val="24"/>
          <w:shd w:val="clear" w:color="auto" w:fill="FFFFFF"/>
        </w:rPr>
        <w:t xml:space="preserve"> System</w:t>
      </w:r>
      <w:r w:rsidRPr="00EB7612">
        <w:rPr>
          <w:rFonts w:cs="Times New Roman"/>
          <w:b/>
          <w:szCs w:val="24"/>
        </w:rPr>
        <w:t xml:space="preserve"> </w:t>
      </w:r>
    </w:p>
    <w:p w:rsidRPr="00160D41" w:rsidR="008E61C9" w:rsidP="00BD7237" w:rsidRDefault="001477A3" w14:paraId="07C3E138" w14:textId="0E7C44DC">
      <w:pPr>
        <w:spacing w:line="259" w:lineRule="auto"/>
        <w:ind w:hanging="6"/>
        <w:jc w:val="center"/>
        <w:rPr>
          <w:rFonts w:cs="Times New Roman"/>
          <w:b/>
          <w:szCs w:val="24"/>
        </w:rPr>
      </w:pPr>
      <w:r w:rsidRPr="00160D41">
        <w:rPr>
          <w:rFonts w:cs="Times New Roman"/>
          <w:b/>
          <w:szCs w:val="24"/>
        </w:rPr>
        <w:t>OMB Control No. 06</w:t>
      </w:r>
      <w:r w:rsidRPr="00160D41" w:rsidR="00BD7237">
        <w:rPr>
          <w:rFonts w:cs="Times New Roman"/>
          <w:b/>
          <w:szCs w:val="24"/>
        </w:rPr>
        <w:t>48</w:t>
      </w:r>
      <w:r w:rsidRPr="00160D41">
        <w:rPr>
          <w:rFonts w:cs="Times New Roman"/>
          <w:b/>
          <w:szCs w:val="24"/>
        </w:rPr>
        <w:t>-</w:t>
      </w:r>
      <w:r w:rsidRPr="00160D41" w:rsidR="001C45DF">
        <w:rPr>
          <w:rFonts w:cs="Times New Roman"/>
          <w:b/>
          <w:szCs w:val="24"/>
        </w:rPr>
        <w:t>0121</w:t>
      </w:r>
    </w:p>
    <w:p w:rsidRPr="00160D41" w:rsidR="008E61C9" w:rsidP="00BD7237" w:rsidRDefault="008E61C9" w14:paraId="00A3D3C6" w14:textId="77777777">
      <w:pPr>
        <w:pStyle w:val="BodyText"/>
        <w:spacing w:before="1"/>
        <w:ind w:left="0"/>
        <w:jc w:val="center"/>
        <w:rPr>
          <w:rFonts w:cs="Times New Roman"/>
          <w:b/>
        </w:rPr>
      </w:pPr>
    </w:p>
    <w:p w:rsidRPr="00EB7612" w:rsidR="008E61C9" w:rsidP="00784DF0" w:rsidRDefault="001477A3" w14:paraId="2569E54A" w14:textId="7F3086C0">
      <w:pPr>
        <w:rPr>
          <w:rFonts w:cs="Times New Roman"/>
          <w:b/>
          <w:szCs w:val="24"/>
        </w:rPr>
      </w:pPr>
      <w:r w:rsidRPr="00EB7612">
        <w:rPr>
          <w:rFonts w:cs="Times New Roman"/>
          <w:b/>
          <w:szCs w:val="24"/>
        </w:rPr>
        <w:t>SUPPORTING STATEMENT PART A</w:t>
      </w:r>
    </w:p>
    <w:p w:rsidRPr="00160D41" w:rsidR="008E61C9" w:rsidP="00BD7237" w:rsidRDefault="001477A3" w14:paraId="6A8E1C5D" w14:textId="77777777">
      <w:pPr>
        <w:pStyle w:val="Heading1"/>
        <w:spacing w:before="199"/>
        <w:ind w:left="0"/>
        <w:rPr>
          <w:rFonts w:cs="Times New Roman"/>
        </w:rPr>
      </w:pPr>
      <w:r w:rsidRPr="00160D41">
        <w:rPr>
          <w:rFonts w:cs="Times New Roman"/>
        </w:rPr>
        <w:t>Abstract</w:t>
      </w:r>
    </w:p>
    <w:p w:rsidR="00F71A88" w:rsidP="00BB5E9B" w:rsidRDefault="00F71A88" w14:paraId="652CCE9B" w14:textId="77777777">
      <w:pPr>
        <w:pStyle w:val="Default"/>
      </w:pPr>
    </w:p>
    <w:p w:rsidR="00F71A88" w:rsidP="00BB5E9B" w:rsidRDefault="00F71A88" w14:paraId="6F3D4EBD" w14:textId="63D1BB2C">
      <w:pPr>
        <w:pStyle w:val="Default"/>
      </w:pPr>
      <w:r>
        <w:t>This is a request for extension of an existing information collection.</w:t>
      </w:r>
    </w:p>
    <w:p w:rsidR="00F71A88" w:rsidP="00BB5E9B" w:rsidRDefault="00F71A88" w14:paraId="00066506" w14:textId="77777777">
      <w:pPr>
        <w:pStyle w:val="Default"/>
      </w:pPr>
    </w:p>
    <w:p w:rsidRPr="00B00F3B" w:rsidR="00BB5E9B" w:rsidP="00BB5E9B" w:rsidRDefault="00BB5E9B" w14:paraId="68E30120" w14:textId="43E767C8">
      <w:pPr>
        <w:pStyle w:val="Default"/>
      </w:pPr>
      <w:r w:rsidRPr="00B00F3B">
        <w:t xml:space="preserve">The National Estuarine Research </w:t>
      </w:r>
      <w:r w:rsidR="00F71A88">
        <w:t>Reserve</w:t>
      </w:r>
      <w:r w:rsidRPr="00B00F3B">
        <w:t xml:space="preserve"> System (NERRS) is a partnership between the National Oceanic and Atmospheric Administration (NOAA) and 22 states and Puerto Rico that protects more than 1.3 million coastal and estuarine acres in 28 </w:t>
      </w:r>
      <w:r w:rsidR="00F71A88">
        <w:t>reserves</w:t>
      </w:r>
      <w:r w:rsidRPr="00B00F3B">
        <w:t xml:space="preserve"> for long-term research, monitoring, education, and stewardship, established under Section 315 of the </w:t>
      </w:r>
      <w:hyperlink w:history="1" r:id="rId7">
        <w:r w:rsidRPr="00B00F3B">
          <w:rPr>
            <w:rStyle w:val="Hyperlink"/>
          </w:rPr>
          <w:t xml:space="preserve">Coastal Zone Management Act </w:t>
        </w:r>
      </w:hyperlink>
      <w:r w:rsidRPr="00B00F3B">
        <w:t>(CZMA) of 1972 (16 U.S.C. 1451), 16 U.S.C. 1461. The NERRS consists of carefully selected estuarine areas of the United States that are designated, p</w:t>
      </w:r>
      <w:r w:rsidR="00F71A88">
        <w:t>reserve</w:t>
      </w:r>
      <w:r w:rsidRPr="00B00F3B">
        <w:t xml:space="preserve">d, and managed for research and educational purposes. The </w:t>
      </w:r>
      <w:r w:rsidR="00F71A88">
        <w:t>reserves</w:t>
      </w:r>
      <w:r w:rsidRPr="00B00F3B">
        <w:t xml:space="preserve"> are chosen to reflect regional differences and to include a variety of ecosystem types according to the classification scheme of the national program as presented in </w:t>
      </w:r>
      <w:hyperlink w:history="1" r:id="rId8">
        <w:r w:rsidRPr="00B00F3B">
          <w:rPr>
            <w:rStyle w:val="Hyperlink"/>
          </w:rPr>
          <w:t>15 CFR Part 921</w:t>
        </w:r>
      </w:hyperlink>
      <w:r w:rsidRPr="00B00F3B">
        <w:t xml:space="preserve">. </w:t>
      </w:r>
    </w:p>
    <w:p w:rsidRPr="00B00F3B" w:rsidR="00BB5E9B" w:rsidP="00BB5E9B" w:rsidRDefault="00BB5E9B" w14:paraId="67AF08FB" w14:textId="77777777">
      <w:pPr>
        <w:pStyle w:val="Default"/>
      </w:pPr>
    </w:p>
    <w:p w:rsidRPr="00B00F3B" w:rsidR="00BB5E9B" w:rsidP="00BB5E9B" w:rsidRDefault="00BB5E9B" w14:paraId="40F875A7" w14:textId="76B8A316">
      <w:pPr>
        <w:pStyle w:val="Default"/>
      </w:pPr>
      <w:r w:rsidRPr="00B00F3B">
        <w:t xml:space="preserve">As part of a national system, the </w:t>
      </w:r>
      <w:r w:rsidR="00F71A88">
        <w:t>reserves</w:t>
      </w:r>
      <w:r w:rsidRPr="00B00F3B">
        <w:t xml:space="preserve"> collectively provide a unique opportunity to address research questions and estuarine management issues of national significance. The </w:t>
      </w:r>
      <w:r w:rsidR="00F71A88">
        <w:t>reserves</w:t>
      </w:r>
      <w:r w:rsidRPr="00B00F3B">
        <w:t xml:space="preserve"> also serve to enhance public awareness and understanding of estuarine areas and provide suitable opportunities for public education and interpretation. Regulations provide guidance for delineating </w:t>
      </w:r>
      <w:r w:rsidR="00F71A88">
        <w:t>reserve</w:t>
      </w:r>
      <w:r w:rsidRPr="00B00F3B">
        <w:t xml:space="preserve"> boundaries and additional guidance for arriving at the most effective and least costly approach to establishing adequate </w:t>
      </w:r>
      <w:proofErr w:type="gramStart"/>
      <w:r w:rsidRPr="00B00F3B">
        <w:t>state</w:t>
      </w:r>
      <w:proofErr w:type="gramEnd"/>
      <w:r w:rsidRPr="00B00F3B">
        <w:t xml:space="preserve"> control of key land and water areas. </w:t>
      </w:r>
    </w:p>
    <w:p w:rsidRPr="00B00F3B" w:rsidR="00BB5E9B" w:rsidP="00BB5E9B" w:rsidRDefault="00BB5E9B" w14:paraId="16C653CC" w14:textId="77777777">
      <w:pPr>
        <w:pStyle w:val="Default"/>
      </w:pPr>
    </w:p>
    <w:p w:rsidRPr="00160D41" w:rsidR="008E61C9" w:rsidP="00BD7237" w:rsidRDefault="001477A3" w14:paraId="233C63F4" w14:textId="77777777">
      <w:pPr>
        <w:pStyle w:val="Heading1"/>
        <w:spacing w:before="124"/>
        <w:ind w:left="0"/>
        <w:rPr>
          <w:rFonts w:cs="Times New Roman"/>
        </w:rPr>
      </w:pPr>
      <w:r w:rsidRPr="00160D41">
        <w:rPr>
          <w:rFonts w:cs="Times New Roman"/>
        </w:rPr>
        <w:t>Justification</w:t>
      </w:r>
    </w:p>
    <w:p w:rsidRPr="00160D41" w:rsidR="008E61C9" w:rsidP="00BD7237" w:rsidRDefault="001477A3" w14:paraId="5ED35E08" w14:textId="77777777">
      <w:pPr>
        <w:pStyle w:val="ListParagraph"/>
        <w:numPr>
          <w:ilvl w:val="0"/>
          <w:numId w:val="7"/>
        </w:numPr>
        <w:tabs>
          <w:tab w:val="left" w:pos="360"/>
        </w:tabs>
        <w:spacing w:before="182" w:line="259" w:lineRule="auto"/>
        <w:ind w:left="0" w:firstLine="0"/>
        <w:rPr>
          <w:rFonts w:cs="Times New Roman"/>
          <w:b/>
          <w:szCs w:val="24"/>
        </w:rPr>
      </w:pPr>
      <w:r w:rsidRPr="00160D41">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9631F" w:rsidR="00556E15" w:rsidP="00F71A88" w:rsidRDefault="00556E15" w14:paraId="6DCB434D" w14:textId="2F34331D">
      <w:pPr>
        <w:pStyle w:val="BodyText"/>
        <w:spacing w:before="159" w:line="259" w:lineRule="auto"/>
        <w:ind w:left="0"/>
        <w:rPr>
          <w:rFonts w:cs="Times New Roman"/>
        </w:rPr>
      </w:pPr>
      <w:r w:rsidRPr="0039631F">
        <w:rPr>
          <w:rFonts w:cs="Times New Roman"/>
        </w:rPr>
        <w:t xml:space="preserve">Section 315 of the Coastal Zone Management Act (CZMA) of 1972 (16 U.S.C. 1451), 16 U.S.C. 1461, establishes the National Estuarine Research </w:t>
      </w:r>
      <w:r w:rsidR="00F71A88">
        <w:rPr>
          <w:rFonts w:cs="Times New Roman"/>
        </w:rPr>
        <w:t>Reserve</w:t>
      </w:r>
      <w:r w:rsidRPr="0039631F">
        <w:rPr>
          <w:rFonts w:cs="Times New Roman"/>
        </w:rPr>
        <w:t xml:space="preserve"> System (NERRS).  The NERRS consists of carefully selected estuarine areas of the United States that are designated, p</w:t>
      </w:r>
      <w:r w:rsidR="00F71A88">
        <w:rPr>
          <w:rFonts w:cs="Times New Roman"/>
        </w:rPr>
        <w:t>reserve</w:t>
      </w:r>
      <w:r w:rsidRPr="0039631F">
        <w:rPr>
          <w:rFonts w:cs="Times New Roman"/>
        </w:rPr>
        <w:t xml:space="preserve">d, and managed for research and educational purposes.  The </w:t>
      </w:r>
      <w:r w:rsidR="00F71A88">
        <w:rPr>
          <w:rFonts w:cs="Times New Roman"/>
        </w:rPr>
        <w:t>reserves</w:t>
      </w:r>
      <w:r w:rsidRPr="0039631F">
        <w:rPr>
          <w:rFonts w:cs="Times New Roman"/>
        </w:rPr>
        <w:t xml:space="preserve"> are chosen to reflect regional differences and to include a variety of ecosystem types according to the classification scheme of the national program as presented in 15 CFR Part 921</w:t>
      </w:r>
      <w:r w:rsidRPr="0039631F" w:rsidR="007354ED">
        <w:rPr>
          <w:rFonts w:cs="Times New Roman"/>
        </w:rPr>
        <w:t xml:space="preserve">, the National Estuarine Research </w:t>
      </w:r>
      <w:r w:rsidR="00F71A88">
        <w:rPr>
          <w:rFonts w:cs="Times New Roman"/>
        </w:rPr>
        <w:t>Reserve</w:t>
      </w:r>
      <w:r w:rsidRPr="0039631F" w:rsidR="007354ED">
        <w:rPr>
          <w:rFonts w:cs="Times New Roman"/>
        </w:rPr>
        <w:t xml:space="preserve"> System Regulations</w:t>
      </w:r>
      <w:r w:rsidRPr="0039631F">
        <w:rPr>
          <w:rFonts w:cs="Times New Roman"/>
        </w:rPr>
        <w:t xml:space="preserve">.  As part of a national system, the </w:t>
      </w:r>
      <w:r w:rsidR="00F71A88">
        <w:rPr>
          <w:rFonts w:cs="Times New Roman"/>
        </w:rPr>
        <w:t>reserves</w:t>
      </w:r>
      <w:r w:rsidRPr="0039631F">
        <w:rPr>
          <w:rFonts w:cs="Times New Roman"/>
        </w:rPr>
        <w:t xml:space="preserve"> collectively provide a unique opportunity to address research questions and estuarine management issues of national significance. The </w:t>
      </w:r>
      <w:r w:rsidR="00F71A88">
        <w:rPr>
          <w:rFonts w:cs="Times New Roman"/>
        </w:rPr>
        <w:t>reserves</w:t>
      </w:r>
      <w:r w:rsidRPr="0039631F">
        <w:rPr>
          <w:rFonts w:cs="Times New Roman"/>
        </w:rPr>
        <w:t xml:space="preserve"> also serve to enhance public awareness and understanding of estuarine areas and provide suitable opportunities for public education and interpretation.  </w:t>
      </w:r>
      <w:r w:rsidRPr="0039631F" w:rsidR="007354ED">
        <w:rPr>
          <w:rFonts w:cs="Times New Roman"/>
        </w:rPr>
        <w:t xml:space="preserve">The </w:t>
      </w:r>
      <w:r w:rsidR="00F71A88">
        <w:rPr>
          <w:rFonts w:cs="Times New Roman"/>
        </w:rPr>
        <w:t>Reserve</w:t>
      </w:r>
      <w:r w:rsidRPr="0039631F" w:rsidR="007354ED">
        <w:rPr>
          <w:rFonts w:cs="Times New Roman"/>
        </w:rPr>
        <w:t xml:space="preserve"> System </w:t>
      </w:r>
      <w:r w:rsidRPr="0039631F">
        <w:rPr>
          <w:rFonts w:cs="Times New Roman"/>
        </w:rPr>
        <w:t xml:space="preserve">Regulations </w:t>
      </w:r>
      <w:r w:rsidRPr="0039631F" w:rsidR="007354ED">
        <w:rPr>
          <w:rFonts w:cs="Times New Roman"/>
        </w:rPr>
        <w:t xml:space="preserve">in 15 CFR Part 921 </w:t>
      </w:r>
      <w:r w:rsidRPr="0039631F" w:rsidR="00F7722B">
        <w:rPr>
          <w:rFonts w:cs="Times New Roman"/>
        </w:rPr>
        <w:t>establish requirements</w:t>
      </w:r>
      <w:r w:rsidRPr="0039631F">
        <w:rPr>
          <w:rFonts w:cs="Times New Roman"/>
        </w:rPr>
        <w:t xml:space="preserve"> for </w:t>
      </w:r>
      <w:r w:rsidRPr="0039631F" w:rsidR="00F7722B">
        <w:rPr>
          <w:rFonts w:cs="Times New Roman"/>
        </w:rPr>
        <w:t>designating</w:t>
      </w:r>
      <w:r w:rsidRPr="0039631F" w:rsidR="007354ED">
        <w:rPr>
          <w:rFonts w:cs="Times New Roman"/>
        </w:rPr>
        <w:t xml:space="preserve"> </w:t>
      </w:r>
      <w:r w:rsidR="00F71A88">
        <w:rPr>
          <w:rFonts w:cs="Times New Roman"/>
        </w:rPr>
        <w:t>reserves</w:t>
      </w:r>
      <w:r w:rsidRPr="0039631F" w:rsidR="007354ED">
        <w:rPr>
          <w:rFonts w:cs="Times New Roman"/>
        </w:rPr>
        <w:t xml:space="preserve">, </w:t>
      </w:r>
      <w:r w:rsidRPr="0039631F">
        <w:rPr>
          <w:rFonts w:cs="Times New Roman"/>
        </w:rPr>
        <w:t xml:space="preserve">delineating </w:t>
      </w:r>
      <w:r w:rsidR="00F71A88">
        <w:rPr>
          <w:rFonts w:cs="Times New Roman"/>
        </w:rPr>
        <w:t>reserve</w:t>
      </w:r>
      <w:r w:rsidRPr="0039631F">
        <w:rPr>
          <w:rFonts w:cs="Times New Roman"/>
        </w:rPr>
        <w:t xml:space="preserve"> boundaries</w:t>
      </w:r>
      <w:r w:rsidRPr="0039631F" w:rsidR="00F7722B">
        <w:rPr>
          <w:rFonts w:cs="Times New Roman"/>
        </w:rPr>
        <w:t xml:space="preserve">, developing and updating </w:t>
      </w:r>
      <w:r w:rsidR="00F71A88">
        <w:rPr>
          <w:rFonts w:cs="Times New Roman"/>
        </w:rPr>
        <w:t>reserve</w:t>
      </w:r>
      <w:r w:rsidRPr="0039631F" w:rsidR="00F7722B">
        <w:rPr>
          <w:rFonts w:cs="Times New Roman"/>
        </w:rPr>
        <w:t xml:space="preserve"> management plans, and creating site profiles, as well as </w:t>
      </w:r>
      <w:r w:rsidRPr="0039631F">
        <w:rPr>
          <w:rFonts w:cs="Times New Roman"/>
        </w:rPr>
        <w:t xml:space="preserve">additional guidance for arriving at the most effective and least costly approach to establishing adequate state control of key land and water areas. </w:t>
      </w:r>
      <w:r w:rsidRPr="0039631F" w:rsidR="00F7722B">
        <w:rPr>
          <w:rFonts w:cs="Times New Roman"/>
        </w:rPr>
        <w:t xml:space="preserve"> </w:t>
      </w:r>
    </w:p>
    <w:p w:rsidRPr="0039631F" w:rsidR="00556E15" w:rsidP="00F71A88" w:rsidRDefault="00556E15" w14:paraId="29E1DE7B" w14:textId="5BAD5AA2">
      <w:pPr>
        <w:pStyle w:val="BodyText"/>
        <w:spacing w:before="159" w:line="259" w:lineRule="auto"/>
        <w:ind w:left="0"/>
        <w:rPr>
          <w:rFonts w:cs="Times New Roman"/>
        </w:rPr>
      </w:pPr>
      <w:r w:rsidRPr="0039631F">
        <w:rPr>
          <w:rFonts w:cs="Times New Roman"/>
        </w:rPr>
        <w:lastRenderedPageBreak/>
        <w:t xml:space="preserve">Subsection 3l5(e)(1)(B) of the CZM Act authorizes </w:t>
      </w:r>
      <w:r w:rsidR="00B00F3B">
        <w:rPr>
          <w:rFonts w:cs="Times New Roman"/>
        </w:rPr>
        <w:t>NOAA’s</w:t>
      </w:r>
      <w:r w:rsidRPr="0039631F">
        <w:rPr>
          <w:rFonts w:cs="Times New Roman"/>
        </w:rPr>
        <w:t xml:space="preserve"> Office </w:t>
      </w:r>
      <w:r w:rsidRPr="0039631F" w:rsidR="00610D15">
        <w:rPr>
          <w:rFonts w:cs="Times New Roman"/>
        </w:rPr>
        <w:t>for Coastal Management (OC</w:t>
      </w:r>
      <w:r w:rsidRPr="0039631F">
        <w:rPr>
          <w:rFonts w:cs="Times New Roman"/>
        </w:rPr>
        <w:t xml:space="preserve">M) to make grants or cooperative agreements to any coastal state or public or private institution or person for purposes of supporting research within the NERRS.  This program is listed in the Catalog of Federal Domestic Assistance under "Coastal Zone Management Estuarine Research </w:t>
      </w:r>
      <w:r w:rsidR="00F71A88">
        <w:rPr>
          <w:rFonts w:cs="Times New Roman"/>
        </w:rPr>
        <w:t>Reserve</w:t>
      </w:r>
      <w:r w:rsidRPr="0039631F">
        <w:rPr>
          <w:rFonts w:cs="Times New Roman"/>
        </w:rPr>
        <w:t xml:space="preserve">, Number 11.420".  Applications for such grants follow the provisions of </w:t>
      </w:r>
      <w:r w:rsidRPr="0039631F" w:rsidR="00610D15">
        <w:rPr>
          <w:rFonts w:cs="Times New Roman"/>
        </w:rPr>
        <w:t>2 CFR Part 200</w:t>
      </w:r>
      <w:r w:rsidRPr="0039631F" w:rsidR="007354ED">
        <w:rPr>
          <w:rFonts w:cs="Times New Roman"/>
        </w:rPr>
        <w:t xml:space="preserve">, The Uniform </w:t>
      </w:r>
      <w:r w:rsidRPr="0039631F" w:rsidR="00F7722B">
        <w:rPr>
          <w:rFonts w:cs="Times New Roman"/>
        </w:rPr>
        <w:t>Administrative Requirements, Cost Principles, and Audit Requirements for Financial Assistance Awards</w:t>
      </w:r>
      <w:r w:rsidRPr="0039631F">
        <w:rPr>
          <w:rFonts w:cs="Times New Roman"/>
        </w:rPr>
        <w:t xml:space="preserve">.  Applications for research grants are required so that </w:t>
      </w:r>
      <w:r w:rsidRPr="0039631F" w:rsidR="00610D15">
        <w:rPr>
          <w:rFonts w:cs="Times New Roman"/>
        </w:rPr>
        <w:t>OCM</w:t>
      </w:r>
      <w:r w:rsidRPr="0039631F">
        <w:rPr>
          <w:rFonts w:cs="Times New Roman"/>
        </w:rPr>
        <w:t xml:space="preserve"> can determine which projects best support the NERRS program and merit funding. </w:t>
      </w:r>
    </w:p>
    <w:p w:rsidRPr="00160D41" w:rsidR="00556E15" w:rsidP="00556E15" w:rsidRDefault="00556E15" w14:paraId="5920D1C0" w14:textId="77777777">
      <w:pPr>
        <w:pStyle w:val="BodyText"/>
        <w:spacing w:before="159" w:line="259" w:lineRule="auto"/>
        <w:ind w:left="0"/>
        <w:rPr>
          <w:rFonts w:cs="Times New Roman"/>
          <w:color w:val="2F5496"/>
        </w:rPr>
      </w:pPr>
    </w:p>
    <w:p w:rsidRPr="00160D41" w:rsidR="008E61C9" w:rsidP="00BD7237" w:rsidRDefault="001477A3" w14:paraId="4B23EC12" w14:textId="77777777">
      <w:pPr>
        <w:pStyle w:val="Heading1"/>
        <w:numPr>
          <w:ilvl w:val="0"/>
          <w:numId w:val="7"/>
        </w:numPr>
        <w:tabs>
          <w:tab w:val="left" w:pos="360"/>
        </w:tabs>
        <w:spacing w:before="197"/>
        <w:ind w:left="0" w:firstLine="0"/>
        <w:rPr>
          <w:rFonts w:cs="Times New Roman"/>
        </w:rPr>
      </w:pPr>
      <w:r w:rsidRPr="00160D41">
        <w:rPr>
          <w:rFonts w:cs="Times New Roman"/>
          <w:bCs w:val="0"/>
        </w:rPr>
        <w:t>Indicate how, by whom, and for what purpose the information is to be used. Except for a</w:t>
      </w:r>
      <w:r w:rsidRPr="00160D41">
        <w:rPr>
          <w:rFonts w:cs="Times New Roman"/>
        </w:rPr>
        <w:t xml:space="preserve"> </w:t>
      </w:r>
      <w:r w:rsidRPr="00160D41">
        <w:rPr>
          <w:rFonts w:cs="Times New Roman"/>
          <w:bCs w:val="0"/>
        </w:rPr>
        <w:t>new collection, indicate the actual use the agency has made of the information received from the</w:t>
      </w:r>
      <w:r w:rsidRPr="00160D41">
        <w:rPr>
          <w:rFonts w:cs="Times New Roman"/>
        </w:rPr>
        <w:t xml:space="preserve"> current</w:t>
      </w:r>
      <w:r w:rsidRPr="00160D41">
        <w:rPr>
          <w:rFonts w:cs="Times New Roman"/>
          <w:spacing w:val="-1"/>
        </w:rPr>
        <w:t xml:space="preserve"> </w:t>
      </w:r>
      <w:r w:rsidRPr="00160D41">
        <w:rPr>
          <w:rFonts w:cs="Times New Roman"/>
        </w:rPr>
        <w:t>collection.</w:t>
      </w:r>
    </w:p>
    <w:p w:rsidRPr="00160D41" w:rsidR="00BB5E9B" w:rsidP="00F71A88" w:rsidRDefault="00BB5E9B" w14:paraId="56ABE667" w14:textId="1B8C2CF4">
      <w:pPr>
        <w:pStyle w:val="BodyText"/>
        <w:ind w:left="0"/>
        <w:rPr>
          <w:rFonts w:cs="Times New Roman"/>
        </w:rPr>
      </w:pPr>
      <w:r w:rsidRPr="00160D41">
        <w:rPr>
          <w:rFonts w:cs="Times New Roman"/>
        </w:rPr>
        <w:t xml:space="preserve">There are several types of reporting requirements relating to this program. Those documents submitted include: 1) site designation (nomination) materials including associated National Environmental Policy Act (NEPA) requirements, 2) management plans, 3) site profiles which are ecological characterizations of the </w:t>
      </w:r>
      <w:r w:rsidR="00F71A88">
        <w:rPr>
          <w:rFonts w:cs="Times New Roman"/>
        </w:rPr>
        <w:t>reserve</w:t>
      </w:r>
      <w:r w:rsidRPr="00160D41">
        <w:rPr>
          <w:rFonts w:cs="Times New Roman"/>
        </w:rPr>
        <w:t xml:space="preserve">, and 4) supporting materials for funding applications. </w:t>
      </w:r>
      <w:r w:rsidRPr="00160D41" w:rsidR="006B45FB">
        <w:rPr>
          <w:rFonts w:cs="Times New Roman"/>
        </w:rPr>
        <w:t>All required documents are submitted electronically</w:t>
      </w:r>
      <w:r w:rsidRPr="00160D41" w:rsidR="004019EE">
        <w:rPr>
          <w:rFonts w:cs="Times New Roman"/>
        </w:rPr>
        <w:t xml:space="preserve"> by state and university partners.</w:t>
      </w:r>
    </w:p>
    <w:p w:rsidRPr="00160D41" w:rsidR="00BB5E9B" w:rsidP="00F71A88" w:rsidRDefault="00BB5E9B" w14:paraId="3654F805" w14:textId="175312E7">
      <w:pPr>
        <w:pStyle w:val="BodyText"/>
        <w:ind w:left="0"/>
        <w:rPr>
          <w:rFonts w:cs="Times New Roman"/>
        </w:rPr>
      </w:pPr>
      <w:r w:rsidRPr="00160D41">
        <w:rPr>
          <w:rFonts w:cs="Times New Roman"/>
        </w:rPr>
        <w:t xml:space="preserve">1) Site Designation: Requests by states to approve proposed sites for inclusion within the National Estuarine Research </w:t>
      </w:r>
      <w:r w:rsidR="00F71A88">
        <w:rPr>
          <w:rFonts w:cs="Times New Roman"/>
        </w:rPr>
        <w:t>Reserve</w:t>
      </w:r>
      <w:r w:rsidRPr="00160D41">
        <w:rPr>
          <w:rFonts w:cs="Times New Roman"/>
        </w:rPr>
        <w:t xml:space="preserve"> System must contain the information detailed at 15 CFR 921.11. </w:t>
      </w:r>
      <w:r w:rsidRPr="00160D41" w:rsidR="00FC097E">
        <w:rPr>
          <w:rFonts w:cs="Times New Roman"/>
        </w:rPr>
        <w:t xml:space="preserve"> In February 2020, NOAA published an updated </w:t>
      </w:r>
      <w:r w:rsidRPr="00160D41" w:rsidR="00FC097E">
        <w:rPr>
          <w:rFonts w:cs="Times New Roman"/>
          <w:i/>
        </w:rPr>
        <w:t>NERRS Designation Guidance</w:t>
      </w:r>
      <w:r w:rsidRPr="00160D41" w:rsidR="00FC097E">
        <w:rPr>
          <w:rFonts w:cs="Times New Roman"/>
        </w:rPr>
        <w:t>, which provides an overview of the designation process, list of best practices, and technical assistance for developing the site designation materials. This site designation</w:t>
      </w:r>
      <w:r w:rsidRPr="00160D41">
        <w:rPr>
          <w:rFonts w:cs="Times New Roman"/>
        </w:rPr>
        <w:t xml:space="preserve"> information is necessary to ensure that the site meets national standards and requirements for a </w:t>
      </w:r>
      <w:r w:rsidR="00F71A88">
        <w:rPr>
          <w:rFonts w:cs="Times New Roman"/>
        </w:rPr>
        <w:t>reserve</w:t>
      </w:r>
      <w:r w:rsidRPr="00160D41">
        <w:rPr>
          <w:rFonts w:cs="Times New Roman"/>
        </w:rPr>
        <w:t xml:space="preserve">, to obtain a complete description of the area being proposed, to ensure that the best available site was chosen, and to ensure proper participation by the public and state's Governor. </w:t>
      </w:r>
      <w:r w:rsidRPr="00160D41" w:rsidR="00FC097E">
        <w:rPr>
          <w:rFonts w:cs="Times New Roman"/>
        </w:rPr>
        <w:t>Without the state’s site designation submission</w:t>
      </w:r>
      <w:r w:rsidRPr="00160D41">
        <w:rPr>
          <w:rFonts w:cs="Times New Roman"/>
        </w:rPr>
        <w:t xml:space="preserve">, </w:t>
      </w:r>
      <w:r w:rsidR="007C6B20">
        <w:rPr>
          <w:rFonts w:cs="Times New Roman"/>
        </w:rPr>
        <w:t>OCM</w:t>
      </w:r>
      <w:r w:rsidRPr="00160D41" w:rsidR="00FC097E">
        <w:rPr>
          <w:rFonts w:cs="Times New Roman"/>
        </w:rPr>
        <w:t xml:space="preserve"> could not review proposals and approve new sites as National Estuarine Research </w:t>
      </w:r>
      <w:r w:rsidR="00F71A88">
        <w:rPr>
          <w:rFonts w:cs="Times New Roman"/>
        </w:rPr>
        <w:t>Reserves</w:t>
      </w:r>
      <w:r w:rsidRPr="00160D41" w:rsidR="00FC097E">
        <w:rPr>
          <w:rFonts w:cs="Times New Roman"/>
        </w:rPr>
        <w:t>.  Site designation occurs only once.  Once a site is designated, the state will not need to submit site designation information again.</w:t>
      </w:r>
    </w:p>
    <w:p w:rsidRPr="00160D41" w:rsidR="00BB5E9B" w:rsidP="00F71A88" w:rsidRDefault="00BB5E9B" w14:paraId="74BBB5EC" w14:textId="1314EC08">
      <w:pPr>
        <w:pStyle w:val="BodyText"/>
        <w:ind w:left="0"/>
        <w:rPr>
          <w:rFonts w:cs="Times New Roman"/>
        </w:rPr>
      </w:pPr>
      <w:r w:rsidRPr="00160D41">
        <w:rPr>
          <w:rFonts w:cs="Times New Roman"/>
        </w:rPr>
        <w:t xml:space="preserve">A coastal state may apply for financial assistance for the purpose of site selection, preparation of a management plan and environmental impact statement, and for conducting limited characterization studies. The requirements are described at 15 CFR 921.13. The management plan is a detailed document outlining goals, objectives and strategies for the </w:t>
      </w:r>
      <w:r w:rsidR="00F71A88">
        <w:rPr>
          <w:rFonts w:cs="Times New Roman"/>
        </w:rPr>
        <w:t>reserve</w:t>
      </w:r>
      <w:r w:rsidRPr="00160D41">
        <w:rPr>
          <w:rFonts w:cs="Times New Roman"/>
        </w:rPr>
        <w:t xml:space="preserve"> and serves as a framework for establishing and managing a </w:t>
      </w:r>
      <w:r w:rsidR="00F71A88">
        <w:rPr>
          <w:rFonts w:cs="Times New Roman"/>
        </w:rPr>
        <w:t>reserve</w:t>
      </w:r>
      <w:r w:rsidRPr="00160D41">
        <w:rPr>
          <w:rFonts w:cs="Times New Roman"/>
        </w:rPr>
        <w:t xml:space="preserve">. The plan must contain sub-plans for administration, research, education, public access, construction, land acquisition and resource protection to ensure the appropriate use and protection of </w:t>
      </w:r>
      <w:r w:rsidR="00F71A88">
        <w:rPr>
          <w:rFonts w:cs="Times New Roman"/>
        </w:rPr>
        <w:t>reserve</w:t>
      </w:r>
      <w:r w:rsidRPr="00160D41">
        <w:rPr>
          <w:rFonts w:cs="Times New Roman"/>
        </w:rPr>
        <w:t xml:space="preserve"> resources. This information is needed to ensure that the </w:t>
      </w:r>
      <w:r w:rsidR="00F71A88">
        <w:rPr>
          <w:rFonts w:cs="Times New Roman"/>
        </w:rPr>
        <w:t>reserve</w:t>
      </w:r>
      <w:r w:rsidRPr="00160D41">
        <w:rPr>
          <w:rFonts w:cs="Times New Roman"/>
        </w:rPr>
        <w:t xml:space="preserve"> will meet the objectives the law established for </w:t>
      </w:r>
      <w:r w:rsidR="00F71A88">
        <w:rPr>
          <w:rFonts w:cs="Times New Roman"/>
        </w:rPr>
        <w:t>reserves</w:t>
      </w:r>
      <w:r w:rsidRPr="00160D41">
        <w:rPr>
          <w:rFonts w:cs="Times New Roman"/>
        </w:rPr>
        <w:t xml:space="preserve">. </w:t>
      </w:r>
    </w:p>
    <w:p w:rsidR="00BB5E9B" w:rsidP="00F71A88" w:rsidRDefault="00BB5E9B" w14:paraId="603F2454" w14:textId="59D5F0E7">
      <w:pPr>
        <w:pStyle w:val="BodyText"/>
        <w:ind w:left="0"/>
        <w:rPr>
          <w:rFonts w:cs="Times New Roman"/>
        </w:rPr>
      </w:pPr>
      <w:r w:rsidRPr="00160D41">
        <w:rPr>
          <w:rFonts w:cs="Times New Roman"/>
        </w:rPr>
        <w:t xml:space="preserve">The state must also submit the data necessary for </w:t>
      </w:r>
      <w:r w:rsidR="007C6B20">
        <w:rPr>
          <w:rFonts w:cs="Times New Roman"/>
        </w:rPr>
        <w:t>OCM</w:t>
      </w:r>
      <w:r w:rsidRPr="00160D41">
        <w:rPr>
          <w:rFonts w:cs="Times New Roman"/>
        </w:rPr>
        <w:t xml:space="preserve"> to prepare an Environmental Impact Statement. Since the state has to gather much of this information or similar information for other purposes, it can obtain it efficiently. The state also receives </w:t>
      </w:r>
      <w:r w:rsidR="00F71A88">
        <w:rPr>
          <w:rFonts w:cs="Times New Roman"/>
        </w:rPr>
        <w:t>f</w:t>
      </w:r>
      <w:r w:rsidRPr="00160D41">
        <w:rPr>
          <w:rFonts w:cs="Times New Roman"/>
        </w:rPr>
        <w:t xml:space="preserve">ederal funds to provide this information. </w:t>
      </w:r>
    </w:p>
    <w:p w:rsidRPr="00160D41" w:rsidR="00F71A88" w:rsidP="00F71A88" w:rsidRDefault="00F71A88" w14:paraId="7F87BE15" w14:textId="77777777">
      <w:pPr>
        <w:pStyle w:val="BodyText"/>
        <w:ind w:left="0"/>
        <w:rPr>
          <w:rFonts w:cs="Times New Roman"/>
        </w:rPr>
      </w:pPr>
    </w:p>
    <w:p w:rsidRPr="00160D41" w:rsidR="00BB5E9B" w:rsidP="00F71A88" w:rsidRDefault="00BB5E9B" w14:paraId="4A1BAF4F" w14:textId="693C58E9">
      <w:pPr>
        <w:pStyle w:val="BodyText"/>
        <w:ind w:left="0"/>
        <w:rPr>
          <w:rFonts w:cs="Times New Roman"/>
        </w:rPr>
      </w:pPr>
      <w:r w:rsidRPr="00160D41">
        <w:rPr>
          <w:rFonts w:cs="Times New Roman"/>
        </w:rPr>
        <w:t xml:space="preserve">2) Management Plan: </w:t>
      </w:r>
      <w:r w:rsidRPr="00160D41" w:rsidR="00481AF3">
        <w:rPr>
          <w:rFonts w:cs="Times New Roman"/>
        </w:rPr>
        <w:t xml:space="preserve">The National Estuarine Research </w:t>
      </w:r>
      <w:r w:rsidR="00F71A88">
        <w:rPr>
          <w:rFonts w:cs="Times New Roman"/>
        </w:rPr>
        <w:t>Reserve</w:t>
      </w:r>
      <w:r w:rsidRPr="00160D41" w:rsidR="00481AF3">
        <w:rPr>
          <w:rFonts w:cs="Times New Roman"/>
        </w:rPr>
        <w:t xml:space="preserve"> System Regulations</w:t>
      </w:r>
      <w:r w:rsidRPr="00160D41" w:rsidR="009E255B">
        <w:rPr>
          <w:rFonts w:cs="Times New Roman"/>
        </w:rPr>
        <w:t xml:space="preserve"> in 15 CF</w:t>
      </w:r>
      <w:r w:rsidRPr="00160D41" w:rsidR="006B45FB">
        <w:rPr>
          <w:rFonts w:cs="Times New Roman"/>
        </w:rPr>
        <w:t xml:space="preserve">R, section </w:t>
      </w:r>
      <w:r w:rsidRPr="00160D41" w:rsidR="009E255B">
        <w:rPr>
          <w:rFonts w:cs="Times New Roman"/>
        </w:rPr>
        <w:t>921.33(c)</w:t>
      </w:r>
      <w:r w:rsidRPr="00160D41" w:rsidR="00481AF3">
        <w:rPr>
          <w:rFonts w:cs="Times New Roman"/>
        </w:rPr>
        <w:t xml:space="preserve"> require that states </w:t>
      </w:r>
      <w:r w:rsidRPr="00160D41" w:rsidR="006B45FB">
        <w:rPr>
          <w:rFonts w:cs="Times New Roman"/>
        </w:rPr>
        <w:t xml:space="preserve">update the site’s management plans </w:t>
      </w:r>
      <w:r w:rsidRPr="00160D41">
        <w:rPr>
          <w:rFonts w:cs="Times New Roman"/>
        </w:rPr>
        <w:t>every five years</w:t>
      </w:r>
      <w:r w:rsidRPr="00160D41" w:rsidR="006B45FB">
        <w:rPr>
          <w:rFonts w:cs="Times New Roman"/>
        </w:rPr>
        <w:t xml:space="preserve">. </w:t>
      </w:r>
      <w:r w:rsidRPr="00160D41">
        <w:rPr>
          <w:rFonts w:cs="Times New Roman"/>
        </w:rPr>
        <w:t xml:space="preserve"> As stated above, management plans outline the major goals, objectives and strategies that the </w:t>
      </w:r>
      <w:r w:rsidR="00F71A88">
        <w:rPr>
          <w:rFonts w:cs="Times New Roman"/>
        </w:rPr>
        <w:t>reserve</w:t>
      </w:r>
      <w:r w:rsidRPr="00160D41">
        <w:rPr>
          <w:rFonts w:cs="Times New Roman"/>
        </w:rPr>
        <w:t xml:space="preserve"> will undertake in a five year period and contains plans for administration, research, education, public access, construction, </w:t>
      </w:r>
      <w:r w:rsidRPr="00160D41">
        <w:rPr>
          <w:rFonts w:cs="Times New Roman"/>
        </w:rPr>
        <w:lastRenderedPageBreak/>
        <w:t xml:space="preserve">land acquisition and resource protection. The management plan provides a vision and framework to guide </w:t>
      </w:r>
      <w:r w:rsidR="00F71A88">
        <w:rPr>
          <w:rFonts w:cs="Times New Roman"/>
        </w:rPr>
        <w:t>reserve</w:t>
      </w:r>
      <w:r w:rsidRPr="00160D41">
        <w:rPr>
          <w:rFonts w:cs="Times New Roman"/>
        </w:rPr>
        <w:t xml:space="preserve"> activities during the five year period, enables the </w:t>
      </w:r>
      <w:r w:rsidR="00F71A88">
        <w:rPr>
          <w:rFonts w:cs="Times New Roman"/>
        </w:rPr>
        <w:t>reserves</w:t>
      </w:r>
      <w:r w:rsidRPr="00160D41">
        <w:rPr>
          <w:rFonts w:cs="Times New Roman"/>
        </w:rPr>
        <w:t xml:space="preserve"> and NOAA to track progress and realize opportunities for growth, guides program evaluations under Section 312 of the Coastal Zone Management Act, and enables the </w:t>
      </w:r>
      <w:r w:rsidR="00F71A88">
        <w:rPr>
          <w:rFonts w:cs="Times New Roman"/>
        </w:rPr>
        <w:t>reserves</w:t>
      </w:r>
      <w:r w:rsidRPr="00160D41">
        <w:rPr>
          <w:rFonts w:cs="Times New Roman"/>
        </w:rPr>
        <w:t xml:space="preserve"> to acquire facilities construction and land acquisition funds. </w:t>
      </w:r>
    </w:p>
    <w:p w:rsidRPr="00160D41" w:rsidR="00BB5E9B" w:rsidP="00BB5E9B" w:rsidRDefault="00BB5E9B" w14:paraId="23214EEE" w14:textId="77777777">
      <w:pPr>
        <w:pStyle w:val="BodyText"/>
        <w:rPr>
          <w:rFonts w:cs="Times New Roman"/>
        </w:rPr>
      </w:pPr>
    </w:p>
    <w:p w:rsidRPr="00160D41" w:rsidR="00BB5E9B" w:rsidP="00F71A88" w:rsidRDefault="00BB5E9B" w14:paraId="4FDDC325" w14:textId="1B276E92">
      <w:pPr>
        <w:pStyle w:val="BodyText"/>
        <w:ind w:left="0"/>
        <w:rPr>
          <w:rFonts w:cs="Times New Roman"/>
        </w:rPr>
      </w:pPr>
      <w:r w:rsidRPr="00160D41">
        <w:rPr>
          <w:rFonts w:cs="Times New Roman"/>
        </w:rPr>
        <w:t xml:space="preserve">3) Site Profile: According to the 15 CFR Subpart I, section 921.60 (1) and (2), monitoring funds are used to support major phases of a monitoring program: (l) studies necessary to collect data for a comprehensive site description/characterization; and (2) development of a site profile. The site profile is a synthesis of information gathered during Phase I, the Environmental Characterization Phase, which is conducted as a combination of literature and field (optional) research that provides an overall picture of the </w:t>
      </w:r>
      <w:r w:rsidR="00F71A88">
        <w:rPr>
          <w:rFonts w:cs="Times New Roman"/>
        </w:rPr>
        <w:t>reserve</w:t>
      </w:r>
      <w:r w:rsidRPr="00160D41">
        <w:rPr>
          <w:rFonts w:cs="Times New Roman"/>
        </w:rPr>
        <w:t xml:space="preserve"> in terms of its resources, issues, management constraints, and research needs. The site profile will help </w:t>
      </w:r>
      <w:r w:rsidR="00F71A88">
        <w:rPr>
          <w:rFonts w:cs="Times New Roman"/>
        </w:rPr>
        <w:t>reserve</w:t>
      </w:r>
      <w:r w:rsidRPr="00160D41">
        <w:rPr>
          <w:rFonts w:cs="Times New Roman"/>
        </w:rPr>
        <w:t xml:space="preserve"> management find important information gaps in the resources and identify the aspects of monitoring to be initiated during a later monitoring phase (resource monitoring).</w:t>
      </w:r>
      <w:r w:rsidRPr="00160D41" w:rsidR="009B542E">
        <w:rPr>
          <w:rFonts w:cs="Times New Roman"/>
        </w:rPr>
        <w:t xml:space="preserve"> The site profile provides a summary of scientific information for academic and agency researchers, graduate students, advanced undergraduates, and coastal resource managers.</w:t>
      </w:r>
    </w:p>
    <w:p w:rsidRPr="00160D41" w:rsidR="00BB5E9B" w:rsidP="00F71A88" w:rsidRDefault="00BB5E9B" w14:paraId="0994559C" w14:textId="77777777">
      <w:pPr>
        <w:pStyle w:val="BodyText"/>
        <w:ind w:left="0"/>
        <w:rPr>
          <w:rFonts w:cs="Times New Roman"/>
        </w:rPr>
      </w:pPr>
    </w:p>
    <w:p w:rsidRPr="00160D41" w:rsidR="00BB5E9B" w:rsidP="00F71A88" w:rsidRDefault="00BB5E9B" w14:paraId="4668D873" w14:textId="708F2DF7">
      <w:pPr>
        <w:pStyle w:val="BodyText"/>
        <w:ind w:left="0"/>
        <w:rPr>
          <w:rFonts w:cs="Times New Roman"/>
        </w:rPr>
      </w:pPr>
      <w:r w:rsidRPr="00160D41">
        <w:rPr>
          <w:rFonts w:cs="Times New Roman"/>
        </w:rPr>
        <w:t>4) Funding Application: States a</w:t>
      </w:r>
      <w:r w:rsidR="00F71A88">
        <w:rPr>
          <w:rFonts w:cs="Times New Roman"/>
        </w:rPr>
        <w:t>pply for f</w:t>
      </w:r>
      <w:r w:rsidRPr="00160D41">
        <w:rPr>
          <w:rFonts w:cs="Times New Roman"/>
        </w:rPr>
        <w:t xml:space="preserve">ederal funds to assist the state in operation and management of the </w:t>
      </w:r>
      <w:r w:rsidR="00F71A88">
        <w:rPr>
          <w:rFonts w:cs="Times New Roman"/>
        </w:rPr>
        <w:t>reserve</w:t>
      </w:r>
      <w:r w:rsidRPr="00160D41">
        <w:rPr>
          <w:rFonts w:cs="Times New Roman"/>
        </w:rPr>
        <w:t xml:space="preserve"> including the management of research, monitoring, education and interpretive programs (15 CFR 921.32) Applications (SF 424s and supporting documentation required by 2 CFR 200 are required by </w:t>
      </w:r>
      <w:r w:rsidR="007C6B20">
        <w:rPr>
          <w:rFonts w:cs="Times New Roman"/>
        </w:rPr>
        <w:t>OCM</w:t>
      </w:r>
      <w:r w:rsidRPr="00160D41">
        <w:rPr>
          <w:rFonts w:cs="Times New Roman"/>
        </w:rPr>
        <w:t xml:space="preserve"> to determine if the proposal for funding meets the standards of the Act and implementing regulations, and applicable laws and regulations.</w:t>
      </w:r>
      <w:r w:rsidRPr="00160D41" w:rsidR="006B45FB">
        <w:rPr>
          <w:rFonts w:cs="Times New Roman"/>
        </w:rPr>
        <w:t xml:space="preserve">  Most state partners submit funding applications on an annual basis.  However, over the past several years, </w:t>
      </w:r>
      <w:r w:rsidR="007C6B20">
        <w:rPr>
          <w:rFonts w:cs="Times New Roman"/>
        </w:rPr>
        <w:t>OCM</w:t>
      </w:r>
      <w:r w:rsidRPr="00160D41" w:rsidR="006B45FB">
        <w:rPr>
          <w:rFonts w:cs="Times New Roman"/>
        </w:rPr>
        <w:t xml:space="preserve"> has been implementing a multi-year award</w:t>
      </w:r>
      <w:r w:rsidRPr="00160D41" w:rsidR="004019EE">
        <w:rPr>
          <w:rFonts w:cs="Times New Roman"/>
        </w:rPr>
        <w:t xml:space="preserve"> pilot program with the goal of reducing the time burden on both funding applicants and </w:t>
      </w:r>
      <w:r w:rsidR="007C6B20">
        <w:rPr>
          <w:rFonts w:cs="Times New Roman"/>
        </w:rPr>
        <w:t>OCM</w:t>
      </w:r>
      <w:r w:rsidRPr="00160D41" w:rsidR="004019EE">
        <w:rPr>
          <w:rFonts w:cs="Times New Roman"/>
        </w:rPr>
        <w:t xml:space="preserve"> staff.  Multi-year awards allows states to submit a funding application every other year – rather than every year.  At present, </w:t>
      </w:r>
      <w:r w:rsidR="0039631F">
        <w:rPr>
          <w:rFonts w:cs="Times New Roman"/>
        </w:rPr>
        <w:t>eight</w:t>
      </w:r>
      <w:r w:rsidRPr="00160D41" w:rsidR="004019EE">
        <w:rPr>
          <w:rFonts w:cs="Times New Roman"/>
        </w:rPr>
        <w:t xml:space="preserve"> </w:t>
      </w:r>
      <w:r w:rsidR="00F71A88">
        <w:rPr>
          <w:rFonts w:cs="Times New Roman"/>
        </w:rPr>
        <w:t>reserves</w:t>
      </w:r>
      <w:r w:rsidRPr="00160D41" w:rsidR="004019EE">
        <w:rPr>
          <w:rFonts w:cs="Times New Roman"/>
        </w:rPr>
        <w:t xml:space="preserve"> are</w:t>
      </w:r>
      <w:r w:rsidR="0039631F">
        <w:rPr>
          <w:rFonts w:cs="Times New Roman"/>
        </w:rPr>
        <w:t xml:space="preserve"> piloting multi-year awards, but based on conversations with partners, OCM expects the number of multi-year award participants to increase during the next grant cycle when the updated CAMMP (grant application development)</w:t>
      </w:r>
      <w:r w:rsidR="00B00F3B">
        <w:rPr>
          <w:rFonts w:cs="Times New Roman"/>
        </w:rPr>
        <w:t xml:space="preserve"> system</w:t>
      </w:r>
      <w:r w:rsidRPr="00160D41" w:rsidR="004019EE">
        <w:rPr>
          <w:rFonts w:cs="Times New Roman"/>
        </w:rPr>
        <w:t xml:space="preserve"> </w:t>
      </w:r>
      <w:r w:rsidR="0039631F">
        <w:rPr>
          <w:rFonts w:cs="Times New Roman"/>
        </w:rPr>
        <w:t>is launched.</w:t>
      </w:r>
      <w:r w:rsidR="00B00F3B">
        <w:rPr>
          <w:rFonts w:cs="Times New Roman"/>
        </w:rPr>
        <w:t xml:space="preserve">  CAMMP system updates are further described in the answer to question 8.</w:t>
      </w:r>
    </w:p>
    <w:p w:rsidR="00F71A88" w:rsidP="00F71A88" w:rsidRDefault="00BB5E9B" w14:paraId="516A9131" w14:textId="77777777">
      <w:pPr>
        <w:pStyle w:val="BodyText"/>
        <w:ind w:left="0"/>
        <w:rPr>
          <w:rFonts w:cs="Times New Roman"/>
        </w:rPr>
      </w:pPr>
      <w:r w:rsidRPr="00160D41">
        <w:rPr>
          <w:rFonts w:cs="Times New Roman"/>
        </w:rPr>
        <w:t xml:space="preserve">Applications for acquisition and development awards must include a categorical exclusion check list, Certification of Federal Consistency, and State Historical Preservation Office (SHPO) comments. Before the funds for construction are expended, the categorical exclusion checklist, which is a part of the grant application package for construction and development projects, is submitted to NOS for approval. The National Historic Preservation Act requires that </w:t>
      </w:r>
      <w:r w:rsidR="007C6B20">
        <w:rPr>
          <w:rFonts w:cs="Times New Roman"/>
        </w:rPr>
        <w:t xml:space="preserve">OCM </w:t>
      </w:r>
      <w:r w:rsidRPr="00160D41">
        <w:rPr>
          <w:rFonts w:cs="Times New Roman"/>
        </w:rPr>
        <w:t>obtain th</w:t>
      </w:r>
      <w:r w:rsidR="00F71A88">
        <w:rPr>
          <w:rFonts w:cs="Times New Roman"/>
        </w:rPr>
        <w:t>e state comments to ensure the f</w:t>
      </w:r>
      <w:r w:rsidRPr="00160D41">
        <w:rPr>
          <w:rFonts w:cs="Times New Roman"/>
        </w:rPr>
        <w:t xml:space="preserve">ederal government is not funding a project that will harm a site of historical significance. </w:t>
      </w:r>
    </w:p>
    <w:p w:rsidR="00F71A88" w:rsidP="00F71A88" w:rsidRDefault="00F71A88" w14:paraId="5378FD3B" w14:textId="77777777">
      <w:pPr>
        <w:pStyle w:val="BodyText"/>
        <w:ind w:left="0"/>
        <w:rPr>
          <w:rFonts w:cs="Times New Roman"/>
        </w:rPr>
      </w:pPr>
    </w:p>
    <w:p w:rsidRPr="00160D41" w:rsidR="00F50407" w:rsidP="00F71A88" w:rsidRDefault="00F50407" w14:paraId="43F6D833" w14:textId="25C9EDAE">
      <w:pPr>
        <w:pStyle w:val="BodyText"/>
        <w:ind w:left="0"/>
        <w:rPr>
          <w:rFonts w:cs="Times New Roman"/>
          <w:i/>
        </w:rPr>
      </w:pPr>
      <w:r w:rsidRPr="00160D41">
        <w:rPr>
          <w:rFonts w:cs="Times New Roman"/>
        </w:rPr>
        <w:t xml:space="preserve">5.) Pursuant to </w:t>
      </w:r>
      <w:r w:rsidRPr="00160D41" w:rsidR="00B22983">
        <w:rPr>
          <w:rFonts w:cs="Times New Roman"/>
        </w:rPr>
        <w:t>2</w:t>
      </w:r>
      <w:r w:rsidRPr="00160D41">
        <w:rPr>
          <w:rFonts w:cs="Times New Roman"/>
        </w:rPr>
        <w:t xml:space="preserve"> CFR Part </w:t>
      </w:r>
      <w:r w:rsidRPr="00160D41" w:rsidR="00B22983">
        <w:rPr>
          <w:rFonts w:cs="Times New Roman"/>
        </w:rPr>
        <w:t>200</w:t>
      </w:r>
      <w:r w:rsidRPr="00160D41">
        <w:rPr>
          <w:rFonts w:cs="Times New Roman"/>
        </w:rPr>
        <w:t xml:space="preserve"> (</w:t>
      </w:r>
      <w:r w:rsidRPr="00160D41">
        <w:rPr>
          <w:rFonts w:cs="Times New Roman"/>
          <w:bCs/>
        </w:rPr>
        <w:t>UNIFORM ADMINISTRATIVE REQUIREMENTS</w:t>
      </w:r>
      <w:r w:rsidRPr="00160D41" w:rsidR="00B22983">
        <w:rPr>
          <w:rFonts w:cs="Times New Roman"/>
          <w:bCs/>
        </w:rPr>
        <w:t>,</w:t>
      </w:r>
      <w:r w:rsidRPr="00160D41">
        <w:rPr>
          <w:rFonts w:cs="Times New Roman"/>
          <w:bCs/>
        </w:rPr>
        <w:t xml:space="preserve"> </w:t>
      </w:r>
      <w:r w:rsidRPr="00160D41" w:rsidR="00B22983">
        <w:rPr>
          <w:rFonts w:cs="Times New Roman"/>
        </w:rPr>
        <w:t> COST PRINCIPLES, AND AUDIT REQUIREMENTS FOR FEDERAL AWARDS</w:t>
      </w:r>
      <w:r w:rsidRPr="00160D41">
        <w:rPr>
          <w:rFonts w:cs="Times New Roman"/>
          <w:bCs/>
        </w:rPr>
        <w:t>)</w:t>
      </w:r>
      <w:r w:rsidRPr="00160D41">
        <w:rPr>
          <w:rFonts w:cs="Times New Roman"/>
        </w:rPr>
        <w:t xml:space="preserve">, states must submit performance reports to report progress on projected work schedules and stated objectives for each cooperative agreement. In addition, states submit data for the NERRS Performance Measurement System to report progress toward the goals of the Coastal Zone Management Act and the National Estuarine Research </w:t>
      </w:r>
      <w:r w:rsidRPr="00F71A88" w:rsidR="00F71A88">
        <w:rPr>
          <w:rFonts w:cs="Times New Roman"/>
        </w:rPr>
        <w:t>Reserve</w:t>
      </w:r>
      <w:r w:rsidRPr="00F71A88">
        <w:rPr>
          <w:rFonts w:cs="Times New Roman"/>
        </w:rPr>
        <w:t xml:space="preserve"> </w:t>
      </w:r>
      <w:r w:rsidRPr="00160D41">
        <w:rPr>
          <w:rFonts w:cs="Times New Roman"/>
        </w:rPr>
        <w:t xml:space="preserve">System, per 16 U.S.C. § 1461 (f). The cooperative agreement performance reports are reviewed by agency personnel who determine whether the state is adhering to its approved coastal zone management program and whether it is making continued progress toward coastal management goals. If it is not, future grants could be reduced or a full scale program review could be triggered; the latter could result in a requirement for expenditure of federal funds to correct the </w:t>
      </w:r>
      <w:r w:rsidRPr="00160D41">
        <w:rPr>
          <w:rFonts w:cs="Times New Roman"/>
        </w:rPr>
        <w:lastRenderedPageBreak/>
        <w:t>program’s defic</w:t>
      </w:r>
      <w:r w:rsidR="00F71A88">
        <w:rPr>
          <w:rFonts w:cs="Times New Roman"/>
        </w:rPr>
        <w:t>iency; or, in the state losing f</w:t>
      </w:r>
      <w:r w:rsidRPr="00160D41">
        <w:rPr>
          <w:rFonts w:cs="Times New Roman"/>
        </w:rPr>
        <w:t xml:space="preserve">ederal approval of its program. Regulations require performance reports to be submitted from recipients no less than annually and up to quarterly. </w:t>
      </w:r>
      <w:r w:rsidR="007C6B20">
        <w:rPr>
          <w:rFonts w:cs="Times New Roman"/>
        </w:rPr>
        <w:t>OCM</w:t>
      </w:r>
      <w:r w:rsidRPr="00160D41">
        <w:rPr>
          <w:rFonts w:cs="Times New Roman"/>
        </w:rPr>
        <w:t xml:space="preserve"> requires cooperative agreement performance reports to be submitted semi-annually.  </w:t>
      </w:r>
      <w:r w:rsidR="007C6B20">
        <w:rPr>
          <w:rFonts w:cs="Times New Roman"/>
        </w:rPr>
        <w:t>OCM</w:t>
      </w:r>
      <w:r w:rsidRPr="00160D41">
        <w:rPr>
          <w:rFonts w:cs="Times New Roman"/>
        </w:rPr>
        <w:t xml:space="preserve"> also lets the final semi-annual report for an award constitute the final report, rather than requiring a comprehensive final report that the regulations allow.  Performance measures are submitted semi-annually</w:t>
      </w:r>
    </w:p>
    <w:p w:rsidRPr="00160D41" w:rsidR="00BB5E9B" w:rsidP="005E7E1F" w:rsidRDefault="007C6B20" w14:paraId="6FD0FA09" w14:textId="4F5A1BE4">
      <w:pPr>
        <w:pStyle w:val="BodyText"/>
        <w:ind w:left="0"/>
        <w:rPr>
          <w:rFonts w:cs="Times New Roman"/>
        </w:rPr>
      </w:pPr>
      <w:r>
        <w:rPr>
          <w:rFonts w:cs="Times New Roman"/>
        </w:rPr>
        <w:t>OCM</w:t>
      </w:r>
      <w:r w:rsidRPr="00160D41" w:rsidR="00BB5E9B">
        <w:rPr>
          <w:rFonts w:cs="Times New Roman"/>
        </w:rPr>
        <w:t xml:space="preserve">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w:t>
      </w:r>
      <w:r>
        <w:rPr>
          <w:rFonts w:cs="Times New Roman"/>
        </w:rPr>
        <w:t>OCM</w:t>
      </w:r>
      <w:r w:rsidRPr="00160D41" w:rsidR="00BB5E9B">
        <w:rPr>
          <w:rFonts w:cs="Times New Roman"/>
        </w:rPr>
        <w:t xml:space="preserve"> decide to disseminate the information, it will be subject to the quality control measures and pre-dissemination review pursuant to Section 515 of Public Law 106-554. </w:t>
      </w:r>
    </w:p>
    <w:p w:rsidRPr="00160D41" w:rsidR="008E61C9" w:rsidP="00BD7237" w:rsidRDefault="001477A3" w14:paraId="5FEDB9BD" w14:textId="77777777">
      <w:pPr>
        <w:pStyle w:val="Heading1"/>
        <w:spacing w:before="161"/>
        <w:ind w:left="0"/>
        <w:rPr>
          <w:rFonts w:cs="Times New Roman"/>
        </w:rPr>
      </w:pPr>
      <w:r w:rsidRPr="00160D41">
        <w:rPr>
          <w:rFonts w:cs="Times New Roman"/>
        </w:rPr>
        <w:t>Sample Table: Information Requirements and Needs and Uses of Information Collected</w:t>
      </w:r>
    </w:p>
    <w:p w:rsidRPr="00160D41" w:rsidR="008E61C9" w:rsidP="00BD7237" w:rsidRDefault="008E61C9" w14:paraId="3DFB8311" w14:textId="77777777">
      <w:pPr>
        <w:pStyle w:val="BodyText"/>
        <w:spacing w:before="7"/>
        <w:ind w:left="0"/>
        <w:rPr>
          <w:rFonts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5E7E1F" w:rsidR="008E61C9" w:rsidTr="005E7E1F" w14:paraId="0DE4D6B6" w14:textId="77777777">
        <w:trPr>
          <w:trHeight w:val="421"/>
        </w:trPr>
        <w:tc>
          <w:tcPr>
            <w:tcW w:w="990" w:type="dxa"/>
            <w:shd w:val="clear" w:color="auto" w:fill="DEEAF6"/>
          </w:tcPr>
          <w:p w:rsidRPr="005E7E1F" w:rsidR="008E61C9" w:rsidP="00BD7237" w:rsidRDefault="008E61C9" w14:paraId="74E0033B" w14:textId="77777777">
            <w:pPr>
              <w:pStyle w:val="TableParagraph"/>
              <w:spacing w:before="11"/>
              <w:rPr>
                <w:rFonts w:cs="Times New Roman"/>
                <w:b/>
                <w:sz w:val="20"/>
                <w:szCs w:val="20"/>
              </w:rPr>
            </w:pPr>
          </w:p>
          <w:p w:rsidRPr="005E7E1F" w:rsidR="008E61C9" w:rsidP="00BD7237" w:rsidRDefault="001477A3" w14:paraId="50E8E964" w14:textId="77777777">
            <w:pPr>
              <w:pStyle w:val="TableParagraph"/>
              <w:jc w:val="center"/>
              <w:rPr>
                <w:rFonts w:cs="Times New Roman"/>
                <w:b/>
                <w:sz w:val="20"/>
                <w:szCs w:val="20"/>
              </w:rPr>
            </w:pPr>
            <w:r w:rsidRPr="005E7E1F">
              <w:rPr>
                <w:rFonts w:cs="Times New Roman"/>
                <w:b/>
                <w:color w:val="2F5496"/>
                <w:sz w:val="20"/>
                <w:szCs w:val="20"/>
              </w:rPr>
              <w:t>Item #</w:t>
            </w:r>
          </w:p>
        </w:tc>
        <w:tc>
          <w:tcPr>
            <w:tcW w:w="1970" w:type="dxa"/>
            <w:shd w:val="clear" w:color="auto" w:fill="DEEAF6"/>
          </w:tcPr>
          <w:p w:rsidRPr="005E7E1F" w:rsidR="008E61C9" w:rsidP="00BD7237" w:rsidRDefault="008E61C9" w14:paraId="124E7E04" w14:textId="77777777">
            <w:pPr>
              <w:pStyle w:val="TableParagraph"/>
              <w:spacing w:before="11"/>
              <w:rPr>
                <w:rFonts w:cs="Times New Roman"/>
                <w:b/>
                <w:sz w:val="20"/>
                <w:szCs w:val="20"/>
              </w:rPr>
            </w:pPr>
          </w:p>
          <w:p w:rsidRPr="005E7E1F" w:rsidR="008E61C9" w:rsidP="009C713E" w:rsidRDefault="001477A3" w14:paraId="68452D60" w14:textId="77777777">
            <w:pPr>
              <w:pStyle w:val="TableParagraph"/>
              <w:jc w:val="center"/>
              <w:rPr>
                <w:rFonts w:cs="Times New Roman"/>
                <w:b/>
                <w:sz w:val="20"/>
                <w:szCs w:val="20"/>
              </w:rPr>
            </w:pPr>
            <w:r w:rsidRPr="005E7E1F">
              <w:rPr>
                <w:rFonts w:cs="Times New Roman"/>
                <w:b/>
                <w:color w:val="2F5496"/>
                <w:sz w:val="20"/>
                <w:szCs w:val="20"/>
              </w:rPr>
              <w:t>Requirement</w:t>
            </w:r>
          </w:p>
        </w:tc>
        <w:tc>
          <w:tcPr>
            <w:tcW w:w="1322" w:type="dxa"/>
            <w:shd w:val="clear" w:color="auto" w:fill="DEEAF6"/>
          </w:tcPr>
          <w:p w:rsidRPr="005E7E1F" w:rsidR="008E61C9" w:rsidP="00BD7237" w:rsidRDefault="008E61C9" w14:paraId="40EAB87B" w14:textId="77777777">
            <w:pPr>
              <w:pStyle w:val="TableParagraph"/>
              <w:spacing w:before="11"/>
              <w:rPr>
                <w:rFonts w:cs="Times New Roman"/>
                <w:b/>
                <w:sz w:val="20"/>
                <w:szCs w:val="20"/>
              </w:rPr>
            </w:pPr>
          </w:p>
          <w:p w:rsidRPr="005E7E1F" w:rsidR="008E61C9" w:rsidP="00BD7237" w:rsidRDefault="001477A3" w14:paraId="07B42326" w14:textId="77777777">
            <w:pPr>
              <w:pStyle w:val="TableParagraph"/>
              <w:jc w:val="center"/>
              <w:rPr>
                <w:rFonts w:cs="Times New Roman"/>
                <w:b/>
                <w:sz w:val="20"/>
                <w:szCs w:val="20"/>
              </w:rPr>
            </w:pPr>
            <w:r w:rsidRPr="005E7E1F">
              <w:rPr>
                <w:rFonts w:cs="Times New Roman"/>
                <w:b/>
                <w:color w:val="2F5496"/>
                <w:sz w:val="20"/>
                <w:szCs w:val="20"/>
              </w:rPr>
              <w:t>Statute</w:t>
            </w:r>
          </w:p>
        </w:tc>
        <w:tc>
          <w:tcPr>
            <w:tcW w:w="2157" w:type="dxa"/>
            <w:shd w:val="clear" w:color="auto" w:fill="DEEAF6"/>
          </w:tcPr>
          <w:p w:rsidRPr="005E7E1F" w:rsidR="008E61C9" w:rsidP="00BD7237" w:rsidRDefault="008E61C9" w14:paraId="24B521D4" w14:textId="77777777">
            <w:pPr>
              <w:pStyle w:val="TableParagraph"/>
              <w:spacing w:before="11"/>
              <w:rPr>
                <w:rFonts w:cs="Times New Roman"/>
                <w:b/>
                <w:sz w:val="20"/>
                <w:szCs w:val="20"/>
              </w:rPr>
            </w:pPr>
          </w:p>
          <w:p w:rsidRPr="005E7E1F" w:rsidR="008E61C9" w:rsidP="00BD7237" w:rsidRDefault="001477A3" w14:paraId="53DF7E42" w14:textId="77777777">
            <w:pPr>
              <w:pStyle w:val="TableParagraph"/>
              <w:jc w:val="center"/>
              <w:rPr>
                <w:rFonts w:cs="Times New Roman"/>
                <w:b/>
                <w:sz w:val="20"/>
                <w:szCs w:val="20"/>
              </w:rPr>
            </w:pPr>
            <w:r w:rsidRPr="005E7E1F">
              <w:rPr>
                <w:rFonts w:cs="Times New Roman"/>
                <w:b/>
                <w:color w:val="2F5496"/>
                <w:sz w:val="20"/>
                <w:szCs w:val="20"/>
              </w:rPr>
              <w:t>Regulation</w:t>
            </w:r>
          </w:p>
        </w:tc>
        <w:tc>
          <w:tcPr>
            <w:tcW w:w="1363" w:type="dxa"/>
            <w:shd w:val="clear" w:color="auto" w:fill="DEEAF6"/>
          </w:tcPr>
          <w:p w:rsidRPr="005E7E1F" w:rsidR="008E61C9" w:rsidP="00BD7237" w:rsidRDefault="008E61C9" w14:paraId="3FFB8551" w14:textId="77777777">
            <w:pPr>
              <w:pStyle w:val="TableParagraph"/>
              <w:spacing w:before="11"/>
              <w:rPr>
                <w:rFonts w:cs="Times New Roman"/>
                <w:b/>
                <w:sz w:val="20"/>
                <w:szCs w:val="20"/>
              </w:rPr>
            </w:pPr>
          </w:p>
          <w:p w:rsidRPr="005E7E1F" w:rsidR="008E61C9" w:rsidP="00BD7237" w:rsidRDefault="001477A3" w14:paraId="2F363803" w14:textId="77777777">
            <w:pPr>
              <w:pStyle w:val="TableParagraph"/>
              <w:jc w:val="center"/>
              <w:rPr>
                <w:rFonts w:cs="Times New Roman"/>
                <w:b/>
                <w:sz w:val="20"/>
                <w:szCs w:val="20"/>
              </w:rPr>
            </w:pPr>
            <w:r w:rsidRPr="005E7E1F">
              <w:rPr>
                <w:rFonts w:cs="Times New Roman"/>
                <w:b/>
                <w:color w:val="2F5496"/>
                <w:sz w:val="20"/>
                <w:szCs w:val="20"/>
              </w:rPr>
              <w:t>Form #</w:t>
            </w:r>
          </w:p>
        </w:tc>
        <w:tc>
          <w:tcPr>
            <w:tcW w:w="3000" w:type="dxa"/>
            <w:shd w:val="clear" w:color="auto" w:fill="DEEAF6"/>
          </w:tcPr>
          <w:p w:rsidRPr="005E7E1F" w:rsidR="008E61C9" w:rsidP="00BD7237" w:rsidRDefault="008E61C9" w14:paraId="4E0F9EC9" w14:textId="77777777">
            <w:pPr>
              <w:pStyle w:val="TableParagraph"/>
              <w:spacing w:before="11"/>
              <w:rPr>
                <w:rFonts w:cs="Times New Roman"/>
                <w:b/>
                <w:sz w:val="20"/>
                <w:szCs w:val="20"/>
              </w:rPr>
            </w:pPr>
          </w:p>
          <w:p w:rsidRPr="005E7E1F" w:rsidR="008E61C9" w:rsidP="00BD7237" w:rsidRDefault="001477A3" w14:paraId="484B5ABD" w14:textId="77777777">
            <w:pPr>
              <w:pStyle w:val="TableParagraph"/>
              <w:rPr>
                <w:rFonts w:cs="Times New Roman"/>
                <w:b/>
                <w:sz w:val="20"/>
                <w:szCs w:val="20"/>
              </w:rPr>
            </w:pPr>
            <w:r w:rsidRPr="005E7E1F">
              <w:rPr>
                <w:rFonts w:cs="Times New Roman"/>
                <w:b/>
                <w:color w:val="2F5496"/>
                <w:sz w:val="20"/>
                <w:szCs w:val="20"/>
              </w:rPr>
              <w:t>Needs and Uses</w:t>
            </w:r>
          </w:p>
        </w:tc>
      </w:tr>
      <w:tr w:rsidRPr="005E7E1F" w:rsidR="008E61C9" w:rsidTr="009C713E" w14:paraId="7D172C29" w14:textId="77777777">
        <w:trPr>
          <w:trHeight w:val="726"/>
        </w:trPr>
        <w:tc>
          <w:tcPr>
            <w:tcW w:w="990" w:type="dxa"/>
          </w:tcPr>
          <w:p w:rsidRPr="005E7E1F" w:rsidR="008E61C9" w:rsidP="00BD7237" w:rsidRDefault="008E61C9" w14:paraId="1F0DB3A0" w14:textId="77777777">
            <w:pPr>
              <w:pStyle w:val="TableParagraph"/>
              <w:spacing w:before="9"/>
              <w:rPr>
                <w:rFonts w:cs="Times New Roman"/>
                <w:b/>
                <w:sz w:val="20"/>
                <w:szCs w:val="20"/>
              </w:rPr>
            </w:pPr>
          </w:p>
          <w:p w:rsidRPr="005E7E1F" w:rsidR="008E61C9" w:rsidP="00BD7237" w:rsidRDefault="001477A3" w14:paraId="6BB0BABE" w14:textId="77777777">
            <w:pPr>
              <w:pStyle w:val="TableParagraph"/>
              <w:jc w:val="center"/>
              <w:rPr>
                <w:rFonts w:cs="Times New Roman"/>
                <w:sz w:val="20"/>
                <w:szCs w:val="20"/>
              </w:rPr>
            </w:pPr>
            <w:r w:rsidRPr="005E7E1F">
              <w:rPr>
                <w:rFonts w:cs="Times New Roman"/>
                <w:w w:val="99"/>
                <w:sz w:val="20"/>
                <w:szCs w:val="20"/>
              </w:rPr>
              <w:t>1</w:t>
            </w:r>
          </w:p>
        </w:tc>
        <w:tc>
          <w:tcPr>
            <w:tcW w:w="1970" w:type="dxa"/>
          </w:tcPr>
          <w:p w:rsidRPr="005E7E1F" w:rsidR="008E61C9" w:rsidP="00BD7237" w:rsidRDefault="008E61C9" w14:paraId="75F8FF02" w14:textId="77777777">
            <w:pPr>
              <w:pStyle w:val="TableParagraph"/>
              <w:spacing w:before="9"/>
              <w:rPr>
                <w:rFonts w:cs="Times New Roman"/>
                <w:b/>
                <w:sz w:val="20"/>
                <w:szCs w:val="20"/>
              </w:rPr>
            </w:pPr>
          </w:p>
          <w:p w:rsidRPr="005E7E1F" w:rsidR="008E61C9" w:rsidP="009C713E" w:rsidRDefault="009E255B" w14:paraId="6C5BF6D2" w14:textId="77777777">
            <w:pPr>
              <w:pStyle w:val="TableParagraph"/>
              <w:jc w:val="center"/>
              <w:rPr>
                <w:rFonts w:cs="Times New Roman"/>
                <w:sz w:val="20"/>
                <w:szCs w:val="20"/>
              </w:rPr>
            </w:pPr>
            <w:r w:rsidRPr="005E7E1F">
              <w:rPr>
                <w:rFonts w:cs="Times New Roman"/>
                <w:sz w:val="20"/>
                <w:szCs w:val="20"/>
              </w:rPr>
              <w:t>Site Designation</w:t>
            </w:r>
          </w:p>
        </w:tc>
        <w:tc>
          <w:tcPr>
            <w:tcW w:w="1322" w:type="dxa"/>
          </w:tcPr>
          <w:p w:rsidRPr="005E7E1F" w:rsidR="008E61C9" w:rsidP="00BD7237" w:rsidRDefault="008E61C9" w14:paraId="1F18C350" w14:textId="77777777">
            <w:pPr>
              <w:pStyle w:val="TableParagraph"/>
              <w:spacing w:before="9"/>
              <w:rPr>
                <w:rFonts w:cs="Times New Roman"/>
                <w:b/>
                <w:sz w:val="20"/>
                <w:szCs w:val="20"/>
              </w:rPr>
            </w:pPr>
          </w:p>
          <w:p w:rsidRPr="005E7E1F" w:rsidR="008E61C9" w:rsidP="009E255B" w:rsidRDefault="001477A3" w14:paraId="140992A1" w14:textId="77777777">
            <w:pPr>
              <w:pStyle w:val="TableParagraph"/>
              <w:ind w:hanging="84"/>
              <w:rPr>
                <w:rFonts w:cs="Times New Roman"/>
                <w:sz w:val="20"/>
                <w:szCs w:val="20"/>
              </w:rPr>
            </w:pPr>
            <w:r w:rsidRPr="005E7E1F">
              <w:rPr>
                <w:rFonts w:cs="Times New Roman"/>
                <w:sz w:val="20"/>
                <w:szCs w:val="20"/>
              </w:rPr>
              <w:t>3</w:t>
            </w:r>
            <w:r w:rsidRPr="005E7E1F" w:rsidR="009E255B">
              <w:rPr>
                <w:rFonts w:cs="Times New Roman"/>
                <w:sz w:val="20"/>
                <w:szCs w:val="20"/>
              </w:rPr>
              <w:t>16</w:t>
            </w:r>
            <w:r w:rsidRPr="005E7E1F">
              <w:rPr>
                <w:rFonts w:cs="Times New Roman"/>
                <w:sz w:val="20"/>
                <w:szCs w:val="20"/>
              </w:rPr>
              <w:t xml:space="preserve"> U.S.C. § </w:t>
            </w:r>
            <w:r w:rsidRPr="005E7E1F" w:rsidR="009E255B">
              <w:rPr>
                <w:rFonts w:cs="Times New Roman"/>
                <w:sz w:val="20"/>
                <w:szCs w:val="20"/>
              </w:rPr>
              <w:t>1461 (b)</w:t>
            </w:r>
          </w:p>
        </w:tc>
        <w:tc>
          <w:tcPr>
            <w:tcW w:w="2157" w:type="dxa"/>
          </w:tcPr>
          <w:p w:rsidRPr="005E7E1F" w:rsidR="008E61C9" w:rsidP="00BD7237" w:rsidRDefault="008E61C9" w14:paraId="4E4AF7AA" w14:textId="77777777">
            <w:pPr>
              <w:pStyle w:val="TableParagraph"/>
              <w:spacing w:before="9"/>
              <w:rPr>
                <w:rFonts w:cs="Times New Roman"/>
                <w:b/>
                <w:sz w:val="20"/>
                <w:szCs w:val="20"/>
              </w:rPr>
            </w:pPr>
          </w:p>
          <w:p w:rsidRPr="005E7E1F" w:rsidR="008E61C9" w:rsidP="009E255B" w:rsidRDefault="009E255B" w14:paraId="2D0C120C" w14:textId="77777777">
            <w:pPr>
              <w:pStyle w:val="TableParagraph"/>
              <w:jc w:val="center"/>
              <w:rPr>
                <w:rFonts w:cs="Times New Roman"/>
                <w:sz w:val="20"/>
                <w:szCs w:val="20"/>
              </w:rPr>
            </w:pPr>
            <w:r w:rsidRPr="005E7E1F">
              <w:rPr>
                <w:rFonts w:cs="Times New Roman"/>
                <w:sz w:val="20"/>
                <w:szCs w:val="20"/>
              </w:rPr>
              <w:t>15</w:t>
            </w:r>
            <w:r w:rsidRPr="005E7E1F" w:rsidR="001477A3">
              <w:rPr>
                <w:rFonts w:cs="Times New Roman"/>
                <w:sz w:val="20"/>
                <w:szCs w:val="20"/>
              </w:rPr>
              <w:t xml:space="preserve"> CFR </w:t>
            </w:r>
            <w:r w:rsidRPr="005E7E1F">
              <w:rPr>
                <w:rFonts w:cs="Times New Roman"/>
                <w:sz w:val="20"/>
                <w:szCs w:val="20"/>
              </w:rPr>
              <w:t>921.11</w:t>
            </w:r>
          </w:p>
        </w:tc>
        <w:tc>
          <w:tcPr>
            <w:tcW w:w="1363" w:type="dxa"/>
          </w:tcPr>
          <w:p w:rsidRPr="005E7E1F" w:rsidR="008E61C9" w:rsidP="00BD7237" w:rsidRDefault="008E61C9" w14:paraId="431D0F4E" w14:textId="77777777">
            <w:pPr>
              <w:pStyle w:val="TableParagraph"/>
              <w:spacing w:before="9"/>
              <w:rPr>
                <w:rFonts w:cs="Times New Roman"/>
                <w:b/>
                <w:sz w:val="20"/>
                <w:szCs w:val="20"/>
              </w:rPr>
            </w:pPr>
          </w:p>
          <w:p w:rsidRPr="005E7E1F" w:rsidR="008E61C9" w:rsidP="00BD7237" w:rsidRDefault="009E255B" w14:paraId="4CE0FEF9" w14:textId="77777777">
            <w:pPr>
              <w:pStyle w:val="TableParagraph"/>
              <w:jc w:val="center"/>
              <w:rPr>
                <w:rFonts w:cs="Times New Roman"/>
                <w:sz w:val="20"/>
                <w:szCs w:val="20"/>
              </w:rPr>
            </w:pPr>
            <w:r w:rsidRPr="005E7E1F">
              <w:rPr>
                <w:rFonts w:cs="Times New Roman"/>
                <w:sz w:val="20"/>
                <w:szCs w:val="20"/>
              </w:rPr>
              <w:t>N/A</w:t>
            </w:r>
          </w:p>
          <w:p w:rsidRPr="005E7E1F" w:rsidR="009E255B" w:rsidP="009E255B" w:rsidRDefault="009E255B" w14:paraId="6EA275EA" w14:textId="77777777">
            <w:pPr>
              <w:pStyle w:val="TableParagraph"/>
              <w:rPr>
                <w:rFonts w:cs="Times New Roman"/>
                <w:sz w:val="20"/>
                <w:szCs w:val="20"/>
              </w:rPr>
            </w:pPr>
          </w:p>
        </w:tc>
        <w:tc>
          <w:tcPr>
            <w:tcW w:w="3000" w:type="dxa"/>
          </w:tcPr>
          <w:p w:rsidRPr="005E7E1F" w:rsidR="008E61C9" w:rsidP="00BD7237" w:rsidRDefault="008E61C9" w14:paraId="69927B94" w14:textId="77777777">
            <w:pPr>
              <w:pStyle w:val="TableParagraph"/>
              <w:spacing w:before="7"/>
              <w:rPr>
                <w:rFonts w:cs="Times New Roman"/>
                <w:b/>
                <w:sz w:val="20"/>
                <w:szCs w:val="20"/>
              </w:rPr>
            </w:pPr>
          </w:p>
          <w:p w:rsidRPr="005E7E1F" w:rsidR="008E61C9" w:rsidP="007C6B20" w:rsidRDefault="00481AF3" w14:paraId="339BDA6C" w14:textId="1020BFC5">
            <w:pPr>
              <w:pStyle w:val="TableParagraph"/>
              <w:numPr>
                <w:ilvl w:val="0"/>
                <w:numId w:val="5"/>
              </w:numPr>
              <w:tabs>
                <w:tab w:val="left" w:pos="469"/>
                <w:tab w:val="left" w:pos="470"/>
              </w:tabs>
              <w:spacing w:before="2" w:line="222" w:lineRule="exact"/>
              <w:ind w:left="0" w:hanging="361"/>
              <w:rPr>
                <w:rFonts w:cs="Times New Roman"/>
                <w:sz w:val="20"/>
                <w:szCs w:val="20"/>
              </w:rPr>
            </w:pPr>
            <w:r w:rsidRPr="005E7E1F">
              <w:rPr>
                <w:rFonts w:cs="Times New Roman"/>
                <w:sz w:val="20"/>
                <w:szCs w:val="20"/>
              </w:rPr>
              <w:t xml:space="preserve">Used by </w:t>
            </w:r>
            <w:r w:rsidRPr="005E7E1F" w:rsidR="007C6B20">
              <w:rPr>
                <w:rFonts w:cs="Times New Roman"/>
                <w:sz w:val="20"/>
                <w:szCs w:val="20"/>
              </w:rPr>
              <w:t>OCM</w:t>
            </w:r>
            <w:r w:rsidRPr="005E7E1F">
              <w:rPr>
                <w:rFonts w:cs="Times New Roman"/>
                <w:sz w:val="20"/>
                <w:szCs w:val="20"/>
              </w:rPr>
              <w:t xml:space="preserve"> to evaluate and approve state’s nomination of sites for inclusion within the National Estuarine Research </w:t>
            </w:r>
            <w:r w:rsidRPr="005E7E1F" w:rsidR="00F71A88">
              <w:rPr>
                <w:rFonts w:cs="Times New Roman"/>
                <w:sz w:val="20"/>
                <w:szCs w:val="20"/>
              </w:rPr>
              <w:t>Reserve</w:t>
            </w:r>
            <w:r w:rsidRPr="005E7E1F">
              <w:rPr>
                <w:rFonts w:cs="Times New Roman"/>
                <w:sz w:val="20"/>
                <w:szCs w:val="20"/>
              </w:rPr>
              <w:t xml:space="preserve"> System.</w:t>
            </w:r>
          </w:p>
        </w:tc>
      </w:tr>
      <w:tr w:rsidRPr="005E7E1F" w:rsidR="008E61C9" w:rsidTr="009C713E" w14:paraId="3B046A33" w14:textId="77777777">
        <w:trPr>
          <w:trHeight w:val="700"/>
        </w:trPr>
        <w:tc>
          <w:tcPr>
            <w:tcW w:w="990" w:type="dxa"/>
          </w:tcPr>
          <w:p w:rsidRPr="005E7E1F" w:rsidR="008E61C9" w:rsidP="00BD7237" w:rsidRDefault="008E61C9" w14:paraId="70C62B60" w14:textId="77777777">
            <w:pPr>
              <w:pStyle w:val="TableParagraph"/>
              <w:spacing w:before="9"/>
              <w:rPr>
                <w:rFonts w:cs="Times New Roman"/>
                <w:b/>
                <w:sz w:val="20"/>
                <w:szCs w:val="20"/>
              </w:rPr>
            </w:pPr>
          </w:p>
          <w:p w:rsidRPr="005E7E1F" w:rsidR="008E61C9" w:rsidP="00BD7237" w:rsidRDefault="001477A3" w14:paraId="7D7B01A0" w14:textId="77777777">
            <w:pPr>
              <w:pStyle w:val="TableParagraph"/>
              <w:jc w:val="center"/>
              <w:rPr>
                <w:rFonts w:cs="Times New Roman"/>
                <w:sz w:val="20"/>
                <w:szCs w:val="20"/>
              </w:rPr>
            </w:pPr>
            <w:r w:rsidRPr="005E7E1F">
              <w:rPr>
                <w:rFonts w:cs="Times New Roman"/>
                <w:w w:val="99"/>
                <w:sz w:val="20"/>
                <w:szCs w:val="20"/>
              </w:rPr>
              <w:t>2</w:t>
            </w:r>
          </w:p>
        </w:tc>
        <w:tc>
          <w:tcPr>
            <w:tcW w:w="1970" w:type="dxa"/>
          </w:tcPr>
          <w:p w:rsidRPr="005E7E1F" w:rsidR="008E61C9" w:rsidP="00BD7237" w:rsidRDefault="008E61C9" w14:paraId="72FA4BC9" w14:textId="77777777">
            <w:pPr>
              <w:pStyle w:val="TableParagraph"/>
              <w:spacing w:before="9"/>
              <w:rPr>
                <w:rFonts w:cs="Times New Roman"/>
                <w:b/>
                <w:sz w:val="20"/>
                <w:szCs w:val="20"/>
              </w:rPr>
            </w:pPr>
          </w:p>
          <w:p w:rsidRPr="005E7E1F" w:rsidR="008E61C9" w:rsidP="009C713E" w:rsidRDefault="009E255B" w14:paraId="073A572F" w14:textId="77777777">
            <w:pPr>
              <w:pStyle w:val="TableParagraph"/>
              <w:jc w:val="center"/>
              <w:rPr>
                <w:rFonts w:cs="Times New Roman"/>
                <w:sz w:val="20"/>
                <w:szCs w:val="20"/>
              </w:rPr>
            </w:pPr>
            <w:r w:rsidRPr="005E7E1F">
              <w:rPr>
                <w:rFonts w:cs="Times New Roman"/>
                <w:sz w:val="20"/>
                <w:szCs w:val="20"/>
              </w:rPr>
              <w:t>Management Plans</w:t>
            </w:r>
          </w:p>
        </w:tc>
        <w:tc>
          <w:tcPr>
            <w:tcW w:w="1322" w:type="dxa"/>
          </w:tcPr>
          <w:p w:rsidRPr="005E7E1F" w:rsidR="008E61C9" w:rsidP="00BD7237" w:rsidRDefault="008E61C9" w14:paraId="642F4E9C" w14:textId="77777777">
            <w:pPr>
              <w:pStyle w:val="TableParagraph"/>
              <w:spacing w:before="9"/>
              <w:rPr>
                <w:rFonts w:cs="Times New Roman"/>
                <w:b/>
                <w:sz w:val="20"/>
                <w:szCs w:val="20"/>
              </w:rPr>
            </w:pPr>
          </w:p>
          <w:p w:rsidRPr="005E7E1F" w:rsidR="008E61C9" w:rsidP="00BD7237" w:rsidRDefault="00C45F3C" w14:paraId="05E79AC8" w14:textId="77777777">
            <w:pPr>
              <w:pStyle w:val="TableParagraph"/>
              <w:spacing w:line="230" w:lineRule="atLeast"/>
              <w:ind w:hanging="84"/>
              <w:rPr>
                <w:rFonts w:cs="Times New Roman"/>
                <w:sz w:val="20"/>
                <w:szCs w:val="20"/>
              </w:rPr>
            </w:pPr>
            <w:r w:rsidRPr="005E7E1F">
              <w:rPr>
                <w:rFonts w:cs="Times New Roman"/>
                <w:sz w:val="20"/>
                <w:szCs w:val="20"/>
              </w:rPr>
              <w:t>16 U.S.C. § 1461</w:t>
            </w:r>
          </w:p>
        </w:tc>
        <w:tc>
          <w:tcPr>
            <w:tcW w:w="2157" w:type="dxa"/>
          </w:tcPr>
          <w:p w:rsidRPr="005E7E1F" w:rsidR="008E61C9" w:rsidP="00BD7237" w:rsidRDefault="008E61C9" w14:paraId="2129918C" w14:textId="77777777">
            <w:pPr>
              <w:pStyle w:val="TableParagraph"/>
              <w:spacing w:before="9"/>
              <w:rPr>
                <w:rFonts w:cs="Times New Roman"/>
                <w:b/>
                <w:sz w:val="20"/>
                <w:szCs w:val="20"/>
              </w:rPr>
            </w:pPr>
          </w:p>
          <w:p w:rsidRPr="005E7E1F" w:rsidR="008E61C9" w:rsidP="00BD7237" w:rsidRDefault="009E255B" w14:paraId="52C165C0" w14:textId="77777777">
            <w:pPr>
              <w:pStyle w:val="TableParagraph"/>
              <w:jc w:val="center"/>
              <w:rPr>
                <w:rFonts w:cs="Times New Roman"/>
                <w:sz w:val="20"/>
                <w:szCs w:val="20"/>
              </w:rPr>
            </w:pPr>
            <w:r w:rsidRPr="005E7E1F">
              <w:rPr>
                <w:rFonts w:cs="Times New Roman"/>
                <w:sz w:val="20"/>
                <w:szCs w:val="20"/>
              </w:rPr>
              <w:t>15 CFR, section 921.33(c)</w:t>
            </w:r>
          </w:p>
        </w:tc>
        <w:tc>
          <w:tcPr>
            <w:tcW w:w="1363" w:type="dxa"/>
          </w:tcPr>
          <w:p w:rsidRPr="005E7E1F" w:rsidR="008E61C9" w:rsidP="00BD7237" w:rsidRDefault="008E61C9" w14:paraId="606951F0" w14:textId="77777777">
            <w:pPr>
              <w:pStyle w:val="TableParagraph"/>
              <w:spacing w:before="9"/>
              <w:rPr>
                <w:rFonts w:cs="Times New Roman"/>
                <w:b/>
                <w:sz w:val="20"/>
                <w:szCs w:val="20"/>
              </w:rPr>
            </w:pPr>
          </w:p>
          <w:p w:rsidRPr="005E7E1F" w:rsidR="008E61C9" w:rsidP="00BD7237" w:rsidRDefault="009E255B" w14:paraId="43794033" w14:textId="77777777">
            <w:pPr>
              <w:pStyle w:val="TableParagraph"/>
              <w:jc w:val="center"/>
              <w:rPr>
                <w:rFonts w:cs="Times New Roman"/>
                <w:sz w:val="20"/>
                <w:szCs w:val="20"/>
              </w:rPr>
            </w:pPr>
            <w:r w:rsidRPr="005E7E1F">
              <w:rPr>
                <w:rFonts w:cs="Times New Roman"/>
                <w:sz w:val="20"/>
                <w:szCs w:val="20"/>
              </w:rPr>
              <w:t>N/A</w:t>
            </w:r>
          </w:p>
        </w:tc>
        <w:tc>
          <w:tcPr>
            <w:tcW w:w="3000" w:type="dxa"/>
          </w:tcPr>
          <w:p w:rsidRPr="005E7E1F" w:rsidR="008E61C9" w:rsidP="007C6B20" w:rsidRDefault="00C45F3C" w14:paraId="1DA0C077" w14:textId="4799C218">
            <w:pPr>
              <w:pStyle w:val="TableParagraph"/>
              <w:numPr>
                <w:ilvl w:val="0"/>
                <w:numId w:val="4"/>
              </w:numPr>
              <w:tabs>
                <w:tab w:val="left" w:pos="469"/>
                <w:tab w:val="left" w:pos="470"/>
              </w:tabs>
              <w:ind w:left="0" w:hanging="361"/>
              <w:rPr>
                <w:rFonts w:cs="Times New Roman"/>
                <w:sz w:val="20"/>
                <w:szCs w:val="20"/>
              </w:rPr>
            </w:pPr>
            <w:r w:rsidRPr="005E7E1F">
              <w:rPr>
                <w:rFonts w:cs="Times New Roman"/>
                <w:sz w:val="20"/>
                <w:szCs w:val="20"/>
              </w:rPr>
              <w:t xml:space="preserve">Used by the public to understand the major goals, objectives and strategies that the </w:t>
            </w:r>
            <w:r w:rsidRPr="005E7E1F" w:rsidR="00F71A88">
              <w:rPr>
                <w:rFonts w:cs="Times New Roman"/>
                <w:sz w:val="20"/>
                <w:szCs w:val="20"/>
              </w:rPr>
              <w:t>reserve</w:t>
            </w:r>
            <w:r w:rsidRPr="005E7E1F">
              <w:rPr>
                <w:rFonts w:cs="Times New Roman"/>
                <w:sz w:val="20"/>
                <w:szCs w:val="20"/>
              </w:rPr>
              <w:t xml:space="preserve"> will undertake in a five year period.  Used by </w:t>
            </w:r>
            <w:r w:rsidRPr="005E7E1F" w:rsidR="007C6B20">
              <w:rPr>
                <w:rFonts w:cs="Times New Roman"/>
                <w:sz w:val="20"/>
                <w:szCs w:val="20"/>
              </w:rPr>
              <w:t>OCM</w:t>
            </w:r>
            <w:r w:rsidRPr="005E7E1F">
              <w:rPr>
                <w:rFonts w:cs="Times New Roman"/>
                <w:sz w:val="20"/>
                <w:szCs w:val="20"/>
              </w:rPr>
              <w:t xml:space="preserve"> and the </w:t>
            </w:r>
            <w:r w:rsidRPr="005E7E1F" w:rsidR="00F71A88">
              <w:rPr>
                <w:rFonts w:cs="Times New Roman"/>
                <w:sz w:val="20"/>
                <w:szCs w:val="20"/>
              </w:rPr>
              <w:t>Reserve</w:t>
            </w:r>
            <w:r w:rsidRPr="005E7E1F">
              <w:rPr>
                <w:rFonts w:cs="Times New Roman"/>
                <w:sz w:val="20"/>
                <w:szCs w:val="20"/>
              </w:rPr>
              <w:t xml:space="preserve"> to establish and communicate priorities at each </w:t>
            </w:r>
            <w:r w:rsidRPr="005E7E1F" w:rsidR="00F71A88">
              <w:rPr>
                <w:rFonts w:cs="Times New Roman"/>
                <w:sz w:val="20"/>
                <w:szCs w:val="20"/>
              </w:rPr>
              <w:t>Reserve</w:t>
            </w:r>
            <w:r w:rsidRPr="005E7E1F">
              <w:rPr>
                <w:rFonts w:cs="Times New Roman"/>
                <w:sz w:val="20"/>
                <w:szCs w:val="20"/>
              </w:rPr>
              <w:t xml:space="preserve"> site; facilitate strategic partnerships; and to track progress and realize opportunities for growth.</w:t>
            </w:r>
          </w:p>
        </w:tc>
      </w:tr>
      <w:tr w:rsidRPr="005E7E1F" w:rsidR="009E255B" w:rsidTr="009E255B" w14:paraId="69DD322F" w14:textId="77777777">
        <w:trPr>
          <w:trHeight w:val="700"/>
        </w:trPr>
        <w:tc>
          <w:tcPr>
            <w:tcW w:w="990" w:type="dxa"/>
            <w:vAlign w:val="center"/>
          </w:tcPr>
          <w:p w:rsidRPr="005E7E1F" w:rsidR="009E255B" w:rsidP="009E255B" w:rsidRDefault="009E255B" w14:paraId="2D64EB1E" w14:textId="77777777">
            <w:pPr>
              <w:pStyle w:val="TableParagraph"/>
              <w:spacing w:before="9"/>
              <w:jc w:val="center"/>
              <w:rPr>
                <w:rFonts w:cs="Times New Roman"/>
                <w:sz w:val="20"/>
                <w:szCs w:val="20"/>
              </w:rPr>
            </w:pPr>
            <w:r w:rsidRPr="005E7E1F">
              <w:rPr>
                <w:rFonts w:cs="Times New Roman"/>
                <w:sz w:val="20"/>
                <w:szCs w:val="20"/>
              </w:rPr>
              <w:t>3</w:t>
            </w:r>
          </w:p>
        </w:tc>
        <w:tc>
          <w:tcPr>
            <w:tcW w:w="1970" w:type="dxa"/>
            <w:vAlign w:val="center"/>
          </w:tcPr>
          <w:p w:rsidRPr="005E7E1F" w:rsidR="009E255B" w:rsidP="009E255B" w:rsidRDefault="00881977" w14:paraId="139CB5DE" w14:textId="77777777">
            <w:pPr>
              <w:pStyle w:val="TableParagraph"/>
              <w:spacing w:before="9"/>
              <w:jc w:val="center"/>
              <w:rPr>
                <w:rFonts w:cs="Times New Roman"/>
                <w:sz w:val="20"/>
                <w:szCs w:val="20"/>
              </w:rPr>
            </w:pPr>
            <w:r w:rsidRPr="005E7E1F">
              <w:rPr>
                <w:rFonts w:cs="Times New Roman"/>
                <w:sz w:val="20"/>
                <w:szCs w:val="20"/>
              </w:rPr>
              <w:t>Site Profile</w:t>
            </w:r>
          </w:p>
        </w:tc>
        <w:tc>
          <w:tcPr>
            <w:tcW w:w="1322" w:type="dxa"/>
            <w:vAlign w:val="center"/>
          </w:tcPr>
          <w:p w:rsidRPr="005E7E1F" w:rsidR="009E255B" w:rsidP="009E255B" w:rsidRDefault="009B542E" w14:paraId="7DF9C290" w14:textId="77777777">
            <w:pPr>
              <w:pStyle w:val="TableParagraph"/>
              <w:spacing w:before="9"/>
              <w:jc w:val="center"/>
              <w:rPr>
                <w:rFonts w:cs="Times New Roman"/>
                <w:b/>
                <w:sz w:val="20"/>
                <w:szCs w:val="20"/>
              </w:rPr>
            </w:pPr>
            <w:r w:rsidRPr="005E7E1F">
              <w:rPr>
                <w:rFonts w:cs="Times New Roman"/>
                <w:sz w:val="20"/>
                <w:szCs w:val="20"/>
              </w:rPr>
              <w:t>16 U.S.C. § 1461</w:t>
            </w:r>
          </w:p>
        </w:tc>
        <w:tc>
          <w:tcPr>
            <w:tcW w:w="2157" w:type="dxa"/>
            <w:vAlign w:val="center"/>
          </w:tcPr>
          <w:p w:rsidRPr="005E7E1F" w:rsidR="009E255B" w:rsidP="00881977" w:rsidRDefault="00881977" w14:paraId="71AA0200" w14:textId="77777777">
            <w:pPr>
              <w:pStyle w:val="TableParagraph"/>
              <w:spacing w:before="9"/>
              <w:jc w:val="center"/>
              <w:rPr>
                <w:rFonts w:cs="Times New Roman"/>
                <w:b/>
                <w:sz w:val="20"/>
                <w:szCs w:val="20"/>
              </w:rPr>
            </w:pPr>
            <w:r w:rsidRPr="005E7E1F">
              <w:rPr>
                <w:rFonts w:cs="Times New Roman"/>
                <w:sz w:val="20"/>
                <w:szCs w:val="20"/>
              </w:rPr>
              <w:t>15 CFR section 921.60 (1) and (2)</w:t>
            </w:r>
          </w:p>
        </w:tc>
        <w:tc>
          <w:tcPr>
            <w:tcW w:w="1363" w:type="dxa"/>
            <w:vAlign w:val="center"/>
          </w:tcPr>
          <w:p w:rsidRPr="005E7E1F" w:rsidR="009E255B" w:rsidP="009E255B" w:rsidRDefault="00881977" w14:paraId="221BA539" w14:textId="77777777">
            <w:pPr>
              <w:pStyle w:val="TableParagraph"/>
              <w:spacing w:before="9"/>
              <w:jc w:val="center"/>
              <w:rPr>
                <w:rFonts w:cs="Times New Roman"/>
                <w:b/>
                <w:sz w:val="20"/>
                <w:szCs w:val="20"/>
              </w:rPr>
            </w:pPr>
            <w:r w:rsidRPr="005E7E1F">
              <w:rPr>
                <w:rFonts w:cs="Times New Roman"/>
                <w:b/>
                <w:sz w:val="20"/>
                <w:szCs w:val="20"/>
              </w:rPr>
              <w:t>N/A</w:t>
            </w:r>
          </w:p>
        </w:tc>
        <w:tc>
          <w:tcPr>
            <w:tcW w:w="3000" w:type="dxa"/>
            <w:vAlign w:val="center"/>
          </w:tcPr>
          <w:p w:rsidRPr="005E7E1F" w:rsidR="009E255B" w:rsidP="007C6B20" w:rsidRDefault="009B542E" w14:paraId="199E52DA" w14:textId="70EDBA64">
            <w:pPr>
              <w:pStyle w:val="TableParagraph"/>
              <w:jc w:val="center"/>
              <w:rPr>
                <w:rFonts w:cs="Times New Roman"/>
                <w:sz w:val="20"/>
                <w:szCs w:val="20"/>
              </w:rPr>
            </w:pPr>
            <w:r w:rsidRPr="005E7E1F">
              <w:rPr>
                <w:rFonts w:cs="Times New Roman"/>
                <w:sz w:val="20"/>
                <w:szCs w:val="20"/>
              </w:rPr>
              <w:t xml:space="preserve">Provides a summary of existing scientific information at the </w:t>
            </w:r>
            <w:r w:rsidRPr="005E7E1F" w:rsidR="00F71A88">
              <w:rPr>
                <w:rFonts w:cs="Times New Roman"/>
                <w:sz w:val="20"/>
                <w:szCs w:val="20"/>
              </w:rPr>
              <w:t>Reserve</w:t>
            </w:r>
            <w:r w:rsidRPr="005E7E1F">
              <w:rPr>
                <w:rFonts w:cs="Times New Roman"/>
                <w:sz w:val="20"/>
                <w:szCs w:val="20"/>
              </w:rPr>
              <w:t xml:space="preserve"> Site. Used by </w:t>
            </w:r>
            <w:r w:rsidRPr="005E7E1F" w:rsidR="007C6B20">
              <w:rPr>
                <w:rFonts w:cs="Times New Roman"/>
                <w:sz w:val="20"/>
                <w:szCs w:val="20"/>
              </w:rPr>
              <w:t>OCM</w:t>
            </w:r>
            <w:r w:rsidRPr="005E7E1F">
              <w:rPr>
                <w:rFonts w:cs="Times New Roman"/>
                <w:sz w:val="20"/>
                <w:szCs w:val="20"/>
              </w:rPr>
              <w:t xml:space="preserve">, the </w:t>
            </w:r>
            <w:r w:rsidRPr="005E7E1F" w:rsidR="00F71A88">
              <w:rPr>
                <w:rFonts w:cs="Times New Roman"/>
                <w:sz w:val="20"/>
                <w:szCs w:val="20"/>
              </w:rPr>
              <w:t>Reserve</w:t>
            </w:r>
            <w:r w:rsidRPr="005E7E1F">
              <w:rPr>
                <w:rFonts w:cs="Times New Roman"/>
                <w:sz w:val="20"/>
                <w:szCs w:val="20"/>
              </w:rPr>
              <w:t xml:space="preserve">, and the public (researchers and coastal managers) to plan future research and monitoring projects. </w:t>
            </w:r>
          </w:p>
        </w:tc>
      </w:tr>
      <w:tr w:rsidRPr="005E7E1F" w:rsidR="009E255B" w:rsidTr="009E255B" w14:paraId="07B325D0" w14:textId="77777777">
        <w:trPr>
          <w:trHeight w:val="700"/>
        </w:trPr>
        <w:tc>
          <w:tcPr>
            <w:tcW w:w="990" w:type="dxa"/>
            <w:vAlign w:val="center"/>
          </w:tcPr>
          <w:p w:rsidRPr="005E7E1F" w:rsidR="009E255B" w:rsidP="009E255B" w:rsidRDefault="009E255B" w14:paraId="440F2066" w14:textId="77777777">
            <w:pPr>
              <w:pStyle w:val="TableParagraph"/>
              <w:spacing w:before="9"/>
              <w:jc w:val="center"/>
              <w:rPr>
                <w:rFonts w:cs="Times New Roman"/>
                <w:sz w:val="20"/>
                <w:szCs w:val="20"/>
              </w:rPr>
            </w:pPr>
            <w:r w:rsidRPr="005E7E1F">
              <w:rPr>
                <w:rFonts w:cs="Times New Roman"/>
                <w:sz w:val="20"/>
                <w:szCs w:val="20"/>
              </w:rPr>
              <w:t>4</w:t>
            </w:r>
          </w:p>
        </w:tc>
        <w:tc>
          <w:tcPr>
            <w:tcW w:w="1970" w:type="dxa"/>
            <w:vAlign w:val="center"/>
          </w:tcPr>
          <w:p w:rsidRPr="005E7E1F" w:rsidR="009E255B" w:rsidP="009E255B" w:rsidRDefault="009E255B" w14:paraId="135ACC90" w14:textId="77777777">
            <w:pPr>
              <w:pStyle w:val="TableParagraph"/>
              <w:spacing w:before="9"/>
              <w:jc w:val="center"/>
              <w:rPr>
                <w:rFonts w:cs="Times New Roman"/>
                <w:sz w:val="20"/>
                <w:szCs w:val="20"/>
              </w:rPr>
            </w:pPr>
            <w:r w:rsidRPr="005E7E1F">
              <w:rPr>
                <w:rFonts w:cs="Times New Roman"/>
                <w:sz w:val="20"/>
                <w:szCs w:val="20"/>
              </w:rPr>
              <w:t>Funding Application</w:t>
            </w:r>
            <w:r w:rsidRPr="005E7E1F" w:rsidR="00881977">
              <w:rPr>
                <w:rFonts w:cs="Times New Roman"/>
                <w:sz w:val="20"/>
                <w:szCs w:val="20"/>
              </w:rPr>
              <w:t xml:space="preserve"> (including NEPA compliance)</w:t>
            </w:r>
          </w:p>
        </w:tc>
        <w:tc>
          <w:tcPr>
            <w:tcW w:w="1322" w:type="dxa"/>
            <w:vAlign w:val="center"/>
          </w:tcPr>
          <w:p w:rsidRPr="005E7E1F" w:rsidR="009E255B" w:rsidP="009E255B" w:rsidRDefault="00881977" w14:paraId="1D666C2F" w14:textId="77777777">
            <w:pPr>
              <w:pStyle w:val="TableParagraph"/>
              <w:spacing w:before="9"/>
              <w:jc w:val="center"/>
              <w:rPr>
                <w:rFonts w:cs="Times New Roman"/>
                <w:sz w:val="20"/>
                <w:szCs w:val="20"/>
              </w:rPr>
            </w:pPr>
            <w:r w:rsidRPr="005E7E1F">
              <w:rPr>
                <w:rFonts w:cs="Times New Roman"/>
                <w:sz w:val="20"/>
                <w:szCs w:val="20"/>
              </w:rPr>
              <w:t>316 U.S.C. § 1461 (e</w:t>
            </w:r>
            <w:r w:rsidRPr="005E7E1F">
              <w:rPr>
                <w:rFonts w:cs="Times New Roman"/>
                <w:color w:val="2F5496"/>
                <w:sz w:val="20"/>
                <w:szCs w:val="20"/>
              </w:rPr>
              <w:t>)</w:t>
            </w:r>
          </w:p>
        </w:tc>
        <w:tc>
          <w:tcPr>
            <w:tcW w:w="2157" w:type="dxa"/>
            <w:vAlign w:val="center"/>
          </w:tcPr>
          <w:p w:rsidRPr="005E7E1F" w:rsidR="009E255B" w:rsidP="0053678A" w:rsidRDefault="00881977" w14:paraId="7D50FF91" w14:textId="2DAB814A">
            <w:pPr>
              <w:pStyle w:val="TableParagraph"/>
              <w:spacing w:before="9"/>
              <w:jc w:val="center"/>
              <w:rPr>
                <w:rFonts w:cs="Times New Roman"/>
                <w:sz w:val="20"/>
                <w:szCs w:val="20"/>
              </w:rPr>
            </w:pPr>
            <w:r w:rsidRPr="005E7E1F">
              <w:rPr>
                <w:rFonts w:cs="Times New Roman"/>
                <w:sz w:val="20"/>
                <w:szCs w:val="20"/>
              </w:rPr>
              <w:t>15 CFR 921.32</w:t>
            </w:r>
            <w:r w:rsidRPr="005E7E1F" w:rsidR="0053678A">
              <w:rPr>
                <w:rFonts w:cs="Times New Roman"/>
                <w:sz w:val="20"/>
                <w:szCs w:val="20"/>
              </w:rPr>
              <w:t xml:space="preserve"> (specific to </w:t>
            </w:r>
            <w:r w:rsidRPr="005E7E1F" w:rsidR="00F71A88">
              <w:rPr>
                <w:rFonts w:cs="Times New Roman"/>
                <w:sz w:val="20"/>
                <w:szCs w:val="20"/>
              </w:rPr>
              <w:t>Reserves</w:t>
            </w:r>
            <w:r w:rsidRPr="005E7E1F" w:rsidR="0053678A">
              <w:rPr>
                <w:rFonts w:cs="Times New Roman"/>
                <w:sz w:val="20"/>
                <w:szCs w:val="20"/>
              </w:rPr>
              <w:t>); 2 CFR 200 – Uniform  Administrative Requirements for Financial Assistance Awards (Government wide)</w:t>
            </w:r>
          </w:p>
        </w:tc>
        <w:tc>
          <w:tcPr>
            <w:tcW w:w="1363" w:type="dxa"/>
            <w:vAlign w:val="center"/>
          </w:tcPr>
          <w:p w:rsidRPr="005E7E1F" w:rsidR="009E255B" w:rsidP="00881977" w:rsidRDefault="00881977" w14:paraId="27695C3B" w14:textId="77777777">
            <w:pPr>
              <w:pStyle w:val="TableParagraph"/>
              <w:spacing w:before="9"/>
              <w:rPr>
                <w:rFonts w:cs="Times New Roman"/>
                <w:sz w:val="20"/>
                <w:szCs w:val="20"/>
              </w:rPr>
            </w:pPr>
            <w:r w:rsidRPr="005E7E1F">
              <w:rPr>
                <w:rFonts w:cs="Times New Roman"/>
                <w:sz w:val="20"/>
                <w:szCs w:val="20"/>
              </w:rPr>
              <w:t>Various government-wide financial Assistance forms in the 424 Family. (</w:t>
            </w:r>
            <w:proofErr w:type="gramStart"/>
            <w:r w:rsidRPr="005E7E1F">
              <w:rPr>
                <w:rFonts w:cs="Times New Roman"/>
                <w:sz w:val="20"/>
                <w:szCs w:val="20"/>
              </w:rPr>
              <w:t>not</w:t>
            </w:r>
            <w:proofErr w:type="gramEnd"/>
            <w:r w:rsidRPr="005E7E1F">
              <w:rPr>
                <w:rFonts w:cs="Times New Roman"/>
                <w:sz w:val="20"/>
                <w:szCs w:val="20"/>
              </w:rPr>
              <w:t xml:space="preserve"> specific to NOAA).  No NOAA-specific forms required.</w:t>
            </w:r>
          </w:p>
        </w:tc>
        <w:tc>
          <w:tcPr>
            <w:tcW w:w="3000" w:type="dxa"/>
            <w:vAlign w:val="center"/>
          </w:tcPr>
          <w:p w:rsidRPr="005E7E1F" w:rsidR="009E255B" w:rsidP="007C6B20" w:rsidRDefault="009B542E" w14:paraId="10041555" w14:textId="1B783099">
            <w:pPr>
              <w:pStyle w:val="TableParagraph"/>
              <w:jc w:val="center"/>
              <w:rPr>
                <w:rFonts w:cs="Times New Roman"/>
                <w:sz w:val="20"/>
                <w:szCs w:val="20"/>
              </w:rPr>
            </w:pPr>
            <w:r w:rsidRPr="005E7E1F">
              <w:rPr>
                <w:rFonts w:cs="Times New Roman"/>
                <w:sz w:val="20"/>
                <w:szCs w:val="20"/>
              </w:rPr>
              <w:t xml:space="preserve">Used by </w:t>
            </w:r>
            <w:r w:rsidRPr="005E7E1F" w:rsidR="007C6B20">
              <w:rPr>
                <w:rFonts w:cs="Times New Roman"/>
                <w:sz w:val="20"/>
                <w:szCs w:val="20"/>
              </w:rPr>
              <w:t>OCM</w:t>
            </w:r>
            <w:r w:rsidRPr="005E7E1F">
              <w:rPr>
                <w:rFonts w:cs="Times New Roman"/>
                <w:sz w:val="20"/>
                <w:szCs w:val="20"/>
              </w:rPr>
              <w:t xml:space="preserve"> to determine if the proposal for funding meets the standards of the Act and implementing regulations, and applicable laws and regulations.</w:t>
            </w:r>
          </w:p>
        </w:tc>
      </w:tr>
      <w:tr w:rsidRPr="005E7E1F" w:rsidR="009E255B" w:rsidTr="009E255B" w14:paraId="0286EE90" w14:textId="77777777">
        <w:trPr>
          <w:trHeight w:val="700"/>
        </w:trPr>
        <w:tc>
          <w:tcPr>
            <w:tcW w:w="990" w:type="dxa"/>
            <w:vAlign w:val="center"/>
          </w:tcPr>
          <w:p w:rsidRPr="005E7E1F" w:rsidR="009E255B" w:rsidP="009E255B" w:rsidRDefault="009E255B" w14:paraId="1C946B77" w14:textId="77777777">
            <w:pPr>
              <w:pStyle w:val="TableParagraph"/>
              <w:spacing w:before="9"/>
              <w:jc w:val="center"/>
              <w:rPr>
                <w:rFonts w:cs="Times New Roman"/>
                <w:sz w:val="20"/>
                <w:szCs w:val="20"/>
              </w:rPr>
            </w:pPr>
            <w:r w:rsidRPr="005E7E1F">
              <w:rPr>
                <w:rFonts w:cs="Times New Roman"/>
                <w:sz w:val="20"/>
                <w:szCs w:val="20"/>
              </w:rPr>
              <w:t>5</w:t>
            </w:r>
          </w:p>
        </w:tc>
        <w:tc>
          <w:tcPr>
            <w:tcW w:w="1970" w:type="dxa"/>
            <w:vAlign w:val="center"/>
          </w:tcPr>
          <w:p w:rsidRPr="005E7E1F" w:rsidR="009E255B" w:rsidP="009E255B" w:rsidRDefault="009E255B" w14:paraId="04EB628A" w14:textId="77777777">
            <w:pPr>
              <w:pStyle w:val="TableParagraph"/>
              <w:spacing w:before="9"/>
              <w:jc w:val="center"/>
              <w:rPr>
                <w:rFonts w:cs="Times New Roman"/>
                <w:sz w:val="20"/>
                <w:szCs w:val="20"/>
              </w:rPr>
            </w:pPr>
            <w:r w:rsidRPr="005E7E1F">
              <w:rPr>
                <w:rFonts w:cs="Times New Roman"/>
                <w:sz w:val="20"/>
                <w:szCs w:val="20"/>
              </w:rPr>
              <w:t>Grant Progress Reporting – Interim and Final</w:t>
            </w:r>
          </w:p>
        </w:tc>
        <w:tc>
          <w:tcPr>
            <w:tcW w:w="1322" w:type="dxa"/>
            <w:vAlign w:val="center"/>
          </w:tcPr>
          <w:p w:rsidRPr="005E7E1F" w:rsidR="009E255B" w:rsidP="009E255B" w:rsidRDefault="00463AA3" w14:paraId="55300559" w14:textId="77777777">
            <w:pPr>
              <w:pStyle w:val="TableParagraph"/>
              <w:spacing w:before="9"/>
              <w:jc w:val="center"/>
              <w:rPr>
                <w:rFonts w:cs="Times New Roman"/>
                <w:sz w:val="20"/>
                <w:szCs w:val="20"/>
              </w:rPr>
            </w:pPr>
            <w:r w:rsidRPr="005E7E1F">
              <w:rPr>
                <w:rFonts w:cs="Times New Roman"/>
                <w:sz w:val="20"/>
                <w:szCs w:val="20"/>
              </w:rPr>
              <w:t>316 U.S.C. § 1461 (e</w:t>
            </w:r>
            <w:r w:rsidRPr="005E7E1F">
              <w:rPr>
                <w:rFonts w:cs="Times New Roman"/>
                <w:color w:val="2F5496"/>
                <w:sz w:val="20"/>
                <w:szCs w:val="20"/>
              </w:rPr>
              <w:t>)</w:t>
            </w:r>
            <w:r w:rsidRPr="005E7E1F" w:rsidR="00F50407">
              <w:rPr>
                <w:rFonts w:cs="Times New Roman"/>
                <w:color w:val="2F5496"/>
                <w:sz w:val="20"/>
                <w:szCs w:val="20"/>
              </w:rPr>
              <w:t xml:space="preserve"> </w:t>
            </w:r>
            <w:r w:rsidRPr="005E7E1F" w:rsidR="00F50407">
              <w:rPr>
                <w:rFonts w:cs="Times New Roman"/>
                <w:sz w:val="20"/>
                <w:szCs w:val="20"/>
              </w:rPr>
              <w:t>and (f</w:t>
            </w:r>
            <w:r w:rsidRPr="005E7E1F" w:rsidR="00F50407">
              <w:rPr>
                <w:rFonts w:cs="Times New Roman"/>
                <w:color w:val="2F5496"/>
                <w:sz w:val="20"/>
                <w:szCs w:val="20"/>
              </w:rPr>
              <w:t>)</w:t>
            </w:r>
          </w:p>
        </w:tc>
        <w:tc>
          <w:tcPr>
            <w:tcW w:w="2157" w:type="dxa"/>
            <w:vAlign w:val="center"/>
          </w:tcPr>
          <w:p w:rsidRPr="005E7E1F" w:rsidR="00463AA3" w:rsidP="009E255B" w:rsidRDefault="00463AA3" w14:paraId="2E4A1088" w14:textId="77777777">
            <w:pPr>
              <w:pStyle w:val="TableParagraph"/>
              <w:spacing w:before="9"/>
              <w:jc w:val="center"/>
              <w:rPr>
                <w:rFonts w:cs="Times New Roman"/>
                <w:sz w:val="20"/>
                <w:szCs w:val="20"/>
              </w:rPr>
            </w:pPr>
            <w:r w:rsidRPr="005E7E1F">
              <w:rPr>
                <w:rFonts w:cs="Times New Roman"/>
                <w:sz w:val="20"/>
                <w:szCs w:val="20"/>
              </w:rPr>
              <w:t>15 CFR Part 14 § 14.51 to 14.53 – Department of Commerce reporting requirements for Financial Assistance Awards;</w:t>
            </w:r>
          </w:p>
          <w:p w:rsidRPr="005E7E1F" w:rsidR="00463AA3" w:rsidP="009E255B" w:rsidRDefault="00463AA3" w14:paraId="6A690C24" w14:textId="77777777">
            <w:pPr>
              <w:pStyle w:val="TableParagraph"/>
              <w:spacing w:before="9"/>
              <w:jc w:val="center"/>
              <w:rPr>
                <w:rFonts w:cs="Times New Roman"/>
                <w:sz w:val="20"/>
                <w:szCs w:val="20"/>
              </w:rPr>
            </w:pPr>
          </w:p>
          <w:p w:rsidRPr="005E7E1F" w:rsidR="009E255B" w:rsidP="009E255B" w:rsidRDefault="0053678A" w14:paraId="5B03C001" w14:textId="77777777">
            <w:pPr>
              <w:pStyle w:val="TableParagraph"/>
              <w:spacing w:before="9"/>
              <w:jc w:val="center"/>
              <w:rPr>
                <w:rFonts w:cs="Times New Roman"/>
                <w:sz w:val="20"/>
                <w:szCs w:val="20"/>
              </w:rPr>
            </w:pPr>
            <w:r w:rsidRPr="005E7E1F">
              <w:rPr>
                <w:rFonts w:cs="Times New Roman"/>
                <w:sz w:val="20"/>
                <w:szCs w:val="20"/>
              </w:rPr>
              <w:lastRenderedPageBreak/>
              <w:t>2 CFR 200 – Uniform  Administrative Requirements for Financial Assistance Awards (Government wide)</w:t>
            </w:r>
          </w:p>
        </w:tc>
        <w:tc>
          <w:tcPr>
            <w:tcW w:w="1363" w:type="dxa"/>
            <w:vAlign w:val="center"/>
          </w:tcPr>
          <w:p w:rsidRPr="005E7E1F" w:rsidR="009E255B" w:rsidP="009E255B" w:rsidRDefault="00463AA3" w14:paraId="39E9DB07" w14:textId="77777777">
            <w:pPr>
              <w:pStyle w:val="TableParagraph"/>
              <w:spacing w:before="9"/>
              <w:jc w:val="center"/>
              <w:rPr>
                <w:rFonts w:cs="Times New Roman"/>
                <w:sz w:val="20"/>
                <w:szCs w:val="20"/>
              </w:rPr>
            </w:pPr>
            <w:r w:rsidRPr="005E7E1F">
              <w:rPr>
                <w:rFonts w:cs="Times New Roman"/>
                <w:sz w:val="20"/>
                <w:szCs w:val="20"/>
              </w:rPr>
              <w:lastRenderedPageBreak/>
              <w:t>N/A</w:t>
            </w:r>
          </w:p>
        </w:tc>
        <w:tc>
          <w:tcPr>
            <w:tcW w:w="3000" w:type="dxa"/>
            <w:vAlign w:val="center"/>
          </w:tcPr>
          <w:p w:rsidRPr="005E7E1F" w:rsidR="009E255B" w:rsidP="007C6B20" w:rsidRDefault="00463AA3" w14:paraId="5B846E43" w14:textId="247FA4A8">
            <w:pPr>
              <w:pStyle w:val="TableParagraph"/>
              <w:jc w:val="center"/>
              <w:rPr>
                <w:rFonts w:cs="Times New Roman"/>
                <w:sz w:val="20"/>
                <w:szCs w:val="20"/>
              </w:rPr>
            </w:pPr>
            <w:r w:rsidRPr="005E7E1F">
              <w:rPr>
                <w:rFonts w:cs="Times New Roman"/>
                <w:sz w:val="20"/>
                <w:szCs w:val="20"/>
              </w:rPr>
              <w:t xml:space="preserve">Used by </w:t>
            </w:r>
            <w:r w:rsidRPr="005E7E1F" w:rsidR="007C6B20">
              <w:rPr>
                <w:rFonts w:cs="Times New Roman"/>
                <w:sz w:val="20"/>
                <w:szCs w:val="20"/>
              </w:rPr>
              <w:t>OCM</w:t>
            </w:r>
            <w:r w:rsidRPr="005E7E1F">
              <w:rPr>
                <w:rFonts w:cs="Times New Roman"/>
                <w:sz w:val="20"/>
                <w:szCs w:val="20"/>
              </w:rPr>
              <w:t xml:space="preserve"> to monitor and provide technical assistance for the </w:t>
            </w:r>
            <w:r w:rsidRPr="005E7E1F" w:rsidR="00F71A88">
              <w:rPr>
                <w:rFonts w:cs="Times New Roman"/>
                <w:sz w:val="20"/>
                <w:szCs w:val="20"/>
              </w:rPr>
              <w:t>Reserve</w:t>
            </w:r>
            <w:r w:rsidRPr="005E7E1F">
              <w:rPr>
                <w:rFonts w:cs="Times New Roman"/>
                <w:sz w:val="20"/>
                <w:szCs w:val="20"/>
              </w:rPr>
              <w:t xml:space="preserve">’s progress towards accomplishing the goals and objectives outlined within the funding application (item 4). </w:t>
            </w:r>
          </w:p>
        </w:tc>
      </w:tr>
    </w:tbl>
    <w:p w:rsidRPr="00160D41" w:rsidR="008E61C9" w:rsidP="00BD7237" w:rsidRDefault="001477A3" w14:paraId="0D7AC536" w14:textId="77777777">
      <w:pPr>
        <w:pStyle w:val="ListParagraph"/>
        <w:numPr>
          <w:ilvl w:val="0"/>
          <w:numId w:val="7"/>
        </w:numPr>
        <w:tabs>
          <w:tab w:val="left" w:pos="360"/>
        </w:tabs>
        <w:spacing w:before="199"/>
        <w:ind w:left="0" w:firstLine="0"/>
        <w:rPr>
          <w:rFonts w:cs="Times New Roman"/>
          <w:b/>
          <w:szCs w:val="24"/>
        </w:rPr>
      </w:pPr>
      <w:r w:rsidRPr="00160D41">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60D41">
        <w:rPr>
          <w:rFonts w:cs="Times New Roman"/>
          <w:b/>
          <w:spacing w:val="-6"/>
          <w:szCs w:val="24"/>
        </w:rPr>
        <w:t xml:space="preserve"> </w:t>
      </w:r>
      <w:r w:rsidRPr="00160D41">
        <w:rPr>
          <w:rFonts w:cs="Times New Roman"/>
          <w:b/>
          <w:szCs w:val="24"/>
        </w:rPr>
        <w:t>burden.</w:t>
      </w:r>
    </w:p>
    <w:p w:rsidRPr="00160D41" w:rsidR="009A5187" w:rsidP="009A5187" w:rsidRDefault="009A5187" w14:paraId="39EC5341" w14:textId="77777777">
      <w:pPr>
        <w:rPr>
          <w:rFonts w:cs="Times New Roman"/>
          <w:szCs w:val="24"/>
        </w:rPr>
      </w:pPr>
    </w:p>
    <w:p w:rsidRPr="00160D41" w:rsidR="009A5187" w:rsidP="009A5187" w:rsidRDefault="009A5187" w14:paraId="3A42BCA8" w14:textId="77777777">
      <w:pPr>
        <w:rPr>
          <w:rFonts w:cs="Times New Roman"/>
          <w:szCs w:val="24"/>
        </w:rPr>
      </w:pPr>
      <w:r w:rsidRPr="00160D41">
        <w:rPr>
          <w:rFonts w:cs="Times New Roman"/>
          <w:szCs w:val="24"/>
        </w:rPr>
        <w:t>All information collection is conducted electronically.</w:t>
      </w:r>
    </w:p>
    <w:p w:rsidRPr="00160D41" w:rsidR="009A5187" w:rsidP="009A5187" w:rsidRDefault="009A5187" w14:paraId="2D4C3CEB" w14:textId="77777777">
      <w:pPr>
        <w:rPr>
          <w:rFonts w:cs="Times New Roman"/>
          <w:szCs w:val="24"/>
        </w:rPr>
      </w:pPr>
    </w:p>
    <w:p w:rsidRPr="00160D41" w:rsidR="009A5187" w:rsidP="009A5187" w:rsidRDefault="007C6B20" w14:paraId="6F67DDDD" w14:textId="165881E5">
      <w:pPr>
        <w:rPr>
          <w:rFonts w:cs="Times New Roman"/>
          <w:szCs w:val="24"/>
        </w:rPr>
      </w:pPr>
      <w:r>
        <w:rPr>
          <w:rFonts w:cs="Times New Roman"/>
          <w:szCs w:val="24"/>
        </w:rPr>
        <w:t>OCM</w:t>
      </w:r>
      <w:r w:rsidRPr="00160D41" w:rsidR="009A5187">
        <w:rPr>
          <w:rFonts w:cs="Times New Roman"/>
          <w:szCs w:val="24"/>
        </w:rPr>
        <w:t xml:space="preserve"> developed the Internet-based Coastal and Marine Management Program (CAMMP)</w:t>
      </w:r>
      <w:r w:rsidR="0054301F">
        <w:rPr>
          <w:rFonts w:cs="Times New Roman"/>
          <w:szCs w:val="24"/>
        </w:rPr>
        <w:t xml:space="preserve"> </w:t>
      </w:r>
      <w:r w:rsidRPr="00160D41" w:rsidR="009A5187">
        <w:rPr>
          <w:rFonts w:cs="Times New Roman"/>
          <w:szCs w:val="24"/>
        </w:rPr>
        <w:t xml:space="preserve">Information System which is an electronic grant application management system. </w:t>
      </w:r>
      <w:r w:rsidR="00F71A88">
        <w:rPr>
          <w:rFonts w:cs="Times New Roman"/>
          <w:szCs w:val="24"/>
        </w:rPr>
        <w:t>Reserves</w:t>
      </w:r>
      <w:r w:rsidRPr="00160D41" w:rsidR="009A5187">
        <w:rPr>
          <w:rFonts w:cs="Times New Roman"/>
          <w:szCs w:val="24"/>
        </w:rPr>
        <w:t xml:space="preserve"> use</w:t>
      </w:r>
      <w:r w:rsidR="0054301F">
        <w:rPr>
          <w:rFonts w:cs="Times New Roman"/>
          <w:szCs w:val="24"/>
        </w:rPr>
        <w:t xml:space="preserve"> </w:t>
      </w:r>
      <w:r w:rsidRPr="00160D41" w:rsidR="009A5187">
        <w:rPr>
          <w:rFonts w:cs="Times New Roman"/>
          <w:szCs w:val="24"/>
        </w:rPr>
        <w:t>CAMMP to develop their annual cooperative agreement applications. Completed CAMMP</w:t>
      </w:r>
      <w:r w:rsidR="0054301F">
        <w:rPr>
          <w:rFonts w:cs="Times New Roman"/>
          <w:szCs w:val="24"/>
        </w:rPr>
        <w:t xml:space="preserve"> </w:t>
      </w:r>
      <w:r w:rsidRPr="00160D41" w:rsidR="009A5187">
        <w:rPr>
          <w:rFonts w:cs="Times New Roman"/>
          <w:szCs w:val="24"/>
        </w:rPr>
        <w:t>applications and other documents needed for federal financial assistance are submitted through</w:t>
      </w:r>
      <w:r w:rsidR="0054301F">
        <w:rPr>
          <w:rFonts w:cs="Times New Roman"/>
          <w:szCs w:val="24"/>
        </w:rPr>
        <w:t xml:space="preserve"> </w:t>
      </w:r>
      <w:r w:rsidRPr="00160D41" w:rsidR="009A5187">
        <w:rPr>
          <w:rFonts w:cs="Times New Roman"/>
          <w:szCs w:val="24"/>
        </w:rPr>
        <w:t xml:space="preserve">the federal Grants.gov system. From there, the application is transferred to NOAA’s Grants Online system for review and processing. </w:t>
      </w:r>
      <w:r w:rsidR="00F71A88">
        <w:rPr>
          <w:rFonts w:cs="Times New Roman"/>
          <w:szCs w:val="24"/>
        </w:rPr>
        <w:t>Reserves</w:t>
      </w:r>
      <w:r w:rsidRPr="00160D41" w:rsidR="009A5187">
        <w:rPr>
          <w:rFonts w:cs="Times New Roman"/>
          <w:szCs w:val="24"/>
        </w:rPr>
        <w:t xml:space="preserve"> use the Grants Online system to submit performance reports and request other post-award action requests, as needed.  </w:t>
      </w:r>
      <w:r w:rsidRPr="00160D41" w:rsidR="004019EE">
        <w:rPr>
          <w:rFonts w:cs="Times New Roman"/>
          <w:szCs w:val="24"/>
        </w:rPr>
        <w:t xml:space="preserve">NOAA is currently working to update the CAMMP system </w:t>
      </w:r>
      <w:r w:rsidRPr="00160D41" w:rsidR="00102FBC">
        <w:rPr>
          <w:rFonts w:cs="Times New Roman"/>
          <w:szCs w:val="24"/>
        </w:rPr>
        <w:t xml:space="preserve">in response to state partner feedback.  </w:t>
      </w:r>
    </w:p>
    <w:p w:rsidR="007C6B20" w:rsidP="009A5187" w:rsidRDefault="007C6B20" w14:paraId="40226B38" w14:textId="77777777">
      <w:pPr>
        <w:rPr>
          <w:rFonts w:cs="Times New Roman"/>
          <w:szCs w:val="24"/>
        </w:rPr>
      </w:pPr>
    </w:p>
    <w:p w:rsidRPr="00160D41" w:rsidR="009A5187" w:rsidP="009A5187" w:rsidRDefault="007C6B20" w14:paraId="5C57C02C" w14:textId="19BFB41C">
      <w:pPr>
        <w:rPr>
          <w:rFonts w:cs="Times New Roman"/>
          <w:szCs w:val="24"/>
        </w:rPr>
      </w:pPr>
      <w:r>
        <w:rPr>
          <w:rFonts w:cs="Times New Roman"/>
          <w:szCs w:val="24"/>
        </w:rPr>
        <w:t>OCM</w:t>
      </w:r>
      <w:r w:rsidRPr="00160D41" w:rsidR="009A5187">
        <w:rPr>
          <w:rFonts w:cs="Times New Roman"/>
          <w:szCs w:val="24"/>
        </w:rPr>
        <w:t xml:space="preserve"> has also maintains reporting sites for </w:t>
      </w:r>
      <w:r w:rsidR="0054301F">
        <w:rPr>
          <w:rFonts w:cs="Times New Roman"/>
          <w:szCs w:val="24"/>
        </w:rPr>
        <w:t>r</w:t>
      </w:r>
      <w:r w:rsidR="00F71A88">
        <w:rPr>
          <w:rFonts w:cs="Times New Roman"/>
          <w:szCs w:val="24"/>
        </w:rPr>
        <w:t>eserves</w:t>
      </w:r>
      <w:r w:rsidRPr="00160D41" w:rsidR="009A5187">
        <w:rPr>
          <w:rFonts w:cs="Times New Roman"/>
          <w:szCs w:val="24"/>
        </w:rPr>
        <w:t xml:space="preserve"> to submit their annual performance measurement data, which is included as part of the semi-annual progress reports.</w:t>
      </w:r>
    </w:p>
    <w:p w:rsidRPr="00160D41" w:rsidR="009A5187" w:rsidP="00BD7237" w:rsidRDefault="009A5187" w14:paraId="2D7451BF" w14:textId="77777777">
      <w:pPr>
        <w:spacing w:before="161"/>
        <w:rPr>
          <w:rFonts w:cs="Times New Roman"/>
          <w:color w:val="2F5496"/>
          <w:szCs w:val="24"/>
        </w:rPr>
      </w:pPr>
    </w:p>
    <w:p w:rsidRPr="00160D41" w:rsidR="008E61C9" w:rsidP="00BD7237" w:rsidRDefault="001477A3" w14:paraId="6FC34426"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Describe efforts to identify duplication. Show specifically why any similar information already available cannot be used or modified for use for the purposes described in Question</w:t>
      </w:r>
      <w:r w:rsidRPr="00160D41">
        <w:rPr>
          <w:rFonts w:cs="Times New Roman"/>
          <w:b/>
          <w:spacing w:val="-42"/>
          <w:szCs w:val="24"/>
        </w:rPr>
        <w:t xml:space="preserve"> </w:t>
      </w:r>
      <w:r w:rsidRPr="00160D41">
        <w:rPr>
          <w:rFonts w:cs="Times New Roman"/>
          <w:b/>
          <w:szCs w:val="24"/>
        </w:rPr>
        <w:t>2</w:t>
      </w:r>
    </w:p>
    <w:p w:rsidRPr="00160D41" w:rsidR="00481AF3" w:rsidP="00BD7237" w:rsidRDefault="00481AF3" w14:paraId="311A5F90" w14:textId="411047EF">
      <w:pPr>
        <w:pStyle w:val="BodyText"/>
        <w:ind w:left="0"/>
        <w:rPr>
          <w:rFonts w:cs="Times New Roman"/>
        </w:rPr>
      </w:pPr>
      <w:r w:rsidRPr="00160D41">
        <w:rPr>
          <w:rFonts w:cs="Times New Roman"/>
        </w:rPr>
        <w:t xml:space="preserve">The CZMA creates the only state-federal partnership program that establishes a national system of coastal protected areas dedicated to long-term stewardship, research and monitoring, and education. There are no similar programs or duplication of information collected to support the National Estuarine Research </w:t>
      </w:r>
      <w:r w:rsidR="00F71A88">
        <w:rPr>
          <w:rFonts w:cs="Times New Roman"/>
        </w:rPr>
        <w:t>Reserve</w:t>
      </w:r>
      <w:r w:rsidRPr="00160D41">
        <w:rPr>
          <w:rFonts w:cs="Times New Roman"/>
        </w:rPr>
        <w:t xml:space="preserve"> system.</w:t>
      </w:r>
    </w:p>
    <w:p w:rsidRPr="00160D41" w:rsidR="00481AF3" w:rsidP="00BD7237" w:rsidRDefault="00481AF3" w14:paraId="5BD0F798" w14:textId="77777777">
      <w:pPr>
        <w:pStyle w:val="BodyText"/>
        <w:ind w:left="0"/>
        <w:rPr>
          <w:rFonts w:cs="Times New Roman"/>
          <w:color w:val="2F5496"/>
        </w:rPr>
      </w:pPr>
    </w:p>
    <w:p w:rsidRPr="00160D41" w:rsidR="008E61C9" w:rsidP="00BD7237" w:rsidRDefault="001477A3" w14:paraId="69AC4217"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If the collection of information impacts small businesses or other small entities, describe any methods used to minimize burden.</w:t>
      </w:r>
    </w:p>
    <w:p w:rsidRPr="00160D41" w:rsidR="00481AF3" w:rsidP="00BD7237" w:rsidRDefault="00481AF3" w14:paraId="10705AE1" w14:textId="54BECAE5">
      <w:pPr>
        <w:pStyle w:val="BodyText"/>
        <w:spacing w:before="160"/>
        <w:ind w:left="0"/>
        <w:rPr>
          <w:rFonts w:cs="Times New Roman"/>
        </w:rPr>
      </w:pPr>
      <w:r w:rsidRPr="00160D41">
        <w:rPr>
          <w:rFonts w:cs="Times New Roman"/>
        </w:rPr>
        <w:t xml:space="preserve">The information collection primarily involves state agencies, with a few (if any) small entities involved each year for research grants. This information collection is not requesting information from small business, and we do not anticipate any impact on small businesses. </w:t>
      </w:r>
      <w:r w:rsidR="007C6B20">
        <w:rPr>
          <w:rFonts w:cs="Times New Roman"/>
        </w:rPr>
        <w:t>OCM</w:t>
      </w:r>
      <w:r w:rsidRPr="00160D41">
        <w:rPr>
          <w:rFonts w:cs="Times New Roman"/>
        </w:rPr>
        <w:t xml:space="preserve"> does provide technical assistance in preparing responses as requested, and this reduces the burden for state agencies and other entities.</w:t>
      </w:r>
    </w:p>
    <w:p w:rsidRPr="00160D41" w:rsidR="00481AF3" w:rsidP="00BD7237" w:rsidRDefault="00481AF3" w14:paraId="415B1A24" w14:textId="77777777">
      <w:pPr>
        <w:pStyle w:val="BodyText"/>
        <w:spacing w:before="160"/>
        <w:ind w:left="0"/>
        <w:rPr>
          <w:rFonts w:cs="Times New Roman"/>
          <w:color w:val="2F5496"/>
        </w:rPr>
      </w:pPr>
    </w:p>
    <w:p w:rsidRPr="00160D41" w:rsidR="008E61C9" w:rsidP="00BD7237" w:rsidRDefault="001477A3" w14:paraId="20B2228B"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Describe the consequence to Federal program or policy activities if the collection is not conducted or is conducted less frequently, as well as any technical or legal obstacles to reducing burden.</w:t>
      </w:r>
    </w:p>
    <w:p w:rsidR="0045053C" w:rsidP="00BD7237" w:rsidRDefault="0045053C" w14:paraId="7F15CB78" w14:textId="6A463DF7">
      <w:pPr>
        <w:pStyle w:val="BodyText"/>
        <w:spacing w:before="115"/>
        <w:ind w:left="0"/>
        <w:rPr>
          <w:rFonts w:cs="Times New Roman"/>
        </w:rPr>
      </w:pPr>
      <w:r w:rsidRPr="00160D41">
        <w:rPr>
          <w:rFonts w:cs="Times New Roman"/>
        </w:rPr>
        <w:t xml:space="preserve">If this information were not collected, </w:t>
      </w:r>
      <w:r w:rsidR="007C6B20">
        <w:rPr>
          <w:rFonts w:cs="Times New Roman"/>
        </w:rPr>
        <w:t>OCM</w:t>
      </w:r>
      <w:r w:rsidRPr="00160D41">
        <w:rPr>
          <w:rFonts w:cs="Times New Roman"/>
        </w:rPr>
        <w:t xml:space="preserve"> would not be able to support the implementation of the </w:t>
      </w:r>
      <w:r w:rsidRPr="00160D41">
        <w:rPr>
          <w:rFonts w:cs="Times New Roman"/>
        </w:rPr>
        <w:lastRenderedPageBreak/>
        <w:t xml:space="preserve">National Estuarine Research </w:t>
      </w:r>
      <w:r w:rsidR="00F71A88">
        <w:rPr>
          <w:rFonts w:cs="Times New Roman"/>
        </w:rPr>
        <w:t>Reserve</w:t>
      </w:r>
      <w:r w:rsidRPr="00160D41">
        <w:rPr>
          <w:rFonts w:cs="Times New Roman"/>
        </w:rPr>
        <w:t xml:space="preserve"> System, approve designation of new National Estuarine Research </w:t>
      </w:r>
      <w:r w:rsidR="00F71A88">
        <w:rPr>
          <w:rFonts w:cs="Times New Roman"/>
        </w:rPr>
        <w:t>Reserve</w:t>
      </w:r>
      <w:r w:rsidRPr="00160D41">
        <w:rPr>
          <w:rFonts w:cs="Times New Roman"/>
        </w:rPr>
        <w:t xml:space="preserve"> sites, or provide financial support to existing sites.  </w:t>
      </w:r>
    </w:p>
    <w:p w:rsidRPr="00160D41" w:rsidR="007C6B20" w:rsidP="00BD7237" w:rsidRDefault="007C6B20" w14:paraId="4D494E23" w14:textId="77777777">
      <w:pPr>
        <w:pStyle w:val="BodyText"/>
        <w:spacing w:before="115"/>
        <w:ind w:left="0"/>
        <w:rPr>
          <w:rFonts w:cs="Times New Roman"/>
        </w:rPr>
      </w:pPr>
    </w:p>
    <w:p w:rsidRPr="00160D41" w:rsidR="008E61C9" w:rsidP="00BD7237" w:rsidRDefault="001477A3" w14:paraId="60BB8C19"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Explain any special circumstances that would cause an information collection to be conducted in a manner:</w:t>
      </w:r>
    </w:p>
    <w:p w:rsidR="000D0D86" w:rsidP="000D0D86" w:rsidRDefault="00181FED" w14:paraId="075F0705" w14:textId="75CF5C5F">
      <w:pPr>
        <w:spacing w:before="120"/>
        <w:rPr>
          <w:rFonts w:cs="Times New Roman"/>
          <w:szCs w:val="24"/>
        </w:rPr>
      </w:pPr>
      <w:r>
        <w:rPr>
          <w:rFonts w:cs="Times New Roman"/>
          <w:szCs w:val="24"/>
        </w:rPr>
        <w:t>This collection of information will be conducted in a manner consistent with OMB guidelines.</w:t>
      </w:r>
    </w:p>
    <w:p w:rsidRPr="00160D41" w:rsidR="00181FED" w:rsidP="000D0D86" w:rsidRDefault="00181FED" w14:paraId="2F178F8A" w14:textId="77777777">
      <w:pPr>
        <w:spacing w:before="120"/>
        <w:rPr>
          <w:rFonts w:cs="Times New Roman"/>
          <w:szCs w:val="24"/>
        </w:rPr>
      </w:pPr>
    </w:p>
    <w:p w:rsidRPr="00160D41" w:rsidR="008E61C9" w:rsidP="00BD7237" w:rsidRDefault="001477A3" w14:paraId="1B527836"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60D41" w:rsidR="00B16113" w:rsidP="00B16113" w:rsidRDefault="00B16113" w14:paraId="48D9393B" w14:textId="77777777">
      <w:pPr>
        <w:pStyle w:val="Default"/>
        <w:rPr>
          <w:sz w:val="23"/>
          <w:szCs w:val="23"/>
        </w:rPr>
      </w:pPr>
    </w:p>
    <w:p w:rsidRPr="00160D41" w:rsidR="00B16113" w:rsidP="00B16113" w:rsidRDefault="00B16113" w14:paraId="567445C6" w14:textId="764C1F7C">
      <w:pPr>
        <w:pStyle w:val="Default"/>
        <w:rPr>
          <w:sz w:val="23"/>
          <w:szCs w:val="23"/>
        </w:rPr>
      </w:pPr>
      <w:r w:rsidRPr="00160D41">
        <w:rPr>
          <w:sz w:val="23"/>
          <w:szCs w:val="23"/>
        </w:rPr>
        <w:t>A Federal Register Notice published on March 11, 2020 (85 FR 14,188) solicited public comment on this collection. No comments were received.</w:t>
      </w:r>
    </w:p>
    <w:p w:rsidRPr="00160D41" w:rsidR="00B16113" w:rsidP="00B16113" w:rsidRDefault="00B16113" w14:paraId="45A591AC" w14:textId="77777777">
      <w:pPr>
        <w:pStyle w:val="Default"/>
        <w:rPr>
          <w:sz w:val="23"/>
          <w:szCs w:val="23"/>
        </w:rPr>
      </w:pPr>
    </w:p>
    <w:p w:rsidRPr="00160D41" w:rsidR="00B16113" w:rsidP="00B16113" w:rsidRDefault="00B16113" w14:paraId="7BD25E07" w14:textId="5B58C6C5">
      <w:pPr>
        <w:pStyle w:val="Default"/>
        <w:rPr>
          <w:sz w:val="23"/>
          <w:szCs w:val="23"/>
        </w:rPr>
      </w:pPr>
      <w:r w:rsidRPr="00160D41">
        <w:rPr>
          <w:sz w:val="23"/>
          <w:szCs w:val="23"/>
        </w:rPr>
        <w:t xml:space="preserve">Following the 2020 grant cycle, NOAA solicited comments from a number of grant recipients. The questions asked included: </w:t>
      </w:r>
    </w:p>
    <w:p w:rsidRPr="00160D41" w:rsidR="00B16113" w:rsidP="00B16113" w:rsidRDefault="00B16113" w14:paraId="506E3DFC" w14:textId="77777777">
      <w:pPr>
        <w:pStyle w:val="Default"/>
        <w:rPr>
          <w:sz w:val="23"/>
          <w:szCs w:val="23"/>
        </w:rPr>
      </w:pPr>
    </w:p>
    <w:p w:rsidRPr="00160D41" w:rsidR="00B16113" w:rsidP="00B16113" w:rsidRDefault="00B16113" w14:paraId="304CC7BC" w14:textId="77777777">
      <w:pPr>
        <w:pStyle w:val="Default"/>
        <w:numPr>
          <w:ilvl w:val="0"/>
          <w:numId w:val="15"/>
        </w:numPr>
        <w:ind w:left="736" w:hanging="376"/>
      </w:pPr>
      <w:r w:rsidRPr="00160D41">
        <w:rPr>
          <w:sz w:val="23"/>
          <w:szCs w:val="23"/>
        </w:rPr>
        <w:t>Do estimated annual reporting burdens accurately reflect the reporting efforts?</w:t>
      </w:r>
    </w:p>
    <w:p w:rsidRPr="00160D41" w:rsidR="00B16113" w:rsidP="00B16113" w:rsidRDefault="00B16113" w14:paraId="0C975350" w14:textId="77777777">
      <w:pPr>
        <w:pStyle w:val="Default"/>
        <w:numPr>
          <w:ilvl w:val="0"/>
          <w:numId w:val="15"/>
        </w:numPr>
        <w:ind w:left="736" w:hanging="376"/>
      </w:pPr>
      <w:r w:rsidRPr="00160D41">
        <w:rPr>
          <w:sz w:val="23"/>
          <w:szCs w:val="23"/>
        </w:rPr>
        <w:t>Are the methods of data collection appropriate? (i.e., paper vs. electronic)</w:t>
      </w:r>
    </w:p>
    <w:p w:rsidRPr="00160D41" w:rsidR="00B16113" w:rsidP="00B16113" w:rsidRDefault="00B16113" w14:paraId="2463D9A3" w14:textId="77777777">
      <w:pPr>
        <w:pStyle w:val="Default"/>
        <w:numPr>
          <w:ilvl w:val="0"/>
          <w:numId w:val="15"/>
        </w:numPr>
        <w:ind w:left="736" w:hanging="376"/>
      </w:pPr>
      <w:r w:rsidRPr="00160D41">
        <w:rPr>
          <w:sz w:val="23"/>
          <w:szCs w:val="23"/>
        </w:rPr>
        <w:t>Are there ways to enhance the quality, utility, and clarity of the information collected?</w:t>
      </w:r>
    </w:p>
    <w:p w:rsidRPr="00160D41" w:rsidR="00B16113" w:rsidP="00B16113" w:rsidRDefault="00B16113" w14:paraId="25A1172F" w14:textId="77777777">
      <w:pPr>
        <w:pStyle w:val="Default"/>
        <w:numPr>
          <w:ilvl w:val="0"/>
          <w:numId w:val="15"/>
        </w:numPr>
        <w:ind w:left="736" w:hanging="376"/>
      </w:pPr>
      <w:r w:rsidRPr="00160D41">
        <w:rPr>
          <w:sz w:val="23"/>
          <w:szCs w:val="23"/>
        </w:rPr>
        <w:t>Are there ways to minimize the burden of the collection of information?</w:t>
      </w:r>
    </w:p>
    <w:p w:rsidRPr="00160D41" w:rsidR="00B16113" w:rsidP="00B16113" w:rsidRDefault="00B16113" w14:paraId="30033F2A" w14:textId="77777777">
      <w:pPr>
        <w:pStyle w:val="Default"/>
        <w:rPr>
          <w:sz w:val="23"/>
          <w:szCs w:val="23"/>
        </w:rPr>
      </w:pPr>
    </w:p>
    <w:p w:rsidR="005901FC" w:rsidP="00B16113" w:rsidRDefault="00B16113" w14:paraId="550DC343" w14:textId="03D1D217">
      <w:pPr>
        <w:pStyle w:val="Default"/>
        <w:rPr>
          <w:sz w:val="23"/>
          <w:szCs w:val="23"/>
        </w:rPr>
      </w:pPr>
      <w:r w:rsidRPr="00160D41">
        <w:rPr>
          <w:sz w:val="23"/>
          <w:szCs w:val="23"/>
        </w:rPr>
        <w:t xml:space="preserve">Responses </w:t>
      </w:r>
      <w:r w:rsidR="00181FED">
        <w:rPr>
          <w:sz w:val="23"/>
          <w:szCs w:val="23"/>
        </w:rPr>
        <w:t xml:space="preserve">were </w:t>
      </w:r>
      <w:r w:rsidRPr="00160D41">
        <w:rPr>
          <w:sz w:val="23"/>
          <w:szCs w:val="23"/>
        </w:rPr>
        <w:t xml:space="preserve">received from </w:t>
      </w:r>
      <w:r w:rsidR="00C50764">
        <w:rPr>
          <w:sz w:val="23"/>
          <w:szCs w:val="23"/>
        </w:rPr>
        <w:t>four</w:t>
      </w:r>
      <w:r w:rsidRPr="00160D41">
        <w:rPr>
          <w:sz w:val="23"/>
          <w:szCs w:val="23"/>
        </w:rPr>
        <w:t xml:space="preserve"> recipients. </w:t>
      </w:r>
      <w:r w:rsidR="004B03D8">
        <w:rPr>
          <w:sz w:val="23"/>
          <w:szCs w:val="23"/>
        </w:rPr>
        <w:t xml:space="preserve">The majority </w:t>
      </w:r>
      <w:r w:rsidRPr="00D46B18" w:rsidR="005901FC">
        <w:rPr>
          <w:bCs/>
        </w:rPr>
        <w:t>felt that the estimated burden efforts did not accurately reflect the actual effort expended in one or more categories.</w:t>
      </w:r>
      <w:r w:rsidRPr="00D46B18" w:rsidR="005901FC">
        <w:rPr>
          <w:bCs/>
          <w:i/>
        </w:rPr>
        <w:t xml:space="preserve">  </w:t>
      </w:r>
      <w:r w:rsidRPr="00D46B18" w:rsidR="004B03D8">
        <w:rPr>
          <w:sz w:val="23"/>
          <w:szCs w:val="23"/>
        </w:rPr>
        <w:t>Two</w:t>
      </w:r>
      <w:r w:rsidRPr="00D46B18" w:rsidR="005901FC">
        <w:rPr>
          <w:sz w:val="23"/>
          <w:szCs w:val="23"/>
        </w:rPr>
        <w:t xml:space="preserve"> recipients</w:t>
      </w:r>
      <w:r w:rsidRPr="00D46B18">
        <w:rPr>
          <w:sz w:val="23"/>
          <w:szCs w:val="23"/>
        </w:rPr>
        <w:t xml:space="preserve"> indicated that the burden estimates </w:t>
      </w:r>
      <w:r w:rsidRPr="00D46B18" w:rsidR="000836FA">
        <w:rPr>
          <w:sz w:val="23"/>
          <w:szCs w:val="23"/>
        </w:rPr>
        <w:t>were too low for award applications</w:t>
      </w:r>
      <w:r w:rsidRPr="00D46B18" w:rsidR="005901FC">
        <w:rPr>
          <w:sz w:val="23"/>
          <w:szCs w:val="23"/>
        </w:rPr>
        <w:t xml:space="preserve"> </w:t>
      </w:r>
      <w:r w:rsidRPr="00D46B18" w:rsidR="000836FA">
        <w:rPr>
          <w:sz w:val="23"/>
          <w:szCs w:val="23"/>
        </w:rPr>
        <w:t>and progress reports</w:t>
      </w:r>
      <w:r w:rsidRPr="00D46B18" w:rsidR="005901FC">
        <w:rPr>
          <w:sz w:val="23"/>
          <w:szCs w:val="23"/>
        </w:rPr>
        <w:t>, both semi-annual and final</w:t>
      </w:r>
      <w:r w:rsidRPr="00D46B18" w:rsidR="000836FA">
        <w:rPr>
          <w:sz w:val="23"/>
          <w:szCs w:val="23"/>
        </w:rPr>
        <w:t>.</w:t>
      </w:r>
      <w:r w:rsidRPr="00D46B18">
        <w:rPr>
          <w:sz w:val="23"/>
          <w:szCs w:val="23"/>
        </w:rPr>
        <w:t xml:space="preserve">  </w:t>
      </w:r>
      <w:r w:rsidRPr="00D46B18" w:rsidR="007C6B20">
        <w:rPr>
          <w:sz w:val="23"/>
          <w:szCs w:val="23"/>
        </w:rPr>
        <w:t xml:space="preserve">One recipient indicated that burden estimates were too low for NEPA.  </w:t>
      </w:r>
      <w:r w:rsidRPr="00D46B18" w:rsidR="002050CA">
        <w:rPr>
          <w:sz w:val="23"/>
          <w:szCs w:val="23"/>
        </w:rPr>
        <w:t xml:space="preserve">While OCM is working to reduce the burden for award applications and progress reports through actions such as updating the CAMMP system that is used to develop award application, </w:t>
      </w:r>
      <w:r w:rsidRPr="00D46B18" w:rsidR="005901FC">
        <w:rPr>
          <w:sz w:val="23"/>
          <w:szCs w:val="23"/>
        </w:rPr>
        <w:t>OCM agrees that an increase is justified for grant applications, NEPA documentation, and progress reports</w:t>
      </w:r>
      <w:r w:rsidRPr="00D46B18" w:rsidR="002050CA">
        <w:rPr>
          <w:sz w:val="23"/>
          <w:szCs w:val="23"/>
        </w:rPr>
        <w:t xml:space="preserve">. </w:t>
      </w:r>
      <w:r w:rsidRPr="00D46B18" w:rsidR="005901FC">
        <w:rPr>
          <w:sz w:val="23"/>
          <w:szCs w:val="23"/>
        </w:rPr>
        <w:t xml:space="preserve"> </w:t>
      </w:r>
      <w:r w:rsidRPr="00D46B18" w:rsidR="005901FC">
        <w:rPr>
          <w:bCs/>
        </w:rPr>
        <w:t>The revised estimates are shown in the table in A.12, and will be closely monitored moving forward as OCM continue to think about other ways to streamline and potentially consolidate reporting requirements.</w:t>
      </w:r>
      <w:r w:rsidR="007C6B20">
        <w:rPr>
          <w:bCs/>
        </w:rPr>
        <w:t xml:space="preserve">  </w:t>
      </w:r>
    </w:p>
    <w:p w:rsidRPr="00181FED" w:rsidR="005901FC" w:rsidP="00B16113" w:rsidRDefault="005901FC" w14:paraId="180AEA95" w14:textId="77777777">
      <w:pPr>
        <w:pStyle w:val="Default"/>
      </w:pPr>
    </w:p>
    <w:p w:rsidRPr="00181FED" w:rsidR="005901FC" w:rsidP="00B16113" w:rsidRDefault="004B03D8" w14:paraId="7CA6461C" w14:textId="7EB17637">
      <w:pPr>
        <w:pStyle w:val="Default"/>
      </w:pPr>
      <w:r w:rsidRPr="00181FED">
        <w:t>One</w:t>
      </w:r>
      <w:r w:rsidRPr="00181FED" w:rsidR="00C50764">
        <w:t xml:space="preserve"> respondent</w:t>
      </w:r>
      <w:r w:rsidRPr="00181FED" w:rsidR="001D39AF">
        <w:t xml:space="preserve"> indicated that the burden estimates for management plan development </w:t>
      </w:r>
      <w:r w:rsidRPr="00181FED" w:rsidR="002050CA">
        <w:t xml:space="preserve">was too </w:t>
      </w:r>
      <w:r w:rsidRPr="00181FED" w:rsidR="001D39AF">
        <w:t>high</w:t>
      </w:r>
      <w:r w:rsidRPr="00181FED">
        <w:t xml:space="preserve"> and another indicated that it might be too high, but wasn’t sure. </w:t>
      </w:r>
      <w:r w:rsidRPr="00181FED" w:rsidR="00C50764">
        <w:t>One recipient thought that the burden estimate was realistic.</w:t>
      </w:r>
      <w:r w:rsidRPr="00181FED" w:rsidR="001D39AF">
        <w:t xml:space="preserve"> OCM decided to utilize a </w:t>
      </w:r>
      <w:r w:rsidRPr="00181FED" w:rsidR="00A5391B">
        <w:t xml:space="preserve">management plan burden </w:t>
      </w:r>
      <w:r w:rsidRPr="00181FED" w:rsidR="001D39AF">
        <w:t>estimate that averaged the responses</w:t>
      </w:r>
      <w:r w:rsidRPr="00181FED" w:rsidR="0039631F">
        <w:t>, resulting in a slight</w:t>
      </w:r>
      <w:r w:rsidRPr="00181FED" w:rsidR="001D39AF">
        <w:t xml:space="preserve"> decrease in burden estimate</w:t>
      </w:r>
      <w:r w:rsidRPr="00181FED" w:rsidR="0039631F">
        <w:t>.  This reduction is also supported by the recent changes to</w:t>
      </w:r>
      <w:r w:rsidRPr="00181FED" w:rsidR="00BC5208">
        <w:t xml:space="preserve"> the management plan guidelines, since</w:t>
      </w:r>
      <w:r w:rsidRPr="00181FED" w:rsidR="0039631F">
        <w:t xml:space="preserve"> as noted below,</w:t>
      </w:r>
      <w:r w:rsidRPr="00181FED" w:rsidR="00A5391B">
        <w:t xml:space="preserve"> one of the main objectives for the updated 2020 </w:t>
      </w:r>
      <w:r w:rsidRPr="00181FED" w:rsidR="00F71A88">
        <w:t>Reserve</w:t>
      </w:r>
      <w:r w:rsidRPr="00181FED" w:rsidR="00A5391B">
        <w:t xml:space="preserve"> System Management Plan Guidelines was to reduce the page length and staff time devoted to management plan updates. </w:t>
      </w:r>
    </w:p>
    <w:p w:rsidRPr="00181FED" w:rsidR="005901FC" w:rsidP="00B16113" w:rsidRDefault="005901FC" w14:paraId="51D2C106" w14:textId="77777777">
      <w:pPr>
        <w:pStyle w:val="Default"/>
      </w:pPr>
    </w:p>
    <w:p w:rsidRPr="00181FED" w:rsidR="00B16113" w:rsidP="00B16113" w:rsidRDefault="001D39AF" w14:paraId="079B06FA" w14:textId="63709DFF">
      <w:pPr>
        <w:pStyle w:val="Default"/>
      </w:pPr>
      <w:r w:rsidRPr="00181FED">
        <w:t>The previous renewal noted that OCM had</w:t>
      </w:r>
      <w:r w:rsidRPr="00181FED" w:rsidR="00B16113">
        <w:t xml:space="preserve"> begun looking at options for streamlining the </w:t>
      </w:r>
      <w:r w:rsidRPr="00181FED" w:rsidR="00F71A88">
        <w:t>Reserve</w:t>
      </w:r>
      <w:r w:rsidRPr="00181FED">
        <w:t xml:space="preserve"> M</w:t>
      </w:r>
      <w:r w:rsidRPr="00181FED" w:rsidR="00B16113">
        <w:t xml:space="preserve">anagement </w:t>
      </w:r>
      <w:r w:rsidRPr="00181FED">
        <w:t>P</w:t>
      </w:r>
      <w:r w:rsidRPr="00181FED" w:rsidR="00B16113">
        <w:t xml:space="preserve">lan update process, including reducing the types of information that </w:t>
      </w:r>
      <w:r w:rsidRPr="00181FED">
        <w:t>will be required to be included</w:t>
      </w:r>
      <w:r w:rsidRPr="00181FED" w:rsidR="00B16113">
        <w:t>.</w:t>
      </w:r>
      <w:r w:rsidRPr="00181FED">
        <w:t xml:space="preserve">  </w:t>
      </w:r>
      <w:r w:rsidRPr="00181FED" w:rsidR="00572F34">
        <w:t xml:space="preserve">During the process of updating the guidance, OCM received written comments from four </w:t>
      </w:r>
      <w:r w:rsidR="00181FED">
        <w:t>r</w:t>
      </w:r>
      <w:r w:rsidRPr="00181FED" w:rsidR="00F71A88">
        <w:t>eserves</w:t>
      </w:r>
      <w:r w:rsidRPr="00181FED" w:rsidR="00572F34">
        <w:t xml:space="preserve">, and verbal feedback from several others. </w:t>
      </w:r>
      <w:r w:rsidRPr="00181FED">
        <w:t xml:space="preserve">In 2020, OCM published updated </w:t>
      </w:r>
      <w:r w:rsidRPr="00181FED" w:rsidR="00F71A88">
        <w:t>Reserve</w:t>
      </w:r>
      <w:r w:rsidRPr="00181FED">
        <w:t xml:space="preserve"> System Management Plan Guidance and Resources.  The 2020 Guidance streamlined required language, </w:t>
      </w:r>
      <w:r w:rsidRPr="00181FED">
        <w:lastRenderedPageBreak/>
        <w:t>provided additional guidance on optional vs required elements, and clarified the difference between ‘routine’ and ‘major/comprehensive’ updates.  One of the overall goals of the revised guidance is to shorten the length of the management plans, as well as the staff burden on developing and reviewing management plans.</w:t>
      </w:r>
    </w:p>
    <w:p w:rsidRPr="00181FED" w:rsidR="007C6B20" w:rsidP="00B16113" w:rsidRDefault="007C6B20" w14:paraId="69B752FB" w14:textId="28E035FF">
      <w:pPr>
        <w:pStyle w:val="Default"/>
      </w:pPr>
    </w:p>
    <w:p w:rsidRPr="00181FED" w:rsidR="005901FC" w:rsidP="005901FC" w:rsidRDefault="005901FC" w14:paraId="60A152D2" w14:textId="77777777">
      <w:pPr>
        <w:pStyle w:val="Default"/>
      </w:pPr>
      <w:r w:rsidRPr="00181FED">
        <w:t>Respondents felt that the methods of data collection are appropriate, noting that the data collections were all electronic.  Several recipients noted that it would be helpful to have more data pre-filled and to have the ability to easily ‘cut-and paste’ between different reports within reporting systems. OCM is working to incorporate pre-filled data as part of the CAMMP system update. One recipient had several suggestions specific to the CAMMP system, but also noted that the ongoing CAMMP system update would likely address some of these concerns.</w:t>
      </w:r>
    </w:p>
    <w:p w:rsidRPr="00181FED" w:rsidR="00B16113" w:rsidP="00B16113" w:rsidRDefault="00B16113" w14:paraId="61675AB1" w14:textId="77777777">
      <w:pPr>
        <w:pStyle w:val="Default"/>
      </w:pPr>
    </w:p>
    <w:p w:rsidR="00B16113" w:rsidP="00B16113" w:rsidRDefault="00B16113" w14:paraId="550F2924" w14:textId="25076A5D">
      <w:pPr>
        <w:pStyle w:val="Default"/>
      </w:pPr>
      <w:r w:rsidRPr="00181FED">
        <w:t xml:space="preserve">In 2017, </w:t>
      </w:r>
      <w:r w:rsidRPr="00181FED" w:rsidR="00C50764">
        <w:t>OCM</w:t>
      </w:r>
      <w:r w:rsidRPr="00181FED">
        <w:t xml:space="preserve"> a</w:t>
      </w:r>
      <w:r w:rsidRPr="00181FED" w:rsidR="000836FA">
        <w:t>sked</w:t>
      </w:r>
      <w:r w:rsidRPr="00181FED">
        <w:t xml:space="preserve"> state NERR and Coastal Zone Management Programs for suggestions on ways to improve application development through the Coastal and Marine Management Program (CAMMP).  </w:t>
      </w:r>
      <w:r w:rsidRPr="00181FED" w:rsidR="00C50764">
        <w:t>OCM</w:t>
      </w:r>
      <w:r w:rsidRPr="00181FED" w:rsidR="000836FA">
        <w:t xml:space="preserve"> received </w:t>
      </w:r>
      <w:r w:rsidRPr="00181FED" w:rsidR="001D39AF">
        <w:t xml:space="preserve">responses from 37 individuals.  OCM </w:t>
      </w:r>
      <w:r w:rsidRPr="00181FED" w:rsidR="000836FA">
        <w:t>estimate</w:t>
      </w:r>
      <w:r w:rsidRPr="00181FED" w:rsidR="001D39AF">
        <w:t>s</w:t>
      </w:r>
      <w:r w:rsidRPr="00181FED" w:rsidR="000836FA">
        <w:t xml:space="preserve"> that at least 18 of the respondents were associated with a National Estuarine Research </w:t>
      </w:r>
      <w:r w:rsidRPr="00181FED" w:rsidR="00F71A88">
        <w:t>Reserve</w:t>
      </w:r>
      <w:r w:rsidRPr="00181FED" w:rsidR="000836FA">
        <w:t xml:space="preserve">. </w:t>
      </w:r>
      <w:r w:rsidRPr="00181FED">
        <w:t>Suggestions included improvements to user interface</w:t>
      </w:r>
      <w:r w:rsidRPr="00181FED" w:rsidR="000836FA">
        <w:t>,</w:t>
      </w:r>
      <w:r w:rsidRPr="00181FED">
        <w:t xml:space="preserve"> the development of queries or summary reports</w:t>
      </w:r>
      <w:r w:rsidRPr="00181FED" w:rsidR="000836FA">
        <w:t>, and the ability to ‘copy and paste’ tasks between different funding years</w:t>
      </w:r>
      <w:r w:rsidRPr="00181FED">
        <w:t xml:space="preserve">.  OCM is currently in the process of revising CAMMP to address many of the recommendations provided, and anticipates that the updated CAMMP system will be available for </w:t>
      </w:r>
      <w:r w:rsidRPr="00181FED" w:rsidR="00F71A88">
        <w:t>Reserve</w:t>
      </w:r>
      <w:r w:rsidRPr="00181FED">
        <w:t xml:space="preserve"> programs to use for developing their FY2021 funding applications. The updated CAMMP system will reduce burden time on respondents through increased system efficiencies.  In addition, the updated CAMMP system will support the development of multi-year award applications; the current CAMMP system only supports single year award applications.  When the updated CAMMP becomes available, OCM anticipates that many applicants will chose to develop (2 year) multi-year award applications.  This will significantly reduce the paperwork burden on recipients since they will only have to develop funding applications every other year rather than every year.</w:t>
      </w:r>
    </w:p>
    <w:p w:rsidRPr="00181FED" w:rsidR="00181FED" w:rsidP="00B16113" w:rsidRDefault="00181FED" w14:paraId="28882975" w14:textId="77777777">
      <w:pPr>
        <w:pStyle w:val="Default"/>
      </w:pPr>
    </w:p>
    <w:p w:rsidRPr="00160D41" w:rsidR="008E61C9" w:rsidP="00BD7237" w:rsidRDefault="001477A3" w14:paraId="11BA6FDD"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 xml:space="preserve">Explain any decision to provide any payment or gift to respondents, other than </w:t>
      </w:r>
      <w:r w:rsidRPr="00160D41" w:rsidR="00D64DF9">
        <w:rPr>
          <w:rFonts w:cs="Times New Roman"/>
          <w:b/>
          <w:szCs w:val="24"/>
        </w:rPr>
        <w:t>remuneration</w:t>
      </w:r>
      <w:r w:rsidRPr="00160D41">
        <w:rPr>
          <w:rFonts w:cs="Times New Roman"/>
          <w:b/>
          <w:szCs w:val="24"/>
        </w:rPr>
        <w:t xml:space="preserve"> of contractors or grantees.</w:t>
      </w:r>
    </w:p>
    <w:p w:rsidRPr="00160D41" w:rsidR="007D227F" w:rsidP="00BD7237" w:rsidRDefault="007D227F" w14:paraId="3862237D" w14:textId="77777777">
      <w:pPr>
        <w:pStyle w:val="BodyText"/>
        <w:spacing w:before="158"/>
        <w:ind w:left="0"/>
        <w:rPr>
          <w:rFonts w:cs="Times New Roman"/>
          <w:color w:val="2F5496"/>
        </w:rPr>
      </w:pPr>
    </w:p>
    <w:p w:rsidRPr="00160D41" w:rsidR="007D227F" w:rsidP="007D227F" w:rsidRDefault="007D227F" w14:paraId="27F840B6" w14:textId="4D0EE0E4">
      <w:pPr>
        <w:pStyle w:val="Default"/>
        <w:rPr>
          <w:sz w:val="23"/>
          <w:szCs w:val="23"/>
        </w:rPr>
      </w:pPr>
      <w:r w:rsidRPr="00160D41">
        <w:rPr>
          <w:sz w:val="23"/>
          <w:szCs w:val="23"/>
        </w:rPr>
        <w:t xml:space="preserve">No payments or gifts to respondents are made, other than </w:t>
      </w:r>
      <w:r w:rsidRPr="00160D41" w:rsidR="00181FED">
        <w:rPr>
          <w:sz w:val="23"/>
          <w:szCs w:val="23"/>
        </w:rPr>
        <w:t>remuneration</w:t>
      </w:r>
      <w:r w:rsidRPr="00160D41">
        <w:rPr>
          <w:sz w:val="23"/>
          <w:szCs w:val="23"/>
        </w:rPr>
        <w:t xml:space="preserve"> of contractors or grantees. </w:t>
      </w:r>
    </w:p>
    <w:p w:rsidRPr="00160D41" w:rsidR="007D227F" w:rsidP="00BD7237" w:rsidRDefault="007D227F" w14:paraId="79D758D6" w14:textId="77777777">
      <w:pPr>
        <w:pStyle w:val="BodyText"/>
        <w:spacing w:before="158"/>
        <w:ind w:left="0"/>
        <w:rPr>
          <w:rFonts w:cs="Times New Roman"/>
          <w:color w:val="2F5496"/>
        </w:rPr>
      </w:pPr>
    </w:p>
    <w:p w:rsidRPr="00160D41" w:rsidR="008E61C9" w:rsidP="00BD7237" w:rsidRDefault="001477A3" w14:paraId="0AD12810"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E33BF" w:rsidP="00BD7237" w:rsidRDefault="004E33BF" w14:paraId="14FA966D" w14:textId="15F1718F">
      <w:pPr>
        <w:pStyle w:val="BodyText"/>
        <w:spacing w:before="158"/>
        <w:ind w:left="0"/>
        <w:rPr>
          <w:rFonts w:cs="Times New Roman"/>
        </w:rPr>
      </w:pPr>
      <w:r w:rsidRPr="00160D41">
        <w:rPr>
          <w:rFonts w:cs="Times New Roman"/>
        </w:rPr>
        <w:t>No assurance of confidentiality is provided.</w:t>
      </w:r>
    </w:p>
    <w:p w:rsidR="004E33BF" w:rsidP="00BD7237" w:rsidRDefault="00A013EF" w14:paraId="6C69984E" w14:textId="00A47C86">
      <w:pPr>
        <w:pStyle w:val="BodyText"/>
        <w:spacing w:before="158"/>
        <w:ind w:left="0"/>
      </w:pPr>
      <w:r>
        <w:t>External grant applications/proposals are not typically collected by OCM</w:t>
      </w:r>
      <w:r>
        <w:t xml:space="preserve"> (IT </w:t>
      </w:r>
      <w:r w:rsidR="00602D16">
        <w:t>s</w:t>
      </w:r>
      <w:r>
        <w:t>ystem NOAA6101)</w:t>
      </w:r>
      <w:r>
        <w:t>. Per the NOAA Grants Management Office policy, proposals almost always run through the Grants.gov submission process and end up in the Grants Online system</w:t>
      </w:r>
      <w:r w:rsidR="00602D16">
        <w:t xml:space="preserve"> (IT system NOAA1101)</w:t>
      </w:r>
      <w:r>
        <w:t xml:space="preserve">. In rare cases, applicants without access to the Internet [e.g., US Territories] are permitted to submit paper applications. When this happens, OCM scans the proposals and loads them into Grants Online. Any subsequent sharing of grant proposals via email for review must be done via a secure file transfer process (e.g., Grants Online, </w:t>
      </w:r>
      <w:proofErr w:type="spellStart"/>
      <w:r>
        <w:t>Accellion</w:t>
      </w:r>
      <w:proofErr w:type="spellEnd"/>
      <w:r>
        <w:t>/</w:t>
      </w:r>
      <w:proofErr w:type="spellStart"/>
      <w:r>
        <w:t>Kiteworks</w:t>
      </w:r>
      <w:proofErr w:type="spellEnd"/>
      <w:r>
        <w:t xml:space="preserve"> if emailing internally or externally to NOAA, a secure Google Drive or a network location for internal NOAA reviewers, or a password protected website for internal and external NOAA reviewers). Once reviews are complete and awards are made, proposals are removed from the OCM system and the Grants Online system is the official repository.</w:t>
      </w:r>
      <w:r w:rsidR="00602D16">
        <w:t xml:space="preserve">  Both </w:t>
      </w:r>
      <w:r w:rsidR="00602D16">
        <w:lastRenderedPageBreak/>
        <w:t>NOAA6101 and NOAA1101 have approved PIAs.</w:t>
      </w:r>
    </w:p>
    <w:p w:rsidRPr="00160D41" w:rsidR="00430794" w:rsidP="00BD7237" w:rsidRDefault="00430794" w14:paraId="4149D73A" w14:textId="77777777">
      <w:pPr>
        <w:pStyle w:val="BodyText"/>
        <w:spacing w:before="158"/>
        <w:ind w:left="0"/>
        <w:rPr>
          <w:rFonts w:cs="Times New Roman"/>
          <w:color w:val="2F5496"/>
        </w:rPr>
      </w:pPr>
    </w:p>
    <w:p w:rsidRPr="00160D41" w:rsidR="008E61C9" w:rsidP="00BD7237" w:rsidRDefault="001477A3" w14:paraId="16D8C4A6"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0794" w:rsidP="00BD7237" w:rsidRDefault="00430794" w14:paraId="2FE44BA1" w14:textId="77777777">
      <w:pPr>
        <w:pStyle w:val="BodyText"/>
        <w:spacing w:before="80" w:line="259" w:lineRule="auto"/>
        <w:ind w:left="0"/>
        <w:rPr>
          <w:rFonts w:cs="Times New Roman"/>
        </w:rPr>
      </w:pPr>
    </w:p>
    <w:p w:rsidRPr="00160D41" w:rsidR="004E33BF" w:rsidP="00BD7237" w:rsidRDefault="004E33BF" w14:paraId="4035B914" w14:textId="700CA35E">
      <w:pPr>
        <w:pStyle w:val="BodyText"/>
        <w:spacing w:before="80" w:line="259" w:lineRule="auto"/>
        <w:ind w:left="0"/>
        <w:rPr>
          <w:rFonts w:cs="Times New Roman"/>
        </w:rPr>
      </w:pPr>
      <w:r w:rsidRPr="00160D41">
        <w:rPr>
          <w:rFonts w:cs="Times New Roman"/>
        </w:rPr>
        <w:t>No questions of a sensitive nature are asked.</w:t>
      </w:r>
    </w:p>
    <w:p w:rsidR="00181FED" w:rsidP="00BD7237" w:rsidRDefault="00181FED" w14:paraId="36F9E59E" w14:textId="77777777">
      <w:pPr>
        <w:spacing w:line="259" w:lineRule="auto"/>
        <w:rPr>
          <w:rFonts w:cs="Times New Roman"/>
          <w:szCs w:val="24"/>
        </w:rPr>
        <w:sectPr w:rsidR="00181FED" w:rsidSect="00181FED">
          <w:footerReference w:type="default" r:id="rId9"/>
          <w:pgSz w:w="12240" w:h="15840"/>
          <w:pgMar w:top="1200" w:right="1080" w:bottom="640" w:left="1080" w:header="0" w:footer="1014" w:gutter="0"/>
          <w:cols w:space="720"/>
          <w:docGrid w:linePitch="326"/>
        </w:sectPr>
      </w:pPr>
    </w:p>
    <w:p w:rsidRPr="00160D41" w:rsidR="008E61C9" w:rsidP="00BD7237" w:rsidRDefault="008E61C9" w14:paraId="53DC7B47" w14:textId="49C21DB1">
      <w:pPr>
        <w:spacing w:line="259" w:lineRule="auto"/>
        <w:rPr>
          <w:rFonts w:cs="Times New Roman"/>
          <w:szCs w:val="24"/>
        </w:rPr>
      </w:pPr>
    </w:p>
    <w:p w:rsidRPr="00160D41" w:rsidR="008E61C9" w:rsidP="00BD7237" w:rsidRDefault="001477A3" w14:paraId="4C7234E0"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Provide estimates of the hour burden of the collection of information.</w:t>
      </w:r>
    </w:p>
    <w:p w:rsidRPr="00255157" w:rsidR="00255157" w:rsidP="006B602B" w:rsidRDefault="00255157" w14:paraId="25CA7B00" w14:textId="77777777">
      <w:pPr>
        <w:pStyle w:val="Default"/>
      </w:pPr>
    </w:p>
    <w:p w:rsidRPr="00255157" w:rsidR="008050E7" w:rsidP="006B602B" w:rsidRDefault="006B602B" w14:paraId="57422152" w14:textId="1B5EFADC">
      <w:pPr>
        <w:pStyle w:val="Default"/>
      </w:pPr>
      <w:r w:rsidRPr="00255157">
        <w:t>It is anticipated that three new sites will be considered for designation within the next five years, eventually bringing the total respondent number to 32, however these site designations are still the preliminary stages, and it is unlikely that this site</w:t>
      </w:r>
      <w:r w:rsidRPr="00255157" w:rsidR="00DD3846">
        <w:t xml:space="preserve">s will be approved during the next 3 year time frame and </w:t>
      </w:r>
      <w:r w:rsidRPr="00255157">
        <w:t xml:space="preserve">affect the </w:t>
      </w:r>
      <w:r w:rsidRPr="00255157" w:rsidR="00DD3846">
        <w:t xml:space="preserve">management plan, reporting, or application </w:t>
      </w:r>
      <w:r w:rsidRPr="00255157">
        <w:t xml:space="preserve">estimates.  </w:t>
      </w:r>
    </w:p>
    <w:p w:rsidRPr="00255157" w:rsidR="0039631F" w:rsidP="006B602B" w:rsidRDefault="0039631F" w14:paraId="7A71DFCF" w14:textId="77777777">
      <w:pPr>
        <w:pStyle w:val="Default"/>
        <w:rPr>
          <w:color w:val="auto"/>
        </w:rPr>
      </w:pPr>
    </w:p>
    <w:p w:rsidRPr="00255157" w:rsidR="008050E7" w:rsidP="008050E7" w:rsidRDefault="008050E7" w14:paraId="1F0537C9" w14:textId="3004AA29">
      <w:pPr>
        <w:pStyle w:val="Heading1"/>
        <w:shd w:val="clear" w:color="auto" w:fill="FFFFFF"/>
        <w:spacing w:before="0" w:after="150" w:line="293" w:lineRule="atLeast"/>
        <w:ind w:left="0"/>
        <w:rPr>
          <w:rFonts w:cs="Times New Roman"/>
          <w:b w:val="0"/>
          <w:bCs w:val="0"/>
        </w:rPr>
      </w:pPr>
      <w:r w:rsidRPr="00255157">
        <w:rPr>
          <w:rFonts w:cs="Times New Roman"/>
          <w:b w:val="0"/>
          <w:bCs w:val="0"/>
        </w:rPr>
        <w:t xml:space="preserve">The Bureau of Labor Statistic’s May 2019 National Occupational Employment and Wage Estimates (United States) was the source of the hourly wage rate.  The National Estuarine Research </w:t>
      </w:r>
      <w:r w:rsidRPr="00255157" w:rsidR="00F71A88">
        <w:rPr>
          <w:rFonts w:cs="Times New Roman"/>
          <w:b w:val="0"/>
          <w:bCs w:val="0"/>
        </w:rPr>
        <w:t>Reserves</w:t>
      </w:r>
      <w:r w:rsidRPr="00255157">
        <w:rPr>
          <w:rFonts w:cs="Times New Roman"/>
          <w:b w:val="0"/>
          <w:bCs w:val="0"/>
        </w:rPr>
        <w:t xml:space="preserve"> (respondents) employ a wide variety of scientific staff, at locations across the nation.  Therefore, NOAA utilized the “Life, Physical, and Social Science Occupations</w:t>
      </w:r>
      <w:r w:rsidRPr="00255157" w:rsidR="00FD6D77">
        <w:rPr>
          <w:rFonts w:cs="Times New Roman"/>
          <w:b w:val="0"/>
          <w:bCs w:val="0"/>
        </w:rPr>
        <w:t>”</w:t>
      </w:r>
      <w:r w:rsidRPr="00255157" w:rsidR="00DD3846">
        <w:rPr>
          <w:rFonts w:cs="Times New Roman"/>
          <w:b w:val="0"/>
          <w:bCs w:val="0"/>
        </w:rPr>
        <w:t xml:space="preserve"> </w:t>
      </w:r>
      <w:r w:rsidRPr="00255157" w:rsidR="00FD6D77">
        <w:rPr>
          <w:rFonts w:cs="Times New Roman"/>
          <w:b w:val="0"/>
          <w:bCs w:val="0"/>
        </w:rPr>
        <w:t>(Code 19-0000), nationwide median wage hour rates for these calculations.</w:t>
      </w:r>
    </w:p>
    <w:p w:rsidRPr="00160D41" w:rsidR="00D64DF9" w:rsidP="00BD7237" w:rsidRDefault="00D64DF9" w14:paraId="4AEE2825" w14:textId="77777777">
      <w:pPr>
        <w:spacing w:line="259" w:lineRule="auto"/>
        <w:ind w:hanging="43"/>
        <w:jc w:val="center"/>
        <w:rPr>
          <w:rFonts w:cs="Times New Roman"/>
          <w:b/>
          <w:color w:val="FF0000"/>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160D41" w:rsidR="00D64DF9" w:rsidTr="00B84915" w14:paraId="73FF503F" w14:textId="77777777">
        <w:trPr>
          <w:trHeight w:val="1042"/>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160D41" w:rsidR="00D64DF9" w:rsidP="00D64DF9" w:rsidRDefault="00D64DF9" w14:paraId="2D86F7B3"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160D41" w:rsidR="00D64DF9" w:rsidP="00D64DF9" w:rsidRDefault="00D64DF9" w14:paraId="2DD9513D"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60D41" w:rsidR="00D64DF9" w:rsidP="00D64DF9" w:rsidRDefault="00D64DF9" w14:paraId="050E6861"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of Respondents/year</w:t>
            </w:r>
            <w:r w:rsidRPr="00160D41">
              <w:rPr>
                <w:rFonts w:ascii="Calibri" w:hAnsi="Calibri" w:eastAsia="Times New Roman" w:cs="Calibri"/>
                <w:b/>
                <w:bCs/>
                <w:color w:val="000000"/>
                <w:sz w:val="16"/>
                <w:szCs w:val="16"/>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14C71534"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Annual # of Responses / Respondent</w:t>
            </w:r>
            <w:r w:rsidRPr="00160D41">
              <w:rPr>
                <w:rFonts w:ascii="Calibri" w:hAnsi="Calibri" w:eastAsia="Times New Roman"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348515B4"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xml:space="preserve"> Total # of Annual Responses</w:t>
            </w:r>
            <w:r w:rsidRPr="00160D41">
              <w:rPr>
                <w:rFonts w:ascii="Calibri" w:hAnsi="Calibri" w:eastAsia="Times New Roman"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709E5B80"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xml:space="preserve">Burden </w:t>
            </w:r>
            <w:proofErr w:type="spellStart"/>
            <w:r w:rsidRPr="00160D41">
              <w:rPr>
                <w:rFonts w:ascii="Calibri" w:hAnsi="Calibri" w:eastAsia="Times New Roman" w:cs="Calibri"/>
                <w:b/>
                <w:bCs/>
                <w:color w:val="000000"/>
                <w:sz w:val="16"/>
                <w:szCs w:val="16"/>
              </w:rPr>
              <w:t>Hrs</w:t>
            </w:r>
            <w:proofErr w:type="spellEnd"/>
            <w:r w:rsidRPr="00160D41">
              <w:rPr>
                <w:rFonts w:ascii="Calibri" w:hAnsi="Calibri" w:eastAsia="Times New Roman" w:cs="Calibri"/>
                <w:b/>
                <w:bCs/>
                <w:color w:val="000000"/>
                <w:sz w:val="16"/>
                <w:szCs w:val="16"/>
              </w:rPr>
              <w:t xml:space="preserve"> / Response</w:t>
            </w:r>
            <w:r w:rsidRPr="00160D41">
              <w:rPr>
                <w:rFonts w:ascii="Calibri" w:hAnsi="Calibri" w:eastAsia="Times New Roman" w:cs="Calibri"/>
                <w:b/>
                <w:bCs/>
                <w:color w:val="000000"/>
                <w:sz w:val="16"/>
                <w:szCs w:val="16"/>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062937C9"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xml:space="preserve">Total Annual Burden </w:t>
            </w:r>
            <w:proofErr w:type="spellStart"/>
            <w:r w:rsidRPr="00160D41">
              <w:rPr>
                <w:rFonts w:ascii="Calibri" w:hAnsi="Calibri" w:eastAsia="Times New Roman" w:cs="Calibri"/>
                <w:b/>
                <w:bCs/>
                <w:color w:val="000000"/>
                <w:sz w:val="16"/>
                <w:szCs w:val="16"/>
              </w:rPr>
              <w:t>Hrs</w:t>
            </w:r>
            <w:proofErr w:type="spellEnd"/>
            <w:r w:rsidRPr="00160D41">
              <w:rPr>
                <w:rFonts w:ascii="Calibri" w:hAnsi="Calibri" w:eastAsia="Times New Roman"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764DDE47"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Hourly Wage Rate  (for Type of Respondent)</w:t>
            </w:r>
            <w:r w:rsidRPr="00160D41">
              <w:rPr>
                <w:rFonts w:ascii="Calibri" w:hAnsi="Calibri" w:eastAsia="Times New Roman" w:cs="Calibri"/>
                <w:b/>
                <w:bCs/>
                <w:color w:val="000000"/>
                <w:sz w:val="16"/>
                <w:szCs w:val="16"/>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245535D7"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Total Annual Wage Burden Costs</w:t>
            </w:r>
            <w:r w:rsidRPr="00160D41">
              <w:rPr>
                <w:rFonts w:ascii="Calibri" w:hAnsi="Calibri" w:eastAsia="Times New Roman" w:cs="Calibri"/>
                <w:b/>
                <w:bCs/>
                <w:color w:val="000000"/>
                <w:sz w:val="16"/>
                <w:szCs w:val="16"/>
              </w:rPr>
              <w:br/>
              <w:t>(g) = (e) x (f)</w:t>
            </w:r>
          </w:p>
        </w:tc>
      </w:tr>
      <w:tr w:rsidRPr="00160D41" w:rsidR="00D64DF9" w:rsidTr="00D64DF9" w14:paraId="0510248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160D41" w:rsidR="00D64DF9" w:rsidP="00D64DF9" w:rsidRDefault="00D64DF9" w14:paraId="24B6643E"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6B602B">
              <w:rPr>
                <w:rFonts w:ascii="Arial" w:hAnsi="Arial" w:cs="Arial"/>
                <w:b/>
                <w:bCs/>
                <w:sz w:val="16"/>
                <w:szCs w:val="16"/>
              </w:rPr>
              <w:t>Management Plans</w:t>
            </w:r>
          </w:p>
        </w:tc>
        <w:tc>
          <w:tcPr>
            <w:tcW w:w="1945" w:type="dxa"/>
            <w:tcBorders>
              <w:top w:val="nil"/>
              <w:left w:val="nil"/>
              <w:bottom w:val="single" w:color="auto" w:sz="4" w:space="0"/>
              <w:right w:val="single" w:color="auto" w:sz="4" w:space="0"/>
            </w:tcBorders>
            <w:shd w:val="clear" w:color="auto" w:fill="auto"/>
            <w:vAlign w:val="bottom"/>
            <w:hideMark/>
          </w:tcPr>
          <w:p w:rsidRPr="00BF0485" w:rsidR="00D64DF9" w:rsidP="00D97281" w:rsidRDefault="00255157" w14:paraId="51B762C5" w14:textId="7A5EE81A">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D64DF9" w:rsidP="00D64DF9" w:rsidRDefault="00160D41" w14:paraId="0354EEC5" w14:textId="620FEB0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29</w:t>
            </w:r>
            <w:r w:rsidRPr="00160D41" w:rsid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00D64DF9" w:rsidP="00D64DF9" w:rsidRDefault="004C6834" w14:paraId="5B0A1CBA" w14:textId="777777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0.14</w:t>
            </w:r>
          </w:p>
          <w:p w:rsidRPr="00160D41" w:rsidR="006E192D" w:rsidP="004B03D8" w:rsidRDefault="004B03D8" w14:paraId="6C58AED1" w14:textId="2B28C582">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(Management Plan revision is a multiyear process)</w:t>
            </w:r>
          </w:p>
        </w:tc>
        <w:tc>
          <w:tcPr>
            <w:tcW w:w="1170" w:type="dxa"/>
            <w:tcBorders>
              <w:top w:val="nil"/>
              <w:left w:val="nil"/>
              <w:bottom w:val="single" w:color="auto" w:sz="4" w:space="0"/>
              <w:right w:val="single" w:color="auto" w:sz="4" w:space="0"/>
            </w:tcBorders>
            <w:shd w:val="clear" w:color="auto" w:fill="auto"/>
            <w:vAlign w:val="bottom"/>
            <w:hideMark/>
          </w:tcPr>
          <w:p w:rsidRPr="00160D41" w:rsidR="00D64DF9" w:rsidP="00D64DF9" w:rsidRDefault="006B602B" w14:paraId="21376B0F"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4</w:t>
            </w:r>
            <w:r w:rsidRPr="00160D41" w:rsidR="00D64DF9">
              <w:rPr>
                <w:rFonts w:ascii="Calibri" w:hAnsi="Calibri" w:eastAsia="Times New Roman"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160D41" w:rsidR="00D64DF9" w:rsidP="00D64DF9" w:rsidRDefault="004B03D8" w14:paraId="6612F4D7" w14:textId="4C14BBE0">
            <w:pPr>
              <w:widowControl/>
              <w:autoSpaceDE/>
              <w:autoSpaceDN/>
              <w:jc w:val="right"/>
              <w:rPr>
                <w:rFonts w:ascii="Calibri" w:hAnsi="Calibri" w:eastAsia="Times New Roman" w:cs="Calibri"/>
                <w:color w:val="000000"/>
                <w:sz w:val="16"/>
                <w:szCs w:val="16"/>
              </w:rPr>
            </w:pPr>
            <w:r>
              <w:rPr>
                <w:rFonts w:ascii="Arial" w:hAnsi="Arial" w:cs="Arial"/>
                <w:sz w:val="16"/>
                <w:szCs w:val="16"/>
              </w:rPr>
              <w:t>1,5</w:t>
            </w:r>
            <w:r w:rsidRPr="00160D41" w:rsidR="00C63E58">
              <w:rPr>
                <w:rFonts w:ascii="Arial" w:hAnsi="Arial" w:cs="Arial"/>
                <w:sz w:val="16"/>
                <w:szCs w:val="16"/>
              </w:rPr>
              <w:t>00</w:t>
            </w:r>
            <w:r w:rsidRPr="00160D41" w:rsidR="00D64DF9">
              <w:rPr>
                <w:rFonts w:ascii="Calibri" w:hAnsi="Calibri" w:eastAsia="Times New Roman" w:cs="Calibri"/>
                <w:color w:val="000000"/>
                <w:sz w:val="16"/>
                <w:szCs w:val="16"/>
              </w:rPr>
              <w:t> </w:t>
            </w:r>
          </w:p>
        </w:tc>
        <w:tc>
          <w:tcPr>
            <w:tcW w:w="1137" w:type="dxa"/>
            <w:tcBorders>
              <w:top w:val="nil"/>
              <w:left w:val="nil"/>
              <w:bottom w:val="single" w:color="auto" w:sz="4" w:space="0"/>
              <w:right w:val="single" w:color="auto" w:sz="4" w:space="0"/>
            </w:tcBorders>
            <w:shd w:val="clear" w:color="auto" w:fill="auto"/>
            <w:vAlign w:val="bottom"/>
            <w:hideMark/>
          </w:tcPr>
          <w:p w:rsidRPr="00160D41" w:rsidR="00D64DF9" w:rsidP="004B03D8" w:rsidRDefault="006E192D" w14:paraId="0047C682" w14:textId="490D1EF4">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w:t>
            </w:r>
            <w:r w:rsidR="004B03D8">
              <w:rPr>
                <w:rFonts w:ascii="Calibri" w:hAnsi="Calibri" w:eastAsia="Times New Roman" w:cs="Calibri"/>
                <w:color w:val="000000"/>
                <w:sz w:val="16"/>
                <w:szCs w:val="16"/>
              </w:rPr>
              <w:t>0</w:t>
            </w:r>
            <w:r>
              <w:rPr>
                <w:rFonts w:ascii="Calibri" w:hAnsi="Calibri" w:eastAsia="Times New Roman" w:cs="Calibri"/>
                <w:color w:val="000000"/>
                <w:sz w:val="16"/>
                <w:szCs w:val="16"/>
              </w:rPr>
              <w:t>00</w:t>
            </w:r>
            <w:r w:rsidRPr="00160D41" w:rsidR="00D64DF9">
              <w:rPr>
                <w:rFonts w:ascii="Calibri" w:hAnsi="Calibri" w:eastAsia="Times New Roman" w:cs="Calibri"/>
                <w:color w:val="000000"/>
                <w:sz w:val="16"/>
                <w:szCs w:val="16"/>
              </w:rPr>
              <w:t> </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D64DF9" w:rsidP="00D64DF9" w:rsidRDefault="00D97281" w14:paraId="5C971A01"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w:t>
            </w:r>
            <w:r w:rsidRPr="00160D41" w:rsid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D64DF9" w:rsidP="006E192D" w:rsidRDefault="00275DA6" w14:paraId="2BCD7BB9" w14:textId="3D1810B4">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w:t>
            </w:r>
            <w:r w:rsidR="006E192D">
              <w:rPr>
                <w:rFonts w:ascii="Calibri" w:hAnsi="Calibri" w:eastAsia="Times New Roman" w:cs="Calibri"/>
                <w:color w:val="000000"/>
                <w:sz w:val="16"/>
                <w:szCs w:val="16"/>
              </w:rPr>
              <w:t>196,620</w:t>
            </w:r>
            <w:r w:rsidRPr="00160D41" w:rsidR="00D64DF9">
              <w:rPr>
                <w:rFonts w:ascii="Calibri" w:hAnsi="Calibri" w:eastAsia="Times New Roman" w:cs="Calibri"/>
                <w:color w:val="000000"/>
                <w:sz w:val="16"/>
                <w:szCs w:val="16"/>
              </w:rPr>
              <w:t> </w:t>
            </w:r>
          </w:p>
        </w:tc>
      </w:tr>
      <w:tr w:rsidRPr="00160D41" w:rsidR="005B615B" w:rsidTr="00D64DF9" w14:paraId="56F727F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39631F" w:rsidR="005B615B" w:rsidP="005B615B" w:rsidRDefault="005B615B" w14:paraId="57560AFC" w14:textId="77777777">
            <w:pPr>
              <w:widowControl/>
              <w:autoSpaceDE/>
              <w:autoSpaceDN/>
              <w:rPr>
                <w:rFonts w:ascii="Calibri" w:hAnsi="Calibri" w:eastAsia="Times New Roman" w:cs="Calibri"/>
                <w:b/>
                <w:color w:val="000000"/>
                <w:sz w:val="16"/>
                <w:szCs w:val="16"/>
              </w:rPr>
            </w:pPr>
            <w:r w:rsidRPr="00160D41">
              <w:rPr>
                <w:rFonts w:ascii="Calibri" w:hAnsi="Calibri" w:eastAsia="Times New Roman" w:cs="Calibri"/>
                <w:color w:val="000000"/>
                <w:sz w:val="16"/>
                <w:szCs w:val="16"/>
              </w:rPr>
              <w:t> </w:t>
            </w:r>
            <w:r w:rsidRPr="0039631F">
              <w:rPr>
                <w:rFonts w:ascii="Calibri" w:hAnsi="Calibri" w:eastAsia="Times New Roman" w:cs="Calibri"/>
                <w:b/>
                <w:color w:val="000000"/>
                <w:sz w:val="16"/>
                <w:szCs w:val="16"/>
              </w:rPr>
              <w:t>Site Profile</w:t>
            </w:r>
          </w:p>
        </w:tc>
        <w:tc>
          <w:tcPr>
            <w:tcW w:w="1945" w:type="dxa"/>
            <w:tcBorders>
              <w:top w:val="nil"/>
              <w:left w:val="nil"/>
              <w:bottom w:val="single" w:color="auto" w:sz="4" w:space="0"/>
              <w:right w:val="single" w:color="auto" w:sz="4" w:space="0"/>
            </w:tcBorders>
            <w:shd w:val="clear" w:color="auto" w:fill="auto"/>
            <w:vAlign w:val="bottom"/>
            <w:hideMark/>
          </w:tcPr>
          <w:p w:rsidRPr="00BF0485" w:rsidR="005B615B" w:rsidP="005B615B" w:rsidRDefault="005B615B" w14:paraId="0F8875F3" w14:textId="13CF3B97">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0121971D" w14:textId="1C7A589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60D41">
              <w:rPr>
                <w:rFonts w:ascii="Calibri" w:hAnsi="Calibri" w:eastAsia="Times New Roman" w:cs="Calibri"/>
                <w:color w:val="000000"/>
                <w:sz w:val="16"/>
                <w:szCs w:val="16"/>
              </w:rPr>
              <w:t xml:space="preserve"> </w:t>
            </w:r>
          </w:p>
        </w:tc>
        <w:tc>
          <w:tcPr>
            <w:tcW w:w="1349" w:type="dxa"/>
            <w:tcBorders>
              <w:top w:val="nil"/>
              <w:left w:val="nil"/>
              <w:bottom w:val="single" w:color="auto" w:sz="4" w:space="0"/>
              <w:right w:val="single" w:color="auto" w:sz="4" w:space="0"/>
            </w:tcBorders>
            <w:shd w:val="clear" w:color="auto" w:fill="auto"/>
            <w:vAlign w:val="bottom"/>
            <w:hideMark/>
          </w:tcPr>
          <w:p w:rsidR="005B615B" w:rsidP="005B615B" w:rsidRDefault="005B615B" w14:paraId="04C82994" w14:textId="777777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.33</w:t>
            </w:r>
          </w:p>
          <w:p w:rsidRPr="00160D41" w:rsidR="005B615B" w:rsidP="005B615B" w:rsidRDefault="005B615B" w14:paraId="00AEF0FB" w14:textId="03F1721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(This is a multiyear process</w:t>
            </w:r>
          </w:p>
        </w:tc>
        <w:tc>
          <w:tcPr>
            <w:tcW w:w="117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525F7E90"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0.33</w:t>
            </w:r>
          </w:p>
        </w:tc>
        <w:tc>
          <w:tcPr>
            <w:tcW w:w="108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41E9E6CF" w14:textId="5E6B8F4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1800</w:t>
            </w:r>
            <w:r w:rsidRPr="00160D41">
              <w:rPr>
                <w:rFonts w:ascii="Calibri" w:hAnsi="Calibri" w:eastAsia="Times New Roman" w:cs="Calibri"/>
                <w:color w:val="000000"/>
                <w:sz w:val="16"/>
                <w:szCs w:val="16"/>
              </w:rPr>
              <w:t> </w:t>
            </w:r>
          </w:p>
        </w:tc>
        <w:tc>
          <w:tcPr>
            <w:tcW w:w="1137"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45487714"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594 </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5B615B" w:rsidP="005B615B" w:rsidRDefault="005B615B" w14:paraId="080D18FB"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5B615B" w:rsidP="005B615B" w:rsidRDefault="005B615B" w14:paraId="7983F912" w14:textId="58551BB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$19,465</w:t>
            </w:r>
            <w:r w:rsidRPr="00160D41">
              <w:rPr>
                <w:rFonts w:ascii="Calibri" w:hAnsi="Calibri" w:eastAsia="Times New Roman" w:cs="Calibri"/>
                <w:color w:val="000000"/>
                <w:sz w:val="16"/>
                <w:szCs w:val="16"/>
              </w:rPr>
              <w:t> </w:t>
            </w:r>
          </w:p>
        </w:tc>
      </w:tr>
      <w:tr w:rsidRPr="00160D41" w:rsidR="005B615B" w:rsidTr="00D64DF9" w14:paraId="31C631C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160D41" w:rsidR="005B615B" w:rsidP="005B615B" w:rsidRDefault="005B615B" w14:paraId="62C51575"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Pr>
                <w:rFonts w:ascii="Arial" w:hAnsi="Arial" w:cs="Arial"/>
                <w:b/>
                <w:bCs/>
                <w:sz w:val="16"/>
                <w:szCs w:val="16"/>
              </w:rPr>
              <w:t>Site designation</w:t>
            </w:r>
          </w:p>
        </w:tc>
        <w:tc>
          <w:tcPr>
            <w:tcW w:w="1945" w:type="dxa"/>
            <w:tcBorders>
              <w:top w:val="nil"/>
              <w:left w:val="nil"/>
              <w:bottom w:val="single" w:color="auto" w:sz="4" w:space="0"/>
              <w:right w:val="single" w:color="auto" w:sz="4" w:space="0"/>
            </w:tcBorders>
            <w:shd w:val="clear" w:color="auto" w:fill="auto"/>
            <w:vAlign w:val="bottom"/>
            <w:hideMark/>
          </w:tcPr>
          <w:p w:rsidRPr="00BF0485" w:rsidR="005B615B" w:rsidP="005B615B" w:rsidRDefault="005B615B" w14:paraId="301936B4" w14:textId="6D91BCCE">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52545954" w14:textId="4E01F4E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w:t>
            </w:r>
            <w:r w:rsidRPr="00160D41">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005B615B" w:rsidP="005B615B" w:rsidRDefault="005B615B" w14:paraId="218BFF0B" w14:textId="777777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.02</w:t>
            </w:r>
          </w:p>
          <w:p w:rsidRPr="00160D41" w:rsidR="005B615B" w:rsidP="005B615B" w:rsidRDefault="005B615B" w14:paraId="08F3BF5D" w14:textId="1253269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(Reserve designation is a multiyear process)</w:t>
            </w:r>
            <w:r w:rsidRPr="00160D41">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0A011015"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0.6</w:t>
            </w:r>
          </w:p>
        </w:tc>
        <w:tc>
          <w:tcPr>
            <w:tcW w:w="108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65D29911"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2500</w:t>
            </w:r>
          </w:p>
        </w:tc>
        <w:tc>
          <w:tcPr>
            <w:tcW w:w="1137"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5B471E28"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1500</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5B615B" w:rsidP="005B615B" w:rsidRDefault="005B615B" w14:paraId="525CBD78"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5B615B" w:rsidP="005B615B" w:rsidRDefault="005B615B" w14:paraId="4ADD95BC"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$49,155 </w:t>
            </w:r>
          </w:p>
        </w:tc>
      </w:tr>
      <w:tr w:rsidRPr="00160D41" w:rsidR="005B615B" w:rsidTr="00D64DF9" w14:paraId="2ED07F76"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160D41" w:rsidR="005B615B" w:rsidP="005B615B" w:rsidRDefault="005B615B" w14:paraId="1B70690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Pr>
                <w:rFonts w:ascii="Arial" w:hAnsi="Arial" w:cs="Arial"/>
                <w:b/>
                <w:bCs/>
                <w:sz w:val="16"/>
                <w:szCs w:val="16"/>
              </w:rPr>
              <w:t>Grant Progress Reporting - comprehensive</w:t>
            </w:r>
          </w:p>
        </w:tc>
        <w:tc>
          <w:tcPr>
            <w:tcW w:w="1945" w:type="dxa"/>
            <w:tcBorders>
              <w:top w:val="nil"/>
              <w:left w:val="nil"/>
              <w:bottom w:val="single" w:color="auto" w:sz="4" w:space="0"/>
              <w:right w:val="single" w:color="auto" w:sz="4" w:space="0"/>
            </w:tcBorders>
            <w:shd w:val="clear" w:color="auto" w:fill="auto"/>
            <w:vAlign w:val="bottom"/>
            <w:hideMark/>
          </w:tcPr>
          <w:p w:rsidRPr="00BF0485" w:rsidR="005B615B" w:rsidP="005B615B" w:rsidRDefault="005B615B" w14:paraId="57CCD413" w14:textId="25AD3A7A">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67F0CDAB"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349"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1C0F0120"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06AAE09A" w14:textId="70B6CFDB">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58 </w:t>
            </w:r>
          </w:p>
        </w:tc>
        <w:tc>
          <w:tcPr>
            <w:tcW w:w="108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64771B5B"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10</w:t>
            </w:r>
          </w:p>
        </w:tc>
        <w:tc>
          <w:tcPr>
            <w:tcW w:w="1137"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486160BA" w14:textId="7899AF5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580 </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5B615B" w:rsidP="005B615B" w:rsidRDefault="005B615B" w14:paraId="5AC8A446"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5B615B" w:rsidP="005B615B" w:rsidRDefault="005B615B" w14:paraId="5E52F010" w14:textId="1D79B4AE">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$19,006 </w:t>
            </w:r>
          </w:p>
        </w:tc>
      </w:tr>
      <w:tr w:rsidRPr="00160D41" w:rsidR="005B615B" w:rsidTr="00D64DF9" w14:paraId="24FCC83F"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160D41" w:rsidR="005B615B" w:rsidP="005B615B" w:rsidRDefault="005B615B" w14:paraId="0FB6B00E"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Pr>
                <w:rFonts w:ascii="Arial" w:hAnsi="Arial" w:cs="Arial"/>
                <w:b/>
                <w:bCs/>
                <w:sz w:val="16"/>
                <w:szCs w:val="16"/>
              </w:rPr>
              <w:t>Grant Progress Report – Final non-comprehensive</w:t>
            </w:r>
          </w:p>
        </w:tc>
        <w:tc>
          <w:tcPr>
            <w:tcW w:w="1945" w:type="dxa"/>
            <w:tcBorders>
              <w:top w:val="nil"/>
              <w:left w:val="nil"/>
              <w:bottom w:val="single" w:color="auto" w:sz="4" w:space="0"/>
              <w:right w:val="single" w:color="auto" w:sz="4" w:space="0"/>
            </w:tcBorders>
            <w:shd w:val="clear" w:color="auto" w:fill="auto"/>
            <w:vAlign w:val="bottom"/>
            <w:hideMark/>
          </w:tcPr>
          <w:p w:rsidRPr="00BF0485" w:rsidR="005B615B" w:rsidP="005B615B" w:rsidRDefault="005B615B" w14:paraId="2A04FCA6" w14:textId="1C446341">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1C5D29F9"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 29</w:t>
            </w:r>
          </w:p>
        </w:tc>
        <w:tc>
          <w:tcPr>
            <w:tcW w:w="1349"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3D1FFBBE"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0F096A0A"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29 </w:t>
            </w:r>
          </w:p>
        </w:tc>
        <w:tc>
          <w:tcPr>
            <w:tcW w:w="108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7735B614" w14:textId="4683086B">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4 </w:t>
            </w:r>
          </w:p>
        </w:tc>
        <w:tc>
          <w:tcPr>
            <w:tcW w:w="1137"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62972329" w14:textId="06EF810A">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116</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5B615B" w:rsidP="005B615B" w:rsidRDefault="005B615B" w14:paraId="5B2CCC83"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5B615B" w:rsidP="005B615B" w:rsidRDefault="005B615B" w14:paraId="60AE97A7" w14:textId="01E03A6E">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$3,801 </w:t>
            </w:r>
          </w:p>
        </w:tc>
      </w:tr>
      <w:tr w:rsidRPr="00160D41" w:rsidR="005B615B" w:rsidTr="00D64DF9" w14:paraId="3991B434" w14:textId="77777777">
        <w:trPr>
          <w:trHeight w:val="315"/>
        </w:trPr>
        <w:tc>
          <w:tcPr>
            <w:tcW w:w="3560" w:type="dxa"/>
            <w:tcBorders>
              <w:top w:val="nil"/>
              <w:left w:val="single" w:color="auto" w:sz="8" w:space="0"/>
              <w:bottom w:val="single" w:color="auto" w:sz="8" w:space="0"/>
              <w:right w:val="single" w:color="auto" w:sz="4" w:space="0"/>
            </w:tcBorders>
            <w:shd w:val="clear" w:color="auto" w:fill="auto"/>
            <w:vAlign w:val="bottom"/>
            <w:hideMark/>
          </w:tcPr>
          <w:p w:rsidRPr="00160D41" w:rsidR="005B615B" w:rsidP="005B615B" w:rsidRDefault="005B615B" w14:paraId="109AE5E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Pr>
                <w:rFonts w:ascii="Arial" w:hAnsi="Arial" w:cs="Arial"/>
                <w:b/>
                <w:bCs/>
                <w:sz w:val="16"/>
                <w:szCs w:val="16"/>
              </w:rPr>
              <w:t>Grant Application</w:t>
            </w:r>
          </w:p>
        </w:tc>
        <w:tc>
          <w:tcPr>
            <w:tcW w:w="1945" w:type="dxa"/>
            <w:tcBorders>
              <w:top w:val="nil"/>
              <w:left w:val="nil"/>
              <w:bottom w:val="single" w:color="auto" w:sz="8" w:space="0"/>
              <w:right w:val="single" w:color="auto" w:sz="4" w:space="0"/>
            </w:tcBorders>
            <w:shd w:val="clear" w:color="auto" w:fill="auto"/>
            <w:vAlign w:val="bottom"/>
            <w:hideMark/>
          </w:tcPr>
          <w:p w:rsidRPr="00BF0485" w:rsidR="005B615B" w:rsidP="00B84915" w:rsidRDefault="005B615B" w14:paraId="2173115C" w14:textId="10D980EA">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8" w:space="0"/>
              <w:right w:val="single" w:color="auto" w:sz="4" w:space="0"/>
            </w:tcBorders>
            <w:shd w:val="clear" w:color="auto" w:fill="auto"/>
            <w:vAlign w:val="bottom"/>
            <w:hideMark/>
          </w:tcPr>
          <w:p w:rsidRPr="00160D41" w:rsidR="005B615B" w:rsidP="005B615B" w:rsidRDefault="005B615B" w14:paraId="630D3781" w14:textId="5111260D">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29</w:t>
            </w:r>
          </w:p>
          <w:p w:rsidRPr="00160D41" w:rsidR="005B615B" w:rsidP="005B615B" w:rsidRDefault="005B615B" w14:paraId="566DB79C" w14:textId="651ECD55">
            <w:pPr>
              <w:widowControl/>
              <w:autoSpaceDE/>
              <w:autoSpaceDN/>
              <w:jc w:val="center"/>
              <w:rPr>
                <w:rFonts w:ascii="Calibri" w:hAnsi="Calibri" w:eastAsia="Times New Roman" w:cs="Calibri"/>
                <w:color w:val="000000"/>
                <w:sz w:val="16"/>
                <w:szCs w:val="16"/>
              </w:rPr>
            </w:pPr>
          </w:p>
        </w:tc>
        <w:tc>
          <w:tcPr>
            <w:tcW w:w="1349" w:type="dxa"/>
            <w:tcBorders>
              <w:top w:val="nil"/>
              <w:left w:val="nil"/>
              <w:bottom w:val="single" w:color="auto" w:sz="8" w:space="0"/>
              <w:right w:val="single" w:color="auto" w:sz="4" w:space="0"/>
            </w:tcBorders>
            <w:shd w:val="clear" w:color="auto" w:fill="auto"/>
            <w:vAlign w:val="bottom"/>
            <w:hideMark/>
          </w:tcPr>
          <w:p w:rsidR="005B615B" w:rsidP="005B615B" w:rsidRDefault="005B615B" w14:paraId="78F483E4" w14:textId="777777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.83 </w:t>
            </w:r>
          </w:p>
          <w:p w:rsidRPr="00160D41" w:rsidR="005B615B" w:rsidP="005B615B" w:rsidRDefault="005B615B" w14:paraId="4A29B68F" w14:textId="3E8CD6D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(estimating 10 reserves submit only every other year due to multi-year applications)</w:t>
            </w:r>
          </w:p>
        </w:tc>
        <w:tc>
          <w:tcPr>
            <w:tcW w:w="1170" w:type="dxa"/>
            <w:tcBorders>
              <w:top w:val="nil"/>
              <w:left w:val="nil"/>
              <w:bottom w:val="single" w:color="auto" w:sz="8" w:space="0"/>
              <w:right w:val="single" w:color="auto" w:sz="4" w:space="0"/>
            </w:tcBorders>
            <w:shd w:val="clear" w:color="auto" w:fill="auto"/>
            <w:vAlign w:val="bottom"/>
            <w:hideMark/>
          </w:tcPr>
          <w:p w:rsidRPr="00160D41" w:rsidR="005B615B" w:rsidP="005B615B" w:rsidRDefault="005B615B" w14:paraId="3D4D7274" w14:textId="4E3E4494">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24</w:t>
            </w:r>
          </w:p>
        </w:tc>
        <w:tc>
          <w:tcPr>
            <w:tcW w:w="1080" w:type="dxa"/>
            <w:tcBorders>
              <w:top w:val="nil"/>
              <w:left w:val="nil"/>
              <w:bottom w:val="single" w:color="auto" w:sz="8" w:space="0"/>
              <w:right w:val="single" w:color="auto" w:sz="4" w:space="0"/>
            </w:tcBorders>
            <w:shd w:val="clear" w:color="auto" w:fill="auto"/>
            <w:vAlign w:val="bottom"/>
            <w:hideMark/>
          </w:tcPr>
          <w:p w:rsidRPr="00160D41" w:rsidR="005B615B" w:rsidP="005B615B" w:rsidRDefault="005B615B" w14:paraId="5F2C9232" w14:textId="7F648BA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24</w:t>
            </w:r>
            <w:r w:rsidRPr="00160D41">
              <w:rPr>
                <w:rFonts w:ascii="Calibri" w:hAnsi="Calibri" w:eastAsia="Times New Roman" w:cs="Calibri"/>
                <w:color w:val="000000"/>
                <w:sz w:val="16"/>
                <w:szCs w:val="16"/>
              </w:rPr>
              <w:t> </w:t>
            </w:r>
          </w:p>
        </w:tc>
        <w:tc>
          <w:tcPr>
            <w:tcW w:w="1137" w:type="dxa"/>
            <w:tcBorders>
              <w:top w:val="nil"/>
              <w:left w:val="nil"/>
              <w:bottom w:val="single" w:color="auto" w:sz="8" w:space="0"/>
              <w:right w:val="single" w:color="auto" w:sz="4" w:space="0"/>
            </w:tcBorders>
            <w:shd w:val="clear" w:color="auto" w:fill="auto"/>
            <w:vAlign w:val="bottom"/>
            <w:hideMark/>
          </w:tcPr>
          <w:p w:rsidRPr="00160D41" w:rsidR="005B615B" w:rsidP="005B615B" w:rsidRDefault="005B615B" w14:paraId="4BF181FF" w14:textId="0944EE5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384 </w:t>
            </w:r>
          </w:p>
        </w:tc>
        <w:tc>
          <w:tcPr>
            <w:tcW w:w="1066" w:type="dxa"/>
            <w:tcBorders>
              <w:top w:val="nil"/>
              <w:left w:val="nil"/>
              <w:bottom w:val="single" w:color="auto" w:sz="8" w:space="0"/>
              <w:right w:val="single" w:color="auto" w:sz="4" w:space="0"/>
            </w:tcBorders>
            <w:shd w:val="clear" w:color="auto" w:fill="auto"/>
            <w:noWrap/>
            <w:vAlign w:val="bottom"/>
            <w:hideMark/>
          </w:tcPr>
          <w:p w:rsidRPr="00160D41" w:rsidR="005B615B" w:rsidP="005B615B" w:rsidRDefault="005B615B" w14:paraId="0B14FAD1"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8" w:space="0"/>
              <w:right w:val="single" w:color="auto" w:sz="8" w:space="0"/>
            </w:tcBorders>
            <w:shd w:val="clear" w:color="auto" w:fill="auto"/>
            <w:noWrap/>
            <w:vAlign w:val="bottom"/>
            <w:hideMark/>
          </w:tcPr>
          <w:p w:rsidRPr="00160D41" w:rsidR="005B615B" w:rsidP="005B615B" w:rsidRDefault="005B615B" w14:paraId="3EE6DBF9" w14:textId="1F3B3150">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w:t>
            </w:r>
            <w:r>
              <w:rPr>
                <w:rFonts w:ascii="Calibri" w:hAnsi="Calibri" w:eastAsia="Times New Roman" w:cs="Calibri"/>
                <w:color w:val="000000"/>
                <w:sz w:val="16"/>
                <w:szCs w:val="16"/>
              </w:rPr>
              <w:t>18,875</w:t>
            </w:r>
            <w:r w:rsidRPr="00160D41">
              <w:rPr>
                <w:rFonts w:ascii="Calibri" w:hAnsi="Calibri" w:eastAsia="Times New Roman" w:cs="Calibri"/>
                <w:color w:val="000000"/>
                <w:sz w:val="16"/>
                <w:szCs w:val="16"/>
              </w:rPr>
              <w:t> </w:t>
            </w:r>
          </w:p>
        </w:tc>
      </w:tr>
      <w:tr w:rsidRPr="00160D41" w:rsidR="005B615B" w:rsidTr="00D64DF9" w14:paraId="490C5933" w14:textId="77777777">
        <w:trPr>
          <w:trHeight w:val="315"/>
        </w:trPr>
        <w:tc>
          <w:tcPr>
            <w:tcW w:w="3560" w:type="dxa"/>
            <w:tcBorders>
              <w:top w:val="nil"/>
              <w:left w:val="single" w:color="auto" w:sz="8" w:space="0"/>
              <w:bottom w:val="single" w:color="auto" w:sz="8" w:space="0"/>
              <w:right w:val="single" w:color="auto" w:sz="4" w:space="0"/>
            </w:tcBorders>
            <w:shd w:val="clear" w:color="auto" w:fill="auto"/>
            <w:vAlign w:val="bottom"/>
          </w:tcPr>
          <w:p w:rsidRPr="00160D41" w:rsidR="005B615B" w:rsidP="005B615B" w:rsidRDefault="005B615B" w14:paraId="25BAF314" w14:textId="77777777">
            <w:pPr>
              <w:widowControl/>
              <w:autoSpaceDE/>
              <w:autoSpaceDN/>
              <w:rPr>
                <w:rFonts w:ascii="Calibri" w:hAnsi="Calibri" w:eastAsia="Times New Roman" w:cs="Calibri"/>
                <w:color w:val="000000"/>
                <w:sz w:val="16"/>
                <w:szCs w:val="16"/>
              </w:rPr>
            </w:pPr>
            <w:r w:rsidRPr="00160D41">
              <w:rPr>
                <w:rFonts w:ascii="Arial" w:hAnsi="Arial" w:cs="Arial"/>
                <w:b/>
                <w:bCs/>
                <w:sz w:val="16"/>
                <w:szCs w:val="16"/>
              </w:rPr>
              <w:lastRenderedPageBreak/>
              <w:t>NEPA and SHPO</w:t>
            </w:r>
          </w:p>
        </w:tc>
        <w:tc>
          <w:tcPr>
            <w:tcW w:w="1945" w:type="dxa"/>
            <w:tcBorders>
              <w:top w:val="nil"/>
              <w:left w:val="nil"/>
              <w:bottom w:val="single" w:color="auto" w:sz="8" w:space="0"/>
              <w:right w:val="single" w:color="auto" w:sz="4" w:space="0"/>
            </w:tcBorders>
            <w:shd w:val="clear" w:color="auto" w:fill="auto"/>
            <w:vAlign w:val="bottom"/>
          </w:tcPr>
          <w:p w:rsidRPr="00BF0485" w:rsidR="005B615B" w:rsidP="00B84915" w:rsidRDefault="005B615B" w14:paraId="100C04FC" w14:textId="0C16DFEF">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3827EC4C"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349"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6EA0F4A7"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w:t>
            </w:r>
          </w:p>
        </w:tc>
        <w:tc>
          <w:tcPr>
            <w:tcW w:w="1170"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2FD68ABA"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080"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5494D650" w14:textId="4648313C">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w:t>
            </w:r>
          </w:p>
        </w:tc>
        <w:tc>
          <w:tcPr>
            <w:tcW w:w="1137"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6CEEA59C" w14:textId="2A7FF27B">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58</w:t>
            </w:r>
          </w:p>
        </w:tc>
        <w:tc>
          <w:tcPr>
            <w:tcW w:w="1066" w:type="dxa"/>
            <w:tcBorders>
              <w:top w:val="nil"/>
              <w:left w:val="nil"/>
              <w:bottom w:val="single" w:color="auto" w:sz="8" w:space="0"/>
              <w:right w:val="single" w:color="auto" w:sz="4" w:space="0"/>
            </w:tcBorders>
            <w:shd w:val="clear" w:color="auto" w:fill="auto"/>
            <w:noWrap/>
            <w:vAlign w:val="bottom"/>
          </w:tcPr>
          <w:p w:rsidRPr="00160D41" w:rsidR="005B615B" w:rsidP="005B615B" w:rsidRDefault="005B615B" w14:paraId="1A5436C1"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8" w:space="0"/>
              <w:right w:val="single" w:color="auto" w:sz="8" w:space="0"/>
            </w:tcBorders>
            <w:shd w:val="clear" w:color="auto" w:fill="auto"/>
            <w:noWrap/>
            <w:vAlign w:val="bottom"/>
          </w:tcPr>
          <w:p w:rsidRPr="00160D41" w:rsidR="005B615B" w:rsidP="005B615B" w:rsidRDefault="005B615B" w14:paraId="2BC53EF0" w14:textId="58EF7B51">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$1,900</w:t>
            </w:r>
          </w:p>
        </w:tc>
      </w:tr>
      <w:tr w:rsidRPr="00160D41" w:rsidR="005B615B" w:rsidTr="00255157" w14:paraId="264213A3" w14:textId="77777777">
        <w:trPr>
          <w:trHeight w:val="367"/>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160D41" w:rsidR="005B615B" w:rsidP="005B615B" w:rsidRDefault="005B615B" w14:paraId="35F9BE29"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4900F7C5"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452E2858"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16CE8167"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160D41" w:rsidR="005B615B" w:rsidP="005B615B" w:rsidRDefault="005B615B" w14:paraId="0B470032" w14:textId="1F4C038F">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r>
              <w:rPr>
                <w:rFonts w:ascii="Calibri" w:hAnsi="Calibri" w:eastAsia="Times New Roman" w:cs="Calibri"/>
                <w:b/>
                <w:bCs/>
                <w:color w:val="000000"/>
              </w:rPr>
              <w:t>145</w:t>
            </w:r>
          </w:p>
        </w:tc>
        <w:tc>
          <w:tcPr>
            <w:tcW w:w="1080"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3DDF4559"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160D41" w:rsidR="005B615B" w:rsidP="005B615B" w:rsidRDefault="005B615B" w14:paraId="3974303D" w14:textId="3EB68CA5">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r>
              <w:rPr>
                <w:rFonts w:ascii="Calibri" w:hAnsi="Calibri" w:eastAsia="Times New Roman" w:cs="Calibri"/>
                <w:b/>
                <w:bCs/>
                <w:color w:val="000000"/>
              </w:rPr>
              <w:t>9,232</w:t>
            </w:r>
          </w:p>
        </w:tc>
        <w:tc>
          <w:tcPr>
            <w:tcW w:w="1066"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396B63E2"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160D41" w:rsidR="005B615B" w:rsidP="005B615B" w:rsidRDefault="005B615B" w14:paraId="67E3B921" w14:textId="56C827B9">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r>
              <w:rPr>
                <w:rFonts w:ascii="Calibri" w:hAnsi="Calibri" w:eastAsia="Times New Roman" w:cs="Calibri"/>
                <w:b/>
                <w:bCs/>
                <w:color w:val="000000"/>
              </w:rPr>
              <w:t>$308,882</w:t>
            </w:r>
          </w:p>
        </w:tc>
      </w:tr>
    </w:tbl>
    <w:p w:rsidRPr="00160D41" w:rsidR="00D64DF9" w:rsidP="00D64DF9" w:rsidRDefault="00D64DF9" w14:paraId="4FF8163A" w14:textId="5353DE35">
      <w:pPr>
        <w:spacing w:line="259" w:lineRule="auto"/>
        <w:rPr>
          <w:rFonts w:cs="Times New Roman"/>
          <w:b/>
          <w:color w:val="FF0000"/>
          <w:szCs w:val="24"/>
        </w:rPr>
      </w:pPr>
    </w:p>
    <w:p w:rsidRPr="00160D41" w:rsidR="00F06163" w:rsidP="00D64DF9" w:rsidRDefault="00F06163" w14:paraId="53806C99" w14:textId="77777777">
      <w:pPr>
        <w:spacing w:line="259" w:lineRule="auto"/>
        <w:rPr>
          <w:rFonts w:cs="Times New Roman"/>
          <w:b/>
          <w:color w:val="FF0000"/>
          <w:szCs w:val="24"/>
        </w:rPr>
      </w:pPr>
    </w:p>
    <w:p w:rsidRPr="00160D41" w:rsidR="008E61C9" w:rsidP="00BD7237" w:rsidRDefault="008E61C9" w14:paraId="00AB82A4" w14:textId="77777777">
      <w:pPr>
        <w:spacing w:line="259" w:lineRule="auto"/>
        <w:jc w:val="center"/>
        <w:rPr>
          <w:rFonts w:cs="Times New Roman"/>
          <w:szCs w:val="24"/>
        </w:rPr>
        <w:sectPr w:rsidRPr="00160D41" w:rsidR="008E61C9" w:rsidSect="00D64DF9">
          <w:pgSz w:w="15840" w:h="12240" w:orient="landscape"/>
          <w:pgMar w:top="1080" w:right="1200" w:bottom="1080" w:left="640" w:header="0" w:footer="1014" w:gutter="0"/>
          <w:cols w:space="720"/>
          <w:docGrid w:linePitch="299"/>
        </w:sectPr>
      </w:pPr>
    </w:p>
    <w:p w:rsidRPr="00160D41" w:rsidR="008E61C9" w:rsidP="00BD7237" w:rsidRDefault="001477A3" w14:paraId="4EBF7178"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160D41" w:rsidR="00275DA6" w:rsidP="00255157" w:rsidRDefault="00275DA6" w14:paraId="2170E2A9" w14:textId="77777777">
      <w:pPr>
        <w:pStyle w:val="ListParagraph"/>
        <w:spacing w:before="120"/>
        <w:ind w:left="0" w:firstLine="0"/>
        <w:rPr>
          <w:rFonts w:cs="Times New Roman"/>
        </w:rPr>
      </w:pPr>
      <w:r w:rsidRPr="00160D41">
        <w:rPr>
          <w:rFonts w:cs="Times New Roman"/>
        </w:rPr>
        <w:t xml:space="preserve">There are no capital/start-up or ongoing operation/maintenance costs associated with this information collection. </w:t>
      </w:r>
    </w:p>
    <w:p w:rsidRPr="00160D41" w:rsidR="00275DA6" w:rsidP="00255157" w:rsidRDefault="00275DA6" w14:paraId="02B43914" w14:textId="77777777">
      <w:pPr>
        <w:pStyle w:val="ListParagraph"/>
        <w:spacing w:before="120"/>
        <w:ind w:left="0" w:firstLine="0"/>
        <w:rPr>
          <w:rFonts w:cs="Times New Roman"/>
          <w:szCs w:val="24"/>
        </w:rPr>
      </w:pPr>
      <w:r w:rsidRPr="00160D41">
        <w:rPr>
          <w:rFonts w:cs="Times New Roman"/>
          <w:szCs w:val="24"/>
        </w:rPr>
        <w:t>Electronic copies are encouraged for management plan and site profile submission.  Printed hard copies are no longer required (although some respondents may choose to submit a hard copy). Total annual recordkeeping/reporting costs are $0.  Printing requirements have been eliminated.  Completed documents are now made available in electronic format and a large number of printed documents are not necessary.  The other items (grant applications, grant reports) can be submitted electronically and/or copies are made by the federal government.  All grant/cooperative agreement related records are maintained within the federal grants management system.  There is no additional record keeping burden associated with this information collection.</w:t>
      </w:r>
    </w:p>
    <w:p w:rsidRPr="00160D41" w:rsidR="008E61C9" w:rsidP="00BD7237" w:rsidRDefault="008E61C9" w14:paraId="20A07234" w14:textId="4247DD20">
      <w:pPr>
        <w:pStyle w:val="BodyText"/>
        <w:spacing w:before="7"/>
        <w:ind w:left="0"/>
        <w:rPr>
          <w:rFonts w:cs="Times New Roman"/>
          <w:b/>
        </w:rPr>
      </w:pPr>
    </w:p>
    <w:p w:rsidRPr="00160D41" w:rsidR="008E61C9" w:rsidP="00BD7237" w:rsidRDefault="001477A3" w14:paraId="4649FDDF"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60D41" w:rsidR="008E61C9" w:rsidP="00BD7237" w:rsidRDefault="008E61C9" w14:paraId="6FFA5C4F" w14:textId="77777777">
      <w:pPr>
        <w:pStyle w:val="BodyText"/>
        <w:spacing w:before="9" w:after="1"/>
        <w:ind w:left="0"/>
        <w:rPr>
          <w:rFonts w:cs="Times New Roman"/>
          <w:b/>
        </w:rPr>
      </w:pPr>
    </w:p>
    <w:tbl>
      <w:tblPr>
        <w:tblW w:w="10278" w:type="dxa"/>
        <w:tblInd w:w="-25" w:type="dxa"/>
        <w:tblLook w:val="04A0" w:firstRow="1" w:lastRow="0" w:firstColumn="1" w:lastColumn="0" w:noHBand="0" w:noVBand="1"/>
      </w:tblPr>
      <w:tblGrid>
        <w:gridCol w:w="2280"/>
        <w:gridCol w:w="1120"/>
        <w:gridCol w:w="1287"/>
        <w:gridCol w:w="1628"/>
        <w:gridCol w:w="1260"/>
        <w:gridCol w:w="2703"/>
      </w:tblGrid>
      <w:tr w:rsidRPr="00160D41" w:rsidR="00DF0CE3" w:rsidTr="00255157" w14:paraId="4AE90204"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160D41" w:rsidR="00DF0CE3" w:rsidP="00DF0CE3" w:rsidRDefault="00DF0CE3" w14:paraId="72B42792"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045EF0D2"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Grade/Step</w:t>
            </w:r>
          </w:p>
        </w:tc>
        <w:tc>
          <w:tcPr>
            <w:tcW w:w="1287"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4949679A"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Loaded Salary /Cost</w:t>
            </w:r>
          </w:p>
        </w:tc>
        <w:tc>
          <w:tcPr>
            <w:tcW w:w="1628"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20186B72"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of Effort</w:t>
            </w:r>
          </w:p>
        </w:tc>
        <w:tc>
          <w:tcPr>
            <w:tcW w:w="1260"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63DEA87D"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Fringe (if Applicable)</w:t>
            </w:r>
          </w:p>
        </w:tc>
        <w:tc>
          <w:tcPr>
            <w:tcW w:w="2703"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6FF2A676"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Total Cost to Government</w:t>
            </w:r>
          </w:p>
        </w:tc>
      </w:tr>
      <w:tr w:rsidRPr="00160D41" w:rsidR="00DF0CE3" w:rsidTr="00255157" w14:paraId="2544D2F7"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160D41" w:rsidR="00DF0CE3" w:rsidP="00DF0CE3" w:rsidRDefault="00DF0CE3" w14:paraId="67FF24C0" w14:textId="77777777">
            <w:pPr>
              <w:widowControl/>
              <w:autoSpaceDE/>
              <w:autoSpaceDN/>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160D41" w:rsidR="00DF0CE3" w:rsidP="007E46A7" w:rsidRDefault="00DF0CE3" w14:paraId="4231B6A9"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Band 4</w:t>
            </w:r>
          </w:p>
        </w:tc>
        <w:tc>
          <w:tcPr>
            <w:tcW w:w="1287" w:type="dxa"/>
            <w:tcBorders>
              <w:top w:val="single" w:color="auto" w:sz="4" w:space="0"/>
              <w:left w:val="nil"/>
              <w:bottom w:val="single" w:color="auto" w:sz="4" w:space="0"/>
              <w:right w:val="single" w:color="auto" w:sz="4" w:space="0"/>
            </w:tcBorders>
            <w:shd w:val="clear" w:color="auto" w:fill="auto"/>
            <w:noWrap/>
            <w:vAlign w:val="bottom"/>
            <w:hideMark/>
          </w:tcPr>
          <w:p w:rsidRPr="00160D41" w:rsidR="00DF0CE3" w:rsidP="00CF294C" w:rsidRDefault="00DF0CE3" w14:paraId="0839543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$220,792</w:t>
            </w:r>
          </w:p>
        </w:tc>
        <w:tc>
          <w:tcPr>
            <w:tcW w:w="1628" w:type="dxa"/>
            <w:tcBorders>
              <w:top w:val="single" w:color="auto" w:sz="4" w:space="0"/>
              <w:left w:val="nil"/>
              <w:bottom w:val="single" w:color="auto" w:sz="4" w:space="0"/>
              <w:right w:val="single" w:color="auto" w:sz="4" w:space="0"/>
            </w:tcBorders>
            <w:shd w:val="clear" w:color="auto" w:fill="auto"/>
            <w:noWrap/>
            <w:vAlign w:val="bottom"/>
            <w:hideMark/>
          </w:tcPr>
          <w:p w:rsidRPr="00160D41" w:rsidR="00DF0CE3" w:rsidP="00CF294C" w:rsidRDefault="00DF0CE3" w14:paraId="1A60FEF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5</w:t>
            </w:r>
            <w:r w:rsidRPr="00160D41" w:rsidR="007E46A7">
              <w:rPr>
                <w:rFonts w:ascii="Calibri" w:hAnsi="Calibri" w:eastAsia="Times New Roman" w:cs="Calibri"/>
                <w:color w:val="000000"/>
                <w:sz w:val="16"/>
                <w:szCs w:val="16"/>
              </w:rPr>
              <w:t>%</w:t>
            </w:r>
          </w:p>
        </w:tc>
        <w:tc>
          <w:tcPr>
            <w:tcW w:w="1260" w:type="dxa"/>
            <w:tcBorders>
              <w:top w:val="single" w:color="auto" w:sz="4" w:space="0"/>
              <w:left w:val="nil"/>
              <w:bottom w:val="single" w:color="auto" w:sz="4" w:space="0"/>
              <w:right w:val="single" w:color="auto" w:sz="4" w:space="0"/>
            </w:tcBorders>
            <w:shd w:val="clear" w:color="000000" w:fill="808080"/>
            <w:noWrap/>
            <w:vAlign w:val="bottom"/>
            <w:hideMark/>
          </w:tcPr>
          <w:p w:rsidRPr="00160D41" w:rsidR="00DF0CE3" w:rsidP="00DF0CE3" w:rsidRDefault="00DF0CE3" w14:paraId="16218DDE"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single" w:color="auto" w:sz="4" w:space="0"/>
              <w:left w:val="nil"/>
              <w:bottom w:val="single" w:color="auto" w:sz="4" w:space="0"/>
              <w:right w:val="single" w:color="auto" w:sz="8" w:space="0"/>
            </w:tcBorders>
            <w:shd w:val="clear" w:color="auto" w:fill="auto"/>
            <w:noWrap/>
            <w:vAlign w:val="bottom"/>
            <w:hideMark/>
          </w:tcPr>
          <w:p w:rsidRPr="00160D41" w:rsidR="00DF0CE3" w:rsidP="00DF0CE3" w:rsidRDefault="00DF0CE3" w14:paraId="204C2C1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$11,039</w:t>
            </w:r>
          </w:p>
        </w:tc>
      </w:tr>
      <w:tr w:rsidRPr="00160D41" w:rsidR="00CF294C" w:rsidTr="00255157" w14:paraId="1B388519"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tcPr>
          <w:p w:rsidRPr="00160D41" w:rsidR="00CF294C" w:rsidP="00DF0CE3" w:rsidRDefault="00CF294C" w14:paraId="5C5E0853" w14:textId="77777777">
            <w:pPr>
              <w:widowControl/>
              <w:autoSpaceDE/>
              <w:autoSpaceDN/>
              <w:rPr>
                <w:rFonts w:ascii="Calibri" w:hAnsi="Calibri" w:eastAsia="Times New Roman"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tcPr>
          <w:p w:rsidRPr="00160D41" w:rsidR="00CF294C" w:rsidP="007E46A7" w:rsidRDefault="00CF294C" w14:paraId="1E7233A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Band 4</w:t>
            </w:r>
          </w:p>
        </w:tc>
        <w:tc>
          <w:tcPr>
            <w:tcW w:w="1287" w:type="dxa"/>
            <w:tcBorders>
              <w:top w:val="nil"/>
              <w:left w:val="nil"/>
              <w:bottom w:val="single" w:color="auto" w:sz="4" w:space="0"/>
              <w:right w:val="single" w:color="auto" w:sz="4" w:space="0"/>
            </w:tcBorders>
            <w:shd w:val="clear" w:color="auto" w:fill="auto"/>
            <w:noWrap/>
            <w:vAlign w:val="bottom"/>
          </w:tcPr>
          <w:p w:rsidRPr="00160D41" w:rsidR="00CF294C" w:rsidP="00DF0CE3" w:rsidRDefault="00CF294C" w14:paraId="1E33EC1A"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$167,785</w:t>
            </w:r>
          </w:p>
        </w:tc>
        <w:tc>
          <w:tcPr>
            <w:tcW w:w="1628" w:type="dxa"/>
            <w:tcBorders>
              <w:top w:val="nil"/>
              <w:left w:val="nil"/>
              <w:bottom w:val="single" w:color="auto" w:sz="4" w:space="0"/>
              <w:right w:val="single" w:color="auto" w:sz="4" w:space="0"/>
            </w:tcBorders>
            <w:shd w:val="clear" w:color="auto" w:fill="auto"/>
            <w:noWrap/>
            <w:vAlign w:val="bottom"/>
          </w:tcPr>
          <w:p w:rsidRPr="00160D41" w:rsidR="00CF294C" w:rsidP="007B1948" w:rsidRDefault="00CF294C" w14:paraId="48F56CE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10%</w:t>
            </w:r>
          </w:p>
        </w:tc>
        <w:tc>
          <w:tcPr>
            <w:tcW w:w="1260" w:type="dxa"/>
            <w:tcBorders>
              <w:top w:val="nil"/>
              <w:left w:val="nil"/>
              <w:bottom w:val="single" w:color="auto" w:sz="4" w:space="0"/>
              <w:right w:val="single" w:color="auto" w:sz="4" w:space="0"/>
            </w:tcBorders>
            <w:shd w:val="clear" w:color="000000" w:fill="808080"/>
            <w:noWrap/>
            <w:vAlign w:val="bottom"/>
          </w:tcPr>
          <w:p w:rsidRPr="00160D41" w:rsidR="00CF294C" w:rsidP="00DF0CE3" w:rsidRDefault="00CF294C" w14:paraId="0A5F8A07" w14:textId="77777777">
            <w:pPr>
              <w:widowControl/>
              <w:autoSpaceDE/>
              <w:autoSpaceDN/>
              <w:rPr>
                <w:rFonts w:ascii="Calibri" w:hAnsi="Calibri" w:eastAsia="Times New Roman" w:cs="Calibri"/>
                <w:color w:val="000000"/>
                <w:sz w:val="16"/>
                <w:szCs w:val="16"/>
              </w:rPr>
            </w:pPr>
          </w:p>
        </w:tc>
        <w:tc>
          <w:tcPr>
            <w:tcW w:w="2703" w:type="dxa"/>
            <w:tcBorders>
              <w:top w:val="nil"/>
              <w:left w:val="nil"/>
              <w:bottom w:val="single" w:color="auto" w:sz="4" w:space="0"/>
              <w:right w:val="single" w:color="auto" w:sz="8" w:space="0"/>
            </w:tcBorders>
            <w:shd w:val="clear" w:color="auto" w:fill="auto"/>
            <w:noWrap/>
            <w:vAlign w:val="bottom"/>
          </w:tcPr>
          <w:p w:rsidRPr="00160D41" w:rsidR="00CF294C" w:rsidP="00DF0CE3" w:rsidRDefault="00CF294C" w14:paraId="0E3ED330"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$16,778</w:t>
            </w:r>
          </w:p>
        </w:tc>
      </w:tr>
      <w:tr w:rsidRPr="00160D41" w:rsidR="00DF0CE3" w:rsidTr="00255157" w14:paraId="492E6599"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160D41" w:rsidR="00DF0CE3" w:rsidP="00DF0CE3" w:rsidRDefault="00DF0CE3" w14:paraId="6256CD72"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160D41" w:rsidR="00DF0CE3" w:rsidP="007E46A7" w:rsidRDefault="00DF0CE3" w14:paraId="3714858D"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Band 3</w:t>
            </w:r>
          </w:p>
        </w:tc>
        <w:tc>
          <w:tcPr>
            <w:tcW w:w="1287"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295444B8"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B1948">
              <w:rPr>
                <w:rFonts w:ascii="Calibri" w:hAnsi="Calibri" w:eastAsia="Times New Roman" w:cs="Calibri"/>
                <w:color w:val="000000"/>
                <w:sz w:val="16"/>
                <w:szCs w:val="16"/>
              </w:rPr>
              <w:t>$128,927</w:t>
            </w:r>
          </w:p>
        </w:tc>
        <w:tc>
          <w:tcPr>
            <w:tcW w:w="1628" w:type="dxa"/>
            <w:tcBorders>
              <w:top w:val="nil"/>
              <w:left w:val="nil"/>
              <w:bottom w:val="single" w:color="auto" w:sz="4" w:space="0"/>
              <w:right w:val="single" w:color="auto" w:sz="4" w:space="0"/>
            </w:tcBorders>
            <w:shd w:val="clear" w:color="auto" w:fill="auto"/>
            <w:noWrap/>
            <w:vAlign w:val="bottom"/>
            <w:hideMark/>
          </w:tcPr>
          <w:p w:rsidR="007C6B20" w:rsidP="007B1948" w:rsidRDefault="00DF0CE3" w14:paraId="6729F8C7"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40%</w:t>
            </w:r>
          </w:p>
          <w:p w:rsidRPr="00160D41" w:rsidR="00DF0CE3" w:rsidP="00255157" w:rsidRDefault="007B1948" w14:paraId="20DD2029" w14:textId="0222D4A3">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xml:space="preserve"> (2 employees) </w:t>
            </w:r>
          </w:p>
        </w:tc>
        <w:tc>
          <w:tcPr>
            <w:tcW w:w="126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5E278C2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2E38840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$51,570</w:t>
            </w:r>
          </w:p>
        </w:tc>
      </w:tr>
      <w:tr w:rsidRPr="00160D41" w:rsidR="00DF0CE3" w:rsidTr="00255157" w14:paraId="2BDC6093"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160D41" w:rsidR="00DF0CE3" w:rsidP="00DF0CE3" w:rsidRDefault="00DF0CE3" w14:paraId="13FC82FD"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160D41" w:rsidR="00DF0CE3" w:rsidP="007E46A7" w:rsidRDefault="00DF0CE3" w14:paraId="5939E6AC"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Band 4</w:t>
            </w:r>
          </w:p>
        </w:tc>
        <w:tc>
          <w:tcPr>
            <w:tcW w:w="1287" w:type="dxa"/>
            <w:tcBorders>
              <w:top w:val="nil"/>
              <w:left w:val="nil"/>
              <w:bottom w:val="single" w:color="auto" w:sz="4" w:space="0"/>
              <w:right w:val="single" w:color="auto" w:sz="4" w:space="0"/>
            </w:tcBorders>
            <w:shd w:val="clear" w:color="auto" w:fill="auto"/>
            <w:noWrap/>
            <w:vAlign w:val="bottom"/>
            <w:hideMark/>
          </w:tcPr>
          <w:p w:rsidRPr="00160D41" w:rsidR="00DF0CE3" w:rsidP="00CF294C" w:rsidRDefault="00DF0CE3" w14:paraId="1D532842"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$198,947</w:t>
            </w:r>
          </w:p>
        </w:tc>
        <w:tc>
          <w:tcPr>
            <w:tcW w:w="1628" w:type="dxa"/>
            <w:tcBorders>
              <w:top w:val="nil"/>
              <w:left w:val="nil"/>
              <w:bottom w:val="single" w:color="auto" w:sz="4" w:space="0"/>
              <w:right w:val="single" w:color="auto" w:sz="4" w:space="0"/>
            </w:tcBorders>
            <w:shd w:val="clear" w:color="auto" w:fill="auto"/>
            <w:noWrap/>
            <w:vAlign w:val="bottom"/>
            <w:hideMark/>
          </w:tcPr>
          <w:p w:rsidR="007C6B20" w:rsidP="007B1948" w:rsidRDefault="00DF0CE3" w14:paraId="592C0C29"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 xml:space="preserve">10% </w:t>
            </w:r>
          </w:p>
          <w:p w:rsidRPr="00160D41" w:rsidR="00DF0CE3" w:rsidP="00255157" w:rsidRDefault="007E46A7" w14:paraId="1A3C224D" w14:textId="1910BAB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xml:space="preserve">(1 </w:t>
            </w:r>
            <w:r w:rsidRPr="00160D41" w:rsidR="007B1948">
              <w:rPr>
                <w:rFonts w:ascii="Calibri" w:hAnsi="Calibri" w:eastAsia="Times New Roman" w:cs="Calibri"/>
                <w:color w:val="000000"/>
                <w:sz w:val="16"/>
                <w:szCs w:val="16"/>
              </w:rPr>
              <w:t>employee</w:t>
            </w:r>
            <w:r w:rsidR="00255157">
              <w:rPr>
                <w:rFonts w:ascii="Calibri" w:hAnsi="Calibri" w:eastAsia="Times New Roman" w:cs="Calibri"/>
                <w:color w:val="000000"/>
                <w:sz w:val="16"/>
                <w:szCs w:val="16"/>
              </w:rPr>
              <w:t>)</w:t>
            </w:r>
          </w:p>
        </w:tc>
        <w:tc>
          <w:tcPr>
            <w:tcW w:w="126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0FFCB1E7"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6C419AC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$19,894</w:t>
            </w:r>
          </w:p>
        </w:tc>
      </w:tr>
      <w:tr w:rsidRPr="00160D41" w:rsidR="00DF0CE3" w:rsidTr="00255157" w14:paraId="22F83C91"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160D41" w:rsidR="00DF0CE3" w:rsidP="00DF0CE3" w:rsidRDefault="00DF0CE3" w14:paraId="4071A093" w14:textId="77777777">
            <w:pPr>
              <w:widowControl/>
              <w:autoSpaceDE/>
              <w:autoSpaceDN/>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6229F19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nil"/>
              <w:left w:val="nil"/>
              <w:bottom w:val="single" w:color="auto" w:sz="4" w:space="0"/>
              <w:right w:val="single" w:color="auto" w:sz="4" w:space="0"/>
            </w:tcBorders>
            <w:shd w:val="clear" w:color="auto" w:fill="auto"/>
            <w:noWrap/>
            <w:vAlign w:val="bottom"/>
            <w:hideMark/>
          </w:tcPr>
          <w:p w:rsidRPr="00160D41" w:rsidR="007E46A7" w:rsidP="00DF0CE3" w:rsidRDefault="00DF0CE3" w14:paraId="4EC4376F" w14:textId="1447DAA3">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00255157">
              <w:rPr>
                <w:rFonts w:ascii="Calibri" w:hAnsi="Calibri" w:eastAsia="Times New Roman" w:cs="Calibri"/>
                <w:color w:val="000000"/>
                <w:sz w:val="16"/>
                <w:szCs w:val="16"/>
              </w:rPr>
              <w:t xml:space="preserve">$127,603 </w:t>
            </w:r>
          </w:p>
        </w:tc>
        <w:tc>
          <w:tcPr>
            <w:tcW w:w="1628" w:type="dxa"/>
            <w:tcBorders>
              <w:top w:val="nil"/>
              <w:left w:val="nil"/>
              <w:bottom w:val="single" w:color="auto" w:sz="4" w:space="0"/>
              <w:right w:val="single" w:color="auto" w:sz="4" w:space="0"/>
            </w:tcBorders>
            <w:shd w:val="clear" w:color="auto" w:fill="auto"/>
            <w:noWrap/>
            <w:vAlign w:val="bottom"/>
            <w:hideMark/>
          </w:tcPr>
          <w:p w:rsidRPr="00160D41" w:rsidR="00DF0CE3" w:rsidP="00255157" w:rsidRDefault="00DF0CE3" w14:paraId="588F7032" w14:textId="115475EC">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F73CAB">
              <w:rPr>
                <w:rFonts w:ascii="Calibri" w:hAnsi="Calibri" w:eastAsia="Times New Roman" w:cs="Calibri"/>
                <w:color w:val="000000"/>
                <w:sz w:val="16"/>
                <w:szCs w:val="16"/>
              </w:rPr>
              <w:t>1</w:t>
            </w:r>
            <w:r w:rsidR="00255157">
              <w:rPr>
                <w:rFonts w:ascii="Calibri" w:hAnsi="Calibri" w:eastAsia="Times New Roman" w:cs="Calibri"/>
                <w:color w:val="000000"/>
                <w:sz w:val="16"/>
                <w:szCs w:val="16"/>
              </w:rPr>
              <w:t>0</w:t>
            </w:r>
            <w:r w:rsidRPr="00160D41" w:rsidR="00F73CAB">
              <w:rPr>
                <w:rFonts w:ascii="Calibri" w:hAnsi="Calibri" w:eastAsia="Times New Roman" w:cs="Calibri"/>
                <w:color w:val="000000"/>
                <w:sz w:val="16"/>
                <w:szCs w:val="16"/>
              </w:rPr>
              <w:t>0</w:t>
            </w:r>
            <w:r w:rsidRPr="00160D41" w:rsidR="007E46A7">
              <w:rPr>
                <w:rFonts w:ascii="Calibri" w:hAnsi="Calibri" w:eastAsia="Times New Roman" w:cs="Calibri"/>
                <w:color w:val="000000"/>
                <w:sz w:val="16"/>
                <w:szCs w:val="16"/>
              </w:rPr>
              <w:t>%</w:t>
            </w:r>
          </w:p>
        </w:tc>
        <w:tc>
          <w:tcPr>
            <w:tcW w:w="1260"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7E46A7" w14:paraId="11D003F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N/A</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255157" w:rsidRDefault="00DF0CE3" w14:paraId="7434A704" w14:textId="3EFB188C">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w:t>
            </w:r>
            <w:r w:rsidR="00255157">
              <w:rPr>
                <w:rFonts w:ascii="Calibri" w:hAnsi="Calibri" w:eastAsia="Times New Roman" w:cs="Calibri"/>
                <w:color w:val="000000"/>
                <w:sz w:val="16"/>
                <w:szCs w:val="16"/>
              </w:rPr>
              <w:t>127,603</w:t>
            </w:r>
          </w:p>
        </w:tc>
      </w:tr>
      <w:tr w:rsidRPr="00160D41" w:rsidR="00DF0CE3" w:rsidTr="00255157" w14:paraId="61F85384"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160D41" w:rsidR="00DF0CE3" w:rsidP="00DF0CE3" w:rsidRDefault="00DF0CE3" w14:paraId="283840BF"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1118B07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7B3666DF"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628"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7115683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5D4B8202"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34C76EF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r>
      <w:tr w:rsidRPr="00160D41" w:rsidR="00DF0CE3" w:rsidTr="00255157" w14:paraId="5FF97B4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160D41" w:rsidR="00DF0CE3" w:rsidP="00DF0CE3" w:rsidRDefault="00DF0CE3" w14:paraId="1C43C620" w14:textId="77777777">
            <w:pPr>
              <w:widowControl/>
              <w:autoSpaceDE/>
              <w:autoSpaceDN/>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6F148D6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02813862"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628"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325CAF3D"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28BB9460"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3F37EFDB" w14:textId="74D56739">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93586">
              <w:rPr>
                <w:rFonts w:ascii="Calibri" w:hAnsi="Calibri" w:eastAsia="Times New Roman" w:cs="Calibri"/>
                <w:color w:val="000000"/>
                <w:sz w:val="16"/>
                <w:szCs w:val="16"/>
              </w:rPr>
              <w:t>$0</w:t>
            </w:r>
          </w:p>
        </w:tc>
      </w:tr>
      <w:tr w:rsidRPr="00160D41" w:rsidR="00DF0CE3" w:rsidTr="00255157" w14:paraId="2A174E32" w14:textId="77777777">
        <w:trPr>
          <w:trHeight w:val="358"/>
        </w:trPr>
        <w:tc>
          <w:tcPr>
            <w:tcW w:w="2280" w:type="dxa"/>
            <w:tcBorders>
              <w:top w:val="nil"/>
              <w:left w:val="single" w:color="auto" w:sz="8" w:space="0"/>
              <w:bottom w:val="nil"/>
              <w:right w:val="single" w:color="auto" w:sz="8" w:space="0"/>
            </w:tcBorders>
            <w:shd w:val="clear" w:color="auto" w:fill="auto"/>
            <w:vAlign w:val="center"/>
            <w:hideMark/>
          </w:tcPr>
          <w:p w:rsidRPr="00160D41" w:rsidR="00DF0CE3" w:rsidP="00DF0CE3" w:rsidRDefault="00DF0CE3" w14:paraId="00FA262A" w14:textId="77777777">
            <w:pPr>
              <w:widowControl/>
              <w:autoSpaceDE/>
              <w:autoSpaceDN/>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1796B98E"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0C593B15"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628"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563C3FF9"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606F2383"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22B237E7" w14:textId="7165E943">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93586">
              <w:rPr>
                <w:rFonts w:ascii="Calibri" w:hAnsi="Calibri" w:eastAsia="Times New Roman" w:cs="Calibri"/>
                <w:color w:val="000000"/>
                <w:sz w:val="16"/>
                <w:szCs w:val="16"/>
              </w:rPr>
              <w:t>$0</w:t>
            </w:r>
          </w:p>
        </w:tc>
      </w:tr>
      <w:tr w:rsidRPr="00160D41" w:rsidR="00DF0CE3" w:rsidTr="00255157" w14:paraId="21F99318"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255157" w:rsidR="00DF0CE3" w:rsidP="00DF0CE3" w:rsidRDefault="00DF0CE3" w14:paraId="5B1F8D42" w14:textId="77777777">
            <w:pPr>
              <w:widowControl/>
              <w:autoSpaceDE/>
              <w:autoSpaceDN/>
              <w:rPr>
                <w:rFonts w:ascii="Calibri" w:hAnsi="Calibri" w:eastAsia="Times New Roman" w:cs="Calibri"/>
                <w:b/>
                <w:bCs/>
                <w:color w:val="000000"/>
                <w:sz w:val="18"/>
                <w:szCs w:val="18"/>
              </w:rPr>
            </w:pPr>
            <w:r w:rsidRPr="00255157">
              <w:rPr>
                <w:rFonts w:ascii="Calibri" w:hAnsi="Calibri" w:eastAsia="Times New Roman" w:cs="Calibri"/>
                <w:b/>
                <w:bCs/>
                <w:color w:val="000000"/>
                <w:sz w:val="18"/>
                <w:szCs w:val="18"/>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160D41" w:rsidR="00DF0CE3" w:rsidP="00DF0CE3" w:rsidRDefault="00DF0CE3" w14:paraId="647B068C"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160D41" w:rsidR="00DF0CE3" w:rsidP="00DF0CE3" w:rsidRDefault="00DF0CE3" w14:paraId="5EB72670"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628" w:type="dxa"/>
            <w:tcBorders>
              <w:top w:val="single" w:color="auto" w:sz="8" w:space="0"/>
              <w:left w:val="nil"/>
              <w:bottom w:val="single" w:color="auto" w:sz="8" w:space="0"/>
              <w:right w:val="single" w:color="auto" w:sz="8" w:space="0"/>
            </w:tcBorders>
            <w:shd w:val="clear" w:color="000000" w:fill="757171"/>
            <w:noWrap/>
            <w:vAlign w:val="bottom"/>
            <w:hideMark/>
          </w:tcPr>
          <w:p w:rsidRPr="00160D41" w:rsidR="00DF0CE3" w:rsidP="00DF0CE3" w:rsidRDefault="00DF0CE3" w14:paraId="334A8103"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60" w:type="dxa"/>
            <w:tcBorders>
              <w:top w:val="single" w:color="auto" w:sz="8" w:space="0"/>
              <w:left w:val="nil"/>
              <w:bottom w:val="single" w:color="auto" w:sz="8" w:space="0"/>
              <w:right w:val="single" w:color="auto" w:sz="8" w:space="0"/>
            </w:tcBorders>
            <w:shd w:val="clear" w:color="000000" w:fill="DDEBF7"/>
            <w:noWrap/>
            <w:vAlign w:val="bottom"/>
            <w:hideMark/>
          </w:tcPr>
          <w:p w:rsidRPr="00160D41" w:rsidR="00DF0CE3" w:rsidP="00DF0CE3" w:rsidRDefault="00DF0CE3" w14:paraId="4C442043"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single" w:color="auto" w:sz="8" w:space="0"/>
              <w:left w:val="nil"/>
              <w:bottom w:val="single" w:color="auto" w:sz="8" w:space="0"/>
              <w:right w:val="single" w:color="auto" w:sz="8" w:space="0"/>
            </w:tcBorders>
            <w:shd w:val="clear" w:color="000000" w:fill="DDEBF7"/>
            <w:noWrap/>
            <w:vAlign w:val="bottom"/>
            <w:hideMark/>
          </w:tcPr>
          <w:p w:rsidRPr="00255157" w:rsidR="00F73CAB" w:rsidP="00255157" w:rsidRDefault="00DF0CE3" w14:paraId="6764D2D8" w14:textId="285FDD29">
            <w:pPr>
              <w:widowControl/>
              <w:autoSpaceDE/>
              <w:autoSpaceDN/>
              <w:rPr>
                <w:rFonts w:ascii="Calibri" w:hAnsi="Calibri" w:eastAsia="Times New Roman" w:cs="Calibri"/>
                <w:b/>
                <w:color w:val="000000"/>
                <w:sz w:val="18"/>
                <w:szCs w:val="18"/>
              </w:rPr>
            </w:pPr>
            <w:r w:rsidRPr="00255157">
              <w:rPr>
                <w:rFonts w:ascii="Calibri" w:hAnsi="Calibri" w:eastAsia="Times New Roman" w:cs="Calibri"/>
                <w:b/>
                <w:color w:val="000000"/>
                <w:sz w:val="18"/>
                <w:szCs w:val="18"/>
              </w:rPr>
              <w:t> </w:t>
            </w:r>
            <w:r w:rsidRPr="00255157" w:rsidR="00F73CAB">
              <w:rPr>
                <w:rFonts w:ascii="Calibri" w:hAnsi="Calibri" w:eastAsia="Times New Roman" w:cs="Calibri"/>
                <w:b/>
                <w:color w:val="000000"/>
                <w:sz w:val="18"/>
                <w:szCs w:val="18"/>
              </w:rPr>
              <w:t>$</w:t>
            </w:r>
            <w:r w:rsidRPr="00255157" w:rsidR="00255157">
              <w:rPr>
                <w:rFonts w:ascii="Calibri" w:hAnsi="Calibri" w:eastAsia="Times New Roman" w:cs="Calibri"/>
                <w:b/>
                <w:color w:val="000000"/>
                <w:sz w:val="18"/>
                <w:szCs w:val="18"/>
              </w:rPr>
              <w:t>226,884</w:t>
            </w:r>
          </w:p>
        </w:tc>
      </w:tr>
    </w:tbl>
    <w:p w:rsidR="00255157" w:rsidP="00BD7237" w:rsidRDefault="00255157" w14:paraId="27A792E0" w14:textId="77777777">
      <w:pPr>
        <w:pStyle w:val="BodyText"/>
        <w:spacing w:before="9" w:after="1"/>
        <w:ind w:left="0"/>
        <w:rPr>
          <w:rFonts w:cs="Times New Roman"/>
          <w:b/>
        </w:rPr>
        <w:sectPr w:rsidR="00255157" w:rsidSect="00BD7237">
          <w:pgSz w:w="12240" w:h="15840"/>
          <w:pgMar w:top="640" w:right="1080" w:bottom="1200" w:left="1080" w:header="0" w:footer="1014" w:gutter="0"/>
          <w:cols w:space="720"/>
        </w:sectPr>
      </w:pPr>
    </w:p>
    <w:p w:rsidRPr="00160D41" w:rsidR="008E61C9" w:rsidP="00BD7237" w:rsidRDefault="001477A3" w14:paraId="797DD768"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lastRenderedPageBreak/>
        <w:t>Explain the reasons for any program changes or adjustments reported in ROCIS.</w:t>
      </w:r>
    </w:p>
    <w:p w:rsidRPr="00160D41" w:rsidR="008E61C9" w:rsidP="00BD7237" w:rsidRDefault="008E61C9" w14:paraId="17091F20" w14:textId="77777777">
      <w:pPr>
        <w:pStyle w:val="BodyText"/>
        <w:spacing w:before="7"/>
        <w:ind w:left="0"/>
        <w:rPr>
          <w:rFonts w:cs="Times New Roman"/>
          <w:b/>
        </w:rPr>
      </w:pPr>
    </w:p>
    <w:tbl>
      <w:tblPr>
        <w:tblW w:w="14310" w:type="dxa"/>
        <w:tblInd w:w="-460" w:type="dxa"/>
        <w:tblLook w:val="04A0" w:firstRow="1" w:lastRow="0" w:firstColumn="1" w:lastColumn="0" w:noHBand="0" w:noVBand="1"/>
      </w:tblPr>
      <w:tblGrid>
        <w:gridCol w:w="2415"/>
        <w:gridCol w:w="1097"/>
        <w:gridCol w:w="1097"/>
        <w:gridCol w:w="990"/>
        <w:gridCol w:w="1080"/>
        <w:gridCol w:w="1080"/>
        <w:gridCol w:w="1170"/>
        <w:gridCol w:w="5467"/>
      </w:tblGrid>
      <w:tr w:rsidRPr="00160D41" w:rsidR="00DF0CE3" w:rsidTr="00255157" w14:paraId="25B0CB91"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60D41" w:rsidR="00DF0CE3" w:rsidP="00DF0CE3" w:rsidRDefault="00DF0CE3" w14:paraId="53FBDD4D"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Information Collection</w:t>
            </w:r>
          </w:p>
        </w:tc>
        <w:tc>
          <w:tcPr>
            <w:tcW w:w="2108" w:type="dxa"/>
            <w:gridSpan w:val="2"/>
            <w:tcBorders>
              <w:top w:val="single" w:color="auto" w:sz="8" w:space="0"/>
              <w:left w:val="nil"/>
              <w:bottom w:val="single" w:color="auto" w:sz="8" w:space="0"/>
              <w:right w:val="single" w:color="000000" w:sz="8" w:space="0"/>
            </w:tcBorders>
            <w:shd w:val="clear" w:color="000000" w:fill="5B9BD5"/>
            <w:vAlign w:val="center"/>
            <w:hideMark/>
          </w:tcPr>
          <w:p w:rsidRPr="00160D41" w:rsidR="00DF0CE3" w:rsidP="00DF0CE3" w:rsidRDefault="00DF0CE3" w14:paraId="0065B92E"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160D41" w:rsidR="00DF0CE3" w:rsidP="00DF0CE3" w:rsidRDefault="00DF0CE3" w14:paraId="597DC3E5"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160D41" w:rsidR="00DF0CE3" w:rsidP="00DF0CE3" w:rsidRDefault="00DF0CE3" w14:paraId="48D10C26"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Burden Hours</w:t>
            </w:r>
          </w:p>
        </w:tc>
        <w:tc>
          <w:tcPr>
            <w:tcW w:w="546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60D41" w:rsidR="00DF0CE3" w:rsidP="00DF0CE3" w:rsidRDefault="00DF0CE3" w14:paraId="16CBDB82"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Reason for change or adjustment</w:t>
            </w:r>
          </w:p>
        </w:tc>
      </w:tr>
      <w:tr w:rsidRPr="00160D41" w:rsidR="00DF0CE3" w:rsidTr="00255157" w14:paraId="71A09984"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160D41" w:rsidR="00DF0CE3" w:rsidP="00DF0CE3" w:rsidRDefault="00DF0CE3" w14:paraId="0A7E3C24" w14:textId="77777777">
            <w:pPr>
              <w:widowControl/>
              <w:autoSpaceDE/>
              <w:autoSpaceDN/>
              <w:rPr>
                <w:rFonts w:ascii="Calibri" w:hAnsi="Calibri" w:eastAsia="Times New Roman" w:cs="Calibri"/>
                <w:b/>
                <w:bCs/>
                <w:color w:val="000000"/>
                <w:sz w:val="16"/>
                <w:szCs w:val="16"/>
              </w:rPr>
            </w:pPr>
          </w:p>
        </w:tc>
        <w:tc>
          <w:tcPr>
            <w:tcW w:w="1097" w:type="dxa"/>
            <w:tcBorders>
              <w:top w:val="nil"/>
              <w:left w:val="nil"/>
              <w:bottom w:val="single" w:color="auto" w:sz="8" w:space="0"/>
              <w:right w:val="dashed" w:color="auto" w:sz="8" w:space="0"/>
            </w:tcBorders>
            <w:shd w:val="clear" w:color="000000" w:fill="FBE4D5"/>
            <w:vAlign w:val="center"/>
            <w:hideMark/>
          </w:tcPr>
          <w:p w:rsidRPr="00160D41" w:rsidR="00DF0CE3" w:rsidP="00DF0CE3" w:rsidRDefault="00DF0CE3" w14:paraId="27D5E8FA"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Current Renewal / Revision</w:t>
            </w:r>
          </w:p>
        </w:tc>
        <w:tc>
          <w:tcPr>
            <w:tcW w:w="1011" w:type="dxa"/>
            <w:tcBorders>
              <w:top w:val="nil"/>
              <w:left w:val="nil"/>
              <w:bottom w:val="single" w:color="auto" w:sz="8" w:space="0"/>
              <w:right w:val="single" w:color="auto" w:sz="8" w:space="0"/>
            </w:tcBorders>
            <w:shd w:val="clear" w:color="000000" w:fill="FBE4D5"/>
            <w:vAlign w:val="center"/>
            <w:hideMark/>
          </w:tcPr>
          <w:p w:rsidRPr="00160D41" w:rsidR="00DF0CE3" w:rsidP="00DF0CE3" w:rsidRDefault="00DF0CE3" w14:paraId="545785A0"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160D41" w:rsidR="00DF0CE3" w:rsidP="00DF0CE3" w:rsidRDefault="00DF0CE3" w14:paraId="3CAE3DEA"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160D41" w:rsidR="00DF0CE3" w:rsidP="00DF0CE3" w:rsidRDefault="00DF0CE3" w14:paraId="038A1E57"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160D41" w:rsidR="00DF0CE3" w:rsidP="00DF0CE3" w:rsidRDefault="00DF0CE3" w14:paraId="64BAAB65"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160D41" w:rsidR="00DF0CE3" w:rsidP="00DF0CE3" w:rsidRDefault="00DF0CE3" w14:paraId="684E3FF2"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Previous Renewal / Revision</w:t>
            </w:r>
          </w:p>
        </w:tc>
        <w:tc>
          <w:tcPr>
            <w:tcW w:w="5467" w:type="dxa"/>
            <w:vMerge/>
            <w:tcBorders>
              <w:top w:val="single" w:color="auto" w:sz="8" w:space="0"/>
              <w:left w:val="single" w:color="auto" w:sz="8" w:space="0"/>
              <w:bottom w:val="single" w:color="000000" w:sz="8" w:space="0"/>
              <w:right w:val="single" w:color="auto" w:sz="8" w:space="0"/>
            </w:tcBorders>
            <w:vAlign w:val="center"/>
            <w:hideMark/>
          </w:tcPr>
          <w:p w:rsidRPr="00160D41" w:rsidR="00DF0CE3" w:rsidP="00DF0CE3" w:rsidRDefault="00DF0CE3" w14:paraId="1CF8033A" w14:textId="77777777">
            <w:pPr>
              <w:widowControl/>
              <w:autoSpaceDE/>
              <w:autoSpaceDN/>
              <w:rPr>
                <w:rFonts w:ascii="Calibri" w:hAnsi="Calibri" w:eastAsia="Times New Roman" w:cs="Calibri"/>
                <w:b/>
                <w:bCs/>
                <w:color w:val="000000"/>
                <w:sz w:val="16"/>
                <w:szCs w:val="16"/>
              </w:rPr>
            </w:pPr>
          </w:p>
        </w:tc>
      </w:tr>
      <w:tr w:rsidRPr="00160D41" w:rsidR="00DF0CE3" w:rsidTr="00255157" w14:paraId="3B09776A"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160D41" w:rsidR="00DF0CE3" w:rsidP="00F7722B" w:rsidRDefault="00F7722B" w14:paraId="392E47CD" w14:textId="4E7599F1">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Site Designation</w:t>
            </w:r>
          </w:p>
        </w:tc>
        <w:tc>
          <w:tcPr>
            <w:tcW w:w="1097"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F7722B" w14:paraId="3F855E36"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3</w:t>
            </w:r>
          </w:p>
        </w:tc>
        <w:tc>
          <w:tcPr>
            <w:tcW w:w="1011"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F7722B" w14:paraId="7A7C162E"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1</w:t>
            </w:r>
          </w:p>
        </w:tc>
        <w:tc>
          <w:tcPr>
            <w:tcW w:w="99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056BD761" w14:textId="58E64759">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0.6</w:t>
            </w:r>
            <w:r w:rsidRPr="00160D41" w:rsidR="00DF0CE3">
              <w:rPr>
                <w:rFonts w:ascii="Calibri" w:hAnsi="Calibri" w:eastAsia="Times New Roman"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160D41" w:rsidR="0036496C" w:rsidP="0036496C" w:rsidRDefault="00CA7AA5" w14:paraId="153250AC" w14:textId="46CEA110">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0.2</w:t>
            </w:r>
          </w:p>
        </w:tc>
        <w:tc>
          <w:tcPr>
            <w:tcW w:w="108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F7722B" w14:paraId="464DA54F"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1500</w:t>
            </w:r>
          </w:p>
        </w:tc>
        <w:tc>
          <w:tcPr>
            <w:tcW w:w="117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FB43DE" w14:paraId="2BCBA4D6"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500</w:t>
            </w:r>
            <w:r w:rsidRPr="00160D41" w:rsidR="00DF0CE3">
              <w:rPr>
                <w:rFonts w:ascii="Calibri" w:hAnsi="Calibri" w:eastAsia="Times New Roman" w:cs="Calibri"/>
                <w:color w:val="000000"/>
                <w:sz w:val="16"/>
                <w:szCs w:val="16"/>
              </w:rPr>
              <w:t> </w:t>
            </w:r>
          </w:p>
        </w:tc>
        <w:tc>
          <w:tcPr>
            <w:tcW w:w="5467" w:type="dxa"/>
            <w:tcBorders>
              <w:top w:val="nil"/>
              <w:left w:val="nil"/>
              <w:bottom w:val="dotted" w:color="auto" w:sz="4" w:space="0"/>
              <w:right w:val="single" w:color="auto" w:sz="8" w:space="0"/>
            </w:tcBorders>
            <w:shd w:val="clear" w:color="auto" w:fill="auto"/>
            <w:vAlign w:val="center"/>
            <w:hideMark/>
          </w:tcPr>
          <w:p w:rsidRPr="00160D41" w:rsidR="00DF0CE3" w:rsidP="006E192D" w:rsidRDefault="00DF0CE3" w14:paraId="3E7F771D" w14:textId="1B21642D">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FB43DE">
              <w:rPr>
                <w:rFonts w:ascii="Calibri" w:hAnsi="Calibri" w:eastAsia="Times New Roman" w:cs="Calibri"/>
                <w:color w:val="000000"/>
                <w:sz w:val="16"/>
                <w:szCs w:val="16"/>
              </w:rPr>
              <w:t>This adjustment is due to an i</w:t>
            </w:r>
            <w:r w:rsidRPr="00160D41" w:rsidR="00F7722B">
              <w:rPr>
                <w:rFonts w:ascii="Calibri" w:hAnsi="Calibri" w:eastAsia="Times New Roman" w:cs="Calibri"/>
                <w:color w:val="000000"/>
                <w:sz w:val="16"/>
                <w:szCs w:val="16"/>
              </w:rPr>
              <w:t>ncrease in the number of states</w:t>
            </w:r>
            <w:r w:rsidRPr="00160D41" w:rsidR="00FB43DE">
              <w:rPr>
                <w:rFonts w:ascii="Calibri" w:hAnsi="Calibri" w:eastAsia="Times New Roman" w:cs="Calibri"/>
                <w:color w:val="000000"/>
                <w:sz w:val="16"/>
                <w:szCs w:val="16"/>
              </w:rPr>
              <w:t xml:space="preserve"> (respondents)</w:t>
            </w:r>
            <w:r w:rsidRPr="00160D41" w:rsidR="00F7722B">
              <w:rPr>
                <w:rFonts w:ascii="Calibri" w:hAnsi="Calibri" w:eastAsia="Times New Roman" w:cs="Calibri"/>
                <w:color w:val="000000"/>
                <w:sz w:val="16"/>
                <w:szCs w:val="16"/>
              </w:rPr>
              <w:t xml:space="preserve"> </w:t>
            </w:r>
            <w:r w:rsidR="006E192D">
              <w:rPr>
                <w:rFonts w:ascii="Calibri" w:hAnsi="Calibri" w:eastAsia="Times New Roman" w:cs="Calibri"/>
                <w:color w:val="000000"/>
                <w:sz w:val="16"/>
                <w:szCs w:val="16"/>
              </w:rPr>
              <w:t>that are participating in the site designation process</w:t>
            </w:r>
            <w:r w:rsidRPr="00160D41" w:rsidR="00F7722B">
              <w:rPr>
                <w:rFonts w:ascii="Calibri" w:hAnsi="Calibri" w:eastAsia="Times New Roman" w:cs="Calibri"/>
                <w:color w:val="000000"/>
                <w:sz w:val="16"/>
                <w:szCs w:val="16"/>
              </w:rPr>
              <w:t xml:space="preserve">. </w:t>
            </w:r>
            <w:r w:rsidR="006E192D">
              <w:rPr>
                <w:rFonts w:ascii="Calibri" w:hAnsi="Calibri" w:eastAsia="Times New Roman" w:cs="Calibri"/>
                <w:color w:val="000000"/>
                <w:sz w:val="16"/>
                <w:szCs w:val="16"/>
              </w:rPr>
              <w:t xml:space="preserve"> </w:t>
            </w:r>
            <w:r w:rsidRPr="00160D41" w:rsidR="00C63E58">
              <w:rPr>
                <w:rFonts w:ascii="Calibri" w:hAnsi="Calibri" w:eastAsia="Times New Roman" w:cs="Calibri"/>
                <w:color w:val="000000"/>
                <w:sz w:val="16"/>
                <w:szCs w:val="16"/>
              </w:rPr>
              <w:t xml:space="preserve">Please note that </w:t>
            </w:r>
            <w:r w:rsidR="004C6834">
              <w:rPr>
                <w:rFonts w:ascii="Calibri" w:hAnsi="Calibri" w:eastAsia="Times New Roman" w:cs="Calibri"/>
                <w:color w:val="000000"/>
                <w:sz w:val="16"/>
                <w:szCs w:val="16"/>
              </w:rPr>
              <w:t>join</w:t>
            </w:r>
            <w:r w:rsidRPr="00160D41" w:rsidR="00CA7AA5">
              <w:rPr>
                <w:rFonts w:ascii="Calibri" w:hAnsi="Calibri" w:eastAsia="Times New Roman" w:cs="Calibri"/>
                <w:color w:val="000000"/>
                <w:sz w:val="16"/>
                <w:szCs w:val="16"/>
              </w:rPr>
              <w:t>ing</w:t>
            </w:r>
            <w:r w:rsidRPr="00160D41" w:rsidR="00C63E58">
              <w:rPr>
                <w:rFonts w:ascii="Calibri" w:hAnsi="Calibri" w:eastAsia="Times New Roman" w:cs="Calibri"/>
                <w:color w:val="000000"/>
                <w:sz w:val="16"/>
                <w:szCs w:val="16"/>
              </w:rPr>
              <w:t xml:space="preserve"> the </w:t>
            </w:r>
            <w:r w:rsidR="00F71A88">
              <w:rPr>
                <w:rFonts w:ascii="Calibri" w:hAnsi="Calibri" w:eastAsia="Times New Roman" w:cs="Calibri"/>
                <w:color w:val="000000"/>
                <w:sz w:val="16"/>
                <w:szCs w:val="16"/>
              </w:rPr>
              <w:t>Reserve</w:t>
            </w:r>
            <w:r w:rsidRPr="00160D41" w:rsidR="00C63E58">
              <w:rPr>
                <w:rFonts w:ascii="Calibri" w:hAnsi="Calibri" w:eastAsia="Times New Roman" w:cs="Calibri"/>
                <w:color w:val="000000"/>
                <w:sz w:val="16"/>
                <w:szCs w:val="16"/>
              </w:rPr>
              <w:t xml:space="preserve"> Sy</w:t>
            </w:r>
            <w:r w:rsidR="006E192D">
              <w:rPr>
                <w:rFonts w:ascii="Calibri" w:hAnsi="Calibri" w:eastAsia="Times New Roman" w:cs="Calibri"/>
                <w:color w:val="000000"/>
                <w:sz w:val="16"/>
                <w:szCs w:val="16"/>
              </w:rPr>
              <w:t>stem is voluntary.</w:t>
            </w:r>
            <w:r w:rsidRPr="00160D41" w:rsidR="00F7722B">
              <w:rPr>
                <w:rFonts w:ascii="Calibri" w:hAnsi="Calibri" w:eastAsia="Times New Roman" w:cs="Calibri"/>
                <w:color w:val="000000"/>
                <w:sz w:val="16"/>
                <w:szCs w:val="16"/>
              </w:rPr>
              <w:t xml:space="preserve"> During the previous renewal period, only 1 state (CT) was working towards designation of a new </w:t>
            </w:r>
            <w:r w:rsidR="00F71A88">
              <w:rPr>
                <w:rFonts w:ascii="Calibri" w:hAnsi="Calibri" w:eastAsia="Times New Roman" w:cs="Calibri"/>
                <w:color w:val="000000"/>
                <w:sz w:val="16"/>
                <w:szCs w:val="16"/>
              </w:rPr>
              <w:t>Reserve</w:t>
            </w:r>
            <w:r w:rsidRPr="00160D41" w:rsidR="00F7722B">
              <w:rPr>
                <w:rFonts w:ascii="Calibri" w:hAnsi="Calibri" w:eastAsia="Times New Roman" w:cs="Calibri"/>
                <w:color w:val="000000"/>
                <w:sz w:val="16"/>
                <w:szCs w:val="16"/>
              </w:rPr>
              <w:t xml:space="preserve"> site.  In the current renewal period, OCM anticipates that 3 states (CT, WI, and LA) will be</w:t>
            </w:r>
            <w:r w:rsidRPr="00160D41" w:rsidR="00FB43DE">
              <w:rPr>
                <w:rFonts w:ascii="Calibri" w:hAnsi="Calibri" w:eastAsia="Times New Roman" w:cs="Calibri"/>
                <w:color w:val="000000"/>
                <w:sz w:val="16"/>
                <w:szCs w:val="16"/>
              </w:rPr>
              <w:t xml:space="preserve"> </w:t>
            </w:r>
            <w:r w:rsidRPr="00160D41" w:rsidR="00F7722B">
              <w:rPr>
                <w:rFonts w:ascii="Calibri" w:hAnsi="Calibri" w:eastAsia="Times New Roman" w:cs="Calibri"/>
                <w:color w:val="000000"/>
                <w:sz w:val="16"/>
                <w:szCs w:val="16"/>
              </w:rPr>
              <w:t xml:space="preserve">working towards the designation of new </w:t>
            </w:r>
            <w:r w:rsidR="00F71A88">
              <w:rPr>
                <w:rFonts w:ascii="Calibri" w:hAnsi="Calibri" w:eastAsia="Times New Roman" w:cs="Calibri"/>
                <w:color w:val="000000"/>
                <w:sz w:val="16"/>
                <w:szCs w:val="16"/>
              </w:rPr>
              <w:t>Reserve</w:t>
            </w:r>
            <w:r w:rsidRPr="00160D41" w:rsidR="00C63E58">
              <w:rPr>
                <w:rFonts w:ascii="Calibri" w:hAnsi="Calibri" w:eastAsia="Times New Roman" w:cs="Calibri"/>
                <w:color w:val="000000"/>
                <w:sz w:val="16"/>
                <w:szCs w:val="16"/>
              </w:rPr>
              <w:t xml:space="preserve"> sites in their states, thereby resulting in an increase in burden hours.</w:t>
            </w:r>
          </w:p>
        </w:tc>
      </w:tr>
      <w:tr w:rsidRPr="00160D41" w:rsidR="00DF0CE3" w:rsidTr="00255157" w14:paraId="677E3E80"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160D41" w:rsidR="00DF0CE3" w:rsidP="00DF0CE3" w:rsidRDefault="00C63E58" w14:paraId="7536FC37" w14:textId="12FC71A8">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Management Plan</w:t>
            </w:r>
          </w:p>
        </w:tc>
        <w:tc>
          <w:tcPr>
            <w:tcW w:w="1097"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4C6834" w14:paraId="5976BA99" w14:textId="3A333CF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1011"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4C6834" w14:paraId="3AE159B9" w14:textId="0E5771F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723BD563" w14:textId="5A12C966">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4</w:t>
            </w:r>
            <w:r w:rsidRPr="00160D41" w:rsidR="00DF0CE3">
              <w:rPr>
                <w:rFonts w:ascii="Calibri" w:hAnsi="Calibri" w:eastAsia="Times New Roman"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CA7AA5" w14:paraId="7C76263B" w14:textId="4A7654F8">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4</w:t>
            </w:r>
            <w:r w:rsidRPr="00160D41" w:rsidR="00DF0CE3">
              <w:rPr>
                <w:rFonts w:ascii="Calibri" w:hAnsi="Calibri" w:eastAsia="Times New Roman"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6E192D" w14:paraId="5BA59B98" w14:textId="5AAF60F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6,000</w:t>
            </w:r>
            <w:r w:rsidRPr="00160D41" w:rsidR="00DF0CE3">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160D41" w:rsidR="00DF0CE3" w:rsidP="006E192D" w:rsidRDefault="00C63E58" w14:paraId="7B4F014A" w14:textId="66F4BFB2">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7,200</w:t>
            </w:r>
          </w:p>
        </w:tc>
        <w:tc>
          <w:tcPr>
            <w:tcW w:w="5467"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C63E58" w14:paraId="20F16361" w14:textId="47D96883">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xml:space="preserve">This adjustment is due to updated Guidance designed to </w:t>
            </w:r>
            <w:r w:rsidRPr="00160D41" w:rsidR="00CA7AA5">
              <w:rPr>
                <w:rFonts w:ascii="Calibri" w:hAnsi="Calibri" w:eastAsia="Times New Roman" w:cs="Calibri"/>
                <w:color w:val="000000"/>
                <w:sz w:val="16"/>
                <w:szCs w:val="16"/>
              </w:rPr>
              <w:t>reduce the length of management plans and simplify the required elements.</w:t>
            </w:r>
          </w:p>
        </w:tc>
      </w:tr>
      <w:tr w:rsidRPr="00160D41" w:rsidR="00DF0CE3" w:rsidTr="00255157" w14:paraId="4A3172CD"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B84915" w:rsidR="00DF0CE3" w:rsidP="00DF0CE3" w:rsidRDefault="00572F34" w14:paraId="7130B287" w14:textId="7DE936B9">
            <w:pPr>
              <w:widowControl/>
              <w:autoSpaceDE/>
              <w:autoSpaceDN/>
              <w:rPr>
                <w:rFonts w:eastAsia="Times New Roman" w:asciiTheme="minorHAnsi" w:hAnsiTheme="minorHAnsi" w:cstheme="minorHAnsi"/>
                <w:color w:val="000000"/>
                <w:sz w:val="16"/>
                <w:szCs w:val="16"/>
              </w:rPr>
            </w:pPr>
            <w:r w:rsidRPr="00B84915">
              <w:rPr>
                <w:rFonts w:asciiTheme="minorHAnsi" w:hAnsiTheme="minorHAnsi" w:cstheme="minorHAnsi"/>
                <w:bCs/>
                <w:sz w:val="16"/>
                <w:szCs w:val="16"/>
              </w:rPr>
              <w:t>Grant Progress Reporting - comprehensive</w:t>
            </w:r>
          </w:p>
        </w:tc>
        <w:tc>
          <w:tcPr>
            <w:tcW w:w="1097"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743DD2CF" w14:textId="4D54F979">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r w:rsidRPr="00160D41" w:rsidR="00DF0CE3">
              <w:rPr>
                <w:rFonts w:ascii="Calibri" w:hAnsi="Calibri" w:eastAsia="Times New Roman" w:cs="Calibri"/>
                <w:color w:val="000000"/>
                <w:sz w:val="16"/>
                <w:szCs w:val="16"/>
              </w:rPr>
              <w:t> </w:t>
            </w:r>
          </w:p>
        </w:tc>
        <w:tc>
          <w:tcPr>
            <w:tcW w:w="1011"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CA7AA5" w14:paraId="02CD5374" w14:textId="67F28CF1">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1A072D2F" w14:textId="763F0DF1">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58</w:t>
            </w:r>
          </w:p>
        </w:tc>
        <w:tc>
          <w:tcPr>
            <w:tcW w:w="108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CA7AA5" w14:paraId="205D25B7" w14:textId="705FB6E1">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58</w:t>
            </w:r>
          </w:p>
        </w:tc>
        <w:tc>
          <w:tcPr>
            <w:tcW w:w="108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307CAC75" w14:textId="57897BEC">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580</w:t>
            </w:r>
            <w:r w:rsidRPr="00160D41" w:rsidR="00DF0CE3">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160D41" w14:paraId="39F0C937" w14:textId="299D5476">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290</w:t>
            </w:r>
            <w:r w:rsidRPr="00160D41" w:rsidR="00DF0CE3">
              <w:rPr>
                <w:rFonts w:ascii="Calibri" w:hAnsi="Calibri" w:eastAsia="Times New Roman" w:cs="Calibri"/>
                <w:color w:val="000000"/>
                <w:sz w:val="16"/>
                <w:szCs w:val="16"/>
              </w:rPr>
              <w:t> </w:t>
            </w:r>
          </w:p>
        </w:tc>
        <w:tc>
          <w:tcPr>
            <w:tcW w:w="5467" w:type="dxa"/>
            <w:tcBorders>
              <w:top w:val="nil"/>
              <w:left w:val="nil"/>
              <w:bottom w:val="dotted" w:color="auto" w:sz="4" w:space="0"/>
              <w:right w:val="single" w:color="auto" w:sz="8" w:space="0"/>
            </w:tcBorders>
            <w:shd w:val="clear" w:color="auto" w:fill="auto"/>
            <w:vAlign w:val="center"/>
            <w:hideMark/>
          </w:tcPr>
          <w:p w:rsidRPr="00160D41" w:rsidR="00DF0CE3" w:rsidP="00B84915" w:rsidRDefault="00DF0CE3" w14:paraId="65640C1C" w14:textId="78811E6D">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DF2617">
              <w:rPr>
                <w:rFonts w:ascii="Calibri" w:hAnsi="Calibri" w:eastAsia="Times New Roman" w:cs="Calibri"/>
                <w:color w:val="000000"/>
                <w:sz w:val="16"/>
                <w:szCs w:val="16"/>
              </w:rPr>
              <w:t>This adjustment was due to changes in the burden estimation</w:t>
            </w:r>
            <w:r w:rsidR="00DF2617">
              <w:rPr>
                <w:rFonts w:ascii="Calibri" w:hAnsi="Calibri" w:eastAsia="Times New Roman" w:cs="Calibri"/>
                <w:color w:val="000000"/>
                <w:sz w:val="16"/>
                <w:szCs w:val="16"/>
              </w:rPr>
              <w:t xml:space="preserve"> provided by state respondents.  </w:t>
            </w:r>
          </w:p>
        </w:tc>
      </w:tr>
      <w:tr w:rsidRPr="00160D41" w:rsidR="00572F34" w:rsidTr="00255157" w14:paraId="637A3005"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B84915" w:rsidR="00572F34" w:rsidP="00DF0CE3" w:rsidRDefault="00572F34" w14:paraId="096164FF" w14:textId="3E9BB3BA">
            <w:pPr>
              <w:widowControl/>
              <w:autoSpaceDE/>
              <w:autoSpaceDN/>
              <w:rPr>
                <w:rFonts w:eastAsia="Times New Roman" w:asciiTheme="minorHAnsi" w:hAnsiTheme="minorHAnsi" w:cstheme="minorHAnsi"/>
                <w:color w:val="000000"/>
                <w:sz w:val="16"/>
                <w:szCs w:val="16"/>
              </w:rPr>
            </w:pPr>
            <w:r w:rsidRPr="00B84915">
              <w:rPr>
                <w:rFonts w:asciiTheme="minorHAnsi" w:hAnsiTheme="minorHAnsi" w:cstheme="minorHAnsi"/>
                <w:bCs/>
                <w:sz w:val="16"/>
                <w:szCs w:val="16"/>
              </w:rPr>
              <w:t>Grant Progress Report – Final non-comprehensive</w:t>
            </w:r>
          </w:p>
        </w:tc>
        <w:tc>
          <w:tcPr>
            <w:tcW w:w="1097" w:type="dxa"/>
            <w:tcBorders>
              <w:top w:val="nil"/>
              <w:left w:val="nil"/>
              <w:bottom w:val="dotted" w:color="auto" w:sz="4" w:space="0"/>
              <w:right w:val="dashed" w:color="auto" w:sz="8" w:space="0"/>
            </w:tcBorders>
            <w:shd w:val="clear" w:color="auto" w:fill="auto"/>
            <w:vAlign w:val="center"/>
          </w:tcPr>
          <w:p w:rsidRPr="00160D41" w:rsidR="00572F34" w:rsidP="00DF0CE3" w:rsidRDefault="00CA7AA5" w14:paraId="786C4BE5" w14:textId="76E235D8">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011" w:type="dxa"/>
            <w:tcBorders>
              <w:top w:val="nil"/>
              <w:left w:val="nil"/>
              <w:bottom w:val="dotted" w:color="auto" w:sz="4" w:space="0"/>
              <w:right w:val="single" w:color="auto" w:sz="8" w:space="0"/>
            </w:tcBorders>
            <w:shd w:val="clear" w:color="auto" w:fill="auto"/>
            <w:vAlign w:val="center"/>
          </w:tcPr>
          <w:p w:rsidRPr="00160D41" w:rsidR="00572F34" w:rsidP="00DF0CE3" w:rsidRDefault="00CA7AA5" w14:paraId="6DA89869" w14:textId="22101DBA">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tcPr>
          <w:p w:rsidRPr="00160D41" w:rsidR="00572F34" w:rsidP="00DF0CE3" w:rsidRDefault="00CA7AA5" w14:paraId="77EBD6AC" w14:textId="393B70B4">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080" w:type="dxa"/>
            <w:tcBorders>
              <w:top w:val="nil"/>
              <w:left w:val="nil"/>
              <w:bottom w:val="dotted" w:color="auto" w:sz="4" w:space="0"/>
              <w:right w:val="single" w:color="auto" w:sz="8" w:space="0"/>
            </w:tcBorders>
            <w:shd w:val="clear" w:color="auto" w:fill="auto"/>
            <w:vAlign w:val="center"/>
          </w:tcPr>
          <w:p w:rsidRPr="00160D41" w:rsidR="00572F34" w:rsidP="00DF0CE3" w:rsidRDefault="00CA7AA5" w14:paraId="2D977F4B" w14:textId="1FD558A2">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080" w:type="dxa"/>
            <w:tcBorders>
              <w:top w:val="nil"/>
              <w:left w:val="nil"/>
              <w:bottom w:val="dotted" w:color="auto" w:sz="4" w:space="0"/>
              <w:right w:val="dashed" w:color="auto" w:sz="8" w:space="0"/>
            </w:tcBorders>
            <w:shd w:val="clear" w:color="auto" w:fill="auto"/>
            <w:vAlign w:val="center"/>
          </w:tcPr>
          <w:p w:rsidRPr="00160D41" w:rsidR="00572F34" w:rsidP="00DF0CE3" w:rsidRDefault="00CA7AA5" w14:paraId="27FB2EFF" w14:textId="5B79464D">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116</w:t>
            </w:r>
          </w:p>
        </w:tc>
        <w:tc>
          <w:tcPr>
            <w:tcW w:w="1170" w:type="dxa"/>
            <w:tcBorders>
              <w:top w:val="nil"/>
              <w:left w:val="nil"/>
              <w:bottom w:val="dotted" w:color="auto" w:sz="4" w:space="0"/>
              <w:right w:val="single" w:color="auto" w:sz="8" w:space="0"/>
            </w:tcBorders>
            <w:shd w:val="clear" w:color="auto" w:fill="auto"/>
            <w:vAlign w:val="center"/>
          </w:tcPr>
          <w:p w:rsidRPr="00160D41" w:rsidR="00572F34" w:rsidP="00DF0CE3" w:rsidRDefault="00160D41" w14:paraId="6A46C2CD" w14:textId="14AC01A1">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58</w:t>
            </w:r>
          </w:p>
        </w:tc>
        <w:tc>
          <w:tcPr>
            <w:tcW w:w="5467" w:type="dxa"/>
            <w:tcBorders>
              <w:top w:val="nil"/>
              <w:left w:val="nil"/>
              <w:bottom w:val="dotted" w:color="auto" w:sz="4" w:space="0"/>
              <w:right w:val="single" w:color="auto" w:sz="8" w:space="0"/>
            </w:tcBorders>
            <w:shd w:val="clear" w:color="auto" w:fill="auto"/>
            <w:vAlign w:val="center"/>
          </w:tcPr>
          <w:p w:rsidRPr="00160D41" w:rsidR="00572F34" w:rsidP="006E192D" w:rsidRDefault="00DF2617" w14:paraId="37AC2E54" w14:textId="176E9AD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This adjustment was due to changes in the burden estimation</w:t>
            </w:r>
            <w:r>
              <w:rPr>
                <w:rFonts w:ascii="Calibri" w:hAnsi="Calibri" w:eastAsia="Times New Roman" w:cs="Calibri"/>
                <w:color w:val="000000"/>
                <w:sz w:val="16"/>
                <w:szCs w:val="16"/>
              </w:rPr>
              <w:t xml:space="preserve"> provided by state respondents.  </w:t>
            </w:r>
          </w:p>
        </w:tc>
      </w:tr>
      <w:tr w:rsidRPr="00160D41" w:rsidR="00DF0CE3" w:rsidTr="00255157" w14:paraId="0F03EA9A"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B84915" w:rsidR="00DF0CE3" w:rsidP="00572F34" w:rsidRDefault="00572F34" w14:paraId="660DFA23" w14:textId="3519CBF7">
            <w:pPr>
              <w:widowControl/>
              <w:autoSpaceDE/>
              <w:autoSpaceDN/>
              <w:rPr>
                <w:rFonts w:eastAsia="Times New Roman" w:asciiTheme="minorHAnsi" w:hAnsiTheme="minorHAnsi" w:cstheme="minorHAnsi"/>
                <w:color w:val="000000"/>
                <w:sz w:val="16"/>
                <w:szCs w:val="16"/>
              </w:rPr>
            </w:pPr>
            <w:r w:rsidRPr="00B84915">
              <w:rPr>
                <w:rFonts w:asciiTheme="minorHAnsi" w:hAnsiTheme="minorHAnsi" w:cstheme="minorHAnsi"/>
                <w:bCs/>
                <w:sz w:val="16"/>
                <w:szCs w:val="16"/>
              </w:rPr>
              <w:t>Grant Application</w:t>
            </w:r>
          </w:p>
        </w:tc>
        <w:tc>
          <w:tcPr>
            <w:tcW w:w="1097"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4141FE7C" w14:textId="780297FD">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r w:rsidRPr="00160D41" w:rsidR="00DF0CE3">
              <w:rPr>
                <w:rFonts w:ascii="Calibri" w:hAnsi="Calibri" w:eastAsia="Times New Roman" w:cs="Calibri"/>
                <w:color w:val="000000"/>
                <w:sz w:val="16"/>
                <w:szCs w:val="16"/>
              </w:rPr>
              <w:t> </w:t>
            </w:r>
          </w:p>
        </w:tc>
        <w:tc>
          <w:tcPr>
            <w:tcW w:w="1011"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160D41" w14:paraId="1BCCB8DC" w14:textId="1E5B3A5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hideMark/>
          </w:tcPr>
          <w:p w:rsidRPr="00160D41" w:rsidR="00DF0CE3" w:rsidP="00AD0B06" w:rsidRDefault="00DF0CE3" w14:paraId="17DC9349" w14:textId="277B8308">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A7AA5">
              <w:rPr>
                <w:rFonts w:ascii="Calibri" w:hAnsi="Calibri" w:eastAsia="Times New Roman" w:cs="Calibri"/>
                <w:color w:val="000000"/>
                <w:sz w:val="16"/>
                <w:szCs w:val="16"/>
              </w:rPr>
              <w:t>2</w:t>
            </w:r>
            <w:r w:rsidR="00AD0B06">
              <w:rPr>
                <w:rFonts w:ascii="Calibri" w:hAnsi="Calibri" w:eastAsia="Times New Roman" w:cs="Calibri"/>
                <w:color w:val="000000"/>
                <w:sz w:val="16"/>
                <w:szCs w:val="16"/>
              </w:rPr>
              <w:t>4</w:t>
            </w:r>
          </w:p>
        </w:tc>
        <w:tc>
          <w:tcPr>
            <w:tcW w:w="1080" w:type="dxa"/>
            <w:tcBorders>
              <w:top w:val="nil"/>
              <w:left w:val="nil"/>
              <w:bottom w:val="dotted" w:color="auto" w:sz="4" w:space="0"/>
              <w:right w:val="single" w:color="auto" w:sz="8" w:space="0"/>
            </w:tcBorders>
            <w:shd w:val="clear" w:color="auto" w:fill="auto"/>
            <w:vAlign w:val="center"/>
            <w:hideMark/>
          </w:tcPr>
          <w:p w:rsidRPr="00160D41" w:rsidR="00DF0CE3" w:rsidP="00EC63EA" w:rsidRDefault="00CA7AA5" w14:paraId="040B1650" w14:textId="35121E0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w:t>
            </w:r>
            <w:r w:rsidR="00EC63EA">
              <w:rPr>
                <w:rFonts w:ascii="Calibri" w:hAnsi="Calibri" w:eastAsia="Times New Roman" w:cs="Calibri"/>
                <w:color w:val="000000"/>
                <w:sz w:val="16"/>
                <w:szCs w:val="16"/>
              </w:rPr>
              <w:t>9</w:t>
            </w:r>
          </w:p>
        </w:tc>
        <w:tc>
          <w:tcPr>
            <w:tcW w:w="108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6E192D" w14:paraId="3863B6C8" w14:textId="573285A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384</w:t>
            </w:r>
            <w:r w:rsidRPr="00160D41" w:rsidR="00DF0CE3">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251A88" w14:paraId="6467E794" w14:textId="3FE85DCB">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232</w:t>
            </w:r>
            <w:r w:rsidRPr="00160D41" w:rsidR="00DF0CE3">
              <w:rPr>
                <w:rFonts w:ascii="Calibri" w:hAnsi="Calibri" w:eastAsia="Times New Roman" w:cs="Calibri"/>
                <w:color w:val="000000"/>
                <w:sz w:val="16"/>
                <w:szCs w:val="16"/>
              </w:rPr>
              <w:t> </w:t>
            </w:r>
          </w:p>
        </w:tc>
        <w:tc>
          <w:tcPr>
            <w:tcW w:w="5467" w:type="dxa"/>
            <w:tcBorders>
              <w:top w:val="nil"/>
              <w:left w:val="nil"/>
              <w:bottom w:val="dotted" w:color="auto" w:sz="4" w:space="0"/>
              <w:right w:val="single" w:color="auto" w:sz="8" w:space="0"/>
            </w:tcBorders>
            <w:shd w:val="clear" w:color="auto" w:fill="auto"/>
            <w:vAlign w:val="center"/>
            <w:hideMark/>
          </w:tcPr>
          <w:p w:rsidRPr="00160D41" w:rsidR="00DF0CE3" w:rsidP="00CA7AA5" w:rsidRDefault="00DF0CE3" w14:paraId="012BF934" w14:textId="40BD2CDF">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572F34">
              <w:rPr>
                <w:rFonts w:ascii="Calibri" w:hAnsi="Calibri" w:eastAsia="Times New Roman" w:cs="Calibri"/>
                <w:color w:val="000000"/>
                <w:sz w:val="16"/>
                <w:szCs w:val="16"/>
              </w:rPr>
              <w:t xml:space="preserve">This adjustment was due to changes in the burden estimation as well as estimated changes to the </w:t>
            </w:r>
            <w:r w:rsidR="006E192D">
              <w:rPr>
                <w:rFonts w:ascii="Calibri" w:hAnsi="Calibri" w:eastAsia="Times New Roman" w:cs="Calibri"/>
                <w:color w:val="000000"/>
                <w:sz w:val="16"/>
                <w:szCs w:val="16"/>
              </w:rPr>
              <w:t>average number of responses per year</w:t>
            </w:r>
            <w:r w:rsidRPr="00160D41" w:rsidR="00572F34">
              <w:rPr>
                <w:rFonts w:ascii="Calibri" w:hAnsi="Calibri" w:eastAsia="Times New Roman" w:cs="Calibri"/>
                <w:color w:val="000000"/>
                <w:sz w:val="16"/>
                <w:szCs w:val="16"/>
              </w:rPr>
              <w:t xml:space="preserve">.  </w:t>
            </w:r>
            <w:r w:rsidR="00F71A88">
              <w:rPr>
                <w:rFonts w:ascii="Calibri" w:hAnsi="Calibri" w:eastAsia="Times New Roman" w:cs="Calibri"/>
                <w:color w:val="000000"/>
                <w:sz w:val="16"/>
                <w:szCs w:val="16"/>
              </w:rPr>
              <w:t>Reserves</w:t>
            </w:r>
            <w:r w:rsidRPr="00160D41" w:rsidR="00572F34">
              <w:rPr>
                <w:rFonts w:ascii="Calibri" w:hAnsi="Calibri" w:eastAsia="Times New Roman" w:cs="Calibri"/>
                <w:color w:val="000000"/>
                <w:sz w:val="16"/>
                <w:szCs w:val="16"/>
              </w:rPr>
              <w:t xml:space="preserve"> indicated that the burden estimate for the grant application development was too low and OCM agrees with this assessment.  At the same time, we are estimating that the level of effort will decrease for some respondents as more </w:t>
            </w:r>
            <w:r w:rsidR="00F71A88">
              <w:rPr>
                <w:rFonts w:ascii="Calibri" w:hAnsi="Calibri" w:eastAsia="Times New Roman" w:cs="Calibri"/>
                <w:color w:val="000000"/>
                <w:sz w:val="16"/>
                <w:szCs w:val="16"/>
              </w:rPr>
              <w:t>reserves</w:t>
            </w:r>
            <w:r w:rsidRPr="00160D41" w:rsidR="00572F34">
              <w:rPr>
                <w:rFonts w:ascii="Calibri" w:hAnsi="Calibri" w:eastAsia="Times New Roman" w:cs="Calibri"/>
                <w:color w:val="000000"/>
                <w:sz w:val="16"/>
                <w:szCs w:val="16"/>
              </w:rPr>
              <w:t xml:space="preserve"> begin to </w:t>
            </w:r>
            <w:r w:rsidRPr="00160D41" w:rsidR="00CF0713">
              <w:rPr>
                <w:rFonts w:ascii="Calibri" w:hAnsi="Calibri" w:eastAsia="Times New Roman" w:cs="Calibri"/>
                <w:color w:val="000000"/>
                <w:sz w:val="16"/>
                <w:szCs w:val="16"/>
              </w:rPr>
              <w:t>implement multiyear awards rather than single year awards.  This means that respondents will only have to develop grant applications every other year rather than every year.</w:t>
            </w:r>
            <w:r w:rsidRPr="00160D41" w:rsidR="00F06163">
              <w:rPr>
                <w:rFonts w:ascii="Calibri" w:hAnsi="Calibri" w:eastAsia="Times New Roman" w:cs="Calibri"/>
                <w:color w:val="000000"/>
                <w:sz w:val="16"/>
                <w:szCs w:val="16"/>
              </w:rPr>
              <w:t xml:space="preserve">  We are estimating that at least 10 </w:t>
            </w:r>
            <w:r w:rsidRPr="00160D41" w:rsidR="00CA7AA5">
              <w:rPr>
                <w:rFonts w:ascii="Calibri" w:hAnsi="Calibri" w:eastAsia="Times New Roman" w:cs="Calibri"/>
                <w:color w:val="000000"/>
                <w:sz w:val="16"/>
                <w:szCs w:val="16"/>
              </w:rPr>
              <w:t>states will chose to develop multi-year awards</w:t>
            </w:r>
            <w:r w:rsidR="006E192D">
              <w:rPr>
                <w:rFonts w:ascii="Calibri" w:hAnsi="Calibri" w:eastAsia="Times New Roman" w:cs="Calibri"/>
                <w:color w:val="000000"/>
                <w:sz w:val="16"/>
                <w:szCs w:val="16"/>
              </w:rPr>
              <w:t xml:space="preserve"> during this renewal period</w:t>
            </w:r>
            <w:r w:rsidRPr="00160D41" w:rsidR="00CA7AA5">
              <w:rPr>
                <w:rFonts w:ascii="Calibri" w:hAnsi="Calibri" w:eastAsia="Times New Roman" w:cs="Calibri"/>
                <w:color w:val="000000"/>
                <w:sz w:val="16"/>
                <w:szCs w:val="16"/>
              </w:rPr>
              <w:t xml:space="preserve">.  This reduces the average annual number of respondents to 24 (Some years all 29 </w:t>
            </w:r>
            <w:r w:rsidR="00F71A88">
              <w:rPr>
                <w:rFonts w:ascii="Calibri" w:hAnsi="Calibri" w:eastAsia="Times New Roman" w:cs="Calibri"/>
                <w:color w:val="000000"/>
                <w:sz w:val="16"/>
                <w:szCs w:val="16"/>
              </w:rPr>
              <w:t>Reserves</w:t>
            </w:r>
            <w:r w:rsidRPr="00160D41" w:rsidR="00CA7AA5">
              <w:rPr>
                <w:rFonts w:ascii="Calibri" w:hAnsi="Calibri" w:eastAsia="Times New Roman" w:cs="Calibri"/>
                <w:color w:val="000000"/>
                <w:sz w:val="16"/>
                <w:szCs w:val="16"/>
              </w:rPr>
              <w:t xml:space="preserve"> will need to develop funding applications, but the next year, only 19 </w:t>
            </w:r>
            <w:r w:rsidR="00F71A88">
              <w:rPr>
                <w:rFonts w:ascii="Calibri" w:hAnsi="Calibri" w:eastAsia="Times New Roman" w:cs="Calibri"/>
                <w:color w:val="000000"/>
                <w:sz w:val="16"/>
                <w:szCs w:val="16"/>
              </w:rPr>
              <w:t>Reserves</w:t>
            </w:r>
            <w:r w:rsidRPr="00160D41" w:rsidR="00CA7AA5">
              <w:rPr>
                <w:rFonts w:ascii="Calibri" w:hAnsi="Calibri" w:eastAsia="Times New Roman" w:cs="Calibri"/>
                <w:color w:val="000000"/>
                <w:sz w:val="16"/>
                <w:szCs w:val="16"/>
              </w:rPr>
              <w:t xml:space="preserve"> will need to develop applications).</w:t>
            </w:r>
          </w:p>
        </w:tc>
      </w:tr>
      <w:tr w:rsidRPr="00160D41" w:rsidR="00160D41" w:rsidTr="00255157" w14:paraId="147A4664"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160D41" w:rsidR="00160D41" w:rsidP="00572F34" w:rsidRDefault="00160D41" w14:paraId="3CE2E779" w14:textId="36EB1940">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NEPA and SHPO</w:t>
            </w:r>
          </w:p>
        </w:tc>
        <w:tc>
          <w:tcPr>
            <w:tcW w:w="1097" w:type="dxa"/>
            <w:tcBorders>
              <w:top w:val="nil"/>
              <w:left w:val="nil"/>
              <w:bottom w:val="dotted" w:color="auto" w:sz="4" w:space="0"/>
              <w:right w:val="dashed" w:color="auto" w:sz="8" w:space="0"/>
            </w:tcBorders>
            <w:shd w:val="clear" w:color="auto" w:fill="auto"/>
            <w:vAlign w:val="center"/>
          </w:tcPr>
          <w:p w:rsidRPr="00160D41" w:rsidR="00160D41" w:rsidP="00DF0CE3" w:rsidRDefault="00160D41" w14:paraId="67D6D63C" w14:textId="6AD9735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1011" w:type="dxa"/>
            <w:tcBorders>
              <w:top w:val="nil"/>
              <w:left w:val="nil"/>
              <w:bottom w:val="dotted" w:color="auto" w:sz="4" w:space="0"/>
              <w:right w:val="single" w:color="auto" w:sz="8" w:space="0"/>
            </w:tcBorders>
            <w:shd w:val="clear" w:color="auto" w:fill="auto"/>
            <w:vAlign w:val="center"/>
          </w:tcPr>
          <w:p w:rsidRPr="00160D41" w:rsidR="00160D41" w:rsidP="00DF0CE3" w:rsidRDefault="00160D41" w14:paraId="37E5AE5D" w14:textId="766EC09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tcPr>
          <w:p w:rsidRPr="00160D41" w:rsidR="00160D41" w:rsidP="00DF0CE3" w:rsidRDefault="00160D41" w14:paraId="015EF537" w14:textId="7705202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1080" w:type="dxa"/>
            <w:tcBorders>
              <w:top w:val="nil"/>
              <w:left w:val="nil"/>
              <w:bottom w:val="dotted" w:color="auto" w:sz="4" w:space="0"/>
              <w:right w:val="single" w:color="auto" w:sz="8" w:space="0"/>
            </w:tcBorders>
            <w:shd w:val="clear" w:color="auto" w:fill="auto"/>
            <w:vAlign w:val="center"/>
          </w:tcPr>
          <w:p w:rsidRPr="00160D41" w:rsidR="00160D41" w:rsidP="00DF0CE3" w:rsidRDefault="00160D41" w14:paraId="32F1E0C6" w14:textId="0E5164F9">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1080" w:type="dxa"/>
            <w:tcBorders>
              <w:top w:val="nil"/>
              <w:left w:val="nil"/>
              <w:bottom w:val="dotted" w:color="auto" w:sz="4" w:space="0"/>
              <w:right w:val="dashed" w:color="auto" w:sz="8" w:space="0"/>
            </w:tcBorders>
            <w:shd w:val="clear" w:color="auto" w:fill="auto"/>
            <w:vAlign w:val="center"/>
          </w:tcPr>
          <w:p w:rsidRPr="00160D41" w:rsidR="00160D41" w:rsidP="00DF0CE3" w:rsidRDefault="00160D41" w14:paraId="0448E2B4" w14:textId="6D078FF3">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58</w:t>
            </w:r>
          </w:p>
        </w:tc>
        <w:tc>
          <w:tcPr>
            <w:tcW w:w="1170" w:type="dxa"/>
            <w:tcBorders>
              <w:top w:val="nil"/>
              <w:left w:val="nil"/>
              <w:bottom w:val="dotted" w:color="auto" w:sz="4" w:space="0"/>
              <w:right w:val="single" w:color="auto" w:sz="8" w:space="0"/>
            </w:tcBorders>
            <w:shd w:val="clear" w:color="auto" w:fill="auto"/>
            <w:vAlign w:val="center"/>
          </w:tcPr>
          <w:p w:rsidRPr="00160D41" w:rsidR="00160D41" w:rsidP="00EC63EA" w:rsidRDefault="00160D41" w14:paraId="7B2DB90A" w14:textId="05044F7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5467" w:type="dxa"/>
            <w:tcBorders>
              <w:top w:val="nil"/>
              <w:left w:val="nil"/>
              <w:bottom w:val="dotted" w:color="auto" w:sz="4" w:space="0"/>
              <w:right w:val="single" w:color="auto" w:sz="8" w:space="0"/>
            </w:tcBorders>
            <w:shd w:val="clear" w:color="auto" w:fill="auto"/>
            <w:vAlign w:val="center"/>
          </w:tcPr>
          <w:p w:rsidRPr="00160D41" w:rsidR="00160D41" w:rsidP="006E192D" w:rsidRDefault="00DF2617" w14:paraId="2420AC2F" w14:textId="1E731D80">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This adjustment was due to changes in the burden estimation</w:t>
            </w:r>
            <w:r>
              <w:rPr>
                <w:rFonts w:ascii="Calibri" w:hAnsi="Calibri" w:eastAsia="Times New Roman" w:cs="Calibri"/>
                <w:color w:val="000000"/>
                <w:sz w:val="16"/>
                <w:szCs w:val="16"/>
              </w:rPr>
              <w:t xml:space="preserve"> provided by state respondents.  </w:t>
            </w:r>
          </w:p>
        </w:tc>
      </w:tr>
      <w:tr w:rsidRPr="00160D41" w:rsidR="00DF0CE3" w:rsidTr="00255157" w14:paraId="20374A0A"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160D41" w:rsidR="00DF0CE3" w:rsidP="00DF0CE3" w:rsidRDefault="00DF0CE3" w14:paraId="244BDDF4"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Total for Collection</w:t>
            </w:r>
          </w:p>
        </w:tc>
        <w:tc>
          <w:tcPr>
            <w:tcW w:w="1097" w:type="dxa"/>
            <w:tcBorders>
              <w:top w:val="nil"/>
              <w:left w:val="nil"/>
              <w:bottom w:val="nil"/>
              <w:right w:val="dashed" w:color="auto" w:sz="8" w:space="0"/>
            </w:tcBorders>
            <w:shd w:val="clear" w:color="000000" w:fill="BDD6EE"/>
            <w:vAlign w:val="center"/>
            <w:hideMark/>
          </w:tcPr>
          <w:p w:rsidR="00DF0CE3" w:rsidP="00DF0CE3" w:rsidRDefault="00083F4E" w14:paraId="5ED2F7B0" w14:textId="77777777">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149</w:t>
            </w:r>
            <w:r w:rsidRPr="00160D41" w:rsidR="00DF0CE3">
              <w:rPr>
                <w:rFonts w:ascii="Calibri" w:hAnsi="Calibri" w:eastAsia="Times New Roman" w:cs="Calibri"/>
                <w:b/>
                <w:bCs/>
                <w:color w:val="000000"/>
                <w:sz w:val="16"/>
                <w:szCs w:val="16"/>
              </w:rPr>
              <w:t> </w:t>
            </w:r>
          </w:p>
          <w:p w:rsidRPr="00160D41" w:rsidR="00251A88" w:rsidP="00DF0CE3" w:rsidRDefault="00251A88" w14:paraId="0D8EADFA" w14:textId="0B14491F">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(32 unique respondents)</w:t>
            </w:r>
          </w:p>
        </w:tc>
        <w:tc>
          <w:tcPr>
            <w:tcW w:w="1011" w:type="dxa"/>
            <w:tcBorders>
              <w:top w:val="nil"/>
              <w:left w:val="nil"/>
              <w:bottom w:val="nil"/>
              <w:right w:val="single" w:color="auto" w:sz="8" w:space="0"/>
            </w:tcBorders>
            <w:shd w:val="clear" w:color="000000" w:fill="BDD6EE"/>
            <w:vAlign w:val="center"/>
            <w:hideMark/>
          </w:tcPr>
          <w:p w:rsidR="00DF0CE3" w:rsidP="00DF0CE3" w:rsidRDefault="00160D41" w14:paraId="72E0066A" w14:textId="77777777">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147</w:t>
            </w:r>
            <w:r w:rsidRPr="00160D41" w:rsidR="00DF0CE3">
              <w:rPr>
                <w:rFonts w:ascii="Calibri" w:hAnsi="Calibri" w:eastAsia="Times New Roman" w:cs="Calibri"/>
                <w:b/>
                <w:bCs/>
                <w:color w:val="000000"/>
                <w:sz w:val="16"/>
                <w:szCs w:val="16"/>
              </w:rPr>
              <w:t> </w:t>
            </w:r>
          </w:p>
          <w:p w:rsidRPr="00160D41" w:rsidR="00251A88" w:rsidP="00DF0CE3" w:rsidRDefault="00251A88" w14:paraId="35B500DD" w14:textId="5C0D6FF5">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(30 unique res</w:t>
            </w:r>
            <w:r w:rsidR="00B84915">
              <w:rPr>
                <w:rFonts w:ascii="Calibri" w:hAnsi="Calibri" w:eastAsia="Times New Roman" w:cs="Calibri"/>
                <w:b/>
                <w:bCs/>
                <w:color w:val="000000"/>
                <w:sz w:val="16"/>
                <w:szCs w:val="16"/>
              </w:rPr>
              <w:t>p</w:t>
            </w:r>
            <w:r>
              <w:rPr>
                <w:rFonts w:ascii="Calibri" w:hAnsi="Calibri" w:eastAsia="Times New Roman" w:cs="Calibri"/>
                <w:b/>
                <w:bCs/>
                <w:color w:val="000000"/>
                <w:sz w:val="16"/>
                <w:szCs w:val="16"/>
              </w:rPr>
              <w:t>ondents)</w:t>
            </w:r>
          </w:p>
        </w:tc>
        <w:tc>
          <w:tcPr>
            <w:tcW w:w="990" w:type="dxa"/>
            <w:tcBorders>
              <w:top w:val="nil"/>
              <w:left w:val="nil"/>
              <w:bottom w:val="nil"/>
              <w:right w:val="dashed" w:color="auto" w:sz="8" w:space="0"/>
            </w:tcBorders>
            <w:shd w:val="clear" w:color="000000" w:fill="BDD6EE"/>
            <w:vAlign w:val="center"/>
            <w:hideMark/>
          </w:tcPr>
          <w:p w:rsidRPr="00160D41" w:rsidR="00DF0CE3" w:rsidP="00DF0CE3" w:rsidRDefault="00160D41" w14:paraId="7BEEE07B" w14:textId="6A59D6CE">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145</w:t>
            </w:r>
            <w:bookmarkStart w:name="_GoBack" w:id="0"/>
            <w:bookmarkEnd w:id="0"/>
            <w:r w:rsidRPr="00160D41" w:rsidR="00DF0CE3">
              <w:rPr>
                <w:rFonts w:ascii="Calibri" w:hAnsi="Calibri" w:eastAsia="Times New Roman"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160D41" w:rsidR="00DF0CE3" w:rsidP="00EC63EA" w:rsidRDefault="00160D41" w14:paraId="1626CE11" w14:textId="292C888A">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w:t>
            </w:r>
            <w:r w:rsidR="00EC63EA">
              <w:rPr>
                <w:rFonts w:ascii="Calibri" w:hAnsi="Calibri" w:eastAsia="Times New Roman" w:cs="Calibri"/>
                <w:b/>
                <w:bCs/>
                <w:color w:val="000000"/>
                <w:sz w:val="16"/>
                <w:szCs w:val="16"/>
              </w:rPr>
              <w:t>49</w:t>
            </w:r>
            <w:r w:rsidRPr="00160D41" w:rsidR="00DF0CE3">
              <w:rPr>
                <w:rFonts w:ascii="Calibri" w:hAnsi="Calibri" w:eastAsia="Times New Roman" w:cs="Calibri"/>
                <w:b/>
                <w:bCs/>
                <w:color w:val="000000"/>
                <w:sz w:val="16"/>
                <w:szCs w:val="16"/>
              </w:rPr>
              <w:t> </w:t>
            </w:r>
          </w:p>
        </w:tc>
        <w:tc>
          <w:tcPr>
            <w:tcW w:w="1080" w:type="dxa"/>
            <w:tcBorders>
              <w:top w:val="nil"/>
              <w:left w:val="nil"/>
              <w:bottom w:val="nil"/>
              <w:right w:val="dashed" w:color="auto" w:sz="8" w:space="0"/>
            </w:tcBorders>
            <w:shd w:val="clear" w:color="000000" w:fill="BDD6EE"/>
            <w:vAlign w:val="center"/>
            <w:hideMark/>
          </w:tcPr>
          <w:p w:rsidRPr="00160D41" w:rsidR="00DF0CE3" w:rsidP="00251A88" w:rsidRDefault="00D46B18" w14:paraId="69BC0D8F" w14:textId="61841386">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9,232</w:t>
            </w:r>
            <w:r w:rsidRPr="00160D41" w:rsidR="00DF0CE3">
              <w:rPr>
                <w:rFonts w:ascii="Calibri" w:hAnsi="Calibri" w:eastAsia="Times New Roman" w:cs="Calibri"/>
                <w:b/>
                <w:bCs/>
                <w:color w:val="000000"/>
                <w:sz w:val="16"/>
                <w:szCs w:val="16"/>
              </w:rPr>
              <w:t> </w:t>
            </w:r>
          </w:p>
        </w:tc>
        <w:tc>
          <w:tcPr>
            <w:tcW w:w="1170" w:type="dxa"/>
            <w:tcBorders>
              <w:top w:val="nil"/>
              <w:left w:val="nil"/>
              <w:bottom w:val="nil"/>
              <w:right w:val="single" w:color="auto" w:sz="8" w:space="0"/>
            </w:tcBorders>
            <w:shd w:val="clear" w:color="000000" w:fill="BDD6EE"/>
            <w:vAlign w:val="center"/>
            <w:hideMark/>
          </w:tcPr>
          <w:p w:rsidRPr="00160D41" w:rsidR="00DF0CE3" w:rsidP="00251A88" w:rsidRDefault="00160D41" w14:paraId="6E61074E" w14:textId="090E9849">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8,</w:t>
            </w:r>
            <w:r w:rsidR="00251A88">
              <w:rPr>
                <w:rFonts w:ascii="Calibri" w:hAnsi="Calibri" w:eastAsia="Times New Roman" w:cs="Calibri"/>
                <w:b/>
                <w:bCs/>
                <w:color w:val="000000"/>
                <w:sz w:val="16"/>
                <w:szCs w:val="16"/>
              </w:rPr>
              <w:t>309</w:t>
            </w:r>
          </w:p>
        </w:tc>
        <w:tc>
          <w:tcPr>
            <w:tcW w:w="5467" w:type="dxa"/>
            <w:tcBorders>
              <w:top w:val="nil"/>
              <w:left w:val="nil"/>
              <w:bottom w:val="nil"/>
              <w:right w:val="single" w:color="auto" w:sz="8" w:space="0"/>
            </w:tcBorders>
            <w:shd w:val="clear" w:color="000000" w:fill="000000"/>
            <w:vAlign w:val="center"/>
            <w:hideMark/>
          </w:tcPr>
          <w:p w:rsidRPr="00160D41" w:rsidR="00DF0CE3" w:rsidP="00DF0CE3" w:rsidRDefault="00DF0CE3" w14:paraId="1B622BCE"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w:t>
            </w:r>
          </w:p>
        </w:tc>
      </w:tr>
      <w:tr w:rsidRPr="00160D41" w:rsidR="00DF0CE3" w:rsidTr="00B023B1" w14:paraId="30978C08" w14:textId="77777777">
        <w:trPr>
          <w:trHeight w:val="187"/>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160D41" w:rsidR="00DF0CE3" w:rsidP="00DF0CE3" w:rsidRDefault="00DF0CE3" w14:paraId="04203110"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Difference</w:t>
            </w:r>
          </w:p>
        </w:tc>
        <w:tc>
          <w:tcPr>
            <w:tcW w:w="210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B023B1" w:rsidR="00DF0CE3" w:rsidP="00DF0CE3" w:rsidRDefault="00DF0CE3" w14:paraId="6206D49A" w14:textId="7E4C2D88">
            <w:pPr>
              <w:widowControl/>
              <w:autoSpaceDE/>
              <w:autoSpaceDN/>
              <w:jc w:val="center"/>
              <w:rPr>
                <w:rFonts w:ascii="Calibri" w:hAnsi="Calibri" w:eastAsia="Times New Roman" w:cs="Calibri"/>
                <w:b/>
                <w:color w:val="000000"/>
                <w:sz w:val="18"/>
                <w:szCs w:val="18"/>
              </w:rPr>
            </w:pPr>
            <w:r w:rsidRPr="00B023B1">
              <w:rPr>
                <w:rFonts w:ascii="Calibri" w:hAnsi="Calibri" w:eastAsia="Times New Roman" w:cs="Calibri"/>
                <w:b/>
                <w:color w:val="000000"/>
                <w:sz w:val="18"/>
                <w:szCs w:val="18"/>
              </w:rPr>
              <w:t> </w:t>
            </w:r>
            <w:r w:rsidRPr="00B023B1" w:rsidR="006E192D">
              <w:rPr>
                <w:rFonts w:ascii="Calibri" w:hAnsi="Calibri" w:eastAsia="Times New Roman" w:cs="Calibri"/>
                <w:b/>
                <w:color w:val="000000"/>
                <w:sz w:val="18"/>
                <w:szCs w:val="18"/>
              </w:rPr>
              <w:t xml:space="preserve">+2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B023B1" w:rsidR="00DF0CE3" w:rsidP="00EC63EA" w:rsidRDefault="00160D41" w14:paraId="3B171514" w14:textId="6EAB94EF">
            <w:pPr>
              <w:widowControl/>
              <w:autoSpaceDE/>
              <w:autoSpaceDN/>
              <w:jc w:val="center"/>
              <w:rPr>
                <w:rFonts w:ascii="Calibri" w:hAnsi="Calibri" w:eastAsia="Times New Roman" w:cs="Calibri"/>
                <w:b/>
                <w:color w:val="000000"/>
                <w:sz w:val="18"/>
                <w:szCs w:val="18"/>
              </w:rPr>
            </w:pPr>
            <w:r w:rsidRPr="00B023B1">
              <w:rPr>
                <w:rFonts w:ascii="Calibri" w:hAnsi="Calibri" w:eastAsia="Times New Roman" w:cs="Calibri"/>
                <w:b/>
                <w:color w:val="000000"/>
                <w:sz w:val="18"/>
                <w:szCs w:val="18"/>
              </w:rPr>
              <w:t>-</w:t>
            </w:r>
            <w:r w:rsidR="00EC63EA">
              <w:rPr>
                <w:rFonts w:ascii="Calibri" w:hAnsi="Calibri" w:eastAsia="Times New Roman" w:cs="Calibri"/>
                <w:b/>
                <w:color w:val="000000"/>
                <w:sz w:val="18"/>
                <w:szCs w:val="18"/>
              </w:rPr>
              <w:t>4</w:t>
            </w:r>
            <w:r w:rsidRPr="00B023B1" w:rsidR="00DF0CE3">
              <w:rPr>
                <w:rFonts w:ascii="Calibri" w:hAnsi="Calibri" w:eastAsia="Times New Roman" w:cs="Calibri"/>
                <w:b/>
                <w:color w:val="000000"/>
                <w:sz w:val="18"/>
                <w:szCs w:val="18"/>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B023B1" w:rsidR="00DF0CE3" w:rsidP="00DF0CE3" w:rsidRDefault="00251A88" w14:paraId="7F9060C6" w14:textId="03F7466B">
            <w:pPr>
              <w:widowControl/>
              <w:autoSpaceDE/>
              <w:autoSpaceDN/>
              <w:jc w:val="center"/>
              <w:rPr>
                <w:rFonts w:ascii="Calibri" w:hAnsi="Calibri" w:eastAsia="Times New Roman" w:cs="Calibri"/>
                <w:b/>
                <w:color w:val="000000"/>
                <w:sz w:val="18"/>
                <w:szCs w:val="18"/>
              </w:rPr>
            </w:pPr>
            <w:r w:rsidRPr="00B023B1">
              <w:rPr>
                <w:rFonts w:ascii="Calibri" w:hAnsi="Calibri" w:eastAsia="Times New Roman" w:cs="Calibri"/>
                <w:b/>
                <w:color w:val="000000"/>
                <w:sz w:val="18"/>
                <w:szCs w:val="18"/>
              </w:rPr>
              <w:t>+329</w:t>
            </w:r>
            <w:r w:rsidRPr="00B023B1" w:rsidR="00DF0CE3">
              <w:rPr>
                <w:rFonts w:ascii="Calibri" w:hAnsi="Calibri" w:eastAsia="Times New Roman" w:cs="Calibri"/>
                <w:b/>
                <w:color w:val="000000"/>
                <w:sz w:val="18"/>
                <w:szCs w:val="18"/>
              </w:rPr>
              <w:t> </w:t>
            </w:r>
          </w:p>
        </w:tc>
        <w:tc>
          <w:tcPr>
            <w:tcW w:w="5467" w:type="dxa"/>
            <w:tcBorders>
              <w:top w:val="single" w:color="auto" w:sz="8" w:space="0"/>
              <w:left w:val="nil"/>
              <w:bottom w:val="single" w:color="auto" w:sz="8" w:space="0"/>
              <w:right w:val="single" w:color="auto" w:sz="8" w:space="0"/>
            </w:tcBorders>
            <w:shd w:val="clear" w:color="000000" w:fill="000000"/>
            <w:noWrap/>
            <w:vAlign w:val="bottom"/>
            <w:hideMark/>
          </w:tcPr>
          <w:p w:rsidRPr="00160D41" w:rsidR="00DF0CE3" w:rsidP="00DF0CE3" w:rsidRDefault="00DF0CE3" w14:paraId="60DD9B31" w14:textId="77777777">
            <w:pPr>
              <w:widowControl/>
              <w:autoSpaceDE/>
              <w:autoSpaceDN/>
              <w:rPr>
                <w:rFonts w:ascii="Calibri" w:hAnsi="Calibri" w:eastAsia="Times New Roman" w:cs="Calibri"/>
                <w:color w:val="000000"/>
              </w:rPr>
            </w:pPr>
            <w:r w:rsidRPr="00160D41">
              <w:rPr>
                <w:rFonts w:ascii="Calibri" w:hAnsi="Calibri" w:eastAsia="Times New Roman" w:cs="Calibri"/>
                <w:color w:val="000000"/>
              </w:rPr>
              <w:t> </w:t>
            </w:r>
          </w:p>
        </w:tc>
      </w:tr>
    </w:tbl>
    <w:p w:rsidRPr="00160D41" w:rsidR="00DF0CE3" w:rsidP="00BD7237" w:rsidRDefault="00DF0CE3" w14:paraId="40E3D198" w14:textId="77777777">
      <w:pPr>
        <w:pStyle w:val="BodyText"/>
        <w:spacing w:before="7"/>
        <w:ind w:left="0"/>
        <w:rPr>
          <w:rFonts w:cs="Times New Roman"/>
          <w:b/>
        </w:rPr>
      </w:pPr>
    </w:p>
    <w:tbl>
      <w:tblPr>
        <w:tblW w:w="14400" w:type="dxa"/>
        <w:tblInd w:w="-460" w:type="dxa"/>
        <w:tblLook w:val="04A0" w:firstRow="1" w:lastRow="0" w:firstColumn="1" w:lastColumn="0" w:noHBand="0" w:noVBand="1"/>
      </w:tblPr>
      <w:tblGrid>
        <w:gridCol w:w="2430"/>
        <w:gridCol w:w="990"/>
        <w:gridCol w:w="990"/>
        <w:gridCol w:w="810"/>
        <w:gridCol w:w="990"/>
        <w:gridCol w:w="8190"/>
      </w:tblGrid>
      <w:tr w:rsidRPr="00DF0CE3" w:rsidR="005A1A15" w:rsidTr="00B023B1" w14:paraId="05385419" w14:textId="77777777">
        <w:trPr>
          <w:trHeight w:val="187"/>
        </w:trPr>
        <w:tc>
          <w:tcPr>
            <w:tcW w:w="24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5A1A15" w:rsidP="00F71A88" w:rsidRDefault="005A1A15" w14:paraId="65C9F53F"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5A1A15" w:rsidP="00F71A88" w:rsidRDefault="005A1A15" w14:paraId="0FD26880"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Labor Costs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5A1A15" w:rsidP="00F71A88" w:rsidRDefault="005A1A15" w14:paraId="15FFBE95"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Miscellaneous Costs</w:t>
            </w:r>
          </w:p>
        </w:tc>
        <w:tc>
          <w:tcPr>
            <w:tcW w:w="81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5A1A15" w:rsidP="00F71A88" w:rsidRDefault="005A1A15" w14:paraId="0F3F29E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5A1A15" w:rsidTr="00B023B1" w14:paraId="313B6A7C" w14:textId="77777777">
        <w:trPr>
          <w:trHeight w:val="250"/>
        </w:trPr>
        <w:tc>
          <w:tcPr>
            <w:tcW w:w="2430" w:type="dxa"/>
            <w:vMerge/>
            <w:tcBorders>
              <w:top w:val="single" w:color="auto" w:sz="8" w:space="0"/>
              <w:left w:val="single" w:color="auto" w:sz="8" w:space="0"/>
              <w:bottom w:val="single" w:color="000000" w:sz="8" w:space="0"/>
              <w:right w:val="single" w:color="auto" w:sz="8" w:space="0"/>
            </w:tcBorders>
            <w:vAlign w:val="center"/>
            <w:hideMark/>
          </w:tcPr>
          <w:p w:rsidRPr="00DF0CE3" w:rsidR="005A1A15" w:rsidP="00F71A88" w:rsidRDefault="005A1A15" w14:paraId="5CFF053E" w14:textId="77777777">
            <w:pPr>
              <w:widowControl/>
              <w:autoSpaceDE/>
              <w:autoSpaceDN/>
              <w:rPr>
                <w:rFonts w:ascii="Calibri" w:hAnsi="Calibri" w:eastAsia="Times New Roman" w:cs="Calibri"/>
                <w:b/>
                <w:bCs/>
                <w:color w:val="000000"/>
                <w:sz w:val="16"/>
                <w:szCs w:val="16"/>
              </w:rPr>
            </w:pPr>
          </w:p>
        </w:tc>
        <w:tc>
          <w:tcPr>
            <w:tcW w:w="990" w:type="dxa"/>
            <w:tcBorders>
              <w:top w:val="nil"/>
              <w:left w:val="nil"/>
              <w:bottom w:val="single" w:color="auto" w:sz="8" w:space="0"/>
              <w:right w:val="dashed" w:color="auto" w:sz="8" w:space="0"/>
            </w:tcBorders>
            <w:shd w:val="clear" w:color="000000" w:fill="FBE4D5"/>
            <w:vAlign w:val="center"/>
            <w:hideMark/>
          </w:tcPr>
          <w:p w:rsidRPr="00DF0CE3" w:rsidR="005A1A15" w:rsidP="00F71A88" w:rsidRDefault="005A1A15" w14:paraId="3E790446"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90" w:type="dxa"/>
            <w:tcBorders>
              <w:top w:val="nil"/>
              <w:left w:val="nil"/>
              <w:bottom w:val="single" w:color="auto" w:sz="8" w:space="0"/>
              <w:right w:val="single" w:color="auto" w:sz="8" w:space="0"/>
            </w:tcBorders>
            <w:shd w:val="clear" w:color="000000" w:fill="FBE4D5"/>
            <w:vAlign w:val="center"/>
            <w:hideMark/>
          </w:tcPr>
          <w:p w:rsidRPr="00DF0CE3" w:rsidR="005A1A15" w:rsidP="00F71A88" w:rsidRDefault="005A1A15" w14:paraId="43A5C8B9"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810" w:type="dxa"/>
            <w:tcBorders>
              <w:top w:val="nil"/>
              <w:left w:val="nil"/>
              <w:bottom w:val="single" w:color="auto" w:sz="8" w:space="0"/>
              <w:right w:val="dashed" w:color="auto" w:sz="8" w:space="0"/>
            </w:tcBorders>
            <w:shd w:val="clear" w:color="000000" w:fill="FBE4D5"/>
            <w:vAlign w:val="center"/>
            <w:hideMark/>
          </w:tcPr>
          <w:p w:rsidRPr="00DF0CE3" w:rsidR="005A1A15" w:rsidP="00F71A88" w:rsidRDefault="005A1A15" w14:paraId="4A122C23"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90" w:type="dxa"/>
            <w:tcBorders>
              <w:top w:val="nil"/>
              <w:left w:val="nil"/>
              <w:bottom w:val="single" w:color="auto" w:sz="8" w:space="0"/>
              <w:right w:val="single" w:color="auto" w:sz="8" w:space="0"/>
            </w:tcBorders>
            <w:shd w:val="clear" w:color="000000" w:fill="FBE4D5"/>
            <w:vAlign w:val="center"/>
            <w:hideMark/>
          </w:tcPr>
          <w:p w:rsidRPr="00DF0CE3" w:rsidR="005A1A15" w:rsidP="00F71A88" w:rsidRDefault="005A1A15" w14:paraId="363406C5"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8190" w:type="dxa"/>
            <w:vMerge/>
            <w:tcBorders>
              <w:top w:val="single" w:color="auto" w:sz="8" w:space="0"/>
              <w:left w:val="single" w:color="auto" w:sz="8" w:space="0"/>
              <w:bottom w:val="single" w:color="000000" w:sz="8" w:space="0"/>
              <w:right w:val="single" w:color="auto" w:sz="8" w:space="0"/>
            </w:tcBorders>
            <w:vAlign w:val="center"/>
            <w:hideMark/>
          </w:tcPr>
          <w:p w:rsidRPr="00DF0CE3" w:rsidR="005A1A15" w:rsidP="00F71A88" w:rsidRDefault="005A1A15" w14:paraId="04F4750F" w14:textId="77777777">
            <w:pPr>
              <w:widowControl/>
              <w:autoSpaceDE/>
              <w:autoSpaceDN/>
              <w:rPr>
                <w:rFonts w:ascii="Calibri" w:hAnsi="Calibri" w:eastAsia="Times New Roman" w:cs="Calibri"/>
                <w:b/>
                <w:bCs/>
                <w:color w:val="000000"/>
                <w:sz w:val="16"/>
                <w:szCs w:val="16"/>
              </w:rPr>
            </w:pPr>
          </w:p>
        </w:tc>
      </w:tr>
      <w:tr w:rsidRPr="00DF0CE3" w:rsidR="005A1A15" w:rsidTr="00B023B1" w14:paraId="365FB69D" w14:textId="77777777">
        <w:trPr>
          <w:trHeight w:val="315"/>
        </w:trPr>
        <w:tc>
          <w:tcPr>
            <w:tcW w:w="2430" w:type="dxa"/>
            <w:tcBorders>
              <w:top w:val="nil"/>
              <w:left w:val="single" w:color="auto" w:sz="8" w:space="0"/>
              <w:bottom w:val="single" w:color="auto" w:sz="8" w:space="0"/>
              <w:right w:val="single" w:color="auto" w:sz="8" w:space="0"/>
            </w:tcBorders>
            <w:shd w:val="clear" w:color="auto" w:fill="auto"/>
            <w:vAlign w:val="center"/>
            <w:hideMark/>
          </w:tcPr>
          <w:p w:rsidRPr="00DF0CE3" w:rsidR="005A1A15" w:rsidP="00F71A88" w:rsidRDefault="005A1A15" w14:paraId="4F70ED10" w14:textId="16B8979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D46B18">
              <w:rPr>
                <w:rFonts w:ascii="Calibri" w:hAnsi="Calibri" w:eastAsia="Times New Roman" w:cs="Calibri"/>
                <w:color w:val="000000"/>
                <w:sz w:val="16"/>
                <w:szCs w:val="16"/>
              </w:rPr>
              <w:t>Respondent labor costs</w:t>
            </w:r>
          </w:p>
        </w:tc>
        <w:tc>
          <w:tcPr>
            <w:tcW w:w="990" w:type="dxa"/>
            <w:tcBorders>
              <w:top w:val="nil"/>
              <w:left w:val="nil"/>
              <w:bottom w:val="dotted" w:color="auto" w:sz="4" w:space="0"/>
              <w:right w:val="dashed" w:color="auto" w:sz="8" w:space="0"/>
            </w:tcBorders>
            <w:shd w:val="clear" w:color="auto" w:fill="auto"/>
            <w:vAlign w:val="center"/>
            <w:hideMark/>
          </w:tcPr>
          <w:p w:rsidRPr="00B023B1" w:rsidR="005A1A15" w:rsidP="00F71A88" w:rsidRDefault="00D46B18" w14:paraId="3A436CBC" w14:textId="7851D942">
            <w:pPr>
              <w:widowControl/>
              <w:autoSpaceDE/>
              <w:autoSpaceDN/>
              <w:jc w:val="center"/>
              <w:rPr>
                <w:rFonts w:eastAsia="Times New Roman" w:asciiTheme="minorHAnsi" w:hAnsiTheme="minorHAnsi" w:cstheme="minorHAnsi"/>
                <w:color w:val="000000"/>
                <w:sz w:val="16"/>
                <w:szCs w:val="16"/>
              </w:rPr>
            </w:pPr>
            <w:r w:rsidRPr="00B023B1">
              <w:rPr>
                <w:rFonts w:eastAsia="Times New Roman" w:asciiTheme="minorHAnsi" w:hAnsiTheme="minorHAnsi" w:cstheme="minorHAnsi"/>
                <w:b/>
                <w:bCs/>
                <w:color w:val="000000"/>
                <w:sz w:val="16"/>
                <w:szCs w:val="16"/>
              </w:rPr>
              <w:t>$308,882</w:t>
            </w:r>
            <w:r w:rsidRPr="00B023B1" w:rsidR="005A1A15">
              <w:rPr>
                <w:rFonts w:eastAsia="Times New Roman" w:asciiTheme="minorHAnsi" w:hAnsiTheme="minorHAnsi" w:cstheme="minorHAnsi"/>
                <w:color w:val="000000"/>
                <w:sz w:val="16"/>
                <w:szCs w:val="16"/>
              </w:rPr>
              <w:t> </w:t>
            </w:r>
          </w:p>
        </w:tc>
        <w:tc>
          <w:tcPr>
            <w:tcW w:w="990" w:type="dxa"/>
            <w:tcBorders>
              <w:top w:val="nil"/>
              <w:left w:val="nil"/>
              <w:bottom w:val="dotted" w:color="auto" w:sz="4" w:space="0"/>
              <w:right w:val="single" w:color="auto" w:sz="8" w:space="0"/>
            </w:tcBorders>
            <w:shd w:val="clear" w:color="auto" w:fill="auto"/>
            <w:vAlign w:val="center"/>
            <w:hideMark/>
          </w:tcPr>
          <w:p w:rsidRPr="00B023B1" w:rsidR="005A1A15" w:rsidP="00F71A88" w:rsidRDefault="00D46B18" w14:paraId="47AF2DAE" w14:textId="0F8C17EB">
            <w:pPr>
              <w:widowControl/>
              <w:autoSpaceDE/>
              <w:autoSpaceDN/>
              <w:jc w:val="center"/>
              <w:rPr>
                <w:rFonts w:eastAsia="Times New Roman" w:asciiTheme="minorHAnsi" w:hAnsiTheme="minorHAnsi" w:cstheme="minorHAnsi"/>
                <w:color w:val="000000"/>
                <w:sz w:val="16"/>
                <w:szCs w:val="16"/>
              </w:rPr>
            </w:pPr>
            <w:r w:rsidRPr="00B023B1">
              <w:rPr>
                <w:rFonts w:asciiTheme="minorHAnsi" w:hAnsiTheme="minorHAnsi" w:cstheme="minorHAnsi"/>
                <w:sz w:val="16"/>
                <w:szCs w:val="16"/>
              </w:rPr>
              <w:t>$267,270</w:t>
            </w:r>
            <w:r w:rsidRPr="00B023B1" w:rsidR="005A1A15">
              <w:rPr>
                <w:rFonts w:eastAsia="Times New Roman" w:asciiTheme="minorHAnsi" w:hAnsiTheme="minorHAnsi" w:cstheme="minorHAnsi"/>
                <w:color w:val="000000"/>
                <w:sz w:val="16"/>
                <w:szCs w:val="16"/>
              </w:rPr>
              <w:t> </w:t>
            </w:r>
          </w:p>
        </w:tc>
        <w:tc>
          <w:tcPr>
            <w:tcW w:w="810" w:type="dxa"/>
            <w:tcBorders>
              <w:top w:val="nil"/>
              <w:left w:val="nil"/>
              <w:bottom w:val="dotted" w:color="auto" w:sz="4" w:space="0"/>
              <w:right w:val="dashed" w:color="auto" w:sz="8" w:space="0"/>
            </w:tcBorders>
            <w:shd w:val="clear" w:color="auto" w:fill="auto"/>
            <w:vAlign w:val="center"/>
            <w:hideMark/>
          </w:tcPr>
          <w:p w:rsidRPr="00DF0CE3" w:rsidR="005A1A15" w:rsidP="00F71A88" w:rsidRDefault="00D46B18" w14:paraId="26784DB2" w14:textId="7B7C3742">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DF0CE3" w:rsidR="005A1A15">
              <w:rPr>
                <w:rFonts w:ascii="Calibri" w:hAnsi="Calibri" w:eastAsia="Times New Roman" w:cs="Calibri"/>
                <w:color w:val="000000"/>
                <w:sz w:val="16"/>
                <w:szCs w:val="16"/>
              </w:rPr>
              <w:t> </w:t>
            </w:r>
          </w:p>
        </w:tc>
        <w:tc>
          <w:tcPr>
            <w:tcW w:w="990" w:type="dxa"/>
            <w:tcBorders>
              <w:top w:val="nil"/>
              <w:left w:val="nil"/>
              <w:bottom w:val="dotted" w:color="auto" w:sz="4" w:space="0"/>
              <w:right w:val="single" w:color="auto" w:sz="8" w:space="0"/>
            </w:tcBorders>
            <w:shd w:val="clear" w:color="auto" w:fill="auto"/>
            <w:vAlign w:val="center"/>
            <w:hideMark/>
          </w:tcPr>
          <w:p w:rsidRPr="00DF0CE3" w:rsidR="005A1A15" w:rsidP="00F71A88" w:rsidRDefault="00D46B18" w14:paraId="70496533" w14:textId="595A027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p>
        </w:tc>
        <w:tc>
          <w:tcPr>
            <w:tcW w:w="8190" w:type="dxa"/>
            <w:tcBorders>
              <w:top w:val="nil"/>
              <w:left w:val="nil"/>
              <w:bottom w:val="dotted" w:color="auto" w:sz="4" w:space="0"/>
              <w:right w:val="single" w:color="auto" w:sz="8" w:space="0"/>
            </w:tcBorders>
            <w:shd w:val="clear" w:color="auto" w:fill="auto"/>
            <w:vAlign w:val="center"/>
            <w:hideMark/>
          </w:tcPr>
          <w:p w:rsidRPr="00DF0CE3" w:rsidR="005A1A15" w:rsidP="00F71A88" w:rsidRDefault="005A1A15" w14:paraId="4ABC56EE" w14:textId="5297FBB1">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D46B18">
              <w:rPr>
                <w:rFonts w:ascii="Calibri" w:hAnsi="Calibri" w:eastAsia="Times New Roman" w:cs="Calibri"/>
                <w:color w:val="000000"/>
                <w:sz w:val="16"/>
                <w:szCs w:val="16"/>
              </w:rPr>
              <w:t xml:space="preserve">Increase in burden hours in addition to an increase in the labor rate used to calculate costs.  Previous collection used a labor rate of $30/hour.  The current collection used a labor rate of $32.77.  </w:t>
            </w:r>
            <w:r w:rsidRPr="00D46B18" w:rsidR="00D46B18">
              <w:rPr>
                <w:rFonts w:asciiTheme="minorHAnsi" w:hAnsiTheme="minorHAnsi" w:cstheme="minorHAnsi"/>
                <w:bCs/>
                <w:sz w:val="16"/>
                <w:szCs w:val="16"/>
              </w:rPr>
              <w:t>The Bureau of Labor Statistic’s May 2019 National Occupational Employment and Wage Estimates</w:t>
            </w:r>
            <w:r w:rsidR="00D46B18">
              <w:rPr>
                <w:rFonts w:asciiTheme="minorHAnsi" w:hAnsiTheme="minorHAnsi" w:cstheme="minorHAnsi"/>
                <w:bCs/>
                <w:sz w:val="16"/>
                <w:szCs w:val="16"/>
              </w:rPr>
              <w:t xml:space="preserve"> was the source of this rate estimate.</w:t>
            </w:r>
          </w:p>
        </w:tc>
      </w:tr>
      <w:tr w:rsidRPr="00DF0CE3" w:rsidR="005A1A15" w:rsidTr="00B023B1" w14:paraId="20B36CDA" w14:textId="77777777">
        <w:trPr>
          <w:trHeight w:val="268"/>
        </w:trPr>
        <w:tc>
          <w:tcPr>
            <w:tcW w:w="2430" w:type="dxa"/>
            <w:tcBorders>
              <w:top w:val="nil"/>
              <w:left w:val="single" w:color="auto" w:sz="8" w:space="0"/>
              <w:bottom w:val="nil"/>
              <w:right w:val="single" w:color="auto" w:sz="8" w:space="0"/>
            </w:tcBorders>
            <w:shd w:val="clear" w:color="000000" w:fill="BDD6EE"/>
            <w:vAlign w:val="center"/>
            <w:hideMark/>
          </w:tcPr>
          <w:p w:rsidRPr="00DF0CE3" w:rsidR="005A1A15" w:rsidP="00F71A88" w:rsidRDefault="005A1A15" w14:paraId="28DBC7B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990" w:type="dxa"/>
            <w:tcBorders>
              <w:top w:val="nil"/>
              <w:left w:val="nil"/>
              <w:bottom w:val="nil"/>
              <w:right w:val="dashed" w:color="auto" w:sz="8" w:space="0"/>
            </w:tcBorders>
            <w:shd w:val="clear" w:color="000000" w:fill="BDD6EE"/>
            <w:vAlign w:val="center"/>
            <w:hideMark/>
          </w:tcPr>
          <w:p w:rsidRPr="00DF0CE3" w:rsidR="005A1A15" w:rsidP="00F71A88" w:rsidRDefault="00B023B1" w14:paraId="12899AFD" w14:textId="264CF0E1">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$308,882</w:t>
            </w:r>
            <w:r w:rsidRPr="00DF0CE3" w:rsidR="005A1A15">
              <w:rPr>
                <w:rFonts w:ascii="Calibri" w:hAnsi="Calibri" w:eastAsia="Times New Roman" w:cs="Calibri"/>
                <w:b/>
                <w:bCs/>
                <w:color w:val="000000"/>
                <w:sz w:val="16"/>
                <w:szCs w:val="16"/>
              </w:rPr>
              <w:t> </w:t>
            </w:r>
          </w:p>
        </w:tc>
        <w:tc>
          <w:tcPr>
            <w:tcW w:w="990" w:type="dxa"/>
            <w:tcBorders>
              <w:top w:val="nil"/>
              <w:left w:val="nil"/>
              <w:bottom w:val="nil"/>
              <w:right w:val="single" w:color="auto" w:sz="8" w:space="0"/>
            </w:tcBorders>
            <w:shd w:val="clear" w:color="000000" w:fill="BDD6EE"/>
            <w:vAlign w:val="center"/>
            <w:hideMark/>
          </w:tcPr>
          <w:p w:rsidRPr="00DF0CE3" w:rsidR="005A1A15" w:rsidP="00F71A88" w:rsidRDefault="00B023B1" w14:paraId="440B97C7" w14:textId="503794C3">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$267,270</w:t>
            </w:r>
            <w:r w:rsidRPr="00DF0CE3" w:rsidR="005A1A15">
              <w:rPr>
                <w:rFonts w:ascii="Calibri" w:hAnsi="Calibri" w:eastAsia="Times New Roman" w:cs="Calibri"/>
                <w:b/>
                <w:bCs/>
                <w:color w:val="000000"/>
                <w:sz w:val="16"/>
                <w:szCs w:val="16"/>
              </w:rPr>
              <w:t> </w:t>
            </w:r>
          </w:p>
        </w:tc>
        <w:tc>
          <w:tcPr>
            <w:tcW w:w="810" w:type="dxa"/>
            <w:tcBorders>
              <w:top w:val="nil"/>
              <w:left w:val="nil"/>
              <w:bottom w:val="nil"/>
              <w:right w:val="dashed" w:color="auto" w:sz="8" w:space="0"/>
            </w:tcBorders>
            <w:shd w:val="clear" w:color="000000" w:fill="BDD6EE"/>
            <w:vAlign w:val="center"/>
            <w:hideMark/>
          </w:tcPr>
          <w:p w:rsidRPr="00DF0CE3" w:rsidR="005A1A15" w:rsidP="00F71A88" w:rsidRDefault="005A1A15" w14:paraId="0BCA8C2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c>
          <w:tcPr>
            <w:tcW w:w="990" w:type="dxa"/>
            <w:tcBorders>
              <w:top w:val="nil"/>
              <w:left w:val="nil"/>
              <w:bottom w:val="nil"/>
              <w:right w:val="single" w:color="auto" w:sz="8" w:space="0"/>
            </w:tcBorders>
            <w:shd w:val="clear" w:color="000000" w:fill="BDD6EE"/>
            <w:vAlign w:val="center"/>
            <w:hideMark/>
          </w:tcPr>
          <w:p w:rsidRPr="00DF0CE3" w:rsidR="005A1A15" w:rsidP="00F71A88" w:rsidRDefault="005A1A15" w14:paraId="746F8C5B"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c>
          <w:tcPr>
            <w:tcW w:w="8190" w:type="dxa"/>
            <w:tcBorders>
              <w:top w:val="nil"/>
              <w:left w:val="nil"/>
              <w:bottom w:val="nil"/>
              <w:right w:val="single" w:color="auto" w:sz="8" w:space="0"/>
            </w:tcBorders>
            <w:shd w:val="clear" w:color="000000" w:fill="000000"/>
            <w:vAlign w:val="center"/>
            <w:hideMark/>
          </w:tcPr>
          <w:p w:rsidRPr="00DF0CE3" w:rsidR="005A1A15" w:rsidP="00F71A88" w:rsidRDefault="005A1A15" w14:paraId="7668773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5A1A15" w:rsidTr="00B023B1" w14:paraId="3A344C81" w14:textId="77777777">
        <w:trPr>
          <w:trHeight w:val="250"/>
        </w:trPr>
        <w:tc>
          <w:tcPr>
            <w:tcW w:w="2430"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5A1A15" w:rsidP="00F71A88" w:rsidRDefault="005A1A15" w14:paraId="1E63AD41"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19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B023B1" w:rsidR="005A1A15" w:rsidP="00F71A88" w:rsidRDefault="005A1A15" w14:paraId="70FA6A15" w14:textId="149DD9D9">
            <w:pPr>
              <w:widowControl/>
              <w:autoSpaceDE/>
              <w:autoSpaceDN/>
              <w:jc w:val="center"/>
              <w:rPr>
                <w:rFonts w:ascii="Calibri" w:hAnsi="Calibri" w:eastAsia="Times New Roman" w:cs="Calibri"/>
                <w:b/>
                <w:color w:val="000000"/>
                <w:sz w:val="16"/>
                <w:szCs w:val="16"/>
              </w:rPr>
            </w:pPr>
            <w:r w:rsidRPr="00B023B1">
              <w:rPr>
                <w:rFonts w:ascii="Calibri" w:hAnsi="Calibri" w:eastAsia="Times New Roman" w:cs="Calibri"/>
                <w:b/>
                <w:color w:val="000000"/>
                <w:sz w:val="16"/>
                <w:szCs w:val="16"/>
              </w:rPr>
              <w:t> </w:t>
            </w:r>
            <w:r w:rsidRPr="00B023B1" w:rsidR="00B023B1">
              <w:rPr>
                <w:rFonts w:ascii="Calibri" w:hAnsi="Calibri" w:eastAsia="Times New Roman" w:cs="Calibri"/>
                <w:b/>
                <w:color w:val="000000"/>
                <w:sz w:val="16"/>
                <w:szCs w:val="16"/>
              </w:rPr>
              <w:t>$41,612</w:t>
            </w:r>
          </w:p>
        </w:tc>
        <w:tc>
          <w:tcPr>
            <w:tcW w:w="180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B023B1" w:rsidR="005A1A15" w:rsidP="00F71A88" w:rsidRDefault="005A1A15" w14:paraId="51C48ECE" w14:textId="77777777">
            <w:pPr>
              <w:widowControl/>
              <w:autoSpaceDE/>
              <w:autoSpaceDN/>
              <w:jc w:val="center"/>
              <w:rPr>
                <w:rFonts w:ascii="Calibri" w:hAnsi="Calibri" w:eastAsia="Times New Roman" w:cs="Calibri"/>
                <w:color w:val="000000"/>
                <w:sz w:val="16"/>
                <w:szCs w:val="16"/>
              </w:rPr>
            </w:pPr>
            <w:r w:rsidRPr="00B023B1">
              <w:rPr>
                <w:rFonts w:ascii="Calibri" w:hAnsi="Calibri" w:eastAsia="Times New Roman" w:cs="Calibri"/>
                <w:color w:val="000000"/>
                <w:sz w:val="16"/>
                <w:szCs w:val="16"/>
              </w:rPr>
              <w:t> </w:t>
            </w:r>
          </w:p>
        </w:tc>
        <w:tc>
          <w:tcPr>
            <w:tcW w:w="819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5A1A15" w:rsidP="00F71A88" w:rsidRDefault="005A1A15" w14:paraId="7CA75351"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255157" w:rsidP="00BD7237" w:rsidRDefault="00255157" w14:paraId="4CE7D4A5" w14:textId="77777777">
      <w:pPr>
        <w:pStyle w:val="BodyText"/>
        <w:spacing w:before="7"/>
        <w:ind w:left="0"/>
        <w:rPr>
          <w:rFonts w:cs="Times New Roman"/>
          <w:b/>
        </w:rPr>
        <w:sectPr w:rsidR="00255157" w:rsidSect="00B023B1">
          <w:pgSz w:w="15840" w:h="12240" w:orient="landscape"/>
          <w:pgMar w:top="1080" w:right="640" w:bottom="90" w:left="1200" w:header="0" w:footer="1014" w:gutter="0"/>
          <w:cols w:space="720"/>
          <w:docGrid w:linePitch="326"/>
        </w:sectPr>
      </w:pPr>
    </w:p>
    <w:p w:rsidRPr="00160D41" w:rsidR="00DF0CE3" w:rsidP="00BD7237" w:rsidRDefault="00DF0CE3" w14:paraId="01486BCF" w14:textId="67B2AEC6">
      <w:pPr>
        <w:pStyle w:val="BodyText"/>
        <w:spacing w:before="7"/>
        <w:ind w:left="0"/>
        <w:rPr>
          <w:rFonts w:cs="Times New Roman"/>
          <w:b/>
        </w:rPr>
      </w:pPr>
    </w:p>
    <w:p w:rsidRPr="00160D41" w:rsidR="008E61C9" w:rsidP="00BD7237" w:rsidRDefault="001477A3" w14:paraId="525C864A"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60D41" w:rsidR="0062521A" w:rsidP="00BD7237" w:rsidRDefault="0062521A" w14:paraId="4298B786" w14:textId="77777777">
      <w:pPr>
        <w:pStyle w:val="BodyText"/>
        <w:spacing w:before="160"/>
        <w:ind w:left="0"/>
        <w:rPr>
          <w:rFonts w:cs="Times New Roman"/>
          <w:color w:val="2F5496"/>
        </w:rPr>
      </w:pPr>
    </w:p>
    <w:p w:rsidRPr="00160D41" w:rsidR="0062521A" w:rsidP="0062521A" w:rsidRDefault="0062521A" w14:paraId="77C57188" w14:textId="36F98C14">
      <w:pPr>
        <w:pStyle w:val="BodyText"/>
        <w:spacing w:before="160"/>
        <w:ind w:left="0"/>
        <w:rPr>
          <w:rFonts w:cs="Times New Roman"/>
          <w:bCs/>
          <w:shd w:val="clear" w:color="auto" w:fill="FFFFFF"/>
        </w:rPr>
      </w:pPr>
      <w:r w:rsidRPr="00160D41">
        <w:rPr>
          <w:rFonts w:cs="Times New Roman"/>
        </w:rPr>
        <w:t xml:space="preserve">After the coastal state completes the designation of a new National Estuarine Research </w:t>
      </w:r>
      <w:r w:rsidR="00F71A88">
        <w:rPr>
          <w:rFonts w:cs="Times New Roman"/>
        </w:rPr>
        <w:t>Reserve</w:t>
      </w:r>
      <w:r w:rsidRPr="00160D41">
        <w:rPr>
          <w:rFonts w:cs="Times New Roman"/>
        </w:rPr>
        <w:t xml:space="preserve"> Site, the Draft and Final Environmental Impact Statement, the Environmental Assessment documents, and the </w:t>
      </w:r>
      <w:r w:rsidR="00255157">
        <w:rPr>
          <w:rFonts w:cs="Times New Roman"/>
        </w:rPr>
        <w:t>r</w:t>
      </w:r>
      <w:r w:rsidR="00F71A88">
        <w:rPr>
          <w:rFonts w:cs="Times New Roman"/>
        </w:rPr>
        <w:t>eserve</w:t>
      </w:r>
      <w:r w:rsidRPr="00160D41">
        <w:rPr>
          <w:rFonts w:cs="Times New Roman"/>
        </w:rPr>
        <w:t xml:space="preserve">’s initial Management Plan are published online according to the National Environmental Policy Act (NEPA) and the NOAA regulations for the Designation of a National Estuarine Research </w:t>
      </w:r>
      <w:r w:rsidR="00F71A88">
        <w:rPr>
          <w:rFonts w:cs="Times New Roman"/>
        </w:rPr>
        <w:t>Reserve</w:t>
      </w:r>
      <w:r w:rsidRPr="00160D41">
        <w:rPr>
          <w:rFonts w:cs="Times New Roman"/>
        </w:rPr>
        <w:t xml:space="preserve"> (15 CFR </w:t>
      </w:r>
      <w:r w:rsidRPr="00160D41">
        <w:rPr>
          <w:rFonts w:cs="Times New Roman"/>
          <w:bCs/>
          <w:shd w:val="clear" w:color="auto" w:fill="FFFFFF"/>
        </w:rPr>
        <w:t>921.30).  As noted above, management plans must be updated every five years</w:t>
      </w:r>
      <w:r w:rsidRPr="00160D41" w:rsidR="00D32C67">
        <w:rPr>
          <w:rFonts w:cs="Times New Roman"/>
          <w:bCs/>
          <w:shd w:val="clear" w:color="auto" w:fill="FFFFFF"/>
        </w:rPr>
        <w:t xml:space="preserve"> and these revised </w:t>
      </w:r>
      <w:r w:rsidR="00F71A88">
        <w:rPr>
          <w:rFonts w:cs="Times New Roman"/>
          <w:bCs/>
          <w:shd w:val="clear" w:color="auto" w:fill="FFFFFF"/>
        </w:rPr>
        <w:t>Reserve</w:t>
      </w:r>
      <w:r w:rsidRPr="00160D41">
        <w:rPr>
          <w:rFonts w:cs="Times New Roman"/>
          <w:bCs/>
          <w:shd w:val="clear" w:color="auto" w:fill="FFFFFF"/>
        </w:rPr>
        <w:t xml:space="preserve"> Management Plans</w:t>
      </w:r>
      <w:r w:rsidRPr="00160D41" w:rsidR="00D32C67">
        <w:rPr>
          <w:rFonts w:cs="Times New Roman"/>
          <w:bCs/>
          <w:shd w:val="clear" w:color="auto" w:fill="FFFFFF"/>
        </w:rPr>
        <w:t xml:space="preserve"> (draft and Final)</w:t>
      </w:r>
      <w:r w:rsidRPr="00160D41">
        <w:rPr>
          <w:rFonts w:cs="Times New Roman"/>
          <w:bCs/>
          <w:shd w:val="clear" w:color="auto" w:fill="FFFFFF"/>
        </w:rPr>
        <w:t xml:space="preserve"> are also published online for public comment and public use, according </w:t>
      </w:r>
      <w:r w:rsidRPr="00160D41" w:rsidR="00D32C67">
        <w:rPr>
          <w:rFonts w:cs="Times New Roman"/>
          <w:bCs/>
          <w:shd w:val="clear" w:color="auto" w:fill="FFFFFF"/>
        </w:rPr>
        <w:t>to the NOAA regulati</w:t>
      </w:r>
      <w:r w:rsidRPr="00160D41" w:rsidR="007354ED">
        <w:rPr>
          <w:rFonts w:cs="Times New Roman"/>
          <w:bCs/>
          <w:shd w:val="clear" w:color="auto" w:fill="FFFFFF"/>
        </w:rPr>
        <w:t>o</w:t>
      </w:r>
      <w:r w:rsidRPr="00160D41" w:rsidR="00D32C67">
        <w:rPr>
          <w:rFonts w:cs="Times New Roman"/>
          <w:bCs/>
          <w:shd w:val="clear" w:color="auto" w:fill="FFFFFF"/>
        </w:rPr>
        <w:t>ns at 15.CFR 921.33</w:t>
      </w:r>
    </w:p>
    <w:p w:rsidRPr="00160D41" w:rsidR="0062521A" w:rsidP="0062521A" w:rsidRDefault="0062521A" w14:paraId="6CA17726" w14:textId="0011D373">
      <w:pPr>
        <w:pStyle w:val="BodyText"/>
        <w:spacing w:before="160"/>
        <w:ind w:left="0"/>
        <w:rPr>
          <w:rFonts w:cs="Times New Roman"/>
        </w:rPr>
      </w:pPr>
      <w:r w:rsidRPr="00160D41">
        <w:rPr>
          <w:rFonts w:cs="Times New Roman"/>
          <w:bCs/>
          <w:shd w:val="clear" w:color="auto" w:fill="FFFFFF"/>
        </w:rPr>
        <w:t xml:space="preserve">Site profiles are published online for use by researchers and other users both internal and external to the </w:t>
      </w:r>
      <w:r w:rsidR="00F71A88">
        <w:rPr>
          <w:rFonts w:cs="Times New Roman"/>
          <w:bCs/>
          <w:shd w:val="clear" w:color="auto" w:fill="FFFFFF"/>
        </w:rPr>
        <w:t>reserve</w:t>
      </w:r>
      <w:r w:rsidRPr="00160D41">
        <w:rPr>
          <w:rFonts w:cs="Times New Roman"/>
          <w:bCs/>
          <w:shd w:val="clear" w:color="auto" w:fill="FFFFFF"/>
        </w:rPr>
        <w:t xml:space="preserve"> system.  </w:t>
      </w:r>
    </w:p>
    <w:p w:rsidRPr="00160D41" w:rsidR="0062521A" w:rsidP="0062521A" w:rsidRDefault="0062521A" w14:paraId="0964D9AE" w14:textId="06EEB30E">
      <w:pPr>
        <w:pStyle w:val="BodyText"/>
        <w:spacing w:before="160"/>
        <w:ind w:left="0"/>
        <w:rPr>
          <w:rFonts w:cs="Times New Roman"/>
        </w:rPr>
      </w:pPr>
      <w:r w:rsidRPr="00160D41">
        <w:rPr>
          <w:rFonts w:cs="Times New Roman"/>
        </w:rPr>
        <w:t xml:space="preserve">NOAA will also regularly synthesize </w:t>
      </w:r>
      <w:r w:rsidRPr="00160D41" w:rsidR="00D32C67">
        <w:rPr>
          <w:rFonts w:cs="Times New Roman"/>
        </w:rPr>
        <w:t xml:space="preserve">information from the NERRS Financial Assistance Applications and award progress reports (including </w:t>
      </w:r>
      <w:r w:rsidRPr="00160D41">
        <w:rPr>
          <w:rFonts w:cs="Times New Roman"/>
        </w:rPr>
        <w:t>NERRS performance measurement data</w:t>
      </w:r>
      <w:r w:rsidRPr="00160D41" w:rsidR="00D32C67">
        <w:rPr>
          <w:rFonts w:cs="Times New Roman"/>
        </w:rPr>
        <w:t>) to develop</w:t>
      </w:r>
      <w:r w:rsidRPr="00160D41">
        <w:rPr>
          <w:rFonts w:cs="Times New Roman"/>
        </w:rPr>
        <w:t xml:space="preserve"> factsheets posted to the web to show national accomplishments of the National Estuarine Research </w:t>
      </w:r>
      <w:r w:rsidR="00F71A88">
        <w:rPr>
          <w:rFonts w:cs="Times New Roman"/>
        </w:rPr>
        <w:t>Reserve</w:t>
      </w:r>
      <w:r w:rsidRPr="00160D41">
        <w:rPr>
          <w:rFonts w:cs="Times New Roman"/>
        </w:rPr>
        <w:t xml:space="preserve"> System.</w:t>
      </w:r>
    </w:p>
    <w:p w:rsidRPr="00160D41" w:rsidR="0062521A" w:rsidP="0062521A" w:rsidRDefault="0062521A" w14:paraId="7CFF98D6" w14:textId="77777777">
      <w:pPr>
        <w:pStyle w:val="BodyText"/>
        <w:spacing w:before="160"/>
        <w:ind w:left="0"/>
        <w:rPr>
          <w:rFonts w:cs="Times New Roman"/>
        </w:rPr>
      </w:pPr>
      <w:r w:rsidRPr="00160D41">
        <w:rPr>
          <w:rFonts w:cs="Times New Roman"/>
        </w:rPr>
        <w:t>There are no complex analytical or statistical techniques used in these publications.</w:t>
      </w:r>
    </w:p>
    <w:p w:rsidRPr="00160D41" w:rsidR="0062521A" w:rsidP="00BD7237" w:rsidRDefault="0062521A" w14:paraId="74974585" w14:textId="77777777">
      <w:pPr>
        <w:pStyle w:val="BodyText"/>
        <w:spacing w:before="160"/>
        <w:ind w:left="0"/>
        <w:rPr>
          <w:rFonts w:cs="Times New Roman"/>
          <w:color w:val="2F5496"/>
        </w:rPr>
      </w:pPr>
    </w:p>
    <w:p w:rsidRPr="00160D41" w:rsidR="008E61C9" w:rsidP="00BD7237" w:rsidRDefault="001477A3" w14:paraId="0D88DE69"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If seeking approval to not display the expiration date for OMB approval of the information collection, explain the reasons that display would be inappropriate.</w:t>
      </w:r>
    </w:p>
    <w:p w:rsidRPr="00160D41" w:rsidR="00200BFA" w:rsidP="00BD7237" w:rsidRDefault="00200BFA" w14:paraId="56C9213C" w14:textId="77777777">
      <w:pPr>
        <w:pStyle w:val="BodyText"/>
        <w:ind w:left="0"/>
        <w:rPr>
          <w:rFonts w:cs="Times New Roman"/>
        </w:rPr>
      </w:pPr>
      <w:r w:rsidRPr="00160D41">
        <w:rPr>
          <w:rFonts w:cs="Times New Roman"/>
        </w:rPr>
        <w:t>The agency plans to display the expiration date for OMB approval of the information collection on all instruments.</w:t>
      </w:r>
    </w:p>
    <w:p w:rsidRPr="00160D41" w:rsidR="00200BFA" w:rsidP="00BD7237" w:rsidRDefault="00200BFA" w14:paraId="7D0CD262" w14:textId="77777777">
      <w:pPr>
        <w:pStyle w:val="BodyText"/>
        <w:ind w:left="0"/>
        <w:rPr>
          <w:rFonts w:cs="Times New Roman"/>
          <w:color w:val="2F5496"/>
        </w:rPr>
      </w:pPr>
    </w:p>
    <w:p w:rsidRPr="00160D41" w:rsidR="008E61C9" w:rsidP="00BD7237" w:rsidRDefault="001477A3" w14:paraId="7DB45BE7"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Explain each exception to the certification statement identified in “Certification for Paperwork Reduction Act Submissions."</w:t>
      </w:r>
    </w:p>
    <w:p w:rsidRPr="00255157" w:rsidR="006B602B" w:rsidP="006B602B" w:rsidRDefault="006B602B" w14:paraId="196D4C40" w14:textId="77777777">
      <w:pPr>
        <w:spacing w:before="221" w:line="259" w:lineRule="auto"/>
        <w:jc w:val="both"/>
        <w:rPr>
          <w:rFonts w:cs="Times New Roman"/>
          <w:szCs w:val="24"/>
        </w:rPr>
      </w:pPr>
      <w:r w:rsidRPr="00255157">
        <w:rPr>
          <w:rFonts w:cs="Times New Roman"/>
          <w:szCs w:val="24"/>
        </w:rPr>
        <w:t xml:space="preserve">The agency certifies compliance with </w:t>
      </w:r>
      <w:hyperlink r:id="rId10">
        <w:r w:rsidRPr="00255157">
          <w:rPr>
            <w:rFonts w:cs="Times New Roman"/>
            <w:color w:val="0563C1"/>
            <w:szCs w:val="24"/>
            <w:u w:val="thick" w:color="0563C1"/>
          </w:rPr>
          <w:t>5 CFR 1320.9</w:t>
        </w:r>
        <w:r w:rsidRPr="00255157">
          <w:rPr>
            <w:rFonts w:cs="Times New Roman"/>
            <w:color w:val="0563C1"/>
            <w:szCs w:val="24"/>
          </w:rPr>
          <w:t xml:space="preserve"> </w:t>
        </w:r>
      </w:hyperlink>
      <w:r w:rsidRPr="00255157">
        <w:rPr>
          <w:rFonts w:cs="Times New Roman"/>
          <w:szCs w:val="24"/>
        </w:rPr>
        <w:t xml:space="preserve">and the related provisions of </w:t>
      </w:r>
      <w:hyperlink r:id="rId11">
        <w:r w:rsidRPr="00255157">
          <w:rPr>
            <w:rFonts w:cs="Times New Roman"/>
            <w:color w:val="0563C1"/>
            <w:szCs w:val="24"/>
            <w:u w:val="thick" w:color="0563C1"/>
          </w:rPr>
          <w:t>5</w:t>
        </w:r>
        <w:r w:rsidRPr="00255157">
          <w:rPr>
            <w:rFonts w:cs="Times New Roman"/>
            <w:color w:val="0563C1"/>
            <w:spacing w:val="-42"/>
            <w:szCs w:val="24"/>
            <w:u w:val="thick" w:color="0563C1"/>
          </w:rPr>
          <w:t xml:space="preserve"> </w:t>
        </w:r>
        <w:r w:rsidRPr="00255157">
          <w:rPr>
            <w:rFonts w:cs="Times New Roman"/>
            <w:color w:val="0563C1"/>
            <w:szCs w:val="24"/>
            <w:u w:val="thick" w:color="0563C1"/>
          </w:rPr>
          <w:t>CFR</w:t>
        </w:r>
      </w:hyperlink>
      <w:r w:rsidRPr="00255157">
        <w:rPr>
          <w:rFonts w:cs="Times New Roman"/>
          <w:color w:val="0563C1"/>
          <w:szCs w:val="24"/>
        </w:rPr>
        <w:t xml:space="preserve"> </w:t>
      </w:r>
      <w:hyperlink r:id="rId12">
        <w:r w:rsidRPr="00255157">
          <w:rPr>
            <w:rFonts w:cs="Times New Roman"/>
            <w:color w:val="0563C1"/>
            <w:szCs w:val="24"/>
            <w:u w:val="thick" w:color="0563C1"/>
          </w:rPr>
          <w:t>1320.8(b</w:t>
        </w:r>
        <w:proofErr w:type="gramStart"/>
        <w:r w:rsidRPr="00255157">
          <w:rPr>
            <w:rFonts w:cs="Times New Roman"/>
            <w:color w:val="0563C1"/>
            <w:szCs w:val="24"/>
            <w:u w:val="thick" w:color="0563C1"/>
          </w:rPr>
          <w:t>)(</w:t>
        </w:r>
        <w:proofErr w:type="gramEnd"/>
        <w:r w:rsidRPr="00255157">
          <w:rPr>
            <w:rFonts w:cs="Times New Roman"/>
            <w:color w:val="0563C1"/>
            <w:szCs w:val="24"/>
            <w:u w:val="thick" w:color="0563C1"/>
          </w:rPr>
          <w:t>3)</w:t>
        </w:r>
      </w:hyperlink>
      <w:r w:rsidRPr="00255157">
        <w:rPr>
          <w:rFonts w:cs="Times New Roman"/>
          <w:szCs w:val="24"/>
        </w:rPr>
        <w:t>.</w:t>
      </w:r>
    </w:p>
    <w:p w:rsidRPr="00BD7237" w:rsidR="006B602B" w:rsidP="004C4050" w:rsidRDefault="006B602B" w14:paraId="1112F7D0" w14:textId="77777777">
      <w:pPr>
        <w:spacing w:before="221" w:line="259" w:lineRule="auto"/>
        <w:jc w:val="both"/>
        <w:rPr>
          <w:rFonts w:cs="Times New Roman"/>
          <w:szCs w:val="24"/>
        </w:rPr>
      </w:pPr>
    </w:p>
    <w:sectPr w:rsidRPr="00BD7237" w:rsidR="006B602B" w:rsidSect="00255157">
      <w:pgSz w:w="12240" w:h="15840"/>
      <w:pgMar w:top="640" w:right="1080" w:bottom="1200" w:left="108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08123" w14:textId="77777777" w:rsidR="00F71A88" w:rsidRDefault="00F71A88">
      <w:r>
        <w:separator/>
      </w:r>
    </w:p>
  </w:endnote>
  <w:endnote w:type="continuationSeparator" w:id="0">
    <w:p w14:paraId="2978C735" w14:textId="77777777" w:rsidR="00F71A88" w:rsidRDefault="00F7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8A50" w14:textId="790FC336" w:rsidR="00F71A88" w:rsidRDefault="00F71A88">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14:anchorId="766ABD44" wp14:editId="77EBC140">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A5E14" w14:textId="2196F81D" w:rsidR="00F71A88" w:rsidRDefault="00F71A88">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AD0B06">
                            <w:rPr>
                              <w:rFonts w:ascii="Calibri"/>
                              <w:b/>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ABD44"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09BA5E14" w14:textId="2196F81D" w:rsidR="00F71A88" w:rsidRDefault="00F71A88">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AD0B06">
                      <w:rPr>
                        <w:rFonts w:ascii="Calibri"/>
                        <w:b/>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B6F6C" w14:textId="77777777" w:rsidR="00F71A88" w:rsidRDefault="00F71A88">
      <w:r>
        <w:separator/>
      </w:r>
    </w:p>
  </w:footnote>
  <w:footnote w:type="continuationSeparator" w:id="0">
    <w:p w14:paraId="59E71472" w14:textId="77777777" w:rsidR="00F71A88" w:rsidRDefault="00F71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D852759"/>
    <w:multiLevelType w:val="multilevel"/>
    <w:tmpl w:val="74FEAA56"/>
    <w:styleLink w:val="List0"/>
    <w:lvl w:ilvl="0">
      <w:start w:val="1"/>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836FA"/>
    <w:rsid w:val="00083F4E"/>
    <w:rsid w:val="00092CB1"/>
    <w:rsid w:val="000D0D86"/>
    <w:rsid w:val="000F0BFB"/>
    <w:rsid w:val="00102FBC"/>
    <w:rsid w:val="00115034"/>
    <w:rsid w:val="00131CDE"/>
    <w:rsid w:val="001477A3"/>
    <w:rsid w:val="00160D41"/>
    <w:rsid w:val="00181FED"/>
    <w:rsid w:val="001C45DF"/>
    <w:rsid w:val="001D39AF"/>
    <w:rsid w:val="00200BFA"/>
    <w:rsid w:val="002050CA"/>
    <w:rsid w:val="00251A88"/>
    <w:rsid w:val="00255157"/>
    <w:rsid w:val="00275DA6"/>
    <w:rsid w:val="00324581"/>
    <w:rsid w:val="0036496C"/>
    <w:rsid w:val="0039631F"/>
    <w:rsid w:val="003C0CD8"/>
    <w:rsid w:val="004019EE"/>
    <w:rsid w:val="00430794"/>
    <w:rsid w:val="0045053C"/>
    <w:rsid w:val="00463AA3"/>
    <w:rsid w:val="00481AF3"/>
    <w:rsid w:val="004A0BD2"/>
    <w:rsid w:val="004B03D8"/>
    <w:rsid w:val="004C4050"/>
    <w:rsid w:val="004C6834"/>
    <w:rsid w:val="004E33BF"/>
    <w:rsid w:val="004F32E9"/>
    <w:rsid w:val="0050663C"/>
    <w:rsid w:val="0053678A"/>
    <w:rsid w:val="0054301F"/>
    <w:rsid w:val="00556E15"/>
    <w:rsid w:val="00572F34"/>
    <w:rsid w:val="005901FC"/>
    <w:rsid w:val="005A1A15"/>
    <w:rsid w:val="005B615B"/>
    <w:rsid w:val="005E7E1F"/>
    <w:rsid w:val="00602D16"/>
    <w:rsid w:val="00610D15"/>
    <w:rsid w:val="0062521A"/>
    <w:rsid w:val="00643D18"/>
    <w:rsid w:val="006B45FB"/>
    <w:rsid w:val="006B602B"/>
    <w:rsid w:val="006E192D"/>
    <w:rsid w:val="006E1A7C"/>
    <w:rsid w:val="007354ED"/>
    <w:rsid w:val="0075684A"/>
    <w:rsid w:val="00784DF0"/>
    <w:rsid w:val="00793586"/>
    <w:rsid w:val="007B1948"/>
    <w:rsid w:val="007C6B20"/>
    <w:rsid w:val="007D227F"/>
    <w:rsid w:val="007E46A7"/>
    <w:rsid w:val="007E71CD"/>
    <w:rsid w:val="007F6AC7"/>
    <w:rsid w:val="008050E7"/>
    <w:rsid w:val="0082262E"/>
    <w:rsid w:val="00881977"/>
    <w:rsid w:val="008E010D"/>
    <w:rsid w:val="008E61C9"/>
    <w:rsid w:val="009A5187"/>
    <w:rsid w:val="009B116F"/>
    <w:rsid w:val="009B542E"/>
    <w:rsid w:val="009C713E"/>
    <w:rsid w:val="009E255B"/>
    <w:rsid w:val="009E762D"/>
    <w:rsid w:val="00A013EF"/>
    <w:rsid w:val="00A5391B"/>
    <w:rsid w:val="00AD0B06"/>
    <w:rsid w:val="00AD1431"/>
    <w:rsid w:val="00AD441D"/>
    <w:rsid w:val="00B00F3B"/>
    <w:rsid w:val="00B023B1"/>
    <w:rsid w:val="00B16113"/>
    <w:rsid w:val="00B22983"/>
    <w:rsid w:val="00B84915"/>
    <w:rsid w:val="00BB5E9B"/>
    <w:rsid w:val="00BC5208"/>
    <w:rsid w:val="00BD7237"/>
    <w:rsid w:val="00BF0485"/>
    <w:rsid w:val="00C45F3C"/>
    <w:rsid w:val="00C50764"/>
    <w:rsid w:val="00C63E58"/>
    <w:rsid w:val="00CA7AA5"/>
    <w:rsid w:val="00CC3B4D"/>
    <w:rsid w:val="00CF0713"/>
    <w:rsid w:val="00CF294C"/>
    <w:rsid w:val="00D32C67"/>
    <w:rsid w:val="00D46B18"/>
    <w:rsid w:val="00D64DF9"/>
    <w:rsid w:val="00D97281"/>
    <w:rsid w:val="00DD3846"/>
    <w:rsid w:val="00DE24C8"/>
    <w:rsid w:val="00DF0220"/>
    <w:rsid w:val="00DF0CE3"/>
    <w:rsid w:val="00DF2617"/>
    <w:rsid w:val="00E151E7"/>
    <w:rsid w:val="00EA79E9"/>
    <w:rsid w:val="00EB7612"/>
    <w:rsid w:val="00EC63EA"/>
    <w:rsid w:val="00F06163"/>
    <w:rsid w:val="00F50407"/>
    <w:rsid w:val="00F60F98"/>
    <w:rsid w:val="00F65488"/>
    <w:rsid w:val="00F71A88"/>
    <w:rsid w:val="00F73CAB"/>
    <w:rsid w:val="00F7722B"/>
    <w:rsid w:val="00FB43DE"/>
    <w:rsid w:val="00FC097E"/>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31885"/>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paragraph" w:styleId="Heading4">
    <w:name w:val="heading 4"/>
    <w:basedOn w:val="Normal"/>
    <w:next w:val="Normal"/>
    <w:link w:val="Heading4Char"/>
    <w:uiPriority w:val="9"/>
    <w:unhideWhenUsed/>
    <w:qFormat/>
    <w:rsid w:val="00B229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BB5E9B"/>
    <w:rPr>
      <w:u w:val="single"/>
    </w:rPr>
  </w:style>
  <w:style w:type="paragraph" w:customStyle="1" w:styleId="Default">
    <w:name w:val="Default"/>
    <w:rsid w:val="00BB5E9B"/>
    <w:pPr>
      <w:widowControl/>
      <w:pBdr>
        <w:top w:val="nil"/>
        <w:left w:val="nil"/>
        <w:bottom w:val="nil"/>
        <w:right w:val="nil"/>
        <w:between w:val="nil"/>
        <w:bar w:val="nil"/>
      </w:pBdr>
      <w:autoSpaceDE/>
      <w:autoSpaceDN/>
    </w:pPr>
    <w:rPr>
      <w:rFonts w:eastAsia="Times New Roman" w:cs="Times New Roman"/>
      <w:color w:val="000000"/>
      <w:szCs w:val="24"/>
      <w:u w:color="000000"/>
      <w:bdr w:val="nil"/>
    </w:rPr>
  </w:style>
  <w:style w:type="character" w:customStyle="1" w:styleId="Heading4Char">
    <w:name w:val="Heading 4 Char"/>
    <w:basedOn w:val="DefaultParagraphFont"/>
    <w:link w:val="Heading4"/>
    <w:uiPriority w:val="9"/>
    <w:rsid w:val="00B22983"/>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CF294C"/>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F294C"/>
    <w:rPr>
      <w:rFonts w:ascii="Arial" w:eastAsia="Arial" w:hAnsi="Arial" w:cs="Arial"/>
      <w:b/>
      <w:bCs/>
      <w:color w:val="2E5395"/>
      <w:sz w:val="20"/>
      <w:szCs w:val="20"/>
    </w:rPr>
  </w:style>
  <w:style w:type="numbering" w:customStyle="1" w:styleId="List0">
    <w:name w:val="List 0"/>
    <w:basedOn w:val="NoList"/>
    <w:rsid w:val="00B16113"/>
    <w:pPr>
      <w:numPr>
        <w:numId w:val="15"/>
      </w:numPr>
    </w:pPr>
  </w:style>
  <w:style w:type="paragraph" w:styleId="Header">
    <w:name w:val="header"/>
    <w:basedOn w:val="Normal"/>
    <w:link w:val="HeaderChar"/>
    <w:uiPriority w:val="99"/>
    <w:unhideWhenUsed/>
    <w:rsid w:val="00F71A88"/>
    <w:pPr>
      <w:tabs>
        <w:tab w:val="center" w:pos="4680"/>
        <w:tab w:val="right" w:pos="9360"/>
      </w:tabs>
    </w:pPr>
  </w:style>
  <w:style w:type="character" w:customStyle="1" w:styleId="HeaderChar">
    <w:name w:val="Header Char"/>
    <w:basedOn w:val="DefaultParagraphFont"/>
    <w:link w:val="Header"/>
    <w:uiPriority w:val="99"/>
    <w:rsid w:val="00F71A88"/>
  </w:style>
  <w:style w:type="paragraph" w:styleId="Footer">
    <w:name w:val="footer"/>
    <w:basedOn w:val="Normal"/>
    <w:link w:val="FooterChar"/>
    <w:uiPriority w:val="99"/>
    <w:unhideWhenUsed/>
    <w:rsid w:val="00F71A88"/>
    <w:pPr>
      <w:tabs>
        <w:tab w:val="center" w:pos="4680"/>
        <w:tab w:val="right" w:pos="9360"/>
      </w:tabs>
    </w:pPr>
  </w:style>
  <w:style w:type="character" w:customStyle="1" w:styleId="FooterChar">
    <w:name w:val="Footer Char"/>
    <w:basedOn w:val="DefaultParagraphFont"/>
    <w:link w:val="Footer"/>
    <w:uiPriority w:val="99"/>
    <w:rsid w:val="00F71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8793">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84798128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381512129">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a9b21375f439ee98c248b0ea683ccf6f&amp;tpl=/ecfrbrowse/Title15/15cfr921_main_02.t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astalmanagement.noaa.gov/czm/czm_act.html"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13</Pages>
  <Words>5183</Words>
  <Characters>29546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12</cp:revision>
  <dcterms:created xsi:type="dcterms:W3CDTF">2020-07-17T14:24:00Z</dcterms:created>
  <dcterms:modified xsi:type="dcterms:W3CDTF">2020-07-17T16:09:00Z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