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032C" w:rsidR="008D1294" w:rsidP="003B032C" w:rsidRDefault="009E5495" w14:paraId="17FDE682" w14:textId="406F8DBE">
      <w:pPr>
        <w:spacing w:before="120" w:after="120"/>
        <w:jc w:val="center"/>
        <w:rPr>
          <w:u w:val="single"/>
        </w:rPr>
      </w:pPr>
      <w:r w:rsidRPr="003B032C">
        <w:rPr>
          <w:u w:val="single"/>
        </w:rPr>
        <w:t>SUPPORTING STATEMENT –</w:t>
      </w:r>
      <w:r w:rsidRPr="003B032C" w:rsidR="00EA6C04">
        <w:rPr>
          <w:u w:val="single"/>
        </w:rPr>
        <w:t xml:space="preserve"> PART A</w:t>
      </w:r>
    </w:p>
    <w:p w:rsidRPr="003B032C" w:rsidR="00EA6C04" w:rsidP="003B032C" w:rsidRDefault="00C23F7D" w14:paraId="0280C77F" w14:textId="3EE52A65">
      <w:pPr>
        <w:spacing w:before="120" w:after="120"/>
        <w:jc w:val="center"/>
      </w:pPr>
      <w:r w:rsidRPr="003B032C">
        <w:t xml:space="preserve">Exploring Civil-Military </w:t>
      </w:r>
      <w:r w:rsidRPr="003B032C" w:rsidR="001E3C6C">
        <w:t>Views Regarding</w:t>
      </w:r>
      <w:r w:rsidRPr="003B032C">
        <w:t xml:space="preserve"> AI and Related Technologies</w:t>
      </w:r>
      <w:r w:rsidRPr="003B032C">
        <w:rPr>
          <w:b/>
          <w:bCs/>
        </w:rPr>
        <w:t xml:space="preserve"> </w:t>
      </w:r>
      <w:r w:rsidRPr="00E155DE">
        <w:t>–</w:t>
      </w:r>
      <w:r w:rsidRPr="00E155DE" w:rsidR="00EA6C04">
        <w:t xml:space="preserve"> OMB Control </w:t>
      </w:r>
      <w:r w:rsidRPr="00E155DE" w:rsidR="0057747E">
        <w:t>Number</w:t>
      </w:r>
      <w:r w:rsidR="0057747E">
        <w:t xml:space="preserve"> </w:t>
      </w:r>
      <w:r w:rsidRPr="0057747E" w:rsidR="0057747E">
        <w:t>0</w:t>
      </w:r>
      <w:r w:rsidR="0057747E">
        <w:t>704-XXXX</w:t>
      </w:r>
    </w:p>
    <w:p w:rsidRPr="003B032C" w:rsidR="005C7428" w:rsidP="003B032C" w:rsidRDefault="005C7428" w14:paraId="21720471" w14:textId="77777777">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Need for the Information Collection</w:t>
      </w:r>
    </w:p>
    <w:p w:rsidRPr="003B032C" w:rsidR="00573E77" w:rsidP="003B032C" w:rsidRDefault="00C23F7D" w14:paraId="3684B0A4" w14:textId="69069EFE">
      <w:pPr>
        <w:spacing w:before="120" w:after="120"/>
        <w:jc w:val="both"/>
      </w:pPr>
      <w:r w:rsidRPr="003B032C">
        <w:t xml:space="preserve">The </w:t>
      </w:r>
      <w:r w:rsidRPr="003B032C" w:rsidR="00640E84">
        <w:t>U.S. Department of Defense</w:t>
      </w:r>
      <w:r w:rsidRPr="003B032C" w:rsidR="00E401FC">
        <w:t xml:space="preserve"> (DoD) </w:t>
      </w:r>
      <w:r w:rsidRPr="003B032C">
        <w:t>is r</w:t>
      </w:r>
      <w:bookmarkStart w:name="_GoBack" w:id="0"/>
      <w:bookmarkEnd w:id="0"/>
      <w:r w:rsidRPr="003B032C">
        <w:t xml:space="preserve">equesting approval from the Office of Management and Budget (OMB) to conduct a survey with </w:t>
      </w:r>
      <w:r w:rsidRPr="003B032C" w:rsidR="00184A9E">
        <w:rPr>
          <w:iCs/>
        </w:rPr>
        <w:t>members of the software engineering community</w:t>
      </w:r>
      <w:r w:rsidR="00772347">
        <w:rPr>
          <w:iCs/>
        </w:rPr>
        <w:t xml:space="preserve"> and</w:t>
      </w:r>
      <w:r w:rsidRPr="003B032C" w:rsidR="001B495E">
        <w:rPr>
          <w:iCs/>
        </w:rPr>
        <w:t xml:space="preserve"> employees of defense and aerospace companies</w:t>
      </w:r>
      <w:r w:rsidR="003B032C">
        <w:t xml:space="preserve">. </w:t>
      </w:r>
      <w:r w:rsidRPr="003B032C" w:rsidR="001B495E">
        <w:t xml:space="preserve">The study will also conduct </w:t>
      </w:r>
      <w:r w:rsidRPr="003B032C">
        <w:t xml:space="preserve">focus groups with </w:t>
      </w:r>
      <w:r w:rsidRPr="003B032C" w:rsidR="00184A9E">
        <w:rPr>
          <w:iCs/>
        </w:rPr>
        <w:t xml:space="preserve">members of the software engineering community </w:t>
      </w:r>
      <w:r w:rsidRPr="003B032C" w:rsidR="00706756">
        <w:t xml:space="preserve">and </w:t>
      </w:r>
      <w:r w:rsidRPr="003B032C">
        <w:t>students</w:t>
      </w:r>
      <w:r w:rsidRPr="003B032C" w:rsidR="004478B1">
        <w:t xml:space="preserve"> </w:t>
      </w:r>
      <w:r w:rsidRPr="003B032C" w:rsidR="00706756">
        <w:t>from</w:t>
      </w:r>
      <w:r w:rsidRPr="003B032C">
        <w:t xml:space="preserve"> computer science programs. </w:t>
      </w:r>
      <w:r w:rsidRPr="003B032C" w:rsidR="00460A30">
        <w:t xml:space="preserve">This project </w:t>
      </w:r>
      <w:r w:rsidRPr="003B032C" w:rsidR="00640E84">
        <w:t>is</w:t>
      </w:r>
      <w:r w:rsidRPr="003B032C" w:rsidR="00460A30">
        <w:t xml:space="preserve"> funded by </w:t>
      </w:r>
      <w:r w:rsidR="003B032C">
        <w:t xml:space="preserve">the DoD </w:t>
      </w:r>
      <w:r w:rsidRPr="003B032C" w:rsidR="001E3C6C">
        <w:rPr>
          <w:iCs/>
        </w:rPr>
        <w:t>Joint Artificial Intelligence Center (JAIC)</w:t>
      </w:r>
      <w:r w:rsidR="00B64C91">
        <w:rPr>
          <w:iCs/>
        </w:rPr>
        <w:t xml:space="preserve"> and the Office of Net Assessment (ONA)</w:t>
      </w:r>
      <w:r w:rsidR="003B032C">
        <w:t>, who ha</w:t>
      </w:r>
      <w:r w:rsidR="00B64C91">
        <w:t>ve</w:t>
      </w:r>
      <w:r w:rsidR="003B032C">
        <w:t xml:space="preserve"> </w:t>
      </w:r>
      <w:r w:rsidRPr="003B032C" w:rsidR="00460A30">
        <w:t xml:space="preserve">contracted with the RAND Corporation, a non-profit research institute, to conduct this study. </w:t>
      </w:r>
      <w:r w:rsidRPr="003B032C">
        <w:t>Th</w:t>
      </w:r>
      <w:r w:rsidRPr="003B032C" w:rsidR="00460A30">
        <w:t>is</w:t>
      </w:r>
      <w:r w:rsidRPr="003B032C">
        <w:t xml:space="preserve"> data collection will help </w:t>
      </w:r>
      <w:r w:rsidRPr="003B032C" w:rsidR="00640E84">
        <w:t xml:space="preserve">ensure DoD’s ability to engage with leading </w:t>
      </w:r>
      <w:r w:rsidRPr="003B032C">
        <w:rPr>
          <w:iCs/>
        </w:rPr>
        <w:t>private sector technology corporations and their employees</w:t>
      </w:r>
      <w:r w:rsidRPr="003B032C">
        <w:t>.</w:t>
      </w:r>
    </w:p>
    <w:p w:rsidRPr="003B032C" w:rsidR="00DD52EC" w:rsidP="003B032C" w:rsidRDefault="00C23F7D" w14:paraId="546E1424" w14:textId="4E2ED80D">
      <w:pPr>
        <w:spacing w:before="120" w:after="120"/>
        <w:jc w:val="both"/>
        <w:rPr>
          <w:iCs/>
        </w:rPr>
      </w:pPr>
      <w:r w:rsidRPr="003B032C">
        <w:rPr>
          <w:iCs/>
        </w:rPr>
        <w:t xml:space="preserve">DoD </w:t>
      </w:r>
      <w:r w:rsidRPr="003B032C" w:rsidR="00DD52EC">
        <w:rPr>
          <w:iCs/>
        </w:rPr>
        <w:t>recognizes</w:t>
      </w:r>
      <w:r w:rsidRPr="003B032C">
        <w:rPr>
          <w:iCs/>
        </w:rPr>
        <w:t xml:space="preserve"> that in an information-centric age, information systems and capabilities will be critical to securing the United States and its interests. </w:t>
      </w:r>
      <w:r w:rsidRPr="003B032C" w:rsidR="002D7535">
        <w:rPr>
          <w:iCs/>
        </w:rPr>
        <w:t>I</w:t>
      </w:r>
      <w:r w:rsidRPr="003B032C">
        <w:rPr>
          <w:iCs/>
        </w:rPr>
        <w:t xml:space="preserve">n order for the DoD to have access to the most advanced technologists in areas such as Artificial Intelligence (AI), it will need to engage with private sector corporations </w:t>
      </w:r>
      <w:r w:rsidR="003B032C">
        <w:rPr>
          <w:iCs/>
        </w:rPr>
        <w:t>that</w:t>
      </w:r>
      <w:r w:rsidRPr="003B032C" w:rsidR="00630F5B">
        <w:rPr>
          <w:iCs/>
        </w:rPr>
        <w:t xml:space="preserve"> derive only a small portion of their revenue from contracts with </w:t>
      </w:r>
      <w:r w:rsidR="003B032C">
        <w:rPr>
          <w:iCs/>
        </w:rPr>
        <w:t xml:space="preserve">the DoD and </w:t>
      </w:r>
      <w:r w:rsidRPr="003B032C" w:rsidR="00630F5B">
        <w:rPr>
          <w:iCs/>
        </w:rPr>
        <w:t>do not see themselves as primarily defense contractors</w:t>
      </w:r>
      <w:r w:rsidRPr="003B032C">
        <w:rPr>
          <w:iCs/>
        </w:rPr>
        <w:t xml:space="preserve">. </w:t>
      </w:r>
      <w:r w:rsidRPr="003B032C" w:rsidR="002D7535">
        <w:rPr>
          <w:iCs/>
        </w:rPr>
        <w:t>However</w:t>
      </w:r>
      <w:r w:rsidRPr="003B032C">
        <w:rPr>
          <w:iCs/>
        </w:rPr>
        <w:t>, recent events have raised concern</w:t>
      </w:r>
      <w:r w:rsidRPr="003B032C" w:rsidR="00FF7029">
        <w:rPr>
          <w:iCs/>
        </w:rPr>
        <w:t>s</w:t>
      </w:r>
      <w:r w:rsidRPr="003B032C">
        <w:rPr>
          <w:iCs/>
        </w:rPr>
        <w:t xml:space="preserve"> about a divide between the views, goals, and motivations from employees at these corporations compared to people employed by or associated with the national security community. For example, Google engineers have forced their company to abandon cooperation with the DoD in applying AI algorithms to analyzing video footage (Project Maven)</w:t>
      </w:r>
      <w:r w:rsidRPr="003B032C" w:rsidR="00FF7029">
        <w:rPr>
          <w:iCs/>
        </w:rPr>
        <w:t xml:space="preserve"> and to withdraw from bidding on the DoD’s cloud computing contract</w:t>
      </w:r>
      <w:r w:rsidR="003B032C">
        <w:rPr>
          <w:iCs/>
        </w:rPr>
        <w:t xml:space="preserve">, the Joint Enterprise Defense Infrastructure </w:t>
      </w:r>
      <w:r w:rsidRPr="003B032C" w:rsidR="00FF7029">
        <w:rPr>
          <w:iCs/>
        </w:rPr>
        <w:t>(JEDI)</w:t>
      </w:r>
      <w:r w:rsidR="003B032C">
        <w:rPr>
          <w:iCs/>
        </w:rPr>
        <w:t xml:space="preserve">. This potential divide – if not understood and addressed – </w:t>
      </w:r>
      <w:r w:rsidRPr="003B032C">
        <w:rPr>
          <w:iCs/>
        </w:rPr>
        <w:t xml:space="preserve">may affect DoD’s ability to draw upon the most advanced talent and technology available for its efforts to field game changing improvements in its war fighting ability. </w:t>
      </w:r>
    </w:p>
    <w:p w:rsidRPr="003B032C" w:rsidR="002D7535" w:rsidP="003B032C" w:rsidRDefault="00C23F7D" w14:paraId="67EBB97C" w14:textId="762344A2">
      <w:pPr>
        <w:spacing w:before="120" w:after="120"/>
        <w:jc w:val="both"/>
        <w:rPr>
          <w:iCs/>
        </w:rPr>
      </w:pPr>
      <w:r w:rsidRPr="003B032C">
        <w:rPr>
          <w:iCs/>
        </w:rPr>
        <w:t>To date, the degree and nature of the differences in outlook between private sector software engineers and their potential customers within the national security communities is not sufficiently understood to provide actionable insights to assist DoD in minimizing the potential risk to defense acquisitions and capabilities</w:t>
      </w:r>
      <w:r w:rsidR="003B032C">
        <w:rPr>
          <w:iCs/>
        </w:rPr>
        <w:t xml:space="preserve">. </w:t>
      </w:r>
      <w:r w:rsidRPr="003B032C">
        <w:rPr>
          <w:iCs/>
        </w:rPr>
        <w:t xml:space="preserve">While many commentators and reporters have published on this topic, their analysis has been primarily based on either the preconceptions of the authors or anecdotes about the opinions of individual engineers. </w:t>
      </w:r>
      <w:r w:rsidRPr="003B032C" w:rsidR="00361335">
        <w:rPr>
          <w:iCs/>
        </w:rPr>
        <w:t xml:space="preserve">It is unclear to what extent these pieces capture the views of software engineers working for these companies or working in the industry overall. </w:t>
      </w:r>
    </w:p>
    <w:p w:rsidR="00DD52EC" w:rsidP="003B032C" w:rsidRDefault="002D7535" w14:paraId="54F3FAA7" w14:textId="16EE2B49">
      <w:pPr>
        <w:spacing w:before="120" w:after="120"/>
        <w:jc w:val="both"/>
        <w:rPr>
          <w:iCs/>
        </w:rPr>
      </w:pPr>
      <w:r w:rsidRPr="003B032C">
        <w:rPr>
          <w:iCs/>
        </w:rPr>
        <w:t xml:space="preserve">Consequently, </w:t>
      </w:r>
      <w:r w:rsidRPr="003B032C" w:rsidR="004A0D4E">
        <w:rPr>
          <w:iCs/>
        </w:rPr>
        <w:t>t</w:t>
      </w:r>
      <w:r w:rsidRPr="003B032C" w:rsidR="00C23F7D">
        <w:rPr>
          <w:iCs/>
        </w:rPr>
        <w:t>he only way to gain a comprehensive understanding of the views of this community, how their views are evolving, and how they compare to the broader population is by conducting a large-scale survey of software engineers capable of performing this type of work</w:t>
      </w:r>
      <w:r w:rsidR="003B032C">
        <w:rPr>
          <w:iCs/>
        </w:rPr>
        <w:t xml:space="preserve">. Responses from these engineers can then be compared to </w:t>
      </w:r>
      <w:r w:rsidRPr="003B032C" w:rsidR="00C23F7D">
        <w:rPr>
          <w:iCs/>
        </w:rPr>
        <w:t xml:space="preserve">those from </w:t>
      </w:r>
      <w:r w:rsidRPr="003B032C">
        <w:rPr>
          <w:iCs/>
        </w:rPr>
        <w:t>others in the software engineering community</w:t>
      </w:r>
      <w:r w:rsidRPr="003B032C" w:rsidR="00C23F7D">
        <w:rPr>
          <w:iCs/>
        </w:rPr>
        <w:t>.</w:t>
      </w:r>
    </w:p>
    <w:p w:rsidRPr="003B032C" w:rsidR="009B47D7" w:rsidP="003B032C" w:rsidRDefault="009B47D7" w14:paraId="2DEB6D6A" w14:textId="77C615EB">
      <w:pPr>
        <w:spacing w:before="120" w:after="120"/>
        <w:jc w:val="both"/>
        <w:rPr>
          <w:iCs/>
        </w:rPr>
      </w:pPr>
      <w:r>
        <w:rPr>
          <w:iCs/>
        </w:rPr>
        <w:t>This collection is authorized by DoD Instruction 5111.11.</w:t>
      </w:r>
    </w:p>
    <w:p w:rsidRPr="003B032C" w:rsidR="00460A30" w:rsidP="003B032C" w:rsidRDefault="005C7428" w14:paraId="2D6BFA51" w14:textId="4E7AB80F">
      <w:pPr>
        <w:pStyle w:val="ListParagraph"/>
        <w:numPr>
          <w:ilvl w:val="0"/>
          <w:numId w:val="14"/>
        </w:numPr>
        <w:spacing w:before="120" w:after="120"/>
        <w:contextualSpacing w:val="0"/>
        <w:jc w:val="both"/>
        <w:rPr>
          <w:color w:val="000000" w:themeColor="text1"/>
        </w:rPr>
      </w:pPr>
      <w:r w:rsidRPr="003B032C">
        <w:rPr>
          <w:color w:val="000000" w:themeColor="text1"/>
          <w:u w:val="single"/>
        </w:rPr>
        <w:t>Use of the Information</w:t>
      </w:r>
    </w:p>
    <w:p w:rsidR="007B4261" w:rsidP="00180F77" w:rsidRDefault="00460A30" w14:paraId="0FEA1615" w14:textId="3F16F39E">
      <w:pPr>
        <w:spacing w:before="120" w:after="120"/>
        <w:jc w:val="both"/>
        <w:rPr>
          <w:bCs/>
        </w:rPr>
      </w:pPr>
      <w:r w:rsidRPr="003B032C">
        <w:rPr>
          <w:iCs/>
        </w:rPr>
        <w:t>In order to learn the opinions of software engineers about issues surroundi</w:t>
      </w:r>
      <w:r w:rsidR="003B032C">
        <w:rPr>
          <w:iCs/>
        </w:rPr>
        <w:t>ng national security, the U.S. Federal G</w:t>
      </w:r>
      <w:r w:rsidRPr="003B032C">
        <w:rPr>
          <w:iCs/>
        </w:rPr>
        <w:t xml:space="preserve">overnment, and </w:t>
      </w:r>
      <w:r w:rsidR="003B032C">
        <w:rPr>
          <w:iCs/>
        </w:rPr>
        <w:t>the DoD, RAND</w:t>
      </w:r>
      <w:r w:rsidRPr="003B032C">
        <w:rPr>
          <w:iCs/>
        </w:rPr>
        <w:t xml:space="preserve"> will administer a survey to the population of interest</w:t>
      </w:r>
      <w:r w:rsidRPr="003B032C" w:rsidR="00CC55F6">
        <w:rPr>
          <w:iCs/>
        </w:rPr>
        <w:t xml:space="preserve"> (private sector software engineers)</w:t>
      </w:r>
      <w:r w:rsidRPr="003B032C">
        <w:rPr>
          <w:iCs/>
        </w:rPr>
        <w:t>, as well as to comparison groups</w:t>
      </w:r>
      <w:r w:rsidRPr="003B032C" w:rsidR="00DD52EC">
        <w:rPr>
          <w:iCs/>
        </w:rPr>
        <w:t xml:space="preserve"> </w:t>
      </w:r>
      <w:r w:rsidRPr="003B032C" w:rsidR="00AE6868">
        <w:rPr>
          <w:iCs/>
        </w:rPr>
        <w:t>drawn from</w:t>
      </w:r>
      <w:r w:rsidRPr="003B032C" w:rsidR="00DD52EC">
        <w:rPr>
          <w:iCs/>
        </w:rPr>
        <w:t xml:space="preserve"> </w:t>
      </w:r>
      <w:r w:rsidRPr="003B032C" w:rsidR="001B495E">
        <w:rPr>
          <w:iCs/>
        </w:rPr>
        <w:t xml:space="preserve"> the defense and aerospace industry</w:t>
      </w:r>
      <w:r w:rsidR="003B032C">
        <w:rPr>
          <w:iCs/>
        </w:rPr>
        <w:t xml:space="preserve">. </w:t>
      </w:r>
      <w:r w:rsidRPr="003B032C" w:rsidR="00DD52EC">
        <w:rPr>
          <w:iCs/>
        </w:rPr>
        <w:t>In addition to the survey</w:t>
      </w:r>
      <w:r w:rsidRPr="003B032C" w:rsidR="00001527">
        <w:rPr>
          <w:iCs/>
        </w:rPr>
        <w:t>,</w:t>
      </w:r>
      <w:r w:rsidRPr="003B032C" w:rsidR="00DD52EC">
        <w:rPr>
          <w:iCs/>
        </w:rPr>
        <w:t xml:space="preserve"> </w:t>
      </w:r>
      <w:r w:rsidR="003B032C">
        <w:rPr>
          <w:iCs/>
        </w:rPr>
        <w:t>RAND</w:t>
      </w:r>
      <w:r w:rsidRPr="003B032C" w:rsidR="00DD52EC">
        <w:rPr>
          <w:iCs/>
        </w:rPr>
        <w:t xml:space="preserve"> will conduct focus groups with </w:t>
      </w:r>
      <w:r w:rsidRPr="003B032C" w:rsidR="00345443">
        <w:rPr>
          <w:iCs/>
        </w:rPr>
        <w:lastRenderedPageBreak/>
        <w:t xml:space="preserve">members of the software engineering community </w:t>
      </w:r>
      <w:r w:rsidRPr="003B032C" w:rsidR="00DD52EC">
        <w:rPr>
          <w:iCs/>
        </w:rPr>
        <w:t xml:space="preserve">and current students of top </w:t>
      </w:r>
      <w:r w:rsidR="00B81D51">
        <w:rPr>
          <w:iCs/>
        </w:rPr>
        <w:t>Computer S</w:t>
      </w:r>
      <w:r w:rsidRPr="003B032C" w:rsidR="00DD52EC">
        <w:rPr>
          <w:iCs/>
        </w:rPr>
        <w:t xml:space="preserve">cience </w:t>
      </w:r>
      <w:r w:rsidRPr="003B032C" w:rsidR="008C19D1">
        <w:rPr>
          <w:iCs/>
        </w:rPr>
        <w:t xml:space="preserve">(CS) </w:t>
      </w:r>
      <w:r w:rsidRPr="003B032C" w:rsidR="00DD52EC">
        <w:rPr>
          <w:iCs/>
        </w:rPr>
        <w:t>university programs, as these students may have a similar career trajectory to software engineers and tech company employees.</w:t>
      </w:r>
      <w:r w:rsidR="007B4261">
        <w:rPr>
          <w:iCs/>
        </w:rPr>
        <w:t xml:space="preserve"> </w:t>
      </w:r>
      <w:r w:rsidRPr="00180F77" w:rsidR="007B4261">
        <w:rPr>
          <w:bCs/>
        </w:rPr>
        <w:t xml:space="preserve">Focus groups will be used to gather qualitative, in depth responses that cannot be collected in a survey. </w:t>
      </w:r>
    </w:p>
    <w:p w:rsidRPr="003B032C" w:rsidR="00F20DB8" w:rsidP="00180F77" w:rsidRDefault="00460A30" w14:paraId="45600F6B" w14:textId="21A99F17">
      <w:pPr>
        <w:snapToGrid w:val="0"/>
        <w:spacing w:before="120" w:after="120"/>
        <w:jc w:val="both"/>
        <w:rPr>
          <w:iCs/>
        </w:rPr>
      </w:pPr>
      <w:r w:rsidRPr="003B032C">
        <w:rPr>
          <w:iCs/>
        </w:rPr>
        <w:t>The populations of greatest interest</w:t>
      </w:r>
      <w:r w:rsidRPr="003B032C" w:rsidR="00E24ED0">
        <w:rPr>
          <w:iCs/>
        </w:rPr>
        <w:t xml:space="preserve"> to</w:t>
      </w:r>
      <w:r w:rsidRPr="003B032C">
        <w:rPr>
          <w:iCs/>
        </w:rPr>
        <w:t xml:space="preserve"> </w:t>
      </w:r>
      <w:r w:rsidRPr="003B032C" w:rsidR="00A02A29">
        <w:rPr>
          <w:iCs/>
        </w:rPr>
        <w:t>DoD</w:t>
      </w:r>
      <w:r w:rsidRPr="003B032C">
        <w:rPr>
          <w:iCs/>
        </w:rPr>
        <w:t xml:space="preserve"> are </w:t>
      </w:r>
      <w:r w:rsidRPr="003B032C" w:rsidR="00DD52EC">
        <w:rPr>
          <w:iCs/>
        </w:rPr>
        <w:t xml:space="preserve">software engineers </w:t>
      </w:r>
      <w:r w:rsidRPr="003B032C">
        <w:rPr>
          <w:iCs/>
        </w:rPr>
        <w:t>at</w:t>
      </w:r>
      <w:r w:rsidRPr="003B032C" w:rsidR="00A02A29">
        <w:rPr>
          <w:iCs/>
        </w:rPr>
        <w:t xml:space="preserve"> leading</w:t>
      </w:r>
      <w:r w:rsidRPr="003B032C" w:rsidR="00001527">
        <w:rPr>
          <w:iCs/>
        </w:rPr>
        <w:t xml:space="preserve"> American</w:t>
      </w:r>
      <w:r w:rsidRPr="003B032C">
        <w:rPr>
          <w:iCs/>
        </w:rPr>
        <w:t xml:space="preserve"> </w:t>
      </w:r>
      <w:r w:rsidRPr="003B032C" w:rsidR="00002813">
        <w:rPr>
          <w:iCs/>
        </w:rPr>
        <w:t xml:space="preserve">software </w:t>
      </w:r>
      <w:r w:rsidRPr="003B032C">
        <w:rPr>
          <w:iCs/>
        </w:rPr>
        <w:t>companies</w:t>
      </w:r>
      <w:r w:rsidR="003B032C">
        <w:rPr>
          <w:iCs/>
        </w:rPr>
        <w:t>,</w:t>
      </w:r>
      <w:r w:rsidRPr="003B032C">
        <w:rPr>
          <w:iCs/>
        </w:rPr>
        <w:t xml:space="preserve"> such as </w:t>
      </w:r>
      <w:r w:rsidRPr="003B032C" w:rsidR="00001527">
        <w:rPr>
          <w:iCs/>
        </w:rPr>
        <w:t>the so-called FAANG corporations (Facebook, Apple, Amazon, Netflix, and Googl</w:t>
      </w:r>
      <w:r w:rsidRPr="003B032C" w:rsidR="00D54583">
        <w:rPr>
          <w:iCs/>
        </w:rPr>
        <w:t>e</w:t>
      </w:r>
      <w:r w:rsidRPr="003B032C" w:rsidR="00001527">
        <w:rPr>
          <w:iCs/>
        </w:rPr>
        <w:t>)</w:t>
      </w:r>
      <w:r w:rsidRPr="003B032C" w:rsidR="008B1C81">
        <w:rPr>
          <w:iCs/>
        </w:rPr>
        <w:t xml:space="preserve"> and other companies of similar size and capability</w:t>
      </w:r>
      <w:r w:rsidRPr="003B032C">
        <w:rPr>
          <w:iCs/>
        </w:rPr>
        <w:t xml:space="preserve">. </w:t>
      </w:r>
      <w:r w:rsidRPr="003B032C" w:rsidR="00783A81">
        <w:rPr>
          <w:iCs/>
        </w:rPr>
        <w:t>Employees of t</w:t>
      </w:r>
      <w:r w:rsidRPr="003B032C">
        <w:rPr>
          <w:iCs/>
        </w:rPr>
        <w:t>hese</w:t>
      </w:r>
      <w:r w:rsidRPr="003B032C" w:rsidR="00011F72">
        <w:rPr>
          <w:iCs/>
        </w:rPr>
        <w:t xml:space="preserve"> corporations have the greatest experience </w:t>
      </w:r>
      <w:r w:rsidRPr="003B032C" w:rsidR="00783A81">
        <w:rPr>
          <w:iCs/>
        </w:rPr>
        <w:t>with state-of-the-art</w:t>
      </w:r>
      <w:r w:rsidR="003B032C">
        <w:rPr>
          <w:iCs/>
        </w:rPr>
        <w:t xml:space="preserve"> software technologies such as cloud c</w:t>
      </w:r>
      <w:r w:rsidRPr="003B032C" w:rsidR="00783A81">
        <w:rPr>
          <w:iCs/>
        </w:rPr>
        <w:t xml:space="preserve">omputing and these corporations have been responsible for most of the recent advances in </w:t>
      </w:r>
      <w:r w:rsidR="003B032C">
        <w:rPr>
          <w:iCs/>
        </w:rPr>
        <w:t>AI</w:t>
      </w:r>
      <w:r w:rsidRPr="003B032C" w:rsidR="00783A81">
        <w:rPr>
          <w:iCs/>
        </w:rPr>
        <w:t xml:space="preserve">. </w:t>
      </w:r>
      <w:r w:rsidRPr="003B032C">
        <w:rPr>
          <w:iCs/>
        </w:rPr>
        <w:t xml:space="preserve">However, </w:t>
      </w:r>
      <w:r w:rsidRPr="003B032C" w:rsidR="00783A81">
        <w:rPr>
          <w:iCs/>
        </w:rPr>
        <w:t>employees of these companies</w:t>
      </w:r>
      <w:r w:rsidRPr="003B032C">
        <w:rPr>
          <w:iCs/>
        </w:rPr>
        <w:t xml:space="preserve"> also have little</w:t>
      </w:r>
      <w:r w:rsidR="003B032C">
        <w:rPr>
          <w:iCs/>
        </w:rPr>
        <w:t>,</w:t>
      </w:r>
      <w:r w:rsidRPr="003B032C">
        <w:rPr>
          <w:iCs/>
        </w:rPr>
        <w:t xml:space="preserve"> if any</w:t>
      </w:r>
      <w:r w:rsidR="003B032C">
        <w:rPr>
          <w:iCs/>
        </w:rPr>
        <w:t>,</w:t>
      </w:r>
      <w:r w:rsidRPr="003B032C">
        <w:rPr>
          <w:iCs/>
        </w:rPr>
        <w:t xml:space="preserve"> contact with the national security community and </w:t>
      </w:r>
      <w:r w:rsidRPr="003B032C" w:rsidR="00783A81">
        <w:rPr>
          <w:iCs/>
        </w:rPr>
        <w:t>some</w:t>
      </w:r>
      <w:r w:rsidRPr="003B032C">
        <w:rPr>
          <w:iCs/>
        </w:rPr>
        <w:t xml:space="preserve"> have</w:t>
      </w:r>
      <w:r w:rsidRPr="003B032C" w:rsidR="00783A81">
        <w:rPr>
          <w:iCs/>
        </w:rPr>
        <w:t xml:space="preserve"> strong</w:t>
      </w:r>
      <w:r w:rsidRPr="003B032C">
        <w:rPr>
          <w:iCs/>
        </w:rPr>
        <w:t xml:space="preserve"> ethical objections to building the kinds of software applications that </w:t>
      </w:r>
      <w:r w:rsidRPr="003B032C" w:rsidR="00783A81">
        <w:rPr>
          <w:iCs/>
        </w:rPr>
        <w:t xml:space="preserve">are </w:t>
      </w:r>
      <w:r w:rsidRPr="003B032C">
        <w:rPr>
          <w:iCs/>
        </w:rPr>
        <w:t xml:space="preserve">vital to the future of U.S. national security. </w:t>
      </w:r>
      <w:r w:rsidRPr="003B032C" w:rsidR="00DD52EC">
        <w:rPr>
          <w:iCs/>
        </w:rPr>
        <w:t>U</w:t>
      </w:r>
      <w:r w:rsidRPr="003B032C">
        <w:rPr>
          <w:iCs/>
        </w:rPr>
        <w:t>nderstanding how these individuals view ethical questions involving the use of AI in national security applications is a priority to our sponsor</w:t>
      </w:r>
      <w:r w:rsidR="003B032C">
        <w:rPr>
          <w:iCs/>
        </w:rPr>
        <w:t xml:space="preserve">. </w:t>
      </w:r>
    </w:p>
    <w:p w:rsidRPr="003B032C" w:rsidR="00F20DB8" w:rsidP="003B032C" w:rsidRDefault="003B032C" w14:paraId="2F393E11" w14:textId="08975CB4">
      <w:pPr>
        <w:spacing w:before="120" w:after="120"/>
        <w:jc w:val="both"/>
        <w:rPr>
          <w:iCs/>
        </w:rPr>
      </w:pPr>
      <w:r>
        <w:rPr>
          <w:iCs/>
        </w:rPr>
        <w:t xml:space="preserve">In addition to </w:t>
      </w:r>
      <w:r w:rsidRPr="003B032C" w:rsidR="00345443">
        <w:rPr>
          <w:iCs/>
        </w:rPr>
        <w:t>members of the software engineering community at leading technology companies</w:t>
      </w:r>
      <w:r w:rsidRPr="003B032C" w:rsidR="00F20DB8">
        <w:rPr>
          <w:iCs/>
        </w:rPr>
        <w:t xml:space="preserve">, </w:t>
      </w:r>
      <w:r>
        <w:rPr>
          <w:iCs/>
        </w:rPr>
        <w:t>RAND</w:t>
      </w:r>
      <w:r w:rsidRPr="003B032C" w:rsidR="00F20DB8">
        <w:rPr>
          <w:iCs/>
        </w:rPr>
        <w:t xml:space="preserve"> will also administer the survey to </w:t>
      </w:r>
      <w:r w:rsidRPr="003B032C" w:rsidR="00DD52EC">
        <w:rPr>
          <w:iCs/>
        </w:rPr>
        <w:t>members of the software engineering community</w:t>
      </w:r>
      <w:r w:rsidRPr="003B032C" w:rsidR="00345443">
        <w:rPr>
          <w:iCs/>
        </w:rPr>
        <w:t xml:space="preserve"> more broadly</w:t>
      </w:r>
      <w:r w:rsidRPr="003B032C" w:rsidR="00DD52EC">
        <w:rPr>
          <w:iCs/>
        </w:rPr>
        <w:t xml:space="preserve"> (e.g., a</w:t>
      </w:r>
      <w:r w:rsidRPr="003B032C" w:rsidR="001B606C">
        <w:t>lumni of leading computer science programs</w:t>
      </w:r>
      <w:r w:rsidRPr="003B032C" w:rsidR="00CC55F6">
        <w:t xml:space="preserve"> and employees with a job title of “software engineer”</w:t>
      </w:r>
      <w:r w:rsidRPr="003B032C" w:rsidR="00DD52EC">
        <w:t>)</w:t>
      </w:r>
      <w:r w:rsidR="00AD7D00">
        <w:t xml:space="preserve"> and</w:t>
      </w:r>
      <w:r w:rsidRPr="003B032C" w:rsidR="00CC55F6">
        <w:t xml:space="preserve"> engineers working in the defense and aerospace industry</w:t>
      </w:r>
      <w:r>
        <w:rPr>
          <w:iCs/>
        </w:rPr>
        <w:t xml:space="preserve">. </w:t>
      </w:r>
      <w:r w:rsidRPr="003B032C" w:rsidR="00F20DB8">
        <w:rPr>
          <w:iCs/>
        </w:rPr>
        <w:t>Comparing th</w:t>
      </w:r>
      <w:r w:rsidR="00B81D51">
        <w:rPr>
          <w:iCs/>
        </w:rPr>
        <w:t>ese various groups will help establish if</w:t>
      </w:r>
      <w:r w:rsidRPr="003B032C" w:rsidR="00F20DB8">
        <w:rPr>
          <w:iCs/>
        </w:rPr>
        <w:t xml:space="preserve"> primary survey populations have unique objections stemming from their familiarity with the technologies necessary to create AI applications</w:t>
      </w:r>
      <w:r w:rsidR="00C65F5F">
        <w:rPr>
          <w:iCs/>
        </w:rPr>
        <w:t>. Conversely,</w:t>
      </w:r>
      <w:r w:rsidR="00F97934">
        <w:rPr>
          <w:iCs/>
        </w:rPr>
        <w:t xml:space="preserve"> it will also explore</w:t>
      </w:r>
      <w:r w:rsidRPr="003B032C" w:rsidR="00F20DB8">
        <w:rPr>
          <w:iCs/>
        </w:rPr>
        <w:t xml:space="preserve"> whether their ethical views are similar</w:t>
      </w:r>
      <w:r w:rsidRPr="003B032C" w:rsidR="00A9156C">
        <w:rPr>
          <w:iCs/>
        </w:rPr>
        <w:t xml:space="preserve"> </w:t>
      </w:r>
      <w:r w:rsidRPr="003B032C" w:rsidR="00B81D51">
        <w:rPr>
          <w:iCs/>
        </w:rPr>
        <w:t>to</w:t>
      </w:r>
      <w:r w:rsidRPr="003B032C" w:rsidR="00F20DB8">
        <w:rPr>
          <w:iCs/>
        </w:rPr>
        <w:t xml:space="preserve"> </w:t>
      </w:r>
      <w:r w:rsidRPr="003B032C" w:rsidR="00DD52EC">
        <w:rPr>
          <w:iCs/>
        </w:rPr>
        <w:t>members of the software engineering community who work elsewhere</w:t>
      </w:r>
      <w:r w:rsidR="00772347">
        <w:rPr>
          <w:iCs/>
        </w:rPr>
        <w:t xml:space="preserve"> or to</w:t>
      </w:r>
      <w:r w:rsidRPr="003B032C" w:rsidR="00CC55F6">
        <w:rPr>
          <w:iCs/>
        </w:rPr>
        <w:t xml:space="preserve"> engineers who have chosen to work closely with the Defense Department</w:t>
      </w:r>
      <w:r>
        <w:rPr>
          <w:iCs/>
        </w:rPr>
        <w:t xml:space="preserve">. </w:t>
      </w:r>
    </w:p>
    <w:p w:rsidRPr="00BA6966" w:rsidR="00DD52EC" w:rsidP="003B032C" w:rsidRDefault="00DD52EC" w14:paraId="66003DAB" w14:textId="7B8280C7">
      <w:pPr>
        <w:spacing w:before="120" w:after="120"/>
        <w:jc w:val="both"/>
        <w:rPr>
          <w:iCs/>
        </w:rPr>
      </w:pPr>
      <w:r w:rsidRPr="00BA6966">
        <w:rPr>
          <w:iCs/>
        </w:rPr>
        <w:t>Survey respondents will complete the survey by web</w:t>
      </w:r>
      <w:r w:rsidRPr="00BA6966" w:rsidR="003B032C">
        <w:rPr>
          <w:iCs/>
        </w:rPr>
        <w:t xml:space="preserve">. </w:t>
      </w:r>
      <w:r w:rsidRPr="00BA6966">
        <w:rPr>
          <w:iCs/>
        </w:rPr>
        <w:t>Sampled participants wi</w:t>
      </w:r>
      <w:r w:rsidRPr="00BA6966" w:rsidR="00B81D51">
        <w:rPr>
          <w:iCs/>
        </w:rPr>
        <w:t xml:space="preserve">ll receive an email invitation that </w:t>
      </w:r>
      <w:r w:rsidRPr="00BA6966">
        <w:rPr>
          <w:iCs/>
        </w:rPr>
        <w:t>explain</w:t>
      </w:r>
      <w:r w:rsidRPr="00BA6966" w:rsidR="00B81D51">
        <w:rPr>
          <w:iCs/>
        </w:rPr>
        <w:t>s</w:t>
      </w:r>
      <w:r w:rsidRPr="00BA6966">
        <w:rPr>
          <w:iCs/>
        </w:rPr>
        <w:t xml:space="preserve"> the purpose of the study and include a link to the survey instrument</w:t>
      </w:r>
      <w:r w:rsidRPr="00BA6966" w:rsidR="003B032C">
        <w:rPr>
          <w:iCs/>
        </w:rPr>
        <w:t xml:space="preserve">. </w:t>
      </w:r>
      <w:r w:rsidRPr="00BA6966">
        <w:t>The survey data collection will include follow-up with non-respondents to maximize response rates. For instance, the contractor will send prompting emails to selected sampled individuals who have not responded to requests</w:t>
      </w:r>
      <w:r w:rsidRPr="00BA6966" w:rsidR="003B032C">
        <w:t xml:space="preserve">. </w:t>
      </w:r>
      <w:r w:rsidRPr="00BA6966">
        <w:rPr>
          <w:iCs/>
        </w:rPr>
        <w:t>After the survey is completed, data will be automatically transmitted to the contractor for analysis.</w:t>
      </w:r>
    </w:p>
    <w:p w:rsidRPr="00BA6966" w:rsidR="00573E77" w:rsidP="003B032C" w:rsidRDefault="00460A30" w14:paraId="3181F256" w14:textId="69274273">
      <w:pPr>
        <w:spacing w:before="120" w:after="120"/>
        <w:jc w:val="both"/>
        <w:rPr>
          <w:iCs/>
        </w:rPr>
      </w:pPr>
      <w:r w:rsidRPr="003B032C">
        <w:rPr>
          <w:iCs/>
        </w:rPr>
        <w:t xml:space="preserve">In addition to </w:t>
      </w:r>
      <w:r w:rsidRPr="003B032C" w:rsidR="00F20DB8">
        <w:rPr>
          <w:iCs/>
        </w:rPr>
        <w:t>the survey</w:t>
      </w:r>
      <w:r w:rsidRPr="003B032C" w:rsidR="00DD52EC">
        <w:rPr>
          <w:iCs/>
        </w:rPr>
        <w:t xml:space="preserve">, the contractor </w:t>
      </w:r>
      <w:r w:rsidRPr="003B032C" w:rsidR="00F20DB8">
        <w:rPr>
          <w:iCs/>
        </w:rPr>
        <w:t xml:space="preserve">will conduct focus groups with </w:t>
      </w:r>
      <w:r w:rsidRPr="003B032C" w:rsidR="00345443">
        <w:rPr>
          <w:iCs/>
        </w:rPr>
        <w:t xml:space="preserve">members of the software engineering community </w:t>
      </w:r>
      <w:r w:rsidRPr="003B032C" w:rsidR="00F20DB8">
        <w:rPr>
          <w:iCs/>
        </w:rPr>
        <w:t>and</w:t>
      </w:r>
      <w:r w:rsidRPr="003B032C">
        <w:rPr>
          <w:iCs/>
        </w:rPr>
        <w:t xml:space="preserve"> current students </w:t>
      </w:r>
      <w:r w:rsidRPr="003B032C" w:rsidR="00841E1D">
        <w:rPr>
          <w:iCs/>
        </w:rPr>
        <w:t>at</w:t>
      </w:r>
      <w:r w:rsidRPr="003B032C">
        <w:rPr>
          <w:iCs/>
        </w:rPr>
        <w:t xml:space="preserve"> </w:t>
      </w:r>
      <w:r w:rsidRPr="003B032C" w:rsidR="00A02A29">
        <w:rPr>
          <w:iCs/>
        </w:rPr>
        <w:t>top</w:t>
      </w:r>
      <w:r w:rsidRPr="003B032C" w:rsidR="00E668E4">
        <w:rPr>
          <w:iCs/>
        </w:rPr>
        <w:t xml:space="preserve"> ranked</w:t>
      </w:r>
      <w:r w:rsidRPr="003B032C" w:rsidR="00A02A29">
        <w:rPr>
          <w:iCs/>
        </w:rPr>
        <w:t xml:space="preserve"> </w:t>
      </w:r>
      <w:r w:rsidR="00B81D51">
        <w:rPr>
          <w:iCs/>
        </w:rPr>
        <w:t>CS</w:t>
      </w:r>
      <w:r w:rsidRPr="003B032C">
        <w:rPr>
          <w:iCs/>
        </w:rPr>
        <w:t xml:space="preserve"> </w:t>
      </w:r>
      <w:r w:rsidRPr="003B032C" w:rsidR="007F6CAB">
        <w:rPr>
          <w:iCs/>
        </w:rPr>
        <w:t>departments</w:t>
      </w:r>
      <w:r w:rsidR="003B032C">
        <w:rPr>
          <w:iCs/>
        </w:rPr>
        <w:t xml:space="preserve">. </w:t>
      </w:r>
      <w:r w:rsidRPr="003B032C" w:rsidR="00F20DB8">
        <w:rPr>
          <w:iCs/>
        </w:rPr>
        <w:t>Focus groups will</w:t>
      </w:r>
      <w:r w:rsidRPr="003B032C" w:rsidR="008C19D1">
        <w:rPr>
          <w:iCs/>
        </w:rPr>
        <w:t xml:space="preserve"> </w:t>
      </w:r>
      <w:r w:rsidRPr="003B032C" w:rsidR="007A4F1B">
        <w:rPr>
          <w:iCs/>
        </w:rPr>
        <w:t xml:space="preserve">be </w:t>
      </w:r>
      <w:r w:rsidRPr="00BA6966" w:rsidR="007A4F1B">
        <w:rPr>
          <w:iCs/>
        </w:rPr>
        <w:t>used to supplement the survey responses and dive deeper into the specific reasoning and perspectives behind</w:t>
      </w:r>
      <w:r w:rsidRPr="00BA6966" w:rsidR="00CC55F6">
        <w:rPr>
          <w:iCs/>
        </w:rPr>
        <w:t xml:space="preserve"> trends that emerge from analysis of</w:t>
      </w:r>
      <w:r w:rsidRPr="00BA6966" w:rsidR="007A4F1B">
        <w:rPr>
          <w:iCs/>
        </w:rPr>
        <w:t xml:space="preserve"> the data.</w:t>
      </w:r>
      <w:r w:rsidRPr="00BA6966" w:rsidR="007B4261">
        <w:rPr>
          <w:iCs/>
        </w:rPr>
        <w:t xml:space="preserve"> </w:t>
      </w:r>
      <w:r w:rsidRPr="00BA6966" w:rsidR="007B4261">
        <w:rPr>
          <w:bCs/>
        </w:rPr>
        <w:t xml:space="preserve">While the survey will allow for </w:t>
      </w:r>
      <w:r w:rsidR="00772347">
        <w:rPr>
          <w:bCs/>
        </w:rPr>
        <w:t xml:space="preserve">quantitative </w:t>
      </w:r>
      <w:r w:rsidRPr="00BA6966" w:rsidR="007B4261">
        <w:rPr>
          <w:bCs/>
        </w:rPr>
        <w:t>analysis, the focus groups and interviews will allow us to obtain a deeper understanding of the factors that influence an individual’s decision about working on specific AI projects or for specific organizations. For example, the survey instrument measures respondent trust in both government and non-government organizations. While this is important information, the survey cannot capture the reasoning behind these opinions, or the personal experiences and stories that led to these opinions.  In addition, anecdotes and explanations captured through qualitative means can be especially useful if survey response data is ambiguous or not as expected</w:t>
      </w:r>
      <w:r w:rsidRPr="00BA6966" w:rsidR="003C4E29">
        <w:rPr>
          <w:bCs/>
        </w:rPr>
        <w:t>.</w:t>
      </w:r>
    </w:p>
    <w:p w:rsidRPr="00BA6966" w:rsidR="007B4261" w:rsidP="003B032C" w:rsidRDefault="00345443" w14:paraId="780860FB" w14:textId="77DC3833">
      <w:pPr>
        <w:spacing w:before="120" w:after="120"/>
        <w:jc w:val="both"/>
      </w:pPr>
      <w:r w:rsidRPr="00BA6966">
        <w:t>Focus group c</w:t>
      </w:r>
      <w:r w:rsidRPr="00BA6966" w:rsidR="008C19D1">
        <w:t>andidates will be invited to participate by email</w:t>
      </w:r>
      <w:r w:rsidR="00133B14">
        <w:t xml:space="preserve"> or</w:t>
      </w:r>
      <w:r w:rsidRPr="00BA6966" w:rsidR="008C19D1">
        <w:t xml:space="preserve"> advertisement</w:t>
      </w:r>
      <w:r w:rsidRPr="00BA6966" w:rsidR="003B032C">
        <w:t xml:space="preserve">. </w:t>
      </w:r>
      <w:r w:rsidRPr="00BA6966" w:rsidR="004A3652">
        <w:t xml:space="preserve"> </w:t>
      </w:r>
      <w:r w:rsidRPr="00BA6966" w:rsidR="004A3652">
        <w:rPr>
          <w:bCs/>
        </w:rPr>
        <w:t xml:space="preserve">For focus groups convened at industry conferences, we will provide text for the focus group invitation, which will include the date, time, location, and other pertinent details, to conference organizers for distribution with other conference materials. For focus groups convened with students, we will similarly send information about the focus group to related listservs and social media sites for posting, and may also print flyers with focus group details for posting or distribution. All materials will include the RAND team’s contact information and will invite interested students to contact </w:t>
      </w:r>
      <w:r w:rsidRPr="00BA6966" w:rsidR="004A3652">
        <w:rPr>
          <w:bCs/>
        </w:rPr>
        <w:lastRenderedPageBreak/>
        <w:t>RAND.  Additionally, we may use commercial focus group vendors to identify and recruit participants.  These vendors have databases of individuals and will call people and screen them for eligibility and interest in the focus group.</w:t>
      </w:r>
    </w:p>
    <w:p w:rsidRPr="00BA6966" w:rsidR="008C19D1" w:rsidP="003B032C" w:rsidRDefault="00A803FD" w14:paraId="00D7B08D" w14:textId="26214BD9">
      <w:pPr>
        <w:spacing w:before="120" w:after="120"/>
        <w:jc w:val="both"/>
      </w:pPr>
      <w:r w:rsidRPr="00BA6966">
        <w:t>Follow-up with individuals who have not responded to the initial invitation will be by email. The focus groups will last 90 minutes</w:t>
      </w:r>
      <w:r w:rsidRPr="00BA6966" w:rsidR="00B81D51">
        <w:t>; notes</w:t>
      </w:r>
      <w:r w:rsidRPr="00BA6966">
        <w:t xml:space="preserve"> will be taken and transcripts of audio recording</w:t>
      </w:r>
      <w:r w:rsidR="00BA6966">
        <w:t xml:space="preserve">s will be created for analysis. </w:t>
      </w:r>
      <w:r w:rsidRPr="00BA6966">
        <w:rPr>
          <w:iCs/>
        </w:rPr>
        <w:t>Once data collection is complete, respondents will have no further contact from the project team</w:t>
      </w:r>
      <w:r w:rsidRPr="00BA6966" w:rsidR="003B572B">
        <w:rPr>
          <w:iCs/>
        </w:rPr>
        <w:t>.</w:t>
      </w:r>
    </w:p>
    <w:p w:rsidRPr="003B032C" w:rsidR="005C7428" w:rsidP="003B032C" w:rsidRDefault="005C7428" w14:paraId="3252310E" w14:textId="0225D7E2">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Use of Information Technology</w:t>
      </w:r>
    </w:p>
    <w:p w:rsidRPr="003B032C" w:rsidR="00A803FD" w:rsidP="003B032C" w:rsidRDefault="003B572B" w14:paraId="5229395A" w14:textId="4A11B299">
      <w:pPr>
        <w:spacing w:before="120" w:after="120"/>
        <w:jc w:val="both"/>
        <w:rPr>
          <w:iCs/>
        </w:rPr>
      </w:pPr>
      <w:r w:rsidRPr="003B032C">
        <w:rPr>
          <w:iCs/>
        </w:rPr>
        <w:t>All survey responses will be collected electronically</w:t>
      </w:r>
      <w:r w:rsidR="003B032C">
        <w:rPr>
          <w:iCs/>
        </w:rPr>
        <w:t xml:space="preserve">. </w:t>
      </w:r>
      <w:r w:rsidRPr="003B032C" w:rsidR="00A803FD">
        <w:t>The survey will utilize a web-based instrument for data collection</w:t>
      </w:r>
      <w:r w:rsidR="003B032C">
        <w:t xml:space="preserve">. </w:t>
      </w:r>
      <w:r w:rsidRPr="003B032C" w:rsidR="00A803FD">
        <w:t>The web-survey will be formatted to be easy to read and navigate</w:t>
      </w:r>
      <w:r w:rsidR="003B032C">
        <w:t>.</w:t>
      </w:r>
      <w:r w:rsidR="009B47D7">
        <w:t xml:space="preserve"> </w:t>
      </w:r>
      <w:r w:rsidRPr="003B032C" w:rsidR="00A803FD">
        <w:t>In addition, a Records Management System (RMS) will be used to manage the survey sample, document interim and final case status codes, and generate progress reports</w:t>
      </w:r>
      <w:r w:rsidR="003B032C">
        <w:t xml:space="preserve">. </w:t>
      </w:r>
      <w:r w:rsidRPr="003B032C" w:rsidR="00A803FD">
        <w:t xml:space="preserve">The RMS will track case status in all modes and will document the actions and outcomes for </w:t>
      </w:r>
      <w:r w:rsidRPr="003B032C" w:rsidR="005B2B81">
        <w:t>each</w:t>
      </w:r>
      <w:r w:rsidR="005B2B81">
        <w:t xml:space="preserve"> case in the sample</w:t>
      </w:r>
      <w:r w:rsidRPr="003B032C" w:rsidR="00A803FD">
        <w:t xml:space="preserve"> for all phases of activity</w:t>
      </w:r>
      <w:r w:rsidR="003B032C">
        <w:t xml:space="preserve">. </w:t>
      </w:r>
    </w:p>
    <w:p w:rsidRPr="003B032C" w:rsidR="003B572B" w:rsidP="003B032C" w:rsidRDefault="008635C4" w14:paraId="54CF799B" w14:textId="77777777">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Non-duplication</w:t>
      </w:r>
    </w:p>
    <w:p w:rsidRPr="003B032C" w:rsidR="00380C0B" w:rsidP="003B032C" w:rsidRDefault="008635C4" w14:paraId="3170D0DE" w14:textId="62A65A65">
      <w:pPr>
        <w:spacing w:before="120" w:after="120"/>
        <w:jc w:val="both"/>
        <w:rPr>
          <w:i/>
          <w:color w:val="FF0000"/>
        </w:rPr>
      </w:pPr>
      <w:r w:rsidRPr="003B032C">
        <w:rPr>
          <w:color w:val="000000" w:themeColor="text1"/>
        </w:rPr>
        <w:t xml:space="preserve">The information obtained through this collection is unique and </w:t>
      </w:r>
      <w:r w:rsidRPr="003B032C" w:rsidR="00CA15B1">
        <w:rPr>
          <w:color w:val="000000" w:themeColor="text1"/>
        </w:rPr>
        <w:t xml:space="preserve">is </w:t>
      </w:r>
      <w:r w:rsidRPr="003B032C">
        <w:rPr>
          <w:color w:val="000000" w:themeColor="text1"/>
        </w:rPr>
        <w:t xml:space="preserve">not already available for use or adaptation from another cleared source. </w:t>
      </w:r>
    </w:p>
    <w:p w:rsidRPr="003B032C" w:rsidR="00CA15B1" w:rsidP="003B032C" w:rsidRDefault="00CA15B1" w14:paraId="7C26E4AD" w14:textId="77777777">
      <w:pPr>
        <w:pStyle w:val="ListParagraph"/>
        <w:numPr>
          <w:ilvl w:val="0"/>
          <w:numId w:val="14"/>
        </w:numPr>
        <w:spacing w:before="120" w:after="120"/>
        <w:contextualSpacing w:val="0"/>
        <w:jc w:val="both"/>
        <w:rPr>
          <w:color w:val="000000" w:themeColor="text1"/>
        </w:rPr>
      </w:pPr>
      <w:r w:rsidRPr="003B032C">
        <w:rPr>
          <w:color w:val="000000" w:themeColor="text1"/>
          <w:u w:val="single"/>
        </w:rPr>
        <w:t>Burden on Small Businesses</w:t>
      </w:r>
      <w:r w:rsidRPr="003B032C">
        <w:rPr>
          <w:color w:val="000000" w:themeColor="text1"/>
        </w:rPr>
        <w:t xml:space="preserve"> </w:t>
      </w:r>
    </w:p>
    <w:p w:rsidRPr="003B032C" w:rsidR="00C23F7D" w:rsidP="003B032C" w:rsidRDefault="00ED4B17" w14:paraId="0AC55257" w14:textId="62A86813">
      <w:pPr>
        <w:spacing w:before="120" w:after="120"/>
        <w:jc w:val="both"/>
        <w:rPr>
          <w:iCs/>
        </w:rPr>
      </w:pPr>
      <w:r w:rsidRPr="003B032C">
        <w:rPr>
          <w:iCs/>
        </w:rPr>
        <w:t>No respondents are expected to be small businesses or other small entities</w:t>
      </w:r>
      <w:r w:rsidR="003B032C">
        <w:rPr>
          <w:iCs/>
        </w:rPr>
        <w:t xml:space="preserve">. </w:t>
      </w:r>
      <w:r w:rsidRPr="003B032C">
        <w:rPr>
          <w:iCs/>
        </w:rPr>
        <w:t>This information collection does not impose a significant economic impact on a substantial number of small businesses or entities.</w:t>
      </w:r>
    </w:p>
    <w:p w:rsidRPr="003B032C" w:rsidR="002567F9" w:rsidP="003B032C" w:rsidRDefault="002567F9" w14:paraId="4EF4897A" w14:textId="77777777">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Less Frequent Collection</w:t>
      </w:r>
    </w:p>
    <w:p w:rsidRPr="003B032C" w:rsidR="003B572B" w:rsidP="003B032C" w:rsidRDefault="003B572B" w14:paraId="164AFE2A" w14:textId="2855F0AB">
      <w:pPr>
        <w:spacing w:before="120" w:after="120"/>
        <w:jc w:val="both"/>
      </w:pPr>
      <w:r w:rsidRPr="003B032C">
        <w:t>The survey</w:t>
      </w:r>
      <w:r w:rsidRPr="003B032C" w:rsidR="004478B1">
        <w:t xml:space="preserve"> </w:t>
      </w:r>
      <w:r w:rsidRPr="003B032C">
        <w:t>and focus groups will be a one-time data collection effort</w:t>
      </w:r>
      <w:r w:rsidR="003B032C">
        <w:t xml:space="preserve">. </w:t>
      </w:r>
      <w:r w:rsidRPr="003B032C">
        <w:t xml:space="preserve">In the absence of this data collection, we will not be able to assess the </w:t>
      </w:r>
      <w:r w:rsidRPr="003B032C" w:rsidR="00640E84">
        <w:t>extent to which DoD will encounter difficulty in acquiring leading edge technologies and capabilities for DoD missions</w:t>
      </w:r>
      <w:r w:rsidRPr="003B032C">
        <w:t>.</w:t>
      </w:r>
    </w:p>
    <w:p w:rsidRPr="003B032C" w:rsidR="00F86C35" w:rsidP="003B032C" w:rsidRDefault="00F86C35" w14:paraId="26554D80" w14:textId="77777777">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Paperwork Reduction Act Guidelines</w:t>
      </w:r>
    </w:p>
    <w:p w:rsidRPr="003B032C" w:rsidR="00C23F7D" w:rsidP="003B032C" w:rsidRDefault="003B572B" w14:paraId="318AF5A7" w14:textId="77777777">
      <w:pPr>
        <w:pStyle w:val="NormalWeb"/>
        <w:spacing w:before="120" w:beforeAutospacing="0" w:after="120" w:afterAutospacing="0"/>
        <w:jc w:val="both"/>
        <w:rPr>
          <w:rFonts w:eastAsiaTheme="minorHAnsi"/>
          <w:i/>
          <w:color w:val="000000" w:themeColor="text1"/>
        </w:rPr>
      </w:pPr>
      <w:r w:rsidRPr="003B032C">
        <w:rPr>
          <w:rFonts w:eastAsiaTheme="minorHAnsi"/>
          <w:color w:val="000000" w:themeColor="text1"/>
        </w:rPr>
        <w:t xml:space="preserve">This collection of information does not require collection to be conducted in a manner inconsistent with the guidelines delineated in 5 CFR 1320.5(d)(2). </w:t>
      </w:r>
    </w:p>
    <w:p w:rsidRPr="003B032C" w:rsidR="00200261" w:rsidP="003B032C" w:rsidRDefault="00200261" w14:paraId="5BF64E3D" w14:textId="77777777">
      <w:pPr>
        <w:pStyle w:val="NormalWeb"/>
        <w:numPr>
          <w:ilvl w:val="0"/>
          <w:numId w:val="14"/>
        </w:numPr>
        <w:spacing w:before="120" w:beforeAutospacing="0" w:after="120" w:afterAutospacing="0"/>
        <w:jc w:val="both"/>
        <w:rPr>
          <w:rFonts w:eastAsiaTheme="minorHAnsi"/>
          <w:color w:val="000000" w:themeColor="text1"/>
          <w:u w:val="single"/>
        </w:rPr>
      </w:pPr>
      <w:r w:rsidRPr="003B032C">
        <w:rPr>
          <w:rFonts w:eastAsiaTheme="minorHAnsi"/>
          <w:color w:val="000000" w:themeColor="text1"/>
          <w:u w:val="single"/>
        </w:rPr>
        <w:t>Consultation and Public Comments</w:t>
      </w:r>
    </w:p>
    <w:p w:rsidRPr="003B032C" w:rsidR="00200261" w:rsidP="003B032C" w:rsidRDefault="00200261" w14:paraId="13245AAC" w14:textId="77777777">
      <w:pPr>
        <w:pStyle w:val="NormalWeb"/>
        <w:spacing w:before="120" w:beforeAutospacing="0" w:after="120" w:afterAutospacing="0"/>
        <w:jc w:val="both"/>
        <w:rPr>
          <w:rFonts w:eastAsiaTheme="minorHAnsi"/>
          <w:color w:val="000000" w:themeColor="text1"/>
        </w:rPr>
      </w:pPr>
      <w:r w:rsidRPr="003B032C">
        <w:rPr>
          <w:rFonts w:eastAsiaTheme="minorHAnsi"/>
          <w:color w:val="000000" w:themeColor="text1"/>
        </w:rPr>
        <w:t>Part A: PUBLIC NOTICE</w:t>
      </w:r>
    </w:p>
    <w:p w:rsidRPr="003B032C" w:rsidR="00200261" w:rsidP="003B032C" w:rsidRDefault="00200261" w14:paraId="74B72A29" w14:textId="6BAD9584">
      <w:pPr>
        <w:pStyle w:val="NormalWeb"/>
        <w:spacing w:before="120" w:beforeAutospacing="0" w:after="120" w:afterAutospacing="0"/>
        <w:jc w:val="both"/>
        <w:rPr>
          <w:rFonts w:eastAsiaTheme="minorHAnsi"/>
          <w:color w:val="000000" w:themeColor="text1"/>
        </w:rPr>
      </w:pPr>
      <w:r w:rsidRPr="003B032C">
        <w:rPr>
          <w:rFonts w:eastAsiaTheme="minorHAnsi"/>
          <w:color w:val="000000" w:themeColor="text1"/>
        </w:rPr>
        <w:t xml:space="preserve">A 60-Day Federal Register Notice for the collection </w:t>
      </w:r>
      <w:r w:rsidR="001A7C35">
        <w:rPr>
          <w:rFonts w:eastAsiaTheme="minorHAnsi"/>
          <w:color w:val="000000" w:themeColor="text1"/>
        </w:rPr>
        <w:t xml:space="preserve">was </w:t>
      </w:r>
      <w:r w:rsidRPr="003B032C">
        <w:rPr>
          <w:rFonts w:eastAsiaTheme="minorHAnsi"/>
          <w:color w:val="000000" w:themeColor="text1"/>
        </w:rPr>
        <w:t>published on</w:t>
      </w:r>
      <w:r w:rsidR="001A7C35">
        <w:rPr>
          <w:rFonts w:eastAsiaTheme="minorHAnsi"/>
          <w:color w:val="000000" w:themeColor="text1"/>
        </w:rPr>
        <w:t xml:space="preserve"> Thursday</w:t>
      </w:r>
      <w:r w:rsidR="0057747E">
        <w:rPr>
          <w:rFonts w:eastAsiaTheme="minorHAnsi"/>
          <w:color w:val="000000" w:themeColor="text1"/>
        </w:rPr>
        <w:t>,</w:t>
      </w:r>
      <w:r w:rsidR="001A7C35">
        <w:rPr>
          <w:rFonts w:eastAsiaTheme="minorHAnsi"/>
          <w:color w:val="000000" w:themeColor="text1"/>
        </w:rPr>
        <w:t xml:space="preserve"> January 16, 2020</w:t>
      </w:r>
      <w:r w:rsidR="003B032C">
        <w:rPr>
          <w:rFonts w:eastAsiaTheme="minorHAnsi"/>
          <w:color w:val="000000" w:themeColor="text1"/>
        </w:rPr>
        <w:t xml:space="preserve">. </w:t>
      </w:r>
      <w:r w:rsidRPr="003B032C">
        <w:rPr>
          <w:rFonts w:eastAsiaTheme="minorHAnsi"/>
          <w:color w:val="000000" w:themeColor="text1"/>
        </w:rPr>
        <w:t>The 60-Day FRN citation is</w:t>
      </w:r>
      <w:r w:rsidR="001A7C35">
        <w:rPr>
          <w:rFonts w:eastAsiaTheme="minorHAnsi"/>
          <w:color w:val="000000" w:themeColor="text1"/>
        </w:rPr>
        <w:t xml:space="preserve"> 85 FR 2726</w:t>
      </w:r>
      <w:r w:rsidRPr="003B032C">
        <w:rPr>
          <w:rFonts w:eastAsiaTheme="minorHAnsi"/>
          <w:color w:val="000000" w:themeColor="text1"/>
        </w:rPr>
        <w:t xml:space="preserve">. </w:t>
      </w:r>
    </w:p>
    <w:p w:rsidRPr="003B032C" w:rsidR="00200261" w:rsidP="003B032C" w:rsidRDefault="00200261" w14:paraId="31D95125" w14:textId="576CB75A">
      <w:pPr>
        <w:pStyle w:val="NormalWeb"/>
        <w:spacing w:before="120" w:beforeAutospacing="0" w:after="120" w:afterAutospacing="0"/>
        <w:jc w:val="both"/>
        <w:rPr>
          <w:rFonts w:eastAsiaTheme="minorHAnsi"/>
          <w:color w:val="000000" w:themeColor="text1"/>
        </w:rPr>
      </w:pPr>
      <w:r w:rsidRPr="001A7C35">
        <w:rPr>
          <w:rFonts w:eastAsiaTheme="minorHAnsi"/>
          <w:color w:val="000000" w:themeColor="text1"/>
        </w:rPr>
        <w:t>No comments were received during the 60-Day Comment Period.</w:t>
      </w:r>
      <w:r w:rsidRPr="003B032C">
        <w:rPr>
          <w:rFonts w:eastAsiaTheme="minorHAnsi"/>
          <w:color w:val="000000" w:themeColor="text1"/>
        </w:rPr>
        <w:t xml:space="preserve"> </w:t>
      </w:r>
    </w:p>
    <w:p w:rsidR="00200261" w:rsidP="003B032C" w:rsidRDefault="0057747E" w14:paraId="790AC1CB" w14:textId="19685131">
      <w:pPr>
        <w:pStyle w:val="NormalWeb"/>
        <w:spacing w:before="120" w:beforeAutospacing="0" w:after="120" w:afterAutospacing="0"/>
        <w:jc w:val="both"/>
        <w:rPr>
          <w:rFonts w:eastAsiaTheme="minorHAnsi"/>
          <w:color w:val="000000" w:themeColor="text1"/>
        </w:rPr>
      </w:pPr>
      <w:r>
        <w:rPr>
          <w:rFonts w:eastAsiaTheme="minorHAnsi"/>
          <w:color w:val="000000" w:themeColor="text1"/>
        </w:rPr>
        <w:t>A 30-Day Federal Register Notice for the collection was published on</w:t>
      </w:r>
      <w:r w:rsidR="00B64D13">
        <w:rPr>
          <w:rFonts w:eastAsiaTheme="minorHAnsi"/>
          <w:color w:val="000000" w:themeColor="text1"/>
        </w:rPr>
        <w:t xml:space="preserve"> Monday, July 27, 2020.</w:t>
      </w:r>
      <w:r>
        <w:rPr>
          <w:rFonts w:eastAsiaTheme="minorHAnsi"/>
          <w:color w:val="000000" w:themeColor="text1"/>
        </w:rPr>
        <w:t xml:space="preserve"> </w:t>
      </w:r>
      <w:r w:rsidR="00B64D13">
        <w:rPr>
          <w:rFonts w:eastAsiaTheme="minorHAnsi"/>
          <w:color w:val="000000" w:themeColor="text1"/>
        </w:rPr>
        <w:t>The 30-Day FRN citation is 85 FRN 45203.</w:t>
      </w:r>
    </w:p>
    <w:p w:rsidRPr="003B032C" w:rsidR="0057747E" w:rsidP="003B032C" w:rsidRDefault="0057747E" w14:paraId="5DFECEC5" w14:textId="134F4A2A">
      <w:pPr>
        <w:pStyle w:val="NormalWeb"/>
        <w:spacing w:before="120" w:beforeAutospacing="0" w:after="120" w:afterAutospacing="0"/>
        <w:jc w:val="both"/>
        <w:rPr>
          <w:rFonts w:eastAsiaTheme="minorHAnsi"/>
          <w:color w:val="000000" w:themeColor="text1"/>
        </w:rPr>
      </w:pPr>
    </w:p>
    <w:p w:rsidRPr="003B032C" w:rsidR="00C23F7D" w:rsidP="003B032C" w:rsidRDefault="00200261" w14:paraId="6274A2A6" w14:textId="2FC733E4">
      <w:pPr>
        <w:pStyle w:val="NormalWeb"/>
        <w:spacing w:before="120" w:beforeAutospacing="0" w:after="120" w:afterAutospacing="0"/>
        <w:jc w:val="both"/>
        <w:rPr>
          <w:rFonts w:eastAsiaTheme="minorHAnsi"/>
          <w:color w:val="000000" w:themeColor="text1"/>
        </w:rPr>
      </w:pPr>
      <w:r w:rsidRPr="003B032C">
        <w:rPr>
          <w:rFonts w:eastAsiaTheme="minorHAnsi"/>
          <w:color w:val="000000" w:themeColor="text1"/>
        </w:rPr>
        <w:t>Part B: CONSULTATION</w:t>
      </w:r>
    </w:p>
    <w:p w:rsidRPr="003B032C" w:rsidR="00D72CC7" w:rsidP="003B032C" w:rsidRDefault="00097722" w14:paraId="1FE4062C" w14:textId="0E71689E">
      <w:pPr>
        <w:pStyle w:val="NormalWeb"/>
        <w:spacing w:before="120" w:beforeAutospacing="0" w:after="120" w:afterAutospacing="0"/>
        <w:jc w:val="both"/>
      </w:pPr>
      <w:r w:rsidRPr="003B032C">
        <w:t>Staff from the</w:t>
      </w:r>
      <w:r w:rsidRPr="003B032C" w:rsidR="00D72CC7">
        <w:t xml:space="preserve"> RAND Corporation were consulted on this project</w:t>
      </w:r>
      <w:r w:rsidRPr="003B032C">
        <w:t>:</w:t>
      </w:r>
      <w:r w:rsidRPr="003B032C" w:rsidR="00D72CC7">
        <w:t xml:space="preserve"> </w:t>
      </w:r>
    </w:p>
    <w:p w:rsidRPr="003B032C" w:rsidR="00097722" w:rsidP="005B2B81" w:rsidRDefault="00097722" w14:paraId="6DDD3611" w14:textId="030F6FED">
      <w:pPr>
        <w:spacing w:before="120" w:after="120"/>
        <w:jc w:val="both"/>
      </w:pPr>
      <w:r w:rsidRPr="003B032C">
        <w:t>James Ryseff, M.S.</w:t>
      </w:r>
    </w:p>
    <w:p w:rsidRPr="003B032C" w:rsidR="00097722" w:rsidP="005B2B81" w:rsidRDefault="00097722" w14:paraId="44444C0E" w14:textId="66811C32">
      <w:pPr>
        <w:spacing w:before="120" w:after="120"/>
        <w:jc w:val="both"/>
      </w:pPr>
      <w:r w:rsidRPr="003B032C">
        <w:rPr>
          <w:color w:val="000000"/>
        </w:rPr>
        <w:lastRenderedPageBreak/>
        <w:t xml:space="preserve">Eric William Landree, </w:t>
      </w:r>
      <w:r w:rsidRPr="003B032C">
        <w:t>Ph.D.</w:t>
      </w:r>
    </w:p>
    <w:p w:rsidRPr="005B2B81" w:rsidR="00D72CC7" w:rsidP="005B2B81" w:rsidRDefault="00097722" w14:paraId="1B056808" w14:textId="288C9854">
      <w:pPr>
        <w:spacing w:before="120" w:after="120"/>
        <w:jc w:val="both"/>
      </w:pPr>
      <w:r w:rsidRPr="003B032C">
        <w:rPr>
          <w:color w:val="000000"/>
        </w:rPr>
        <w:t>Madhumita</w:t>
      </w:r>
      <w:r w:rsidRPr="003B032C">
        <w:rPr>
          <w:color w:val="000000"/>
          <w:shd w:val="clear" w:color="auto" w:fill="FFFFFF"/>
        </w:rPr>
        <w:t xml:space="preserve"> (Bonnie) </w:t>
      </w:r>
      <w:r w:rsidRPr="003B032C">
        <w:rPr>
          <w:color w:val="000000"/>
        </w:rPr>
        <w:t>Ghosh Dastidar</w:t>
      </w:r>
      <w:r w:rsidRPr="003B032C">
        <w:t>, Ph.D.</w:t>
      </w:r>
    </w:p>
    <w:p w:rsidRPr="003B032C" w:rsidR="00A57998" w:rsidP="003B032C" w:rsidRDefault="006A13FA" w14:paraId="7DE0C6E8" w14:textId="1CB82129">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Gifts or Payment</w:t>
      </w:r>
    </w:p>
    <w:p w:rsidRPr="005B2B81" w:rsidR="00A57998" w:rsidP="003B032C" w:rsidRDefault="0080419B" w14:paraId="333BA440" w14:textId="7CB8B485">
      <w:pPr>
        <w:spacing w:before="120" w:after="120"/>
        <w:jc w:val="both"/>
        <w:rPr>
          <w:color w:val="000000" w:themeColor="text1"/>
        </w:rPr>
      </w:pPr>
      <w:r w:rsidRPr="003B032C">
        <w:rPr>
          <w:color w:val="000000" w:themeColor="text1"/>
        </w:rPr>
        <w:t>No payments or gifts are being offered to survey respondents</w:t>
      </w:r>
      <w:r>
        <w:rPr>
          <w:color w:val="000000" w:themeColor="text1"/>
        </w:rPr>
        <w:t xml:space="preserve"> or focus group participants</w:t>
      </w:r>
      <w:r w:rsidRPr="003B032C">
        <w:rPr>
          <w:color w:val="000000" w:themeColor="text1"/>
        </w:rPr>
        <w:t>.</w:t>
      </w:r>
      <w:r w:rsidRPr="003B032C" w:rsidR="00A57998">
        <w:rPr>
          <w:color w:val="000000" w:themeColor="text1"/>
        </w:rPr>
        <w:t>.</w:t>
      </w:r>
    </w:p>
    <w:p w:rsidRPr="003B032C" w:rsidR="00F97482" w:rsidP="003B032C" w:rsidRDefault="00F97482" w14:paraId="1218E95E" w14:textId="77777777">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Confidentiality</w:t>
      </w:r>
    </w:p>
    <w:p w:rsidR="001B01DB" w:rsidP="00BA6966" w:rsidRDefault="001B01DB" w14:paraId="154D024F" w14:textId="4A1247CA">
      <w:pPr>
        <w:spacing w:before="120" w:after="120"/>
        <w:jc w:val="both"/>
      </w:pPr>
      <w:r>
        <w:t>This collection instrument requires a Privacy Act Statement</w:t>
      </w:r>
      <w:r w:rsidR="00133B14">
        <w:t xml:space="preserve"> since it collects PII</w:t>
      </w:r>
      <w:r>
        <w:t xml:space="preserve">. It is displayed to the user immediately before they begin answering survey questions on the first page of the survey. </w:t>
      </w:r>
    </w:p>
    <w:p w:rsidR="00A00799" w:rsidP="00BA6966" w:rsidRDefault="00A00799" w14:paraId="15D1DA8A" w14:textId="39F38EB3">
      <w:pPr>
        <w:spacing w:before="120" w:after="120"/>
        <w:jc w:val="both"/>
      </w:pPr>
      <w:r>
        <w:t>A System of Record Notice is not required for this collection because the records are not retrievable by PII.</w:t>
      </w:r>
    </w:p>
    <w:p w:rsidR="00A00799" w:rsidP="00BA6966" w:rsidRDefault="00A00799" w14:paraId="6E35D7F1" w14:textId="222D171D">
      <w:pPr>
        <w:spacing w:before="120" w:after="120"/>
        <w:jc w:val="both"/>
      </w:pPr>
      <w:r>
        <w:t>A draft copy of the PIA, Exploring</w:t>
      </w:r>
      <w:r w:rsidR="005E1DD5">
        <w:t xml:space="preserve"> Views about the Use of Artificial Intelligence</w:t>
      </w:r>
      <w:r>
        <w:t xml:space="preserve"> </w:t>
      </w:r>
      <w:r w:rsidR="00BD2696">
        <w:t>S</w:t>
      </w:r>
      <w:r>
        <w:t>urvey, has been provided with this package for OMB’s review.</w:t>
      </w:r>
    </w:p>
    <w:p w:rsidRPr="003B032C" w:rsidR="00181DF7" w:rsidP="00BA6966" w:rsidRDefault="00181DF7" w14:paraId="29708D7C" w14:textId="5DF0A99C">
      <w:pPr>
        <w:spacing w:before="120" w:after="120"/>
        <w:jc w:val="both"/>
      </w:pPr>
      <w:r>
        <w:t>All information collected by this survey will be destroyed once the final report has been written. This will occur no later than twelve months after the Office of Management and Budget approves the survey and the collection period begins.</w:t>
      </w:r>
    </w:p>
    <w:p w:rsidRPr="003B032C" w:rsidR="00A57998" w:rsidP="003B032C" w:rsidRDefault="00337EF1" w14:paraId="5B6072F7" w14:textId="716DC26B">
      <w:pPr>
        <w:pStyle w:val="ListParagraph"/>
        <w:numPr>
          <w:ilvl w:val="0"/>
          <w:numId w:val="14"/>
        </w:numPr>
        <w:spacing w:before="120" w:after="120"/>
        <w:contextualSpacing w:val="0"/>
        <w:jc w:val="both"/>
        <w:rPr>
          <w:color w:val="000000" w:themeColor="text1"/>
        </w:rPr>
      </w:pPr>
      <w:r w:rsidRPr="003B032C">
        <w:rPr>
          <w:color w:val="000000" w:themeColor="text1"/>
          <w:u w:val="single"/>
        </w:rPr>
        <w:t>Sensitive Questions</w:t>
      </w:r>
    </w:p>
    <w:p w:rsidRPr="003B032C" w:rsidR="00A57998" w:rsidP="003B032C" w:rsidRDefault="00A57998" w14:paraId="1E274B22" w14:textId="1AC876B6">
      <w:pPr>
        <w:spacing w:before="120" w:after="120"/>
        <w:jc w:val="both"/>
        <w:rPr>
          <w:color w:val="000000" w:themeColor="text1"/>
        </w:rPr>
      </w:pPr>
      <w:r w:rsidRPr="003B032C">
        <w:rPr>
          <w:color w:val="000000" w:themeColor="text1"/>
        </w:rPr>
        <w:t xml:space="preserve">No questions considered sensitive are being asked in this collection. </w:t>
      </w:r>
    </w:p>
    <w:p w:rsidRPr="003B032C" w:rsidR="00D21AA6" w:rsidP="003B032C" w:rsidRDefault="00A76F7E" w14:paraId="38829E40" w14:textId="77777777">
      <w:pPr>
        <w:pStyle w:val="ListParagraph"/>
        <w:numPr>
          <w:ilvl w:val="0"/>
          <w:numId w:val="14"/>
        </w:numPr>
        <w:spacing w:before="120" w:after="120"/>
        <w:contextualSpacing w:val="0"/>
        <w:jc w:val="both"/>
        <w:rPr>
          <w:color w:val="000000" w:themeColor="text1"/>
        </w:rPr>
      </w:pPr>
      <w:r w:rsidRPr="003B032C">
        <w:rPr>
          <w:color w:val="000000" w:themeColor="text1"/>
          <w:u w:val="single"/>
        </w:rPr>
        <w:t>Respondent Burden and its Labor Costs</w:t>
      </w:r>
    </w:p>
    <w:p w:rsidRPr="000D70BA" w:rsidR="00A76F7E" w:rsidP="003B032C" w:rsidRDefault="00A77157" w14:paraId="49CE44E9" w14:textId="77777777">
      <w:pPr>
        <w:pStyle w:val="ListParagraph"/>
        <w:numPr>
          <w:ilvl w:val="0"/>
          <w:numId w:val="15"/>
        </w:numPr>
        <w:spacing w:before="120" w:after="120"/>
        <w:ind w:left="360"/>
        <w:contextualSpacing w:val="0"/>
        <w:jc w:val="both"/>
        <w:rPr>
          <w:color w:val="000000" w:themeColor="text1"/>
          <w:u w:val="single"/>
        </w:rPr>
      </w:pPr>
      <w:r w:rsidRPr="000D70BA">
        <w:rPr>
          <w:color w:val="000000" w:themeColor="text1"/>
          <w:u w:val="single"/>
        </w:rPr>
        <w:t>Estimation</w:t>
      </w:r>
      <w:r w:rsidRPr="000D70BA" w:rsidR="00A76F7E">
        <w:rPr>
          <w:color w:val="000000" w:themeColor="text1"/>
          <w:u w:val="single"/>
        </w:rPr>
        <w:t xml:space="preserve"> of Respondent Burden</w:t>
      </w:r>
    </w:p>
    <w:p w:rsidRPr="000D70BA" w:rsidR="00A76F7E" w:rsidP="003B032C" w:rsidRDefault="00F25756" w14:paraId="09366E4C" w14:textId="61E0AE0A">
      <w:pPr>
        <w:pStyle w:val="ListParagraph"/>
        <w:numPr>
          <w:ilvl w:val="0"/>
          <w:numId w:val="17"/>
        </w:numPr>
        <w:spacing w:before="120" w:after="120"/>
        <w:ind w:left="360"/>
        <w:contextualSpacing w:val="0"/>
        <w:jc w:val="both"/>
        <w:rPr>
          <w:color w:val="000000" w:themeColor="text1"/>
        </w:rPr>
      </w:pPr>
      <w:r w:rsidRPr="000D70BA">
        <w:rPr>
          <w:color w:val="000000" w:themeColor="text1"/>
        </w:rPr>
        <w:t>Survey</w:t>
      </w:r>
      <w:r w:rsidRPr="000D70BA" w:rsidR="00380C0B">
        <w:rPr>
          <w:color w:val="000000" w:themeColor="text1"/>
        </w:rPr>
        <w:t xml:space="preserve"> of </w:t>
      </w:r>
      <w:r w:rsidRPr="000D70BA" w:rsidR="00184A9E">
        <w:rPr>
          <w:color w:val="000000" w:themeColor="text1"/>
        </w:rPr>
        <w:t>Members</w:t>
      </w:r>
      <w:r w:rsidRPr="000D70BA" w:rsidR="00063D9C">
        <w:rPr>
          <w:color w:val="000000" w:themeColor="text1"/>
        </w:rPr>
        <w:t xml:space="preserve"> of Software Engineering Community </w:t>
      </w:r>
    </w:p>
    <w:p w:rsidRPr="003B032C" w:rsidR="00A76F7E" w:rsidP="003B032C" w:rsidRDefault="00520B36" w14:paraId="08321050" w14:textId="5ED0FFC1">
      <w:pPr>
        <w:pStyle w:val="ListParagraph"/>
        <w:numPr>
          <w:ilvl w:val="0"/>
          <w:numId w:val="16"/>
        </w:numPr>
        <w:spacing w:before="120" w:after="120"/>
        <w:ind w:left="810" w:hanging="450"/>
        <w:contextualSpacing w:val="0"/>
        <w:jc w:val="both"/>
        <w:rPr>
          <w:color w:val="000000" w:themeColor="text1"/>
        </w:rPr>
      </w:pPr>
      <w:r w:rsidRPr="003B032C">
        <w:rPr>
          <w:color w:val="000000" w:themeColor="text1"/>
        </w:rPr>
        <w:t xml:space="preserve">Number of Respondents: </w:t>
      </w:r>
      <w:r w:rsidRPr="003B032C" w:rsidR="001D79E0">
        <w:rPr>
          <w:color w:val="000000" w:themeColor="text1"/>
        </w:rPr>
        <w:t>3</w:t>
      </w:r>
      <w:r w:rsidRPr="003B032C" w:rsidR="004172C9">
        <w:rPr>
          <w:color w:val="000000" w:themeColor="text1"/>
        </w:rPr>
        <w:t>0</w:t>
      </w:r>
      <w:r w:rsidRPr="003B032C" w:rsidR="00380C0B">
        <w:rPr>
          <w:color w:val="000000" w:themeColor="text1"/>
        </w:rPr>
        <w:t>00</w:t>
      </w:r>
    </w:p>
    <w:p w:rsidRPr="003B032C" w:rsidR="00A76F7E" w:rsidP="003B032C" w:rsidRDefault="00A76F7E" w14:paraId="03A8711B" w14:textId="129EE3A7">
      <w:pPr>
        <w:pStyle w:val="ListParagraph"/>
        <w:numPr>
          <w:ilvl w:val="0"/>
          <w:numId w:val="16"/>
        </w:numPr>
        <w:spacing w:before="120" w:after="120"/>
        <w:ind w:left="810" w:hanging="450"/>
        <w:contextualSpacing w:val="0"/>
        <w:jc w:val="both"/>
        <w:rPr>
          <w:color w:val="000000" w:themeColor="text1"/>
        </w:rPr>
      </w:pPr>
      <w:r w:rsidRPr="003B032C">
        <w:rPr>
          <w:color w:val="000000" w:themeColor="text1"/>
        </w:rPr>
        <w:t>Number of Responses Per</w:t>
      </w:r>
      <w:r w:rsidRPr="003B032C" w:rsidR="00520B36">
        <w:rPr>
          <w:color w:val="000000" w:themeColor="text1"/>
        </w:rPr>
        <w:t xml:space="preserve"> Respondent: </w:t>
      </w:r>
      <w:r w:rsidRPr="003B032C" w:rsidR="00F25756">
        <w:rPr>
          <w:color w:val="000000" w:themeColor="text1"/>
        </w:rPr>
        <w:t>1</w:t>
      </w:r>
    </w:p>
    <w:p w:rsidRPr="003B032C" w:rsidR="00A76F7E" w:rsidP="003B032C" w:rsidRDefault="00A76F7E" w14:paraId="7007DA71" w14:textId="42F2710C">
      <w:pPr>
        <w:pStyle w:val="ListParagraph"/>
        <w:numPr>
          <w:ilvl w:val="0"/>
          <w:numId w:val="16"/>
        </w:numPr>
        <w:spacing w:before="120" w:after="120"/>
        <w:ind w:left="810" w:hanging="450"/>
        <w:contextualSpacing w:val="0"/>
        <w:jc w:val="both"/>
        <w:rPr>
          <w:color w:val="000000" w:themeColor="text1"/>
        </w:rPr>
      </w:pPr>
      <w:r w:rsidRPr="003B032C">
        <w:rPr>
          <w:color w:val="000000" w:themeColor="text1"/>
        </w:rPr>
        <w:t>Num</w:t>
      </w:r>
      <w:r w:rsidRPr="003B032C" w:rsidR="00520B36">
        <w:rPr>
          <w:color w:val="000000" w:themeColor="text1"/>
        </w:rPr>
        <w:t>ber of Total Annual Responses:</w:t>
      </w:r>
      <w:r w:rsidR="00257DEB">
        <w:rPr>
          <w:color w:val="000000" w:themeColor="text1"/>
        </w:rPr>
        <w:t>3,000</w:t>
      </w:r>
    </w:p>
    <w:p w:rsidRPr="003B032C" w:rsidR="00A76F7E" w:rsidP="003B032C" w:rsidRDefault="00A76F7E" w14:paraId="785425BF" w14:textId="7C75EE64">
      <w:pPr>
        <w:pStyle w:val="ListParagraph"/>
        <w:numPr>
          <w:ilvl w:val="0"/>
          <w:numId w:val="16"/>
        </w:numPr>
        <w:spacing w:before="120" w:after="120"/>
        <w:ind w:left="810" w:hanging="450"/>
        <w:contextualSpacing w:val="0"/>
        <w:jc w:val="both"/>
        <w:rPr>
          <w:color w:val="000000" w:themeColor="text1"/>
        </w:rPr>
      </w:pPr>
      <w:r w:rsidRPr="003B032C">
        <w:rPr>
          <w:color w:val="000000" w:themeColor="text1"/>
        </w:rPr>
        <w:t>Response Time</w:t>
      </w:r>
      <w:r w:rsidRPr="003B032C" w:rsidR="00520B36">
        <w:rPr>
          <w:color w:val="000000" w:themeColor="text1"/>
        </w:rPr>
        <w:t xml:space="preserve">: </w:t>
      </w:r>
      <w:r w:rsidRPr="003B032C" w:rsidR="0015328F">
        <w:rPr>
          <w:color w:val="000000" w:themeColor="text1"/>
        </w:rPr>
        <w:t>.</w:t>
      </w:r>
      <w:r w:rsidRPr="003B032C" w:rsidR="00AA1ED7">
        <w:rPr>
          <w:color w:val="000000" w:themeColor="text1"/>
        </w:rPr>
        <w:t>25</w:t>
      </w:r>
      <w:r w:rsidRPr="003B032C" w:rsidR="0015328F">
        <w:rPr>
          <w:color w:val="000000" w:themeColor="text1"/>
        </w:rPr>
        <w:t xml:space="preserve"> h</w:t>
      </w:r>
      <w:r w:rsidRPr="003B032C" w:rsidR="001D79E0">
        <w:rPr>
          <w:color w:val="000000" w:themeColor="text1"/>
        </w:rPr>
        <w:t>ours</w:t>
      </w:r>
    </w:p>
    <w:p w:rsidRPr="003B032C" w:rsidR="00A76F7E" w:rsidP="003B032C" w:rsidRDefault="000D70BA" w14:paraId="4F39049A" w14:textId="03D0E5D9">
      <w:pPr>
        <w:pStyle w:val="ListParagraph"/>
        <w:numPr>
          <w:ilvl w:val="0"/>
          <w:numId w:val="16"/>
        </w:numPr>
        <w:spacing w:before="120" w:after="120"/>
        <w:ind w:left="810" w:hanging="450"/>
        <w:contextualSpacing w:val="0"/>
        <w:jc w:val="both"/>
        <w:rPr>
          <w:color w:val="000000" w:themeColor="text1"/>
        </w:rPr>
      </w:pPr>
      <w:r>
        <w:rPr>
          <w:color w:val="000000" w:themeColor="text1"/>
        </w:rPr>
        <w:t>Respondent Burden Hours</w:t>
      </w:r>
      <w:r w:rsidRPr="003B032C" w:rsidR="00520B36">
        <w:rPr>
          <w:color w:val="000000" w:themeColor="text1"/>
        </w:rPr>
        <w:t xml:space="preserve">: </w:t>
      </w:r>
      <w:r w:rsidRPr="003B032C" w:rsidR="00AA1ED7">
        <w:rPr>
          <w:color w:val="000000" w:themeColor="text1"/>
        </w:rPr>
        <w:t>75</w:t>
      </w:r>
      <w:r w:rsidRPr="003B032C" w:rsidR="004172C9">
        <w:rPr>
          <w:color w:val="000000" w:themeColor="text1"/>
        </w:rPr>
        <w:t>0</w:t>
      </w:r>
      <w:r w:rsidRPr="003B032C" w:rsidR="00A77157">
        <w:rPr>
          <w:color w:val="000000" w:themeColor="text1"/>
        </w:rPr>
        <w:t xml:space="preserve"> hours </w:t>
      </w:r>
    </w:p>
    <w:p w:rsidRPr="000D70BA" w:rsidR="005C097E" w:rsidP="003B032C" w:rsidRDefault="005C097E" w14:paraId="4C9AC196" w14:textId="51FA7401">
      <w:pPr>
        <w:pStyle w:val="ListParagraph"/>
        <w:numPr>
          <w:ilvl w:val="0"/>
          <w:numId w:val="17"/>
        </w:numPr>
        <w:spacing w:before="120" w:after="120"/>
        <w:ind w:left="360"/>
        <w:contextualSpacing w:val="0"/>
        <w:jc w:val="both"/>
        <w:rPr>
          <w:color w:val="000000" w:themeColor="text1"/>
        </w:rPr>
      </w:pPr>
      <w:r w:rsidRPr="000D70BA">
        <w:rPr>
          <w:color w:val="000000" w:themeColor="text1"/>
        </w:rPr>
        <w:t xml:space="preserve">Survey of Members of the </w:t>
      </w:r>
      <w:r w:rsidRPr="000D70BA" w:rsidR="004172C9">
        <w:rPr>
          <w:color w:val="000000" w:themeColor="text1"/>
        </w:rPr>
        <w:t>Defense and Aerospace Industry</w:t>
      </w:r>
    </w:p>
    <w:p w:rsidRPr="003B032C" w:rsidR="005C097E" w:rsidP="000D70BA" w:rsidRDefault="005C097E" w14:paraId="46E1CE8F" w14:textId="4DC7063C">
      <w:pPr>
        <w:pStyle w:val="ListParagraph"/>
        <w:numPr>
          <w:ilvl w:val="1"/>
          <w:numId w:val="17"/>
        </w:numPr>
        <w:spacing w:before="120" w:after="120"/>
        <w:ind w:left="720"/>
        <w:contextualSpacing w:val="0"/>
        <w:jc w:val="both"/>
        <w:rPr>
          <w:color w:val="000000" w:themeColor="text1"/>
        </w:rPr>
      </w:pPr>
      <w:r w:rsidRPr="003B032C">
        <w:rPr>
          <w:color w:val="000000" w:themeColor="text1"/>
        </w:rPr>
        <w:t xml:space="preserve">Number of Respondents: </w:t>
      </w:r>
      <w:r w:rsidRPr="003B032C" w:rsidR="00AA1ED7">
        <w:rPr>
          <w:color w:val="000000" w:themeColor="text1"/>
        </w:rPr>
        <w:t>10</w:t>
      </w:r>
      <w:r w:rsidRPr="003B032C">
        <w:rPr>
          <w:color w:val="000000" w:themeColor="text1"/>
        </w:rPr>
        <w:t>00</w:t>
      </w:r>
    </w:p>
    <w:p w:rsidRPr="003B032C" w:rsidR="005C097E" w:rsidP="000D70BA" w:rsidRDefault="005C097E" w14:paraId="20074FE3" w14:textId="79A6F42B">
      <w:pPr>
        <w:pStyle w:val="ListParagraph"/>
        <w:numPr>
          <w:ilvl w:val="1"/>
          <w:numId w:val="17"/>
        </w:numPr>
        <w:spacing w:before="120" w:after="120"/>
        <w:ind w:left="720"/>
        <w:contextualSpacing w:val="0"/>
        <w:jc w:val="both"/>
        <w:rPr>
          <w:color w:val="000000" w:themeColor="text1"/>
        </w:rPr>
      </w:pPr>
      <w:r w:rsidRPr="003B032C">
        <w:rPr>
          <w:color w:val="000000" w:themeColor="text1"/>
        </w:rPr>
        <w:t>Number of Responses Per Respondent: 1</w:t>
      </w:r>
    </w:p>
    <w:p w:rsidRPr="003B032C" w:rsidR="005C097E" w:rsidP="000D70BA" w:rsidRDefault="005C097E" w14:paraId="14F20F88" w14:textId="2B9335AD">
      <w:pPr>
        <w:pStyle w:val="ListParagraph"/>
        <w:numPr>
          <w:ilvl w:val="1"/>
          <w:numId w:val="17"/>
        </w:numPr>
        <w:spacing w:before="120" w:after="120"/>
        <w:ind w:left="720"/>
        <w:contextualSpacing w:val="0"/>
        <w:jc w:val="both"/>
        <w:rPr>
          <w:color w:val="000000" w:themeColor="text1"/>
        </w:rPr>
      </w:pPr>
      <w:r w:rsidRPr="003B032C">
        <w:rPr>
          <w:color w:val="000000" w:themeColor="text1"/>
        </w:rPr>
        <w:t>Number of Total Annual Responses: 1</w:t>
      </w:r>
      <w:r w:rsidR="00257DEB">
        <w:rPr>
          <w:color w:val="000000" w:themeColor="text1"/>
        </w:rPr>
        <w:t>,000</w:t>
      </w:r>
    </w:p>
    <w:p w:rsidRPr="003B032C" w:rsidR="005C097E" w:rsidP="000D70BA" w:rsidRDefault="000D70BA" w14:paraId="0AE9D757" w14:textId="63FF9E75">
      <w:pPr>
        <w:pStyle w:val="ListParagraph"/>
        <w:numPr>
          <w:ilvl w:val="1"/>
          <w:numId w:val="17"/>
        </w:numPr>
        <w:spacing w:before="120" w:after="120"/>
        <w:ind w:left="720"/>
        <w:contextualSpacing w:val="0"/>
        <w:jc w:val="both"/>
        <w:rPr>
          <w:color w:val="000000" w:themeColor="text1"/>
        </w:rPr>
      </w:pPr>
      <w:r>
        <w:rPr>
          <w:color w:val="000000" w:themeColor="text1"/>
        </w:rPr>
        <w:t>Response Time</w:t>
      </w:r>
      <w:r w:rsidRPr="003B032C" w:rsidR="005C097E">
        <w:rPr>
          <w:color w:val="000000" w:themeColor="text1"/>
        </w:rPr>
        <w:t>: .</w:t>
      </w:r>
      <w:r w:rsidRPr="003B032C" w:rsidR="00AA1ED7">
        <w:rPr>
          <w:color w:val="000000" w:themeColor="text1"/>
        </w:rPr>
        <w:t>25</w:t>
      </w:r>
      <w:r w:rsidRPr="003B032C" w:rsidR="005C097E">
        <w:rPr>
          <w:color w:val="000000" w:themeColor="text1"/>
        </w:rPr>
        <w:t xml:space="preserve"> hours</w:t>
      </w:r>
    </w:p>
    <w:p w:rsidRPr="003B032C" w:rsidR="005C097E" w:rsidP="000D70BA" w:rsidRDefault="000D70BA" w14:paraId="79055FD5" w14:textId="135BEA8D">
      <w:pPr>
        <w:pStyle w:val="ListParagraph"/>
        <w:numPr>
          <w:ilvl w:val="1"/>
          <w:numId w:val="17"/>
        </w:numPr>
        <w:spacing w:before="120" w:after="120"/>
        <w:ind w:left="720"/>
        <w:contextualSpacing w:val="0"/>
        <w:jc w:val="both"/>
        <w:rPr>
          <w:color w:val="000000" w:themeColor="text1"/>
        </w:rPr>
      </w:pPr>
      <w:r>
        <w:rPr>
          <w:color w:val="000000" w:themeColor="text1"/>
        </w:rPr>
        <w:t>Respondent Burden Hours</w:t>
      </w:r>
      <w:r w:rsidRPr="003B032C" w:rsidR="005C097E">
        <w:rPr>
          <w:color w:val="000000" w:themeColor="text1"/>
        </w:rPr>
        <w:t xml:space="preserve">: </w:t>
      </w:r>
      <w:r w:rsidRPr="003B032C" w:rsidR="00AA1ED7">
        <w:rPr>
          <w:color w:val="000000" w:themeColor="text1"/>
        </w:rPr>
        <w:t>250</w:t>
      </w:r>
      <w:r w:rsidRPr="003B032C" w:rsidR="005C097E">
        <w:rPr>
          <w:color w:val="000000" w:themeColor="text1"/>
        </w:rPr>
        <w:t xml:space="preserve"> hours</w:t>
      </w:r>
    </w:p>
    <w:p w:rsidRPr="000D70BA" w:rsidR="005677FD" w:rsidP="003B032C" w:rsidRDefault="005677FD" w14:paraId="6422688F" w14:textId="516C8E45">
      <w:pPr>
        <w:pStyle w:val="ListParagraph"/>
        <w:numPr>
          <w:ilvl w:val="0"/>
          <w:numId w:val="17"/>
        </w:numPr>
        <w:spacing w:before="120" w:after="120"/>
        <w:ind w:left="360"/>
        <w:contextualSpacing w:val="0"/>
        <w:jc w:val="both"/>
        <w:rPr>
          <w:color w:val="000000" w:themeColor="text1"/>
        </w:rPr>
      </w:pPr>
      <w:r w:rsidRPr="000D70BA">
        <w:rPr>
          <w:color w:val="000000" w:themeColor="text1"/>
        </w:rPr>
        <w:t>Focus Group</w:t>
      </w:r>
      <w:r w:rsidRPr="000D70BA" w:rsidR="00617D2B">
        <w:rPr>
          <w:color w:val="000000" w:themeColor="text1"/>
        </w:rPr>
        <w:t>s</w:t>
      </w:r>
      <w:r w:rsidRPr="000D70BA">
        <w:rPr>
          <w:color w:val="000000" w:themeColor="text1"/>
        </w:rPr>
        <w:t xml:space="preserve">, Screening Calls </w:t>
      </w:r>
      <w:r w:rsidRPr="000D70BA" w:rsidR="00063D9C">
        <w:rPr>
          <w:color w:val="000000" w:themeColor="text1"/>
        </w:rPr>
        <w:t>with Students</w:t>
      </w:r>
    </w:p>
    <w:p w:rsidRPr="003B032C" w:rsidR="005677FD" w:rsidP="003B032C" w:rsidRDefault="005677FD" w14:paraId="17122419" w14:textId="1BB4B2B4">
      <w:pPr>
        <w:pStyle w:val="ListParagraph"/>
        <w:numPr>
          <w:ilvl w:val="0"/>
          <w:numId w:val="29"/>
        </w:numPr>
        <w:spacing w:before="120" w:after="120"/>
        <w:ind w:left="720"/>
        <w:contextualSpacing w:val="0"/>
        <w:jc w:val="both"/>
        <w:rPr>
          <w:color w:val="000000" w:themeColor="text1"/>
        </w:rPr>
      </w:pPr>
      <w:r w:rsidRPr="003B032C">
        <w:rPr>
          <w:color w:val="000000" w:themeColor="text1"/>
        </w:rPr>
        <w:t xml:space="preserve">Number of Respondents: </w:t>
      </w:r>
      <w:r w:rsidRPr="003B032C" w:rsidR="00063D9C">
        <w:rPr>
          <w:color w:val="000000" w:themeColor="text1"/>
        </w:rPr>
        <w:t>8</w:t>
      </w:r>
      <w:r w:rsidRPr="003B032C">
        <w:rPr>
          <w:color w:val="000000" w:themeColor="text1"/>
        </w:rPr>
        <w:t>0</w:t>
      </w:r>
    </w:p>
    <w:p w:rsidRPr="003B032C" w:rsidR="005677FD" w:rsidP="003B032C" w:rsidRDefault="005677FD" w14:paraId="2DFF8702" w14:textId="77777777">
      <w:pPr>
        <w:pStyle w:val="ListParagraph"/>
        <w:numPr>
          <w:ilvl w:val="0"/>
          <w:numId w:val="29"/>
        </w:numPr>
        <w:spacing w:before="120" w:after="120"/>
        <w:ind w:left="720"/>
        <w:contextualSpacing w:val="0"/>
        <w:jc w:val="both"/>
        <w:rPr>
          <w:color w:val="000000" w:themeColor="text1"/>
        </w:rPr>
      </w:pPr>
      <w:r w:rsidRPr="003B032C">
        <w:rPr>
          <w:color w:val="000000" w:themeColor="text1"/>
        </w:rPr>
        <w:t>Number of Responses Per Respondent: 1</w:t>
      </w:r>
    </w:p>
    <w:p w:rsidRPr="003B032C" w:rsidR="005677FD" w:rsidP="003B032C" w:rsidRDefault="005677FD" w14:paraId="3EEB2CD8" w14:textId="69E7B85E">
      <w:pPr>
        <w:pStyle w:val="ListParagraph"/>
        <w:numPr>
          <w:ilvl w:val="0"/>
          <w:numId w:val="29"/>
        </w:numPr>
        <w:spacing w:before="120" w:after="120"/>
        <w:ind w:left="720"/>
        <w:contextualSpacing w:val="0"/>
        <w:jc w:val="both"/>
        <w:rPr>
          <w:color w:val="000000" w:themeColor="text1"/>
        </w:rPr>
      </w:pPr>
      <w:r w:rsidRPr="003B032C">
        <w:rPr>
          <w:color w:val="000000" w:themeColor="text1"/>
        </w:rPr>
        <w:t xml:space="preserve">Number of Total Annual Responses: </w:t>
      </w:r>
      <w:r w:rsidR="00257DEB">
        <w:rPr>
          <w:color w:val="000000" w:themeColor="text1"/>
        </w:rPr>
        <w:t>80</w:t>
      </w:r>
    </w:p>
    <w:p w:rsidRPr="003B032C" w:rsidR="005677FD" w:rsidP="003B032C" w:rsidRDefault="000D70BA" w14:paraId="5F24417E" w14:textId="3383073A">
      <w:pPr>
        <w:pStyle w:val="ListParagraph"/>
        <w:numPr>
          <w:ilvl w:val="0"/>
          <w:numId w:val="29"/>
        </w:numPr>
        <w:spacing w:before="120" w:after="120"/>
        <w:ind w:left="720"/>
        <w:contextualSpacing w:val="0"/>
        <w:jc w:val="both"/>
        <w:rPr>
          <w:color w:val="000000" w:themeColor="text1"/>
        </w:rPr>
      </w:pPr>
      <w:r>
        <w:rPr>
          <w:color w:val="000000" w:themeColor="text1"/>
        </w:rPr>
        <w:t>Response Time</w:t>
      </w:r>
      <w:r w:rsidRPr="003B032C" w:rsidR="005677FD">
        <w:rPr>
          <w:color w:val="000000" w:themeColor="text1"/>
        </w:rPr>
        <w:t>: .25 hours</w:t>
      </w:r>
    </w:p>
    <w:p w:rsidRPr="003B032C" w:rsidR="005677FD" w:rsidP="003B032C" w:rsidRDefault="000D70BA" w14:paraId="0CF1759D" w14:textId="180C7F80">
      <w:pPr>
        <w:pStyle w:val="ListParagraph"/>
        <w:numPr>
          <w:ilvl w:val="0"/>
          <w:numId w:val="29"/>
        </w:numPr>
        <w:spacing w:before="120" w:after="120"/>
        <w:ind w:left="720"/>
        <w:contextualSpacing w:val="0"/>
        <w:jc w:val="both"/>
        <w:rPr>
          <w:color w:val="000000" w:themeColor="text1"/>
        </w:rPr>
      </w:pPr>
      <w:r>
        <w:rPr>
          <w:color w:val="000000" w:themeColor="text1"/>
        </w:rPr>
        <w:lastRenderedPageBreak/>
        <w:t>Respondent Burden Hours</w:t>
      </w:r>
      <w:r w:rsidRPr="003B032C" w:rsidR="005677FD">
        <w:rPr>
          <w:color w:val="000000" w:themeColor="text1"/>
        </w:rPr>
        <w:t xml:space="preserve">: </w:t>
      </w:r>
      <w:r w:rsidRPr="003B032C" w:rsidR="006A148C">
        <w:rPr>
          <w:color w:val="000000" w:themeColor="text1"/>
        </w:rPr>
        <w:t>20</w:t>
      </w:r>
      <w:r w:rsidRPr="003B032C" w:rsidR="005677FD">
        <w:rPr>
          <w:color w:val="000000" w:themeColor="text1"/>
        </w:rPr>
        <w:t xml:space="preserve"> hours </w:t>
      </w:r>
    </w:p>
    <w:p w:rsidRPr="000D70BA" w:rsidR="00063D9C" w:rsidP="003B032C" w:rsidRDefault="00063D9C" w14:paraId="1691BCD6" w14:textId="437915C4">
      <w:pPr>
        <w:pStyle w:val="ListParagraph"/>
        <w:numPr>
          <w:ilvl w:val="0"/>
          <w:numId w:val="17"/>
        </w:numPr>
        <w:spacing w:before="120" w:after="120"/>
        <w:ind w:left="360"/>
        <w:contextualSpacing w:val="0"/>
        <w:jc w:val="both"/>
        <w:rPr>
          <w:color w:val="000000" w:themeColor="text1"/>
        </w:rPr>
      </w:pPr>
      <w:r w:rsidRPr="000D70BA">
        <w:rPr>
          <w:color w:val="000000" w:themeColor="text1"/>
        </w:rPr>
        <w:t>Focus Group</w:t>
      </w:r>
      <w:r w:rsidRPr="000D70BA" w:rsidR="00617D2B">
        <w:rPr>
          <w:color w:val="000000" w:themeColor="text1"/>
        </w:rPr>
        <w:t>s</w:t>
      </w:r>
      <w:r w:rsidRPr="000D70BA">
        <w:rPr>
          <w:color w:val="000000" w:themeColor="text1"/>
        </w:rPr>
        <w:t xml:space="preserve">, Screening Calls with Members of Software Engineering Community </w:t>
      </w:r>
    </w:p>
    <w:p w:rsidRPr="003B032C" w:rsidR="00063D9C" w:rsidP="000D70BA" w:rsidRDefault="00063D9C" w14:paraId="70062A77" w14:textId="0D392908">
      <w:pPr>
        <w:pStyle w:val="ListParagraph"/>
        <w:numPr>
          <w:ilvl w:val="0"/>
          <w:numId w:val="36"/>
        </w:numPr>
        <w:spacing w:before="120" w:after="120"/>
        <w:ind w:left="720"/>
        <w:contextualSpacing w:val="0"/>
        <w:jc w:val="both"/>
        <w:rPr>
          <w:color w:val="000000" w:themeColor="text1"/>
        </w:rPr>
      </w:pPr>
      <w:r w:rsidRPr="003B032C">
        <w:rPr>
          <w:color w:val="000000" w:themeColor="text1"/>
        </w:rPr>
        <w:t>Number of Respondents: 60</w:t>
      </w:r>
    </w:p>
    <w:p w:rsidRPr="003B032C" w:rsidR="00063D9C" w:rsidP="000D70BA" w:rsidRDefault="00063D9C" w14:paraId="3798176F" w14:textId="77777777">
      <w:pPr>
        <w:pStyle w:val="ListParagraph"/>
        <w:numPr>
          <w:ilvl w:val="0"/>
          <w:numId w:val="36"/>
        </w:numPr>
        <w:spacing w:before="120" w:after="120"/>
        <w:ind w:left="720"/>
        <w:contextualSpacing w:val="0"/>
        <w:jc w:val="both"/>
        <w:rPr>
          <w:color w:val="000000" w:themeColor="text1"/>
        </w:rPr>
      </w:pPr>
      <w:r w:rsidRPr="003B032C">
        <w:rPr>
          <w:color w:val="000000" w:themeColor="text1"/>
        </w:rPr>
        <w:t>Number of Responses Per Respondent: 1</w:t>
      </w:r>
    </w:p>
    <w:p w:rsidRPr="003B032C" w:rsidR="00063D9C" w:rsidP="000D70BA" w:rsidRDefault="00063D9C" w14:paraId="60C7CF12" w14:textId="7998D446">
      <w:pPr>
        <w:pStyle w:val="ListParagraph"/>
        <w:numPr>
          <w:ilvl w:val="0"/>
          <w:numId w:val="36"/>
        </w:numPr>
        <w:spacing w:before="120" w:after="120"/>
        <w:ind w:left="720"/>
        <w:contextualSpacing w:val="0"/>
        <w:jc w:val="both"/>
        <w:rPr>
          <w:color w:val="000000" w:themeColor="text1"/>
        </w:rPr>
      </w:pPr>
      <w:r w:rsidRPr="003B032C">
        <w:rPr>
          <w:color w:val="000000" w:themeColor="text1"/>
        </w:rPr>
        <w:t xml:space="preserve">Number of Total Annual Responses: </w:t>
      </w:r>
      <w:r w:rsidR="00257DEB">
        <w:rPr>
          <w:color w:val="000000" w:themeColor="text1"/>
        </w:rPr>
        <w:t>60</w:t>
      </w:r>
    </w:p>
    <w:p w:rsidRPr="003B032C" w:rsidR="00063D9C" w:rsidP="000D70BA" w:rsidRDefault="000D70BA" w14:paraId="6C5FC5E5" w14:textId="515591E4">
      <w:pPr>
        <w:pStyle w:val="ListParagraph"/>
        <w:numPr>
          <w:ilvl w:val="0"/>
          <w:numId w:val="36"/>
        </w:numPr>
        <w:spacing w:before="120" w:after="120"/>
        <w:ind w:left="720"/>
        <w:contextualSpacing w:val="0"/>
        <w:jc w:val="both"/>
        <w:rPr>
          <w:color w:val="000000" w:themeColor="text1"/>
        </w:rPr>
      </w:pPr>
      <w:r>
        <w:rPr>
          <w:color w:val="000000" w:themeColor="text1"/>
        </w:rPr>
        <w:t>Response Time</w:t>
      </w:r>
      <w:r w:rsidRPr="003B032C" w:rsidR="00063D9C">
        <w:rPr>
          <w:color w:val="000000" w:themeColor="text1"/>
        </w:rPr>
        <w:t>: .25 hours</w:t>
      </w:r>
    </w:p>
    <w:p w:rsidRPr="003B032C" w:rsidR="00063D9C" w:rsidP="000D70BA" w:rsidRDefault="000D70BA" w14:paraId="3137D2A9" w14:textId="1FF2C29B">
      <w:pPr>
        <w:pStyle w:val="ListParagraph"/>
        <w:numPr>
          <w:ilvl w:val="0"/>
          <w:numId w:val="36"/>
        </w:numPr>
        <w:spacing w:before="120" w:after="120"/>
        <w:ind w:left="720"/>
        <w:contextualSpacing w:val="0"/>
        <w:jc w:val="both"/>
        <w:rPr>
          <w:color w:val="000000" w:themeColor="text1"/>
        </w:rPr>
      </w:pPr>
      <w:r>
        <w:rPr>
          <w:color w:val="000000" w:themeColor="text1"/>
        </w:rPr>
        <w:t>Respondent Burden Hours</w:t>
      </w:r>
      <w:r w:rsidRPr="003B032C" w:rsidR="00063D9C">
        <w:rPr>
          <w:color w:val="000000" w:themeColor="text1"/>
        </w:rPr>
        <w:t xml:space="preserve">: </w:t>
      </w:r>
      <w:r w:rsidRPr="003B032C" w:rsidR="006A148C">
        <w:rPr>
          <w:color w:val="000000" w:themeColor="text1"/>
        </w:rPr>
        <w:t>15</w:t>
      </w:r>
      <w:r w:rsidRPr="003B032C" w:rsidR="00063D9C">
        <w:rPr>
          <w:color w:val="000000" w:themeColor="text1"/>
        </w:rPr>
        <w:t xml:space="preserve"> hours </w:t>
      </w:r>
    </w:p>
    <w:p w:rsidRPr="000D70BA" w:rsidR="00380C0B" w:rsidP="003B032C" w:rsidRDefault="00380C0B" w14:paraId="23982294" w14:textId="0002108C">
      <w:pPr>
        <w:pStyle w:val="ListParagraph"/>
        <w:numPr>
          <w:ilvl w:val="0"/>
          <w:numId w:val="17"/>
        </w:numPr>
        <w:spacing w:before="120" w:after="120"/>
        <w:ind w:left="360"/>
        <w:contextualSpacing w:val="0"/>
        <w:jc w:val="both"/>
        <w:rPr>
          <w:color w:val="000000" w:themeColor="text1"/>
        </w:rPr>
      </w:pPr>
      <w:r w:rsidRPr="000D70BA">
        <w:rPr>
          <w:color w:val="000000" w:themeColor="text1"/>
        </w:rPr>
        <w:t>Focus Group</w:t>
      </w:r>
      <w:r w:rsidRPr="000D70BA" w:rsidR="00617D2B">
        <w:rPr>
          <w:color w:val="000000" w:themeColor="text1"/>
        </w:rPr>
        <w:t>s</w:t>
      </w:r>
      <w:r w:rsidRPr="000D70BA">
        <w:rPr>
          <w:color w:val="000000" w:themeColor="text1"/>
        </w:rPr>
        <w:t xml:space="preserve"> with Students</w:t>
      </w:r>
    </w:p>
    <w:p w:rsidRPr="003B032C" w:rsidR="00380C0B" w:rsidP="000D70BA" w:rsidRDefault="00380C0B" w14:paraId="1E7352FF" w14:textId="0C5CFF43">
      <w:pPr>
        <w:pStyle w:val="ListParagraph"/>
        <w:numPr>
          <w:ilvl w:val="0"/>
          <w:numId w:val="37"/>
        </w:numPr>
        <w:spacing w:before="120" w:after="120"/>
        <w:ind w:left="720"/>
        <w:contextualSpacing w:val="0"/>
        <w:jc w:val="both"/>
        <w:rPr>
          <w:color w:val="000000" w:themeColor="text1"/>
        </w:rPr>
      </w:pPr>
      <w:r w:rsidRPr="003B032C">
        <w:rPr>
          <w:color w:val="000000" w:themeColor="text1"/>
        </w:rPr>
        <w:t>Number of Respondents: 40</w:t>
      </w:r>
    </w:p>
    <w:p w:rsidRPr="003B032C" w:rsidR="00380C0B" w:rsidP="000D70BA" w:rsidRDefault="00380C0B" w14:paraId="4943C233" w14:textId="77777777">
      <w:pPr>
        <w:pStyle w:val="ListParagraph"/>
        <w:numPr>
          <w:ilvl w:val="0"/>
          <w:numId w:val="37"/>
        </w:numPr>
        <w:spacing w:before="120" w:after="120"/>
        <w:ind w:left="720"/>
        <w:contextualSpacing w:val="0"/>
        <w:jc w:val="both"/>
        <w:rPr>
          <w:color w:val="000000" w:themeColor="text1"/>
        </w:rPr>
      </w:pPr>
      <w:r w:rsidRPr="003B032C">
        <w:rPr>
          <w:color w:val="000000" w:themeColor="text1"/>
        </w:rPr>
        <w:t>Number of Responses Per Respondent: 1</w:t>
      </w:r>
    </w:p>
    <w:p w:rsidRPr="003B032C" w:rsidR="00380C0B" w:rsidP="000D70BA" w:rsidRDefault="00380C0B" w14:paraId="477DF5E5" w14:textId="7714715F">
      <w:pPr>
        <w:pStyle w:val="ListParagraph"/>
        <w:numPr>
          <w:ilvl w:val="0"/>
          <w:numId w:val="37"/>
        </w:numPr>
        <w:spacing w:before="120" w:after="120"/>
        <w:ind w:left="720"/>
        <w:contextualSpacing w:val="0"/>
        <w:jc w:val="both"/>
        <w:rPr>
          <w:color w:val="000000" w:themeColor="text1"/>
        </w:rPr>
      </w:pPr>
      <w:r w:rsidRPr="003B032C">
        <w:rPr>
          <w:color w:val="000000" w:themeColor="text1"/>
        </w:rPr>
        <w:t xml:space="preserve">Number of Total Annual Responses: </w:t>
      </w:r>
      <w:r w:rsidR="00257DEB">
        <w:rPr>
          <w:color w:val="000000" w:themeColor="text1"/>
        </w:rPr>
        <w:t>40</w:t>
      </w:r>
    </w:p>
    <w:p w:rsidRPr="003B032C" w:rsidR="00380C0B" w:rsidP="000D70BA" w:rsidRDefault="000D70BA" w14:paraId="464F2417" w14:textId="42477363">
      <w:pPr>
        <w:pStyle w:val="ListParagraph"/>
        <w:numPr>
          <w:ilvl w:val="0"/>
          <w:numId w:val="37"/>
        </w:numPr>
        <w:spacing w:before="120" w:after="120"/>
        <w:ind w:left="720"/>
        <w:contextualSpacing w:val="0"/>
        <w:jc w:val="both"/>
        <w:rPr>
          <w:color w:val="000000" w:themeColor="text1"/>
        </w:rPr>
      </w:pPr>
      <w:r>
        <w:rPr>
          <w:color w:val="000000" w:themeColor="text1"/>
        </w:rPr>
        <w:t>Response Time</w:t>
      </w:r>
      <w:r w:rsidRPr="003B032C" w:rsidR="00380C0B">
        <w:rPr>
          <w:color w:val="000000" w:themeColor="text1"/>
        </w:rPr>
        <w:t>: 1.5 hours</w:t>
      </w:r>
    </w:p>
    <w:p w:rsidRPr="003B032C" w:rsidR="00380C0B" w:rsidP="000D70BA" w:rsidRDefault="000D70BA" w14:paraId="501DD599" w14:textId="3465361E">
      <w:pPr>
        <w:pStyle w:val="ListParagraph"/>
        <w:numPr>
          <w:ilvl w:val="0"/>
          <w:numId w:val="37"/>
        </w:numPr>
        <w:spacing w:before="120" w:after="120"/>
        <w:ind w:left="720"/>
        <w:contextualSpacing w:val="0"/>
        <w:jc w:val="both"/>
        <w:rPr>
          <w:color w:val="000000" w:themeColor="text1"/>
        </w:rPr>
      </w:pPr>
      <w:r>
        <w:rPr>
          <w:color w:val="000000" w:themeColor="text1"/>
        </w:rPr>
        <w:t>Respondent Burden Hours</w:t>
      </w:r>
      <w:r w:rsidRPr="003B032C" w:rsidR="00380C0B">
        <w:rPr>
          <w:color w:val="000000" w:themeColor="text1"/>
        </w:rPr>
        <w:t xml:space="preserve">: 60 hours </w:t>
      </w:r>
    </w:p>
    <w:p w:rsidRPr="000D70BA" w:rsidR="00380C0B" w:rsidP="003B032C" w:rsidRDefault="00257DEB" w14:paraId="54D2DD8B" w14:textId="60D6EC9C">
      <w:pPr>
        <w:pStyle w:val="ListParagraph"/>
        <w:numPr>
          <w:ilvl w:val="0"/>
          <w:numId w:val="17"/>
        </w:numPr>
        <w:spacing w:before="120" w:after="120"/>
        <w:ind w:left="360"/>
        <w:contextualSpacing w:val="0"/>
        <w:jc w:val="both"/>
        <w:rPr>
          <w:color w:val="000000" w:themeColor="text1"/>
        </w:rPr>
      </w:pPr>
      <w:r>
        <w:rPr>
          <w:color w:val="000000" w:themeColor="text1"/>
        </w:rPr>
        <w:t xml:space="preserve"> </w:t>
      </w:r>
      <w:r w:rsidRPr="000D70BA" w:rsidR="00380C0B">
        <w:rPr>
          <w:color w:val="000000" w:themeColor="text1"/>
        </w:rPr>
        <w:t>Focus Group</w:t>
      </w:r>
      <w:r w:rsidRPr="000D70BA" w:rsidR="00617D2B">
        <w:rPr>
          <w:color w:val="000000" w:themeColor="text1"/>
        </w:rPr>
        <w:t>s</w:t>
      </w:r>
      <w:r w:rsidRPr="000D70BA" w:rsidR="00380C0B">
        <w:rPr>
          <w:color w:val="000000" w:themeColor="text1"/>
        </w:rPr>
        <w:t xml:space="preserve"> with </w:t>
      </w:r>
      <w:r w:rsidRPr="000D70BA" w:rsidR="00063D9C">
        <w:rPr>
          <w:color w:val="000000" w:themeColor="text1"/>
        </w:rPr>
        <w:t xml:space="preserve">Members of Software Engineering Community </w:t>
      </w:r>
    </w:p>
    <w:p w:rsidRPr="003B032C" w:rsidR="00380C0B" w:rsidP="000D70BA" w:rsidRDefault="00380C0B" w14:paraId="3889F816" w14:textId="3354B5AA">
      <w:pPr>
        <w:pStyle w:val="ListParagraph"/>
        <w:numPr>
          <w:ilvl w:val="0"/>
          <w:numId w:val="38"/>
        </w:numPr>
        <w:spacing w:before="120" w:after="120"/>
        <w:ind w:left="720"/>
        <w:contextualSpacing w:val="0"/>
        <w:jc w:val="both"/>
        <w:rPr>
          <w:color w:val="000000" w:themeColor="text1"/>
        </w:rPr>
      </w:pPr>
      <w:r w:rsidRPr="003B032C">
        <w:rPr>
          <w:color w:val="000000" w:themeColor="text1"/>
        </w:rPr>
        <w:t>Number of Respondents: 30</w:t>
      </w:r>
    </w:p>
    <w:p w:rsidRPr="003B032C" w:rsidR="00380C0B" w:rsidP="000D70BA" w:rsidRDefault="00380C0B" w14:paraId="1FFF2EA0" w14:textId="77777777">
      <w:pPr>
        <w:pStyle w:val="ListParagraph"/>
        <w:numPr>
          <w:ilvl w:val="0"/>
          <w:numId w:val="38"/>
        </w:numPr>
        <w:spacing w:before="120" w:after="120"/>
        <w:ind w:left="720"/>
        <w:contextualSpacing w:val="0"/>
        <w:jc w:val="both"/>
        <w:rPr>
          <w:color w:val="000000" w:themeColor="text1"/>
        </w:rPr>
      </w:pPr>
      <w:r w:rsidRPr="003B032C">
        <w:rPr>
          <w:color w:val="000000" w:themeColor="text1"/>
        </w:rPr>
        <w:t>Number of Responses Per Respondent: 1</w:t>
      </w:r>
    </w:p>
    <w:p w:rsidRPr="003B032C" w:rsidR="00380C0B" w:rsidP="000D70BA" w:rsidRDefault="00380C0B" w14:paraId="1BAC604E" w14:textId="30400B6B">
      <w:pPr>
        <w:pStyle w:val="ListParagraph"/>
        <w:numPr>
          <w:ilvl w:val="0"/>
          <w:numId w:val="38"/>
        </w:numPr>
        <w:spacing w:before="120" w:after="120"/>
        <w:ind w:left="720"/>
        <w:contextualSpacing w:val="0"/>
        <w:jc w:val="both"/>
        <w:rPr>
          <w:color w:val="000000" w:themeColor="text1"/>
        </w:rPr>
      </w:pPr>
      <w:r w:rsidRPr="003B032C">
        <w:rPr>
          <w:color w:val="000000" w:themeColor="text1"/>
        </w:rPr>
        <w:t xml:space="preserve">Number of Total Annual Responses: </w:t>
      </w:r>
      <w:r w:rsidR="00246792">
        <w:rPr>
          <w:color w:val="000000" w:themeColor="text1"/>
        </w:rPr>
        <w:t>30</w:t>
      </w:r>
    </w:p>
    <w:p w:rsidRPr="003B032C" w:rsidR="00380C0B" w:rsidP="000D70BA" w:rsidRDefault="000D70BA" w14:paraId="3EF7624F" w14:textId="06836B08">
      <w:pPr>
        <w:pStyle w:val="ListParagraph"/>
        <w:numPr>
          <w:ilvl w:val="0"/>
          <w:numId w:val="38"/>
        </w:numPr>
        <w:spacing w:before="120" w:after="120"/>
        <w:ind w:left="720"/>
        <w:contextualSpacing w:val="0"/>
        <w:jc w:val="both"/>
        <w:rPr>
          <w:color w:val="000000" w:themeColor="text1"/>
        </w:rPr>
      </w:pPr>
      <w:r>
        <w:rPr>
          <w:color w:val="000000" w:themeColor="text1"/>
        </w:rPr>
        <w:t>Response Time</w:t>
      </w:r>
      <w:r w:rsidRPr="003B032C" w:rsidR="00380C0B">
        <w:rPr>
          <w:color w:val="000000" w:themeColor="text1"/>
        </w:rPr>
        <w:t>: 1.5 hours</w:t>
      </w:r>
    </w:p>
    <w:p w:rsidRPr="003B032C" w:rsidR="00380C0B" w:rsidP="000D70BA" w:rsidRDefault="000D70BA" w14:paraId="3166EE5B" w14:textId="1775FF97">
      <w:pPr>
        <w:pStyle w:val="ListParagraph"/>
        <w:numPr>
          <w:ilvl w:val="0"/>
          <w:numId w:val="38"/>
        </w:numPr>
        <w:spacing w:before="120" w:after="120"/>
        <w:ind w:left="720"/>
        <w:contextualSpacing w:val="0"/>
        <w:jc w:val="both"/>
        <w:rPr>
          <w:color w:val="000000" w:themeColor="text1"/>
        </w:rPr>
      </w:pPr>
      <w:r>
        <w:rPr>
          <w:color w:val="000000" w:themeColor="text1"/>
        </w:rPr>
        <w:t>Respondent Burden Hours</w:t>
      </w:r>
      <w:r w:rsidRPr="003B032C" w:rsidR="00380C0B">
        <w:rPr>
          <w:color w:val="000000" w:themeColor="text1"/>
        </w:rPr>
        <w:t xml:space="preserve">: 45 hours </w:t>
      </w:r>
    </w:p>
    <w:p w:rsidRPr="000D70BA" w:rsidR="00A77157" w:rsidP="003B032C" w:rsidRDefault="00063D9C" w14:paraId="5972574B" w14:textId="1A86383A">
      <w:pPr>
        <w:pStyle w:val="ListParagraph"/>
        <w:numPr>
          <w:ilvl w:val="0"/>
          <w:numId w:val="17"/>
        </w:numPr>
        <w:spacing w:before="120" w:after="120"/>
        <w:ind w:left="360"/>
        <w:contextualSpacing w:val="0"/>
        <w:jc w:val="both"/>
        <w:rPr>
          <w:color w:val="000000" w:themeColor="text1"/>
        </w:rPr>
      </w:pPr>
      <w:r w:rsidRPr="000D70BA">
        <w:rPr>
          <w:color w:val="000000" w:themeColor="text1"/>
        </w:rPr>
        <w:t xml:space="preserve">Total Submission Burden </w:t>
      </w:r>
      <w:r w:rsidRPr="000D70BA" w:rsidR="00105F45">
        <w:rPr>
          <w:color w:val="000000" w:themeColor="text1"/>
        </w:rPr>
        <w:t xml:space="preserve"> </w:t>
      </w:r>
    </w:p>
    <w:p w:rsidRPr="003B032C" w:rsidR="00A77157" w:rsidP="003B032C" w:rsidRDefault="000D70BA" w14:paraId="128BBFCD" w14:textId="70AA8242">
      <w:pPr>
        <w:pStyle w:val="ListParagraph"/>
        <w:numPr>
          <w:ilvl w:val="1"/>
          <w:numId w:val="17"/>
        </w:numPr>
        <w:spacing w:before="120" w:after="120"/>
        <w:ind w:left="720"/>
        <w:contextualSpacing w:val="0"/>
        <w:jc w:val="both"/>
        <w:rPr>
          <w:color w:val="000000" w:themeColor="text1"/>
        </w:rPr>
      </w:pPr>
      <w:r>
        <w:rPr>
          <w:color w:val="000000" w:themeColor="text1"/>
        </w:rPr>
        <w:t>Total Number of Respondents</w:t>
      </w:r>
      <w:r w:rsidRPr="003B032C" w:rsidR="00A77157">
        <w:rPr>
          <w:color w:val="000000" w:themeColor="text1"/>
        </w:rPr>
        <w:t xml:space="preserve">: </w:t>
      </w:r>
      <w:r w:rsidR="00351854">
        <w:rPr>
          <w:color w:val="000000" w:themeColor="text1"/>
        </w:rPr>
        <w:t>4</w:t>
      </w:r>
      <w:r w:rsidRPr="003B032C" w:rsidR="001D79E0">
        <w:rPr>
          <w:color w:val="000000" w:themeColor="text1"/>
        </w:rPr>
        <w:t>,</w:t>
      </w:r>
      <w:r w:rsidRPr="003B032C" w:rsidR="007609E2">
        <w:rPr>
          <w:color w:val="000000" w:themeColor="text1"/>
        </w:rPr>
        <w:t>2</w:t>
      </w:r>
      <w:r w:rsidRPr="003B032C" w:rsidR="00617D2B">
        <w:rPr>
          <w:color w:val="000000" w:themeColor="text1"/>
        </w:rPr>
        <w:t>1</w:t>
      </w:r>
      <w:r w:rsidRPr="003B032C" w:rsidR="001D79E0">
        <w:rPr>
          <w:color w:val="000000" w:themeColor="text1"/>
        </w:rPr>
        <w:t>0</w:t>
      </w:r>
    </w:p>
    <w:p w:rsidRPr="003B032C" w:rsidR="00254DCF" w:rsidP="003B032C" w:rsidRDefault="00254DCF" w14:paraId="1649D000" w14:textId="58541B2E">
      <w:pPr>
        <w:pStyle w:val="ListParagraph"/>
        <w:numPr>
          <w:ilvl w:val="1"/>
          <w:numId w:val="17"/>
        </w:numPr>
        <w:spacing w:before="120" w:after="120"/>
        <w:ind w:left="720"/>
        <w:contextualSpacing w:val="0"/>
        <w:jc w:val="both"/>
        <w:rPr>
          <w:color w:val="000000" w:themeColor="text1"/>
        </w:rPr>
      </w:pPr>
      <w:r w:rsidRPr="003B032C">
        <w:rPr>
          <w:color w:val="000000" w:themeColor="text1"/>
        </w:rPr>
        <w:t xml:space="preserve">Total Number of Annual </w:t>
      </w:r>
      <w:r w:rsidR="000D70BA">
        <w:rPr>
          <w:color w:val="000000" w:themeColor="text1"/>
        </w:rPr>
        <w:t>Responses</w:t>
      </w:r>
      <w:r w:rsidRPr="003B032C" w:rsidR="00520B36">
        <w:rPr>
          <w:color w:val="000000" w:themeColor="text1"/>
        </w:rPr>
        <w:t xml:space="preserve">: </w:t>
      </w:r>
      <w:r w:rsidR="00351854">
        <w:rPr>
          <w:color w:val="000000" w:themeColor="text1"/>
        </w:rPr>
        <w:t>4</w:t>
      </w:r>
      <w:r w:rsidR="00246792">
        <w:rPr>
          <w:color w:val="000000" w:themeColor="text1"/>
        </w:rPr>
        <w:t>,210</w:t>
      </w:r>
    </w:p>
    <w:p w:rsidR="00A77157" w:rsidP="003B032C" w:rsidRDefault="000D70BA" w14:paraId="28BD5024" w14:textId="797C893B">
      <w:pPr>
        <w:pStyle w:val="ListParagraph"/>
        <w:numPr>
          <w:ilvl w:val="1"/>
          <w:numId w:val="17"/>
        </w:numPr>
        <w:spacing w:before="120" w:after="120"/>
        <w:ind w:left="720"/>
        <w:contextualSpacing w:val="0"/>
        <w:jc w:val="both"/>
        <w:rPr>
          <w:color w:val="000000" w:themeColor="text1"/>
        </w:rPr>
      </w:pPr>
      <w:r>
        <w:rPr>
          <w:color w:val="000000" w:themeColor="text1"/>
        </w:rPr>
        <w:t>Total Respondent Burden Hours</w:t>
      </w:r>
      <w:r w:rsidRPr="003B032C" w:rsidR="00520B36">
        <w:rPr>
          <w:color w:val="000000" w:themeColor="text1"/>
        </w:rPr>
        <w:t xml:space="preserve">: </w:t>
      </w:r>
      <w:r w:rsidRPr="003B032C" w:rsidR="001D79E0">
        <w:rPr>
          <w:color w:val="000000" w:themeColor="text1"/>
        </w:rPr>
        <w:t>1</w:t>
      </w:r>
      <w:r w:rsidR="00246792">
        <w:rPr>
          <w:color w:val="000000" w:themeColor="text1"/>
        </w:rPr>
        <w:t>,</w:t>
      </w:r>
      <w:r w:rsidR="00351854">
        <w:rPr>
          <w:color w:val="000000" w:themeColor="text1"/>
        </w:rPr>
        <w:t>14</w:t>
      </w:r>
      <w:r w:rsidRPr="003B032C" w:rsidR="007609E2">
        <w:rPr>
          <w:color w:val="000000" w:themeColor="text1"/>
        </w:rPr>
        <w:t>0</w:t>
      </w:r>
      <w:r w:rsidRPr="003B032C" w:rsidR="00254DCF">
        <w:rPr>
          <w:color w:val="000000" w:themeColor="text1"/>
        </w:rPr>
        <w:t xml:space="preserve"> hours </w:t>
      </w:r>
    </w:p>
    <w:p w:rsidRPr="003B032C" w:rsidR="00257DEB" w:rsidP="00E155DE" w:rsidRDefault="00257DEB" w14:paraId="3DFB2006" w14:textId="77777777">
      <w:pPr>
        <w:pStyle w:val="ListParagraph"/>
        <w:spacing w:before="120" w:after="120"/>
        <w:contextualSpacing w:val="0"/>
        <w:jc w:val="both"/>
        <w:rPr>
          <w:color w:val="000000" w:themeColor="text1"/>
        </w:rPr>
      </w:pPr>
    </w:p>
    <w:p w:rsidRPr="003B032C" w:rsidR="00520B36" w:rsidP="003B032C" w:rsidRDefault="00254DCF" w14:paraId="01B83B24" w14:textId="77777777">
      <w:pPr>
        <w:pStyle w:val="ListParagraph"/>
        <w:numPr>
          <w:ilvl w:val="0"/>
          <w:numId w:val="15"/>
        </w:numPr>
        <w:spacing w:before="120" w:after="120"/>
        <w:ind w:left="360"/>
        <w:contextualSpacing w:val="0"/>
        <w:jc w:val="both"/>
        <w:rPr>
          <w:color w:val="000000" w:themeColor="text1"/>
          <w:u w:val="single"/>
        </w:rPr>
      </w:pPr>
      <w:r w:rsidRPr="003B032C">
        <w:rPr>
          <w:color w:val="000000" w:themeColor="text1"/>
          <w:u w:val="single"/>
        </w:rPr>
        <w:t>Labor Cost of Respondent Burden</w:t>
      </w:r>
    </w:p>
    <w:p w:rsidRPr="000D70BA" w:rsidR="00967716" w:rsidP="003B032C" w:rsidRDefault="00967716" w14:paraId="1C47C7FE" w14:textId="6C689900">
      <w:pPr>
        <w:pStyle w:val="ListParagraph"/>
        <w:numPr>
          <w:ilvl w:val="0"/>
          <w:numId w:val="18"/>
        </w:numPr>
        <w:spacing w:before="120" w:after="120"/>
        <w:contextualSpacing w:val="0"/>
        <w:jc w:val="both"/>
        <w:rPr>
          <w:color w:val="000000" w:themeColor="text1"/>
        </w:rPr>
      </w:pPr>
      <w:r w:rsidRPr="000D70BA">
        <w:rPr>
          <w:color w:val="000000" w:themeColor="text1"/>
        </w:rPr>
        <w:t xml:space="preserve">Survey </w:t>
      </w:r>
      <w:r w:rsidRPr="000D70BA" w:rsidR="00063D9C">
        <w:rPr>
          <w:color w:val="000000" w:themeColor="text1"/>
        </w:rPr>
        <w:t xml:space="preserve">of Members of Software Engineering Community </w:t>
      </w:r>
    </w:p>
    <w:p w:rsidRPr="003B032C" w:rsidR="006F2DF8" w:rsidP="003B032C" w:rsidRDefault="006F2DF8" w14:paraId="3801A870" w14:textId="412904BC">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Num</w:t>
      </w:r>
      <w:r w:rsidRPr="003B032C" w:rsidR="00520B36">
        <w:rPr>
          <w:color w:val="000000" w:themeColor="text1"/>
        </w:rPr>
        <w:t xml:space="preserve">ber of Total Annual Responses: </w:t>
      </w:r>
      <w:r w:rsidRPr="003B032C" w:rsidR="00063D9C">
        <w:rPr>
          <w:color w:val="000000" w:themeColor="text1"/>
        </w:rPr>
        <w:t>3</w:t>
      </w:r>
      <w:r w:rsidRPr="003B032C" w:rsidR="004172C9">
        <w:rPr>
          <w:color w:val="000000" w:themeColor="text1"/>
        </w:rPr>
        <w:t>0</w:t>
      </w:r>
      <w:r w:rsidRPr="003B032C" w:rsidR="00063D9C">
        <w:rPr>
          <w:color w:val="000000" w:themeColor="text1"/>
        </w:rPr>
        <w:t>00</w:t>
      </w:r>
    </w:p>
    <w:p w:rsidRPr="003B032C" w:rsidR="006F2DF8" w:rsidP="003B032C" w:rsidRDefault="000D70BA" w14:paraId="32A7A132" w14:textId="2DCCA19E">
      <w:pPr>
        <w:pStyle w:val="ListParagraph"/>
        <w:numPr>
          <w:ilvl w:val="1"/>
          <w:numId w:val="18"/>
        </w:numPr>
        <w:spacing w:before="120" w:after="120"/>
        <w:ind w:left="810" w:hanging="450"/>
        <w:contextualSpacing w:val="0"/>
        <w:jc w:val="both"/>
        <w:rPr>
          <w:color w:val="000000" w:themeColor="text1"/>
        </w:rPr>
      </w:pPr>
      <w:r>
        <w:rPr>
          <w:color w:val="000000" w:themeColor="text1"/>
        </w:rPr>
        <w:t>Response Time</w:t>
      </w:r>
      <w:r w:rsidRPr="003B032C" w:rsidR="00520B36">
        <w:rPr>
          <w:color w:val="000000" w:themeColor="text1"/>
        </w:rPr>
        <w:t xml:space="preserve">: </w:t>
      </w:r>
      <w:r w:rsidRPr="003B032C" w:rsidR="00063D9C">
        <w:rPr>
          <w:color w:val="000000" w:themeColor="text1"/>
        </w:rPr>
        <w:t>.</w:t>
      </w:r>
      <w:r w:rsidRPr="003B032C" w:rsidR="007609E2">
        <w:rPr>
          <w:color w:val="000000" w:themeColor="text1"/>
        </w:rPr>
        <w:t>25</w:t>
      </w:r>
      <w:r w:rsidRPr="003B032C" w:rsidR="00063D9C">
        <w:rPr>
          <w:color w:val="000000" w:themeColor="text1"/>
        </w:rPr>
        <w:t xml:space="preserve"> hours</w:t>
      </w:r>
    </w:p>
    <w:p w:rsidRPr="003B032C" w:rsidR="006F2DF8" w:rsidP="003B032C" w:rsidRDefault="006F2DF8" w14:paraId="63DFC0D8" w14:textId="41C1D6FC">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Respondent Hourly Wage: $</w:t>
      </w:r>
      <w:r w:rsidRPr="003B032C" w:rsidR="00676AD4">
        <w:rPr>
          <w:color w:val="000000" w:themeColor="text1"/>
        </w:rPr>
        <w:t>50.23</w:t>
      </w:r>
    </w:p>
    <w:p w:rsidRPr="003B032C" w:rsidR="006F2DF8" w:rsidP="003B032C" w:rsidRDefault="000D70BA" w14:paraId="19F61BD4" w14:textId="253E0659">
      <w:pPr>
        <w:pStyle w:val="ListParagraph"/>
        <w:numPr>
          <w:ilvl w:val="1"/>
          <w:numId w:val="18"/>
        </w:numPr>
        <w:spacing w:before="120" w:after="120"/>
        <w:ind w:left="810" w:hanging="450"/>
        <w:contextualSpacing w:val="0"/>
        <w:jc w:val="both"/>
        <w:rPr>
          <w:color w:val="000000" w:themeColor="text1"/>
        </w:rPr>
      </w:pPr>
      <w:r>
        <w:rPr>
          <w:color w:val="000000" w:themeColor="text1"/>
        </w:rPr>
        <w:t>Labor Burden per Response</w:t>
      </w:r>
      <w:r w:rsidRPr="003B032C" w:rsidR="006F2DF8">
        <w:rPr>
          <w:color w:val="000000" w:themeColor="text1"/>
        </w:rPr>
        <w:t>: $</w:t>
      </w:r>
      <w:r w:rsidRPr="003B032C" w:rsidR="00676AD4">
        <w:rPr>
          <w:color w:val="000000" w:themeColor="text1"/>
        </w:rPr>
        <w:t>1</w:t>
      </w:r>
      <w:r w:rsidRPr="003B032C" w:rsidR="007609E2">
        <w:rPr>
          <w:color w:val="000000" w:themeColor="text1"/>
        </w:rPr>
        <w:t>2</w:t>
      </w:r>
      <w:r w:rsidRPr="003B032C" w:rsidR="00676AD4">
        <w:rPr>
          <w:color w:val="000000" w:themeColor="text1"/>
        </w:rPr>
        <w:t>.5</w:t>
      </w:r>
      <w:r w:rsidRPr="003B032C" w:rsidR="007609E2">
        <w:rPr>
          <w:color w:val="000000" w:themeColor="text1"/>
        </w:rPr>
        <w:t>6</w:t>
      </w:r>
    </w:p>
    <w:p w:rsidRPr="003B032C" w:rsidR="006F2DF8" w:rsidP="003B032C" w:rsidRDefault="000D70BA" w14:paraId="11964313" w14:textId="52C756A8">
      <w:pPr>
        <w:pStyle w:val="ListParagraph"/>
        <w:numPr>
          <w:ilvl w:val="1"/>
          <w:numId w:val="18"/>
        </w:numPr>
        <w:spacing w:before="120" w:after="120"/>
        <w:ind w:left="810" w:hanging="450"/>
        <w:contextualSpacing w:val="0"/>
        <w:jc w:val="both"/>
        <w:rPr>
          <w:color w:val="000000" w:themeColor="text1"/>
        </w:rPr>
      </w:pPr>
      <w:r>
        <w:rPr>
          <w:color w:val="000000" w:themeColor="text1"/>
        </w:rPr>
        <w:t>Total Labor Burden</w:t>
      </w:r>
      <w:r w:rsidRPr="003B032C" w:rsidR="00520B36">
        <w:rPr>
          <w:color w:val="000000" w:themeColor="text1"/>
        </w:rPr>
        <w:t>: $</w:t>
      </w:r>
      <w:r w:rsidRPr="003B032C" w:rsidR="007609E2">
        <w:rPr>
          <w:color w:val="000000" w:themeColor="text1"/>
        </w:rPr>
        <w:t>37,672.50</w:t>
      </w:r>
    </w:p>
    <w:p w:rsidRPr="000D70BA" w:rsidR="000D3576" w:rsidP="003B032C" w:rsidRDefault="000D3576" w14:paraId="15642A4F" w14:textId="309C2178">
      <w:pPr>
        <w:pStyle w:val="ListParagraph"/>
        <w:numPr>
          <w:ilvl w:val="0"/>
          <w:numId w:val="18"/>
        </w:numPr>
        <w:spacing w:before="120" w:after="120"/>
        <w:contextualSpacing w:val="0"/>
        <w:jc w:val="both"/>
        <w:rPr>
          <w:color w:val="000000" w:themeColor="text1"/>
        </w:rPr>
      </w:pPr>
      <w:r w:rsidRPr="000D70BA">
        <w:rPr>
          <w:color w:val="000000" w:themeColor="text1"/>
        </w:rPr>
        <w:t xml:space="preserve">Survey of Members of </w:t>
      </w:r>
      <w:r w:rsidRPr="000D70BA" w:rsidR="007609E2">
        <w:rPr>
          <w:color w:val="000000" w:themeColor="text1"/>
        </w:rPr>
        <w:t xml:space="preserve">Defense and </w:t>
      </w:r>
      <w:r w:rsidRPr="000D70BA">
        <w:rPr>
          <w:color w:val="000000" w:themeColor="text1"/>
        </w:rPr>
        <w:t>Aero</w:t>
      </w:r>
      <w:r w:rsidRPr="000D70BA" w:rsidR="007609E2">
        <w:rPr>
          <w:color w:val="000000" w:themeColor="text1"/>
        </w:rPr>
        <w:t>space Industry</w:t>
      </w:r>
    </w:p>
    <w:p w:rsidRPr="003B032C" w:rsidR="0040436D" w:rsidP="003B032C" w:rsidRDefault="0040436D" w14:paraId="2DD659B5" w14:textId="36C0BB35">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 xml:space="preserve">Number of Total Annual Responses: </w:t>
      </w:r>
      <w:r w:rsidRPr="003B032C" w:rsidR="007609E2">
        <w:rPr>
          <w:color w:val="000000" w:themeColor="text1"/>
        </w:rPr>
        <w:t>10</w:t>
      </w:r>
      <w:r w:rsidRPr="003B032C">
        <w:rPr>
          <w:color w:val="000000" w:themeColor="text1"/>
        </w:rPr>
        <w:t>00</w:t>
      </w:r>
    </w:p>
    <w:p w:rsidRPr="003B032C" w:rsidR="0040436D" w:rsidP="003B032C" w:rsidRDefault="000D70BA" w14:paraId="133C34F8" w14:textId="049A0E2A">
      <w:pPr>
        <w:pStyle w:val="ListParagraph"/>
        <w:numPr>
          <w:ilvl w:val="1"/>
          <w:numId w:val="18"/>
        </w:numPr>
        <w:spacing w:before="120" w:after="120"/>
        <w:ind w:left="810" w:hanging="450"/>
        <w:contextualSpacing w:val="0"/>
        <w:jc w:val="both"/>
        <w:rPr>
          <w:color w:val="000000" w:themeColor="text1"/>
        </w:rPr>
      </w:pPr>
      <w:r>
        <w:rPr>
          <w:color w:val="000000" w:themeColor="text1"/>
        </w:rPr>
        <w:t>Response Time</w:t>
      </w:r>
      <w:r w:rsidRPr="003B032C" w:rsidR="0040436D">
        <w:rPr>
          <w:color w:val="000000" w:themeColor="text1"/>
        </w:rPr>
        <w:t>: .</w:t>
      </w:r>
      <w:r w:rsidRPr="003B032C" w:rsidR="007609E2">
        <w:rPr>
          <w:color w:val="000000" w:themeColor="text1"/>
        </w:rPr>
        <w:t>25</w:t>
      </w:r>
      <w:r w:rsidRPr="003B032C" w:rsidR="0040436D">
        <w:rPr>
          <w:color w:val="000000" w:themeColor="text1"/>
        </w:rPr>
        <w:t xml:space="preserve"> hours</w:t>
      </w:r>
    </w:p>
    <w:p w:rsidRPr="003B032C" w:rsidR="0040436D" w:rsidP="003B032C" w:rsidRDefault="0040436D" w14:paraId="07C8DB20" w14:textId="3AE8C3D6">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lastRenderedPageBreak/>
        <w:t xml:space="preserve">Respondent Hourly Wage: </w:t>
      </w:r>
      <w:r w:rsidRPr="003B032C" w:rsidR="004172C9">
        <w:rPr>
          <w:color w:val="000000" w:themeColor="text1"/>
        </w:rPr>
        <w:t>$50.23</w:t>
      </w:r>
    </w:p>
    <w:p w:rsidRPr="003B032C" w:rsidR="0040436D" w:rsidP="003B032C" w:rsidRDefault="000D70BA" w14:paraId="3F8B039C" w14:textId="449045C2">
      <w:pPr>
        <w:pStyle w:val="ListParagraph"/>
        <w:numPr>
          <w:ilvl w:val="1"/>
          <w:numId w:val="18"/>
        </w:numPr>
        <w:spacing w:before="120" w:after="120"/>
        <w:ind w:left="810" w:hanging="450"/>
        <w:contextualSpacing w:val="0"/>
        <w:jc w:val="both"/>
        <w:rPr>
          <w:color w:val="000000" w:themeColor="text1"/>
        </w:rPr>
      </w:pPr>
      <w:r>
        <w:rPr>
          <w:color w:val="000000" w:themeColor="text1"/>
        </w:rPr>
        <w:t>Labor Burden per Response</w:t>
      </w:r>
      <w:r w:rsidRPr="003B032C" w:rsidR="0040436D">
        <w:rPr>
          <w:color w:val="000000" w:themeColor="text1"/>
        </w:rPr>
        <w:t xml:space="preserve">: </w:t>
      </w:r>
      <w:r w:rsidRPr="003B032C" w:rsidR="004172C9">
        <w:rPr>
          <w:color w:val="000000" w:themeColor="text1"/>
        </w:rPr>
        <w:t>$1</w:t>
      </w:r>
      <w:r w:rsidRPr="003B032C" w:rsidR="00C23472">
        <w:rPr>
          <w:color w:val="000000" w:themeColor="text1"/>
        </w:rPr>
        <w:t>2</w:t>
      </w:r>
      <w:r w:rsidRPr="003B032C" w:rsidR="004172C9">
        <w:rPr>
          <w:color w:val="000000" w:themeColor="text1"/>
        </w:rPr>
        <w:t>.5</w:t>
      </w:r>
      <w:r w:rsidRPr="003B032C" w:rsidR="00C23472">
        <w:rPr>
          <w:color w:val="000000" w:themeColor="text1"/>
        </w:rPr>
        <w:t>6</w:t>
      </w:r>
    </w:p>
    <w:p w:rsidRPr="000D70BA" w:rsidR="0040436D" w:rsidP="003B032C" w:rsidRDefault="000D70BA" w14:paraId="492BBBF4" w14:textId="5B7C1612">
      <w:pPr>
        <w:pStyle w:val="ListParagraph"/>
        <w:numPr>
          <w:ilvl w:val="1"/>
          <w:numId w:val="18"/>
        </w:numPr>
        <w:spacing w:before="120" w:after="120"/>
        <w:ind w:left="810" w:hanging="450"/>
        <w:contextualSpacing w:val="0"/>
        <w:jc w:val="both"/>
        <w:rPr>
          <w:color w:val="000000" w:themeColor="text1"/>
        </w:rPr>
      </w:pPr>
      <w:r w:rsidRPr="000D70BA">
        <w:rPr>
          <w:color w:val="000000" w:themeColor="text1"/>
        </w:rPr>
        <w:t>Total Labor Burden</w:t>
      </w:r>
      <w:r w:rsidRPr="000D70BA" w:rsidR="001F17A4">
        <w:rPr>
          <w:color w:val="000000" w:themeColor="text1"/>
        </w:rPr>
        <w:t>: $1</w:t>
      </w:r>
      <w:r w:rsidRPr="000D70BA" w:rsidR="00C23472">
        <w:rPr>
          <w:color w:val="000000" w:themeColor="text1"/>
        </w:rPr>
        <w:t>2</w:t>
      </w:r>
      <w:r w:rsidRPr="000D70BA" w:rsidR="001F17A4">
        <w:rPr>
          <w:color w:val="000000" w:themeColor="text1"/>
        </w:rPr>
        <w:t>,</w:t>
      </w:r>
      <w:r w:rsidRPr="000D70BA" w:rsidR="00C23472">
        <w:rPr>
          <w:color w:val="000000" w:themeColor="text1"/>
        </w:rPr>
        <w:t>557.50</w:t>
      </w:r>
    </w:p>
    <w:p w:rsidRPr="000D70BA" w:rsidR="00063D9C" w:rsidP="003B032C" w:rsidRDefault="00063D9C" w14:paraId="48BCAC70" w14:textId="00C7B37E">
      <w:pPr>
        <w:pStyle w:val="ListParagraph"/>
        <w:numPr>
          <w:ilvl w:val="0"/>
          <w:numId w:val="18"/>
        </w:numPr>
        <w:spacing w:before="120" w:after="120"/>
        <w:contextualSpacing w:val="0"/>
        <w:jc w:val="both"/>
        <w:rPr>
          <w:color w:val="000000" w:themeColor="text1"/>
        </w:rPr>
      </w:pPr>
      <w:r w:rsidRPr="000D70BA">
        <w:rPr>
          <w:color w:val="000000" w:themeColor="text1"/>
        </w:rPr>
        <w:t>Focus Group</w:t>
      </w:r>
      <w:r w:rsidRPr="000D70BA" w:rsidR="00617D2B">
        <w:rPr>
          <w:color w:val="000000" w:themeColor="text1"/>
        </w:rPr>
        <w:t>s</w:t>
      </w:r>
      <w:r w:rsidRPr="000D70BA">
        <w:rPr>
          <w:color w:val="000000" w:themeColor="text1"/>
        </w:rPr>
        <w:t xml:space="preserve">, Screening Calls </w:t>
      </w:r>
      <w:r w:rsidRPr="000D70BA" w:rsidR="00617D2B">
        <w:rPr>
          <w:color w:val="000000" w:themeColor="text1"/>
        </w:rPr>
        <w:t>with Students</w:t>
      </w:r>
    </w:p>
    <w:p w:rsidRPr="003B032C" w:rsidR="00063D9C" w:rsidP="003B032C" w:rsidRDefault="00063D9C" w14:paraId="09302353" w14:textId="1B4CCFD0">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 xml:space="preserve">Number of Total Annual Responses: </w:t>
      </w:r>
      <w:r w:rsidRPr="003B032C" w:rsidR="00617D2B">
        <w:rPr>
          <w:color w:val="000000" w:themeColor="text1"/>
        </w:rPr>
        <w:t>80</w:t>
      </w:r>
    </w:p>
    <w:p w:rsidRPr="003B032C" w:rsidR="00063D9C" w:rsidP="003B032C" w:rsidRDefault="000D70BA" w14:paraId="16C7EA71" w14:textId="341F168D">
      <w:pPr>
        <w:pStyle w:val="ListParagraph"/>
        <w:numPr>
          <w:ilvl w:val="1"/>
          <w:numId w:val="18"/>
        </w:numPr>
        <w:spacing w:before="120" w:after="120"/>
        <w:ind w:left="810" w:hanging="450"/>
        <w:contextualSpacing w:val="0"/>
        <w:jc w:val="both"/>
        <w:rPr>
          <w:color w:val="000000" w:themeColor="text1"/>
        </w:rPr>
      </w:pPr>
      <w:r>
        <w:rPr>
          <w:color w:val="000000" w:themeColor="text1"/>
        </w:rPr>
        <w:t>Response Time</w:t>
      </w:r>
      <w:r w:rsidRPr="003B032C" w:rsidR="00063D9C">
        <w:rPr>
          <w:color w:val="000000" w:themeColor="text1"/>
        </w:rPr>
        <w:t>: .</w:t>
      </w:r>
      <w:r w:rsidRPr="003B032C" w:rsidR="00617D2B">
        <w:rPr>
          <w:color w:val="000000" w:themeColor="text1"/>
        </w:rPr>
        <w:t>25 hours</w:t>
      </w:r>
    </w:p>
    <w:p w:rsidRPr="003B032C" w:rsidR="00676AD4" w:rsidP="003B032C" w:rsidRDefault="00063D9C" w14:paraId="4BEF0285" w14:textId="77777777">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 xml:space="preserve">Respondent Hourly Wage: </w:t>
      </w:r>
      <w:r w:rsidRPr="003B032C" w:rsidR="00676AD4">
        <w:rPr>
          <w:color w:val="000000" w:themeColor="text1"/>
        </w:rPr>
        <w:t>$24.98</w:t>
      </w:r>
    </w:p>
    <w:p w:rsidRPr="003B032C" w:rsidR="00063D9C" w:rsidP="003B032C" w:rsidRDefault="000D70BA" w14:paraId="6C505936" w14:textId="747B717C">
      <w:pPr>
        <w:pStyle w:val="ListParagraph"/>
        <w:numPr>
          <w:ilvl w:val="1"/>
          <w:numId w:val="18"/>
        </w:numPr>
        <w:spacing w:before="120" w:after="120"/>
        <w:ind w:left="810" w:hanging="450"/>
        <w:contextualSpacing w:val="0"/>
        <w:jc w:val="both"/>
        <w:rPr>
          <w:color w:val="000000" w:themeColor="text1"/>
        </w:rPr>
      </w:pPr>
      <w:r>
        <w:rPr>
          <w:color w:val="000000" w:themeColor="text1"/>
        </w:rPr>
        <w:t>Labor Burden per Response</w:t>
      </w:r>
      <w:r w:rsidRPr="003B032C" w:rsidR="00063D9C">
        <w:rPr>
          <w:color w:val="000000" w:themeColor="text1"/>
        </w:rPr>
        <w:t>: $</w:t>
      </w:r>
      <w:r w:rsidRPr="003B032C" w:rsidR="00676AD4">
        <w:rPr>
          <w:color w:val="000000" w:themeColor="text1"/>
        </w:rPr>
        <w:t>6.25</w:t>
      </w:r>
    </w:p>
    <w:p w:rsidRPr="003B032C" w:rsidR="00063D9C" w:rsidP="003B032C" w:rsidRDefault="000D70BA" w14:paraId="617B6387" w14:textId="53E5FC99">
      <w:pPr>
        <w:pStyle w:val="ListParagraph"/>
        <w:numPr>
          <w:ilvl w:val="1"/>
          <w:numId w:val="18"/>
        </w:numPr>
        <w:spacing w:before="120" w:after="120"/>
        <w:ind w:left="810" w:hanging="450"/>
        <w:contextualSpacing w:val="0"/>
        <w:jc w:val="both"/>
        <w:rPr>
          <w:color w:val="000000" w:themeColor="text1"/>
        </w:rPr>
      </w:pPr>
      <w:r>
        <w:rPr>
          <w:color w:val="000000" w:themeColor="text1"/>
        </w:rPr>
        <w:t>Total Labor Burden</w:t>
      </w:r>
      <w:r w:rsidRPr="003B032C" w:rsidR="00063D9C">
        <w:rPr>
          <w:color w:val="000000" w:themeColor="text1"/>
        </w:rPr>
        <w:t>: $</w:t>
      </w:r>
      <w:r w:rsidR="00246792">
        <w:rPr>
          <w:color w:val="000000" w:themeColor="text1"/>
        </w:rPr>
        <w:t>499.60</w:t>
      </w:r>
    </w:p>
    <w:p w:rsidRPr="000D70BA" w:rsidR="00617D2B" w:rsidP="003B032C" w:rsidRDefault="00617D2B" w14:paraId="02966C2E" w14:textId="4CDD2C5D">
      <w:pPr>
        <w:pStyle w:val="ListParagraph"/>
        <w:numPr>
          <w:ilvl w:val="0"/>
          <w:numId w:val="18"/>
        </w:numPr>
        <w:spacing w:before="120" w:after="120"/>
        <w:contextualSpacing w:val="0"/>
        <w:jc w:val="both"/>
        <w:rPr>
          <w:color w:val="000000" w:themeColor="text1"/>
        </w:rPr>
      </w:pPr>
      <w:r w:rsidRPr="000D70BA">
        <w:rPr>
          <w:color w:val="000000" w:themeColor="text1"/>
        </w:rPr>
        <w:t>Focus Groups, Screening Calls with Members of Software Engineering Community</w:t>
      </w:r>
    </w:p>
    <w:p w:rsidRPr="003B032C" w:rsidR="00617D2B" w:rsidP="003B032C" w:rsidRDefault="00617D2B" w14:paraId="5FC0D84E" w14:textId="25B1A460">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Number of Total Annual Responses: 60</w:t>
      </w:r>
    </w:p>
    <w:p w:rsidRPr="003B032C" w:rsidR="00617D2B" w:rsidP="003B032C" w:rsidRDefault="000D70BA" w14:paraId="04372001" w14:textId="564CCCA2">
      <w:pPr>
        <w:pStyle w:val="ListParagraph"/>
        <w:numPr>
          <w:ilvl w:val="1"/>
          <w:numId w:val="18"/>
        </w:numPr>
        <w:spacing w:before="120" w:after="120"/>
        <w:ind w:left="810" w:hanging="450"/>
        <w:contextualSpacing w:val="0"/>
        <w:jc w:val="both"/>
        <w:rPr>
          <w:color w:val="000000" w:themeColor="text1"/>
        </w:rPr>
      </w:pPr>
      <w:r>
        <w:rPr>
          <w:color w:val="000000" w:themeColor="text1"/>
        </w:rPr>
        <w:t>Response Time</w:t>
      </w:r>
      <w:r w:rsidRPr="003B032C" w:rsidR="00617D2B">
        <w:rPr>
          <w:color w:val="000000" w:themeColor="text1"/>
        </w:rPr>
        <w:t>: .25 hours</w:t>
      </w:r>
    </w:p>
    <w:p w:rsidRPr="003B032C" w:rsidR="00617D2B" w:rsidP="003B032C" w:rsidRDefault="00617D2B" w14:paraId="51D36D8D" w14:textId="569E1089">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 xml:space="preserve">Respondent Hourly Wage: </w:t>
      </w:r>
      <w:r w:rsidRPr="003B032C" w:rsidR="00676AD4">
        <w:rPr>
          <w:color w:val="000000" w:themeColor="text1"/>
        </w:rPr>
        <w:t>$50.23</w:t>
      </w:r>
    </w:p>
    <w:p w:rsidRPr="003B032C" w:rsidR="00617D2B" w:rsidP="003B032C" w:rsidRDefault="000D70BA" w14:paraId="371E93FD" w14:textId="661B9D52">
      <w:pPr>
        <w:pStyle w:val="ListParagraph"/>
        <w:numPr>
          <w:ilvl w:val="1"/>
          <w:numId w:val="18"/>
        </w:numPr>
        <w:spacing w:before="120" w:after="120"/>
        <w:ind w:left="810" w:hanging="450"/>
        <w:contextualSpacing w:val="0"/>
        <w:jc w:val="both"/>
        <w:rPr>
          <w:color w:val="000000" w:themeColor="text1"/>
        </w:rPr>
      </w:pPr>
      <w:r>
        <w:rPr>
          <w:color w:val="000000" w:themeColor="text1"/>
        </w:rPr>
        <w:t>Labor Burden per Response</w:t>
      </w:r>
      <w:r w:rsidRPr="003B032C" w:rsidR="00617D2B">
        <w:rPr>
          <w:color w:val="000000" w:themeColor="text1"/>
        </w:rPr>
        <w:t>: $</w:t>
      </w:r>
      <w:r w:rsidRPr="003B032C" w:rsidR="00676AD4">
        <w:rPr>
          <w:color w:val="000000" w:themeColor="text1"/>
        </w:rPr>
        <w:t>12.56</w:t>
      </w:r>
    </w:p>
    <w:p w:rsidRPr="003B032C" w:rsidR="00617D2B" w:rsidP="003B032C" w:rsidRDefault="000D70BA" w14:paraId="2B201B9E" w14:textId="11BB5B77">
      <w:pPr>
        <w:pStyle w:val="ListParagraph"/>
        <w:numPr>
          <w:ilvl w:val="1"/>
          <w:numId w:val="18"/>
        </w:numPr>
        <w:spacing w:before="120" w:after="120"/>
        <w:ind w:left="810" w:hanging="450"/>
        <w:contextualSpacing w:val="0"/>
        <w:jc w:val="both"/>
        <w:rPr>
          <w:color w:val="000000" w:themeColor="text1"/>
        </w:rPr>
      </w:pPr>
      <w:r>
        <w:rPr>
          <w:color w:val="000000" w:themeColor="text1"/>
        </w:rPr>
        <w:t>Total Labor Burden</w:t>
      </w:r>
      <w:r w:rsidRPr="003B032C" w:rsidR="00617D2B">
        <w:rPr>
          <w:color w:val="000000" w:themeColor="text1"/>
        </w:rPr>
        <w:t>: $</w:t>
      </w:r>
      <w:r w:rsidRPr="003B032C" w:rsidR="00144B3A">
        <w:rPr>
          <w:color w:val="000000" w:themeColor="text1"/>
        </w:rPr>
        <w:t>753.60</w:t>
      </w:r>
    </w:p>
    <w:p w:rsidRPr="000D70BA" w:rsidR="00617D2B" w:rsidP="003B032C" w:rsidRDefault="00617D2B" w14:paraId="12120EE6" w14:textId="6B3CA065">
      <w:pPr>
        <w:pStyle w:val="ListParagraph"/>
        <w:numPr>
          <w:ilvl w:val="0"/>
          <w:numId w:val="18"/>
        </w:numPr>
        <w:spacing w:before="120" w:after="120"/>
        <w:contextualSpacing w:val="0"/>
        <w:jc w:val="both"/>
        <w:rPr>
          <w:color w:val="000000" w:themeColor="text1"/>
        </w:rPr>
      </w:pPr>
      <w:r w:rsidRPr="000D70BA">
        <w:rPr>
          <w:color w:val="000000" w:themeColor="text1"/>
        </w:rPr>
        <w:t>Focus Groups with Students</w:t>
      </w:r>
    </w:p>
    <w:p w:rsidRPr="003B032C" w:rsidR="00617D2B" w:rsidP="003B032C" w:rsidRDefault="00617D2B" w14:paraId="59D24D64" w14:textId="226277DD">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Number of Total Annual Responses: 40</w:t>
      </w:r>
    </w:p>
    <w:p w:rsidRPr="003B032C" w:rsidR="00617D2B" w:rsidP="003B032C" w:rsidRDefault="003C7825" w14:paraId="73EFEC3D" w14:textId="32313556">
      <w:pPr>
        <w:pStyle w:val="ListParagraph"/>
        <w:numPr>
          <w:ilvl w:val="1"/>
          <w:numId w:val="18"/>
        </w:numPr>
        <w:spacing w:before="120" w:after="120"/>
        <w:ind w:left="810" w:hanging="450"/>
        <w:contextualSpacing w:val="0"/>
        <w:jc w:val="both"/>
        <w:rPr>
          <w:color w:val="000000" w:themeColor="text1"/>
        </w:rPr>
      </w:pPr>
      <w:r>
        <w:rPr>
          <w:color w:val="000000" w:themeColor="text1"/>
        </w:rPr>
        <w:t>Response Time</w:t>
      </w:r>
      <w:r w:rsidRPr="003B032C" w:rsidR="00617D2B">
        <w:rPr>
          <w:color w:val="000000" w:themeColor="text1"/>
        </w:rPr>
        <w:t>: 1.5 hours</w:t>
      </w:r>
    </w:p>
    <w:p w:rsidRPr="003B032C" w:rsidR="00617D2B" w:rsidP="003B032C" w:rsidRDefault="00617D2B" w14:paraId="5646C41D" w14:textId="10BB0FA3">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 xml:space="preserve">Respondent Hourly Wage: </w:t>
      </w:r>
      <w:r w:rsidRPr="003B032C" w:rsidR="00676AD4">
        <w:rPr>
          <w:color w:val="000000" w:themeColor="text1"/>
        </w:rPr>
        <w:t>$24.98</w:t>
      </w:r>
    </w:p>
    <w:p w:rsidRPr="003B032C" w:rsidR="00617D2B" w:rsidP="003B032C" w:rsidRDefault="003C7825" w14:paraId="73DE725C" w14:textId="75FC55B6">
      <w:pPr>
        <w:pStyle w:val="ListParagraph"/>
        <w:numPr>
          <w:ilvl w:val="1"/>
          <w:numId w:val="18"/>
        </w:numPr>
        <w:spacing w:before="120" w:after="120"/>
        <w:ind w:left="810" w:hanging="450"/>
        <w:contextualSpacing w:val="0"/>
        <w:jc w:val="both"/>
        <w:rPr>
          <w:color w:val="000000" w:themeColor="text1"/>
        </w:rPr>
      </w:pPr>
      <w:r>
        <w:rPr>
          <w:color w:val="000000" w:themeColor="text1"/>
        </w:rPr>
        <w:t>Labor Burden per Response</w:t>
      </w:r>
      <w:r w:rsidRPr="003B032C" w:rsidR="00617D2B">
        <w:rPr>
          <w:color w:val="000000" w:themeColor="text1"/>
        </w:rPr>
        <w:t>: $</w:t>
      </w:r>
      <w:r w:rsidRPr="003B032C" w:rsidR="00144B3A">
        <w:rPr>
          <w:color w:val="000000" w:themeColor="text1"/>
        </w:rPr>
        <w:t>37.47</w:t>
      </w:r>
    </w:p>
    <w:p w:rsidRPr="003B032C" w:rsidR="00617D2B" w:rsidP="003B032C" w:rsidRDefault="003C7825" w14:paraId="37D62DDB" w14:textId="553556B8">
      <w:pPr>
        <w:pStyle w:val="ListParagraph"/>
        <w:numPr>
          <w:ilvl w:val="1"/>
          <w:numId w:val="18"/>
        </w:numPr>
        <w:spacing w:before="120" w:after="120"/>
        <w:ind w:left="810" w:hanging="450"/>
        <w:contextualSpacing w:val="0"/>
        <w:jc w:val="both"/>
        <w:rPr>
          <w:color w:val="000000" w:themeColor="text1"/>
        </w:rPr>
      </w:pPr>
      <w:r>
        <w:rPr>
          <w:color w:val="000000" w:themeColor="text1"/>
        </w:rPr>
        <w:t>Total Labor Burden</w:t>
      </w:r>
      <w:r w:rsidRPr="003B032C" w:rsidR="00617D2B">
        <w:rPr>
          <w:color w:val="000000" w:themeColor="text1"/>
        </w:rPr>
        <w:t>: $</w:t>
      </w:r>
      <w:r w:rsidRPr="003B032C" w:rsidR="00144B3A">
        <w:rPr>
          <w:color w:val="000000" w:themeColor="text1"/>
        </w:rPr>
        <w:t>1498.80</w:t>
      </w:r>
    </w:p>
    <w:p w:rsidRPr="003C7825" w:rsidR="00617D2B" w:rsidP="003B032C" w:rsidRDefault="00617D2B" w14:paraId="5AE346C2" w14:textId="16B22FB7">
      <w:pPr>
        <w:pStyle w:val="ListParagraph"/>
        <w:numPr>
          <w:ilvl w:val="0"/>
          <w:numId w:val="18"/>
        </w:numPr>
        <w:spacing w:before="120" w:after="120"/>
        <w:contextualSpacing w:val="0"/>
        <w:jc w:val="both"/>
        <w:rPr>
          <w:color w:val="000000" w:themeColor="text1"/>
        </w:rPr>
      </w:pPr>
      <w:r w:rsidRPr="003C7825">
        <w:rPr>
          <w:color w:val="000000" w:themeColor="text1"/>
        </w:rPr>
        <w:t>Focus Groups with Members of Software Engineering Community</w:t>
      </w:r>
    </w:p>
    <w:p w:rsidRPr="003B032C" w:rsidR="00617D2B" w:rsidP="003B032C" w:rsidRDefault="00617D2B" w14:paraId="5C1E7776" w14:textId="10B3E129">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Number of Total Annual Responses: 30</w:t>
      </w:r>
    </w:p>
    <w:p w:rsidRPr="003B032C" w:rsidR="00617D2B" w:rsidP="003B032C" w:rsidRDefault="003C7825" w14:paraId="17D9D4CB" w14:textId="7439BF4E">
      <w:pPr>
        <w:pStyle w:val="ListParagraph"/>
        <w:numPr>
          <w:ilvl w:val="1"/>
          <w:numId w:val="18"/>
        </w:numPr>
        <w:spacing w:before="120" w:after="120"/>
        <w:ind w:left="810" w:hanging="450"/>
        <w:contextualSpacing w:val="0"/>
        <w:jc w:val="both"/>
        <w:rPr>
          <w:color w:val="000000" w:themeColor="text1"/>
        </w:rPr>
      </w:pPr>
      <w:r>
        <w:rPr>
          <w:color w:val="000000" w:themeColor="text1"/>
        </w:rPr>
        <w:t>Response Time</w:t>
      </w:r>
      <w:r w:rsidRPr="003B032C" w:rsidR="00617D2B">
        <w:rPr>
          <w:color w:val="000000" w:themeColor="text1"/>
        </w:rPr>
        <w:t>: 1.5 hours</w:t>
      </w:r>
    </w:p>
    <w:p w:rsidRPr="003B032C" w:rsidR="00617D2B" w:rsidP="003B032C" w:rsidRDefault="00617D2B" w14:paraId="1AC52AF1" w14:textId="7EA55186">
      <w:pPr>
        <w:pStyle w:val="ListParagraph"/>
        <w:numPr>
          <w:ilvl w:val="1"/>
          <w:numId w:val="18"/>
        </w:numPr>
        <w:spacing w:before="120" w:after="120"/>
        <w:ind w:left="810" w:hanging="450"/>
        <w:contextualSpacing w:val="0"/>
        <w:jc w:val="both"/>
        <w:rPr>
          <w:color w:val="000000" w:themeColor="text1"/>
        </w:rPr>
      </w:pPr>
      <w:r w:rsidRPr="003B032C">
        <w:rPr>
          <w:color w:val="000000" w:themeColor="text1"/>
        </w:rPr>
        <w:t xml:space="preserve">Respondent Hourly Wage: </w:t>
      </w:r>
      <w:r w:rsidRPr="003B032C" w:rsidR="00676AD4">
        <w:rPr>
          <w:color w:val="000000" w:themeColor="text1"/>
        </w:rPr>
        <w:t>$50.23</w:t>
      </w:r>
    </w:p>
    <w:p w:rsidRPr="003B032C" w:rsidR="00617D2B" w:rsidP="003B032C" w:rsidRDefault="003C7825" w14:paraId="190D2610" w14:textId="7F85889B">
      <w:pPr>
        <w:pStyle w:val="ListParagraph"/>
        <w:numPr>
          <w:ilvl w:val="1"/>
          <w:numId w:val="18"/>
        </w:numPr>
        <w:spacing w:before="120" w:after="120"/>
        <w:ind w:left="810" w:hanging="450"/>
        <w:contextualSpacing w:val="0"/>
        <w:jc w:val="both"/>
        <w:rPr>
          <w:color w:val="000000" w:themeColor="text1"/>
        </w:rPr>
      </w:pPr>
      <w:r>
        <w:rPr>
          <w:color w:val="000000" w:themeColor="text1"/>
        </w:rPr>
        <w:t>Labor Burden per Response</w:t>
      </w:r>
      <w:r w:rsidRPr="003B032C" w:rsidR="00617D2B">
        <w:rPr>
          <w:color w:val="000000" w:themeColor="text1"/>
        </w:rPr>
        <w:t>: $</w:t>
      </w:r>
      <w:r w:rsidRPr="003B032C" w:rsidR="00144B3A">
        <w:rPr>
          <w:color w:val="000000" w:themeColor="text1"/>
        </w:rPr>
        <w:t>75.35</w:t>
      </w:r>
    </w:p>
    <w:p w:rsidRPr="003B032C" w:rsidR="00063D9C" w:rsidP="003B032C" w:rsidRDefault="003C7825" w14:paraId="3A3FF256" w14:textId="28D7B894">
      <w:pPr>
        <w:pStyle w:val="ListParagraph"/>
        <w:numPr>
          <w:ilvl w:val="1"/>
          <w:numId w:val="18"/>
        </w:numPr>
        <w:spacing w:before="120" w:after="120"/>
        <w:ind w:left="810" w:hanging="450"/>
        <w:contextualSpacing w:val="0"/>
        <w:jc w:val="both"/>
        <w:rPr>
          <w:color w:val="000000" w:themeColor="text1"/>
        </w:rPr>
      </w:pPr>
      <w:r>
        <w:rPr>
          <w:color w:val="000000" w:themeColor="text1"/>
        </w:rPr>
        <w:t>Total Labor Burden</w:t>
      </w:r>
      <w:r w:rsidRPr="003B032C" w:rsidR="00617D2B">
        <w:rPr>
          <w:color w:val="000000" w:themeColor="text1"/>
        </w:rPr>
        <w:t>: $</w:t>
      </w:r>
      <w:r w:rsidRPr="003B032C" w:rsidR="00144B3A">
        <w:rPr>
          <w:color w:val="000000" w:themeColor="text1"/>
        </w:rPr>
        <w:t>2,260.50</w:t>
      </w:r>
    </w:p>
    <w:p w:rsidRPr="003C7825" w:rsidR="00520B36" w:rsidP="003B032C" w:rsidRDefault="00520B36" w14:paraId="4C97E613" w14:textId="77777777">
      <w:pPr>
        <w:pStyle w:val="ListParagraph"/>
        <w:numPr>
          <w:ilvl w:val="0"/>
          <w:numId w:val="18"/>
        </w:numPr>
        <w:spacing w:before="120" w:after="120"/>
        <w:contextualSpacing w:val="0"/>
        <w:jc w:val="both"/>
        <w:rPr>
          <w:color w:val="000000" w:themeColor="text1"/>
        </w:rPr>
      </w:pPr>
      <w:r w:rsidRPr="003C7825">
        <w:rPr>
          <w:color w:val="000000" w:themeColor="text1"/>
        </w:rPr>
        <w:t>Overall Labor Burden</w:t>
      </w:r>
    </w:p>
    <w:p w:rsidRPr="003B032C" w:rsidR="00520B36" w:rsidP="003C7825" w:rsidRDefault="00520B36" w14:paraId="7A624D40" w14:textId="719AAD5B">
      <w:pPr>
        <w:pStyle w:val="ListParagraph"/>
        <w:numPr>
          <w:ilvl w:val="1"/>
          <w:numId w:val="18"/>
        </w:numPr>
        <w:spacing w:before="120" w:after="120"/>
        <w:ind w:left="720"/>
        <w:contextualSpacing w:val="0"/>
        <w:jc w:val="both"/>
        <w:rPr>
          <w:color w:val="000000" w:themeColor="text1"/>
        </w:rPr>
      </w:pPr>
      <w:r w:rsidRPr="003B032C">
        <w:rPr>
          <w:color w:val="000000" w:themeColor="text1"/>
        </w:rPr>
        <w:t>T</w:t>
      </w:r>
      <w:r w:rsidR="003C7825">
        <w:rPr>
          <w:color w:val="000000" w:themeColor="text1"/>
        </w:rPr>
        <w:t>otal Number of Annual Responses</w:t>
      </w:r>
      <w:r w:rsidRPr="003B032C">
        <w:rPr>
          <w:color w:val="000000" w:themeColor="text1"/>
        </w:rPr>
        <w:t xml:space="preserve">: </w:t>
      </w:r>
      <w:r w:rsidR="00BD2E98">
        <w:rPr>
          <w:color w:val="000000" w:themeColor="text1"/>
        </w:rPr>
        <w:t>4</w:t>
      </w:r>
      <w:r w:rsidRPr="003B032C" w:rsidR="00617D2B">
        <w:rPr>
          <w:color w:val="000000" w:themeColor="text1"/>
        </w:rPr>
        <w:t>,</w:t>
      </w:r>
      <w:r w:rsidRPr="003B032C" w:rsidR="00C23472">
        <w:rPr>
          <w:color w:val="000000" w:themeColor="text1"/>
        </w:rPr>
        <w:t>2</w:t>
      </w:r>
      <w:r w:rsidRPr="003B032C" w:rsidR="00617D2B">
        <w:rPr>
          <w:color w:val="000000" w:themeColor="text1"/>
        </w:rPr>
        <w:t>10</w:t>
      </w:r>
    </w:p>
    <w:p w:rsidRPr="003B032C" w:rsidR="00520B36" w:rsidP="003C7825" w:rsidRDefault="003C7825" w14:paraId="283A951A" w14:textId="5D01A09A">
      <w:pPr>
        <w:pStyle w:val="ListParagraph"/>
        <w:numPr>
          <w:ilvl w:val="1"/>
          <w:numId w:val="18"/>
        </w:numPr>
        <w:spacing w:before="120" w:after="120"/>
        <w:ind w:left="720"/>
        <w:contextualSpacing w:val="0"/>
        <w:jc w:val="both"/>
        <w:rPr>
          <w:color w:val="000000" w:themeColor="text1"/>
        </w:rPr>
      </w:pPr>
      <w:r>
        <w:rPr>
          <w:color w:val="000000" w:themeColor="text1"/>
        </w:rPr>
        <w:t>Total Labor Burden</w:t>
      </w:r>
      <w:r w:rsidRPr="003B032C" w:rsidR="0019309D">
        <w:rPr>
          <w:color w:val="000000" w:themeColor="text1"/>
        </w:rPr>
        <w:t>: $</w:t>
      </w:r>
      <w:r w:rsidR="00BD2E98">
        <w:rPr>
          <w:color w:val="000000" w:themeColor="text1"/>
        </w:rPr>
        <w:t>55,242.50</w:t>
      </w:r>
    </w:p>
    <w:p w:rsidR="00617D2B" w:rsidP="003B032C" w:rsidRDefault="00617D2B" w14:paraId="30D6C5B8" w14:textId="3EE17C74">
      <w:pPr>
        <w:spacing w:before="120" w:after="120"/>
        <w:jc w:val="both"/>
        <w:rPr>
          <w:color w:val="000000"/>
        </w:rPr>
      </w:pPr>
      <w:r w:rsidRPr="003B032C">
        <w:t xml:space="preserve">Average hourly wage was derived from the Bureau of Labor and Statistics </w:t>
      </w:r>
      <w:r w:rsidR="003C7825">
        <w:t xml:space="preserve">(BLS) </w:t>
      </w:r>
      <w:r w:rsidRPr="003B032C">
        <w:t xml:space="preserve">May 2018 </w:t>
      </w:r>
      <w:r w:rsidRPr="003B032C">
        <w:rPr>
          <w:color w:val="000000"/>
        </w:rPr>
        <w:t>Occupational Employment and Wage Estimates</w:t>
      </w:r>
      <w:r w:rsidR="003B032C">
        <w:t xml:space="preserve">. </w:t>
      </w:r>
      <w:r w:rsidRPr="003B032C">
        <w:t xml:space="preserve">The rate used for members of the software engineering community is the mean hourly wage of Software Developers and Programmers (15-1130, $50.23). </w:t>
      </w:r>
      <w:r w:rsidRPr="003B032C" w:rsidR="00D44A53">
        <w:t xml:space="preserve">For students, </w:t>
      </w:r>
      <w:r w:rsidRPr="003B032C" w:rsidR="00676AD4">
        <w:t xml:space="preserve">we used the mean hourly rate for all occupations </w:t>
      </w:r>
      <w:r w:rsidRPr="003B032C" w:rsidR="00D44A53">
        <w:t>(00–0000, $24.98)</w:t>
      </w:r>
      <w:r w:rsidR="003B032C">
        <w:t xml:space="preserve">. </w:t>
      </w:r>
      <w:r w:rsidRPr="003B032C">
        <w:t>(</w:t>
      </w:r>
      <w:hyperlink w:history="1" r:id="rId11">
        <w:r w:rsidRPr="00A97E43" w:rsidR="003C7825">
          <w:rPr>
            <w:rStyle w:val="Hyperlink"/>
          </w:rPr>
          <w:t>http://www.bls.gov/oes/current/oes_nat.htm</w:t>
        </w:r>
      </w:hyperlink>
      <w:r w:rsidRPr="003B032C">
        <w:rPr>
          <w:color w:val="000000"/>
        </w:rPr>
        <w:t>)</w:t>
      </w:r>
      <w:r w:rsidR="003C7825">
        <w:rPr>
          <w:color w:val="000000"/>
        </w:rPr>
        <w:t>.</w:t>
      </w:r>
    </w:p>
    <w:p w:rsidRPr="003B032C" w:rsidR="0019309D" w:rsidP="003B032C" w:rsidRDefault="0019309D" w14:paraId="1A8A8455" w14:textId="77777777">
      <w:pPr>
        <w:pStyle w:val="ListParagraph"/>
        <w:numPr>
          <w:ilvl w:val="0"/>
          <w:numId w:val="14"/>
        </w:numPr>
        <w:spacing w:before="120" w:after="120"/>
        <w:contextualSpacing w:val="0"/>
        <w:jc w:val="both"/>
        <w:rPr>
          <w:color w:val="000000" w:themeColor="text1"/>
        </w:rPr>
      </w:pPr>
      <w:r w:rsidRPr="003B032C">
        <w:rPr>
          <w:color w:val="000000" w:themeColor="text1"/>
          <w:u w:val="single"/>
        </w:rPr>
        <w:lastRenderedPageBreak/>
        <w:t>Respondent Costs Other Than Burden Hour Costs</w:t>
      </w:r>
    </w:p>
    <w:p w:rsidRPr="003B032C" w:rsidR="00A57998" w:rsidP="003B032C" w:rsidRDefault="00A57998" w14:paraId="40102897" w14:textId="77777777">
      <w:pPr>
        <w:spacing w:before="120" w:after="120"/>
        <w:jc w:val="both"/>
        <w:rPr>
          <w:color w:val="000000" w:themeColor="text1"/>
        </w:rPr>
      </w:pPr>
      <w:r w:rsidRPr="003B032C">
        <w:rPr>
          <w:color w:val="000000" w:themeColor="text1"/>
        </w:rPr>
        <w:t xml:space="preserve">There are no annualized costs to respondents other than the labor burden costs addressed in Section 12 of this document to complete this collection. </w:t>
      </w:r>
    </w:p>
    <w:p w:rsidRPr="003B032C" w:rsidR="0015328F" w:rsidP="003B032C" w:rsidRDefault="00F25499" w14:paraId="7EAA5B0A" w14:textId="12CC6B93">
      <w:pPr>
        <w:pStyle w:val="ListParagraph"/>
        <w:numPr>
          <w:ilvl w:val="0"/>
          <w:numId w:val="14"/>
        </w:numPr>
        <w:spacing w:before="120" w:after="120"/>
        <w:contextualSpacing w:val="0"/>
        <w:jc w:val="both"/>
        <w:rPr>
          <w:color w:val="000000" w:themeColor="text1"/>
        </w:rPr>
      </w:pPr>
      <w:r w:rsidRPr="003B032C">
        <w:rPr>
          <w:color w:val="000000" w:themeColor="text1"/>
          <w:u w:val="single"/>
        </w:rPr>
        <w:t>Cost to the Federal Government</w:t>
      </w:r>
    </w:p>
    <w:p w:rsidRPr="003B032C" w:rsidR="00496B16" w:rsidP="003B032C" w:rsidRDefault="008838BA" w14:paraId="0B121C90" w14:textId="1E78EB17">
      <w:pPr>
        <w:spacing w:before="120" w:after="120"/>
        <w:jc w:val="both"/>
      </w:pPr>
      <w:r w:rsidRPr="003B032C">
        <w:t xml:space="preserve">JAIC </w:t>
      </w:r>
      <w:r w:rsidRPr="003B032C" w:rsidR="004478B1">
        <w:t xml:space="preserve">is </w:t>
      </w:r>
      <w:r w:rsidRPr="003B032C" w:rsidR="00496B16">
        <w:t>supporting this data collection and analysis of data as part of the contract with the RAND Corporation. The estimated cost for this work</w:t>
      </w:r>
      <w:r w:rsidR="003C7825">
        <w:t>,</w:t>
      </w:r>
      <w:r w:rsidRPr="003B032C" w:rsidR="00496B16">
        <w:t xml:space="preserve"> including design, fieldwork, and analysis</w:t>
      </w:r>
      <w:r w:rsidR="003C7825">
        <w:t>,</w:t>
      </w:r>
      <w:r w:rsidRPr="003B032C" w:rsidR="00496B16">
        <w:t xml:space="preserve"> will be $</w:t>
      </w:r>
      <w:r w:rsidRPr="003B032C" w:rsidR="004478B1">
        <w:t>650</w:t>
      </w:r>
      <w:r w:rsidRPr="003B032C" w:rsidR="00496B16">
        <w:t xml:space="preserve">,000 over </w:t>
      </w:r>
      <w:r w:rsidRPr="003B032C" w:rsidR="0040436D">
        <w:t>18</w:t>
      </w:r>
      <w:r w:rsidRPr="003B032C" w:rsidR="00496B16">
        <w:t xml:space="preserve"> months ($</w:t>
      </w:r>
      <w:r w:rsidRPr="003B032C" w:rsidR="0040436D">
        <w:t xml:space="preserve">433,333 </w:t>
      </w:r>
      <w:r w:rsidRPr="003B032C" w:rsidR="00496B16">
        <w:t>per year)</w:t>
      </w:r>
      <w:r w:rsidR="003B032C">
        <w:t xml:space="preserve">. </w:t>
      </w:r>
    </w:p>
    <w:p w:rsidRPr="003B032C" w:rsidR="00A57998" w:rsidP="003B032C" w:rsidRDefault="00DA2B37" w14:paraId="68E1B086" w14:textId="4FBE8BF4">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Reasons for Change in Burden</w:t>
      </w:r>
    </w:p>
    <w:p w:rsidRPr="003B032C" w:rsidR="00A57998" w:rsidP="003B032C" w:rsidRDefault="00A57998" w14:paraId="22579CF0" w14:textId="37C8AD68">
      <w:pPr>
        <w:spacing w:before="120" w:after="120"/>
        <w:jc w:val="both"/>
        <w:rPr>
          <w:color w:val="000000" w:themeColor="text1"/>
        </w:rPr>
      </w:pPr>
      <w:r w:rsidRPr="003B032C">
        <w:rPr>
          <w:color w:val="000000" w:themeColor="text1"/>
        </w:rPr>
        <w:t>This is a new collection with a new associated burden.</w:t>
      </w:r>
    </w:p>
    <w:p w:rsidRPr="003C7825" w:rsidR="00A57998" w:rsidP="003B032C" w:rsidRDefault="005C3A95" w14:paraId="573E24D1" w14:textId="19824B55">
      <w:pPr>
        <w:pStyle w:val="ListParagraph"/>
        <w:numPr>
          <w:ilvl w:val="0"/>
          <w:numId w:val="14"/>
        </w:numPr>
        <w:spacing w:before="120" w:after="120"/>
        <w:contextualSpacing w:val="0"/>
        <w:jc w:val="both"/>
      </w:pPr>
      <w:r w:rsidRPr="003C7825">
        <w:rPr>
          <w:u w:val="single"/>
        </w:rPr>
        <w:t>Publication of Results</w:t>
      </w:r>
      <w:r w:rsidRPr="003C7825">
        <w:t xml:space="preserve"> </w:t>
      </w:r>
    </w:p>
    <w:p w:rsidRPr="003B032C" w:rsidR="00A57998" w:rsidP="003B032C" w:rsidRDefault="00A57998" w14:paraId="061747C9" w14:textId="545AF440">
      <w:pPr>
        <w:spacing w:before="120" w:after="120"/>
        <w:jc w:val="both"/>
      </w:pPr>
      <w:r w:rsidRPr="003B032C">
        <w:t xml:space="preserve">RAND will publish a public report at the conclusion of the survey. This topic is of great interest to a variety of audiences and </w:t>
      </w:r>
      <w:r w:rsidR="003C7825">
        <w:t xml:space="preserve">publishing </w:t>
      </w:r>
      <w:r w:rsidRPr="003B032C">
        <w:t>results will advance the state of the public debate over these topics</w:t>
      </w:r>
      <w:r w:rsidR="003C7825">
        <w:t>,</w:t>
      </w:r>
      <w:r w:rsidRPr="003B032C">
        <w:t xml:space="preserve"> as well as helping to promote understanding of ethical issues regarding </w:t>
      </w:r>
      <w:r w:rsidRPr="003B032C" w:rsidR="008838BA">
        <w:t>AI</w:t>
      </w:r>
      <w:r w:rsidRPr="003B032C">
        <w:t xml:space="preserve"> generally and the specific ethical issues involving issues in national security specifically. </w:t>
      </w:r>
    </w:p>
    <w:p w:rsidRPr="003B032C" w:rsidR="00510AE9" w:rsidP="003B032C" w:rsidRDefault="00A57998" w14:paraId="3DE42020" w14:textId="4CD6E1BE">
      <w:pPr>
        <w:spacing w:before="120" w:after="120"/>
        <w:jc w:val="both"/>
      </w:pPr>
      <w:r w:rsidRPr="003B032C">
        <w:t xml:space="preserve">The expected title of the publication will be </w:t>
      </w:r>
      <w:r w:rsidR="003C7825">
        <w:t>“E</w:t>
      </w:r>
      <w:r w:rsidRPr="003B032C">
        <w:t xml:space="preserve">xploring </w:t>
      </w:r>
      <w:r w:rsidR="005E1DD5">
        <w:t>Views about the Use of Artificial Intelligence</w:t>
      </w:r>
      <w:r w:rsidR="003C7825">
        <w:t>”</w:t>
      </w:r>
      <w:r w:rsidRPr="003B032C">
        <w:t xml:space="preserve"> </w:t>
      </w:r>
      <w:r w:rsidR="003C7825">
        <w:t>and will be completed approximately seven</w:t>
      </w:r>
      <w:r w:rsidRPr="003B032C">
        <w:t xml:space="preserve"> months after we receive OMB approval for the survey. We expect to publish the completed report within 12 months after receiving OMB approval for the survey.</w:t>
      </w:r>
    </w:p>
    <w:p w:rsidRPr="003B032C" w:rsidR="00A57998" w:rsidP="003B032C" w:rsidRDefault="003C7825" w14:paraId="6DE896C5" w14:textId="2381B7C4">
      <w:pPr>
        <w:spacing w:before="120" w:after="120"/>
        <w:jc w:val="both"/>
      </w:pPr>
      <w:r>
        <w:t>RAND</w:t>
      </w:r>
      <w:r w:rsidRPr="003B032C" w:rsidR="00510AE9">
        <w:t xml:space="preserve"> does not anticipate doing quantitative analysis with the information gleaned from the </w:t>
      </w:r>
      <w:r w:rsidRPr="003B032C" w:rsidR="008838BA">
        <w:t>focus groups</w:t>
      </w:r>
      <w:r w:rsidR="003B032C">
        <w:t xml:space="preserve">. </w:t>
      </w:r>
      <w:r w:rsidRPr="003B032C" w:rsidR="00510AE9">
        <w:t xml:space="preserve">Rather, this information will </w:t>
      </w:r>
      <w:r>
        <w:t>be summarized in paragraph form</w:t>
      </w:r>
      <w:r w:rsidRPr="003B032C" w:rsidR="00510AE9">
        <w:t xml:space="preserve"> and used to supplement the quantitative inform</w:t>
      </w:r>
      <w:r>
        <w:t xml:space="preserve">ation derived from the surveys. </w:t>
      </w:r>
      <w:r w:rsidRPr="003B032C" w:rsidR="00A57998">
        <w:t>The following table overviews the publication and project schedule.</w:t>
      </w:r>
    </w:p>
    <w:tbl>
      <w:tblPr>
        <w:tblStyle w:val="TableGrid1"/>
        <w:tblW w:w="5000" w:type="pct"/>
        <w:tblLook w:val="04A0" w:firstRow="1" w:lastRow="0" w:firstColumn="1" w:lastColumn="0" w:noHBand="0" w:noVBand="1"/>
      </w:tblPr>
      <w:tblGrid>
        <w:gridCol w:w="1880"/>
        <w:gridCol w:w="815"/>
        <w:gridCol w:w="991"/>
        <w:gridCol w:w="989"/>
        <w:gridCol w:w="991"/>
        <w:gridCol w:w="957"/>
        <w:gridCol w:w="911"/>
        <w:gridCol w:w="911"/>
        <w:gridCol w:w="905"/>
      </w:tblGrid>
      <w:tr w:rsidRPr="003C7825" w:rsidR="003C7825" w:rsidTr="003C7825" w14:paraId="3DBCCCD5" w14:textId="77777777">
        <w:tc>
          <w:tcPr>
            <w:tcW w:w="1005" w:type="pct"/>
            <w:vAlign w:val="center"/>
          </w:tcPr>
          <w:p w:rsidRPr="003C7825" w:rsidR="00A57998" w:rsidP="003C7825" w:rsidRDefault="00A57998" w14:paraId="66E71E15" w14:textId="0EB3AE4F">
            <w:pPr>
              <w:autoSpaceDE w:val="0"/>
              <w:autoSpaceDN w:val="0"/>
              <w:adjustRightInd w:val="0"/>
              <w:spacing w:before="60" w:after="60"/>
              <w:jc w:val="center"/>
              <w:rPr>
                <w:b/>
                <w:sz w:val="22"/>
                <w:szCs w:val="22"/>
              </w:rPr>
            </w:pPr>
            <w:r w:rsidRPr="003C7825">
              <w:rPr>
                <w:b/>
                <w:sz w:val="22"/>
                <w:szCs w:val="22"/>
              </w:rPr>
              <w:t>Tasks</w:t>
            </w:r>
          </w:p>
        </w:tc>
        <w:tc>
          <w:tcPr>
            <w:tcW w:w="436" w:type="pct"/>
            <w:vAlign w:val="center"/>
          </w:tcPr>
          <w:p w:rsidRPr="003C7825" w:rsidR="00A57998" w:rsidP="003C7825" w:rsidRDefault="00A57998" w14:paraId="4B7A0324" w14:textId="77777777">
            <w:pPr>
              <w:autoSpaceDE w:val="0"/>
              <w:autoSpaceDN w:val="0"/>
              <w:adjustRightInd w:val="0"/>
              <w:spacing w:before="60" w:after="60"/>
              <w:jc w:val="both"/>
              <w:rPr>
                <w:b/>
                <w:sz w:val="22"/>
                <w:szCs w:val="22"/>
              </w:rPr>
            </w:pPr>
          </w:p>
        </w:tc>
        <w:tc>
          <w:tcPr>
            <w:tcW w:w="530" w:type="pct"/>
            <w:vAlign w:val="center"/>
          </w:tcPr>
          <w:p w:rsidRPr="003C7825" w:rsidR="00A57998" w:rsidP="003C7825" w:rsidRDefault="003C7825" w14:paraId="22D74B0E" w14:textId="28090916">
            <w:pPr>
              <w:autoSpaceDE w:val="0"/>
              <w:autoSpaceDN w:val="0"/>
              <w:adjustRightInd w:val="0"/>
              <w:spacing w:before="60" w:after="60"/>
              <w:jc w:val="center"/>
              <w:rPr>
                <w:b/>
                <w:sz w:val="22"/>
                <w:szCs w:val="22"/>
              </w:rPr>
            </w:pPr>
            <w:r>
              <w:rPr>
                <w:b/>
                <w:sz w:val="22"/>
                <w:szCs w:val="22"/>
              </w:rPr>
              <w:t xml:space="preserve">Month </w:t>
            </w:r>
            <w:r w:rsidRPr="003C7825" w:rsidR="00A57998">
              <w:rPr>
                <w:b/>
                <w:sz w:val="22"/>
                <w:szCs w:val="22"/>
              </w:rPr>
              <w:t>1</w:t>
            </w:r>
          </w:p>
        </w:tc>
        <w:tc>
          <w:tcPr>
            <w:tcW w:w="529" w:type="pct"/>
            <w:vAlign w:val="center"/>
          </w:tcPr>
          <w:p w:rsidRPr="003C7825" w:rsidR="00A57998" w:rsidP="003C7825" w:rsidRDefault="003C7825" w14:paraId="38671CCC" w14:textId="7DAE5FD0">
            <w:pPr>
              <w:autoSpaceDE w:val="0"/>
              <w:autoSpaceDN w:val="0"/>
              <w:adjustRightInd w:val="0"/>
              <w:spacing w:before="60" w:after="60"/>
              <w:jc w:val="center"/>
              <w:rPr>
                <w:b/>
                <w:sz w:val="22"/>
                <w:szCs w:val="22"/>
              </w:rPr>
            </w:pPr>
            <w:r>
              <w:rPr>
                <w:b/>
                <w:sz w:val="22"/>
                <w:szCs w:val="22"/>
              </w:rPr>
              <w:t xml:space="preserve">Month </w:t>
            </w:r>
            <w:r w:rsidRPr="003C7825" w:rsidR="00A57998">
              <w:rPr>
                <w:b/>
                <w:sz w:val="22"/>
                <w:szCs w:val="22"/>
              </w:rPr>
              <w:t>2</w:t>
            </w:r>
          </w:p>
        </w:tc>
        <w:tc>
          <w:tcPr>
            <w:tcW w:w="530" w:type="pct"/>
            <w:vAlign w:val="center"/>
          </w:tcPr>
          <w:p w:rsidRPr="003C7825" w:rsidR="00A57998" w:rsidP="003C7825" w:rsidRDefault="00A57998" w14:paraId="66C8873D" w14:textId="639077A0">
            <w:pPr>
              <w:autoSpaceDE w:val="0"/>
              <w:autoSpaceDN w:val="0"/>
              <w:adjustRightInd w:val="0"/>
              <w:spacing w:before="60" w:after="60"/>
              <w:jc w:val="center"/>
              <w:rPr>
                <w:b/>
                <w:sz w:val="22"/>
                <w:szCs w:val="22"/>
              </w:rPr>
            </w:pPr>
            <w:r w:rsidRPr="003C7825">
              <w:rPr>
                <w:b/>
                <w:sz w:val="22"/>
                <w:szCs w:val="22"/>
              </w:rPr>
              <w:t>Month 3</w:t>
            </w:r>
          </w:p>
        </w:tc>
        <w:tc>
          <w:tcPr>
            <w:tcW w:w="512" w:type="pct"/>
            <w:vAlign w:val="center"/>
          </w:tcPr>
          <w:p w:rsidRPr="003C7825" w:rsidR="00A57998" w:rsidP="003C7825" w:rsidRDefault="00A57998" w14:paraId="35F913CA" w14:textId="384A1FD3">
            <w:pPr>
              <w:autoSpaceDE w:val="0"/>
              <w:autoSpaceDN w:val="0"/>
              <w:adjustRightInd w:val="0"/>
              <w:spacing w:before="60" w:after="60"/>
              <w:jc w:val="center"/>
              <w:rPr>
                <w:b/>
                <w:sz w:val="22"/>
                <w:szCs w:val="22"/>
              </w:rPr>
            </w:pPr>
            <w:r w:rsidRPr="003C7825">
              <w:rPr>
                <w:b/>
                <w:sz w:val="22"/>
                <w:szCs w:val="22"/>
              </w:rPr>
              <w:t>Month 4</w:t>
            </w:r>
          </w:p>
        </w:tc>
        <w:tc>
          <w:tcPr>
            <w:tcW w:w="487" w:type="pct"/>
            <w:vAlign w:val="center"/>
          </w:tcPr>
          <w:p w:rsidRPr="003C7825" w:rsidR="00A57998" w:rsidP="003C7825" w:rsidRDefault="00A57998" w14:paraId="2F79040D" w14:textId="77777777">
            <w:pPr>
              <w:autoSpaceDE w:val="0"/>
              <w:autoSpaceDN w:val="0"/>
              <w:adjustRightInd w:val="0"/>
              <w:spacing w:before="60" w:after="60"/>
              <w:jc w:val="center"/>
              <w:rPr>
                <w:b/>
                <w:sz w:val="22"/>
                <w:szCs w:val="22"/>
              </w:rPr>
            </w:pPr>
            <w:r w:rsidRPr="003C7825">
              <w:rPr>
                <w:b/>
                <w:sz w:val="22"/>
                <w:szCs w:val="22"/>
              </w:rPr>
              <w:t>Month 5</w:t>
            </w:r>
          </w:p>
        </w:tc>
        <w:tc>
          <w:tcPr>
            <w:tcW w:w="487" w:type="pct"/>
            <w:vAlign w:val="center"/>
          </w:tcPr>
          <w:p w:rsidRPr="003C7825" w:rsidR="00A57998" w:rsidP="003C7825" w:rsidRDefault="00A57998" w14:paraId="509D2E21" w14:textId="77777777">
            <w:pPr>
              <w:autoSpaceDE w:val="0"/>
              <w:autoSpaceDN w:val="0"/>
              <w:adjustRightInd w:val="0"/>
              <w:spacing w:before="60" w:after="60"/>
              <w:jc w:val="center"/>
              <w:rPr>
                <w:b/>
                <w:sz w:val="22"/>
                <w:szCs w:val="22"/>
              </w:rPr>
            </w:pPr>
            <w:r w:rsidRPr="003C7825">
              <w:rPr>
                <w:b/>
                <w:sz w:val="22"/>
                <w:szCs w:val="22"/>
              </w:rPr>
              <w:t>Month 6</w:t>
            </w:r>
          </w:p>
        </w:tc>
        <w:tc>
          <w:tcPr>
            <w:tcW w:w="484" w:type="pct"/>
            <w:vAlign w:val="center"/>
          </w:tcPr>
          <w:p w:rsidRPr="003C7825" w:rsidR="00A57998" w:rsidP="003C7825" w:rsidRDefault="00A57998" w14:paraId="38FF85CD" w14:textId="77777777">
            <w:pPr>
              <w:autoSpaceDE w:val="0"/>
              <w:autoSpaceDN w:val="0"/>
              <w:adjustRightInd w:val="0"/>
              <w:spacing w:before="60" w:after="60"/>
              <w:jc w:val="center"/>
              <w:rPr>
                <w:b/>
                <w:sz w:val="22"/>
                <w:szCs w:val="22"/>
              </w:rPr>
            </w:pPr>
            <w:r w:rsidRPr="003C7825">
              <w:rPr>
                <w:b/>
                <w:sz w:val="22"/>
                <w:szCs w:val="22"/>
              </w:rPr>
              <w:t>Month 7</w:t>
            </w:r>
          </w:p>
        </w:tc>
      </w:tr>
      <w:tr w:rsidRPr="003C7825" w:rsidR="003C7825" w:rsidTr="003C7825" w14:paraId="323528CF" w14:textId="77777777">
        <w:tc>
          <w:tcPr>
            <w:tcW w:w="1005" w:type="pct"/>
            <w:vAlign w:val="center"/>
          </w:tcPr>
          <w:p w:rsidRPr="003C7825" w:rsidR="00A57998" w:rsidP="003C7825" w:rsidRDefault="00A57998" w14:paraId="0F0AEC89" w14:textId="77777777">
            <w:pPr>
              <w:autoSpaceDE w:val="0"/>
              <w:autoSpaceDN w:val="0"/>
              <w:adjustRightInd w:val="0"/>
              <w:spacing w:before="60" w:after="60"/>
              <w:jc w:val="center"/>
              <w:rPr>
                <w:sz w:val="22"/>
                <w:szCs w:val="22"/>
              </w:rPr>
            </w:pPr>
            <w:r w:rsidRPr="003C7825">
              <w:rPr>
                <w:sz w:val="22"/>
                <w:szCs w:val="22"/>
              </w:rPr>
              <w:t>OMB Approval</w:t>
            </w:r>
          </w:p>
        </w:tc>
        <w:tc>
          <w:tcPr>
            <w:tcW w:w="436" w:type="pct"/>
            <w:shd w:val="clear" w:color="auto" w:fill="D9D9D9" w:themeFill="background1" w:themeFillShade="D9"/>
            <w:vAlign w:val="center"/>
          </w:tcPr>
          <w:p w:rsidRPr="003C7825" w:rsidR="00A57998" w:rsidP="003C7825" w:rsidRDefault="00A57998" w14:paraId="3120FF7D" w14:textId="77777777">
            <w:pPr>
              <w:autoSpaceDE w:val="0"/>
              <w:autoSpaceDN w:val="0"/>
              <w:adjustRightInd w:val="0"/>
              <w:spacing w:before="60" w:after="60"/>
              <w:jc w:val="center"/>
              <w:rPr>
                <w:sz w:val="22"/>
                <w:szCs w:val="22"/>
              </w:rPr>
            </w:pPr>
            <w:r w:rsidRPr="003C7825">
              <w:rPr>
                <w:sz w:val="22"/>
                <w:szCs w:val="22"/>
              </w:rPr>
              <w:t>X</w:t>
            </w:r>
          </w:p>
        </w:tc>
        <w:tc>
          <w:tcPr>
            <w:tcW w:w="530" w:type="pct"/>
            <w:vAlign w:val="center"/>
          </w:tcPr>
          <w:p w:rsidRPr="003C7825" w:rsidR="00A57998" w:rsidP="003C7825" w:rsidRDefault="00A57998" w14:paraId="59F62F55" w14:textId="77777777">
            <w:pPr>
              <w:autoSpaceDE w:val="0"/>
              <w:autoSpaceDN w:val="0"/>
              <w:adjustRightInd w:val="0"/>
              <w:spacing w:before="60" w:after="60"/>
              <w:jc w:val="center"/>
              <w:rPr>
                <w:sz w:val="22"/>
                <w:szCs w:val="22"/>
              </w:rPr>
            </w:pPr>
          </w:p>
        </w:tc>
        <w:tc>
          <w:tcPr>
            <w:tcW w:w="529" w:type="pct"/>
            <w:vAlign w:val="center"/>
          </w:tcPr>
          <w:p w:rsidRPr="003C7825" w:rsidR="00A57998" w:rsidP="003C7825" w:rsidRDefault="00A57998" w14:paraId="5482B050" w14:textId="77777777">
            <w:pPr>
              <w:autoSpaceDE w:val="0"/>
              <w:autoSpaceDN w:val="0"/>
              <w:adjustRightInd w:val="0"/>
              <w:spacing w:before="60" w:after="60"/>
              <w:jc w:val="center"/>
              <w:rPr>
                <w:sz w:val="22"/>
                <w:szCs w:val="22"/>
              </w:rPr>
            </w:pPr>
          </w:p>
        </w:tc>
        <w:tc>
          <w:tcPr>
            <w:tcW w:w="530" w:type="pct"/>
            <w:vAlign w:val="center"/>
          </w:tcPr>
          <w:p w:rsidRPr="003C7825" w:rsidR="00A57998" w:rsidP="003C7825" w:rsidRDefault="00A57998" w14:paraId="34B2BE23" w14:textId="77777777">
            <w:pPr>
              <w:autoSpaceDE w:val="0"/>
              <w:autoSpaceDN w:val="0"/>
              <w:adjustRightInd w:val="0"/>
              <w:spacing w:before="60" w:after="60"/>
              <w:jc w:val="center"/>
              <w:rPr>
                <w:sz w:val="22"/>
                <w:szCs w:val="22"/>
              </w:rPr>
            </w:pPr>
          </w:p>
        </w:tc>
        <w:tc>
          <w:tcPr>
            <w:tcW w:w="512" w:type="pct"/>
            <w:vAlign w:val="center"/>
          </w:tcPr>
          <w:p w:rsidRPr="003C7825" w:rsidR="00A57998" w:rsidP="003C7825" w:rsidRDefault="00A57998" w14:paraId="48350CB9" w14:textId="77777777">
            <w:pPr>
              <w:autoSpaceDE w:val="0"/>
              <w:autoSpaceDN w:val="0"/>
              <w:adjustRightInd w:val="0"/>
              <w:spacing w:before="60" w:after="60"/>
              <w:jc w:val="center"/>
              <w:rPr>
                <w:sz w:val="22"/>
                <w:szCs w:val="22"/>
              </w:rPr>
            </w:pPr>
          </w:p>
        </w:tc>
        <w:tc>
          <w:tcPr>
            <w:tcW w:w="487" w:type="pct"/>
            <w:vAlign w:val="center"/>
          </w:tcPr>
          <w:p w:rsidRPr="003C7825" w:rsidR="00A57998" w:rsidP="003C7825" w:rsidRDefault="00A57998" w14:paraId="3635DE0A" w14:textId="77777777">
            <w:pPr>
              <w:autoSpaceDE w:val="0"/>
              <w:autoSpaceDN w:val="0"/>
              <w:adjustRightInd w:val="0"/>
              <w:spacing w:before="60" w:after="60"/>
              <w:jc w:val="center"/>
              <w:rPr>
                <w:sz w:val="22"/>
                <w:szCs w:val="22"/>
              </w:rPr>
            </w:pPr>
          </w:p>
        </w:tc>
        <w:tc>
          <w:tcPr>
            <w:tcW w:w="487" w:type="pct"/>
            <w:vAlign w:val="center"/>
          </w:tcPr>
          <w:p w:rsidRPr="003C7825" w:rsidR="00A57998" w:rsidP="003C7825" w:rsidRDefault="00A57998" w14:paraId="4B93EE63" w14:textId="77777777">
            <w:pPr>
              <w:autoSpaceDE w:val="0"/>
              <w:autoSpaceDN w:val="0"/>
              <w:adjustRightInd w:val="0"/>
              <w:spacing w:before="60" w:after="60"/>
              <w:jc w:val="center"/>
              <w:rPr>
                <w:sz w:val="22"/>
                <w:szCs w:val="22"/>
              </w:rPr>
            </w:pPr>
          </w:p>
        </w:tc>
        <w:tc>
          <w:tcPr>
            <w:tcW w:w="484" w:type="pct"/>
            <w:vAlign w:val="center"/>
          </w:tcPr>
          <w:p w:rsidRPr="003C7825" w:rsidR="00A57998" w:rsidP="003C7825" w:rsidRDefault="00A57998" w14:paraId="052D341E" w14:textId="77777777">
            <w:pPr>
              <w:autoSpaceDE w:val="0"/>
              <w:autoSpaceDN w:val="0"/>
              <w:adjustRightInd w:val="0"/>
              <w:spacing w:before="60" w:after="60"/>
              <w:jc w:val="center"/>
              <w:rPr>
                <w:sz w:val="22"/>
                <w:szCs w:val="22"/>
              </w:rPr>
            </w:pPr>
          </w:p>
        </w:tc>
      </w:tr>
      <w:tr w:rsidRPr="003C7825" w:rsidR="003C7825" w:rsidTr="003C7825" w14:paraId="54BA5A20" w14:textId="77777777">
        <w:tc>
          <w:tcPr>
            <w:tcW w:w="1005" w:type="pct"/>
            <w:vAlign w:val="center"/>
          </w:tcPr>
          <w:p w:rsidRPr="003C7825" w:rsidR="00A57998" w:rsidP="003C7825" w:rsidRDefault="00A57998" w14:paraId="3C6B52BC" w14:textId="77777777">
            <w:pPr>
              <w:autoSpaceDE w:val="0"/>
              <w:autoSpaceDN w:val="0"/>
              <w:adjustRightInd w:val="0"/>
              <w:spacing w:before="60" w:after="60"/>
              <w:jc w:val="center"/>
              <w:rPr>
                <w:sz w:val="22"/>
                <w:szCs w:val="22"/>
              </w:rPr>
            </w:pPr>
            <w:r w:rsidRPr="003C7825">
              <w:rPr>
                <w:sz w:val="22"/>
                <w:szCs w:val="22"/>
              </w:rPr>
              <w:t>Prepare Online Survey</w:t>
            </w:r>
          </w:p>
        </w:tc>
        <w:tc>
          <w:tcPr>
            <w:tcW w:w="436" w:type="pct"/>
            <w:shd w:val="clear" w:color="auto" w:fill="FFFFFF" w:themeFill="background1"/>
            <w:vAlign w:val="center"/>
          </w:tcPr>
          <w:p w:rsidRPr="003C7825" w:rsidR="00A57998" w:rsidP="003C7825" w:rsidRDefault="00A57998" w14:paraId="7C51BF59" w14:textId="77777777">
            <w:pPr>
              <w:autoSpaceDE w:val="0"/>
              <w:autoSpaceDN w:val="0"/>
              <w:adjustRightInd w:val="0"/>
              <w:spacing w:before="60" w:after="60"/>
              <w:jc w:val="center"/>
              <w:rPr>
                <w:sz w:val="22"/>
                <w:szCs w:val="22"/>
              </w:rPr>
            </w:pPr>
          </w:p>
        </w:tc>
        <w:tc>
          <w:tcPr>
            <w:tcW w:w="530" w:type="pct"/>
            <w:shd w:val="clear" w:color="auto" w:fill="D9D9D9" w:themeFill="background1" w:themeFillShade="D9"/>
            <w:vAlign w:val="center"/>
          </w:tcPr>
          <w:p w:rsidRPr="003C7825" w:rsidR="00A57998" w:rsidP="003C7825" w:rsidRDefault="00A57998" w14:paraId="6726BD5B" w14:textId="77777777">
            <w:pPr>
              <w:autoSpaceDE w:val="0"/>
              <w:autoSpaceDN w:val="0"/>
              <w:adjustRightInd w:val="0"/>
              <w:spacing w:before="60" w:after="60"/>
              <w:jc w:val="center"/>
              <w:rPr>
                <w:sz w:val="22"/>
                <w:szCs w:val="22"/>
              </w:rPr>
            </w:pPr>
            <w:r w:rsidRPr="003C7825">
              <w:rPr>
                <w:sz w:val="22"/>
                <w:szCs w:val="22"/>
              </w:rPr>
              <w:t>X</w:t>
            </w:r>
          </w:p>
        </w:tc>
        <w:tc>
          <w:tcPr>
            <w:tcW w:w="529" w:type="pct"/>
            <w:shd w:val="clear" w:color="auto" w:fill="D9D9D9" w:themeFill="background1" w:themeFillShade="D9"/>
            <w:vAlign w:val="center"/>
          </w:tcPr>
          <w:p w:rsidRPr="003C7825" w:rsidR="00A57998" w:rsidP="003C7825" w:rsidRDefault="00A57998" w14:paraId="543B27FF" w14:textId="77777777">
            <w:pPr>
              <w:autoSpaceDE w:val="0"/>
              <w:autoSpaceDN w:val="0"/>
              <w:adjustRightInd w:val="0"/>
              <w:spacing w:before="60" w:after="60"/>
              <w:jc w:val="center"/>
              <w:rPr>
                <w:sz w:val="22"/>
                <w:szCs w:val="22"/>
              </w:rPr>
            </w:pPr>
            <w:r w:rsidRPr="003C7825">
              <w:rPr>
                <w:sz w:val="22"/>
                <w:szCs w:val="22"/>
              </w:rPr>
              <w:t>X</w:t>
            </w:r>
          </w:p>
        </w:tc>
        <w:tc>
          <w:tcPr>
            <w:tcW w:w="530" w:type="pct"/>
            <w:vAlign w:val="center"/>
          </w:tcPr>
          <w:p w:rsidRPr="003C7825" w:rsidR="00A57998" w:rsidP="003C7825" w:rsidRDefault="00A57998" w14:paraId="7C7A369A" w14:textId="77777777">
            <w:pPr>
              <w:autoSpaceDE w:val="0"/>
              <w:autoSpaceDN w:val="0"/>
              <w:adjustRightInd w:val="0"/>
              <w:spacing w:before="60" w:after="60"/>
              <w:jc w:val="center"/>
              <w:rPr>
                <w:sz w:val="22"/>
                <w:szCs w:val="22"/>
              </w:rPr>
            </w:pPr>
          </w:p>
        </w:tc>
        <w:tc>
          <w:tcPr>
            <w:tcW w:w="512" w:type="pct"/>
            <w:vAlign w:val="center"/>
          </w:tcPr>
          <w:p w:rsidRPr="003C7825" w:rsidR="00A57998" w:rsidP="003C7825" w:rsidRDefault="00A57998" w14:paraId="778DB165" w14:textId="77777777">
            <w:pPr>
              <w:autoSpaceDE w:val="0"/>
              <w:autoSpaceDN w:val="0"/>
              <w:adjustRightInd w:val="0"/>
              <w:spacing w:before="60" w:after="60"/>
              <w:jc w:val="center"/>
              <w:rPr>
                <w:sz w:val="22"/>
                <w:szCs w:val="22"/>
              </w:rPr>
            </w:pPr>
          </w:p>
        </w:tc>
        <w:tc>
          <w:tcPr>
            <w:tcW w:w="487" w:type="pct"/>
            <w:vAlign w:val="center"/>
          </w:tcPr>
          <w:p w:rsidRPr="003C7825" w:rsidR="00A57998" w:rsidP="003C7825" w:rsidRDefault="00A57998" w14:paraId="11DB6ED9" w14:textId="77777777">
            <w:pPr>
              <w:autoSpaceDE w:val="0"/>
              <w:autoSpaceDN w:val="0"/>
              <w:adjustRightInd w:val="0"/>
              <w:spacing w:before="60" w:after="60"/>
              <w:jc w:val="center"/>
              <w:rPr>
                <w:sz w:val="22"/>
                <w:szCs w:val="22"/>
              </w:rPr>
            </w:pPr>
          </w:p>
        </w:tc>
        <w:tc>
          <w:tcPr>
            <w:tcW w:w="487" w:type="pct"/>
            <w:vAlign w:val="center"/>
          </w:tcPr>
          <w:p w:rsidRPr="003C7825" w:rsidR="00A57998" w:rsidP="003C7825" w:rsidRDefault="00A57998" w14:paraId="2A3837C0" w14:textId="77777777">
            <w:pPr>
              <w:autoSpaceDE w:val="0"/>
              <w:autoSpaceDN w:val="0"/>
              <w:adjustRightInd w:val="0"/>
              <w:spacing w:before="60" w:after="60"/>
              <w:jc w:val="center"/>
              <w:rPr>
                <w:sz w:val="22"/>
                <w:szCs w:val="22"/>
              </w:rPr>
            </w:pPr>
          </w:p>
        </w:tc>
        <w:tc>
          <w:tcPr>
            <w:tcW w:w="484" w:type="pct"/>
            <w:vAlign w:val="center"/>
          </w:tcPr>
          <w:p w:rsidRPr="003C7825" w:rsidR="00A57998" w:rsidP="003C7825" w:rsidRDefault="00A57998" w14:paraId="49BF8E13" w14:textId="77777777">
            <w:pPr>
              <w:autoSpaceDE w:val="0"/>
              <w:autoSpaceDN w:val="0"/>
              <w:adjustRightInd w:val="0"/>
              <w:spacing w:before="60" w:after="60"/>
              <w:jc w:val="center"/>
              <w:rPr>
                <w:sz w:val="22"/>
                <w:szCs w:val="22"/>
              </w:rPr>
            </w:pPr>
          </w:p>
        </w:tc>
      </w:tr>
      <w:tr w:rsidRPr="003C7825" w:rsidR="003C7825" w:rsidTr="003C7825" w14:paraId="79702430" w14:textId="77777777">
        <w:tc>
          <w:tcPr>
            <w:tcW w:w="1005" w:type="pct"/>
            <w:vAlign w:val="center"/>
          </w:tcPr>
          <w:p w:rsidRPr="003C7825" w:rsidR="00A57998" w:rsidP="003C7825" w:rsidRDefault="008838BA" w14:paraId="0C2054B2" w14:textId="4D6CF78D">
            <w:pPr>
              <w:autoSpaceDE w:val="0"/>
              <w:autoSpaceDN w:val="0"/>
              <w:adjustRightInd w:val="0"/>
              <w:spacing w:before="60" w:after="60"/>
              <w:jc w:val="center"/>
              <w:rPr>
                <w:sz w:val="22"/>
                <w:szCs w:val="22"/>
              </w:rPr>
            </w:pPr>
            <w:r w:rsidRPr="003C7825">
              <w:rPr>
                <w:sz w:val="22"/>
                <w:szCs w:val="22"/>
              </w:rPr>
              <w:t>Conduct</w:t>
            </w:r>
            <w:r w:rsidRPr="003C7825" w:rsidR="00A57998">
              <w:rPr>
                <w:sz w:val="22"/>
                <w:szCs w:val="22"/>
              </w:rPr>
              <w:t xml:space="preserve"> </w:t>
            </w:r>
            <w:r w:rsidR="003C7825">
              <w:rPr>
                <w:sz w:val="22"/>
                <w:szCs w:val="22"/>
              </w:rPr>
              <w:t>S</w:t>
            </w:r>
            <w:r w:rsidRPr="003C7825" w:rsidR="00A57998">
              <w:rPr>
                <w:sz w:val="22"/>
                <w:szCs w:val="22"/>
              </w:rPr>
              <w:t>urvey</w:t>
            </w:r>
            <w:r w:rsidR="003C7825">
              <w:rPr>
                <w:sz w:val="22"/>
                <w:szCs w:val="22"/>
              </w:rPr>
              <w:t xml:space="preserve"> and Focus G</w:t>
            </w:r>
            <w:r w:rsidRPr="003C7825">
              <w:rPr>
                <w:sz w:val="22"/>
                <w:szCs w:val="22"/>
              </w:rPr>
              <w:t>roups</w:t>
            </w:r>
          </w:p>
        </w:tc>
        <w:tc>
          <w:tcPr>
            <w:tcW w:w="436" w:type="pct"/>
            <w:shd w:val="clear" w:color="auto" w:fill="FFFFFF" w:themeFill="background1"/>
            <w:vAlign w:val="center"/>
          </w:tcPr>
          <w:p w:rsidRPr="003C7825" w:rsidR="00A57998" w:rsidP="003C7825" w:rsidRDefault="00A57998" w14:paraId="4F5DE6B0" w14:textId="77777777">
            <w:pPr>
              <w:autoSpaceDE w:val="0"/>
              <w:autoSpaceDN w:val="0"/>
              <w:adjustRightInd w:val="0"/>
              <w:spacing w:before="60" w:after="60"/>
              <w:jc w:val="center"/>
              <w:rPr>
                <w:sz w:val="22"/>
                <w:szCs w:val="22"/>
              </w:rPr>
            </w:pPr>
          </w:p>
        </w:tc>
        <w:tc>
          <w:tcPr>
            <w:tcW w:w="530" w:type="pct"/>
            <w:shd w:val="clear" w:color="auto" w:fill="FFFFFF" w:themeFill="background1"/>
            <w:vAlign w:val="center"/>
          </w:tcPr>
          <w:p w:rsidRPr="003C7825" w:rsidR="00A57998" w:rsidP="003C7825" w:rsidRDefault="00A57998" w14:paraId="6067C65A" w14:textId="77777777">
            <w:pPr>
              <w:autoSpaceDE w:val="0"/>
              <w:autoSpaceDN w:val="0"/>
              <w:adjustRightInd w:val="0"/>
              <w:spacing w:before="60" w:after="60"/>
              <w:jc w:val="center"/>
              <w:rPr>
                <w:sz w:val="22"/>
                <w:szCs w:val="22"/>
              </w:rPr>
            </w:pPr>
          </w:p>
        </w:tc>
        <w:tc>
          <w:tcPr>
            <w:tcW w:w="529" w:type="pct"/>
            <w:shd w:val="clear" w:color="auto" w:fill="D9D9D9" w:themeFill="background1" w:themeFillShade="D9"/>
            <w:vAlign w:val="center"/>
          </w:tcPr>
          <w:p w:rsidRPr="003C7825" w:rsidR="00A57998" w:rsidP="003C7825" w:rsidRDefault="00A57998" w14:paraId="0831516D" w14:textId="77777777">
            <w:pPr>
              <w:autoSpaceDE w:val="0"/>
              <w:autoSpaceDN w:val="0"/>
              <w:adjustRightInd w:val="0"/>
              <w:spacing w:before="60" w:after="60"/>
              <w:jc w:val="center"/>
              <w:rPr>
                <w:sz w:val="22"/>
                <w:szCs w:val="22"/>
              </w:rPr>
            </w:pPr>
            <w:r w:rsidRPr="003C7825">
              <w:rPr>
                <w:sz w:val="22"/>
                <w:szCs w:val="22"/>
              </w:rPr>
              <w:t>X</w:t>
            </w:r>
          </w:p>
        </w:tc>
        <w:tc>
          <w:tcPr>
            <w:tcW w:w="530" w:type="pct"/>
            <w:shd w:val="clear" w:color="auto" w:fill="D9D9D9" w:themeFill="background1" w:themeFillShade="D9"/>
            <w:vAlign w:val="center"/>
          </w:tcPr>
          <w:p w:rsidRPr="003C7825" w:rsidR="00A57998" w:rsidP="003C7825" w:rsidRDefault="00A57998" w14:paraId="670D7732" w14:textId="77777777">
            <w:pPr>
              <w:autoSpaceDE w:val="0"/>
              <w:autoSpaceDN w:val="0"/>
              <w:adjustRightInd w:val="0"/>
              <w:spacing w:before="60" w:after="60"/>
              <w:jc w:val="center"/>
              <w:rPr>
                <w:sz w:val="22"/>
                <w:szCs w:val="22"/>
              </w:rPr>
            </w:pPr>
            <w:r w:rsidRPr="003C7825">
              <w:rPr>
                <w:sz w:val="22"/>
                <w:szCs w:val="22"/>
              </w:rPr>
              <w:t>X</w:t>
            </w:r>
          </w:p>
        </w:tc>
        <w:tc>
          <w:tcPr>
            <w:tcW w:w="512" w:type="pct"/>
            <w:shd w:val="clear" w:color="auto" w:fill="D9D9D9" w:themeFill="background1" w:themeFillShade="D9"/>
            <w:vAlign w:val="center"/>
          </w:tcPr>
          <w:p w:rsidRPr="003C7825" w:rsidR="00A57998" w:rsidP="003C7825" w:rsidRDefault="00A57998" w14:paraId="0AA2A6A3" w14:textId="77777777">
            <w:pPr>
              <w:autoSpaceDE w:val="0"/>
              <w:autoSpaceDN w:val="0"/>
              <w:adjustRightInd w:val="0"/>
              <w:spacing w:before="60" w:after="60"/>
              <w:jc w:val="center"/>
              <w:rPr>
                <w:sz w:val="22"/>
                <w:szCs w:val="22"/>
              </w:rPr>
            </w:pPr>
            <w:r w:rsidRPr="003C7825">
              <w:rPr>
                <w:sz w:val="22"/>
                <w:szCs w:val="22"/>
              </w:rPr>
              <w:t>X</w:t>
            </w:r>
          </w:p>
        </w:tc>
        <w:tc>
          <w:tcPr>
            <w:tcW w:w="487" w:type="pct"/>
            <w:shd w:val="clear" w:color="auto" w:fill="D9D9D9" w:themeFill="background1" w:themeFillShade="D9"/>
            <w:vAlign w:val="center"/>
          </w:tcPr>
          <w:p w:rsidRPr="003C7825" w:rsidR="00A57998" w:rsidP="003C7825" w:rsidRDefault="00A57998" w14:paraId="1CDF7D27" w14:textId="77777777">
            <w:pPr>
              <w:autoSpaceDE w:val="0"/>
              <w:autoSpaceDN w:val="0"/>
              <w:adjustRightInd w:val="0"/>
              <w:spacing w:before="60" w:after="60"/>
              <w:jc w:val="center"/>
              <w:rPr>
                <w:sz w:val="22"/>
                <w:szCs w:val="22"/>
              </w:rPr>
            </w:pPr>
            <w:r w:rsidRPr="003C7825">
              <w:rPr>
                <w:sz w:val="22"/>
                <w:szCs w:val="22"/>
              </w:rPr>
              <w:t>X</w:t>
            </w:r>
          </w:p>
        </w:tc>
        <w:tc>
          <w:tcPr>
            <w:tcW w:w="487" w:type="pct"/>
            <w:vAlign w:val="center"/>
          </w:tcPr>
          <w:p w:rsidRPr="003C7825" w:rsidR="00A57998" w:rsidP="003C7825" w:rsidRDefault="00A57998" w14:paraId="44D11503" w14:textId="77777777">
            <w:pPr>
              <w:autoSpaceDE w:val="0"/>
              <w:autoSpaceDN w:val="0"/>
              <w:adjustRightInd w:val="0"/>
              <w:spacing w:before="60" w:after="60"/>
              <w:jc w:val="center"/>
              <w:rPr>
                <w:sz w:val="22"/>
                <w:szCs w:val="22"/>
              </w:rPr>
            </w:pPr>
          </w:p>
        </w:tc>
        <w:tc>
          <w:tcPr>
            <w:tcW w:w="484" w:type="pct"/>
            <w:vAlign w:val="center"/>
          </w:tcPr>
          <w:p w:rsidRPr="003C7825" w:rsidR="00A57998" w:rsidP="003C7825" w:rsidRDefault="00A57998" w14:paraId="241FF7BF" w14:textId="77777777">
            <w:pPr>
              <w:autoSpaceDE w:val="0"/>
              <w:autoSpaceDN w:val="0"/>
              <w:adjustRightInd w:val="0"/>
              <w:spacing w:before="60" w:after="60"/>
              <w:jc w:val="center"/>
              <w:rPr>
                <w:sz w:val="22"/>
                <w:szCs w:val="22"/>
              </w:rPr>
            </w:pPr>
          </w:p>
        </w:tc>
      </w:tr>
      <w:tr w:rsidRPr="003C7825" w:rsidR="003C7825" w:rsidTr="003C7825" w14:paraId="642A8C5B" w14:textId="77777777">
        <w:tc>
          <w:tcPr>
            <w:tcW w:w="1005" w:type="pct"/>
            <w:vAlign w:val="center"/>
          </w:tcPr>
          <w:p w:rsidRPr="003C7825" w:rsidR="00A57998" w:rsidP="003C7825" w:rsidRDefault="00A57998" w14:paraId="5E29426B" w14:textId="77777777">
            <w:pPr>
              <w:autoSpaceDE w:val="0"/>
              <w:autoSpaceDN w:val="0"/>
              <w:adjustRightInd w:val="0"/>
              <w:spacing w:before="60" w:after="60"/>
              <w:jc w:val="center"/>
              <w:rPr>
                <w:sz w:val="22"/>
                <w:szCs w:val="22"/>
              </w:rPr>
            </w:pPr>
            <w:r w:rsidRPr="003C7825">
              <w:rPr>
                <w:sz w:val="22"/>
                <w:szCs w:val="22"/>
              </w:rPr>
              <w:t>Data Analysis</w:t>
            </w:r>
          </w:p>
        </w:tc>
        <w:tc>
          <w:tcPr>
            <w:tcW w:w="436" w:type="pct"/>
            <w:shd w:val="clear" w:color="auto" w:fill="FFFFFF" w:themeFill="background1"/>
            <w:vAlign w:val="center"/>
          </w:tcPr>
          <w:p w:rsidRPr="003C7825" w:rsidR="00A57998" w:rsidP="003C7825" w:rsidRDefault="00A57998" w14:paraId="6FE5DBCF" w14:textId="77777777">
            <w:pPr>
              <w:autoSpaceDE w:val="0"/>
              <w:autoSpaceDN w:val="0"/>
              <w:adjustRightInd w:val="0"/>
              <w:spacing w:before="60" w:after="60"/>
              <w:jc w:val="center"/>
              <w:rPr>
                <w:sz w:val="22"/>
                <w:szCs w:val="22"/>
              </w:rPr>
            </w:pPr>
          </w:p>
        </w:tc>
        <w:tc>
          <w:tcPr>
            <w:tcW w:w="530" w:type="pct"/>
            <w:shd w:val="clear" w:color="auto" w:fill="FFFFFF" w:themeFill="background1"/>
            <w:vAlign w:val="center"/>
          </w:tcPr>
          <w:p w:rsidRPr="003C7825" w:rsidR="00A57998" w:rsidP="003C7825" w:rsidRDefault="00A57998" w14:paraId="602E8557" w14:textId="77777777">
            <w:pPr>
              <w:autoSpaceDE w:val="0"/>
              <w:autoSpaceDN w:val="0"/>
              <w:adjustRightInd w:val="0"/>
              <w:spacing w:before="60" w:after="60"/>
              <w:jc w:val="center"/>
              <w:rPr>
                <w:sz w:val="22"/>
                <w:szCs w:val="22"/>
              </w:rPr>
            </w:pPr>
          </w:p>
        </w:tc>
        <w:tc>
          <w:tcPr>
            <w:tcW w:w="529" w:type="pct"/>
            <w:vAlign w:val="center"/>
          </w:tcPr>
          <w:p w:rsidRPr="003C7825" w:rsidR="00A57998" w:rsidP="003C7825" w:rsidRDefault="00A57998" w14:paraId="73BE3F3B" w14:textId="77777777">
            <w:pPr>
              <w:autoSpaceDE w:val="0"/>
              <w:autoSpaceDN w:val="0"/>
              <w:adjustRightInd w:val="0"/>
              <w:spacing w:before="60" w:after="60"/>
              <w:jc w:val="center"/>
              <w:rPr>
                <w:sz w:val="22"/>
                <w:szCs w:val="22"/>
              </w:rPr>
            </w:pPr>
          </w:p>
        </w:tc>
        <w:tc>
          <w:tcPr>
            <w:tcW w:w="530" w:type="pct"/>
            <w:shd w:val="clear" w:color="auto" w:fill="D9D9D9" w:themeFill="background1" w:themeFillShade="D9"/>
            <w:vAlign w:val="center"/>
          </w:tcPr>
          <w:p w:rsidRPr="003C7825" w:rsidR="00A57998" w:rsidP="003C7825" w:rsidRDefault="00A57998" w14:paraId="648CB876" w14:textId="77777777">
            <w:pPr>
              <w:autoSpaceDE w:val="0"/>
              <w:autoSpaceDN w:val="0"/>
              <w:adjustRightInd w:val="0"/>
              <w:spacing w:before="60" w:after="60"/>
              <w:jc w:val="center"/>
              <w:rPr>
                <w:sz w:val="22"/>
                <w:szCs w:val="22"/>
              </w:rPr>
            </w:pPr>
            <w:r w:rsidRPr="003C7825">
              <w:rPr>
                <w:sz w:val="22"/>
                <w:szCs w:val="22"/>
              </w:rPr>
              <w:t>X</w:t>
            </w:r>
          </w:p>
        </w:tc>
        <w:tc>
          <w:tcPr>
            <w:tcW w:w="512" w:type="pct"/>
            <w:shd w:val="clear" w:color="auto" w:fill="D9D9D9" w:themeFill="background1" w:themeFillShade="D9"/>
            <w:vAlign w:val="center"/>
          </w:tcPr>
          <w:p w:rsidRPr="003C7825" w:rsidR="00A57998" w:rsidP="003C7825" w:rsidRDefault="00A57998" w14:paraId="058D74CA" w14:textId="77777777">
            <w:pPr>
              <w:autoSpaceDE w:val="0"/>
              <w:autoSpaceDN w:val="0"/>
              <w:adjustRightInd w:val="0"/>
              <w:spacing w:before="60" w:after="60"/>
              <w:jc w:val="center"/>
              <w:rPr>
                <w:sz w:val="22"/>
                <w:szCs w:val="22"/>
              </w:rPr>
            </w:pPr>
            <w:r w:rsidRPr="003C7825">
              <w:rPr>
                <w:sz w:val="22"/>
                <w:szCs w:val="22"/>
              </w:rPr>
              <w:t>X</w:t>
            </w:r>
          </w:p>
        </w:tc>
        <w:tc>
          <w:tcPr>
            <w:tcW w:w="487" w:type="pct"/>
            <w:shd w:val="clear" w:color="auto" w:fill="D9D9D9" w:themeFill="background1" w:themeFillShade="D9"/>
            <w:vAlign w:val="center"/>
          </w:tcPr>
          <w:p w:rsidRPr="003C7825" w:rsidR="00A57998" w:rsidP="003C7825" w:rsidRDefault="00A57998" w14:paraId="1EC62EC5" w14:textId="77777777">
            <w:pPr>
              <w:autoSpaceDE w:val="0"/>
              <w:autoSpaceDN w:val="0"/>
              <w:adjustRightInd w:val="0"/>
              <w:spacing w:before="60" w:after="60"/>
              <w:jc w:val="center"/>
              <w:rPr>
                <w:sz w:val="22"/>
                <w:szCs w:val="22"/>
              </w:rPr>
            </w:pPr>
            <w:r w:rsidRPr="003C7825">
              <w:rPr>
                <w:sz w:val="22"/>
                <w:szCs w:val="22"/>
              </w:rPr>
              <w:t>X</w:t>
            </w:r>
          </w:p>
        </w:tc>
        <w:tc>
          <w:tcPr>
            <w:tcW w:w="487" w:type="pct"/>
            <w:shd w:val="clear" w:color="auto" w:fill="D9D9D9" w:themeFill="background1" w:themeFillShade="D9"/>
            <w:vAlign w:val="center"/>
          </w:tcPr>
          <w:p w:rsidRPr="003C7825" w:rsidR="00A57998" w:rsidP="003C7825" w:rsidRDefault="00A57998" w14:paraId="33FCF6B0" w14:textId="77777777">
            <w:pPr>
              <w:autoSpaceDE w:val="0"/>
              <w:autoSpaceDN w:val="0"/>
              <w:adjustRightInd w:val="0"/>
              <w:spacing w:before="60" w:after="60"/>
              <w:jc w:val="center"/>
              <w:rPr>
                <w:sz w:val="22"/>
                <w:szCs w:val="22"/>
              </w:rPr>
            </w:pPr>
            <w:r w:rsidRPr="003C7825">
              <w:rPr>
                <w:sz w:val="22"/>
                <w:szCs w:val="22"/>
              </w:rPr>
              <w:t>X</w:t>
            </w:r>
          </w:p>
        </w:tc>
        <w:tc>
          <w:tcPr>
            <w:tcW w:w="484" w:type="pct"/>
            <w:vAlign w:val="center"/>
          </w:tcPr>
          <w:p w:rsidRPr="003C7825" w:rsidR="00A57998" w:rsidP="003C7825" w:rsidRDefault="00A57998" w14:paraId="0A907D7B" w14:textId="77777777">
            <w:pPr>
              <w:autoSpaceDE w:val="0"/>
              <w:autoSpaceDN w:val="0"/>
              <w:adjustRightInd w:val="0"/>
              <w:spacing w:before="60" w:after="60"/>
              <w:jc w:val="center"/>
              <w:rPr>
                <w:sz w:val="22"/>
                <w:szCs w:val="22"/>
              </w:rPr>
            </w:pPr>
          </w:p>
        </w:tc>
      </w:tr>
      <w:tr w:rsidRPr="003C7825" w:rsidR="003C7825" w:rsidTr="003C7825" w14:paraId="36BBD9C1" w14:textId="77777777">
        <w:tc>
          <w:tcPr>
            <w:tcW w:w="1005" w:type="pct"/>
            <w:vAlign w:val="center"/>
          </w:tcPr>
          <w:p w:rsidRPr="003C7825" w:rsidR="00A57998" w:rsidP="003C7825" w:rsidRDefault="008838BA" w14:paraId="4F57737F" w14:textId="1E32B936">
            <w:pPr>
              <w:autoSpaceDE w:val="0"/>
              <w:autoSpaceDN w:val="0"/>
              <w:adjustRightInd w:val="0"/>
              <w:spacing w:before="60" w:after="60"/>
              <w:jc w:val="center"/>
              <w:rPr>
                <w:sz w:val="22"/>
                <w:szCs w:val="22"/>
              </w:rPr>
            </w:pPr>
            <w:r w:rsidRPr="003C7825">
              <w:rPr>
                <w:sz w:val="22"/>
                <w:szCs w:val="22"/>
              </w:rPr>
              <w:t>Final Report</w:t>
            </w:r>
          </w:p>
        </w:tc>
        <w:tc>
          <w:tcPr>
            <w:tcW w:w="436" w:type="pct"/>
            <w:shd w:val="clear" w:color="auto" w:fill="FFFFFF" w:themeFill="background1"/>
            <w:vAlign w:val="center"/>
          </w:tcPr>
          <w:p w:rsidRPr="003C7825" w:rsidR="00A57998" w:rsidP="003C7825" w:rsidRDefault="00A57998" w14:paraId="68F6B350" w14:textId="77777777">
            <w:pPr>
              <w:autoSpaceDE w:val="0"/>
              <w:autoSpaceDN w:val="0"/>
              <w:adjustRightInd w:val="0"/>
              <w:spacing w:before="60" w:after="60"/>
              <w:jc w:val="center"/>
              <w:rPr>
                <w:sz w:val="22"/>
                <w:szCs w:val="22"/>
              </w:rPr>
            </w:pPr>
          </w:p>
        </w:tc>
        <w:tc>
          <w:tcPr>
            <w:tcW w:w="530" w:type="pct"/>
            <w:shd w:val="clear" w:color="auto" w:fill="FFFFFF" w:themeFill="background1"/>
            <w:vAlign w:val="center"/>
          </w:tcPr>
          <w:p w:rsidRPr="003C7825" w:rsidR="00A57998" w:rsidP="003C7825" w:rsidRDefault="00A57998" w14:paraId="5B49FEA5" w14:textId="77777777">
            <w:pPr>
              <w:autoSpaceDE w:val="0"/>
              <w:autoSpaceDN w:val="0"/>
              <w:adjustRightInd w:val="0"/>
              <w:spacing w:before="60" w:after="60"/>
              <w:jc w:val="center"/>
              <w:rPr>
                <w:sz w:val="22"/>
                <w:szCs w:val="22"/>
              </w:rPr>
            </w:pPr>
          </w:p>
        </w:tc>
        <w:tc>
          <w:tcPr>
            <w:tcW w:w="529" w:type="pct"/>
            <w:vAlign w:val="center"/>
          </w:tcPr>
          <w:p w:rsidRPr="003C7825" w:rsidR="00A57998" w:rsidP="003C7825" w:rsidRDefault="00A57998" w14:paraId="40BAE013" w14:textId="77777777">
            <w:pPr>
              <w:autoSpaceDE w:val="0"/>
              <w:autoSpaceDN w:val="0"/>
              <w:adjustRightInd w:val="0"/>
              <w:spacing w:before="60" w:after="60"/>
              <w:jc w:val="center"/>
              <w:rPr>
                <w:sz w:val="22"/>
                <w:szCs w:val="22"/>
              </w:rPr>
            </w:pPr>
          </w:p>
        </w:tc>
        <w:tc>
          <w:tcPr>
            <w:tcW w:w="530" w:type="pct"/>
            <w:vAlign w:val="center"/>
          </w:tcPr>
          <w:p w:rsidRPr="003C7825" w:rsidR="00A57998" w:rsidP="003C7825" w:rsidRDefault="00A57998" w14:paraId="5C331477" w14:textId="77777777">
            <w:pPr>
              <w:autoSpaceDE w:val="0"/>
              <w:autoSpaceDN w:val="0"/>
              <w:adjustRightInd w:val="0"/>
              <w:spacing w:before="60" w:after="60"/>
              <w:jc w:val="center"/>
              <w:rPr>
                <w:sz w:val="22"/>
                <w:szCs w:val="22"/>
              </w:rPr>
            </w:pPr>
          </w:p>
        </w:tc>
        <w:tc>
          <w:tcPr>
            <w:tcW w:w="512" w:type="pct"/>
            <w:vAlign w:val="center"/>
          </w:tcPr>
          <w:p w:rsidRPr="003C7825" w:rsidR="00A57998" w:rsidP="003C7825" w:rsidRDefault="00A57998" w14:paraId="2EA4F1B9" w14:textId="77777777">
            <w:pPr>
              <w:autoSpaceDE w:val="0"/>
              <w:autoSpaceDN w:val="0"/>
              <w:adjustRightInd w:val="0"/>
              <w:spacing w:before="60" w:after="60"/>
              <w:jc w:val="center"/>
              <w:rPr>
                <w:sz w:val="22"/>
                <w:szCs w:val="22"/>
              </w:rPr>
            </w:pPr>
          </w:p>
        </w:tc>
        <w:tc>
          <w:tcPr>
            <w:tcW w:w="487" w:type="pct"/>
            <w:vAlign w:val="center"/>
          </w:tcPr>
          <w:p w:rsidRPr="003C7825" w:rsidR="00A57998" w:rsidP="003C7825" w:rsidRDefault="00A57998" w14:paraId="08DA0D8B" w14:textId="77777777">
            <w:pPr>
              <w:autoSpaceDE w:val="0"/>
              <w:autoSpaceDN w:val="0"/>
              <w:adjustRightInd w:val="0"/>
              <w:spacing w:before="60" w:after="60"/>
              <w:jc w:val="center"/>
              <w:rPr>
                <w:sz w:val="22"/>
                <w:szCs w:val="22"/>
              </w:rPr>
            </w:pPr>
          </w:p>
        </w:tc>
        <w:tc>
          <w:tcPr>
            <w:tcW w:w="487" w:type="pct"/>
            <w:shd w:val="clear" w:color="auto" w:fill="D9D9D9" w:themeFill="background1" w:themeFillShade="D9"/>
            <w:vAlign w:val="center"/>
          </w:tcPr>
          <w:p w:rsidRPr="003C7825" w:rsidR="00A57998" w:rsidP="003C7825" w:rsidRDefault="00A57998" w14:paraId="30463DFA" w14:textId="77777777">
            <w:pPr>
              <w:autoSpaceDE w:val="0"/>
              <w:autoSpaceDN w:val="0"/>
              <w:adjustRightInd w:val="0"/>
              <w:spacing w:before="60" w:after="60"/>
              <w:jc w:val="center"/>
              <w:rPr>
                <w:sz w:val="22"/>
                <w:szCs w:val="22"/>
              </w:rPr>
            </w:pPr>
            <w:r w:rsidRPr="003C7825">
              <w:rPr>
                <w:sz w:val="22"/>
                <w:szCs w:val="22"/>
              </w:rPr>
              <w:t>X</w:t>
            </w:r>
          </w:p>
        </w:tc>
        <w:tc>
          <w:tcPr>
            <w:tcW w:w="484" w:type="pct"/>
            <w:shd w:val="clear" w:color="auto" w:fill="D9D9D9" w:themeFill="background1" w:themeFillShade="D9"/>
            <w:vAlign w:val="center"/>
          </w:tcPr>
          <w:p w:rsidRPr="003C7825" w:rsidR="00A57998" w:rsidP="003C7825" w:rsidRDefault="00A57998" w14:paraId="11C4674E" w14:textId="77777777">
            <w:pPr>
              <w:autoSpaceDE w:val="0"/>
              <w:autoSpaceDN w:val="0"/>
              <w:adjustRightInd w:val="0"/>
              <w:spacing w:before="60" w:after="60"/>
              <w:jc w:val="center"/>
              <w:rPr>
                <w:sz w:val="22"/>
                <w:szCs w:val="22"/>
              </w:rPr>
            </w:pPr>
            <w:r w:rsidRPr="003C7825">
              <w:rPr>
                <w:sz w:val="22"/>
                <w:szCs w:val="22"/>
              </w:rPr>
              <w:t>X</w:t>
            </w:r>
          </w:p>
        </w:tc>
      </w:tr>
    </w:tbl>
    <w:p w:rsidRPr="003B032C" w:rsidR="005C3A95" w:rsidP="003B032C" w:rsidRDefault="009E5495" w14:paraId="6998AA62" w14:textId="75B30E54">
      <w:pPr>
        <w:pStyle w:val="ListParagraph"/>
        <w:numPr>
          <w:ilvl w:val="0"/>
          <w:numId w:val="14"/>
        </w:numPr>
        <w:spacing w:before="120" w:after="120"/>
        <w:contextualSpacing w:val="0"/>
        <w:jc w:val="both"/>
        <w:rPr>
          <w:color w:val="000000" w:themeColor="text1"/>
        </w:rPr>
      </w:pPr>
      <w:r w:rsidRPr="003B032C">
        <w:rPr>
          <w:color w:val="000000" w:themeColor="text1"/>
          <w:u w:val="single"/>
        </w:rPr>
        <w:t>N</w:t>
      </w:r>
      <w:r w:rsidRPr="003B032C" w:rsidR="00C62D17">
        <w:rPr>
          <w:color w:val="000000" w:themeColor="text1"/>
          <w:u w:val="single"/>
        </w:rPr>
        <w:t>on-Display of OMB Expiration Date</w:t>
      </w:r>
    </w:p>
    <w:p w:rsidRPr="003B032C" w:rsidR="00510AE9" w:rsidP="003B032C" w:rsidRDefault="00510AE9" w14:paraId="20CD53E9" w14:textId="77777777">
      <w:pPr>
        <w:spacing w:before="120" w:after="120"/>
        <w:jc w:val="both"/>
        <w:rPr>
          <w:color w:val="000000" w:themeColor="text1"/>
        </w:rPr>
      </w:pPr>
      <w:r w:rsidRPr="003B032C">
        <w:rPr>
          <w:color w:val="000000" w:themeColor="text1"/>
        </w:rPr>
        <w:t xml:space="preserve">We are not seeking approval to omit the display of the expiration date of the OMB approval on the collection instrument. </w:t>
      </w:r>
    </w:p>
    <w:p w:rsidRPr="003B032C" w:rsidR="00C62D17" w:rsidP="003B032C" w:rsidRDefault="00C62D17" w14:paraId="531AF33E" w14:textId="77777777">
      <w:pPr>
        <w:pStyle w:val="ListParagraph"/>
        <w:numPr>
          <w:ilvl w:val="0"/>
          <w:numId w:val="14"/>
        </w:numPr>
        <w:spacing w:before="120" w:after="120"/>
        <w:contextualSpacing w:val="0"/>
        <w:jc w:val="both"/>
        <w:rPr>
          <w:color w:val="000000" w:themeColor="text1"/>
          <w:u w:val="single"/>
        </w:rPr>
      </w:pPr>
      <w:r w:rsidRPr="003B032C">
        <w:rPr>
          <w:color w:val="000000" w:themeColor="text1"/>
          <w:u w:val="single"/>
        </w:rPr>
        <w:t>Exceptions to “Certification for Paperwork Reduction Submissions”</w:t>
      </w:r>
    </w:p>
    <w:p w:rsidRPr="003B032C" w:rsidR="00510AE9" w:rsidP="003B032C" w:rsidRDefault="00510AE9" w14:paraId="4BF263B9" w14:textId="77777777">
      <w:pPr>
        <w:spacing w:before="120" w:after="120"/>
        <w:jc w:val="both"/>
        <w:rPr>
          <w:i/>
          <w:color w:val="000000" w:themeColor="text1"/>
        </w:rPr>
      </w:pPr>
      <w:r w:rsidRPr="003B032C">
        <w:rPr>
          <w:color w:val="000000" w:themeColor="text1"/>
        </w:rPr>
        <w:t xml:space="preserve">We are not requesting any exemptions to the provisions stated in 5 CFR 1320.9. </w:t>
      </w:r>
    </w:p>
    <w:sectPr w:rsidRPr="003B032C" w:rsidR="00510AE9" w:rsidSect="003C7825">
      <w:pgSz w:w="12240" w:h="15840"/>
      <w:pgMar w:top="1260" w:right="1440" w:bottom="1170" w:left="1440" w:header="63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60F0B" w14:textId="77777777" w:rsidR="005E54CC" w:rsidRDefault="005E54CC" w:rsidP="00FB569C">
      <w:r>
        <w:separator/>
      </w:r>
    </w:p>
  </w:endnote>
  <w:endnote w:type="continuationSeparator" w:id="0">
    <w:p w14:paraId="2A685212" w14:textId="77777777" w:rsidR="005E54CC" w:rsidRDefault="005E54CC" w:rsidP="00FB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51FF8" w14:textId="77777777" w:rsidR="005E54CC" w:rsidRDefault="005E54CC" w:rsidP="00FB569C">
      <w:r>
        <w:separator/>
      </w:r>
    </w:p>
  </w:footnote>
  <w:footnote w:type="continuationSeparator" w:id="0">
    <w:p w14:paraId="37BAEC49" w14:textId="77777777" w:rsidR="005E54CC" w:rsidRDefault="005E54CC" w:rsidP="00FB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13B1D"/>
    <w:multiLevelType w:val="hybridMultilevel"/>
    <w:tmpl w:val="794E0AD4"/>
    <w:lvl w:ilvl="0" w:tplc="D3A27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75D0A"/>
    <w:multiLevelType w:val="multilevel"/>
    <w:tmpl w:val="04DEF2CA"/>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F697336"/>
    <w:multiLevelType w:val="hybridMultilevel"/>
    <w:tmpl w:val="BCDCCF60"/>
    <w:lvl w:ilvl="0" w:tplc="01B61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875621"/>
    <w:multiLevelType w:val="hybridMultilevel"/>
    <w:tmpl w:val="D4BCE804"/>
    <w:lvl w:ilvl="0" w:tplc="E2A6A88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C4AE2"/>
    <w:multiLevelType w:val="hybridMultilevel"/>
    <w:tmpl w:val="159EAA3A"/>
    <w:lvl w:ilvl="0" w:tplc="5FA47AFA">
      <w:start w:val="1"/>
      <w:numFmt w:val="lowerLetter"/>
      <w:lvlText w:val="%1."/>
      <w:lvlJc w:val="left"/>
      <w:pPr>
        <w:ind w:left="8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6232A"/>
    <w:multiLevelType w:val="hybridMultilevel"/>
    <w:tmpl w:val="6536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46F99"/>
    <w:multiLevelType w:val="hybridMultilevel"/>
    <w:tmpl w:val="D8C8EA48"/>
    <w:lvl w:ilvl="0" w:tplc="0409000F">
      <w:start w:val="1"/>
      <w:numFmt w:val="decimal"/>
      <w:lvlText w:val="%1."/>
      <w:lvlJc w:val="left"/>
      <w:pPr>
        <w:ind w:left="360" w:hanging="360"/>
      </w:pPr>
      <w:rPr>
        <w:rFonts w:hint="default"/>
      </w:rPr>
    </w:lvl>
    <w:lvl w:ilvl="1" w:tplc="4D786A6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BF6D13"/>
    <w:multiLevelType w:val="multilevel"/>
    <w:tmpl w:val="04DEF2CA"/>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2E013F"/>
    <w:multiLevelType w:val="hybridMultilevel"/>
    <w:tmpl w:val="FA9A7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194AD8"/>
    <w:multiLevelType w:val="hybridMultilevel"/>
    <w:tmpl w:val="F0EA04F8"/>
    <w:lvl w:ilvl="0" w:tplc="49F008E6">
      <w:start w:val="1"/>
      <w:numFmt w:val="bullet"/>
      <w:pStyle w:val="RptBulletLevel1"/>
      <w:lvlText w:val=""/>
      <w:lvlJc w:val="left"/>
      <w:pPr>
        <w:tabs>
          <w:tab w:val="num" w:pos="0"/>
        </w:tabs>
        <w:ind w:left="0" w:hanging="360"/>
      </w:pPr>
      <w:rPr>
        <w:rFonts w:ascii="Symbol" w:hAnsi="Symbol" w:hint="default"/>
      </w:rPr>
    </w:lvl>
    <w:lvl w:ilvl="1" w:tplc="8E9090F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A1A7216"/>
    <w:multiLevelType w:val="hybridMultilevel"/>
    <w:tmpl w:val="9072E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06072"/>
    <w:multiLevelType w:val="hybridMultilevel"/>
    <w:tmpl w:val="946EDACC"/>
    <w:lvl w:ilvl="0" w:tplc="3124E36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468353A"/>
    <w:multiLevelType w:val="hybridMultilevel"/>
    <w:tmpl w:val="684C95B4"/>
    <w:lvl w:ilvl="0" w:tplc="84B0BC46">
      <w:start w:val="1"/>
      <w:numFmt w:val="lowerLetter"/>
      <w:lvlText w:val="%1."/>
      <w:lvlJc w:val="left"/>
      <w:pPr>
        <w:ind w:left="8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16F59"/>
    <w:multiLevelType w:val="hybridMultilevel"/>
    <w:tmpl w:val="08D67E3C"/>
    <w:lvl w:ilvl="0" w:tplc="BEAA26CC">
      <w:start w:val="1"/>
      <w:numFmt w:val="lowerLetter"/>
      <w:lvlText w:val="%1."/>
      <w:lvlJc w:val="left"/>
      <w:pPr>
        <w:ind w:left="8100" w:hanging="360"/>
      </w:pPr>
      <w:rPr>
        <w:rFonts w:hint="default"/>
      </w:rPr>
    </w:lvl>
    <w:lvl w:ilvl="1" w:tplc="6430FD9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1D2C64"/>
    <w:multiLevelType w:val="hybridMultilevel"/>
    <w:tmpl w:val="E32CAA7E"/>
    <w:lvl w:ilvl="0" w:tplc="F1A87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03DBF"/>
    <w:multiLevelType w:val="hybridMultilevel"/>
    <w:tmpl w:val="34F28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CB5B23"/>
    <w:multiLevelType w:val="hybridMultilevel"/>
    <w:tmpl w:val="1056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F67EE"/>
    <w:multiLevelType w:val="hybridMultilevel"/>
    <w:tmpl w:val="15BAE0F4"/>
    <w:lvl w:ilvl="0" w:tplc="6524B428">
      <w:start w:val="1"/>
      <w:numFmt w:val="decimal"/>
      <w:lvlText w:val="%1."/>
      <w:lvlJc w:val="left"/>
      <w:pPr>
        <w:ind w:left="720" w:hanging="360"/>
      </w:pPr>
      <w:rPr>
        <w:rFonts w:hint="default"/>
      </w:rPr>
    </w:lvl>
    <w:lvl w:ilvl="1" w:tplc="51B64A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E3FA9"/>
    <w:multiLevelType w:val="hybridMultilevel"/>
    <w:tmpl w:val="746C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5363C42"/>
    <w:multiLevelType w:val="multilevel"/>
    <w:tmpl w:val="E940015C"/>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7826981"/>
    <w:multiLevelType w:val="hybridMultilevel"/>
    <w:tmpl w:val="A0100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9A6816"/>
    <w:multiLevelType w:val="hybridMultilevel"/>
    <w:tmpl w:val="B00C5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525C3"/>
    <w:multiLevelType w:val="hybridMultilevel"/>
    <w:tmpl w:val="0DD04FD6"/>
    <w:lvl w:ilvl="0" w:tplc="097E7F0A">
      <w:start w:val="1"/>
      <w:numFmt w:val="lowerLetter"/>
      <w:lvlText w:val="%1."/>
      <w:lvlJc w:val="left"/>
      <w:pPr>
        <w:ind w:left="8100" w:hanging="360"/>
      </w:pPr>
      <w:rPr>
        <w:rFonts w:hint="default"/>
      </w:rPr>
    </w:lvl>
    <w:lvl w:ilvl="1" w:tplc="6430FD9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0012F8"/>
    <w:multiLevelType w:val="multilevel"/>
    <w:tmpl w:val="5E5C542E"/>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571260"/>
    <w:multiLevelType w:val="multilevel"/>
    <w:tmpl w:val="20FCC864"/>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DC122B"/>
    <w:multiLevelType w:val="multilevel"/>
    <w:tmpl w:val="0DD04FD6"/>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2552675"/>
    <w:multiLevelType w:val="multilevel"/>
    <w:tmpl w:val="6BEA75A4"/>
    <w:lvl w:ilvl="0">
      <w:start w:val="1"/>
      <w:numFmt w:val="lowerLetter"/>
      <w:lvlText w:val="%1."/>
      <w:lvlJc w:val="left"/>
      <w:pPr>
        <w:ind w:left="810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2FA5895"/>
    <w:multiLevelType w:val="hybridMultilevel"/>
    <w:tmpl w:val="44C6B910"/>
    <w:lvl w:ilvl="0" w:tplc="A95A876C">
      <w:start w:val="1"/>
      <w:numFmt w:val="lowerLetter"/>
      <w:lvlText w:val="%1."/>
      <w:lvlJc w:val="left"/>
      <w:pPr>
        <w:ind w:left="8100" w:hanging="360"/>
      </w:pPr>
      <w:rPr>
        <w:rFonts w:hint="default"/>
      </w:rPr>
    </w:lvl>
    <w:lvl w:ilvl="1" w:tplc="6430FD9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B227E7"/>
    <w:multiLevelType w:val="hybridMultilevel"/>
    <w:tmpl w:val="31C23A00"/>
    <w:lvl w:ilvl="0" w:tplc="9F701E0E">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6F17C8"/>
    <w:multiLevelType w:val="multilevel"/>
    <w:tmpl w:val="593A9D4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F401F2"/>
    <w:multiLevelType w:val="hybridMultilevel"/>
    <w:tmpl w:val="BD421140"/>
    <w:lvl w:ilvl="0" w:tplc="CC44F8BE">
      <w:start w:val="1"/>
      <w:numFmt w:val="lowerLetter"/>
      <w:lvlText w:val="%1."/>
      <w:lvlJc w:val="left"/>
      <w:pPr>
        <w:ind w:left="8100" w:hanging="360"/>
      </w:pPr>
      <w:rPr>
        <w:rFonts w:hint="default"/>
      </w:rPr>
    </w:lvl>
    <w:lvl w:ilvl="1" w:tplc="6430FD9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0"/>
  </w:num>
  <w:num w:numId="3">
    <w:abstractNumId w:val="19"/>
  </w:num>
  <w:num w:numId="4">
    <w:abstractNumId w:val="15"/>
  </w:num>
  <w:num w:numId="5">
    <w:abstractNumId w:val="27"/>
  </w:num>
  <w:num w:numId="6">
    <w:abstractNumId w:val="2"/>
  </w:num>
  <w:num w:numId="7">
    <w:abstractNumId w:val="28"/>
  </w:num>
  <w:num w:numId="8">
    <w:abstractNumId w:val="24"/>
  </w:num>
  <w:num w:numId="9">
    <w:abstractNumId w:val="29"/>
  </w:num>
  <w:num w:numId="10">
    <w:abstractNumId w:val="6"/>
  </w:num>
  <w:num w:numId="11">
    <w:abstractNumId w:val="23"/>
  </w:num>
  <w:num w:numId="12">
    <w:abstractNumId w:val="25"/>
  </w:num>
  <w:num w:numId="13">
    <w:abstractNumId w:val="8"/>
  </w:num>
  <w:num w:numId="14">
    <w:abstractNumId w:val="36"/>
  </w:num>
  <w:num w:numId="15">
    <w:abstractNumId w:val="13"/>
  </w:num>
  <w:num w:numId="16">
    <w:abstractNumId w:val="30"/>
  </w:num>
  <w:num w:numId="17">
    <w:abstractNumId w:val="21"/>
  </w:num>
  <w:num w:numId="18">
    <w:abstractNumId w:val="9"/>
  </w:num>
  <w:num w:numId="19">
    <w:abstractNumId w:val="20"/>
  </w:num>
  <w:num w:numId="20">
    <w:abstractNumId w:val="11"/>
  </w:num>
  <w:num w:numId="21">
    <w:abstractNumId w:val="1"/>
  </w:num>
  <w:num w:numId="22">
    <w:abstractNumId w:val="4"/>
  </w:num>
  <w:num w:numId="23">
    <w:abstractNumId w:val="5"/>
  </w:num>
  <w:num w:numId="24">
    <w:abstractNumId w:val="18"/>
  </w:num>
  <w:num w:numId="25">
    <w:abstractNumId w:val="32"/>
  </w:num>
  <w:num w:numId="26">
    <w:abstractNumId w:val="31"/>
  </w:num>
  <w:num w:numId="27">
    <w:abstractNumId w:val="26"/>
  </w:num>
  <w:num w:numId="28">
    <w:abstractNumId w:val="3"/>
  </w:num>
  <w:num w:numId="29">
    <w:abstractNumId w:val="38"/>
  </w:num>
  <w:num w:numId="30">
    <w:abstractNumId w:val="10"/>
  </w:num>
  <w:num w:numId="31">
    <w:abstractNumId w:val="34"/>
  </w:num>
  <w:num w:numId="32">
    <w:abstractNumId w:val="33"/>
  </w:num>
  <w:num w:numId="33">
    <w:abstractNumId w:val="17"/>
  </w:num>
  <w:num w:numId="34">
    <w:abstractNumId w:val="37"/>
  </w:num>
  <w:num w:numId="35">
    <w:abstractNumId w:val="14"/>
  </w:num>
  <w:num w:numId="36">
    <w:abstractNumId w:val="35"/>
  </w:num>
  <w:num w:numId="37">
    <w:abstractNumId w:val="16"/>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527"/>
    <w:rsid w:val="00002813"/>
    <w:rsid w:val="000052FE"/>
    <w:rsid w:val="00011F72"/>
    <w:rsid w:val="00046730"/>
    <w:rsid w:val="000479B2"/>
    <w:rsid w:val="00050FB0"/>
    <w:rsid w:val="00056E41"/>
    <w:rsid w:val="000619CF"/>
    <w:rsid w:val="00063D9C"/>
    <w:rsid w:val="000649C9"/>
    <w:rsid w:val="0007078F"/>
    <w:rsid w:val="00070FF3"/>
    <w:rsid w:val="00094B5A"/>
    <w:rsid w:val="00097722"/>
    <w:rsid w:val="000A7CEE"/>
    <w:rsid w:val="000B0E70"/>
    <w:rsid w:val="000C29E6"/>
    <w:rsid w:val="000C3179"/>
    <w:rsid w:val="000D3576"/>
    <w:rsid w:val="000D70BA"/>
    <w:rsid w:val="00105411"/>
    <w:rsid w:val="00105F45"/>
    <w:rsid w:val="00133B14"/>
    <w:rsid w:val="00144B3A"/>
    <w:rsid w:val="0015328F"/>
    <w:rsid w:val="00160875"/>
    <w:rsid w:val="00164073"/>
    <w:rsid w:val="00180F77"/>
    <w:rsid w:val="00181DF7"/>
    <w:rsid w:val="00184A9E"/>
    <w:rsid w:val="00186E9F"/>
    <w:rsid w:val="00190EFD"/>
    <w:rsid w:val="0019309D"/>
    <w:rsid w:val="001A6BCF"/>
    <w:rsid w:val="001A7C35"/>
    <w:rsid w:val="001B01DB"/>
    <w:rsid w:val="001B495E"/>
    <w:rsid w:val="001B606C"/>
    <w:rsid w:val="001D79E0"/>
    <w:rsid w:val="001E3C6C"/>
    <w:rsid w:val="001F17A4"/>
    <w:rsid w:val="001F526C"/>
    <w:rsid w:val="00200261"/>
    <w:rsid w:val="00201A76"/>
    <w:rsid w:val="00211832"/>
    <w:rsid w:val="00222D1B"/>
    <w:rsid w:val="0024335E"/>
    <w:rsid w:val="00246792"/>
    <w:rsid w:val="00254DCF"/>
    <w:rsid w:val="002567F9"/>
    <w:rsid w:val="00257DEB"/>
    <w:rsid w:val="00271A8C"/>
    <w:rsid w:val="0027743E"/>
    <w:rsid w:val="00294E92"/>
    <w:rsid w:val="002D7535"/>
    <w:rsid w:val="002F7500"/>
    <w:rsid w:val="00305053"/>
    <w:rsid w:val="003132E7"/>
    <w:rsid w:val="003245F7"/>
    <w:rsid w:val="00331D7E"/>
    <w:rsid w:val="00337EF1"/>
    <w:rsid w:val="00345443"/>
    <w:rsid w:val="00351854"/>
    <w:rsid w:val="00361335"/>
    <w:rsid w:val="00380C0B"/>
    <w:rsid w:val="00394A8A"/>
    <w:rsid w:val="003B032C"/>
    <w:rsid w:val="003B572B"/>
    <w:rsid w:val="003B6A6C"/>
    <w:rsid w:val="003C0540"/>
    <w:rsid w:val="003C0A36"/>
    <w:rsid w:val="003C4E29"/>
    <w:rsid w:val="003C7825"/>
    <w:rsid w:val="003E796B"/>
    <w:rsid w:val="003F2383"/>
    <w:rsid w:val="0040436D"/>
    <w:rsid w:val="004172C9"/>
    <w:rsid w:val="00420AE9"/>
    <w:rsid w:val="004404B5"/>
    <w:rsid w:val="004458CA"/>
    <w:rsid w:val="004478B1"/>
    <w:rsid w:val="00460A30"/>
    <w:rsid w:val="0048055B"/>
    <w:rsid w:val="00480AFF"/>
    <w:rsid w:val="00486235"/>
    <w:rsid w:val="00490797"/>
    <w:rsid w:val="00496B16"/>
    <w:rsid w:val="004A0D4E"/>
    <w:rsid w:val="004A3652"/>
    <w:rsid w:val="004C74D6"/>
    <w:rsid w:val="004F4F5D"/>
    <w:rsid w:val="004F78E1"/>
    <w:rsid w:val="00510AE9"/>
    <w:rsid w:val="00510F0C"/>
    <w:rsid w:val="0051338F"/>
    <w:rsid w:val="00520B36"/>
    <w:rsid w:val="00550AE6"/>
    <w:rsid w:val="0055767B"/>
    <w:rsid w:val="00565191"/>
    <w:rsid w:val="005677FD"/>
    <w:rsid w:val="00571698"/>
    <w:rsid w:val="00573E77"/>
    <w:rsid w:val="00576EDB"/>
    <w:rsid w:val="0057747E"/>
    <w:rsid w:val="00582DD4"/>
    <w:rsid w:val="00596BBA"/>
    <w:rsid w:val="005A23FE"/>
    <w:rsid w:val="005B2B81"/>
    <w:rsid w:val="005B50D3"/>
    <w:rsid w:val="005C097E"/>
    <w:rsid w:val="005C3A95"/>
    <w:rsid w:val="005C7428"/>
    <w:rsid w:val="005D5C81"/>
    <w:rsid w:val="005E1DD5"/>
    <w:rsid w:val="005E54CC"/>
    <w:rsid w:val="005F7F2C"/>
    <w:rsid w:val="00617D2B"/>
    <w:rsid w:val="00630F5B"/>
    <w:rsid w:val="006322A2"/>
    <w:rsid w:val="00640E84"/>
    <w:rsid w:val="00642741"/>
    <w:rsid w:val="00656B22"/>
    <w:rsid w:val="00676AD4"/>
    <w:rsid w:val="00685668"/>
    <w:rsid w:val="00696C3D"/>
    <w:rsid w:val="006A13FA"/>
    <w:rsid w:val="006A148C"/>
    <w:rsid w:val="006A5C72"/>
    <w:rsid w:val="006E154C"/>
    <w:rsid w:val="006E2195"/>
    <w:rsid w:val="006E563D"/>
    <w:rsid w:val="006F2DF8"/>
    <w:rsid w:val="0070460F"/>
    <w:rsid w:val="00706756"/>
    <w:rsid w:val="00715ADF"/>
    <w:rsid w:val="00722FDB"/>
    <w:rsid w:val="00753BD4"/>
    <w:rsid w:val="007609E2"/>
    <w:rsid w:val="00772347"/>
    <w:rsid w:val="0077261C"/>
    <w:rsid w:val="0077730D"/>
    <w:rsid w:val="00783A81"/>
    <w:rsid w:val="00784B00"/>
    <w:rsid w:val="007A4F1B"/>
    <w:rsid w:val="007B4261"/>
    <w:rsid w:val="007B4FA9"/>
    <w:rsid w:val="007C57ED"/>
    <w:rsid w:val="007F56DC"/>
    <w:rsid w:val="007F6CAB"/>
    <w:rsid w:val="0080419B"/>
    <w:rsid w:val="00807574"/>
    <w:rsid w:val="00821C2A"/>
    <w:rsid w:val="00827DC2"/>
    <w:rsid w:val="00841E1D"/>
    <w:rsid w:val="0085762D"/>
    <w:rsid w:val="00862D5F"/>
    <w:rsid w:val="008635C4"/>
    <w:rsid w:val="008838BA"/>
    <w:rsid w:val="008900EC"/>
    <w:rsid w:val="008B1C81"/>
    <w:rsid w:val="008C19D1"/>
    <w:rsid w:val="008D1294"/>
    <w:rsid w:val="008E3029"/>
    <w:rsid w:val="008E7963"/>
    <w:rsid w:val="0093497C"/>
    <w:rsid w:val="00942F2E"/>
    <w:rsid w:val="00944080"/>
    <w:rsid w:val="009615E6"/>
    <w:rsid w:val="00967716"/>
    <w:rsid w:val="0098628F"/>
    <w:rsid w:val="00987732"/>
    <w:rsid w:val="00996894"/>
    <w:rsid w:val="009A0E48"/>
    <w:rsid w:val="009A6246"/>
    <w:rsid w:val="009A6DC6"/>
    <w:rsid w:val="009B3033"/>
    <w:rsid w:val="009B47D7"/>
    <w:rsid w:val="009C2F65"/>
    <w:rsid w:val="009D27A3"/>
    <w:rsid w:val="009E5495"/>
    <w:rsid w:val="009F2544"/>
    <w:rsid w:val="009F56AF"/>
    <w:rsid w:val="00A00799"/>
    <w:rsid w:val="00A02A29"/>
    <w:rsid w:val="00A104B6"/>
    <w:rsid w:val="00A22AD8"/>
    <w:rsid w:val="00A27415"/>
    <w:rsid w:val="00A50A0F"/>
    <w:rsid w:val="00A57998"/>
    <w:rsid w:val="00A60AE6"/>
    <w:rsid w:val="00A64052"/>
    <w:rsid w:val="00A666C5"/>
    <w:rsid w:val="00A728D0"/>
    <w:rsid w:val="00A76F7E"/>
    <w:rsid w:val="00A77157"/>
    <w:rsid w:val="00A803FD"/>
    <w:rsid w:val="00A9156C"/>
    <w:rsid w:val="00AA1ED7"/>
    <w:rsid w:val="00AB5123"/>
    <w:rsid w:val="00AC6485"/>
    <w:rsid w:val="00AD1641"/>
    <w:rsid w:val="00AD7D00"/>
    <w:rsid w:val="00AE6868"/>
    <w:rsid w:val="00B41BCB"/>
    <w:rsid w:val="00B439CA"/>
    <w:rsid w:val="00B461AF"/>
    <w:rsid w:val="00B52F4E"/>
    <w:rsid w:val="00B54FA3"/>
    <w:rsid w:val="00B64C91"/>
    <w:rsid w:val="00B64D13"/>
    <w:rsid w:val="00B67F43"/>
    <w:rsid w:val="00B81D51"/>
    <w:rsid w:val="00B86A8E"/>
    <w:rsid w:val="00B933B0"/>
    <w:rsid w:val="00BA38B5"/>
    <w:rsid w:val="00BA630E"/>
    <w:rsid w:val="00BA6966"/>
    <w:rsid w:val="00BD2696"/>
    <w:rsid w:val="00BD2E98"/>
    <w:rsid w:val="00BE20B7"/>
    <w:rsid w:val="00C066C6"/>
    <w:rsid w:val="00C2163B"/>
    <w:rsid w:val="00C23472"/>
    <w:rsid w:val="00C23F7D"/>
    <w:rsid w:val="00C27D6F"/>
    <w:rsid w:val="00C400EE"/>
    <w:rsid w:val="00C62D17"/>
    <w:rsid w:val="00C65F5F"/>
    <w:rsid w:val="00C6774E"/>
    <w:rsid w:val="00C720C2"/>
    <w:rsid w:val="00C74B32"/>
    <w:rsid w:val="00C74F5C"/>
    <w:rsid w:val="00C808F4"/>
    <w:rsid w:val="00CA15B1"/>
    <w:rsid w:val="00CC24D5"/>
    <w:rsid w:val="00CC55F6"/>
    <w:rsid w:val="00D21AA6"/>
    <w:rsid w:val="00D44A53"/>
    <w:rsid w:val="00D462F7"/>
    <w:rsid w:val="00D514B3"/>
    <w:rsid w:val="00D54583"/>
    <w:rsid w:val="00D71B8D"/>
    <w:rsid w:val="00D72CC7"/>
    <w:rsid w:val="00D73390"/>
    <w:rsid w:val="00D751E5"/>
    <w:rsid w:val="00D80182"/>
    <w:rsid w:val="00D931A4"/>
    <w:rsid w:val="00DA2B37"/>
    <w:rsid w:val="00DD52EC"/>
    <w:rsid w:val="00E155DE"/>
    <w:rsid w:val="00E24ED0"/>
    <w:rsid w:val="00E34757"/>
    <w:rsid w:val="00E401FC"/>
    <w:rsid w:val="00E5219F"/>
    <w:rsid w:val="00E5409A"/>
    <w:rsid w:val="00E668E4"/>
    <w:rsid w:val="00E95FFB"/>
    <w:rsid w:val="00EA6C04"/>
    <w:rsid w:val="00EB62CC"/>
    <w:rsid w:val="00EC7EDE"/>
    <w:rsid w:val="00ED4B17"/>
    <w:rsid w:val="00F20DB8"/>
    <w:rsid w:val="00F25499"/>
    <w:rsid w:val="00F25756"/>
    <w:rsid w:val="00F86C35"/>
    <w:rsid w:val="00F97482"/>
    <w:rsid w:val="00F97934"/>
    <w:rsid w:val="00FA7366"/>
    <w:rsid w:val="00FB569C"/>
    <w:rsid w:val="00FF7029"/>
    <w:rsid w:val="00FF72F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7A610"/>
  <w15:docId w15:val="{191E4C8B-810C-46AA-9FC3-700D4027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7D2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A6C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p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nhideWhenUsed/>
    <w:rsid w:val="00FB569C"/>
    <w:pPr>
      <w:tabs>
        <w:tab w:val="center" w:pos="4680"/>
        <w:tab w:val="right" w:pos="9360"/>
      </w:tabs>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table" w:customStyle="1" w:styleId="TableGrid1">
    <w:name w:val="Table Grid1"/>
    <w:basedOn w:val="TableNormal"/>
    <w:next w:val="TableGrid"/>
    <w:uiPriority w:val="59"/>
    <w:rsid w:val="00A57998"/>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0AE9"/>
    <w:rPr>
      <w:sz w:val="16"/>
      <w:szCs w:val="16"/>
    </w:rPr>
  </w:style>
  <w:style w:type="paragraph" w:styleId="CommentText">
    <w:name w:val="annotation text"/>
    <w:basedOn w:val="Normal"/>
    <w:link w:val="CommentTextChar"/>
    <w:uiPriority w:val="99"/>
    <w:semiHidden/>
    <w:unhideWhenUsed/>
    <w:rsid w:val="00510AE9"/>
    <w:rPr>
      <w:sz w:val="20"/>
      <w:szCs w:val="20"/>
    </w:rPr>
  </w:style>
  <w:style w:type="character" w:customStyle="1" w:styleId="CommentTextChar">
    <w:name w:val="Comment Text Char"/>
    <w:basedOn w:val="DefaultParagraphFont"/>
    <w:link w:val="CommentText"/>
    <w:uiPriority w:val="99"/>
    <w:semiHidden/>
    <w:rsid w:val="00510AE9"/>
    <w:rPr>
      <w:sz w:val="20"/>
      <w:szCs w:val="20"/>
    </w:rPr>
  </w:style>
  <w:style w:type="paragraph" w:styleId="CommentSubject">
    <w:name w:val="annotation subject"/>
    <w:basedOn w:val="CommentText"/>
    <w:next w:val="CommentText"/>
    <w:link w:val="CommentSubjectChar"/>
    <w:uiPriority w:val="99"/>
    <w:semiHidden/>
    <w:unhideWhenUsed/>
    <w:rsid w:val="00510AE9"/>
    <w:rPr>
      <w:b/>
      <w:bCs/>
    </w:rPr>
  </w:style>
  <w:style w:type="character" w:customStyle="1" w:styleId="CommentSubjectChar">
    <w:name w:val="Comment Subject Char"/>
    <w:basedOn w:val="CommentTextChar"/>
    <w:link w:val="CommentSubject"/>
    <w:uiPriority w:val="99"/>
    <w:semiHidden/>
    <w:rsid w:val="00510AE9"/>
    <w:rPr>
      <w:b/>
      <w:bCs/>
      <w:sz w:val="20"/>
      <w:szCs w:val="20"/>
    </w:rPr>
  </w:style>
  <w:style w:type="character" w:styleId="FollowedHyperlink">
    <w:name w:val="FollowedHyperlink"/>
    <w:basedOn w:val="DefaultParagraphFont"/>
    <w:uiPriority w:val="99"/>
    <w:semiHidden/>
    <w:unhideWhenUsed/>
    <w:rsid w:val="00967716"/>
    <w:rPr>
      <w:color w:val="800080" w:themeColor="followedHyperlink"/>
      <w:u w:val="single"/>
    </w:rPr>
  </w:style>
  <w:style w:type="paragraph" w:styleId="Revision">
    <w:name w:val="Revision"/>
    <w:hidden/>
    <w:uiPriority w:val="99"/>
    <w:semiHidden/>
    <w:rsid w:val="00184A9E"/>
    <w:pPr>
      <w:spacing w:after="0" w:line="240" w:lineRule="auto"/>
    </w:pPr>
  </w:style>
  <w:style w:type="paragraph" w:customStyle="1" w:styleId="RptBulletLevel1">
    <w:name w:val="Rpt_Bullet Level 1"/>
    <w:qFormat/>
    <w:rsid w:val="007B4261"/>
    <w:pPr>
      <w:numPr>
        <w:numId w:val="39"/>
      </w:numPr>
      <w:spacing w:after="240" w:line="240" w:lineRule="auto"/>
      <w:ind w:left="720"/>
    </w:pPr>
    <w:rPr>
      <w:rFonts w:ascii="Times New Roman" w:eastAsia="Times New Roman" w:hAnsi="Times New Roman" w:cs="Tahoma"/>
      <w:sz w:val="24"/>
      <w:szCs w:val="16"/>
    </w:rPr>
  </w:style>
  <w:style w:type="paragraph" w:styleId="BodyTextIndent">
    <w:name w:val="Body Text Indent"/>
    <w:basedOn w:val="Normal"/>
    <w:link w:val="BodyTextIndentChar"/>
    <w:rsid w:val="00784B00"/>
    <w:pPr>
      <w:spacing w:before="160" w:after="120" w:line="260" w:lineRule="atLeast"/>
      <w:ind w:left="360" w:firstLine="605"/>
    </w:pPr>
    <w:rPr>
      <w:rFonts w:ascii="Helvetica" w:hAnsi="Helvetica"/>
      <w:sz w:val="20"/>
      <w:szCs w:val="20"/>
    </w:rPr>
  </w:style>
  <w:style w:type="character" w:customStyle="1" w:styleId="BodyTextIndentChar">
    <w:name w:val="Body Text Indent Char"/>
    <w:basedOn w:val="DefaultParagraphFont"/>
    <w:link w:val="BodyTextIndent"/>
    <w:rsid w:val="00784B00"/>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46132">
      <w:bodyDiv w:val="1"/>
      <w:marLeft w:val="0"/>
      <w:marRight w:val="0"/>
      <w:marTop w:val="0"/>
      <w:marBottom w:val="0"/>
      <w:divBdr>
        <w:top w:val="none" w:sz="0" w:space="0" w:color="auto"/>
        <w:left w:val="none" w:sz="0" w:space="0" w:color="auto"/>
        <w:bottom w:val="none" w:sz="0" w:space="0" w:color="auto"/>
        <w:right w:val="none" w:sz="0" w:space="0" w:color="auto"/>
      </w:divBdr>
    </w:div>
    <w:div w:id="935751238">
      <w:bodyDiv w:val="1"/>
      <w:marLeft w:val="0"/>
      <w:marRight w:val="0"/>
      <w:marTop w:val="0"/>
      <w:marBottom w:val="0"/>
      <w:divBdr>
        <w:top w:val="none" w:sz="0" w:space="0" w:color="auto"/>
        <w:left w:val="none" w:sz="0" w:space="0" w:color="auto"/>
        <w:bottom w:val="none" w:sz="0" w:space="0" w:color="auto"/>
        <w:right w:val="none" w:sz="0" w:space="0" w:color="auto"/>
      </w:divBdr>
    </w:div>
    <w:div w:id="16276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BC6CBDBD991544B680CD2113A60216" ma:contentTypeVersion="4" ma:contentTypeDescription="Create a new document." ma:contentTypeScope="" ma:versionID="2cfb0c20c5d43f222d145ed1dfad136c">
  <xsd:schema xmlns:xsd="http://www.w3.org/2001/XMLSchema" xmlns:xs="http://www.w3.org/2001/XMLSchema" xmlns:p="http://schemas.microsoft.com/office/2006/metadata/properties" xmlns:ns2="62604b93-f9fe-4079-9f52-6f5ca6b0cb08" xmlns:ns3="7f310c6f-e6df-4087-b728-d56fdd3639e4" targetNamespace="http://schemas.microsoft.com/office/2006/metadata/properties" ma:root="true" ma:fieldsID="c0838e5b903d444608033fad5db76743" ns2:_="" ns3:_="">
    <xsd:import namespace="62604b93-f9fe-4079-9f52-6f5ca6b0cb08"/>
    <xsd:import namespace="7f310c6f-e6df-4087-b728-d56fdd363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04b93-f9fe-4079-9f52-6f5ca6b0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10c6f-e6df-4087-b728-d56fdd363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6E57-5438-4524-96F5-994DAA925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48429-1E92-423F-9DF9-5B2378F81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04b93-f9fe-4079-9f52-6f5ca6b0cb08"/>
    <ds:schemaRef ds:uri="7f310c6f-e6df-4087-b728-d56fdd363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6D33E-E48F-4DD4-A814-A4BC06AE644E}">
  <ds:schemaRefs>
    <ds:schemaRef ds:uri="http://schemas.microsoft.com/sharepoint/v3/contenttype/forms"/>
  </ds:schemaRefs>
</ds:datastoreItem>
</file>

<file path=customXml/itemProps4.xml><?xml version="1.0" encoding="utf-8"?>
<ds:datastoreItem xmlns:ds="http://schemas.openxmlformats.org/officeDocument/2006/customXml" ds:itemID="{584E5238-233B-40D6-B507-EE2869B8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2582</Words>
  <Characters>14100</Characters>
  <Application>Microsoft Office Word</Application>
  <DocSecurity>0</DocSecurity>
  <Lines>178</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Ryseff, James</cp:lastModifiedBy>
  <cp:revision>3</cp:revision>
  <cp:lastPrinted>2020-07-13T17:38:00Z</cp:lastPrinted>
  <dcterms:created xsi:type="dcterms:W3CDTF">2020-10-13T19:23:00Z</dcterms:created>
  <dcterms:modified xsi:type="dcterms:W3CDTF">2020-10-13T19:24:00Z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0x0101000EBC6CBDBD991544B680CD2113A60216</vt:lpwstr>
  </property>
</Properties>
</file>