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9E76F" w14:textId="77777777" w:rsidR="002520F0" w:rsidRPr="00F46586" w:rsidRDefault="004E3677" w:rsidP="009B633D">
      <w:pPr>
        <w:jc w:val="center"/>
      </w:pPr>
      <w:bookmarkStart w:id="0" w:name="_GoBack"/>
      <w:bookmarkEnd w:id="0"/>
      <w:r w:rsidRPr="00F46586">
        <w:tab/>
      </w:r>
    </w:p>
    <w:p w14:paraId="57D03E54" w14:textId="77777777" w:rsidR="002520F0" w:rsidRPr="00F46586" w:rsidRDefault="002520F0" w:rsidP="009B633D">
      <w:pPr>
        <w:jc w:val="center"/>
      </w:pPr>
    </w:p>
    <w:p w14:paraId="6AF3EE69" w14:textId="77777777" w:rsidR="009B633D" w:rsidRPr="00F46586" w:rsidRDefault="009B633D" w:rsidP="009B633D">
      <w:pPr>
        <w:jc w:val="center"/>
      </w:pPr>
    </w:p>
    <w:p w14:paraId="2B0E2071" w14:textId="77777777" w:rsidR="00507F45" w:rsidRPr="00CD645B" w:rsidRDefault="00507F45" w:rsidP="00507F45">
      <w:pPr>
        <w:keepNext/>
        <w:keepLines/>
        <w:jc w:val="center"/>
        <w:outlineLvl w:val="6"/>
        <w:rPr>
          <w:rFonts w:ascii="Cambria" w:hAnsi="Cambria"/>
          <w:i/>
          <w:iCs/>
          <w:sz w:val="28"/>
          <w:szCs w:val="28"/>
        </w:rPr>
      </w:pPr>
      <w:r w:rsidRPr="00CD645B">
        <w:rPr>
          <w:b/>
          <w:i/>
          <w:iCs/>
          <w:sz w:val="28"/>
          <w:szCs w:val="28"/>
        </w:rPr>
        <w:t xml:space="preserve">SUPPORTING STATEMENT:  </w:t>
      </w:r>
      <w:r w:rsidRPr="00CD645B">
        <w:rPr>
          <w:rFonts w:ascii="Cambria" w:hAnsi="Cambria"/>
          <w:i/>
          <w:iCs/>
          <w:sz w:val="28"/>
          <w:szCs w:val="28"/>
        </w:rPr>
        <w:t>PART A</w:t>
      </w:r>
    </w:p>
    <w:p w14:paraId="1CA4273F" w14:textId="77777777" w:rsidR="009B633D" w:rsidRPr="00F46586" w:rsidRDefault="009B633D" w:rsidP="009B633D">
      <w:pPr>
        <w:jc w:val="center"/>
      </w:pPr>
    </w:p>
    <w:p w14:paraId="608256A1" w14:textId="77777777" w:rsidR="009B633D" w:rsidRPr="00F46586" w:rsidRDefault="0066792A" w:rsidP="0066792A">
      <w:pPr>
        <w:jc w:val="center"/>
      </w:pPr>
      <w:r w:rsidRPr="00F46586">
        <w:t>OMB#</w:t>
      </w:r>
    </w:p>
    <w:p w14:paraId="034247EB" w14:textId="77777777" w:rsidR="009B633D" w:rsidRPr="00F46586" w:rsidRDefault="009B633D" w:rsidP="009B633D">
      <w:pPr>
        <w:jc w:val="center"/>
      </w:pPr>
    </w:p>
    <w:p w14:paraId="20CDA54A" w14:textId="77777777" w:rsidR="009B633D" w:rsidRPr="00F46586" w:rsidRDefault="009B633D" w:rsidP="009B633D">
      <w:pPr>
        <w:jc w:val="center"/>
      </w:pPr>
    </w:p>
    <w:p w14:paraId="0C4AD417" w14:textId="77777777" w:rsidR="009B633D" w:rsidRPr="00F46586" w:rsidRDefault="009B633D" w:rsidP="009B633D">
      <w:pPr>
        <w:jc w:val="center"/>
      </w:pPr>
    </w:p>
    <w:p w14:paraId="2DB7366C" w14:textId="77777777" w:rsidR="009B633D" w:rsidRPr="00F46586" w:rsidRDefault="009B633D" w:rsidP="009B633D">
      <w:pPr>
        <w:jc w:val="center"/>
      </w:pPr>
    </w:p>
    <w:p w14:paraId="68AF8C52" w14:textId="7AA4104C" w:rsidR="009B633D" w:rsidRPr="00F46586" w:rsidRDefault="00763548" w:rsidP="009B633D">
      <w:pPr>
        <w:jc w:val="center"/>
      </w:pPr>
      <w:r>
        <w:rPr>
          <w:b/>
          <w:bCs/>
          <w:iCs/>
        </w:rPr>
        <w:t xml:space="preserve">Evaluation </w:t>
      </w:r>
      <w:r w:rsidR="00E2743E">
        <w:rPr>
          <w:b/>
          <w:bCs/>
          <w:iCs/>
        </w:rPr>
        <w:t xml:space="preserve">of </w:t>
      </w:r>
      <w:r w:rsidR="00883001">
        <w:rPr>
          <w:b/>
          <w:bCs/>
          <w:iCs/>
        </w:rPr>
        <w:t xml:space="preserve">CDC’s </w:t>
      </w:r>
      <w:r w:rsidR="006A1F96" w:rsidRPr="00F46586">
        <w:rPr>
          <w:b/>
          <w:bCs/>
          <w:iCs/>
        </w:rPr>
        <w:t>STEADI Older Adult Fall Prevention</w:t>
      </w:r>
      <w:r w:rsidR="00883001">
        <w:rPr>
          <w:b/>
          <w:bCs/>
          <w:iCs/>
        </w:rPr>
        <w:t xml:space="preserve"> Initiative</w:t>
      </w:r>
      <w:r w:rsidR="006A1F96" w:rsidRPr="00F46586">
        <w:rPr>
          <w:b/>
          <w:bCs/>
          <w:iCs/>
        </w:rPr>
        <w:t xml:space="preserve"> in </w:t>
      </w:r>
      <w:r w:rsidR="00117B99">
        <w:rPr>
          <w:b/>
          <w:bCs/>
          <w:iCs/>
        </w:rPr>
        <w:t>a</w:t>
      </w:r>
      <w:r w:rsidR="00EE6D4A">
        <w:rPr>
          <w:b/>
          <w:bCs/>
          <w:iCs/>
        </w:rPr>
        <w:t xml:space="preserve"> </w:t>
      </w:r>
      <w:r w:rsidR="006A1F96" w:rsidRPr="00F46586">
        <w:rPr>
          <w:b/>
          <w:bCs/>
          <w:iCs/>
        </w:rPr>
        <w:t>Primary Care Setting</w:t>
      </w:r>
    </w:p>
    <w:p w14:paraId="31A723BF" w14:textId="77777777" w:rsidR="009B633D" w:rsidRPr="00F46586" w:rsidRDefault="009B633D" w:rsidP="009B633D">
      <w:pPr>
        <w:jc w:val="center"/>
      </w:pPr>
    </w:p>
    <w:p w14:paraId="741316D2" w14:textId="77777777" w:rsidR="009B633D" w:rsidRDefault="009B633D" w:rsidP="009B633D">
      <w:pPr>
        <w:jc w:val="center"/>
      </w:pPr>
    </w:p>
    <w:p w14:paraId="1B5F7E96" w14:textId="77777777" w:rsidR="003E190C" w:rsidRPr="00F46586" w:rsidRDefault="003E190C" w:rsidP="009B633D">
      <w:pPr>
        <w:jc w:val="center"/>
      </w:pPr>
    </w:p>
    <w:p w14:paraId="3988038E" w14:textId="77777777" w:rsidR="009B633D" w:rsidRPr="00F46586" w:rsidRDefault="009B633D" w:rsidP="009B633D">
      <w:pPr>
        <w:jc w:val="center"/>
      </w:pPr>
    </w:p>
    <w:p w14:paraId="31FD27DE" w14:textId="77777777" w:rsidR="006A1F96" w:rsidRPr="00F46586" w:rsidRDefault="006A1F96" w:rsidP="009B633D">
      <w:pPr>
        <w:jc w:val="center"/>
      </w:pPr>
    </w:p>
    <w:p w14:paraId="57EF3BD9" w14:textId="019C82CF" w:rsidR="009B633D" w:rsidRPr="00F46586" w:rsidRDefault="00827399" w:rsidP="009B633D">
      <w:pPr>
        <w:jc w:val="center"/>
      </w:pPr>
      <w:r>
        <w:t>October 7</w:t>
      </w:r>
      <w:r w:rsidR="00637B97">
        <w:t>, 2019</w:t>
      </w:r>
      <w:r w:rsidR="00DD4C07">
        <w:t xml:space="preserve"> </w:t>
      </w:r>
    </w:p>
    <w:p w14:paraId="0FD7E99F" w14:textId="77777777" w:rsidR="009B633D" w:rsidRPr="00F46586" w:rsidRDefault="009B633D" w:rsidP="009B633D">
      <w:pPr>
        <w:jc w:val="center"/>
        <w:rPr>
          <w:i/>
        </w:rPr>
      </w:pPr>
    </w:p>
    <w:p w14:paraId="692A40EA" w14:textId="77777777" w:rsidR="006A1F96" w:rsidRPr="00F46586" w:rsidRDefault="006A1F96" w:rsidP="009B633D">
      <w:pPr>
        <w:jc w:val="center"/>
        <w:rPr>
          <w:i/>
        </w:rPr>
      </w:pPr>
    </w:p>
    <w:p w14:paraId="15094E24" w14:textId="77777777" w:rsidR="006A1F96" w:rsidRPr="00F46586" w:rsidRDefault="006A1F96" w:rsidP="009B633D">
      <w:pPr>
        <w:jc w:val="center"/>
        <w:rPr>
          <w:i/>
        </w:rPr>
      </w:pPr>
    </w:p>
    <w:p w14:paraId="21077B98" w14:textId="77777777" w:rsidR="009B633D" w:rsidRPr="00F46586" w:rsidRDefault="009B633D" w:rsidP="009B633D">
      <w:pPr>
        <w:jc w:val="center"/>
      </w:pPr>
    </w:p>
    <w:p w14:paraId="371D38C2" w14:textId="77777777" w:rsidR="009B633D" w:rsidRPr="00F46586" w:rsidRDefault="009B633D" w:rsidP="009B633D">
      <w:pPr>
        <w:jc w:val="center"/>
      </w:pPr>
    </w:p>
    <w:p w14:paraId="77172957" w14:textId="77777777" w:rsidR="009B633D" w:rsidRPr="00F46586" w:rsidRDefault="009B633D" w:rsidP="009B633D">
      <w:pPr>
        <w:jc w:val="center"/>
      </w:pPr>
    </w:p>
    <w:p w14:paraId="4E99D7A8" w14:textId="77777777" w:rsidR="009B633D" w:rsidRPr="00F46586" w:rsidRDefault="009B633D" w:rsidP="009B633D">
      <w:pPr>
        <w:jc w:val="center"/>
      </w:pPr>
    </w:p>
    <w:p w14:paraId="7EF314FB" w14:textId="77777777" w:rsidR="009B633D" w:rsidRPr="00F46586" w:rsidRDefault="009B633D" w:rsidP="009B633D">
      <w:pPr>
        <w:jc w:val="center"/>
      </w:pPr>
    </w:p>
    <w:p w14:paraId="0BCDA2EC" w14:textId="77777777" w:rsidR="009B633D" w:rsidRPr="00F46586" w:rsidRDefault="009B633D"/>
    <w:p w14:paraId="6AEFF9D2" w14:textId="77777777" w:rsidR="009B633D" w:rsidRPr="00F46586" w:rsidRDefault="009B633D"/>
    <w:p w14:paraId="134FCF13" w14:textId="77777777" w:rsidR="000C43E7" w:rsidRPr="00F46586" w:rsidRDefault="000C43E7" w:rsidP="000C43E7">
      <w:pPr>
        <w:jc w:val="center"/>
      </w:pPr>
      <w:r w:rsidRPr="00F46586">
        <w:t>Point of Contact:</w:t>
      </w:r>
    </w:p>
    <w:p w14:paraId="77C7C106" w14:textId="77777777" w:rsidR="000C43E7" w:rsidRPr="00F46586" w:rsidRDefault="00342CB8" w:rsidP="000C43E7">
      <w:pPr>
        <w:jc w:val="center"/>
      </w:pPr>
      <w:r>
        <w:t xml:space="preserve">Gwen </w:t>
      </w:r>
      <w:r w:rsidR="000C43E7" w:rsidRPr="00F46586">
        <w:t>Bergen</w:t>
      </w:r>
    </w:p>
    <w:p w14:paraId="4544FB11" w14:textId="77777777" w:rsidR="000C43E7" w:rsidRPr="00F46586" w:rsidRDefault="000C43E7" w:rsidP="000C43E7">
      <w:pPr>
        <w:jc w:val="center"/>
      </w:pPr>
      <w:r w:rsidRPr="00F46586">
        <w:t>Behavioral Scientist</w:t>
      </w:r>
    </w:p>
    <w:p w14:paraId="026086A2" w14:textId="77777777" w:rsidR="000C43E7" w:rsidRPr="00F46586" w:rsidRDefault="000C43E7" w:rsidP="000C43E7">
      <w:pPr>
        <w:jc w:val="center"/>
      </w:pPr>
      <w:r w:rsidRPr="00F46586">
        <w:t>Contact Information:</w:t>
      </w:r>
    </w:p>
    <w:p w14:paraId="4C19A4F5" w14:textId="77777777" w:rsidR="000C43E7" w:rsidRPr="00F46586" w:rsidRDefault="000C43E7" w:rsidP="000C43E7">
      <w:pPr>
        <w:pStyle w:val="E-mailSignature"/>
        <w:jc w:val="center"/>
        <w:rPr>
          <w:noProof/>
        </w:rPr>
      </w:pPr>
      <w:r w:rsidRPr="00F46586">
        <w:rPr>
          <w:noProof/>
        </w:rPr>
        <w:t>Centers for Disease Control and Prevention</w:t>
      </w:r>
    </w:p>
    <w:p w14:paraId="0EDA1603" w14:textId="77777777" w:rsidR="000C43E7" w:rsidRPr="00F46586" w:rsidRDefault="000C43E7" w:rsidP="000C43E7">
      <w:pPr>
        <w:pStyle w:val="E-mailSignature"/>
        <w:jc w:val="center"/>
        <w:rPr>
          <w:noProof/>
        </w:rPr>
      </w:pPr>
      <w:r w:rsidRPr="00F46586">
        <w:rPr>
          <w:noProof/>
        </w:rPr>
        <w:t>National Center for Injury Prevention and Control</w:t>
      </w:r>
    </w:p>
    <w:p w14:paraId="5F8B34C0" w14:textId="77777777" w:rsidR="000C43E7" w:rsidRPr="00F46586" w:rsidRDefault="000C43E7" w:rsidP="000C43E7">
      <w:pPr>
        <w:pStyle w:val="E-mailSignature"/>
        <w:jc w:val="center"/>
        <w:rPr>
          <w:noProof/>
        </w:rPr>
      </w:pPr>
      <w:r w:rsidRPr="00F46586">
        <w:rPr>
          <w:noProof/>
        </w:rPr>
        <w:t>4770 Buford Highway NE  MS F-64</w:t>
      </w:r>
    </w:p>
    <w:p w14:paraId="7A738469" w14:textId="77777777" w:rsidR="000C43E7" w:rsidRPr="00F46586" w:rsidRDefault="000C43E7" w:rsidP="000C43E7">
      <w:pPr>
        <w:pStyle w:val="E-mailSignature"/>
        <w:jc w:val="center"/>
        <w:rPr>
          <w:noProof/>
        </w:rPr>
      </w:pPr>
      <w:r w:rsidRPr="00F46586">
        <w:rPr>
          <w:noProof/>
        </w:rPr>
        <w:t>Atlanta, GA 30341-3724</w:t>
      </w:r>
    </w:p>
    <w:p w14:paraId="3CABA81B" w14:textId="77777777" w:rsidR="000C43E7" w:rsidRPr="00F46586" w:rsidRDefault="000C43E7" w:rsidP="000C43E7">
      <w:pPr>
        <w:pStyle w:val="E-mailSignature"/>
        <w:jc w:val="center"/>
        <w:rPr>
          <w:noProof/>
        </w:rPr>
      </w:pPr>
      <w:r w:rsidRPr="00F46586">
        <w:rPr>
          <w:noProof/>
        </w:rPr>
        <w:t>phone: 770.488.1394</w:t>
      </w:r>
    </w:p>
    <w:p w14:paraId="205CE64F" w14:textId="77777777" w:rsidR="000C43E7" w:rsidRPr="00F46586" w:rsidRDefault="000C43E7" w:rsidP="000C43E7">
      <w:pPr>
        <w:pStyle w:val="E-mailSignature"/>
        <w:jc w:val="center"/>
        <w:rPr>
          <w:noProof/>
        </w:rPr>
      </w:pPr>
      <w:r w:rsidRPr="00F46586">
        <w:rPr>
          <w:noProof/>
        </w:rPr>
        <w:t>fax: 770.488.1317</w:t>
      </w:r>
    </w:p>
    <w:p w14:paraId="26FC17A7" w14:textId="77777777" w:rsidR="00A82E1A" w:rsidRPr="00F46586" w:rsidRDefault="000C43E7" w:rsidP="0036396B">
      <w:pPr>
        <w:jc w:val="center"/>
      </w:pPr>
      <w:r w:rsidRPr="00F46586">
        <w:rPr>
          <w:noProof/>
        </w:rPr>
        <w:t xml:space="preserve">email:  </w:t>
      </w:r>
      <w:hyperlink r:id="rId9" w:history="1">
        <w:r w:rsidRPr="00F46586">
          <w:rPr>
            <w:rStyle w:val="Hyperlink"/>
            <w:color w:val="000000" w:themeColor="text1"/>
          </w:rPr>
          <w:t>gjb8@cdc.gov</w:t>
        </w:r>
      </w:hyperlink>
      <w:r w:rsidR="00A82E1A" w:rsidRPr="00F46586">
        <w:tab/>
      </w:r>
    </w:p>
    <w:p w14:paraId="302428ED" w14:textId="77777777" w:rsidR="00DC490A" w:rsidRPr="005A400B" w:rsidRDefault="00DB1BBA" w:rsidP="003E190C">
      <w:pPr>
        <w:pStyle w:val="GridTable31"/>
        <w:rPr>
          <w:rFonts w:asciiTheme="minorHAnsi" w:eastAsiaTheme="minorEastAsia" w:hAnsiTheme="minorHAnsi" w:cstheme="minorBidi"/>
          <w:noProof/>
          <w:sz w:val="22"/>
          <w:szCs w:val="22"/>
        </w:rPr>
      </w:pPr>
      <w:r w:rsidRPr="00F46586">
        <w:rPr>
          <w:rFonts w:ascii="Times New Roman" w:hAnsi="Times New Roman"/>
          <w:sz w:val="24"/>
          <w:szCs w:val="24"/>
        </w:rPr>
        <w:br w:type="page"/>
      </w:r>
      <w:r w:rsidR="00233775" w:rsidRPr="00EF2382">
        <w:rPr>
          <w:rFonts w:ascii="Times New Roman" w:hAnsi="Times New Roman"/>
          <w:sz w:val="24"/>
        </w:rPr>
        <w:lastRenderedPageBreak/>
        <w:t>Table of Contents</w:t>
      </w:r>
      <w:r w:rsidR="009B633D" w:rsidRPr="00F46586">
        <w:fldChar w:fldCharType="begin"/>
      </w:r>
      <w:r w:rsidR="009B633D" w:rsidRPr="005A400B">
        <w:instrText xml:space="preserve"> TOC \o "1-3" \h \z \u </w:instrText>
      </w:r>
      <w:r w:rsidR="009B633D" w:rsidRPr="00F46586">
        <w:fldChar w:fldCharType="separate"/>
      </w:r>
    </w:p>
    <w:p w14:paraId="7642DBF8" w14:textId="7F778DA4" w:rsidR="00DC490A" w:rsidRDefault="00F804F2">
      <w:pPr>
        <w:pStyle w:val="TOC1"/>
        <w:rPr>
          <w:rFonts w:asciiTheme="minorHAnsi" w:eastAsiaTheme="minorEastAsia" w:hAnsiTheme="minorHAnsi" w:cstheme="minorBidi"/>
          <w:noProof/>
          <w:sz w:val="22"/>
          <w:szCs w:val="22"/>
        </w:rPr>
      </w:pPr>
      <w:hyperlink w:anchor="_Toc2085381" w:history="1">
        <w:r w:rsidR="00DC490A" w:rsidRPr="003D74E0">
          <w:rPr>
            <w:rStyle w:val="Hyperlink"/>
            <w:noProof/>
          </w:rPr>
          <w:t>Justification</w:t>
        </w:r>
        <w:r w:rsidR="00DC490A">
          <w:rPr>
            <w:noProof/>
            <w:webHidden/>
          </w:rPr>
          <w:tab/>
        </w:r>
        <w:r w:rsidR="00DC490A">
          <w:rPr>
            <w:noProof/>
            <w:webHidden/>
          </w:rPr>
          <w:fldChar w:fldCharType="begin"/>
        </w:r>
        <w:r w:rsidR="00DC490A">
          <w:rPr>
            <w:noProof/>
            <w:webHidden/>
          </w:rPr>
          <w:instrText xml:space="preserve"> PAGEREF _Toc2085381 \h </w:instrText>
        </w:r>
        <w:r w:rsidR="00DC490A">
          <w:rPr>
            <w:noProof/>
            <w:webHidden/>
          </w:rPr>
        </w:r>
        <w:r w:rsidR="00DC490A">
          <w:rPr>
            <w:noProof/>
            <w:webHidden/>
          </w:rPr>
          <w:fldChar w:fldCharType="separate"/>
        </w:r>
        <w:r w:rsidR="00796350">
          <w:rPr>
            <w:noProof/>
            <w:webHidden/>
          </w:rPr>
          <w:t>4</w:t>
        </w:r>
        <w:r w:rsidR="00DC490A">
          <w:rPr>
            <w:noProof/>
            <w:webHidden/>
          </w:rPr>
          <w:fldChar w:fldCharType="end"/>
        </w:r>
      </w:hyperlink>
    </w:p>
    <w:p w14:paraId="7DFDAB0E" w14:textId="10278694" w:rsidR="00DC490A" w:rsidRDefault="00F804F2">
      <w:pPr>
        <w:pStyle w:val="TOC2"/>
        <w:rPr>
          <w:rFonts w:asciiTheme="minorHAnsi" w:eastAsiaTheme="minorEastAsia" w:hAnsiTheme="minorHAnsi" w:cstheme="minorBidi"/>
          <w:noProof/>
          <w:sz w:val="22"/>
          <w:szCs w:val="22"/>
        </w:rPr>
      </w:pPr>
      <w:hyperlink w:anchor="_Toc2085382" w:history="1">
        <w:r w:rsidR="00DC490A" w:rsidRPr="003D74E0">
          <w:rPr>
            <w:rStyle w:val="Hyperlink"/>
            <w:noProof/>
          </w:rPr>
          <w:t>A.1. Circumstances that make the collection of information necessary</w:t>
        </w:r>
        <w:r w:rsidR="00DC490A">
          <w:rPr>
            <w:noProof/>
            <w:webHidden/>
          </w:rPr>
          <w:tab/>
        </w:r>
        <w:r w:rsidR="00DC490A">
          <w:rPr>
            <w:noProof/>
            <w:webHidden/>
          </w:rPr>
          <w:fldChar w:fldCharType="begin"/>
        </w:r>
        <w:r w:rsidR="00DC490A">
          <w:rPr>
            <w:noProof/>
            <w:webHidden/>
          </w:rPr>
          <w:instrText xml:space="preserve"> PAGEREF _Toc2085382 \h </w:instrText>
        </w:r>
        <w:r w:rsidR="00DC490A">
          <w:rPr>
            <w:noProof/>
            <w:webHidden/>
          </w:rPr>
        </w:r>
        <w:r w:rsidR="00DC490A">
          <w:rPr>
            <w:noProof/>
            <w:webHidden/>
          </w:rPr>
          <w:fldChar w:fldCharType="separate"/>
        </w:r>
        <w:r w:rsidR="00796350">
          <w:rPr>
            <w:noProof/>
            <w:webHidden/>
          </w:rPr>
          <w:t>4</w:t>
        </w:r>
        <w:r w:rsidR="00DC490A">
          <w:rPr>
            <w:noProof/>
            <w:webHidden/>
          </w:rPr>
          <w:fldChar w:fldCharType="end"/>
        </w:r>
      </w:hyperlink>
    </w:p>
    <w:p w14:paraId="079842EF" w14:textId="57629C0E" w:rsidR="00DC490A" w:rsidRDefault="00F804F2">
      <w:pPr>
        <w:pStyle w:val="TOC2"/>
        <w:rPr>
          <w:rFonts w:asciiTheme="minorHAnsi" w:eastAsiaTheme="minorEastAsia" w:hAnsiTheme="minorHAnsi" w:cstheme="minorBidi"/>
          <w:noProof/>
          <w:sz w:val="22"/>
          <w:szCs w:val="22"/>
        </w:rPr>
      </w:pPr>
      <w:hyperlink w:anchor="_Toc2085383" w:history="1">
        <w:r w:rsidR="00DC490A" w:rsidRPr="003D74E0">
          <w:rPr>
            <w:rStyle w:val="Hyperlink"/>
            <w:noProof/>
          </w:rPr>
          <w:t>A.2. Purpose and Use of the Information Collection</w:t>
        </w:r>
        <w:r w:rsidR="00DC490A">
          <w:rPr>
            <w:noProof/>
            <w:webHidden/>
          </w:rPr>
          <w:tab/>
        </w:r>
        <w:r w:rsidR="00DC490A">
          <w:rPr>
            <w:noProof/>
            <w:webHidden/>
          </w:rPr>
          <w:fldChar w:fldCharType="begin"/>
        </w:r>
        <w:r w:rsidR="00DC490A">
          <w:rPr>
            <w:noProof/>
            <w:webHidden/>
          </w:rPr>
          <w:instrText xml:space="preserve"> PAGEREF _Toc2085383 \h </w:instrText>
        </w:r>
        <w:r w:rsidR="00DC490A">
          <w:rPr>
            <w:noProof/>
            <w:webHidden/>
          </w:rPr>
        </w:r>
        <w:r w:rsidR="00DC490A">
          <w:rPr>
            <w:noProof/>
            <w:webHidden/>
          </w:rPr>
          <w:fldChar w:fldCharType="separate"/>
        </w:r>
        <w:r w:rsidR="00796350">
          <w:rPr>
            <w:noProof/>
            <w:webHidden/>
          </w:rPr>
          <w:t>9</w:t>
        </w:r>
        <w:r w:rsidR="00DC490A">
          <w:rPr>
            <w:noProof/>
            <w:webHidden/>
          </w:rPr>
          <w:fldChar w:fldCharType="end"/>
        </w:r>
      </w:hyperlink>
    </w:p>
    <w:p w14:paraId="774C6E43" w14:textId="7D099914" w:rsidR="00DC490A" w:rsidRDefault="00F804F2">
      <w:pPr>
        <w:pStyle w:val="TOC2"/>
        <w:rPr>
          <w:rFonts w:asciiTheme="minorHAnsi" w:eastAsiaTheme="minorEastAsia" w:hAnsiTheme="minorHAnsi" w:cstheme="minorBidi"/>
          <w:noProof/>
          <w:sz w:val="22"/>
          <w:szCs w:val="22"/>
        </w:rPr>
      </w:pPr>
      <w:hyperlink w:anchor="_Toc2085384" w:history="1">
        <w:r w:rsidR="00DC490A" w:rsidRPr="003D74E0">
          <w:rPr>
            <w:rStyle w:val="Hyperlink"/>
            <w:noProof/>
          </w:rPr>
          <w:t>A.3. Use of Improved Information Technology and Burden Reduction</w:t>
        </w:r>
        <w:r w:rsidR="00DC490A">
          <w:rPr>
            <w:noProof/>
            <w:webHidden/>
          </w:rPr>
          <w:tab/>
        </w:r>
        <w:r w:rsidR="00DC490A">
          <w:rPr>
            <w:noProof/>
            <w:webHidden/>
          </w:rPr>
          <w:fldChar w:fldCharType="begin"/>
        </w:r>
        <w:r w:rsidR="00DC490A">
          <w:rPr>
            <w:noProof/>
            <w:webHidden/>
          </w:rPr>
          <w:instrText xml:space="preserve"> PAGEREF _Toc2085384 \h </w:instrText>
        </w:r>
        <w:r w:rsidR="00DC490A">
          <w:rPr>
            <w:noProof/>
            <w:webHidden/>
          </w:rPr>
        </w:r>
        <w:r w:rsidR="00DC490A">
          <w:rPr>
            <w:noProof/>
            <w:webHidden/>
          </w:rPr>
          <w:fldChar w:fldCharType="separate"/>
        </w:r>
        <w:r w:rsidR="00796350">
          <w:rPr>
            <w:noProof/>
            <w:webHidden/>
          </w:rPr>
          <w:t>13</w:t>
        </w:r>
        <w:r w:rsidR="00DC490A">
          <w:rPr>
            <w:noProof/>
            <w:webHidden/>
          </w:rPr>
          <w:fldChar w:fldCharType="end"/>
        </w:r>
      </w:hyperlink>
    </w:p>
    <w:p w14:paraId="4A2EFD52" w14:textId="744285DB" w:rsidR="00DC490A" w:rsidRDefault="00F804F2">
      <w:pPr>
        <w:pStyle w:val="TOC2"/>
        <w:rPr>
          <w:rFonts w:asciiTheme="minorHAnsi" w:eastAsiaTheme="minorEastAsia" w:hAnsiTheme="minorHAnsi" w:cstheme="minorBidi"/>
          <w:noProof/>
          <w:sz w:val="22"/>
          <w:szCs w:val="22"/>
        </w:rPr>
      </w:pPr>
      <w:hyperlink w:anchor="_Toc2085385" w:history="1">
        <w:r w:rsidR="00DC490A" w:rsidRPr="003D74E0">
          <w:rPr>
            <w:rStyle w:val="Hyperlink"/>
            <w:noProof/>
          </w:rPr>
          <w:t>A.4. Efforts to Identify Duplication and Use of Similar Information</w:t>
        </w:r>
        <w:r w:rsidR="00DC490A">
          <w:rPr>
            <w:noProof/>
            <w:webHidden/>
          </w:rPr>
          <w:tab/>
        </w:r>
        <w:r w:rsidR="00DC490A">
          <w:rPr>
            <w:noProof/>
            <w:webHidden/>
          </w:rPr>
          <w:fldChar w:fldCharType="begin"/>
        </w:r>
        <w:r w:rsidR="00DC490A">
          <w:rPr>
            <w:noProof/>
            <w:webHidden/>
          </w:rPr>
          <w:instrText xml:space="preserve"> PAGEREF _Toc2085385 \h </w:instrText>
        </w:r>
        <w:r w:rsidR="00DC490A">
          <w:rPr>
            <w:noProof/>
            <w:webHidden/>
          </w:rPr>
        </w:r>
        <w:r w:rsidR="00DC490A">
          <w:rPr>
            <w:noProof/>
            <w:webHidden/>
          </w:rPr>
          <w:fldChar w:fldCharType="separate"/>
        </w:r>
        <w:r w:rsidR="00796350">
          <w:rPr>
            <w:noProof/>
            <w:webHidden/>
          </w:rPr>
          <w:t>14</w:t>
        </w:r>
        <w:r w:rsidR="00DC490A">
          <w:rPr>
            <w:noProof/>
            <w:webHidden/>
          </w:rPr>
          <w:fldChar w:fldCharType="end"/>
        </w:r>
      </w:hyperlink>
    </w:p>
    <w:p w14:paraId="07B90BBC" w14:textId="37160A7C" w:rsidR="00DC490A" w:rsidRDefault="00F804F2">
      <w:pPr>
        <w:pStyle w:val="TOC2"/>
        <w:rPr>
          <w:rFonts w:asciiTheme="minorHAnsi" w:eastAsiaTheme="minorEastAsia" w:hAnsiTheme="minorHAnsi" w:cstheme="minorBidi"/>
          <w:noProof/>
          <w:sz w:val="22"/>
          <w:szCs w:val="22"/>
        </w:rPr>
      </w:pPr>
      <w:hyperlink w:anchor="_Toc2085386" w:history="1">
        <w:r w:rsidR="00DC490A" w:rsidRPr="003D74E0">
          <w:rPr>
            <w:rStyle w:val="Hyperlink"/>
            <w:noProof/>
          </w:rPr>
          <w:t>A.5. Impact on Small Business or Other Small Entities</w:t>
        </w:r>
        <w:r w:rsidR="00DC490A">
          <w:rPr>
            <w:noProof/>
            <w:webHidden/>
          </w:rPr>
          <w:tab/>
        </w:r>
        <w:r w:rsidR="00DC490A">
          <w:rPr>
            <w:noProof/>
            <w:webHidden/>
          </w:rPr>
          <w:fldChar w:fldCharType="begin"/>
        </w:r>
        <w:r w:rsidR="00DC490A">
          <w:rPr>
            <w:noProof/>
            <w:webHidden/>
          </w:rPr>
          <w:instrText xml:space="preserve"> PAGEREF _Toc2085386 \h </w:instrText>
        </w:r>
        <w:r w:rsidR="00DC490A">
          <w:rPr>
            <w:noProof/>
            <w:webHidden/>
          </w:rPr>
        </w:r>
        <w:r w:rsidR="00DC490A">
          <w:rPr>
            <w:noProof/>
            <w:webHidden/>
          </w:rPr>
          <w:fldChar w:fldCharType="separate"/>
        </w:r>
        <w:r w:rsidR="00796350">
          <w:rPr>
            <w:noProof/>
            <w:webHidden/>
          </w:rPr>
          <w:t>15</w:t>
        </w:r>
        <w:r w:rsidR="00DC490A">
          <w:rPr>
            <w:noProof/>
            <w:webHidden/>
          </w:rPr>
          <w:fldChar w:fldCharType="end"/>
        </w:r>
      </w:hyperlink>
    </w:p>
    <w:p w14:paraId="6103CFB6" w14:textId="639D0E7D" w:rsidR="00DC490A" w:rsidRDefault="00F804F2">
      <w:pPr>
        <w:pStyle w:val="TOC2"/>
        <w:rPr>
          <w:rFonts w:asciiTheme="minorHAnsi" w:eastAsiaTheme="minorEastAsia" w:hAnsiTheme="minorHAnsi" w:cstheme="minorBidi"/>
          <w:noProof/>
          <w:sz w:val="22"/>
          <w:szCs w:val="22"/>
        </w:rPr>
      </w:pPr>
      <w:hyperlink w:anchor="_Toc2085387" w:history="1">
        <w:r w:rsidR="00DC490A" w:rsidRPr="003D74E0">
          <w:rPr>
            <w:rStyle w:val="Hyperlink"/>
            <w:noProof/>
          </w:rPr>
          <w:t>A.6. Consequences of Collecting Information Less Frequently</w:t>
        </w:r>
        <w:r w:rsidR="00DC490A">
          <w:rPr>
            <w:noProof/>
            <w:webHidden/>
          </w:rPr>
          <w:tab/>
        </w:r>
        <w:r w:rsidR="00DC490A">
          <w:rPr>
            <w:noProof/>
            <w:webHidden/>
          </w:rPr>
          <w:fldChar w:fldCharType="begin"/>
        </w:r>
        <w:r w:rsidR="00DC490A">
          <w:rPr>
            <w:noProof/>
            <w:webHidden/>
          </w:rPr>
          <w:instrText xml:space="preserve"> PAGEREF _Toc2085387 \h </w:instrText>
        </w:r>
        <w:r w:rsidR="00DC490A">
          <w:rPr>
            <w:noProof/>
            <w:webHidden/>
          </w:rPr>
        </w:r>
        <w:r w:rsidR="00DC490A">
          <w:rPr>
            <w:noProof/>
            <w:webHidden/>
          </w:rPr>
          <w:fldChar w:fldCharType="separate"/>
        </w:r>
        <w:r w:rsidR="00796350">
          <w:rPr>
            <w:noProof/>
            <w:webHidden/>
          </w:rPr>
          <w:t>15</w:t>
        </w:r>
        <w:r w:rsidR="00DC490A">
          <w:rPr>
            <w:noProof/>
            <w:webHidden/>
          </w:rPr>
          <w:fldChar w:fldCharType="end"/>
        </w:r>
      </w:hyperlink>
    </w:p>
    <w:p w14:paraId="6A445D98" w14:textId="1B41AA47" w:rsidR="00DC490A" w:rsidRDefault="00F804F2">
      <w:pPr>
        <w:pStyle w:val="TOC2"/>
        <w:rPr>
          <w:rFonts w:asciiTheme="minorHAnsi" w:eastAsiaTheme="minorEastAsia" w:hAnsiTheme="minorHAnsi" w:cstheme="minorBidi"/>
          <w:noProof/>
          <w:sz w:val="22"/>
          <w:szCs w:val="22"/>
        </w:rPr>
      </w:pPr>
      <w:hyperlink w:anchor="_Toc2085388" w:history="1">
        <w:r w:rsidR="00DC490A" w:rsidRPr="003D74E0">
          <w:rPr>
            <w:rStyle w:val="Hyperlink"/>
            <w:noProof/>
          </w:rPr>
          <w:t>A.7. Special Circumstances Relating to the Guidelines of 5 CFR 1320.5</w:t>
        </w:r>
        <w:r w:rsidR="00DC490A">
          <w:rPr>
            <w:noProof/>
            <w:webHidden/>
          </w:rPr>
          <w:tab/>
        </w:r>
        <w:r w:rsidR="00DC490A">
          <w:rPr>
            <w:noProof/>
            <w:webHidden/>
          </w:rPr>
          <w:fldChar w:fldCharType="begin"/>
        </w:r>
        <w:r w:rsidR="00DC490A">
          <w:rPr>
            <w:noProof/>
            <w:webHidden/>
          </w:rPr>
          <w:instrText xml:space="preserve"> PAGEREF _Toc2085388 \h </w:instrText>
        </w:r>
        <w:r w:rsidR="00DC490A">
          <w:rPr>
            <w:noProof/>
            <w:webHidden/>
          </w:rPr>
        </w:r>
        <w:r w:rsidR="00DC490A">
          <w:rPr>
            <w:noProof/>
            <w:webHidden/>
          </w:rPr>
          <w:fldChar w:fldCharType="separate"/>
        </w:r>
        <w:r w:rsidR="00796350">
          <w:rPr>
            <w:noProof/>
            <w:webHidden/>
          </w:rPr>
          <w:t>15</w:t>
        </w:r>
        <w:r w:rsidR="00DC490A">
          <w:rPr>
            <w:noProof/>
            <w:webHidden/>
          </w:rPr>
          <w:fldChar w:fldCharType="end"/>
        </w:r>
      </w:hyperlink>
    </w:p>
    <w:p w14:paraId="5BC7804F" w14:textId="412E299A" w:rsidR="00DC490A" w:rsidRDefault="00F804F2">
      <w:pPr>
        <w:pStyle w:val="TOC2"/>
        <w:rPr>
          <w:rFonts w:asciiTheme="minorHAnsi" w:eastAsiaTheme="minorEastAsia" w:hAnsiTheme="minorHAnsi" w:cstheme="minorBidi"/>
          <w:noProof/>
          <w:sz w:val="22"/>
          <w:szCs w:val="22"/>
        </w:rPr>
      </w:pPr>
      <w:hyperlink w:anchor="_Toc2085389" w:history="1">
        <w:r w:rsidR="00DC490A" w:rsidRPr="003D74E0">
          <w:rPr>
            <w:rStyle w:val="Hyperlink"/>
            <w:noProof/>
          </w:rPr>
          <w:t>A.8. Comments in Response to the Federal Register Notice and Efforts to Consult Outside the Agency</w:t>
        </w:r>
        <w:r w:rsidR="00DC490A">
          <w:rPr>
            <w:noProof/>
            <w:webHidden/>
          </w:rPr>
          <w:tab/>
        </w:r>
        <w:r w:rsidR="00DC490A">
          <w:rPr>
            <w:noProof/>
            <w:webHidden/>
          </w:rPr>
          <w:fldChar w:fldCharType="begin"/>
        </w:r>
        <w:r w:rsidR="00DC490A">
          <w:rPr>
            <w:noProof/>
            <w:webHidden/>
          </w:rPr>
          <w:instrText xml:space="preserve"> PAGEREF _Toc2085389 \h </w:instrText>
        </w:r>
        <w:r w:rsidR="00DC490A">
          <w:rPr>
            <w:noProof/>
            <w:webHidden/>
          </w:rPr>
        </w:r>
        <w:r w:rsidR="00DC490A">
          <w:rPr>
            <w:noProof/>
            <w:webHidden/>
          </w:rPr>
          <w:fldChar w:fldCharType="separate"/>
        </w:r>
        <w:r w:rsidR="00796350">
          <w:rPr>
            <w:noProof/>
            <w:webHidden/>
          </w:rPr>
          <w:t>15</w:t>
        </w:r>
        <w:r w:rsidR="00DC490A">
          <w:rPr>
            <w:noProof/>
            <w:webHidden/>
          </w:rPr>
          <w:fldChar w:fldCharType="end"/>
        </w:r>
      </w:hyperlink>
    </w:p>
    <w:p w14:paraId="0F924CB7" w14:textId="22FEE18C" w:rsidR="00DC490A" w:rsidRDefault="00F804F2">
      <w:pPr>
        <w:pStyle w:val="TOC2"/>
        <w:rPr>
          <w:rFonts w:asciiTheme="minorHAnsi" w:eastAsiaTheme="minorEastAsia" w:hAnsiTheme="minorHAnsi" w:cstheme="minorBidi"/>
          <w:noProof/>
          <w:sz w:val="22"/>
          <w:szCs w:val="22"/>
        </w:rPr>
      </w:pPr>
      <w:hyperlink w:anchor="_Toc2085390" w:history="1">
        <w:r w:rsidR="00DC490A" w:rsidRPr="003D74E0">
          <w:rPr>
            <w:rStyle w:val="Hyperlink"/>
            <w:noProof/>
          </w:rPr>
          <w:t>A.9. Explanation of Any Payment or Gift to Respondents</w:t>
        </w:r>
        <w:r w:rsidR="00DC490A">
          <w:rPr>
            <w:noProof/>
            <w:webHidden/>
          </w:rPr>
          <w:tab/>
        </w:r>
        <w:r w:rsidR="00DC490A">
          <w:rPr>
            <w:noProof/>
            <w:webHidden/>
          </w:rPr>
          <w:fldChar w:fldCharType="begin"/>
        </w:r>
        <w:r w:rsidR="00DC490A">
          <w:rPr>
            <w:noProof/>
            <w:webHidden/>
          </w:rPr>
          <w:instrText xml:space="preserve"> PAGEREF _Toc2085390 \h </w:instrText>
        </w:r>
        <w:r w:rsidR="00DC490A">
          <w:rPr>
            <w:noProof/>
            <w:webHidden/>
          </w:rPr>
        </w:r>
        <w:r w:rsidR="00DC490A">
          <w:rPr>
            <w:noProof/>
            <w:webHidden/>
          </w:rPr>
          <w:fldChar w:fldCharType="separate"/>
        </w:r>
        <w:r w:rsidR="00796350">
          <w:rPr>
            <w:noProof/>
            <w:webHidden/>
          </w:rPr>
          <w:t>16</w:t>
        </w:r>
        <w:r w:rsidR="00DC490A">
          <w:rPr>
            <w:noProof/>
            <w:webHidden/>
          </w:rPr>
          <w:fldChar w:fldCharType="end"/>
        </w:r>
      </w:hyperlink>
    </w:p>
    <w:p w14:paraId="7A95BF2D" w14:textId="271F8137" w:rsidR="00DC490A" w:rsidRDefault="00F804F2">
      <w:pPr>
        <w:pStyle w:val="TOC2"/>
        <w:rPr>
          <w:rFonts w:asciiTheme="minorHAnsi" w:eastAsiaTheme="minorEastAsia" w:hAnsiTheme="minorHAnsi" w:cstheme="minorBidi"/>
          <w:noProof/>
          <w:sz w:val="22"/>
          <w:szCs w:val="22"/>
        </w:rPr>
      </w:pPr>
      <w:hyperlink w:anchor="_Toc2085391" w:history="1">
        <w:r w:rsidR="00DC490A" w:rsidRPr="003D74E0">
          <w:rPr>
            <w:rStyle w:val="Hyperlink"/>
            <w:noProof/>
          </w:rPr>
          <w:t>A.10. Protection of the Privacy and Confidentiality of Information Provided by Respondents</w:t>
        </w:r>
        <w:r w:rsidR="00DC490A">
          <w:rPr>
            <w:noProof/>
            <w:webHidden/>
          </w:rPr>
          <w:tab/>
        </w:r>
        <w:r w:rsidR="00DC490A">
          <w:rPr>
            <w:noProof/>
            <w:webHidden/>
          </w:rPr>
          <w:fldChar w:fldCharType="begin"/>
        </w:r>
        <w:r w:rsidR="00DC490A">
          <w:rPr>
            <w:noProof/>
            <w:webHidden/>
          </w:rPr>
          <w:instrText xml:space="preserve"> PAGEREF _Toc2085391 \h </w:instrText>
        </w:r>
        <w:r w:rsidR="00DC490A">
          <w:rPr>
            <w:noProof/>
            <w:webHidden/>
          </w:rPr>
        </w:r>
        <w:r w:rsidR="00DC490A">
          <w:rPr>
            <w:noProof/>
            <w:webHidden/>
          </w:rPr>
          <w:fldChar w:fldCharType="separate"/>
        </w:r>
        <w:r w:rsidR="00796350">
          <w:rPr>
            <w:noProof/>
            <w:webHidden/>
          </w:rPr>
          <w:t>16</w:t>
        </w:r>
        <w:r w:rsidR="00DC490A">
          <w:rPr>
            <w:noProof/>
            <w:webHidden/>
          </w:rPr>
          <w:fldChar w:fldCharType="end"/>
        </w:r>
      </w:hyperlink>
    </w:p>
    <w:p w14:paraId="5DD4121D" w14:textId="7EACEE26" w:rsidR="00DC490A" w:rsidRDefault="00F804F2">
      <w:pPr>
        <w:pStyle w:val="TOC2"/>
        <w:rPr>
          <w:rFonts w:asciiTheme="minorHAnsi" w:eastAsiaTheme="minorEastAsia" w:hAnsiTheme="minorHAnsi" w:cstheme="minorBidi"/>
          <w:noProof/>
          <w:sz w:val="22"/>
          <w:szCs w:val="22"/>
        </w:rPr>
      </w:pPr>
      <w:hyperlink w:anchor="_Toc2085392" w:history="1">
        <w:r w:rsidR="00DC490A" w:rsidRPr="003D74E0">
          <w:rPr>
            <w:rStyle w:val="Hyperlink"/>
            <w:noProof/>
          </w:rPr>
          <w:t>A.11 Institutional Review Board (IRB) and Justification for Sensitive Questions</w:t>
        </w:r>
        <w:r w:rsidR="00DC490A">
          <w:rPr>
            <w:noProof/>
            <w:webHidden/>
          </w:rPr>
          <w:tab/>
        </w:r>
        <w:r w:rsidR="00DC490A">
          <w:rPr>
            <w:noProof/>
            <w:webHidden/>
          </w:rPr>
          <w:fldChar w:fldCharType="begin"/>
        </w:r>
        <w:r w:rsidR="00DC490A">
          <w:rPr>
            <w:noProof/>
            <w:webHidden/>
          </w:rPr>
          <w:instrText xml:space="preserve"> PAGEREF _Toc2085392 \h </w:instrText>
        </w:r>
        <w:r w:rsidR="00DC490A">
          <w:rPr>
            <w:noProof/>
            <w:webHidden/>
          </w:rPr>
        </w:r>
        <w:r w:rsidR="00DC490A">
          <w:rPr>
            <w:noProof/>
            <w:webHidden/>
          </w:rPr>
          <w:fldChar w:fldCharType="separate"/>
        </w:r>
        <w:r w:rsidR="00796350">
          <w:rPr>
            <w:noProof/>
            <w:webHidden/>
          </w:rPr>
          <w:t>17</w:t>
        </w:r>
        <w:r w:rsidR="00DC490A">
          <w:rPr>
            <w:noProof/>
            <w:webHidden/>
          </w:rPr>
          <w:fldChar w:fldCharType="end"/>
        </w:r>
      </w:hyperlink>
    </w:p>
    <w:p w14:paraId="2AB4A7FA" w14:textId="4B391978" w:rsidR="00DC490A" w:rsidRDefault="00F804F2">
      <w:pPr>
        <w:pStyle w:val="TOC2"/>
        <w:rPr>
          <w:rFonts w:asciiTheme="minorHAnsi" w:eastAsiaTheme="minorEastAsia" w:hAnsiTheme="minorHAnsi" w:cstheme="minorBidi"/>
          <w:noProof/>
          <w:sz w:val="22"/>
          <w:szCs w:val="22"/>
        </w:rPr>
      </w:pPr>
      <w:hyperlink w:anchor="_Toc2085394" w:history="1">
        <w:r w:rsidR="00DC490A" w:rsidRPr="003D74E0">
          <w:rPr>
            <w:rStyle w:val="Hyperlink"/>
            <w:noProof/>
          </w:rPr>
          <w:t>A.12. Estimates of Annualized Burden Hours and Costs</w:t>
        </w:r>
        <w:r w:rsidR="00DC490A">
          <w:rPr>
            <w:noProof/>
            <w:webHidden/>
          </w:rPr>
          <w:tab/>
        </w:r>
        <w:r w:rsidR="00DC490A">
          <w:rPr>
            <w:noProof/>
            <w:webHidden/>
          </w:rPr>
          <w:fldChar w:fldCharType="begin"/>
        </w:r>
        <w:r w:rsidR="00DC490A">
          <w:rPr>
            <w:noProof/>
            <w:webHidden/>
          </w:rPr>
          <w:instrText xml:space="preserve"> PAGEREF _Toc2085394 \h </w:instrText>
        </w:r>
        <w:r w:rsidR="00DC490A">
          <w:rPr>
            <w:noProof/>
            <w:webHidden/>
          </w:rPr>
        </w:r>
        <w:r w:rsidR="00DC490A">
          <w:rPr>
            <w:noProof/>
            <w:webHidden/>
          </w:rPr>
          <w:fldChar w:fldCharType="separate"/>
        </w:r>
        <w:r w:rsidR="00796350">
          <w:rPr>
            <w:noProof/>
            <w:webHidden/>
          </w:rPr>
          <w:t>17</w:t>
        </w:r>
        <w:r w:rsidR="00DC490A">
          <w:rPr>
            <w:noProof/>
            <w:webHidden/>
          </w:rPr>
          <w:fldChar w:fldCharType="end"/>
        </w:r>
      </w:hyperlink>
    </w:p>
    <w:p w14:paraId="6F9CEB79" w14:textId="6892FF8F" w:rsidR="00DC490A" w:rsidRDefault="00F804F2">
      <w:pPr>
        <w:pStyle w:val="TOC2"/>
        <w:rPr>
          <w:rFonts w:asciiTheme="minorHAnsi" w:eastAsiaTheme="minorEastAsia" w:hAnsiTheme="minorHAnsi" w:cstheme="minorBidi"/>
          <w:noProof/>
          <w:sz w:val="22"/>
          <w:szCs w:val="22"/>
        </w:rPr>
      </w:pPr>
      <w:hyperlink w:anchor="_Toc2085395" w:history="1">
        <w:r w:rsidR="00DC490A" w:rsidRPr="003D74E0">
          <w:rPr>
            <w:rStyle w:val="Hyperlink"/>
            <w:noProof/>
          </w:rPr>
          <w:t>A.13. Estimates of Other Total Annual Cost Burden to Respondents and Record Keepers</w:t>
        </w:r>
        <w:r w:rsidR="00DC490A">
          <w:rPr>
            <w:noProof/>
            <w:webHidden/>
          </w:rPr>
          <w:tab/>
        </w:r>
        <w:r w:rsidR="00DC490A">
          <w:rPr>
            <w:noProof/>
            <w:webHidden/>
          </w:rPr>
          <w:fldChar w:fldCharType="begin"/>
        </w:r>
        <w:r w:rsidR="00DC490A">
          <w:rPr>
            <w:noProof/>
            <w:webHidden/>
          </w:rPr>
          <w:instrText xml:space="preserve"> PAGEREF _Toc2085395 \h </w:instrText>
        </w:r>
        <w:r w:rsidR="00DC490A">
          <w:rPr>
            <w:noProof/>
            <w:webHidden/>
          </w:rPr>
        </w:r>
        <w:r w:rsidR="00DC490A">
          <w:rPr>
            <w:noProof/>
            <w:webHidden/>
          </w:rPr>
          <w:fldChar w:fldCharType="separate"/>
        </w:r>
        <w:r w:rsidR="00796350">
          <w:rPr>
            <w:noProof/>
            <w:webHidden/>
          </w:rPr>
          <w:t>20</w:t>
        </w:r>
        <w:r w:rsidR="00DC490A">
          <w:rPr>
            <w:noProof/>
            <w:webHidden/>
          </w:rPr>
          <w:fldChar w:fldCharType="end"/>
        </w:r>
      </w:hyperlink>
    </w:p>
    <w:p w14:paraId="72026FFF" w14:textId="6A631186" w:rsidR="00DC490A" w:rsidRDefault="00F804F2">
      <w:pPr>
        <w:pStyle w:val="TOC2"/>
        <w:rPr>
          <w:rFonts w:asciiTheme="minorHAnsi" w:eastAsiaTheme="minorEastAsia" w:hAnsiTheme="minorHAnsi" w:cstheme="minorBidi"/>
          <w:noProof/>
          <w:sz w:val="22"/>
          <w:szCs w:val="22"/>
        </w:rPr>
      </w:pPr>
      <w:hyperlink w:anchor="_Toc2085396" w:history="1">
        <w:r w:rsidR="00DC490A" w:rsidRPr="003D74E0">
          <w:rPr>
            <w:rStyle w:val="Hyperlink"/>
            <w:noProof/>
          </w:rPr>
          <w:t>A.14. Annualized Cost to the Federal Government</w:t>
        </w:r>
        <w:r w:rsidR="00DC490A">
          <w:rPr>
            <w:noProof/>
            <w:webHidden/>
          </w:rPr>
          <w:tab/>
        </w:r>
        <w:r w:rsidR="00DC490A">
          <w:rPr>
            <w:noProof/>
            <w:webHidden/>
          </w:rPr>
          <w:fldChar w:fldCharType="begin"/>
        </w:r>
        <w:r w:rsidR="00DC490A">
          <w:rPr>
            <w:noProof/>
            <w:webHidden/>
          </w:rPr>
          <w:instrText xml:space="preserve"> PAGEREF _Toc2085396 \h </w:instrText>
        </w:r>
        <w:r w:rsidR="00DC490A">
          <w:rPr>
            <w:noProof/>
            <w:webHidden/>
          </w:rPr>
        </w:r>
        <w:r w:rsidR="00DC490A">
          <w:rPr>
            <w:noProof/>
            <w:webHidden/>
          </w:rPr>
          <w:fldChar w:fldCharType="separate"/>
        </w:r>
        <w:r w:rsidR="00796350">
          <w:rPr>
            <w:noProof/>
            <w:webHidden/>
          </w:rPr>
          <w:t>20</w:t>
        </w:r>
        <w:r w:rsidR="00DC490A">
          <w:rPr>
            <w:noProof/>
            <w:webHidden/>
          </w:rPr>
          <w:fldChar w:fldCharType="end"/>
        </w:r>
      </w:hyperlink>
    </w:p>
    <w:p w14:paraId="628F9154" w14:textId="75A43631" w:rsidR="00DC490A" w:rsidRDefault="00F804F2">
      <w:pPr>
        <w:pStyle w:val="TOC2"/>
        <w:rPr>
          <w:rFonts w:asciiTheme="minorHAnsi" w:eastAsiaTheme="minorEastAsia" w:hAnsiTheme="minorHAnsi" w:cstheme="minorBidi"/>
          <w:noProof/>
          <w:sz w:val="22"/>
          <w:szCs w:val="22"/>
        </w:rPr>
      </w:pPr>
      <w:hyperlink w:anchor="_Toc2085397" w:history="1">
        <w:r w:rsidR="00DC490A" w:rsidRPr="003D74E0">
          <w:rPr>
            <w:rStyle w:val="Hyperlink"/>
            <w:noProof/>
          </w:rPr>
          <w:t>A.15. Explanation for Program Changes or Adjustments</w:t>
        </w:r>
        <w:r w:rsidR="00DC490A">
          <w:rPr>
            <w:noProof/>
            <w:webHidden/>
          </w:rPr>
          <w:tab/>
        </w:r>
        <w:r w:rsidR="00DC490A">
          <w:rPr>
            <w:noProof/>
            <w:webHidden/>
          </w:rPr>
          <w:fldChar w:fldCharType="begin"/>
        </w:r>
        <w:r w:rsidR="00DC490A">
          <w:rPr>
            <w:noProof/>
            <w:webHidden/>
          </w:rPr>
          <w:instrText xml:space="preserve"> PAGEREF _Toc2085397 \h </w:instrText>
        </w:r>
        <w:r w:rsidR="00DC490A">
          <w:rPr>
            <w:noProof/>
            <w:webHidden/>
          </w:rPr>
        </w:r>
        <w:r w:rsidR="00DC490A">
          <w:rPr>
            <w:noProof/>
            <w:webHidden/>
          </w:rPr>
          <w:fldChar w:fldCharType="separate"/>
        </w:r>
        <w:r w:rsidR="00796350">
          <w:rPr>
            <w:noProof/>
            <w:webHidden/>
          </w:rPr>
          <w:t>20</w:t>
        </w:r>
        <w:r w:rsidR="00DC490A">
          <w:rPr>
            <w:noProof/>
            <w:webHidden/>
          </w:rPr>
          <w:fldChar w:fldCharType="end"/>
        </w:r>
      </w:hyperlink>
    </w:p>
    <w:p w14:paraId="38C741EC" w14:textId="37BFE0F3" w:rsidR="00DC490A" w:rsidRDefault="00F804F2">
      <w:pPr>
        <w:pStyle w:val="TOC2"/>
        <w:rPr>
          <w:rFonts w:asciiTheme="minorHAnsi" w:eastAsiaTheme="minorEastAsia" w:hAnsiTheme="minorHAnsi" w:cstheme="minorBidi"/>
          <w:noProof/>
          <w:sz w:val="22"/>
          <w:szCs w:val="22"/>
        </w:rPr>
      </w:pPr>
      <w:hyperlink w:anchor="_Toc2085398" w:history="1">
        <w:r w:rsidR="00DC490A" w:rsidRPr="003D74E0">
          <w:rPr>
            <w:rStyle w:val="Hyperlink"/>
            <w:noProof/>
          </w:rPr>
          <w:t>A.16. Plans for Tabulation and Publication and Project Time Schedule</w:t>
        </w:r>
        <w:r w:rsidR="00DC490A">
          <w:rPr>
            <w:noProof/>
            <w:webHidden/>
          </w:rPr>
          <w:tab/>
        </w:r>
        <w:r w:rsidR="00DC490A">
          <w:rPr>
            <w:noProof/>
            <w:webHidden/>
          </w:rPr>
          <w:fldChar w:fldCharType="begin"/>
        </w:r>
        <w:r w:rsidR="00DC490A">
          <w:rPr>
            <w:noProof/>
            <w:webHidden/>
          </w:rPr>
          <w:instrText xml:space="preserve"> PAGEREF _Toc2085398 \h </w:instrText>
        </w:r>
        <w:r w:rsidR="00DC490A">
          <w:rPr>
            <w:noProof/>
            <w:webHidden/>
          </w:rPr>
        </w:r>
        <w:r w:rsidR="00DC490A">
          <w:rPr>
            <w:noProof/>
            <w:webHidden/>
          </w:rPr>
          <w:fldChar w:fldCharType="separate"/>
        </w:r>
        <w:r w:rsidR="00796350">
          <w:rPr>
            <w:noProof/>
            <w:webHidden/>
          </w:rPr>
          <w:t>20</w:t>
        </w:r>
        <w:r w:rsidR="00DC490A">
          <w:rPr>
            <w:noProof/>
            <w:webHidden/>
          </w:rPr>
          <w:fldChar w:fldCharType="end"/>
        </w:r>
      </w:hyperlink>
    </w:p>
    <w:p w14:paraId="4F38BE9E" w14:textId="57259A86" w:rsidR="00DC490A" w:rsidRDefault="00F804F2">
      <w:pPr>
        <w:pStyle w:val="TOC2"/>
        <w:rPr>
          <w:rFonts w:asciiTheme="minorHAnsi" w:eastAsiaTheme="minorEastAsia" w:hAnsiTheme="minorHAnsi" w:cstheme="minorBidi"/>
          <w:noProof/>
          <w:sz w:val="22"/>
          <w:szCs w:val="22"/>
        </w:rPr>
      </w:pPr>
      <w:hyperlink w:anchor="_Toc2085399" w:history="1">
        <w:r w:rsidR="00DC490A" w:rsidRPr="003D74E0">
          <w:rPr>
            <w:rStyle w:val="Hyperlink"/>
            <w:noProof/>
          </w:rPr>
          <w:t>A.17. Reason(s) Display of OMB Expiration Date is Inappropriate</w:t>
        </w:r>
        <w:r w:rsidR="00DC490A">
          <w:rPr>
            <w:noProof/>
            <w:webHidden/>
          </w:rPr>
          <w:tab/>
        </w:r>
        <w:r w:rsidR="00DC490A">
          <w:rPr>
            <w:noProof/>
            <w:webHidden/>
          </w:rPr>
          <w:fldChar w:fldCharType="begin"/>
        </w:r>
        <w:r w:rsidR="00DC490A">
          <w:rPr>
            <w:noProof/>
            <w:webHidden/>
          </w:rPr>
          <w:instrText xml:space="preserve"> PAGEREF _Toc2085399 \h </w:instrText>
        </w:r>
        <w:r w:rsidR="00DC490A">
          <w:rPr>
            <w:noProof/>
            <w:webHidden/>
          </w:rPr>
        </w:r>
        <w:r w:rsidR="00DC490A">
          <w:rPr>
            <w:noProof/>
            <w:webHidden/>
          </w:rPr>
          <w:fldChar w:fldCharType="separate"/>
        </w:r>
        <w:r w:rsidR="00796350">
          <w:rPr>
            <w:noProof/>
            <w:webHidden/>
          </w:rPr>
          <w:t>21</w:t>
        </w:r>
        <w:r w:rsidR="00DC490A">
          <w:rPr>
            <w:noProof/>
            <w:webHidden/>
          </w:rPr>
          <w:fldChar w:fldCharType="end"/>
        </w:r>
      </w:hyperlink>
    </w:p>
    <w:p w14:paraId="4EF5A2F7" w14:textId="58A5F51F" w:rsidR="00DC490A" w:rsidRDefault="00F804F2">
      <w:pPr>
        <w:pStyle w:val="TOC2"/>
        <w:rPr>
          <w:rFonts w:asciiTheme="minorHAnsi" w:eastAsiaTheme="minorEastAsia" w:hAnsiTheme="minorHAnsi" w:cstheme="minorBidi"/>
          <w:noProof/>
          <w:sz w:val="22"/>
          <w:szCs w:val="22"/>
        </w:rPr>
      </w:pPr>
      <w:hyperlink w:anchor="_Toc2085400" w:history="1">
        <w:r w:rsidR="00DC490A" w:rsidRPr="003D74E0">
          <w:rPr>
            <w:rStyle w:val="Hyperlink"/>
            <w:noProof/>
          </w:rPr>
          <w:t>A.18. Exceptions to Certification for Paperwork Reduction Act</w:t>
        </w:r>
        <w:r w:rsidR="00DC490A">
          <w:rPr>
            <w:noProof/>
            <w:webHidden/>
          </w:rPr>
          <w:tab/>
        </w:r>
        <w:r w:rsidR="00DC490A">
          <w:rPr>
            <w:noProof/>
            <w:webHidden/>
          </w:rPr>
          <w:fldChar w:fldCharType="begin"/>
        </w:r>
        <w:r w:rsidR="00DC490A">
          <w:rPr>
            <w:noProof/>
            <w:webHidden/>
          </w:rPr>
          <w:instrText xml:space="preserve"> PAGEREF _Toc2085400 \h </w:instrText>
        </w:r>
        <w:r w:rsidR="00DC490A">
          <w:rPr>
            <w:noProof/>
            <w:webHidden/>
          </w:rPr>
        </w:r>
        <w:r w:rsidR="00DC490A">
          <w:rPr>
            <w:noProof/>
            <w:webHidden/>
          </w:rPr>
          <w:fldChar w:fldCharType="separate"/>
        </w:r>
        <w:r w:rsidR="00796350">
          <w:rPr>
            <w:noProof/>
            <w:webHidden/>
          </w:rPr>
          <w:t>21</w:t>
        </w:r>
        <w:r w:rsidR="00DC490A">
          <w:rPr>
            <w:noProof/>
            <w:webHidden/>
          </w:rPr>
          <w:fldChar w:fldCharType="end"/>
        </w:r>
      </w:hyperlink>
    </w:p>
    <w:p w14:paraId="4079C954" w14:textId="77777777" w:rsidR="006F2BE5" w:rsidRDefault="009B633D" w:rsidP="006F2BE5">
      <w:pPr>
        <w:pStyle w:val="ListParagraph"/>
      </w:pPr>
      <w:r w:rsidRPr="00F46586">
        <w:fldChar w:fldCharType="end"/>
      </w:r>
    </w:p>
    <w:p w14:paraId="1B2D6F10" w14:textId="77777777" w:rsidR="003F62F6" w:rsidRPr="006F2BE5" w:rsidRDefault="00974A1B" w:rsidP="006F2BE5">
      <w:r w:rsidRPr="006F2BE5">
        <w:rPr>
          <w:b/>
        </w:rPr>
        <w:t>Attachments</w:t>
      </w:r>
    </w:p>
    <w:p w14:paraId="390A8098" w14:textId="77777777" w:rsidR="003F62F6" w:rsidRDefault="00F85477" w:rsidP="002573F9">
      <w:pPr>
        <w:pStyle w:val="ListParagraph"/>
        <w:numPr>
          <w:ilvl w:val="0"/>
          <w:numId w:val="5"/>
        </w:numPr>
      </w:pPr>
      <w:r w:rsidRPr="008B54AA">
        <w:t>Authorizing Legislation: Public Health Service Act</w:t>
      </w:r>
    </w:p>
    <w:p w14:paraId="62F42181" w14:textId="77777777" w:rsidR="00CC61D6" w:rsidRPr="00F46586" w:rsidRDefault="00CC61D6" w:rsidP="00CC61D6">
      <w:pPr>
        <w:pStyle w:val="ListParagraph"/>
        <w:numPr>
          <w:ilvl w:val="0"/>
          <w:numId w:val="5"/>
        </w:numPr>
      </w:pPr>
      <w:r w:rsidRPr="00F46586">
        <w:t>Patient Survey</w:t>
      </w:r>
    </w:p>
    <w:p w14:paraId="4AB64D58" w14:textId="77777777" w:rsidR="00CC61D6" w:rsidRPr="00F46586" w:rsidRDefault="00CC61D6" w:rsidP="00EF2382">
      <w:pPr>
        <w:ind w:firstLine="720"/>
      </w:pPr>
      <w:r>
        <w:t>B</w:t>
      </w:r>
      <w:r w:rsidRPr="00F46586">
        <w:t>1. Baseline Survey</w:t>
      </w:r>
    </w:p>
    <w:p w14:paraId="4EC20FFF" w14:textId="25080624" w:rsidR="00CC61D6" w:rsidRDefault="00CC61D6" w:rsidP="006A46FF">
      <w:pPr>
        <w:ind w:firstLine="720"/>
      </w:pPr>
      <w:r>
        <w:t>B</w:t>
      </w:r>
      <w:r w:rsidRPr="00F46586">
        <w:t>2. Follow-Up Survey</w:t>
      </w:r>
    </w:p>
    <w:p w14:paraId="1C60EBD8" w14:textId="7D4C9363" w:rsidR="0087485C" w:rsidRDefault="0087485C" w:rsidP="0087485C">
      <w:pPr>
        <w:ind w:left="720"/>
      </w:pPr>
      <w:r>
        <w:t>B3. Screenshot Baseline Patient Survey</w:t>
      </w:r>
    </w:p>
    <w:p w14:paraId="4D447930" w14:textId="2A6425EC" w:rsidR="0087485C" w:rsidRDefault="0087485C" w:rsidP="0087485C">
      <w:pPr>
        <w:ind w:left="720"/>
      </w:pPr>
      <w:r>
        <w:t xml:space="preserve">B4. Screenshot Follow-up Patient Survey </w:t>
      </w:r>
    </w:p>
    <w:p w14:paraId="5C156128" w14:textId="77777777" w:rsidR="00CC61D6" w:rsidRDefault="00CC61D6" w:rsidP="00CC61D6">
      <w:pPr>
        <w:pStyle w:val="ListParagraph"/>
        <w:numPr>
          <w:ilvl w:val="0"/>
          <w:numId w:val="5"/>
        </w:numPr>
      </w:pPr>
      <w:r w:rsidRPr="001438FF">
        <w:t>Consent Forms</w:t>
      </w:r>
    </w:p>
    <w:p w14:paraId="3B3D2555" w14:textId="77777777" w:rsidR="00850DCE" w:rsidRDefault="00850DCE" w:rsidP="00CC61D6">
      <w:pPr>
        <w:pStyle w:val="ListParagraph"/>
        <w:numPr>
          <w:ilvl w:val="0"/>
          <w:numId w:val="5"/>
        </w:numPr>
      </w:pPr>
      <w:r>
        <w:t>Stay Independent Fall Risk Screener</w:t>
      </w:r>
    </w:p>
    <w:p w14:paraId="33CDF3A3" w14:textId="77777777" w:rsidR="00CC61D6" w:rsidRPr="00F46586" w:rsidRDefault="00CC61D6" w:rsidP="00CC61D6">
      <w:pPr>
        <w:pStyle w:val="ListParagraph"/>
        <w:numPr>
          <w:ilvl w:val="0"/>
          <w:numId w:val="5"/>
        </w:numPr>
      </w:pPr>
      <w:r w:rsidRPr="00F46586">
        <w:t>Process Evaluation Interview Guide</w:t>
      </w:r>
    </w:p>
    <w:p w14:paraId="7F08922C" w14:textId="77777777" w:rsidR="00CC61D6" w:rsidRPr="00F46586" w:rsidRDefault="00850DCE" w:rsidP="00EF2382">
      <w:pPr>
        <w:ind w:firstLine="720"/>
      </w:pPr>
      <w:r>
        <w:t>E</w:t>
      </w:r>
      <w:r w:rsidR="00CC61D6" w:rsidRPr="00F46586">
        <w:t>1. Provider Interview Guide</w:t>
      </w:r>
    </w:p>
    <w:p w14:paraId="57FF2BED" w14:textId="611EB978" w:rsidR="00CC61D6" w:rsidRPr="00F46586" w:rsidRDefault="00850DCE" w:rsidP="00EF2382">
      <w:pPr>
        <w:ind w:firstLine="720"/>
      </w:pPr>
      <w:r>
        <w:t>E</w:t>
      </w:r>
      <w:r w:rsidR="008B1613">
        <w:t>2</w:t>
      </w:r>
      <w:r w:rsidR="00CC61D6" w:rsidRPr="00F46586">
        <w:t xml:space="preserve">. </w:t>
      </w:r>
      <w:r w:rsidR="00CC61D6">
        <w:t>Clinic Operations</w:t>
      </w:r>
      <w:r w:rsidR="00CC61D6" w:rsidRPr="00F46586">
        <w:t xml:space="preserve"> Manager Interview Guide</w:t>
      </w:r>
    </w:p>
    <w:p w14:paraId="73450CE5" w14:textId="77777777" w:rsidR="00CC61D6" w:rsidRPr="008B54AA" w:rsidRDefault="00CC61D6" w:rsidP="00CC61D6">
      <w:pPr>
        <w:pStyle w:val="ListParagraph"/>
        <w:numPr>
          <w:ilvl w:val="0"/>
          <w:numId w:val="5"/>
        </w:numPr>
      </w:pPr>
      <w:r w:rsidRPr="008B54AA">
        <w:t>Published 60-Day Federal Register Notice</w:t>
      </w:r>
    </w:p>
    <w:p w14:paraId="3B0C9950" w14:textId="77777777" w:rsidR="00CC61D6" w:rsidRPr="008B54AA" w:rsidRDefault="002F2C9D" w:rsidP="006A46FF">
      <w:pPr>
        <w:ind w:left="720"/>
      </w:pPr>
      <w:r>
        <w:t>F</w:t>
      </w:r>
      <w:r w:rsidR="00CC61D6">
        <w:t>.1</w:t>
      </w:r>
      <w:r w:rsidR="00CC61D6" w:rsidRPr="008B54AA">
        <w:t xml:space="preserve"> Comment in response to Federal Register Notice</w:t>
      </w:r>
    </w:p>
    <w:p w14:paraId="6D627018" w14:textId="77777777" w:rsidR="00CC61D6" w:rsidRDefault="00CC61D6" w:rsidP="00CC61D6">
      <w:pPr>
        <w:pStyle w:val="ListParagraph"/>
        <w:numPr>
          <w:ilvl w:val="0"/>
          <w:numId w:val="5"/>
        </w:numPr>
      </w:pPr>
      <w:r>
        <w:t>Privacy Impact Assessment (PIA)</w:t>
      </w:r>
    </w:p>
    <w:p w14:paraId="74734758" w14:textId="41025012" w:rsidR="00CC61D6" w:rsidRDefault="00CC61D6" w:rsidP="00883AB5">
      <w:pPr>
        <w:pStyle w:val="ListParagraph"/>
        <w:numPr>
          <w:ilvl w:val="0"/>
          <w:numId w:val="5"/>
        </w:numPr>
      </w:pPr>
      <w:r w:rsidRPr="008B54AA">
        <w:t xml:space="preserve">Institutional Review Board (IRB) </w:t>
      </w:r>
      <w:r w:rsidR="009D1B44">
        <w:t>letter</w:t>
      </w:r>
    </w:p>
    <w:p w14:paraId="0584FA47" w14:textId="1F2FB0E8" w:rsidR="00CC61D6" w:rsidRDefault="00CC61D6" w:rsidP="00CC61D6">
      <w:pPr>
        <w:pStyle w:val="ListParagraph"/>
        <w:numPr>
          <w:ilvl w:val="0"/>
          <w:numId w:val="5"/>
        </w:numPr>
      </w:pPr>
      <w:r w:rsidRPr="00DA4820">
        <w:t>Illustrative Table Shells</w:t>
      </w:r>
    </w:p>
    <w:p w14:paraId="15CB5A04" w14:textId="6FA59E0E" w:rsidR="00087D52" w:rsidRPr="008B54AA" w:rsidRDefault="00087D52" w:rsidP="00EF2382">
      <w:pPr>
        <w:pStyle w:val="ListParagraph"/>
        <w:numPr>
          <w:ilvl w:val="0"/>
          <w:numId w:val="5"/>
        </w:numPr>
      </w:pPr>
      <w:r>
        <w:t>Falls Tracking Log</w:t>
      </w:r>
    </w:p>
    <w:p w14:paraId="0FA60F75" w14:textId="77777777" w:rsidR="001E0C57" w:rsidRDefault="001E0C57" w:rsidP="00EF2382"/>
    <w:p w14:paraId="27AD611A" w14:textId="3A43E0ED" w:rsidR="00CC61D6" w:rsidRDefault="00CC61D6" w:rsidP="00EF2382"/>
    <w:p w14:paraId="09EA069D" w14:textId="5C9B704E" w:rsidR="008B1613" w:rsidRDefault="008B1613" w:rsidP="006F2BE5"/>
    <w:p w14:paraId="52304FC1" w14:textId="77777777" w:rsidR="006A46FF" w:rsidRDefault="006A46FF" w:rsidP="006F2BE5"/>
    <w:p w14:paraId="4172FA7C" w14:textId="77777777" w:rsidR="006F2BE5" w:rsidRDefault="006F2BE5" w:rsidP="006F2BE5">
      <w:pPr>
        <w:framePr w:hSpace="180" w:wrap="around" w:vAnchor="text" w:hAnchor="text" w:y="1"/>
        <w:suppressOverlap/>
        <w:rPr>
          <w:b/>
        </w:rPr>
      </w:pPr>
      <w:r>
        <w:rPr>
          <w:b/>
        </w:rPr>
        <w:lastRenderedPageBreak/>
        <w:t>Summary Table</w:t>
      </w:r>
    </w:p>
    <w:p w14:paraId="7300514B" w14:textId="77777777" w:rsidR="00C2195B" w:rsidRPr="006F2BE5" w:rsidRDefault="00C2195B" w:rsidP="006F2BE5">
      <w:pPr>
        <w:framePr w:hSpace="180" w:wrap="around" w:vAnchor="text" w:hAnchor="text" w:y="1"/>
        <w:suppressOverlap/>
        <w:rPr>
          <w:b/>
        </w:rPr>
      </w:pPr>
    </w:p>
    <w:tbl>
      <w:tblPr>
        <w:tblStyle w:val="TableGrid"/>
        <w:tblpPr w:leftFromText="180" w:rightFromText="180" w:vertAnchor="text" w:horzAnchor="margin" w:tblpY="376"/>
        <w:tblOverlap w:val="never"/>
        <w:tblW w:w="9348" w:type="dxa"/>
        <w:tblLook w:val="04A0" w:firstRow="1" w:lastRow="0" w:firstColumn="1" w:lastColumn="0" w:noHBand="0" w:noVBand="1"/>
      </w:tblPr>
      <w:tblGrid>
        <w:gridCol w:w="9348"/>
      </w:tblGrid>
      <w:tr w:rsidR="00752085" w:rsidRPr="00F46586" w14:paraId="7C84D60B" w14:textId="77777777" w:rsidTr="00EF2382">
        <w:trPr>
          <w:trHeight w:val="11510"/>
        </w:trPr>
        <w:tc>
          <w:tcPr>
            <w:tcW w:w="9348" w:type="dxa"/>
          </w:tcPr>
          <w:p w14:paraId="6E3B99D0" w14:textId="77777777" w:rsidR="00F922BA" w:rsidRPr="00F46586" w:rsidRDefault="00752085" w:rsidP="0042312A">
            <w:pPr>
              <w:pStyle w:val="Heading1"/>
              <w:spacing w:before="0" w:after="0"/>
            </w:pPr>
            <w:bookmarkStart w:id="1" w:name="_Toc526838563"/>
            <w:bookmarkStart w:id="2" w:name="_Toc532214922"/>
            <w:bookmarkStart w:id="3" w:name="_Toc532215329"/>
            <w:bookmarkStart w:id="4" w:name="_Toc1720271"/>
            <w:bookmarkStart w:id="5" w:name="_Toc2085379"/>
            <w:r w:rsidRPr="00F46586">
              <w:rPr>
                <w:rFonts w:ascii="Times New Roman" w:hAnsi="Times New Roman" w:cs="Times New Roman"/>
                <w:sz w:val="24"/>
                <w:szCs w:val="24"/>
              </w:rPr>
              <w:t>Goal of the Study:</w:t>
            </w:r>
            <w:bookmarkEnd w:id="1"/>
            <w:bookmarkEnd w:id="2"/>
            <w:bookmarkEnd w:id="3"/>
            <w:bookmarkEnd w:id="4"/>
            <w:bookmarkEnd w:id="5"/>
            <w:r w:rsidRPr="00F46586">
              <w:rPr>
                <w:rFonts w:ascii="Times New Roman" w:hAnsi="Times New Roman" w:cs="Times New Roman"/>
                <w:sz w:val="24"/>
                <w:szCs w:val="24"/>
              </w:rPr>
              <w:t xml:space="preserve"> </w:t>
            </w:r>
          </w:p>
          <w:p w14:paraId="7F88AC3B" w14:textId="49A8339B" w:rsidR="00843611" w:rsidRPr="00F46586" w:rsidRDefault="0095674B" w:rsidP="00843611">
            <w:bookmarkStart w:id="6" w:name="_Toc1720272"/>
            <w:bookmarkStart w:id="7" w:name="_Toc2085380"/>
            <w:bookmarkStart w:id="8" w:name="_Toc526838564"/>
            <w:bookmarkStart w:id="9" w:name="_Toc532214923"/>
            <w:bookmarkStart w:id="10" w:name="_Toc532215330"/>
            <w:r>
              <w:t>The goal of this study is to e</w:t>
            </w:r>
            <w:r w:rsidR="00843611" w:rsidRPr="00F46586">
              <w:t xml:space="preserve">valuate </w:t>
            </w:r>
            <w:r w:rsidR="002E5E9F">
              <w:t>CDC’s</w:t>
            </w:r>
            <w:r w:rsidR="00843611" w:rsidRPr="00F46586">
              <w:t xml:space="preserve"> Stopping Elderly Accidents, Deaths, and Injuries (STEADI) initiative in a primary care setting. </w:t>
            </w:r>
            <w:r>
              <w:t>T</w:t>
            </w:r>
            <w:r w:rsidR="00843611" w:rsidRPr="00F46586">
              <w:t xml:space="preserve">his </w:t>
            </w:r>
            <w:r w:rsidR="00541C31">
              <w:t xml:space="preserve">formative </w:t>
            </w:r>
            <w:r w:rsidR="00843611" w:rsidRPr="00F46586">
              <w:t xml:space="preserve">evaluation </w:t>
            </w:r>
            <w:r>
              <w:t>will</w:t>
            </w:r>
            <w:r w:rsidR="00843611" w:rsidRPr="00F46586">
              <w:t xml:space="preserve"> determine the </w:t>
            </w:r>
            <w:r w:rsidR="00843611">
              <w:t>impact</w:t>
            </w:r>
            <w:r w:rsidR="00843611" w:rsidRPr="00F46586">
              <w:t xml:space="preserve"> of </w:t>
            </w:r>
            <w:r w:rsidR="00843611">
              <w:t>both the comprehensive and selected</w:t>
            </w:r>
            <w:r w:rsidR="00843611" w:rsidRPr="00F46586">
              <w:t xml:space="preserve"> components of STEADI </w:t>
            </w:r>
            <w:r w:rsidR="00843611">
              <w:t>on</w:t>
            </w:r>
            <w:r w:rsidR="00843611" w:rsidRPr="00F46586">
              <w:t xml:space="preserve"> falls and fall injuries.</w:t>
            </w:r>
          </w:p>
          <w:bookmarkEnd w:id="6"/>
          <w:bookmarkEnd w:id="7"/>
          <w:bookmarkEnd w:id="8"/>
          <w:bookmarkEnd w:id="9"/>
          <w:bookmarkEnd w:id="10"/>
          <w:p w14:paraId="0D6624AC" w14:textId="77777777" w:rsidR="00752085" w:rsidRPr="00F46586" w:rsidRDefault="00752085" w:rsidP="0042312A">
            <w:pPr>
              <w:pStyle w:val="Heading1"/>
              <w:spacing w:before="0" w:after="0"/>
              <w:rPr>
                <w:rFonts w:ascii="Times New Roman" w:hAnsi="Times New Roman" w:cs="Times New Roman"/>
                <w:sz w:val="24"/>
                <w:szCs w:val="24"/>
              </w:rPr>
            </w:pPr>
          </w:p>
          <w:p w14:paraId="229991A2" w14:textId="77777777" w:rsidR="00F922BA" w:rsidRPr="00F46586" w:rsidRDefault="00752085" w:rsidP="0042312A">
            <w:r w:rsidRPr="0042312A">
              <w:rPr>
                <w:b/>
              </w:rPr>
              <w:t>Intended use of the resulting data:</w:t>
            </w:r>
            <w:r w:rsidRPr="00F46586">
              <w:t xml:space="preserve"> </w:t>
            </w:r>
          </w:p>
          <w:p w14:paraId="7874C1B3" w14:textId="017CFF36" w:rsidR="00752085" w:rsidRPr="00F46586" w:rsidRDefault="00752085" w:rsidP="0042312A">
            <w:r w:rsidRPr="00F46586">
              <w:t>The data collected from this study will be used to</w:t>
            </w:r>
            <w:r w:rsidR="00E83441" w:rsidRPr="00F46586">
              <w:t>:</w:t>
            </w:r>
            <w:r w:rsidRPr="00F46586">
              <w:t xml:space="preserve"> </w:t>
            </w:r>
            <w:r w:rsidR="00E83441" w:rsidRPr="00F46586">
              <w:t xml:space="preserve">(1) </w:t>
            </w:r>
            <w:r w:rsidR="00610BD7" w:rsidRPr="00F46586">
              <w:t xml:space="preserve">demonstrate the </w:t>
            </w:r>
            <w:r w:rsidR="005477D6">
              <w:t>impact</w:t>
            </w:r>
            <w:r w:rsidR="005477D6" w:rsidRPr="00F46586">
              <w:t xml:space="preserve"> </w:t>
            </w:r>
            <w:r w:rsidR="00610BD7">
              <w:t xml:space="preserve">of </w:t>
            </w:r>
            <w:r w:rsidR="00610BD7" w:rsidRPr="00F46586">
              <w:t xml:space="preserve">STEADI and different components of STEADI </w:t>
            </w:r>
            <w:r w:rsidR="005477D6">
              <w:t>on</w:t>
            </w:r>
            <w:r w:rsidR="00610BD7" w:rsidRPr="00F46586">
              <w:t xml:space="preserve"> falls and fall injuries in a primary care setting</w:t>
            </w:r>
            <w:r w:rsidR="00610BD7">
              <w:t xml:space="preserve"> and (2)</w:t>
            </w:r>
            <w:r w:rsidR="00610BD7" w:rsidRPr="00F46586">
              <w:t xml:space="preserve"> </w:t>
            </w:r>
            <w:r w:rsidRPr="00F46586">
              <w:t xml:space="preserve">improve the implementation of </w:t>
            </w:r>
            <w:r w:rsidR="00E83441" w:rsidRPr="00F46586">
              <w:t xml:space="preserve">STEADI </w:t>
            </w:r>
            <w:r w:rsidR="00097021" w:rsidRPr="00F46586">
              <w:t>in a primary care setting.</w:t>
            </w:r>
          </w:p>
          <w:p w14:paraId="3237E5AA" w14:textId="77777777" w:rsidR="00F922BA" w:rsidRPr="00F46586" w:rsidRDefault="00F922BA" w:rsidP="0042312A"/>
          <w:p w14:paraId="25728B7E" w14:textId="77777777" w:rsidR="00F922BA" w:rsidRPr="00F46586" w:rsidRDefault="00752085" w:rsidP="0042312A">
            <w:pPr>
              <w:rPr>
                <w:b/>
              </w:rPr>
            </w:pPr>
            <w:r w:rsidRPr="0042312A">
              <w:rPr>
                <w:b/>
              </w:rPr>
              <w:t xml:space="preserve">Methods to be used to collect: </w:t>
            </w:r>
          </w:p>
          <w:p w14:paraId="365E275B" w14:textId="4BC5B75B" w:rsidR="00097021" w:rsidRPr="00F46586" w:rsidRDefault="00097021" w:rsidP="0042312A">
            <w:r w:rsidRPr="00F46586">
              <w:t xml:space="preserve">Two </w:t>
            </w:r>
            <w:r w:rsidR="00380954">
              <w:t>data collection methods</w:t>
            </w:r>
            <w:r w:rsidR="00380954" w:rsidRPr="00F46586">
              <w:t xml:space="preserve"> </w:t>
            </w:r>
            <w:r w:rsidRPr="00F46586">
              <w:t xml:space="preserve">will be </w:t>
            </w:r>
            <w:r w:rsidR="00380954">
              <w:t>used:</w:t>
            </w:r>
            <w:r w:rsidRPr="00F46586">
              <w:t xml:space="preserve"> </w:t>
            </w:r>
            <w:r w:rsidR="0042312A">
              <w:t xml:space="preserve">1. </w:t>
            </w:r>
            <w:r w:rsidR="002974A8" w:rsidRPr="00610BD7">
              <w:t>First</w:t>
            </w:r>
            <w:r w:rsidR="002974A8" w:rsidRPr="00380954">
              <w:rPr>
                <w:i/>
              </w:rPr>
              <w:t xml:space="preserve">, </w:t>
            </w:r>
            <w:r w:rsidR="00F46895">
              <w:t xml:space="preserve">the CDC’s </w:t>
            </w:r>
            <w:r w:rsidR="00F46895">
              <w:rPr>
                <w:i/>
              </w:rPr>
              <w:t xml:space="preserve">Stay Independent Fall Risk Screener </w:t>
            </w:r>
            <w:r w:rsidR="00F46895">
              <w:t xml:space="preserve">will be </w:t>
            </w:r>
            <w:r w:rsidR="002B68F9">
              <w:t xml:space="preserve">administered to older adult patients at </w:t>
            </w:r>
            <w:r w:rsidR="00F43325">
              <w:t>selected primary care</w:t>
            </w:r>
            <w:r w:rsidR="002B68F9">
              <w:t xml:space="preserve"> clinics</w:t>
            </w:r>
            <w:r w:rsidR="00F46895">
              <w:t xml:space="preserve"> to determine which older adults are at high risk for a fall.  </w:t>
            </w:r>
            <w:r w:rsidR="007D1A6A">
              <w:t>Those who screen at high risk will be assigned, based on clinic attended and week of attenda</w:t>
            </w:r>
            <w:r w:rsidR="0042312A">
              <w:t xml:space="preserve">nce, to one of three study arms. </w:t>
            </w:r>
            <w:r w:rsidR="00434372">
              <w:rPr>
                <w:i/>
              </w:rPr>
              <w:t>P</w:t>
            </w:r>
            <w:r w:rsidR="00752085" w:rsidRPr="00380954">
              <w:rPr>
                <w:i/>
              </w:rPr>
              <w:t>atient surveys</w:t>
            </w:r>
            <w:r w:rsidRPr="00F46586">
              <w:t xml:space="preserve"> will be used to determine whether or not </w:t>
            </w:r>
            <w:r w:rsidR="00F43325">
              <w:t xml:space="preserve">these </w:t>
            </w:r>
            <w:r w:rsidRPr="00F46586">
              <w:t>patients experience a fall during the study period, are treated for a fall, and</w:t>
            </w:r>
            <w:r w:rsidR="00F56E66">
              <w:t>/or</w:t>
            </w:r>
            <w:r w:rsidRPr="00F46586">
              <w:t xml:space="preserve"> </w:t>
            </w:r>
            <w:r w:rsidR="001C7F20">
              <w:t xml:space="preserve">use </w:t>
            </w:r>
            <w:r w:rsidRPr="00F46586">
              <w:t>any fall prevention strategies throughout the study period</w:t>
            </w:r>
            <w:r w:rsidR="00380954">
              <w:t>.</w:t>
            </w:r>
            <w:r w:rsidR="00857815">
              <w:t xml:space="preserve"> </w:t>
            </w:r>
            <w:r w:rsidR="00F43325">
              <w:t>Four</w:t>
            </w:r>
            <w:r w:rsidR="007257A3" w:rsidRPr="00F46586">
              <w:t xml:space="preserve"> surveys will be administered</w:t>
            </w:r>
            <w:r w:rsidR="00D0470C">
              <w:t xml:space="preserve"> to each patient</w:t>
            </w:r>
            <w:r w:rsidR="002B467C" w:rsidRPr="00F46586">
              <w:t xml:space="preserve"> during a 12-month period</w:t>
            </w:r>
            <w:r w:rsidR="007257A3" w:rsidRPr="00F46586">
              <w:t>: one baseline survey and three follow-up surveys</w:t>
            </w:r>
            <w:r w:rsidR="00E2743E">
              <w:t xml:space="preserve">. </w:t>
            </w:r>
            <w:r w:rsidR="00EE2E35">
              <w:t xml:space="preserve">Older adults will also be asked to keep track of their falls in a falls </w:t>
            </w:r>
            <w:r w:rsidR="003D3404">
              <w:t>tracking log</w:t>
            </w:r>
            <w:r w:rsidR="00637B97">
              <w:t>, so they can accurately recall and report the information during the 12-month period for the patient surveys.</w:t>
            </w:r>
            <w:r w:rsidRPr="00F46586">
              <w:t xml:space="preserve"> </w:t>
            </w:r>
            <w:r w:rsidR="00A214D0" w:rsidRPr="00380954">
              <w:rPr>
                <w:bCs/>
              </w:rPr>
              <w:t xml:space="preserve"> </w:t>
            </w:r>
            <w:r w:rsidR="0042312A">
              <w:rPr>
                <w:bCs/>
              </w:rPr>
              <w:t xml:space="preserve">2. </w:t>
            </w:r>
            <w:r w:rsidR="002974A8">
              <w:t xml:space="preserve">Second, </w:t>
            </w:r>
            <w:r w:rsidR="002974A8" w:rsidRPr="00380954">
              <w:rPr>
                <w:i/>
              </w:rPr>
              <w:t>p</w:t>
            </w:r>
            <w:r w:rsidRPr="00380954">
              <w:rPr>
                <w:i/>
              </w:rPr>
              <w:t>rocess evaluation interviews</w:t>
            </w:r>
            <w:r w:rsidRPr="00F46586">
              <w:t xml:space="preserve"> will be used to understand the attitudes of clinical staff towards the implementation process, barriers and facilitators to implementation</w:t>
            </w:r>
            <w:r w:rsidR="00303638">
              <w:t>, and the implementation fidelity to core components of the STEADI initiative</w:t>
            </w:r>
            <w:r w:rsidRPr="00F46586">
              <w:t xml:space="preserve">. </w:t>
            </w:r>
          </w:p>
          <w:p w14:paraId="5518ABF1" w14:textId="77777777" w:rsidR="00752085" w:rsidRPr="00F46586" w:rsidRDefault="00752085" w:rsidP="0042312A"/>
          <w:p w14:paraId="2E892D3F" w14:textId="77777777" w:rsidR="00F922BA" w:rsidRPr="00F46586" w:rsidRDefault="00752085" w:rsidP="0042312A">
            <w:r w:rsidRPr="0042312A">
              <w:rPr>
                <w:b/>
              </w:rPr>
              <w:t>The subpopulation to be studied:</w:t>
            </w:r>
            <w:r w:rsidRPr="00F46586">
              <w:t xml:space="preserve"> </w:t>
            </w:r>
          </w:p>
          <w:p w14:paraId="5F99848E" w14:textId="173B60BA" w:rsidR="00F922BA" w:rsidRPr="00F46586" w:rsidRDefault="00752085" w:rsidP="0042312A">
            <w:r w:rsidRPr="00F46586">
              <w:t xml:space="preserve">The study population </w:t>
            </w:r>
            <w:r w:rsidR="00BD18AF">
              <w:t xml:space="preserve"> for the </w:t>
            </w:r>
            <w:r w:rsidR="00BD18AF" w:rsidRPr="00F46586">
              <w:rPr>
                <w:i/>
              </w:rPr>
              <w:t>patient surveys</w:t>
            </w:r>
            <w:r w:rsidR="00BD18AF" w:rsidRPr="00F46586">
              <w:t xml:space="preserve"> </w:t>
            </w:r>
            <w:r w:rsidRPr="00F46586">
              <w:t xml:space="preserve">will be adults 65 and older who have an outpatient visit during the study period </w:t>
            </w:r>
            <w:r w:rsidR="002974A8" w:rsidRPr="00F46586">
              <w:t xml:space="preserve"> and screen </w:t>
            </w:r>
            <w:r w:rsidR="008C0F64">
              <w:t>as</w:t>
            </w:r>
            <w:r w:rsidR="008C0F64" w:rsidRPr="00F46586">
              <w:t xml:space="preserve"> </w:t>
            </w:r>
            <w:r w:rsidR="002974A8" w:rsidRPr="00F46586">
              <w:t xml:space="preserve">high risk for falls </w:t>
            </w:r>
            <w:r w:rsidRPr="00F46586">
              <w:t xml:space="preserve">at </w:t>
            </w:r>
            <w:r w:rsidR="00522242">
              <w:t xml:space="preserve">the </w:t>
            </w:r>
            <w:r w:rsidRPr="00F46586">
              <w:t>select</w:t>
            </w:r>
            <w:r w:rsidR="00406013" w:rsidRPr="00F46586">
              <w:t>ed</w:t>
            </w:r>
            <w:r w:rsidRPr="00F46586">
              <w:t xml:space="preserve"> primary care clinics</w:t>
            </w:r>
            <w:r w:rsidR="002974A8">
              <w:t xml:space="preserve"> implementing the STEADI fall prevention initiative</w:t>
            </w:r>
            <w:r w:rsidR="00BD18AF">
              <w:t xml:space="preserve"> who</w:t>
            </w:r>
            <w:r w:rsidR="00980F2D">
              <w:t xml:space="preserve"> </w:t>
            </w:r>
            <w:r w:rsidR="00522242">
              <w:t xml:space="preserve">consent to participate in the study.  </w:t>
            </w:r>
            <w:r w:rsidR="00F922BA" w:rsidRPr="00F46586">
              <w:t xml:space="preserve">The study population for </w:t>
            </w:r>
            <w:r w:rsidR="00F922BA" w:rsidRPr="00F46586">
              <w:rPr>
                <w:i/>
              </w:rPr>
              <w:t>the process evaluation</w:t>
            </w:r>
            <w:r w:rsidR="00F922BA" w:rsidRPr="00F46586">
              <w:t xml:space="preserve"> will include the clinical implementation staff at the selected clinics where the intervention will take place</w:t>
            </w:r>
            <w:r w:rsidR="0042312A">
              <w:t xml:space="preserve"> (</w:t>
            </w:r>
            <w:r w:rsidR="00F922BA" w:rsidRPr="00F46586">
              <w:t xml:space="preserve">physicians, </w:t>
            </w:r>
            <w:r w:rsidR="00637B97">
              <w:t>physician assistants</w:t>
            </w:r>
            <w:r w:rsidR="00DC490A">
              <w:t>/</w:t>
            </w:r>
            <w:r w:rsidR="00DC490A">
              <w:rPr>
                <w:bCs/>
              </w:rPr>
              <w:t>nurse practitioners</w:t>
            </w:r>
            <w:r w:rsidR="00637B97">
              <w:t xml:space="preserve">, </w:t>
            </w:r>
            <w:r w:rsidR="00F922BA" w:rsidRPr="00F46586">
              <w:t xml:space="preserve">and </w:t>
            </w:r>
            <w:r w:rsidR="00637B97">
              <w:t>practice or opera</w:t>
            </w:r>
            <w:r w:rsidR="0042312A">
              <w:t>tions manager)</w:t>
            </w:r>
            <w:r w:rsidR="00F922BA" w:rsidRPr="00F46586">
              <w:t xml:space="preserve">. </w:t>
            </w:r>
          </w:p>
          <w:p w14:paraId="1F7F1E0B" w14:textId="77777777" w:rsidR="00752085" w:rsidRPr="00F46586" w:rsidRDefault="00752085" w:rsidP="0042312A"/>
          <w:p w14:paraId="6AB05965" w14:textId="77777777" w:rsidR="00F922BA" w:rsidRPr="00F46586" w:rsidRDefault="00752085" w:rsidP="0042312A">
            <w:r w:rsidRPr="0042312A">
              <w:rPr>
                <w:b/>
              </w:rPr>
              <w:t>How data will be analyzed:</w:t>
            </w:r>
            <w:r w:rsidRPr="00F46586">
              <w:t xml:space="preserve"> </w:t>
            </w:r>
          </w:p>
          <w:p w14:paraId="0A6269E3" w14:textId="77777777" w:rsidR="00AB6D20" w:rsidRPr="00F46586" w:rsidRDefault="00752085" w:rsidP="0042312A">
            <w:r w:rsidRPr="00F46586">
              <w:t>Descriptive statistics and cross tab</w:t>
            </w:r>
            <w:r w:rsidR="00D0470C">
              <w:t>ulations</w:t>
            </w:r>
            <w:r w:rsidRPr="00F46586">
              <w:t xml:space="preserve"> will be used to describe quantitative data from the </w:t>
            </w:r>
            <w:r w:rsidRPr="00F46586">
              <w:rPr>
                <w:i/>
              </w:rPr>
              <w:t>patient survey</w:t>
            </w:r>
            <w:r w:rsidRPr="00F46586">
              <w:t xml:space="preserve"> and </w:t>
            </w:r>
            <w:r w:rsidRPr="00F46586">
              <w:rPr>
                <w:i/>
              </w:rPr>
              <w:t>process evaluation</w:t>
            </w:r>
            <w:r w:rsidRPr="00F46586">
              <w:t xml:space="preserve"> data. Risk ratios of the effect of the intervention on post-intervention falls will be calculated comparing intervention and </w:t>
            </w:r>
            <w:r w:rsidRPr="00EE4DB8">
              <w:t>control groups</w:t>
            </w:r>
            <w:r w:rsidRPr="00F46586">
              <w:t xml:space="preserve"> while controlling for demographic</w:t>
            </w:r>
            <w:r w:rsidR="00F753FD">
              <w:t>,</w:t>
            </w:r>
            <w:r w:rsidRPr="00F46586">
              <w:t xml:space="preserve"> health</w:t>
            </w:r>
            <w:r w:rsidR="00F753FD">
              <w:t>, attitude, and behavior</w:t>
            </w:r>
            <w:r w:rsidRPr="00F46586">
              <w:t xml:space="preserve"> variables. Qualitative data from the process evaluation will be reviewed</w:t>
            </w:r>
            <w:r w:rsidR="00650808">
              <w:t xml:space="preserve"> and </w:t>
            </w:r>
            <w:r w:rsidRPr="00F46586">
              <w:t>coded to identify themes</w:t>
            </w:r>
            <w:r w:rsidR="00826E33" w:rsidRPr="00F46586">
              <w:t xml:space="preserve"> and contextualize the quantitative data</w:t>
            </w:r>
            <w:r w:rsidR="00D20ABB">
              <w:t xml:space="preserve">. </w:t>
            </w:r>
          </w:p>
        </w:tc>
      </w:tr>
    </w:tbl>
    <w:p w14:paraId="1ACA6BC6" w14:textId="71F56CC5" w:rsidR="009D1B44" w:rsidRDefault="009D1B44">
      <w:pPr>
        <w:pStyle w:val="Heading1"/>
        <w:spacing w:before="0" w:after="0"/>
        <w:rPr>
          <w:rFonts w:ascii="Times New Roman" w:hAnsi="Times New Roman" w:cs="Times New Roman"/>
          <w:sz w:val="24"/>
          <w:szCs w:val="24"/>
        </w:rPr>
      </w:pPr>
      <w:bookmarkStart w:id="11" w:name="_SUMMARY_TABLE"/>
      <w:bookmarkStart w:id="12" w:name="_Toc2085381"/>
      <w:bookmarkEnd w:id="11"/>
    </w:p>
    <w:p w14:paraId="6F5AC67D" w14:textId="77777777" w:rsidR="006A46FF" w:rsidRPr="00583B0F" w:rsidRDefault="006A46FF" w:rsidP="00EF2382"/>
    <w:p w14:paraId="1CC4E54F" w14:textId="7EB25742" w:rsidR="00763548" w:rsidRPr="00610BD7" w:rsidRDefault="00E83441" w:rsidP="00EF2382">
      <w:pPr>
        <w:pStyle w:val="Heading1"/>
        <w:spacing w:before="0" w:after="0"/>
        <w:rPr>
          <w:rFonts w:ascii="Times New Roman" w:hAnsi="Times New Roman" w:cs="Times New Roman"/>
          <w:sz w:val="24"/>
          <w:szCs w:val="24"/>
        </w:rPr>
      </w:pPr>
      <w:r w:rsidRPr="00F46586">
        <w:rPr>
          <w:rFonts w:ascii="Times New Roman" w:hAnsi="Times New Roman" w:cs="Times New Roman"/>
          <w:sz w:val="24"/>
          <w:szCs w:val="24"/>
        </w:rPr>
        <w:t>Justification</w:t>
      </w:r>
      <w:bookmarkEnd w:id="12"/>
    </w:p>
    <w:p w14:paraId="489DC165" w14:textId="77777777" w:rsidR="00763548" w:rsidRPr="00F46586" w:rsidRDefault="00763548" w:rsidP="009B633D"/>
    <w:p w14:paraId="67111449" w14:textId="77777777" w:rsidR="009B633D" w:rsidRPr="00F46586" w:rsidRDefault="007B4D24" w:rsidP="006014DB">
      <w:pPr>
        <w:pStyle w:val="Heading2"/>
        <w:spacing w:before="0" w:after="0"/>
        <w:rPr>
          <w:rFonts w:ascii="Times New Roman" w:hAnsi="Times New Roman" w:cs="Times New Roman"/>
          <w:i w:val="0"/>
          <w:sz w:val="24"/>
          <w:szCs w:val="24"/>
        </w:rPr>
      </w:pPr>
      <w:bookmarkStart w:id="13" w:name="_Toc151782176"/>
      <w:bookmarkStart w:id="14" w:name="_Toc158526216"/>
      <w:bookmarkStart w:id="15" w:name="_Toc2085382"/>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1. </w:t>
      </w:r>
      <w:bookmarkEnd w:id="13"/>
      <w:bookmarkEnd w:id="14"/>
      <w:r w:rsidR="006014DB" w:rsidRPr="00F46586">
        <w:rPr>
          <w:rFonts w:ascii="Times New Roman" w:hAnsi="Times New Roman" w:cs="Times New Roman"/>
          <w:i w:val="0"/>
          <w:sz w:val="24"/>
          <w:szCs w:val="24"/>
        </w:rPr>
        <w:t>Circumstances that make the collection of information necessary</w:t>
      </w:r>
      <w:bookmarkEnd w:id="15"/>
    </w:p>
    <w:p w14:paraId="15441122" w14:textId="644A0354" w:rsidR="00CA720C" w:rsidRPr="00F46586" w:rsidRDefault="0012216B" w:rsidP="009C2095">
      <w:r w:rsidRPr="00F46586">
        <w:t xml:space="preserve">The Centers for Disease Control and Prevention (CDC) requests Office of Management and Budget (OMB) approval for </w:t>
      </w:r>
      <w:r w:rsidR="000140EE" w:rsidRPr="00F46586">
        <w:t>three y</w:t>
      </w:r>
      <w:r w:rsidRPr="00F46586">
        <w:t xml:space="preserve">ears </w:t>
      </w:r>
      <w:r w:rsidR="00CA720C" w:rsidRPr="00F46586">
        <w:t>for this</w:t>
      </w:r>
      <w:r w:rsidRPr="00F46586">
        <w:t xml:space="preserve"> </w:t>
      </w:r>
      <w:r w:rsidR="007B4D24" w:rsidRPr="00F46586">
        <w:t xml:space="preserve">new </w:t>
      </w:r>
      <w:r w:rsidR="00CA720C" w:rsidRPr="00F46586">
        <w:t>data collection</w:t>
      </w:r>
      <w:r w:rsidR="00D0470C">
        <w:t>,</w:t>
      </w:r>
      <w:r w:rsidR="00180471" w:rsidRPr="00F46586">
        <w:t xml:space="preserve"> </w:t>
      </w:r>
      <w:r w:rsidRPr="00F46586">
        <w:t xml:space="preserve">to evaluate </w:t>
      </w:r>
      <w:r w:rsidR="002E5E9F">
        <w:t>CDC’s</w:t>
      </w:r>
      <w:r w:rsidR="002E5E9F" w:rsidRPr="00F46586">
        <w:t xml:space="preserve"> </w:t>
      </w:r>
      <w:r w:rsidRPr="00F46586">
        <w:t>Stopping Elderly Accidents, Deaths, and Injuries (STEADI) initiative</w:t>
      </w:r>
      <w:r w:rsidR="00D55833" w:rsidRPr="00F46586">
        <w:t xml:space="preserve"> in a </w:t>
      </w:r>
      <w:r w:rsidR="00731E36" w:rsidRPr="00F46586">
        <w:t>primary care setting</w:t>
      </w:r>
      <w:r w:rsidR="009C2095" w:rsidRPr="00F46586">
        <w:t xml:space="preserve">. </w:t>
      </w:r>
      <w:r w:rsidR="00CA720C" w:rsidRPr="00F46586">
        <w:t xml:space="preserve">The goal of this evaluation is to determine the </w:t>
      </w:r>
      <w:r w:rsidR="0048126B">
        <w:t>impact</w:t>
      </w:r>
      <w:r w:rsidR="0048126B" w:rsidRPr="00F46586">
        <w:t xml:space="preserve"> </w:t>
      </w:r>
      <w:r w:rsidR="00800081" w:rsidRPr="00F46586">
        <w:t xml:space="preserve">of </w:t>
      </w:r>
      <w:r w:rsidR="00800081">
        <w:t>both</w:t>
      </w:r>
      <w:r w:rsidR="00D0470C">
        <w:t xml:space="preserve"> the comprehensive and selected</w:t>
      </w:r>
      <w:r w:rsidR="008844E8" w:rsidRPr="00F46586">
        <w:t xml:space="preserve"> components of STEADI </w:t>
      </w:r>
      <w:r w:rsidR="0048126B">
        <w:t>on</w:t>
      </w:r>
      <w:r w:rsidR="008844E8" w:rsidRPr="00F46586">
        <w:t xml:space="preserve"> falls and fall injuries.</w:t>
      </w:r>
    </w:p>
    <w:p w14:paraId="6F520C4E" w14:textId="77777777" w:rsidR="00CA720C" w:rsidRPr="00F46586" w:rsidRDefault="00CA720C" w:rsidP="009C2095"/>
    <w:p w14:paraId="39AF0D10" w14:textId="546BA453" w:rsidR="003F62F6" w:rsidRPr="00F46586" w:rsidRDefault="008844E8" w:rsidP="009C2095">
      <w:r w:rsidRPr="00F46586">
        <w:t>CDC will us</w:t>
      </w:r>
      <w:r w:rsidR="00F56E66">
        <w:t>e</w:t>
      </w:r>
      <w:r w:rsidRPr="00F46586">
        <w:t xml:space="preserve"> this information collection to:</w:t>
      </w:r>
    </w:p>
    <w:p w14:paraId="0B94FB0E" w14:textId="71F2DA72" w:rsidR="003F62F6" w:rsidRPr="003F62F6" w:rsidRDefault="003F62F6" w:rsidP="002573F9">
      <w:pPr>
        <w:pStyle w:val="ListParagraph"/>
        <w:numPr>
          <w:ilvl w:val="0"/>
          <w:numId w:val="10"/>
        </w:numPr>
        <w:rPr>
          <w:color w:val="000000" w:themeColor="text1"/>
          <w:lang w:val="en"/>
        </w:rPr>
      </w:pPr>
      <w:r w:rsidRPr="003F62F6">
        <w:rPr>
          <w:color w:val="000000" w:themeColor="text1"/>
          <w:lang w:val="en"/>
        </w:rPr>
        <w:t>E</w:t>
      </w:r>
      <w:r w:rsidR="008844E8" w:rsidRPr="003F62F6">
        <w:rPr>
          <w:color w:val="000000" w:themeColor="text1"/>
          <w:lang w:val="en"/>
        </w:rPr>
        <w:t xml:space="preserve">valuate the impact of </w:t>
      </w:r>
      <w:r w:rsidR="00187115">
        <w:rPr>
          <w:color w:val="000000" w:themeColor="text1"/>
          <w:lang w:val="en"/>
        </w:rPr>
        <w:t>the</w:t>
      </w:r>
      <w:r w:rsidR="00D0470C">
        <w:rPr>
          <w:color w:val="000000" w:themeColor="text1"/>
          <w:lang w:val="en"/>
        </w:rPr>
        <w:t xml:space="preserve"> </w:t>
      </w:r>
      <w:r w:rsidR="008844E8" w:rsidRPr="003F62F6">
        <w:rPr>
          <w:color w:val="000000" w:themeColor="text1"/>
          <w:lang w:val="en"/>
        </w:rPr>
        <w:t xml:space="preserve">STEADI </w:t>
      </w:r>
      <w:r w:rsidR="00D0470C">
        <w:rPr>
          <w:color w:val="000000" w:themeColor="text1"/>
          <w:lang w:val="en"/>
        </w:rPr>
        <w:t xml:space="preserve">initiative </w:t>
      </w:r>
      <w:r w:rsidR="008844E8" w:rsidRPr="003F62F6">
        <w:rPr>
          <w:color w:val="000000" w:themeColor="text1"/>
          <w:lang w:val="en"/>
        </w:rPr>
        <w:t>on older adult</w:t>
      </w:r>
      <w:r w:rsidR="007248C7">
        <w:rPr>
          <w:color w:val="000000" w:themeColor="text1"/>
          <w:lang w:val="en"/>
        </w:rPr>
        <w:t>s by measuring incidence of</w:t>
      </w:r>
      <w:r w:rsidR="008844E8" w:rsidRPr="003F62F6">
        <w:rPr>
          <w:color w:val="000000" w:themeColor="text1"/>
          <w:lang w:val="en"/>
        </w:rPr>
        <w:t xml:space="preserve"> falls, fall injuries, and falls</w:t>
      </w:r>
      <w:r w:rsidR="007248C7">
        <w:rPr>
          <w:color w:val="000000" w:themeColor="text1"/>
          <w:lang w:val="en"/>
        </w:rPr>
        <w:t xml:space="preserve"> requiring medical treatment</w:t>
      </w:r>
      <w:r w:rsidR="008844E8" w:rsidRPr="003F62F6">
        <w:rPr>
          <w:color w:val="000000" w:themeColor="text1"/>
          <w:lang w:val="en"/>
        </w:rPr>
        <w:t xml:space="preserve"> (primary care visits, emergency department visits, hospitalizations) in </w:t>
      </w:r>
      <w:r w:rsidR="00187115">
        <w:rPr>
          <w:color w:val="000000" w:themeColor="text1"/>
          <w:lang w:val="en"/>
        </w:rPr>
        <w:t xml:space="preserve">each </w:t>
      </w:r>
      <w:r w:rsidR="008844E8" w:rsidRPr="003F62F6">
        <w:rPr>
          <w:color w:val="000000" w:themeColor="text1"/>
          <w:lang w:val="en"/>
        </w:rPr>
        <w:t>intervention patient group com</w:t>
      </w:r>
      <w:r w:rsidR="00AC234A" w:rsidRPr="003F62F6">
        <w:rPr>
          <w:color w:val="000000" w:themeColor="text1"/>
          <w:lang w:val="en"/>
        </w:rPr>
        <w:t xml:space="preserve">pared </w:t>
      </w:r>
      <w:r w:rsidR="00AC234A" w:rsidRPr="00EE4DB8">
        <w:rPr>
          <w:color w:val="000000" w:themeColor="text1"/>
          <w:lang w:val="en"/>
        </w:rPr>
        <w:t xml:space="preserve">to </w:t>
      </w:r>
      <w:r w:rsidR="00EE4DB8" w:rsidRPr="00DC0942">
        <w:rPr>
          <w:color w:val="000000" w:themeColor="text1"/>
          <w:lang w:val="en"/>
        </w:rPr>
        <w:t>the</w:t>
      </w:r>
      <w:r w:rsidR="00EE4DB8" w:rsidRPr="00EE4DB8">
        <w:rPr>
          <w:color w:val="000000" w:themeColor="text1"/>
          <w:lang w:val="en"/>
        </w:rPr>
        <w:t xml:space="preserve"> </w:t>
      </w:r>
      <w:r w:rsidR="00AC234A" w:rsidRPr="00EE4DB8">
        <w:rPr>
          <w:color w:val="000000" w:themeColor="text1"/>
          <w:lang w:val="en"/>
        </w:rPr>
        <w:t>control</w:t>
      </w:r>
      <w:r w:rsidR="00AC234A" w:rsidRPr="003F62F6">
        <w:rPr>
          <w:color w:val="000000" w:themeColor="text1"/>
          <w:lang w:val="en"/>
        </w:rPr>
        <w:t xml:space="preserve"> patient group</w:t>
      </w:r>
      <w:r w:rsidR="00187115">
        <w:rPr>
          <w:color w:val="000000" w:themeColor="text1"/>
          <w:lang w:val="en"/>
        </w:rPr>
        <w:t xml:space="preserve"> for the comprehensive STEADI initiative, the medication management component only, and the physical therapy only</w:t>
      </w:r>
      <w:r w:rsidR="007248C7">
        <w:rPr>
          <w:color w:val="000000" w:themeColor="text1"/>
          <w:lang w:val="en"/>
        </w:rPr>
        <w:t>.</w:t>
      </w:r>
    </w:p>
    <w:p w14:paraId="6D6FEC33" w14:textId="03872AD5" w:rsidR="008844E8" w:rsidRPr="005F4607" w:rsidRDefault="00F917BD" w:rsidP="005F4607">
      <w:pPr>
        <w:pStyle w:val="ListParagraph"/>
        <w:numPr>
          <w:ilvl w:val="0"/>
          <w:numId w:val="10"/>
        </w:numPr>
        <w:rPr>
          <w:color w:val="000000" w:themeColor="text1"/>
          <w:lang w:val="en"/>
        </w:rPr>
      </w:pPr>
      <w:r>
        <w:rPr>
          <w:color w:val="000000" w:themeColor="text1"/>
          <w:lang w:val="en"/>
        </w:rPr>
        <w:t>Monitor</w:t>
      </w:r>
      <w:r w:rsidR="00523C7C" w:rsidRPr="005F4607">
        <w:rPr>
          <w:color w:val="000000" w:themeColor="text1"/>
          <w:lang w:val="en"/>
        </w:rPr>
        <w:t xml:space="preserve"> the process of implementing and maintaining STEADI in a primary care system</w:t>
      </w:r>
      <w:r w:rsidR="00427C6F" w:rsidRPr="005F4607">
        <w:rPr>
          <w:color w:val="000000" w:themeColor="text1"/>
          <w:lang w:val="en"/>
        </w:rPr>
        <w:t>.</w:t>
      </w:r>
    </w:p>
    <w:p w14:paraId="6E54BF96" w14:textId="77777777" w:rsidR="00020928" w:rsidRDefault="00020928" w:rsidP="00731E36"/>
    <w:p w14:paraId="4446E137" w14:textId="69514A4F" w:rsidR="00D84A3E" w:rsidRPr="00F46586" w:rsidRDefault="00D84A3E" w:rsidP="00D84A3E">
      <w:r w:rsidRPr="00F46586">
        <w:t>Falls are the leading cause of both fatal and non-fatal injuries among older adults</w:t>
      </w:r>
      <w:r w:rsidR="00C97924">
        <w:t>, defined as age 65 and older</w:t>
      </w:r>
      <w:r w:rsidRPr="00F46586">
        <w:t xml:space="preserve"> (WISQARS 201</w:t>
      </w:r>
      <w:r w:rsidR="00F917BD">
        <w:t>9</w:t>
      </w:r>
      <w:r w:rsidRPr="00F46586">
        <w:t xml:space="preserve">). </w:t>
      </w:r>
      <w:r>
        <w:t xml:space="preserve">From 2007 to 2016, fall death </w:t>
      </w:r>
      <w:r w:rsidR="00B47C23">
        <w:t>age-</w:t>
      </w:r>
      <w:r w:rsidR="004C2AB2">
        <w:t xml:space="preserve">adjusted </w:t>
      </w:r>
      <w:r>
        <w:t xml:space="preserve">rates increased by 31% </w:t>
      </w:r>
      <w:r w:rsidR="00020928">
        <w:t>(Burns et al., 2018)</w:t>
      </w:r>
      <w:r>
        <w:t>.</w:t>
      </w:r>
      <w:r w:rsidR="004B73AB">
        <w:t xml:space="preserve"> </w:t>
      </w:r>
      <w:r w:rsidR="00F917BD">
        <w:t xml:space="preserve">In 2017, over 30,000 older adults died as the result of a fall (WISQARS 2019). </w:t>
      </w:r>
      <w:r w:rsidRPr="00F46586">
        <w:t>The economic consequences of falls are significant and growing</w:t>
      </w:r>
      <w:r w:rsidR="006672C0">
        <w:t xml:space="preserve"> as the population ages</w:t>
      </w:r>
      <w:r w:rsidRPr="00F46586">
        <w:t xml:space="preserve">, with medical costs of older adult falls estimated at $50 billion annually (Florence et al., 2018). </w:t>
      </w:r>
      <w:r w:rsidR="00292176">
        <w:t>Many older adult f</w:t>
      </w:r>
      <w:r w:rsidR="00020928">
        <w:t xml:space="preserve">alls are </w:t>
      </w:r>
      <w:r w:rsidR="00020928" w:rsidRPr="00F46586">
        <w:t xml:space="preserve">preventable and represent a major source of modifiable morbidity, mortality, and health expenditures. </w:t>
      </w:r>
      <w:r w:rsidR="006672C0">
        <w:t xml:space="preserve">Based on the American Geriatrics Society and British Geriatric Society fall prevention guidelines, CDC created </w:t>
      </w:r>
      <w:r w:rsidR="004B73AB">
        <w:t xml:space="preserve">the </w:t>
      </w:r>
      <w:r w:rsidR="006672C0">
        <w:t xml:space="preserve">STEADI </w:t>
      </w:r>
      <w:r w:rsidR="004B73AB">
        <w:t xml:space="preserve">initiative </w:t>
      </w:r>
      <w:r w:rsidR="006672C0">
        <w:t xml:space="preserve">to </w:t>
      </w:r>
      <w:r w:rsidR="004B73AB">
        <w:t xml:space="preserve">guide </w:t>
      </w:r>
      <w:r w:rsidR="00D33C16">
        <w:t>health care provider</w:t>
      </w:r>
      <w:r w:rsidR="004B73AB">
        <w:t>s’</w:t>
      </w:r>
      <w:r w:rsidR="00D33C16">
        <w:t xml:space="preserve"> </w:t>
      </w:r>
      <w:r w:rsidR="006672C0">
        <w:t>fall prevention activities in the primary care setting</w:t>
      </w:r>
      <w:r w:rsidR="006D4351">
        <w:t>.</w:t>
      </w:r>
      <w:r w:rsidR="002046E1">
        <w:t xml:space="preserve">  </w:t>
      </w:r>
    </w:p>
    <w:p w14:paraId="6E3AE168" w14:textId="77777777" w:rsidR="00FA37FD" w:rsidRPr="00F46586" w:rsidRDefault="00FA37FD" w:rsidP="00731E36"/>
    <w:p w14:paraId="63E6383B" w14:textId="77777777" w:rsidR="00731E36" w:rsidRPr="00F46586" w:rsidRDefault="006B278F" w:rsidP="00731E36">
      <w:pPr>
        <w:rPr>
          <w:rFonts w:eastAsia="Arial"/>
          <w:color w:val="000000" w:themeColor="text1"/>
          <w:lang w:val="en"/>
        </w:rPr>
      </w:pPr>
      <w:r>
        <w:rPr>
          <w:rFonts w:eastAsia="Arial"/>
          <w:color w:val="000000" w:themeColor="text1"/>
          <w:lang w:val="en"/>
        </w:rPr>
        <w:t xml:space="preserve">The </w:t>
      </w:r>
      <w:r w:rsidR="00731E36" w:rsidRPr="00F46586">
        <w:rPr>
          <w:rFonts w:eastAsia="Arial"/>
          <w:color w:val="000000" w:themeColor="text1"/>
          <w:lang w:val="en"/>
        </w:rPr>
        <w:t>STEADI</w:t>
      </w:r>
      <w:r>
        <w:rPr>
          <w:rFonts w:eastAsia="Arial"/>
          <w:color w:val="000000" w:themeColor="text1"/>
          <w:lang w:val="en"/>
        </w:rPr>
        <w:t xml:space="preserve"> initiative</w:t>
      </w:r>
      <w:r w:rsidR="00731E36" w:rsidRPr="00F46586">
        <w:rPr>
          <w:rFonts w:eastAsia="Arial"/>
          <w:color w:val="000000" w:themeColor="text1"/>
          <w:lang w:val="en"/>
        </w:rPr>
        <w:t xml:space="preserve"> includes the following core </w:t>
      </w:r>
      <w:r w:rsidR="00292176">
        <w:rPr>
          <w:rFonts w:eastAsia="Arial"/>
          <w:color w:val="000000" w:themeColor="text1"/>
          <w:lang w:val="en"/>
        </w:rPr>
        <w:t xml:space="preserve">components </w:t>
      </w:r>
      <w:r>
        <w:rPr>
          <w:rFonts w:eastAsia="Arial"/>
          <w:color w:val="000000" w:themeColor="text1"/>
          <w:lang w:val="en"/>
        </w:rPr>
        <w:t>to help providers address fall risk in their older patients</w:t>
      </w:r>
      <w:r w:rsidR="00731E36" w:rsidRPr="00F46586">
        <w:rPr>
          <w:rFonts w:eastAsia="Arial"/>
          <w:color w:val="000000" w:themeColor="text1"/>
          <w:lang w:val="en"/>
        </w:rPr>
        <w:t xml:space="preserve">: </w:t>
      </w:r>
    </w:p>
    <w:p w14:paraId="12082D8B" w14:textId="77777777" w:rsidR="00731E36" w:rsidRDefault="00731E36" w:rsidP="006672C0">
      <w:pPr>
        <w:pStyle w:val="ListParagraph"/>
        <w:numPr>
          <w:ilvl w:val="0"/>
          <w:numId w:val="6"/>
        </w:numPr>
        <w:rPr>
          <w:rFonts w:eastAsia="Arial"/>
          <w:color w:val="000000" w:themeColor="text1"/>
          <w:lang w:val="en"/>
        </w:rPr>
      </w:pPr>
      <w:r w:rsidRPr="00F46586">
        <w:rPr>
          <w:rFonts w:eastAsia="Arial"/>
          <w:b/>
          <w:bCs/>
          <w:color w:val="000000" w:themeColor="text1"/>
          <w:lang w:val="en"/>
        </w:rPr>
        <w:t>Screen</w:t>
      </w:r>
      <w:r w:rsidR="00222C41">
        <w:rPr>
          <w:rFonts w:eastAsia="Arial"/>
          <w:b/>
          <w:bCs/>
          <w:color w:val="000000" w:themeColor="text1"/>
          <w:lang w:val="en"/>
        </w:rPr>
        <w:t xml:space="preserve"> </w:t>
      </w:r>
      <w:r w:rsidRPr="00F46586">
        <w:rPr>
          <w:rFonts w:eastAsia="Arial"/>
          <w:color w:val="000000" w:themeColor="text1"/>
          <w:lang w:val="en"/>
        </w:rPr>
        <w:t>to identify patients at increased risk of falling</w:t>
      </w:r>
      <w:r w:rsidR="00AE01EC">
        <w:rPr>
          <w:rFonts w:eastAsia="Arial"/>
          <w:color w:val="000000" w:themeColor="text1"/>
          <w:lang w:val="en"/>
        </w:rPr>
        <w:t xml:space="preserve"> using </w:t>
      </w:r>
      <w:r w:rsidR="006E03B9">
        <w:rPr>
          <w:rFonts w:eastAsia="Arial"/>
          <w:color w:val="000000" w:themeColor="text1"/>
          <w:lang w:val="en"/>
        </w:rPr>
        <w:t xml:space="preserve">the </w:t>
      </w:r>
      <w:r w:rsidR="00AE01EC">
        <w:rPr>
          <w:rFonts w:eastAsia="Arial"/>
          <w:color w:val="000000" w:themeColor="text1"/>
          <w:lang w:val="en"/>
        </w:rPr>
        <w:t xml:space="preserve">STEADI </w:t>
      </w:r>
      <w:r w:rsidR="00960F8C">
        <w:rPr>
          <w:rFonts w:eastAsia="Arial"/>
          <w:color w:val="000000" w:themeColor="text1"/>
          <w:lang w:val="en"/>
        </w:rPr>
        <w:t>screening questions</w:t>
      </w:r>
    </w:p>
    <w:p w14:paraId="5EC7D582" w14:textId="77777777" w:rsidR="00362AC5" w:rsidRPr="002F1690" w:rsidRDefault="00362AC5" w:rsidP="006672C0">
      <w:pPr>
        <w:pStyle w:val="ListParagraph"/>
        <w:numPr>
          <w:ilvl w:val="0"/>
          <w:numId w:val="6"/>
        </w:numPr>
        <w:rPr>
          <w:rFonts w:eastAsia="Arial"/>
          <w:color w:val="000000" w:themeColor="text1"/>
          <w:lang w:val="en"/>
        </w:rPr>
      </w:pPr>
      <w:r w:rsidRPr="00857815">
        <w:rPr>
          <w:rFonts w:eastAsia="Arial"/>
          <w:b/>
          <w:bCs/>
          <w:color w:val="000000" w:themeColor="text1"/>
          <w:lang w:val="en"/>
        </w:rPr>
        <w:t>Assess</w:t>
      </w:r>
      <w:r>
        <w:rPr>
          <w:rFonts w:eastAsia="Arial"/>
          <w:bCs/>
          <w:color w:val="000000" w:themeColor="text1"/>
          <w:lang w:val="en"/>
        </w:rPr>
        <w:t xml:space="preserve"> to identify </w:t>
      </w:r>
      <w:r w:rsidR="004B73AB">
        <w:rPr>
          <w:rFonts w:eastAsia="Arial"/>
          <w:bCs/>
          <w:color w:val="000000" w:themeColor="text1"/>
          <w:lang w:val="en"/>
        </w:rPr>
        <w:t xml:space="preserve">what </w:t>
      </w:r>
      <w:r>
        <w:rPr>
          <w:rFonts w:eastAsia="Arial"/>
          <w:bCs/>
          <w:color w:val="000000" w:themeColor="text1"/>
          <w:lang w:val="en"/>
        </w:rPr>
        <w:t>modifiable fall risk factors are present (e.g. gait, strength, and balance test)</w:t>
      </w:r>
    </w:p>
    <w:p w14:paraId="3356B5EB" w14:textId="77777777" w:rsidR="006B278F" w:rsidRPr="006F60D2" w:rsidRDefault="00362AC5" w:rsidP="008A5BFF">
      <w:pPr>
        <w:pStyle w:val="ListParagraph"/>
        <w:numPr>
          <w:ilvl w:val="0"/>
          <w:numId w:val="6"/>
        </w:numPr>
        <w:rPr>
          <w:color w:val="000000" w:themeColor="text1"/>
        </w:rPr>
      </w:pPr>
      <w:r w:rsidRPr="006F60D2">
        <w:rPr>
          <w:rFonts w:eastAsia="Arial"/>
          <w:b/>
          <w:bCs/>
          <w:color w:val="000000" w:themeColor="text1"/>
          <w:lang w:val="en"/>
        </w:rPr>
        <w:t>Intervene</w:t>
      </w:r>
      <w:r w:rsidRPr="006F60D2">
        <w:rPr>
          <w:rFonts w:eastAsia="Arial"/>
          <w:bCs/>
          <w:color w:val="000000" w:themeColor="text1"/>
          <w:lang w:val="en"/>
        </w:rPr>
        <w:t xml:space="preserve"> based on the modifiable risk factors discovered</w:t>
      </w:r>
      <w:r w:rsidR="007248C7" w:rsidRPr="006F60D2">
        <w:rPr>
          <w:rFonts w:eastAsia="Arial"/>
          <w:bCs/>
          <w:color w:val="000000" w:themeColor="text1"/>
          <w:lang w:val="en"/>
        </w:rPr>
        <w:t xml:space="preserve">, by </w:t>
      </w:r>
      <w:r w:rsidR="006F60D2" w:rsidRPr="006F60D2">
        <w:rPr>
          <w:rFonts w:eastAsia="Arial"/>
          <w:bCs/>
          <w:color w:val="000000" w:themeColor="text1"/>
          <w:lang w:val="en"/>
        </w:rPr>
        <w:t xml:space="preserve">prescribing </w:t>
      </w:r>
      <w:r w:rsidRPr="002E0525">
        <w:rPr>
          <w:rFonts w:eastAsia="Arial"/>
          <w:bCs/>
          <w:color w:val="000000" w:themeColor="text1"/>
          <w:lang w:val="en"/>
        </w:rPr>
        <w:t xml:space="preserve"> </w:t>
      </w:r>
      <w:r w:rsidRPr="006F60D2">
        <w:rPr>
          <w:rFonts w:eastAsia="Arial"/>
          <w:bCs/>
          <w:color w:val="000000" w:themeColor="text1"/>
          <w:lang w:val="en"/>
        </w:rPr>
        <w:t>evidence-based strategies to reduce fall risk (e.g. Tai chi or physical therapy to address gait and balance issues)</w:t>
      </w:r>
      <w:r w:rsidR="002046E1" w:rsidRPr="006F60D2">
        <w:rPr>
          <w:rFonts w:eastAsia="Arial"/>
          <w:bCs/>
          <w:color w:val="000000" w:themeColor="text1"/>
          <w:lang w:val="en"/>
        </w:rPr>
        <w:t xml:space="preserve"> </w:t>
      </w:r>
      <w:r w:rsidR="006B278F" w:rsidRPr="006F60D2">
        <w:rPr>
          <w:color w:val="000000" w:themeColor="text1"/>
        </w:rPr>
        <w:t>For more information about the tools and resources included in the STEADI initiative</w:t>
      </w:r>
      <w:r w:rsidR="004B73AB" w:rsidRPr="006F60D2">
        <w:rPr>
          <w:color w:val="000000" w:themeColor="text1"/>
        </w:rPr>
        <w:t>,</w:t>
      </w:r>
      <w:r w:rsidR="006B278F" w:rsidRPr="006F60D2">
        <w:rPr>
          <w:color w:val="000000" w:themeColor="text1"/>
        </w:rPr>
        <w:t xml:space="preserve"> visit </w:t>
      </w:r>
      <w:hyperlink r:id="rId10" w:history="1">
        <w:r w:rsidR="006B278F" w:rsidRPr="00B20F60">
          <w:rPr>
            <w:rStyle w:val="Hyperlink"/>
          </w:rPr>
          <w:t>https://www.cdc.gov/steadi</w:t>
        </w:r>
      </w:hyperlink>
    </w:p>
    <w:p w14:paraId="208DBC1C" w14:textId="77777777" w:rsidR="006B278F" w:rsidRPr="006B278F" w:rsidRDefault="006B278F" w:rsidP="006B278F">
      <w:pPr>
        <w:rPr>
          <w:color w:val="000000" w:themeColor="text1"/>
        </w:rPr>
      </w:pPr>
    </w:p>
    <w:p w14:paraId="78763970" w14:textId="77210A80" w:rsidR="00962D6F" w:rsidRDefault="00F74B50" w:rsidP="00962D6F">
      <w:pPr>
        <w:rPr>
          <w:color w:val="000000" w:themeColor="text1"/>
          <w:lang w:val="en"/>
        </w:rPr>
      </w:pPr>
      <w:r>
        <w:t>One preliminary</w:t>
      </w:r>
      <w:r w:rsidR="006906E4">
        <w:t>, prospective</w:t>
      </w:r>
      <w:r w:rsidR="00C26B24">
        <w:t xml:space="preserve"> study</w:t>
      </w:r>
      <w:r>
        <w:t xml:space="preserve"> </w:t>
      </w:r>
      <w:r w:rsidR="007F4E86">
        <w:t xml:space="preserve">of </w:t>
      </w:r>
      <w:r w:rsidR="00EA0DC8" w:rsidRPr="00F46586">
        <w:t>STEADI</w:t>
      </w:r>
      <w:r w:rsidR="006906E4">
        <w:t xml:space="preserve"> examined </w:t>
      </w:r>
      <w:r w:rsidR="00292176">
        <w:t>electronic health record (</w:t>
      </w:r>
      <w:r w:rsidR="00800081">
        <w:t>EHR</w:t>
      </w:r>
      <w:r w:rsidR="00292176">
        <w:t>)</w:t>
      </w:r>
      <w:r w:rsidR="006906E4">
        <w:t xml:space="preserve"> data and showed</w:t>
      </w:r>
      <w:r w:rsidR="00FA37FD" w:rsidRPr="00F46586">
        <w:t xml:space="preserve"> </w:t>
      </w:r>
      <w:r>
        <w:t xml:space="preserve">a </w:t>
      </w:r>
      <w:r w:rsidR="00C26B24">
        <w:t>reduction in</w:t>
      </w:r>
      <w:r w:rsidR="00FA37FD" w:rsidRPr="00F46586">
        <w:t xml:space="preserve"> fall-related hospitalizations </w:t>
      </w:r>
      <w:r w:rsidR="00EA0DC8" w:rsidRPr="00F46586">
        <w:t xml:space="preserve">in </w:t>
      </w:r>
      <w:r>
        <w:t>one</w:t>
      </w:r>
      <w:r w:rsidR="00FA37FD" w:rsidRPr="00F46586">
        <w:t xml:space="preserve"> primary care setting</w:t>
      </w:r>
      <w:r w:rsidR="007F4E86">
        <w:t xml:space="preserve"> in </w:t>
      </w:r>
      <w:r>
        <w:t xml:space="preserve">New York </w:t>
      </w:r>
      <w:r w:rsidR="00962D6F">
        <w:t>State</w:t>
      </w:r>
      <w:r w:rsidR="007F4E86">
        <w:t xml:space="preserve"> </w:t>
      </w:r>
      <w:r w:rsidR="00FA37FD" w:rsidRPr="00F46586">
        <w:t>(Johnston 2018)</w:t>
      </w:r>
      <w:r w:rsidR="00F22E40" w:rsidRPr="00F46586">
        <w:t>.</w:t>
      </w:r>
      <w:r w:rsidR="00EA0DC8" w:rsidRPr="00F46586">
        <w:t xml:space="preserve"> </w:t>
      </w:r>
      <w:r w:rsidR="002A211F" w:rsidRPr="00F46586">
        <w:t>There have</w:t>
      </w:r>
      <w:r w:rsidR="002046E1">
        <w:t>, however,</w:t>
      </w:r>
      <w:r w:rsidR="002A211F" w:rsidRPr="00F46586">
        <w:t xml:space="preserve"> been no large scale </w:t>
      </w:r>
      <w:r w:rsidR="002A211F">
        <w:t xml:space="preserve">studies with patients randomized to intervention and control groups </w:t>
      </w:r>
      <w:r w:rsidR="002A211F" w:rsidRPr="00F46586">
        <w:t>to evaluate the health benefi</w:t>
      </w:r>
      <w:r w:rsidR="002A211F">
        <w:t>ts of STEADI-based fall prevention.  CDC needs additional research to inform the technical assistance that they provide on older adult fall prevention to health systems and national, state, tribal, and local partners.  Additional research would also support wider dissemination of STEADI-based older adult fall prevention.</w:t>
      </w:r>
      <w:r w:rsidR="009C39E1">
        <w:t xml:space="preserve"> </w:t>
      </w:r>
      <w:r w:rsidR="00962D6F" w:rsidRPr="00F46586">
        <w:t xml:space="preserve">Not only is there a need for evidence </w:t>
      </w:r>
      <w:r w:rsidR="002046E1">
        <w:t xml:space="preserve">whether </w:t>
      </w:r>
      <w:r w:rsidR="00962D6F" w:rsidRPr="00F46586">
        <w:t xml:space="preserve">STEADI reduces older adult falls, there is </w:t>
      </w:r>
      <w:r w:rsidR="00C33F57">
        <w:t xml:space="preserve">also </w:t>
      </w:r>
      <w:r w:rsidR="00962D6F" w:rsidRPr="00F46586">
        <w:t xml:space="preserve">a need to understand which components or the combination thereof (e.g. medication management, referral to </w:t>
      </w:r>
      <w:r w:rsidR="00962D6F">
        <w:t>p</w:t>
      </w:r>
      <w:r w:rsidR="00962D6F" w:rsidRPr="00F46586">
        <w:t xml:space="preserve">hysical </w:t>
      </w:r>
      <w:r w:rsidR="00962D6F">
        <w:t>t</w:t>
      </w:r>
      <w:r w:rsidR="00962D6F" w:rsidRPr="00F46586">
        <w:t xml:space="preserve">herapy) are the most </w:t>
      </w:r>
      <w:r w:rsidR="002046E1">
        <w:t>high impact</w:t>
      </w:r>
      <w:r w:rsidR="00C33F57">
        <w:t>,</w:t>
      </w:r>
      <w:r w:rsidR="00962D6F">
        <w:t xml:space="preserve"> given limitations in time</w:t>
      </w:r>
      <w:r w:rsidR="00C33F57">
        <w:t xml:space="preserve"> and</w:t>
      </w:r>
      <w:r w:rsidR="009B462C">
        <w:t xml:space="preserve"> </w:t>
      </w:r>
      <w:r w:rsidR="00962D6F">
        <w:t>money in a</w:t>
      </w:r>
      <w:r w:rsidR="00C33F57">
        <w:t>n often overburdened</w:t>
      </w:r>
      <w:r w:rsidR="009B462C">
        <w:t xml:space="preserve"> </w:t>
      </w:r>
      <w:r w:rsidR="00962D6F">
        <w:t>healthcare system.</w:t>
      </w:r>
      <w:r w:rsidR="00962D6F" w:rsidRPr="00F46586">
        <w:t xml:space="preserve"> </w:t>
      </w:r>
    </w:p>
    <w:p w14:paraId="6A867186" w14:textId="77777777" w:rsidR="00BE7C9F" w:rsidRPr="004040DD" w:rsidRDefault="009C2095" w:rsidP="00633DA0">
      <w:r w:rsidRPr="00F46586">
        <w:t xml:space="preserve"> </w:t>
      </w:r>
      <w:r w:rsidR="00C26B24">
        <w:t xml:space="preserve">  </w:t>
      </w:r>
    </w:p>
    <w:p w14:paraId="4CC7121D" w14:textId="43DA27EA" w:rsidR="009D1B44" w:rsidRDefault="00843611" w:rsidP="00633DA0">
      <w:pPr>
        <w:rPr>
          <w:color w:val="000000" w:themeColor="text1"/>
          <w:lang w:val="en"/>
        </w:rPr>
      </w:pPr>
      <w:r w:rsidRPr="00F46586">
        <w:t xml:space="preserve">The proposed new </w:t>
      </w:r>
      <w:r>
        <w:t>data</w:t>
      </w:r>
      <w:r w:rsidRPr="00F46586">
        <w:t xml:space="preserve"> collection will complement secondary data collection and analysis using electronic health records</w:t>
      </w:r>
      <w:r>
        <w:t xml:space="preserve"> (EHR)</w:t>
      </w:r>
      <w:r w:rsidRPr="00F46586">
        <w:t xml:space="preserve">. </w:t>
      </w:r>
      <w:r w:rsidR="00362AC5">
        <w:rPr>
          <w:color w:val="000000" w:themeColor="text1"/>
          <w:lang w:val="en"/>
        </w:rPr>
        <w:t>This study</w:t>
      </w:r>
      <w:r w:rsidR="00E2743E">
        <w:rPr>
          <w:color w:val="000000" w:themeColor="text1"/>
          <w:lang w:val="en"/>
        </w:rPr>
        <w:t xml:space="preserve"> </w:t>
      </w:r>
      <w:r w:rsidR="00362AC5">
        <w:rPr>
          <w:color w:val="000000" w:themeColor="text1"/>
          <w:lang w:val="en"/>
        </w:rPr>
        <w:t>augment</w:t>
      </w:r>
      <w:r w:rsidR="009E230E">
        <w:rPr>
          <w:color w:val="000000" w:themeColor="text1"/>
          <w:lang w:val="en"/>
        </w:rPr>
        <w:t>s</w:t>
      </w:r>
      <w:r w:rsidR="00362AC5">
        <w:rPr>
          <w:color w:val="000000" w:themeColor="text1"/>
          <w:lang w:val="en"/>
        </w:rPr>
        <w:t xml:space="preserve"> EHR data with patient survey data and </w:t>
      </w:r>
      <w:r w:rsidR="005E17B0">
        <w:rPr>
          <w:color w:val="000000" w:themeColor="text1"/>
          <w:lang w:val="en"/>
        </w:rPr>
        <w:t xml:space="preserve">process evaluation interviews. </w:t>
      </w:r>
      <w:r w:rsidR="000360A4">
        <w:rPr>
          <w:color w:val="000000" w:themeColor="text1"/>
          <w:lang w:val="en"/>
        </w:rPr>
        <w:t xml:space="preserve">Once </w:t>
      </w:r>
      <w:r w:rsidR="004B73AB">
        <w:rPr>
          <w:color w:val="000000" w:themeColor="text1"/>
          <w:lang w:val="en"/>
        </w:rPr>
        <w:t>patients are</w:t>
      </w:r>
      <w:r w:rsidR="000360A4">
        <w:rPr>
          <w:color w:val="000000" w:themeColor="text1"/>
          <w:lang w:val="en"/>
        </w:rPr>
        <w:t xml:space="preserve"> screened to determine if they have an increased risk of falling, they will be randomized </w:t>
      </w:r>
      <w:r w:rsidR="00FC5D04">
        <w:rPr>
          <w:color w:val="000000" w:themeColor="text1"/>
          <w:lang w:val="en"/>
        </w:rPr>
        <w:t>to one of three intervention groups</w:t>
      </w:r>
      <w:r w:rsidR="00857815">
        <w:rPr>
          <w:color w:val="000000" w:themeColor="text1"/>
          <w:lang w:val="en"/>
        </w:rPr>
        <w:t xml:space="preserve"> </w:t>
      </w:r>
      <w:r w:rsidR="001C3A7A">
        <w:rPr>
          <w:color w:val="000000" w:themeColor="text1"/>
          <w:lang w:val="en"/>
        </w:rPr>
        <w:t xml:space="preserve">or </w:t>
      </w:r>
      <w:r w:rsidR="00EE4DB8">
        <w:rPr>
          <w:color w:val="000000" w:themeColor="text1"/>
          <w:lang w:val="en"/>
        </w:rPr>
        <w:t>to the control group</w:t>
      </w:r>
      <w:r w:rsidR="00FC5D04">
        <w:rPr>
          <w:color w:val="000000" w:themeColor="text1"/>
          <w:lang w:val="en"/>
        </w:rPr>
        <w:t xml:space="preserve">, </w:t>
      </w:r>
      <w:r w:rsidR="000F51DA">
        <w:rPr>
          <w:color w:val="000000" w:themeColor="text1"/>
          <w:lang w:val="en"/>
        </w:rPr>
        <w:t xml:space="preserve">depending on the clinic </w:t>
      </w:r>
      <w:r w:rsidR="00E2743E">
        <w:rPr>
          <w:color w:val="000000" w:themeColor="text1"/>
          <w:lang w:val="en"/>
        </w:rPr>
        <w:t xml:space="preserve">and week </w:t>
      </w:r>
      <w:r w:rsidR="000F51DA">
        <w:rPr>
          <w:color w:val="000000" w:themeColor="text1"/>
          <w:lang w:val="en"/>
        </w:rPr>
        <w:t>they visit</w:t>
      </w:r>
      <w:r w:rsidR="00FC5D04">
        <w:rPr>
          <w:color w:val="000000" w:themeColor="text1"/>
          <w:lang w:val="en"/>
        </w:rPr>
        <w:t xml:space="preserve">. </w:t>
      </w:r>
      <w:r w:rsidR="00857815" w:rsidRPr="00F70E2E">
        <w:rPr>
          <w:b/>
          <w:color w:val="000000" w:themeColor="text1"/>
          <w:lang w:val="en"/>
        </w:rPr>
        <w:t xml:space="preserve">Table </w:t>
      </w:r>
      <w:r w:rsidR="00F70E2E" w:rsidRPr="00F70E2E">
        <w:rPr>
          <w:b/>
          <w:color w:val="000000" w:themeColor="text1"/>
          <w:lang w:val="en"/>
        </w:rPr>
        <w:t>A.</w:t>
      </w:r>
      <w:r w:rsidR="00857815" w:rsidRPr="00F70E2E">
        <w:rPr>
          <w:b/>
          <w:color w:val="000000" w:themeColor="text1"/>
          <w:lang w:val="en"/>
        </w:rPr>
        <w:t>1</w:t>
      </w:r>
      <w:r w:rsidR="00F70E2E" w:rsidRPr="00F70E2E">
        <w:rPr>
          <w:b/>
          <w:color w:val="000000" w:themeColor="text1"/>
          <w:lang w:val="en"/>
        </w:rPr>
        <w:t>.1</w:t>
      </w:r>
      <w:r w:rsidR="00C23938">
        <w:rPr>
          <w:color w:val="000000" w:themeColor="text1"/>
          <w:lang w:val="en"/>
        </w:rPr>
        <w:t xml:space="preserve"> shows the STEADI assessments and interventions </w:t>
      </w:r>
      <w:r w:rsidR="002046E1">
        <w:rPr>
          <w:color w:val="000000" w:themeColor="text1"/>
          <w:lang w:val="en"/>
        </w:rPr>
        <w:t xml:space="preserve">to be </w:t>
      </w:r>
      <w:r w:rsidR="00C23938">
        <w:rPr>
          <w:color w:val="000000" w:themeColor="text1"/>
          <w:lang w:val="en"/>
        </w:rPr>
        <w:t>conducted in each group.</w:t>
      </w:r>
    </w:p>
    <w:p w14:paraId="2BFBC4F2" w14:textId="77777777" w:rsidR="009D1B44" w:rsidRPr="00EF2382" w:rsidRDefault="009D1B44" w:rsidP="00633DA0">
      <w:pPr>
        <w:rPr>
          <w:color w:val="000000" w:themeColor="text1"/>
          <w:lang w:val="en"/>
        </w:rPr>
      </w:pPr>
    </w:p>
    <w:p w14:paraId="74BF43F7" w14:textId="77777777" w:rsidR="009D1B44" w:rsidRDefault="009D1B44" w:rsidP="009D1B44">
      <w:pPr>
        <w:pStyle w:val="NormalSS"/>
        <w:ind w:firstLine="0"/>
        <w:rPr>
          <w:szCs w:val="24"/>
        </w:rPr>
      </w:pPr>
      <w:r w:rsidRPr="00F46586">
        <w:rPr>
          <w:szCs w:val="24"/>
        </w:rPr>
        <w:t>This information collection is unique</w:t>
      </w:r>
      <w:r>
        <w:rPr>
          <w:szCs w:val="24"/>
        </w:rPr>
        <w:t xml:space="preserve"> and will be the first study of STEADI-based fall prevention with randomization of patients to intervention and control groups</w:t>
      </w:r>
      <w:r w:rsidRPr="00F46586">
        <w:rPr>
          <w:szCs w:val="24"/>
        </w:rPr>
        <w:t xml:space="preserve">. </w:t>
      </w:r>
      <w:r>
        <w:rPr>
          <w:szCs w:val="24"/>
        </w:rPr>
        <w:t>There</w:t>
      </w:r>
      <w:r w:rsidRPr="00F46586">
        <w:rPr>
          <w:szCs w:val="24"/>
        </w:rPr>
        <w:t xml:space="preserve"> are no </w:t>
      </w:r>
      <w:r>
        <w:rPr>
          <w:szCs w:val="24"/>
        </w:rPr>
        <w:t xml:space="preserve">other </w:t>
      </w:r>
      <w:r w:rsidRPr="00F46586">
        <w:rPr>
          <w:szCs w:val="24"/>
        </w:rPr>
        <w:t>efforts that the CDC knows of</w:t>
      </w:r>
      <w:r>
        <w:rPr>
          <w:szCs w:val="24"/>
        </w:rPr>
        <w:t xml:space="preserve"> to:</w:t>
      </w:r>
    </w:p>
    <w:p w14:paraId="689F4294" w14:textId="77777777" w:rsidR="009D1B44" w:rsidRDefault="009D1B44" w:rsidP="009D1B44">
      <w:pPr>
        <w:pStyle w:val="NormalSS"/>
        <w:numPr>
          <w:ilvl w:val="0"/>
          <w:numId w:val="11"/>
        </w:numPr>
        <w:rPr>
          <w:szCs w:val="24"/>
        </w:rPr>
      </w:pPr>
      <w:r>
        <w:rPr>
          <w:szCs w:val="24"/>
        </w:rPr>
        <w:t>I</w:t>
      </w:r>
      <w:r w:rsidRPr="00F46586">
        <w:rPr>
          <w:szCs w:val="24"/>
        </w:rPr>
        <w:t xml:space="preserve">mplement STEADI in a </w:t>
      </w:r>
      <w:r>
        <w:rPr>
          <w:szCs w:val="24"/>
        </w:rPr>
        <w:t>primary</w:t>
      </w:r>
      <w:r w:rsidRPr="00F46586">
        <w:rPr>
          <w:szCs w:val="24"/>
        </w:rPr>
        <w:t xml:space="preserve"> care system</w:t>
      </w:r>
      <w:r>
        <w:rPr>
          <w:szCs w:val="24"/>
        </w:rPr>
        <w:t xml:space="preserve"> or </w:t>
      </w:r>
    </w:p>
    <w:p w14:paraId="40CA1EAD" w14:textId="77777777" w:rsidR="009D1B44" w:rsidRPr="00880C74" w:rsidRDefault="009D1B44" w:rsidP="009D1B44">
      <w:pPr>
        <w:pStyle w:val="NormalSS"/>
        <w:numPr>
          <w:ilvl w:val="0"/>
          <w:numId w:val="11"/>
        </w:numPr>
      </w:pPr>
      <w:r>
        <w:rPr>
          <w:szCs w:val="24"/>
        </w:rPr>
        <w:t>D</w:t>
      </w:r>
      <w:r w:rsidRPr="00F46586">
        <w:rPr>
          <w:szCs w:val="24"/>
        </w:rPr>
        <w:t xml:space="preserve">etermine </w:t>
      </w:r>
      <w:r>
        <w:rPr>
          <w:szCs w:val="24"/>
        </w:rPr>
        <w:t>if less resource-intensive modifications of</w:t>
      </w:r>
      <w:r w:rsidRPr="00F46586">
        <w:rPr>
          <w:szCs w:val="24"/>
        </w:rPr>
        <w:t xml:space="preserve"> STEADI effectively prevent falls and fall</w:t>
      </w:r>
      <w:r>
        <w:rPr>
          <w:szCs w:val="24"/>
        </w:rPr>
        <w:t xml:space="preserve">-related </w:t>
      </w:r>
      <w:r w:rsidRPr="00F46586">
        <w:rPr>
          <w:szCs w:val="24"/>
        </w:rPr>
        <w:t>injuries</w:t>
      </w:r>
      <w:r>
        <w:rPr>
          <w:szCs w:val="24"/>
        </w:rPr>
        <w:t xml:space="preserve">. In resource limited settings, it will be useful to know which aspects of STEADI have the highest potential to prevent falls. </w:t>
      </w:r>
    </w:p>
    <w:p w14:paraId="2507B6CE" w14:textId="77777777" w:rsidR="009D1B44" w:rsidRPr="002D20C8" w:rsidRDefault="009D1B44" w:rsidP="009D1B44">
      <w:pPr>
        <w:pStyle w:val="NormalSS"/>
        <w:ind w:firstLine="0"/>
      </w:pPr>
      <w:r w:rsidRPr="00F46586">
        <w:t xml:space="preserve">Authority for CDC’s </w:t>
      </w:r>
      <w:r>
        <w:t>National Center for Injury Prevention and Control (</w:t>
      </w:r>
      <w:r w:rsidRPr="00F46586">
        <w:t>NCIPC</w:t>
      </w:r>
      <w:r>
        <w:t>)</w:t>
      </w:r>
      <w:r w:rsidRPr="00F46586">
        <w:t xml:space="preserve"> to collect these data is granted by Section 301 of the Public Health Service Act (42 U.S.C. 241). This act gives federal health agencies, such as CDC, broad authority to collect data and </w:t>
      </w:r>
      <w:r>
        <w:t>participate in</w:t>
      </w:r>
      <w:r w:rsidRPr="00F46586">
        <w:t xml:space="preserve"> other public health activities, including this type of study (</w:t>
      </w:r>
      <w:r w:rsidRPr="002D20C8">
        <w:rPr>
          <w:b/>
        </w:rPr>
        <w:t>Attachment A</w:t>
      </w:r>
      <w:r w:rsidRPr="00F46586">
        <w:t xml:space="preserve">). </w:t>
      </w:r>
    </w:p>
    <w:p w14:paraId="42BE1AFD" w14:textId="0C0EB9D5" w:rsidR="00240A75" w:rsidRDefault="00C23938" w:rsidP="00633DA0">
      <w:pPr>
        <w:rPr>
          <w:color w:val="000000" w:themeColor="text1"/>
          <w:lang w:val="en"/>
        </w:rPr>
        <w:sectPr w:rsidR="00240A75" w:rsidSect="00180471">
          <w:footerReference w:type="even" r:id="rId11"/>
          <w:footerReference w:type="default" r:id="rId12"/>
          <w:footerReference w:type="first" r:id="rId13"/>
          <w:endnotePr>
            <w:numFmt w:val="decimal"/>
          </w:endnotePr>
          <w:pgSz w:w="12240" w:h="15840"/>
          <w:pgMar w:top="1440" w:right="1800" w:bottom="1260" w:left="1800" w:header="720" w:footer="720" w:gutter="0"/>
          <w:cols w:space="720"/>
          <w:titlePg/>
          <w:docGrid w:linePitch="360"/>
        </w:sectPr>
      </w:pPr>
      <w:r>
        <w:rPr>
          <w:color w:val="000000" w:themeColor="text1"/>
          <w:lang w:val="en"/>
        </w:rPr>
        <w:t xml:space="preserve">  </w:t>
      </w:r>
    </w:p>
    <w:p w14:paraId="18A28043" w14:textId="77777777" w:rsidR="00362AC5" w:rsidRDefault="00362AC5" w:rsidP="00E904F2">
      <w:pPr>
        <w:rPr>
          <w:sz w:val="22"/>
        </w:rPr>
      </w:pPr>
      <w:r>
        <w:rPr>
          <w:sz w:val="22"/>
        </w:rPr>
        <w:t xml:space="preserve">Table </w:t>
      </w:r>
      <w:r w:rsidR="00F70E2E">
        <w:rPr>
          <w:sz w:val="22"/>
        </w:rPr>
        <w:t>A.1.</w:t>
      </w:r>
      <w:r>
        <w:rPr>
          <w:sz w:val="22"/>
        </w:rPr>
        <w:t>1 STEADI Intervention Arms</w:t>
      </w:r>
      <w:r w:rsidR="002046E1">
        <w:rPr>
          <w:sz w:val="22"/>
        </w:rPr>
        <w:t xml:space="preserve">  </w:t>
      </w:r>
    </w:p>
    <w:tbl>
      <w:tblPr>
        <w:tblStyle w:val="TableGrid1"/>
        <w:tblW w:w="12325"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255"/>
        <w:gridCol w:w="3960"/>
        <w:gridCol w:w="1777"/>
        <w:gridCol w:w="1778"/>
        <w:gridCol w:w="1777"/>
        <w:gridCol w:w="1778"/>
      </w:tblGrid>
      <w:tr w:rsidR="00066FC5" w:rsidRPr="006612BF" w14:paraId="7DBDDB57" w14:textId="77777777" w:rsidTr="00800081">
        <w:trPr>
          <w:trHeight w:val="1124"/>
        </w:trPr>
        <w:tc>
          <w:tcPr>
            <w:tcW w:w="1255" w:type="dxa"/>
            <w:shd w:val="clear" w:color="auto" w:fill="323E4F"/>
            <w:vAlign w:val="center"/>
          </w:tcPr>
          <w:p w14:paraId="2D1F3FD7" w14:textId="77777777" w:rsidR="00066FC5" w:rsidRPr="006612BF" w:rsidRDefault="00066FC5" w:rsidP="009E230E">
            <w:pPr>
              <w:spacing w:line="259" w:lineRule="auto"/>
              <w:jc w:val="center"/>
              <w:rPr>
                <w:rFonts w:ascii="Calibri" w:eastAsia="Calibri" w:hAnsi="Calibri"/>
                <w:b/>
                <w:sz w:val="20"/>
                <w:szCs w:val="20"/>
                <w:lang w:eastAsia="en-US"/>
              </w:rPr>
            </w:pPr>
            <w:r w:rsidRPr="006612BF">
              <w:rPr>
                <w:rFonts w:ascii="Calibri" w:eastAsia="Calibri" w:hAnsi="Calibri"/>
                <w:b/>
                <w:sz w:val="20"/>
                <w:szCs w:val="20"/>
                <w:lang w:eastAsia="en-US"/>
              </w:rPr>
              <w:t>STEADI Component</w:t>
            </w:r>
          </w:p>
        </w:tc>
        <w:tc>
          <w:tcPr>
            <w:tcW w:w="3960" w:type="dxa"/>
            <w:shd w:val="clear" w:color="auto" w:fill="323E4F"/>
            <w:vAlign w:val="center"/>
          </w:tcPr>
          <w:p w14:paraId="22E0E91C" w14:textId="77777777" w:rsidR="00066FC5" w:rsidRPr="006612BF" w:rsidRDefault="00066FC5" w:rsidP="009E230E">
            <w:pPr>
              <w:spacing w:line="259" w:lineRule="auto"/>
              <w:jc w:val="center"/>
              <w:rPr>
                <w:rFonts w:ascii="Calibri" w:eastAsia="Calibri" w:hAnsi="Calibri"/>
                <w:b/>
                <w:sz w:val="20"/>
                <w:szCs w:val="20"/>
                <w:lang w:eastAsia="en-US"/>
              </w:rPr>
            </w:pPr>
            <w:r w:rsidRPr="006612BF">
              <w:rPr>
                <w:rFonts w:ascii="Calibri" w:eastAsia="Calibri" w:hAnsi="Calibri"/>
                <w:b/>
                <w:sz w:val="20"/>
                <w:szCs w:val="20"/>
                <w:lang w:eastAsia="en-US"/>
              </w:rPr>
              <w:t>Setting and Staff Roles</w:t>
            </w:r>
          </w:p>
        </w:tc>
        <w:tc>
          <w:tcPr>
            <w:tcW w:w="1777" w:type="dxa"/>
            <w:shd w:val="clear" w:color="auto" w:fill="323E4F"/>
          </w:tcPr>
          <w:p w14:paraId="295B8E05" w14:textId="77777777" w:rsidR="00066FC5" w:rsidRPr="006612BF" w:rsidRDefault="00066FC5" w:rsidP="00F33316">
            <w:pPr>
              <w:spacing w:line="259" w:lineRule="auto"/>
              <w:jc w:val="center"/>
              <w:rPr>
                <w:rFonts w:ascii="Calibri" w:eastAsia="Calibri" w:hAnsi="Calibri"/>
                <w:b/>
                <w:sz w:val="20"/>
                <w:szCs w:val="20"/>
                <w:lang w:eastAsia="en-US"/>
              </w:rPr>
            </w:pPr>
            <w:r w:rsidRPr="006612BF">
              <w:rPr>
                <w:rFonts w:ascii="Calibri" w:eastAsia="Calibri" w:hAnsi="Calibri"/>
                <w:b/>
                <w:sz w:val="20"/>
                <w:szCs w:val="20"/>
                <w:lang w:eastAsia="en-US"/>
              </w:rPr>
              <w:t xml:space="preserve">STEADI A: </w:t>
            </w:r>
            <w:r>
              <w:rPr>
                <w:rFonts w:ascii="Calibri" w:eastAsia="Calibri" w:hAnsi="Calibri"/>
                <w:b/>
                <w:sz w:val="20"/>
                <w:szCs w:val="20"/>
                <w:lang w:eastAsia="en-US"/>
              </w:rPr>
              <w:t>Comprehensive</w:t>
            </w:r>
            <w:r w:rsidRPr="006612BF">
              <w:rPr>
                <w:rFonts w:ascii="Calibri" w:eastAsia="Calibri" w:hAnsi="Calibri"/>
                <w:b/>
                <w:sz w:val="20"/>
                <w:szCs w:val="20"/>
                <w:lang w:eastAsia="en-US"/>
              </w:rPr>
              <w:t xml:space="preserve"> Intervention</w:t>
            </w:r>
          </w:p>
        </w:tc>
        <w:tc>
          <w:tcPr>
            <w:tcW w:w="1778" w:type="dxa"/>
            <w:shd w:val="clear" w:color="auto" w:fill="323E4F"/>
          </w:tcPr>
          <w:p w14:paraId="38642E28" w14:textId="77777777" w:rsidR="00066FC5" w:rsidRPr="006612BF" w:rsidRDefault="00066FC5" w:rsidP="009E230E">
            <w:pPr>
              <w:spacing w:line="259" w:lineRule="auto"/>
              <w:jc w:val="center"/>
              <w:rPr>
                <w:rFonts w:ascii="Calibri" w:eastAsia="Calibri" w:hAnsi="Calibri"/>
                <w:b/>
                <w:sz w:val="20"/>
                <w:szCs w:val="20"/>
                <w:lang w:eastAsia="en-US"/>
              </w:rPr>
            </w:pPr>
            <w:r w:rsidRPr="006612BF">
              <w:rPr>
                <w:rFonts w:ascii="Calibri" w:eastAsia="Calibri" w:hAnsi="Calibri"/>
                <w:b/>
                <w:sz w:val="20"/>
                <w:szCs w:val="20"/>
                <w:lang w:eastAsia="en-US"/>
              </w:rPr>
              <w:t>STEADI B: Physical Therapy</w:t>
            </w:r>
          </w:p>
        </w:tc>
        <w:tc>
          <w:tcPr>
            <w:tcW w:w="1777" w:type="dxa"/>
            <w:shd w:val="clear" w:color="auto" w:fill="323E4F"/>
          </w:tcPr>
          <w:p w14:paraId="764B9449" w14:textId="77777777" w:rsidR="00066FC5" w:rsidRPr="006612BF" w:rsidRDefault="00066FC5" w:rsidP="009E230E">
            <w:pPr>
              <w:spacing w:line="259" w:lineRule="auto"/>
              <w:jc w:val="center"/>
              <w:rPr>
                <w:rFonts w:ascii="Calibri" w:eastAsia="Calibri" w:hAnsi="Calibri"/>
                <w:b/>
                <w:sz w:val="20"/>
                <w:szCs w:val="20"/>
                <w:lang w:eastAsia="en-US"/>
              </w:rPr>
            </w:pPr>
            <w:r w:rsidRPr="006612BF">
              <w:rPr>
                <w:rFonts w:ascii="Calibri" w:eastAsia="Calibri" w:hAnsi="Calibri"/>
                <w:b/>
                <w:sz w:val="20"/>
                <w:szCs w:val="20"/>
                <w:lang w:eastAsia="en-US"/>
              </w:rPr>
              <w:t>STEADI C:</w:t>
            </w:r>
          </w:p>
          <w:p w14:paraId="4C84B9F7" w14:textId="77777777" w:rsidR="00066FC5" w:rsidRPr="006612BF" w:rsidRDefault="00066FC5" w:rsidP="009E230E">
            <w:pPr>
              <w:spacing w:line="259" w:lineRule="auto"/>
              <w:jc w:val="center"/>
              <w:rPr>
                <w:rFonts w:ascii="Calibri" w:eastAsia="Calibri" w:hAnsi="Calibri"/>
                <w:b/>
                <w:sz w:val="20"/>
                <w:szCs w:val="20"/>
                <w:lang w:eastAsia="en-US"/>
              </w:rPr>
            </w:pPr>
            <w:r w:rsidRPr="006612BF">
              <w:rPr>
                <w:rFonts w:ascii="Calibri" w:eastAsia="Calibri" w:hAnsi="Calibri"/>
                <w:b/>
                <w:sz w:val="20"/>
                <w:szCs w:val="20"/>
                <w:lang w:eastAsia="en-US"/>
              </w:rPr>
              <w:t>Medication Management</w:t>
            </w:r>
          </w:p>
        </w:tc>
        <w:tc>
          <w:tcPr>
            <w:tcW w:w="1778" w:type="dxa"/>
            <w:shd w:val="clear" w:color="auto" w:fill="323E4F"/>
          </w:tcPr>
          <w:p w14:paraId="1ADF25E7" w14:textId="5C5BA366" w:rsidR="00066FC5" w:rsidRPr="006612BF" w:rsidRDefault="00066FC5" w:rsidP="00D57712">
            <w:pPr>
              <w:spacing w:line="259" w:lineRule="auto"/>
              <w:jc w:val="center"/>
              <w:rPr>
                <w:rFonts w:ascii="Calibri" w:eastAsia="Calibri" w:hAnsi="Calibri"/>
                <w:b/>
                <w:sz w:val="20"/>
                <w:szCs w:val="20"/>
              </w:rPr>
            </w:pPr>
            <w:r>
              <w:rPr>
                <w:rFonts w:ascii="Calibri" w:eastAsia="Calibri" w:hAnsi="Calibri"/>
                <w:b/>
                <w:sz w:val="20"/>
                <w:szCs w:val="20"/>
              </w:rPr>
              <w:t>Control Group</w:t>
            </w:r>
          </w:p>
        </w:tc>
      </w:tr>
      <w:tr w:rsidR="00066FC5" w:rsidRPr="006612BF" w14:paraId="62D62BAE" w14:textId="77777777" w:rsidTr="00800081">
        <w:trPr>
          <w:trHeight w:val="170"/>
        </w:trPr>
        <w:tc>
          <w:tcPr>
            <w:tcW w:w="1255" w:type="dxa"/>
            <w:shd w:val="clear" w:color="auto" w:fill="D0CECE"/>
            <w:vAlign w:val="center"/>
          </w:tcPr>
          <w:p w14:paraId="7794A34B" w14:textId="77777777" w:rsidR="00066FC5" w:rsidRPr="006612BF" w:rsidRDefault="00066FC5" w:rsidP="009E230E">
            <w:pPr>
              <w:spacing w:line="259" w:lineRule="auto"/>
              <w:jc w:val="center"/>
              <w:rPr>
                <w:rFonts w:ascii="Calibri" w:eastAsia="Calibri" w:hAnsi="Calibri"/>
                <w:b/>
                <w:sz w:val="20"/>
                <w:szCs w:val="20"/>
                <w:lang w:eastAsia="en-US"/>
              </w:rPr>
            </w:pPr>
            <w:r w:rsidRPr="006612BF">
              <w:rPr>
                <w:rFonts w:ascii="Calibri" w:eastAsia="Calibri" w:hAnsi="Calibri"/>
                <w:b/>
                <w:sz w:val="20"/>
                <w:szCs w:val="20"/>
                <w:lang w:eastAsia="en-US"/>
              </w:rPr>
              <w:t>Screening</w:t>
            </w:r>
          </w:p>
        </w:tc>
        <w:tc>
          <w:tcPr>
            <w:tcW w:w="3960" w:type="dxa"/>
            <w:shd w:val="clear" w:color="auto" w:fill="D0CECE"/>
            <w:vAlign w:val="center"/>
          </w:tcPr>
          <w:p w14:paraId="1C497CD8" w14:textId="77777777" w:rsidR="00066FC5" w:rsidRPr="006612BF" w:rsidRDefault="00066FC5" w:rsidP="009E230E">
            <w:pPr>
              <w:spacing w:line="259" w:lineRule="auto"/>
              <w:jc w:val="center"/>
              <w:rPr>
                <w:rFonts w:ascii="Calibri" w:eastAsia="Calibri" w:hAnsi="Calibri"/>
                <w:b/>
                <w:i/>
                <w:sz w:val="20"/>
                <w:szCs w:val="20"/>
                <w:lang w:eastAsia="en-US"/>
              </w:rPr>
            </w:pPr>
            <w:r>
              <w:rPr>
                <w:rFonts w:ascii="Calibri" w:eastAsia="Calibri" w:hAnsi="Calibri"/>
                <w:b/>
                <w:i/>
                <w:sz w:val="20"/>
                <w:szCs w:val="20"/>
                <w:lang w:eastAsia="en-US"/>
              </w:rPr>
              <w:t>Eligibility</w:t>
            </w:r>
            <w:r w:rsidRPr="006612BF">
              <w:rPr>
                <w:rFonts w:ascii="Calibri" w:eastAsia="Calibri" w:hAnsi="Calibri"/>
                <w:b/>
                <w:i/>
                <w:sz w:val="20"/>
                <w:szCs w:val="20"/>
                <w:lang w:eastAsia="en-US"/>
              </w:rPr>
              <w:t xml:space="preserve"> </w:t>
            </w:r>
            <w:r>
              <w:rPr>
                <w:rFonts w:ascii="Calibri" w:eastAsia="Calibri" w:hAnsi="Calibri"/>
                <w:b/>
                <w:i/>
                <w:sz w:val="20"/>
                <w:szCs w:val="20"/>
                <w:lang w:eastAsia="en-US"/>
              </w:rPr>
              <w:t>and Risk Screening</w:t>
            </w:r>
          </w:p>
          <w:p w14:paraId="4A47230A" w14:textId="782D2042" w:rsidR="00066FC5" w:rsidRPr="006612BF" w:rsidRDefault="00066FC5" w:rsidP="00EE4DB8">
            <w:pPr>
              <w:spacing w:line="259" w:lineRule="auto"/>
              <w:jc w:val="center"/>
              <w:rPr>
                <w:rFonts w:ascii="Calibri" w:eastAsia="Calibri" w:hAnsi="Calibri"/>
                <w:sz w:val="20"/>
                <w:szCs w:val="20"/>
                <w:lang w:eastAsia="en-US"/>
              </w:rPr>
            </w:pPr>
            <w:r>
              <w:rPr>
                <w:rFonts w:ascii="Calibri" w:eastAsia="Calibri" w:hAnsi="Calibri"/>
                <w:sz w:val="20"/>
                <w:szCs w:val="20"/>
                <w:lang w:eastAsia="en-US"/>
              </w:rPr>
              <w:t>Research assistant</w:t>
            </w:r>
            <w:r w:rsidRPr="006612BF">
              <w:rPr>
                <w:rFonts w:ascii="Calibri" w:eastAsia="Calibri" w:hAnsi="Calibri"/>
                <w:sz w:val="20"/>
                <w:szCs w:val="20"/>
                <w:lang w:eastAsia="en-US"/>
              </w:rPr>
              <w:t xml:space="preserve"> </w:t>
            </w:r>
            <w:r>
              <w:rPr>
                <w:rFonts w:ascii="Calibri" w:eastAsia="Calibri" w:hAnsi="Calibri"/>
                <w:sz w:val="20"/>
                <w:szCs w:val="20"/>
                <w:lang w:eastAsia="en-US"/>
              </w:rPr>
              <w:t>checks for eligibility, distributes and assists with Stay Independent</w:t>
            </w:r>
            <w:r w:rsidR="00A61622">
              <w:rPr>
                <w:rFonts w:ascii="Calibri" w:eastAsia="Calibri" w:hAnsi="Calibri"/>
                <w:sz w:val="20"/>
                <w:szCs w:val="20"/>
                <w:lang w:eastAsia="en-US"/>
              </w:rPr>
              <w:t xml:space="preserve"> Fall Risk</w:t>
            </w:r>
            <w:r>
              <w:rPr>
                <w:rFonts w:ascii="Calibri" w:eastAsia="Calibri" w:hAnsi="Calibri"/>
                <w:sz w:val="20"/>
                <w:szCs w:val="20"/>
                <w:lang w:eastAsia="en-US"/>
              </w:rPr>
              <w:t xml:space="preserve"> </w:t>
            </w:r>
            <w:r w:rsidRPr="006612BF">
              <w:rPr>
                <w:rFonts w:ascii="Calibri" w:eastAsia="Calibri" w:hAnsi="Calibri"/>
                <w:sz w:val="20"/>
                <w:szCs w:val="20"/>
                <w:lang w:eastAsia="en-US"/>
              </w:rPr>
              <w:t>screener in the clinic waiting room</w:t>
            </w:r>
            <w:r>
              <w:rPr>
                <w:rFonts w:ascii="Calibri" w:eastAsia="Calibri" w:hAnsi="Calibri"/>
                <w:sz w:val="20"/>
                <w:szCs w:val="20"/>
                <w:lang w:eastAsia="en-US"/>
              </w:rPr>
              <w:t xml:space="preserve">, and calculates the risk score.  If patient is high-risk then research assistant obtains consent from the patient for study participation.  Patient is assigned to either one of three arms based on clinic and week of visit or to </w:t>
            </w:r>
            <w:r w:rsidR="00EE4DB8">
              <w:rPr>
                <w:rFonts w:ascii="Calibri" w:eastAsia="Calibri" w:hAnsi="Calibri"/>
                <w:sz w:val="20"/>
                <w:szCs w:val="20"/>
                <w:lang w:eastAsia="en-US"/>
              </w:rPr>
              <w:t>the control group</w:t>
            </w:r>
          </w:p>
        </w:tc>
        <w:tc>
          <w:tcPr>
            <w:tcW w:w="1777" w:type="dxa"/>
            <w:shd w:val="clear" w:color="auto" w:fill="BDD6EE" w:themeFill="accent1" w:themeFillTint="66"/>
            <w:vAlign w:val="center"/>
          </w:tcPr>
          <w:p w14:paraId="261815CB" w14:textId="77777777" w:rsidR="00066FC5" w:rsidRPr="006612BF" w:rsidRDefault="00066FC5" w:rsidP="009E230E">
            <w:pPr>
              <w:jc w:val="center"/>
              <w:rPr>
                <w:rFonts w:ascii="Calibri" w:eastAsia="Calibri" w:hAnsi="Calibri"/>
                <w:sz w:val="28"/>
                <w:szCs w:val="20"/>
              </w:rPr>
            </w:pPr>
            <w:r w:rsidRPr="006612BF">
              <w:rPr>
                <w:rFonts w:ascii="Calibri" w:eastAsia="Calibri" w:hAnsi="Calibri"/>
                <w:sz w:val="28"/>
                <w:szCs w:val="20"/>
                <w:lang w:eastAsia="en-US"/>
              </w:rPr>
              <w:t>X</w:t>
            </w:r>
          </w:p>
        </w:tc>
        <w:tc>
          <w:tcPr>
            <w:tcW w:w="1778" w:type="dxa"/>
            <w:shd w:val="clear" w:color="auto" w:fill="BDD6EE" w:themeFill="accent1" w:themeFillTint="66"/>
            <w:vAlign w:val="center"/>
          </w:tcPr>
          <w:p w14:paraId="0508DA73" w14:textId="77777777" w:rsidR="00066FC5" w:rsidRPr="006612BF" w:rsidRDefault="00066FC5" w:rsidP="009E230E">
            <w:pPr>
              <w:jc w:val="center"/>
              <w:rPr>
                <w:rFonts w:ascii="Calibri" w:eastAsia="Calibri" w:hAnsi="Calibri"/>
                <w:sz w:val="28"/>
                <w:szCs w:val="20"/>
              </w:rPr>
            </w:pPr>
            <w:r w:rsidRPr="006612BF">
              <w:rPr>
                <w:rFonts w:ascii="Calibri" w:eastAsia="Calibri" w:hAnsi="Calibri"/>
                <w:sz w:val="28"/>
                <w:szCs w:val="20"/>
                <w:lang w:eastAsia="en-US"/>
              </w:rPr>
              <w:t>X</w:t>
            </w:r>
          </w:p>
        </w:tc>
        <w:tc>
          <w:tcPr>
            <w:tcW w:w="1777" w:type="dxa"/>
            <w:shd w:val="clear" w:color="auto" w:fill="BDD6EE" w:themeFill="accent1" w:themeFillTint="66"/>
            <w:vAlign w:val="center"/>
          </w:tcPr>
          <w:p w14:paraId="3FB12F1D" w14:textId="77777777" w:rsidR="00066FC5" w:rsidRPr="006612BF" w:rsidRDefault="00066FC5" w:rsidP="009E230E">
            <w:pPr>
              <w:spacing w:line="259" w:lineRule="auto"/>
              <w:jc w:val="center"/>
              <w:rPr>
                <w:rFonts w:ascii="Calibri" w:eastAsia="Calibri" w:hAnsi="Calibri"/>
                <w:sz w:val="28"/>
                <w:szCs w:val="20"/>
                <w:lang w:eastAsia="en-US"/>
              </w:rPr>
            </w:pPr>
            <w:r w:rsidRPr="006612BF">
              <w:rPr>
                <w:rFonts w:ascii="Calibri" w:eastAsia="Calibri" w:hAnsi="Calibri"/>
                <w:sz w:val="28"/>
                <w:szCs w:val="20"/>
                <w:lang w:eastAsia="en-US"/>
              </w:rPr>
              <w:t>X</w:t>
            </w:r>
          </w:p>
        </w:tc>
        <w:tc>
          <w:tcPr>
            <w:tcW w:w="1778" w:type="dxa"/>
            <w:shd w:val="clear" w:color="auto" w:fill="BDD6EE" w:themeFill="accent1" w:themeFillTint="66"/>
            <w:vAlign w:val="center"/>
          </w:tcPr>
          <w:p w14:paraId="0B69545D" w14:textId="77777777" w:rsidR="00066FC5" w:rsidRPr="006612BF" w:rsidRDefault="00066FC5" w:rsidP="00066FC5">
            <w:pPr>
              <w:spacing w:line="259" w:lineRule="auto"/>
              <w:jc w:val="center"/>
              <w:rPr>
                <w:rFonts w:ascii="Calibri" w:eastAsia="Calibri" w:hAnsi="Calibri"/>
                <w:sz w:val="28"/>
                <w:szCs w:val="20"/>
              </w:rPr>
            </w:pPr>
            <w:r w:rsidRPr="006612BF">
              <w:rPr>
                <w:rFonts w:ascii="Calibri" w:eastAsia="Calibri" w:hAnsi="Calibri"/>
                <w:sz w:val="28"/>
                <w:szCs w:val="20"/>
                <w:lang w:eastAsia="en-US"/>
              </w:rPr>
              <w:t>X</w:t>
            </w:r>
          </w:p>
        </w:tc>
      </w:tr>
      <w:tr w:rsidR="00066FC5" w:rsidRPr="006612BF" w14:paraId="288DF3B6" w14:textId="77777777" w:rsidTr="00800081">
        <w:trPr>
          <w:trHeight w:val="70"/>
        </w:trPr>
        <w:tc>
          <w:tcPr>
            <w:tcW w:w="1255" w:type="dxa"/>
            <w:vMerge w:val="restart"/>
            <w:shd w:val="clear" w:color="auto" w:fill="D0CECE"/>
            <w:vAlign w:val="center"/>
          </w:tcPr>
          <w:p w14:paraId="4D569F62" w14:textId="77777777" w:rsidR="00066FC5" w:rsidRPr="006612BF" w:rsidRDefault="00800081" w:rsidP="009E230E">
            <w:pPr>
              <w:spacing w:line="259" w:lineRule="auto"/>
              <w:jc w:val="center"/>
              <w:rPr>
                <w:rFonts w:ascii="Calibri" w:eastAsia="Calibri" w:hAnsi="Calibri"/>
                <w:b/>
                <w:sz w:val="20"/>
                <w:szCs w:val="20"/>
                <w:lang w:eastAsia="en-US"/>
              </w:rPr>
            </w:pPr>
            <w:r>
              <w:rPr>
                <w:rFonts w:ascii="Calibri" w:eastAsia="Calibri" w:hAnsi="Calibri"/>
                <w:b/>
                <w:sz w:val="20"/>
                <w:szCs w:val="20"/>
                <w:lang w:eastAsia="en-US"/>
              </w:rPr>
              <w:t>A</w:t>
            </w:r>
            <w:r w:rsidR="00066FC5" w:rsidRPr="006612BF">
              <w:rPr>
                <w:rFonts w:ascii="Calibri" w:eastAsia="Calibri" w:hAnsi="Calibri"/>
                <w:b/>
                <w:sz w:val="20"/>
                <w:szCs w:val="20"/>
                <w:lang w:eastAsia="en-US"/>
              </w:rPr>
              <w:t>ssessment</w:t>
            </w:r>
          </w:p>
        </w:tc>
        <w:tc>
          <w:tcPr>
            <w:tcW w:w="3960" w:type="dxa"/>
            <w:shd w:val="clear" w:color="auto" w:fill="D0CECE"/>
            <w:vAlign w:val="center"/>
          </w:tcPr>
          <w:p w14:paraId="0F2D3F08" w14:textId="77777777" w:rsidR="00066FC5" w:rsidRPr="006612BF" w:rsidRDefault="00066FC5" w:rsidP="009E230E">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Gait &amp; Balance Test</w:t>
            </w:r>
          </w:p>
          <w:p w14:paraId="55D7D3DF" w14:textId="679CC327" w:rsidR="00066FC5" w:rsidRPr="006612BF" w:rsidRDefault="00066FC5" w:rsidP="00F917BD">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The research nurse perform</w:t>
            </w:r>
            <w:r>
              <w:rPr>
                <w:rFonts w:ascii="Calibri" w:eastAsia="Calibri" w:hAnsi="Calibri"/>
                <w:sz w:val="20"/>
                <w:szCs w:val="20"/>
                <w:lang w:eastAsia="en-US"/>
              </w:rPr>
              <w:t>s</w:t>
            </w:r>
            <w:r w:rsidRPr="006612BF">
              <w:rPr>
                <w:rFonts w:ascii="Calibri" w:eastAsia="Calibri" w:hAnsi="Calibri"/>
                <w:sz w:val="20"/>
                <w:szCs w:val="20"/>
                <w:lang w:eastAsia="en-US"/>
              </w:rPr>
              <w:t xml:space="preserve"> the Timed Up and Go (TUG)</w:t>
            </w:r>
            <w:r w:rsidR="00F917BD">
              <w:rPr>
                <w:rFonts w:ascii="Calibri" w:eastAsia="Calibri" w:hAnsi="Calibri"/>
                <w:sz w:val="20"/>
                <w:szCs w:val="20"/>
                <w:lang w:eastAsia="en-US"/>
              </w:rPr>
              <w:t>, 30 second chair test, and four stage balance test</w:t>
            </w:r>
            <w:r w:rsidRPr="006612BF">
              <w:rPr>
                <w:rFonts w:ascii="Calibri" w:eastAsia="Calibri" w:hAnsi="Calibri"/>
                <w:sz w:val="20"/>
                <w:szCs w:val="20"/>
                <w:lang w:eastAsia="en-US"/>
              </w:rPr>
              <w:t xml:space="preserve"> in a </w:t>
            </w:r>
            <w:r>
              <w:rPr>
                <w:rFonts w:ascii="Calibri" w:eastAsia="Calibri" w:hAnsi="Calibri"/>
                <w:sz w:val="20"/>
                <w:szCs w:val="20"/>
                <w:lang w:eastAsia="en-US"/>
              </w:rPr>
              <w:t>STEADI dedicated exam room.  Records results in EHR.</w:t>
            </w:r>
          </w:p>
        </w:tc>
        <w:tc>
          <w:tcPr>
            <w:tcW w:w="1777" w:type="dxa"/>
            <w:shd w:val="clear" w:color="auto" w:fill="BDD6EE" w:themeFill="accent1" w:themeFillTint="66"/>
            <w:vAlign w:val="center"/>
          </w:tcPr>
          <w:p w14:paraId="53E7F42B" w14:textId="77777777" w:rsidR="00066FC5" w:rsidRPr="006612BF" w:rsidRDefault="00066FC5" w:rsidP="009E230E">
            <w:pPr>
              <w:jc w:val="center"/>
              <w:rPr>
                <w:rFonts w:ascii="Calibri" w:eastAsia="Calibri" w:hAnsi="Calibri"/>
                <w:sz w:val="20"/>
                <w:szCs w:val="20"/>
              </w:rPr>
            </w:pPr>
            <w:r w:rsidRPr="006612BF">
              <w:rPr>
                <w:rFonts w:ascii="Calibri" w:eastAsia="Calibri" w:hAnsi="Calibri"/>
                <w:sz w:val="28"/>
                <w:szCs w:val="20"/>
                <w:lang w:eastAsia="en-US"/>
              </w:rPr>
              <w:t>X</w:t>
            </w:r>
          </w:p>
        </w:tc>
        <w:tc>
          <w:tcPr>
            <w:tcW w:w="1778" w:type="dxa"/>
            <w:shd w:val="clear" w:color="auto" w:fill="BDD6EE" w:themeFill="accent1" w:themeFillTint="66"/>
            <w:vAlign w:val="center"/>
          </w:tcPr>
          <w:p w14:paraId="048EED84"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7" w:type="dxa"/>
            <w:shd w:val="clear" w:color="auto" w:fill="FFFFFF"/>
            <w:vAlign w:val="center"/>
          </w:tcPr>
          <w:p w14:paraId="7A3A96E6"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SoC</w:t>
            </w:r>
          </w:p>
        </w:tc>
        <w:tc>
          <w:tcPr>
            <w:tcW w:w="1778" w:type="dxa"/>
            <w:shd w:val="clear" w:color="auto" w:fill="FFFFFF"/>
            <w:vAlign w:val="center"/>
          </w:tcPr>
          <w:p w14:paraId="34BBED5E" w14:textId="77777777" w:rsidR="00066FC5" w:rsidRPr="006612BF" w:rsidRDefault="00066FC5" w:rsidP="00066FC5">
            <w:pPr>
              <w:spacing w:line="259" w:lineRule="auto"/>
              <w:jc w:val="center"/>
              <w:rPr>
                <w:rFonts w:ascii="Calibri" w:eastAsia="Calibri" w:hAnsi="Calibri"/>
                <w:sz w:val="20"/>
                <w:szCs w:val="20"/>
              </w:rPr>
            </w:pPr>
            <w:r w:rsidRPr="006612BF">
              <w:rPr>
                <w:rFonts w:ascii="Calibri" w:eastAsia="Calibri" w:hAnsi="Calibri"/>
                <w:sz w:val="20"/>
                <w:szCs w:val="20"/>
                <w:lang w:eastAsia="en-US"/>
              </w:rPr>
              <w:t>SoC</w:t>
            </w:r>
          </w:p>
        </w:tc>
      </w:tr>
      <w:tr w:rsidR="00066FC5" w:rsidRPr="006612BF" w14:paraId="02D9F4F5" w14:textId="77777777" w:rsidTr="00350066">
        <w:trPr>
          <w:trHeight w:val="935"/>
        </w:trPr>
        <w:tc>
          <w:tcPr>
            <w:tcW w:w="1255" w:type="dxa"/>
            <w:vMerge/>
            <w:shd w:val="clear" w:color="auto" w:fill="D0CECE"/>
          </w:tcPr>
          <w:p w14:paraId="68CB484F" w14:textId="77777777" w:rsidR="00066FC5" w:rsidRPr="006612BF" w:rsidRDefault="00066FC5" w:rsidP="009E230E">
            <w:pPr>
              <w:spacing w:line="259" w:lineRule="auto"/>
              <w:rPr>
                <w:rFonts w:ascii="Calibri" w:eastAsia="Calibri" w:hAnsi="Calibri"/>
                <w:b/>
                <w:sz w:val="20"/>
                <w:szCs w:val="20"/>
                <w:lang w:eastAsia="en-US"/>
              </w:rPr>
            </w:pPr>
          </w:p>
        </w:tc>
        <w:tc>
          <w:tcPr>
            <w:tcW w:w="3960" w:type="dxa"/>
            <w:shd w:val="clear" w:color="auto" w:fill="D0CECE"/>
            <w:vAlign w:val="center"/>
          </w:tcPr>
          <w:p w14:paraId="59A1EB92" w14:textId="77777777" w:rsidR="00066FC5" w:rsidRPr="006612BF" w:rsidRDefault="00066FC5" w:rsidP="009E230E">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Postural Hypotension</w:t>
            </w:r>
          </w:p>
          <w:p w14:paraId="33D716F5"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The research nurse</w:t>
            </w:r>
            <w:r>
              <w:rPr>
                <w:rFonts w:ascii="Calibri" w:eastAsia="Calibri" w:hAnsi="Calibri"/>
                <w:sz w:val="20"/>
                <w:szCs w:val="20"/>
                <w:lang w:eastAsia="en-US"/>
              </w:rPr>
              <w:t xml:space="preserve"> </w:t>
            </w:r>
            <w:r w:rsidRPr="006612BF">
              <w:rPr>
                <w:rFonts w:ascii="Calibri" w:eastAsia="Calibri" w:hAnsi="Calibri"/>
                <w:sz w:val="20"/>
                <w:szCs w:val="20"/>
                <w:lang w:eastAsia="en-US"/>
              </w:rPr>
              <w:t>assess</w:t>
            </w:r>
            <w:r>
              <w:rPr>
                <w:rFonts w:ascii="Calibri" w:eastAsia="Calibri" w:hAnsi="Calibri"/>
                <w:sz w:val="20"/>
                <w:szCs w:val="20"/>
                <w:lang w:eastAsia="en-US"/>
              </w:rPr>
              <w:t>es</w:t>
            </w:r>
            <w:r w:rsidRPr="006612BF">
              <w:rPr>
                <w:rFonts w:ascii="Calibri" w:eastAsia="Calibri" w:hAnsi="Calibri"/>
                <w:sz w:val="20"/>
                <w:szCs w:val="20"/>
                <w:lang w:eastAsia="en-US"/>
              </w:rPr>
              <w:t xml:space="preserve"> the patient’s orthostatic blood pressure in the exam room.</w:t>
            </w:r>
            <w:r>
              <w:rPr>
                <w:rFonts w:ascii="Calibri" w:eastAsia="Calibri" w:hAnsi="Calibri"/>
                <w:sz w:val="20"/>
                <w:szCs w:val="20"/>
                <w:lang w:eastAsia="en-US"/>
              </w:rPr>
              <w:t xml:space="preserve">  Records results in EHR.  Pends recommendations for review if needed in EHR record.</w:t>
            </w:r>
          </w:p>
        </w:tc>
        <w:tc>
          <w:tcPr>
            <w:tcW w:w="1777" w:type="dxa"/>
            <w:shd w:val="clear" w:color="auto" w:fill="BDD6EE" w:themeFill="accent1" w:themeFillTint="66"/>
            <w:vAlign w:val="center"/>
          </w:tcPr>
          <w:p w14:paraId="5D988374"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FFFFFF"/>
            <w:vAlign w:val="center"/>
          </w:tcPr>
          <w:p w14:paraId="3EF7D9CC"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SoC</w:t>
            </w:r>
          </w:p>
        </w:tc>
        <w:tc>
          <w:tcPr>
            <w:tcW w:w="1777" w:type="dxa"/>
            <w:shd w:val="clear" w:color="auto" w:fill="auto"/>
            <w:vAlign w:val="center"/>
          </w:tcPr>
          <w:p w14:paraId="456B4D16" w14:textId="6FF7EDF4" w:rsidR="00066FC5" w:rsidRPr="00350066" w:rsidRDefault="00350066" w:rsidP="009E230E">
            <w:pPr>
              <w:spacing w:line="259" w:lineRule="auto"/>
              <w:jc w:val="center"/>
              <w:rPr>
                <w:rFonts w:asciiTheme="minorHAnsi" w:eastAsia="Calibri" w:hAnsiTheme="minorHAnsi" w:cstheme="minorHAnsi"/>
                <w:sz w:val="20"/>
                <w:szCs w:val="20"/>
                <w:lang w:eastAsia="en-US"/>
              </w:rPr>
            </w:pPr>
            <w:r w:rsidRPr="00350066">
              <w:rPr>
                <w:rFonts w:asciiTheme="minorHAnsi" w:eastAsia="Calibri" w:hAnsiTheme="minorHAnsi" w:cstheme="minorHAnsi"/>
                <w:sz w:val="20"/>
                <w:szCs w:val="20"/>
                <w:lang w:eastAsia="en-US"/>
              </w:rPr>
              <w:t>SoC</w:t>
            </w:r>
          </w:p>
        </w:tc>
        <w:tc>
          <w:tcPr>
            <w:tcW w:w="1778" w:type="dxa"/>
            <w:shd w:val="clear" w:color="auto" w:fill="auto"/>
            <w:vAlign w:val="center"/>
          </w:tcPr>
          <w:p w14:paraId="40792700" w14:textId="77777777" w:rsidR="00066FC5" w:rsidRPr="006612BF" w:rsidRDefault="00066FC5" w:rsidP="00066FC5">
            <w:pPr>
              <w:spacing w:line="259" w:lineRule="auto"/>
              <w:jc w:val="center"/>
              <w:rPr>
                <w:rFonts w:ascii="Calibri" w:eastAsia="Calibri" w:hAnsi="Calibri"/>
                <w:sz w:val="28"/>
                <w:szCs w:val="20"/>
              </w:rPr>
            </w:pPr>
            <w:r w:rsidRPr="006612BF">
              <w:rPr>
                <w:rFonts w:ascii="Calibri" w:eastAsia="Calibri" w:hAnsi="Calibri"/>
                <w:sz w:val="20"/>
                <w:szCs w:val="20"/>
                <w:lang w:eastAsia="en-US"/>
              </w:rPr>
              <w:t>SoC</w:t>
            </w:r>
          </w:p>
        </w:tc>
      </w:tr>
      <w:tr w:rsidR="00066FC5" w:rsidRPr="006612BF" w14:paraId="0AB026DB" w14:textId="77777777" w:rsidTr="00691197">
        <w:trPr>
          <w:trHeight w:val="350"/>
        </w:trPr>
        <w:tc>
          <w:tcPr>
            <w:tcW w:w="1255" w:type="dxa"/>
            <w:vMerge/>
            <w:shd w:val="clear" w:color="auto" w:fill="D0CECE"/>
          </w:tcPr>
          <w:p w14:paraId="7E971931" w14:textId="77777777" w:rsidR="00066FC5" w:rsidRPr="006612BF" w:rsidRDefault="00066FC5" w:rsidP="00066FC5">
            <w:pPr>
              <w:spacing w:line="259" w:lineRule="auto"/>
              <w:rPr>
                <w:rFonts w:ascii="Calibri" w:eastAsia="Calibri" w:hAnsi="Calibri"/>
                <w:b/>
                <w:sz w:val="20"/>
                <w:szCs w:val="20"/>
                <w:lang w:eastAsia="en-US"/>
              </w:rPr>
            </w:pPr>
          </w:p>
        </w:tc>
        <w:tc>
          <w:tcPr>
            <w:tcW w:w="3960" w:type="dxa"/>
            <w:shd w:val="clear" w:color="auto" w:fill="D0CECE" w:themeFill="background2" w:themeFillShade="E6"/>
            <w:vAlign w:val="center"/>
          </w:tcPr>
          <w:p w14:paraId="05AE63DE" w14:textId="77777777" w:rsidR="00066FC5" w:rsidRPr="006612BF" w:rsidRDefault="00066FC5" w:rsidP="00066FC5">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Medication Review</w:t>
            </w:r>
          </w:p>
          <w:p w14:paraId="0E39F7D2" w14:textId="77777777" w:rsidR="00066FC5" w:rsidRPr="006612BF" w:rsidRDefault="00066FC5"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The research nurse</w:t>
            </w:r>
            <w:r w:rsidRPr="006612BF">
              <w:rPr>
                <w:rFonts w:ascii="Calibri" w:eastAsia="Calibri" w:hAnsi="Calibri"/>
                <w:sz w:val="20"/>
                <w:szCs w:val="20"/>
                <w:lang w:eastAsia="en-US"/>
              </w:rPr>
              <w:t xml:space="preserve"> review</w:t>
            </w:r>
            <w:r>
              <w:rPr>
                <w:rFonts w:ascii="Calibri" w:eastAsia="Calibri" w:hAnsi="Calibri"/>
                <w:sz w:val="20"/>
                <w:szCs w:val="20"/>
                <w:lang w:eastAsia="en-US"/>
              </w:rPr>
              <w:t>s</w:t>
            </w:r>
            <w:r w:rsidRPr="006612BF">
              <w:rPr>
                <w:rFonts w:ascii="Calibri" w:eastAsia="Calibri" w:hAnsi="Calibri"/>
                <w:sz w:val="20"/>
                <w:szCs w:val="20"/>
                <w:lang w:eastAsia="en-US"/>
              </w:rPr>
              <w:t xml:space="preserve"> the patient’s medications to identify medications associated</w:t>
            </w:r>
            <w:r w:rsidR="002046E1">
              <w:rPr>
                <w:rFonts w:ascii="Calibri" w:eastAsia="Calibri" w:hAnsi="Calibri"/>
                <w:sz w:val="20"/>
                <w:szCs w:val="20"/>
                <w:lang w:eastAsia="en-US"/>
              </w:rPr>
              <w:t xml:space="preserve"> with</w:t>
            </w:r>
            <w:r w:rsidRPr="006612BF">
              <w:rPr>
                <w:rFonts w:ascii="Calibri" w:eastAsia="Calibri" w:hAnsi="Calibri"/>
                <w:sz w:val="20"/>
                <w:szCs w:val="20"/>
                <w:lang w:eastAsia="en-US"/>
              </w:rPr>
              <w:t xml:space="preserve"> falls</w:t>
            </w:r>
            <w:r>
              <w:rPr>
                <w:rFonts w:ascii="Calibri" w:eastAsia="Calibri" w:hAnsi="Calibri"/>
                <w:sz w:val="20"/>
                <w:szCs w:val="20"/>
                <w:lang w:eastAsia="en-US"/>
              </w:rPr>
              <w:t>, pends recommendations for review if needed to EHR record.</w:t>
            </w:r>
          </w:p>
        </w:tc>
        <w:tc>
          <w:tcPr>
            <w:tcW w:w="1777" w:type="dxa"/>
            <w:shd w:val="clear" w:color="auto" w:fill="BDD6EE" w:themeFill="accent1" w:themeFillTint="66"/>
            <w:vAlign w:val="center"/>
          </w:tcPr>
          <w:p w14:paraId="60E4E14B"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FFFFFF"/>
            <w:vAlign w:val="center"/>
          </w:tcPr>
          <w:p w14:paraId="47A3E851"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SoC</w:t>
            </w:r>
          </w:p>
        </w:tc>
        <w:tc>
          <w:tcPr>
            <w:tcW w:w="1777" w:type="dxa"/>
            <w:shd w:val="clear" w:color="auto" w:fill="BDD6EE" w:themeFill="accent1" w:themeFillTint="66"/>
            <w:vAlign w:val="center"/>
          </w:tcPr>
          <w:p w14:paraId="76143EBE"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auto"/>
            <w:vAlign w:val="center"/>
          </w:tcPr>
          <w:p w14:paraId="01B7FEA1" w14:textId="77777777" w:rsidR="00066FC5" w:rsidRPr="006612BF" w:rsidRDefault="00066FC5" w:rsidP="00066FC5">
            <w:pPr>
              <w:spacing w:line="259" w:lineRule="auto"/>
              <w:jc w:val="center"/>
              <w:rPr>
                <w:rFonts w:ascii="Calibri" w:eastAsia="Calibri" w:hAnsi="Calibri"/>
                <w:sz w:val="28"/>
                <w:szCs w:val="20"/>
              </w:rPr>
            </w:pPr>
            <w:r w:rsidRPr="005B2854">
              <w:rPr>
                <w:rFonts w:ascii="Calibri" w:eastAsia="Calibri" w:hAnsi="Calibri"/>
                <w:sz w:val="20"/>
                <w:szCs w:val="20"/>
                <w:lang w:eastAsia="en-US"/>
              </w:rPr>
              <w:t>SoC</w:t>
            </w:r>
          </w:p>
        </w:tc>
      </w:tr>
      <w:tr w:rsidR="00066FC5" w:rsidRPr="006612BF" w14:paraId="402FADDB" w14:textId="77777777" w:rsidTr="00602497">
        <w:trPr>
          <w:trHeight w:val="332"/>
        </w:trPr>
        <w:tc>
          <w:tcPr>
            <w:tcW w:w="1255" w:type="dxa"/>
            <w:vMerge/>
            <w:shd w:val="clear" w:color="auto" w:fill="D0CECE"/>
          </w:tcPr>
          <w:p w14:paraId="22CF542A" w14:textId="77777777" w:rsidR="00066FC5" w:rsidRPr="006612BF" w:rsidRDefault="00066FC5" w:rsidP="00066FC5">
            <w:pPr>
              <w:spacing w:line="259" w:lineRule="auto"/>
              <w:rPr>
                <w:rFonts w:ascii="Calibri" w:eastAsia="Calibri" w:hAnsi="Calibri"/>
                <w:b/>
                <w:sz w:val="20"/>
                <w:szCs w:val="20"/>
                <w:lang w:eastAsia="en-US"/>
              </w:rPr>
            </w:pPr>
          </w:p>
        </w:tc>
        <w:tc>
          <w:tcPr>
            <w:tcW w:w="3960" w:type="dxa"/>
            <w:shd w:val="clear" w:color="auto" w:fill="D0CECE" w:themeFill="background2" w:themeFillShade="E6"/>
            <w:vAlign w:val="center"/>
          </w:tcPr>
          <w:p w14:paraId="06DC8700" w14:textId="77777777" w:rsidR="00066FC5" w:rsidRPr="006612BF" w:rsidRDefault="00066FC5" w:rsidP="00066FC5">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Visual Acuity</w:t>
            </w:r>
          </w:p>
          <w:p w14:paraId="5533B49F" w14:textId="1B68A58C" w:rsidR="00066FC5" w:rsidRPr="006612BF" w:rsidRDefault="00066FC5" w:rsidP="0042421E">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The research nurse ascertain</w:t>
            </w:r>
            <w:r>
              <w:rPr>
                <w:rFonts w:ascii="Calibri" w:eastAsia="Calibri" w:hAnsi="Calibri"/>
                <w:sz w:val="20"/>
                <w:szCs w:val="20"/>
                <w:lang w:eastAsia="en-US"/>
              </w:rPr>
              <w:t>s</w:t>
            </w:r>
            <w:r w:rsidRPr="006612BF">
              <w:rPr>
                <w:rFonts w:ascii="Calibri" w:eastAsia="Calibri" w:hAnsi="Calibri"/>
                <w:sz w:val="20"/>
                <w:szCs w:val="20"/>
                <w:lang w:eastAsia="en-US"/>
              </w:rPr>
              <w:t xml:space="preserve"> visual acuity in </w:t>
            </w:r>
            <w:r w:rsidR="0042421E">
              <w:rPr>
                <w:rFonts w:ascii="Calibri" w:eastAsia="Calibri" w:hAnsi="Calibri"/>
                <w:sz w:val="20"/>
                <w:szCs w:val="20"/>
                <w:lang w:eastAsia="en-US"/>
              </w:rPr>
              <w:t>STEADI exam room</w:t>
            </w:r>
            <w:r w:rsidRPr="006612BF">
              <w:rPr>
                <w:rFonts w:ascii="Calibri" w:eastAsia="Calibri" w:hAnsi="Calibri"/>
                <w:sz w:val="20"/>
                <w:szCs w:val="20"/>
                <w:lang w:eastAsia="en-US"/>
              </w:rPr>
              <w:t xml:space="preserve"> using a </w:t>
            </w:r>
            <w:r w:rsidR="00D13554">
              <w:rPr>
                <w:rFonts w:ascii="Calibri" w:eastAsia="Calibri" w:hAnsi="Calibri"/>
                <w:sz w:val="20"/>
                <w:szCs w:val="20"/>
                <w:lang w:eastAsia="en-US"/>
              </w:rPr>
              <w:t>R</w:t>
            </w:r>
            <w:r w:rsidR="00644DE4">
              <w:rPr>
                <w:rFonts w:ascii="Calibri" w:eastAsia="Calibri" w:hAnsi="Calibri"/>
                <w:sz w:val="20"/>
                <w:szCs w:val="20"/>
                <w:lang w:eastAsia="en-US"/>
              </w:rPr>
              <w:t>unge card</w:t>
            </w:r>
            <w:r w:rsidRPr="006612BF">
              <w:rPr>
                <w:rFonts w:ascii="Calibri" w:eastAsia="Calibri" w:hAnsi="Calibri"/>
                <w:sz w:val="20"/>
                <w:szCs w:val="20"/>
                <w:lang w:eastAsia="en-US"/>
              </w:rPr>
              <w:t>.</w:t>
            </w:r>
            <w:r>
              <w:rPr>
                <w:rFonts w:ascii="Calibri" w:eastAsia="Calibri" w:hAnsi="Calibri"/>
                <w:sz w:val="20"/>
                <w:szCs w:val="20"/>
                <w:lang w:eastAsia="en-US"/>
              </w:rPr>
              <w:t xml:space="preserve"> Records results in EHR.  Pends recommendation for eye care referral to EHR record. </w:t>
            </w:r>
          </w:p>
        </w:tc>
        <w:tc>
          <w:tcPr>
            <w:tcW w:w="1777" w:type="dxa"/>
            <w:shd w:val="clear" w:color="auto" w:fill="BDD6EE" w:themeFill="accent1" w:themeFillTint="66"/>
            <w:vAlign w:val="center"/>
          </w:tcPr>
          <w:p w14:paraId="3BA52100"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FFFFFF"/>
            <w:vAlign w:val="center"/>
          </w:tcPr>
          <w:p w14:paraId="48EFC814"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SoC</w:t>
            </w:r>
          </w:p>
        </w:tc>
        <w:tc>
          <w:tcPr>
            <w:tcW w:w="1777" w:type="dxa"/>
            <w:shd w:val="clear" w:color="auto" w:fill="FFFFFF"/>
            <w:vAlign w:val="center"/>
          </w:tcPr>
          <w:p w14:paraId="31DB8141" w14:textId="77777777" w:rsidR="00066FC5" w:rsidRPr="006612BF" w:rsidRDefault="000D6720"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8" w:type="dxa"/>
            <w:shd w:val="clear" w:color="auto" w:fill="FFFFFF"/>
            <w:vAlign w:val="center"/>
          </w:tcPr>
          <w:p w14:paraId="4CFA7A39" w14:textId="77777777" w:rsidR="00066FC5" w:rsidRPr="006612BF" w:rsidRDefault="00066FC5" w:rsidP="00066FC5">
            <w:pPr>
              <w:spacing w:line="259" w:lineRule="auto"/>
              <w:jc w:val="center"/>
              <w:rPr>
                <w:rFonts w:ascii="Calibri" w:eastAsia="Calibri" w:hAnsi="Calibri"/>
                <w:sz w:val="20"/>
                <w:szCs w:val="20"/>
              </w:rPr>
            </w:pPr>
            <w:r w:rsidRPr="005B2854">
              <w:rPr>
                <w:rFonts w:ascii="Calibri" w:eastAsia="Calibri" w:hAnsi="Calibri"/>
                <w:sz w:val="20"/>
                <w:szCs w:val="20"/>
                <w:lang w:eastAsia="en-US"/>
              </w:rPr>
              <w:t>SoC</w:t>
            </w:r>
          </w:p>
        </w:tc>
      </w:tr>
      <w:tr w:rsidR="00602497" w:rsidRPr="006612BF" w14:paraId="091408F1" w14:textId="77777777" w:rsidTr="00103DF7">
        <w:trPr>
          <w:trHeight w:val="332"/>
        </w:trPr>
        <w:tc>
          <w:tcPr>
            <w:tcW w:w="1255" w:type="dxa"/>
            <w:vMerge/>
            <w:shd w:val="clear" w:color="auto" w:fill="D0CECE"/>
          </w:tcPr>
          <w:p w14:paraId="3EDA3D4D" w14:textId="77777777" w:rsidR="00602497" w:rsidRPr="006612BF" w:rsidRDefault="00602497" w:rsidP="00066FC5">
            <w:pPr>
              <w:spacing w:line="259" w:lineRule="auto"/>
              <w:rPr>
                <w:rFonts w:ascii="Calibri" w:eastAsia="Calibri" w:hAnsi="Calibri"/>
                <w:b/>
                <w:sz w:val="20"/>
                <w:szCs w:val="20"/>
              </w:rPr>
            </w:pPr>
          </w:p>
        </w:tc>
        <w:tc>
          <w:tcPr>
            <w:tcW w:w="3960" w:type="dxa"/>
            <w:shd w:val="clear" w:color="auto" w:fill="D0CECE" w:themeFill="background2" w:themeFillShade="E6"/>
            <w:vAlign w:val="center"/>
          </w:tcPr>
          <w:p w14:paraId="775EBE4F" w14:textId="77777777" w:rsidR="00602497" w:rsidRPr="00D01EB8" w:rsidRDefault="00602497" w:rsidP="00066FC5">
            <w:pPr>
              <w:spacing w:line="259" w:lineRule="auto"/>
              <w:jc w:val="center"/>
              <w:rPr>
                <w:rFonts w:ascii="Calibri" w:eastAsia="Calibri" w:hAnsi="Calibri"/>
                <w:b/>
                <w:i/>
                <w:sz w:val="20"/>
                <w:szCs w:val="20"/>
              </w:rPr>
            </w:pPr>
            <w:r w:rsidRPr="00D01EB8">
              <w:rPr>
                <w:rFonts w:ascii="Calibri" w:eastAsia="Calibri" w:hAnsi="Calibri"/>
                <w:b/>
                <w:i/>
                <w:sz w:val="20"/>
                <w:szCs w:val="20"/>
              </w:rPr>
              <w:t>Comorbidities</w:t>
            </w:r>
          </w:p>
          <w:p w14:paraId="556E8E3C" w14:textId="41B520C2" w:rsidR="00602497" w:rsidRPr="00843955" w:rsidRDefault="00602497" w:rsidP="00D13554">
            <w:pPr>
              <w:spacing w:line="259" w:lineRule="auto"/>
              <w:jc w:val="center"/>
              <w:rPr>
                <w:rFonts w:ascii="Calibri" w:eastAsia="Calibri" w:hAnsi="Calibri"/>
                <w:sz w:val="20"/>
                <w:szCs w:val="20"/>
              </w:rPr>
            </w:pPr>
            <w:r>
              <w:rPr>
                <w:rFonts w:ascii="Calibri" w:eastAsia="Calibri" w:hAnsi="Calibri"/>
                <w:sz w:val="20"/>
                <w:szCs w:val="20"/>
              </w:rPr>
              <w:t>The research nurse will review patients diagnoses and flag any conditions that put patient at increased risk of falling</w:t>
            </w:r>
          </w:p>
        </w:tc>
        <w:tc>
          <w:tcPr>
            <w:tcW w:w="1777" w:type="dxa"/>
            <w:shd w:val="clear" w:color="auto" w:fill="BDD6EE" w:themeFill="accent1" w:themeFillTint="66"/>
            <w:vAlign w:val="center"/>
          </w:tcPr>
          <w:p w14:paraId="0D5376C8" w14:textId="6C5149DD" w:rsidR="00602497" w:rsidRPr="006612BF" w:rsidRDefault="00602497" w:rsidP="00066FC5">
            <w:pPr>
              <w:spacing w:line="259" w:lineRule="auto"/>
              <w:jc w:val="center"/>
              <w:rPr>
                <w:rFonts w:ascii="Calibri" w:eastAsia="Calibri" w:hAnsi="Calibri"/>
                <w:sz w:val="28"/>
                <w:szCs w:val="20"/>
              </w:rPr>
            </w:pPr>
            <w:r>
              <w:rPr>
                <w:rFonts w:ascii="Calibri" w:eastAsia="Calibri" w:hAnsi="Calibri"/>
                <w:sz w:val="28"/>
                <w:szCs w:val="20"/>
              </w:rPr>
              <w:t>X</w:t>
            </w:r>
          </w:p>
        </w:tc>
        <w:tc>
          <w:tcPr>
            <w:tcW w:w="1778" w:type="dxa"/>
            <w:shd w:val="clear" w:color="auto" w:fill="FFFFFF"/>
            <w:vAlign w:val="center"/>
          </w:tcPr>
          <w:p w14:paraId="5600881C" w14:textId="067E8DB7" w:rsidR="00602497" w:rsidRPr="006612BF" w:rsidRDefault="00602497" w:rsidP="00066FC5">
            <w:pPr>
              <w:spacing w:line="259" w:lineRule="auto"/>
              <w:jc w:val="center"/>
              <w:rPr>
                <w:rFonts w:ascii="Calibri" w:eastAsia="Calibri" w:hAnsi="Calibri"/>
                <w:sz w:val="20"/>
                <w:szCs w:val="20"/>
              </w:rPr>
            </w:pPr>
            <w:r>
              <w:rPr>
                <w:rFonts w:ascii="Calibri" w:eastAsia="Calibri" w:hAnsi="Calibri"/>
                <w:sz w:val="20"/>
                <w:szCs w:val="20"/>
              </w:rPr>
              <w:t>SoC</w:t>
            </w:r>
          </w:p>
        </w:tc>
        <w:tc>
          <w:tcPr>
            <w:tcW w:w="1777" w:type="dxa"/>
            <w:shd w:val="clear" w:color="auto" w:fill="BDD6EE" w:themeFill="accent1" w:themeFillTint="66"/>
            <w:vAlign w:val="center"/>
          </w:tcPr>
          <w:p w14:paraId="6D726F83" w14:textId="62BA61BA" w:rsidR="00602497" w:rsidRPr="00103DF7" w:rsidRDefault="00A127CC" w:rsidP="00066FC5">
            <w:pPr>
              <w:spacing w:line="259" w:lineRule="auto"/>
              <w:jc w:val="center"/>
              <w:rPr>
                <w:rFonts w:ascii="Calibri" w:eastAsia="Calibri" w:hAnsi="Calibri"/>
                <w:sz w:val="28"/>
                <w:szCs w:val="28"/>
              </w:rPr>
            </w:pPr>
            <w:r w:rsidRPr="00103DF7">
              <w:rPr>
                <w:rFonts w:ascii="Calibri" w:eastAsia="Calibri" w:hAnsi="Calibri"/>
                <w:sz w:val="28"/>
                <w:szCs w:val="28"/>
              </w:rPr>
              <w:t>X</w:t>
            </w:r>
          </w:p>
        </w:tc>
        <w:tc>
          <w:tcPr>
            <w:tcW w:w="1778" w:type="dxa"/>
            <w:shd w:val="clear" w:color="auto" w:fill="FFFFFF"/>
            <w:vAlign w:val="center"/>
          </w:tcPr>
          <w:p w14:paraId="5A2CF085" w14:textId="54EA5592" w:rsidR="00602497" w:rsidRPr="005B2854" w:rsidRDefault="00602497" w:rsidP="00066FC5">
            <w:pPr>
              <w:spacing w:line="259" w:lineRule="auto"/>
              <w:jc w:val="center"/>
              <w:rPr>
                <w:rFonts w:ascii="Calibri" w:eastAsia="Calibri" w:hAnsi="Calibri"/>
                <w:sz w:val="20"/>
                <w:szCs w:val="20"/>
              </w:rPr>
            </w:pPr>
            <w:r>
              <w:rPr>
                <w:rFonts w:ascii="Calibri" w:eastAsia="Calibri" w:hAnsi="Calibri"/>
                <w:sz w:val="20"/>
                <w:szCs w:val="20"/>
              </w:rPr>
              <w:t>SoC</w:t>
            </w:r>
          </w:p>
        </w:tc>
      </w:tr>
      <w:tr w:rsidR="00644DE4" w:rsidRPr="006612BF" w14:paraId="0CEB8FC9" w14:textId="77777777" w:rsidTr="00602497">
        <w:trPr>
          <w:trHeight w:val="332"/>
        </w:trPr>
        <w:tc>
          <w:tcPr>
            <w:tcW w:w="1255" w:type="dxa"/>
            <w:vMerge/>
            <w:shd w:val="clear" w:color="auto" w:fill="D0CECE"/>
          </w:tcPr>
          <w:p w14:paraId="63705A77" w14:textId="77777777" w:rsidR="00644DE4" w:rsidRPr="006612BF" w:rsidRDefault="00644DE4" w:rsidP="00066FC5">
            <w:pPr>
              <w:spacing w:line="259" w:lineRule="auto"/>
              <w:rPr>
                <w:rFonts w:ascii="Calibri" w:eastAsia="Calibri" w:hAnsi="Calibri"/>
                <w:b/>
                <w:sz w:val="20"/>
                <w:szCs w:val="20"/>
              </w:rPr>
            </w:pPr>
          </w:p>
        </w:tc>
        <w:tc>
          <w:tcPr>
            <w:tcW w:w="3960" w:type="dxa"/>
            <w:shd w:val="clear" w:color="auto" w:fill="D0CECE" w:themeFill="background2" w:themeFillShade="E6"/>
            <w:vAlign w:val="center"/>
          </w:tcPr>
          <w:p w14:paraId="2C31EC8D" w14:textId="5D37A9B2" w:rsidR="00644DE4" w:rsidRPr="00843955" w:rsidRDefault="00644DE4" w:rsidP="00066FC5">
            <w:pPr>
              <w:spacing w:line="259" w:lineRule="auto"/>
              <w:jc w:val="center"/>
              <w:rPr>
                <w:rFonts w:ascii="Calibri" w:eastAsia="Calibri" w:hAnsi="Calibri"/>
                <w:b/>
                <w:i/>
                <w:sz w:val="20"/>
                <w:szCs w:val="20"/>
              </w:rPr>
            </w:pPr>
            <w:r w:rsidRPr="00843955">
              <w:rPr>
                <w:rFonts w:ascii="Calibri" w:eastAsia="Calibri" w:hAnsi="Calibri"/>
                <w:b/>
                <w:i/>
                <w:sz w:val="20"/>
                <w:szCs w:val="20"/>
              </w:rPr>
              <w:t>Feet</w:t>
            </w:r>
            <w:r w:rsidR="0010748F" w:rsidRPr="0010748F">
              <w:rPr>
                <w:rFonts w:ascii="Calibri" w:eastAsia="Calibri" w:hAnsi="Calibri"/>
                <w:b/>
                <w:i/>
                <w:sz w:val="20"/>
                <w:szCs w:val="20"/>
              </w:rPr>
              <w:t>/footwear A</w:t>
            </w:r>
            <w:r w:rsidRPr="00843955">
              <w:rPr>
                <w:rFonts w:ascii="Calibri" w:eastAsia="Calibri" w:hAnsi="Calibri"/>
                <w:b/>
                <w:i/>
                <w:sz w:val="20"/>
                <w:szCs w:val="20"/>
              </w:rPr>
              <w:t>ssessment</w:t>
            </w:r>
          </w:p>
          <w:p w14:paraId="684B7500" w14:textId="0A32816E" w:rsidR="00644DE4" w:rsidRPr="00843955" w:rsidRDefault="00644DE4" w:rsidP="00D13554">
            <w:pPr>
              <w:spacing w:line="259" w:lineRule="auto"/>
              <w:jc w:val="center"/>
              <w:rPr>
                <w:rFonts w:ascii="Calibri" w:eastAsia="Calibri" w:hAnsi="Calibri"/>
                <w:sz w:val="20"/>
                <w:szCs w:val="20"/>
              </w:rPr>
            </w:pPr>
            <w:r>
              <w:rPr>
                <w:rFonts w:ascii="Calibri" w:eastAsia="Calibri" w:hAnsi="Calibri"/>
                <w:sz w:val="20"/>
                <w:szCs w:val="20"/>
              </w:rPr>
              <w:t>The research nurse checks shoes, asks about existing foot pain or loss of sensation. Records note in EHR for provider recommendation</w:t>
            </w:r>
          </w:p>
        </w:tc>
        <w:tc>
          <w:tcPr>
            <w:tcW w:w="1777" w:type="dxa"/>
            <w:shd w:val="clear" w:color="auto" w:fill="BDD6EE" w:themeFill="accent1" w:themeFillTint="66"/>
            <w:vAlign w:val="center"/>
          </w:tcPr>
          <w:p w14:paraId="31D45ED0" w14:textId="22244319" w:rsidR="00644DE4" w:rsidRDefault="00644DE4" w:rsidP="00066FC5">
            <w:pPr>
              <w:spacing w:line="259" w:lineRule="auto"/>
              <w:jc w:val="center"/>
              <w:rPr>
                <w:rFonts w:ascii="Calibri" w:eastAsia="Calibri" w:hAnsi="Calibri"/>
                <w:sz w:val="28"/>
                <w:szCs w:val="20"/>
              </w:rPr>
            </w:pPr>
            <w:r>
              <w:rPr>
                <w:rFonts w:ascii="Calibri" w:eastAsia="Calibri" w:hAnsi="Calibri"/>
                <w:sz w:val="28"/>
                <w:szCs w:val="20"/>
              </w:rPr>
              <w:t>X</w:t>
            </w:r>
          </w:p>
        </w:tc>
        <w:tc>
          <w:tcPr>
            <w:tcW w:w="1778" w:type="dxa"/>
            <w:shd w:val="clear" w:color="auto" w:fill="FFFFFF"/>
            <w:vAlign w:val="center"/>
          </w:tcPr>
          <w:p w14:paraId="3B4614EC" w14:textId="14A8EBA2" w:rsidR="00644DE4" w:rsidRDefault="00C76C50" w:rsidP="00066FC5">
            <w:pPr>
              <w:spacing w:line="259" w:lineRule="auto"/>
              <w:jc w:val="center"/>
              <w:rPr>
                <w:rFonts w:ascii="Calibri" w:eastAsia="Calibri" w:hAnsi="Calibri"/>
                <w:sz w:val="20"/>
                <w:szCs w:val="20"/>
              </w:rPr>
            </w:pPr>
            <w:r>
              <w:rPr>
                <w:rFonts w:ascii="Calibri" w:eastAsia="Calibri" w:hAnsi="Calibri"/>
                <w:sz w:val="20"/>
                <w:szCs w:val="20"/>
              </w:rPr>
              <w:t>SoC</w:t>
            </w:r>
          </w:p>
        </w:tc>
        <w:tc>
          <w:tcPr>
            <w:tcW w:w="1777" w:type="dxa"/>
            <w:shd w:val="clear" w:color="auto" w:fill="FFFFFF"/>
            <w:vAlign w:val="center"/>
          </w:tcPr>
          <w:p w14:paraId="0A9D86E4" w14:textId="6BA02599" w:rsidR="00644DE4" w:rsidRDefault="00C76C50" w:rsidP="00066FC5">
            <w:pPr>
              <w:spacing w:line="259" w:lineRule="auto"/>
              <w:jc w:val="center"/>
              <w:rPr>
                <w:rFonts w:ascii="Calibri" w:eastAsia="Calibri" w:hAnsi="Calibri"/>
                <w:sz w:val="20"/>
                <w:szCs w:val="20"/>
              </w:rPr>
            </w:pPr>
            <w:r>
              <w:rPr>
                <w:rFonts w:ascii="Calibri" w:eastAsia="Calibri" w:hAnsi="Calibri"/>
                <w:sz w:val="20"/>
                <w:szCs w:val="20"/>
              </w:rPr>
              <w:t>SoC</w:t>
            </w:r>
          </w:p>
        </w:tc>
        <w:tc>
          <w:tcPr>
            <w:tcW w:w="1778" w:type="dxa"/>
            <w:shd w:val="clear" w:color="auto" w:fill="FFFFFF"/>
            <w:vAlign w:val="center"/>
          </w:tcPr>
          <w:p w14:paraId="584C948B" w14:textId="1E26A602" w:rsidR="00644DE4" w:rsidRPr="005B2854" w:rsidRDefault="00C76C50" w:rsidP="00066FC5">
            <w:pPr>
              <w:spacing w:line="259" w:lineRule="auto"/>
              <w:jc w:val="center"/>
              <w:rPr>
                <w:rFonts w:ascii="Calibri" w:eastAsia="Calibri" w:hAnsi="Calibri"/>
                <w:sz w:val="20"/>
                <w:szCs w:val="20"/>
              </w:rPr>
            </w:pPr>
            <w:r>
              <w:rPr>
                <w:rFonts w:ascii="Calibri" w:eastAsia="Calibri" w:hAnsi="Calibri"/>
                <w:sz w:val="20"/>
                <w:szCs w:val="20"/>
              </w:rPr>
              <w:t>SoC</w:t>
            </w:r>
          </w:p>
        </w:tc>
      </w:tr>
      <w:tr w:rsidR="00066FC5" w:rsidRPr="006612BF" w14:paraId="43D4EC8D" w14:textId="77777777" w:rsidTr="00602497">
        <w:trPr>
          <w:trHeight w:val="332"/>
        </w:trPr>
        <w:tc>
          <w:tcPr>
            <w:tcW w:w="1255" w:type="dxa"/>
            <w:vMerge/>
            <w:shd w:val="clear" w:color="auto" w:fill="D0CECE"/>
          </w:tcPr>
          <w:p w14:paraId="002D798A" w14:textId="77777777" w:rsidR="00066FC5" w:rsidRPr="006612BF" w:rsidRDefault="00066FC5" w:rsidP="00066FC5">
            <w:pPr>
              <w:spacing w:line="259" w:lineRule="auto"/>
              <w:rPr>
                <w:rFonts w:ascii="Calibri" w:eastAsia="Calibri" w:hAnsi="Calibri"/>
                <w:b/>
                <w:sz w:val="20"/>
                <w:szCs w:val="20"/>
                <w:lang w:eastAsia="en-US"/>
              </w:rPr>
            </w:pPr>
          </w:p>
        </w:tc>
        <w:tc>
          <w:tcPr>
            <w:tcW w:w="3960" w:type="dxa"/>
            <w:shd w:val="clear" w:color="auto" w:fill="D0CECE" w:themeFill="background2" w:themeFillShade="E6"/>
            <w:vAlign w:val="center"/>
          </w:tcPr>
          <w:p w14:paraId="6B9C417A" w14:textId="3877B19B" w:rsidR="00066FC5" w:rsidRDefault="0010748F" w:rsidP="00066FC5">
            <w:pPr>
              <w:spacing w:line="259" w:lineRule="auto"/>
              <w:jc w:val="center"/>
              <w:rPr>
                <w:rFonts w:ascii="Calibri" w:eastAsia="Calibri" w:hAnsi="Calibri"/>
                <w:b/>
                <w:i/>
                <w:sz w:val="20"/>
                <w:szCs w:val="20"/>
                <w:lang w:eastAsia="en-US"/>
              </w:rPr>
            </w:pPr>
            <w:r>
              <w:rPr>
                <w:rFonts w:ascii="Calibri" w:eastAsia="Calibri" w:hAnsi="Calibri"/>
                <w:b/>
                <w:i/>
                <w:sz w:val="20"/>
                <w:szCs w:val="20"/>
                <w:lang w:eastAsia="en-US"/>
              </w:rPr>
              <w:t>Falls History</w:t>
            </w:r>
          </w:p>
          <w:p w14:paraId="6488D4D0" w14:textId="4D7813B9" w:rsidR="00066FC5" w:rsidRPr="00C34545" w:rsidRDefault="00066FC5" w:rsidP="0010748F">
            <w:pPr>
              <w:spacing w:line="259" w:lineRule="auto"/>
              <w:jc w:val="center"/>
              <w:rPr>
                <w:rFonts w:ascii="Calibri" w:eastAsia="Calibri" w:hAnsi="Calibri"/>
                <w:sz w:val="20"/>
                <w:szCs w:val="20"/>
                <w:lang w:eastAsia="en-US"/>
              </w:rPr>
            </w:pPr>
            <w:r>
              <w:rPr>
                <w:rFonts w:ascii="Calibri" w:eastAsia="Calibri" w:hAnsi="Calibri"/>
                <w:sz w:val="20"/>
                <w:szCs w:val="20"/>
                <w:lang w:eastAsia="en-US"/>
              </w:rPr>
              <w:t>The research nurse ascertains the patient’s fall history</w:t>
            </w:r>
            <w:r w:rsidR="0010748F">
              <w:rPr>
                <w:rFonts w:ascii="Calibri" w:eastAsia="Calibri" w:hAnsi="Calibri"/>
                <w:sz w:val="20"/>
                <w:szCs w:val="20"/>
                <w:lang w:eastAsia="en-US"/>
              </w:rPr>
              <w:t xml:space="preserve"> </w:t>
            </w:r>
          </w:p>
        </w:tc>
        <w:tc>
          <w:tcPr>
            <w:tcW w:w="1777" w:type="dxa"/>
            <w:shd w:val="clear" w:color="auto" w:fill="BDD6EE" w:themeFill="accent1" w:themeFillTint="66"/>
            <w:vAlign w:val="center"/>
          </w:tcPr>
          <w:p w14:paraId="70592293" w14:textId="77777777" w:rsidR="00066FC5" w:rsidRPr="006612BF" w:rsidRDefault="00066FC5" w:rsidP="00066FC5">
            <w:pPr>
              <w:spacing w:line="259" w:lineRule="auto"/>
              <w:jc w:val="center"/>
              <w:rPr>
                <w:rFonts w:ascii="Calibri" w:eastAsia="Calibri" w:hAnsi="Calibri"/>
                <w:sz w:val="28"/>
                <w:szCs w:val="20"/>
                <w:lang w:eastAsia="en-US"/>
              </w:rPr>
            </w:pPr>
            <w:r>
              <w:rPr>
                <w:rFonts w:ascii="Calibri" w:eastAsia="Calibri" w:hAnsi="Calibri"/>
                <w:sz w:val="28"/>
                <w:szCs w:val="20"/>
                <w:lang w:eastAsia="en-US"/>
              </w:rPr>
              <w:t>X</w:t>
            </w:r>
          </w:p>
        </w:tc>
        <w:tc>
          <w:tcPr>
            <w:tcW w:w="1778" w:type="dxa"/>
            <w:shd w:val="clear" w:color="auto" w:fill="FFFFFF"/>
            <w:vAlign w:val="center"/>
          </w:tcPr>
          <w:p w14:paraId="26905AA3" w14:textId="77777777" w:rsidR="00066FC5" w:rsidRPr="006612BF" w:rsidRDefault="000D6720"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7" w:type="dxa"/>
            <w:shd w:val="clear" w:color="auto" w:fill="FFFFFF"/>
            <w:vAlign w:val="center"/>
          </w:tcPr>
          <w:p w14:paraId="0AF1F529" w14:textId="77777777" w:rsidR="00066FC5" w:rsidRPr="006612BF" w:rsidRDefault="000D6720"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8" w:type="dxa"/>
            <w:shd w:val="clear" w:color="auto" w:fill="FFFFFF"/>
            <w:vAlign w:val="center"/>
          </w:tcPr>
          <w:p w14:paraId="7F56E67B" w14:textId="77777777" w:rsidR="00066FC5" w:rsidRPr="006612BF" w:rsidRDefault="00066FC5" w:rsidP="00066FC5">
            <w:pPr>
              <w:spacing w:line="259" w:lineRule="auto"/>
              <w:jc w:val="center"/>
              <w:rPr>
                <w:rFonts w:ascii="Calibri" w:eastAsia="Calibri" w:hAnsi="Calibri"/>
                <w:sz w:val="20"/>
                <w:szCs w:val="20"/>
              </w:rPr>
            </w:pPr>
            <w:r w:rsidRPr="005B2854">
              <w:rPr>
                <w:rFonts w:ascii="Calibri" w:eastAsia="Calibri" w:hAnsi="Calibri"/>
                <w:sz w:val="20"/>
                <w:szCs w:val="20"/>
                <w:lang w:eastAsia="en-US"/>
              </w:rPr>
              <w:t>SoC</w:t>
            </w:r>
          </w:p>
        </w:tc>
      </w:tr>
      <w:tr w:rsidR="00066FC5" w:rsidRPr="006612BF" w14:paraId="403C542F" w14:textId="77777777" w:rsidTr="00602497">
        <w:trPr>
          <w:trHeight w:val="70"/>
        </w:trPr>
        <w:tc>
          <w:tcPr>
            <w:tcW w:w="1255" w:type="dxa"/>
            <w:vMerge w:val="restart"/>
            <w:shd w:val="clear" w:color="auto" w:fill="D0CECE"/>
            <w:vAlign w:val="center"/>
          </w:tcPr>
          <w:p w14:paraId="5A83BE67" w14:textId="77777777" w:rsidR="00066FC5" w:rsidRPr="006612BF" w:rsidRDefault="00066FC5" w:rsidP="00066FC5">
            <w:pPr>
              <w:spacing w:line="259" w:lineRule="auto"/>
              <w:rPr>
                <w:rFonts w:ascii="Calibri" w:eastAsia="Calibri" w:hAnsi="Calibri"/>
                <w:b/>
                <w:sz w:val="20"/>
                <w:szCs w:val="20"/>
                <w:lang w:eastAsia="en-US"/>
              </w:rPr>
            </w:pPr>
            <w:r w:rsidRPr="006612BF">
              <w:rPr>
                <w:rFonts w:ascii="Calibri" w:eastAsia="Calibri" w:hAnsi="Calibri"/>
                <w:b/>
                <w:sz w:val="20"/>
                <w:szCs w:val="20"/>
                <w:lang w:eastAsia="en-US"/>
              </w:rPr>
              <w:t>Intervention</w:t>
            </w:r>
          </w:p>
        </w:tc>
        <w:tc>
          <w:tcPr>
            <w:tcW w:w="3960" w:type="dxa"/>
            <w:shd w:val="clear" w:color="auto" w:fill="D0CECE" w:themeFill="background2" w:themeFillShade="E6"/>
            <w:vAlign w:val="center"/>
          </w:tcPr>
          <w:p w14:paraId="0B2C65D0" w14:textId="77777777" w:rsidR="00066FC5" w:rsidRPr="006612BF" w:rsidRDefault="00066FC5" w:rsidP="00066FC5">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Patient education</w:t>
            </w:r>
          </w:p>
          <w:p w14:paraId="414AA1B9"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T</w:t>
            </w:r>
            <w:r>
              <w:rPr>
                <w:rFonts w:ascii="Calibri" w:eastAsia="Calibri" w:hAnsi="Calibri"/>
                <w:sz w:val="20"/>
                <w:szCs w:val="20"/>
                <w:lang w:eastAsia="en-US"/>
              </w:rPr>
              <w:t>he research nurse</w:t>
            </w:r>
            <w:r w:rsidRPr="006612BF">
              <w:rPr>
                <w:rFonts w:ascii="Calibri" w:eastAsia="Calibri" w:hAnsi="Calibri"/>
                <w:sz w:val="20"/>
                <w:szCs w:val="20"/>
                <w:lang w:eastAsia="en-US"/>
              </w:rPr>
              <w:t xml:space="preserve"> provide</w:t>
            </w:r>
            <w:r>
              <w:rPr>
                <w:rFonts w:ascii="Calibri" w:eastAsia="Calibri" w:hAnsi="Calibri"/>
                <w:sz w:val="20"/>
                <w:szCs w:val="20"/>
                <w:lang w:eastAsia="en-US"/>
              </w:rPr>
              <w:t>s</w:t>
            </w:r>
            <w:r w:rsidRPr="006612BF">
              <w:rPr>
                <w:rFonts w:ascii="Calibri" w:eastAsia="Calibri" w:hAnsi="Calibri"/>
                <w:sz w:val="20"/>
                <w:szCs w:val="20"/>
                <w:lang w:eastAsia="en-US"/>
              </w:rPr>
              <w:t xml:space="preserve"> the </w:t>
            </w:r>
            <w:r w:rsidRPr="006612BF">
              <w:rPr>
                <w:rFonts w:ascii="Calibri" w:eastAsia="Calibri" w:hAnsi="Calibri"/>
                <w:i/>
                <w:sz w:val="20"/>
                <w:szCs w:val="20"/>
                <w:lang w:eastAsia="en-US"/>
              </w:rPr>
              <w:t xml:space="preserve">What You Can Do To Prevent Falls </w:t>
            </w:r>
            <w:r w:rsidRPr="006612BF">
              <w:rPr>
                <w:rFonts w:ascii="Calibri" w:eastAsia="Calibri" w:hAnsi="Calibri"/>
                <w:sz w:val="20"/>
                <w:szCs w:val="20"/>
                <w:lang w:eastAsia="en-US"/>
              </w:rPr>
              <w:t>brochure.</w:t>
            </w:r>
          </w:p>
        </w:tc>
        <w:tc>
          <w:tcPr>
            <w:tcW w:w="1777" w:type="dxa"/>
            <w:shd w:val="clear" w:color="auto" w:fill="BDD6EE" w:themeFill="accent1" w:themeFillTint="66"/>
            <w:vAlign w:val="center"/>
          </w:tcPr>
          <w:p w14:paraId="672B02C8" w14:textId="77777777" w:rsidR="00066FC5" w:rsidRPr="006612BF" w:rsidRDefault="00066FC5" w:rsidP="00066FC5">
            <w:pPr>
              <w:jc w:val="center"/>
              <w:rPr>
                <w:rFonts w:ascii="Calibri" w:eastAsia="Calibri" w:hAnsi="Calibri"/>
                <w:sz w:val="20"/>
                <w:szCs w:val="20"/>
              </w:rPr>
            </w:pPr>
            <w:r w:rsidRPr="006612BF">
              <w:rPr>
                <w:rFonts w:ascii="Calibri" w:eastAsia="Calibri" w:hAnsi="Calibri"/>
                <w:sz w:val="28"/>
                <w:szCs w:val="20"/>
                <w:lang w:eastAsia="en-US"/>
              </w:rPr>
              <w:t>X</w:t>
            </w:r>
          </w:p>
        </w:tc>
        <w:tc>
          <w:tcPr>
            <w:tcW w:w="1778" w:type="dxa"/>
            <w:shd w:val="clear" w:color="auto" w:fill="BDD6EE" w:themeFill="accent1" w:themeFillTint="66"/>
            <w:vAlign w:val="center"/>
          </w:tcPr>
          <w:p w14:paraId="7816A4EB" w14:textId="77777777" w:rsidR="00066FC5" w:rsidRPr="006612BF" w:rsidRDefault="00066FC5" w:rsidP="00066FC5">
            <w:pPr>
              <w:jc w:val="center"/>
              <w:rPr>
                <w:rFonts w:ascii="Calibri" w:eastAsia="Calibri" w:hAnsi="Calibri"/>
                <w:sz w:val="20"/>
                <w:szCs w:val="20"/>
              </w:rPr>
            </w:pPr>
            <w:r w:rsidRPr="006612BF">
              <w:rPr>
                <w:rFonts w:ascii="Calibri" w:eastAsia="Calibri" w:hAnsi="Calibri"/>
                <w:sz w:val="28"/>
                <w:szCs w:val="20"/>
                <w:lang w:eastAsia="en-US"/>
              </w:rPr>
              <w:t>X</w:t>
            </w:r>
          </w:p>
        </w:tc>
        <w:tc>
          <w:tcPr>
            <w:tcW w:w="1777" w:type="dxa"/>
            <w:shd w:val="clear" w:color="auto" w:fill="BDD6EE" w:themeFill="accent1" w:themeFillTint="66"/>
            <w:vAlign w:val="center"/>
          </w:tcPr>
          <w:p w14:paraId="17C1CBA7"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auto"/>
            <w:vAlign w:val="center"/>
          </w:tcPr>
          <w:p w14:paraId="00AE77F3" w14:textId="77777777" w:rsidR="00066FC5" w:rsidRPr="006612BF" w:rsidRDefault="00066FC5" w:rsidP="00066FC5">
            <w:pPr>
              <w:spacing w:line="259" w:lineRule="auto"/>
              <w:jc w:val="center"/>
              <w:rPr>
                <w:rFonts w:ascii="Calibri" w:eastAsia="Calibri" w:hAnsi="Calibri"/>
                <w:sz w:val="28"/>
                <w:szCs w:val="20"/>
              </w:rPr>
            </w:pPr>
            <w:r w:rsidRPr="005B2854">
              <w:rPr>
                <w:rFonts w:ascii="Calibri" w:eastAsia="Calibri" w:hAnsi="Calibri"/>
                <w:sz w:val="20"/>
                <w:szCs w:val="20"/>
                <w:lang w:eastAsia="en-US"/>
              </w:rPr>
              <w:t>SoC</w:t>
            </w:r>
          </w:p>
        </w:tc>
      </w:tr>
      <w:tr w:rsidR="00066FC5" w:rsidRPr="006612BF" w14:paraId="3A3E83C5" w14:textId="77777777" w:rsidTr="00602497">
        <w:trPr>
          <w:trHeight w:val="70"/>
        </w:trPr>
        <w:tc>
          <w:tcPr>
            <w:tcW w:w="1255" w:type="dxa"/>
            <w:vMerge/>
            <w:shd w:val="clear" w:color="auto" w:fill="D0CECE"/>
            <w:vAlign w:val="center"/>
          </w:tcPr>
          <w:p w14:paraId="65765DAC" w14:textId="77777777" w:rsidR="00066FC5" w:rsidRPr="006612BF" w:rsidRDefault="00066FC5" w:rsidP="00066FC5">
            <w:pPr>
              <w:spacing w:line="259" w:lineRule="auto"/>
              <w:rPr>
                <w:rFonts w:ascii="Calibri" w:eastAsia="Calibri" w:hAnsi="Calibri"/>
                <w:sz w:val="20"/>
                <w:szCs w:val="20"/>
                <w:lang w:eastAsia="en-US"/>
              </w:rPr>
            </w:pPr>
          </w:p>
        </w:tc>
        <w:tc>
          <w:tcPr>
            <w:tcW w:w="3960" w:type="dxa"/>
            <w:shd w:val="clear" w:color="auto" w:fill="D0CECE" w:themeFill="background2" w:themeFillShade="E6"/>
            <w:vAlign w:val="center"/>
          </w:tcPr>
          <w:p w14:paraId="08F4898C" w14:textId="152E5E2D" w:rsidR="00066FC5" w:rsidRPr="006612BF" w:rsidRDefault="00066FC5" w:rsidP="00066FC5">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Physical Therapy</w:t>
            </w:r>
          </w:p>
          <w:p w14:paraId="284D6F37" w14:textId="7B2EE168" w:rsidR="00066FC5" w:rsidRPr="006612BF" w:rsidRDefault="00066FC5" w:rsidP="00FD14A0">
            <w:pPr>
              <w:spacing w:line="259" w:lineRule="auto"/>
              <w:jc w:val="center"/>
              <w:rPr>
                <w:rFonts w:ascii="Calibri" w:eastAsia="Calibri" w:hAnsi="Calibri"/>
                <w:sz w:val="20"/>
                <w:szCs w:val="20"/>
                <w:lang w:eastAsia="en-US"/>
              </w:rPr>
            </w:pPr>
            <w:r>
              <w:rPr>
                <w:rFonts w:ascii="Calibri" w:eastAsia="Calibri" w:hAnsi="Calibri"/>
                <w:sz w:val="20"/>
                <w:szCs w:val="20"/>
                <w:lang w:eastAsia="en-US"/>
              </w:rPr>
              <w:t>Research nurse determines whether to recommend patient for referral to Physical Therapy</w:t>
            </w:r>
            <w:r w:rsidR="00FD14A0">
              <w:rPr>
                <w:rFonts w:ascii="Calibri" w:eastAsia="Calibri" w:hAnsi="Calibri"/>
                <w:sz w:val="20"/>
                <w:szCs w:val="20"/>
                <w:lang w:eastAsia="en-US"/>
              </w:rPr>
              <w:t xml:space="preserve"> based off of the gait and balance assessments</w:t>
            </w:r>
            <w:r>
              <w:rPr>
                <w:rFonts w:ascii="Calibri" w:eastAsia="Calibri" w:hAnsi="Calibri"/>
                <w:sz w:val="20"/>
                <w:szCs w:val="20"/>
                <w:lang w:eastAsia="en-US"/>
              </w:rPr>
              <w:t>.</w:t>
            </w:r>
            <w:r w:rsidR="00FD14A0">
              <w:rPr>
                <w:rFonts w:ascii="Calibri" w:eastAsia="Calibri" w:hAnsi="Calibri"/>
                <w:sz w:val="20"/>
                <w:szCs w:val="20"/>
                <w:lang w:eastAsia="en-US"/>
              </w:rPr>
              <w:t xml:space="preserve"> </w:t>
            </w:r>
            <w:r w:rsidRPr="006612BF">
              <w:rPr>
                <w:rFonts w:ascii="Calibri" w:eastAsia="Calibri" w:hAnsi="Calibri"/>
                <w:sz w:val="20"/>
                <w:szCs w:val="20"/>
                <w:lang w:eastAsia="en-US"/>
              </w:rPr>
              <w:t>The provider</w:t>
            </w:r>
            <w:r>
              <w:rPr>
                <w:rFonts w:ascii="Calibri" w:eastAsia="Calibri" w:hAnsi="Calibri"/>
                <w:sz w:val="20"/>
                <w:szCs w:val="20"/>
                <w:lang w:eastAsia="en-US"/>
              </w:rPr>
              <w:t xml:space="preserve"> reviews recommendation and accepts or rejects</w:t>
            </w:r>
            <w:r w:rsidRPr="006612BF">
              <w:rPr>
                <w:rFonts w:ascii="Calibri" w:eastAsia="Calibri" w:hAnsi="Calibri"/>
                <w:sz w:val="20"/>
                <w:szCs w:val="20"/>
                <w:lang w:eastAsia="en-US"/>
              </w:rPr>
              <w:t xml:space="preserve"> </w:t>
            </w:r>
            <w:r>
              <w:rPr>
                <w:rFonts w:ascii="Calibri" w:eastAsia="Calibri" w:hAnsi="Calibri"/>
                <w:sz w:val="20"/>
                <w:szCs w:val="20"/>
                <w:lang w:eastAsia="en-US"/>
              </w:rPr>
              <w:t>referral of</w:t>
            </w:r>
            <w:r w:rsidRPr="006612BF">
              <w:rPr>
                <w:rFonts w:ascii="Calibri" w:eastAsia="Calibri" w:hAnsi="Calibri"/>
                <w:sz w:val="20"/>
                <w:szCs w:val="20"/>
                <w:lang w:eastAsia="en-US"/>
              </w:rPr>
              <w:t xml:space="preserve"> the patient for Physical Therapy</w:t>
            </w:r>
            <w:r>
              <w:rPr>
                <w:rFonts w:ascii="Calibri" w:eastAsia="Calibri" w:hAnsi="Calibri"/>
                <w:sz w:val="20"/>
                <w:szCs w:val="20"/>
                <w:lang w:eastAsia="en-US"/>
              </w:rPr>
              <w:t>.</w:t>
            </w:r>
          </w:p>
        </w:tc>
        <w:tc>
          <w:tcPr>
            <w:tcW w:w="1777" w:type="dxa"/>
            <w:shd w:val="clear" w:color="auto" w:fill="BDD6EE" w:themeFill="accent1" w:themeFillTint="66"/>
            <w:vAlign w:val="center"/>
          </w:tcPr>
          <w:p w14:paraId="3DB06307" w14:textId="77777777" w:rsidR="00066FC5" w:rsidRPr="006612BF" w:rsidRDefault="00066FC5" w:rsidP="00066FC5">
            <w:pPr>
              <w:jc w:val="center"/>
              <w:rPr>
                <w:rFonts w:ascii="Calibri" w:eastAsia="Calibri" w:hAnsi="Calibri"/>
                <w:sz w:val="20"/>
                <w:szCs w:val="20"/>
              </w:rPr>
            </w:pPr>
            <w:r w:rsidRPr="006612BF">
              <w:rPr>
                <w:rFonts w:ascii="Calibri" w:eastAsia="Calibri" w:hAnsi="Calibri"/>
                <w:sz w:val="28"/>
                <w:szCs w:val="20"/>
                <w:lang w:eastAsia="en-US"/>
              </w:rPr>
              <w:t>X</w:t>
            </w:r>
          </w:p>
        </w:tc>
        <w:tc>
          <w:tcPr>
            <w:tcW w:w="1778" w:type="dxa"/>
            <w:shd w:val="clear" w:color="auto" w:fill="BDD6EE" w:themeFill="accent1" w:themeFillTint="66"/>
            <w:vAlign w:val="center"/>
          </w:tcPr>
          <w:p w14:paraId="32D3D969"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7" w:type="dxa"/>
            <w:shd w:val="clear" w:color="auto" w:fill="FFFFFF"/>
            <w:vAlign w:val="center"/>
          </w:tcPr>
          <w:p w14:paraId="04487122"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SoC</w:t>
            </w:r>
          </w:p>
        </w:tc>
        <w:tc>
          <w:tcPr>
            <w:tcW w:w="1778" w:type="dxa"/>
            <w:shd w:val="clear" w:color="auto" w:fill="FFFFFF"/>
            <w:vAlign w:val="center"/>
          </w:tcPr>
          <w:p w14:paraId="6A28CC9D" w14:textId="77777777" w:rsidR="00066FC5" w:rsidRPr="006612BF" w:rsidRDefault="00066FC5" w:rsidP="00066FC5">
            <w:pPr>
              <w:spacing w:line="259" w:lineRule="auto"/>
              <w:jc w:val="center"/>
              <w:rPr>
                <w:rFonts w:ascii="Calibri" w:eastAsia="Calibri" w:hAnsi="Calibri"/>
                <w:sz w:val="20"/>
                <w:szCs w:val="20"/>
              </w:rPr>
            </w:pPr>
            <w:r w:rsidRPr="005B2854">
              <w:rPr>
                <w:rFonts w:ascii="Calibri" w:eastAsia="Calibri" w:hAnsi="Calibri"/>
                <w:sz w:val="20"/>
                <w:szCs w:val="20"/>
                <w:lang w:eastAsia="en-US"/>
              </w:rPr>
              <w:t>SoC</w:t>
            </w:r>
          </w:p>
        </w:tc>
      </w:tr>
      <w:tr w:rsidR="00066FC5" w:rsidRPr="006612BF" w14:paraId="13F9C293" w14:textId="77777777" w:rsidTr="00D377E7">
        <w:trPr>
          <w:trHeight w:val="70"/>
        </w:trPr>
        <w:tc>
          <w:tcPr>
            <w:tcW w:w="1255" w:type="dxa"/>
            <w:vMerge/>
            <w:shd w:val="clear" w:color="auto" w:fill="D0CECE"/>
            <w:vAlign w:val="center"/>
          </w:tcPr>
          <w:p w14:paraId="0B51E327" w14:textId="77777777" w:rsidR="00066FC5" w:rsidRPr="006612BF" w:rsidRDefault="00066FC5" w:rsidP="00066FC5">
            <w:pPr>
              <w:spacing w:line="259" w:lineRule="auto"/>
              <w:rPr>
                <w:rFonts w:ascii="Calibri" w:eastAsia="Calibri" w:hAnsi="Calibri"/>
                <w:sz w:val="20"/>
                <w:szCs w:val="20"/>
                <w:lang w:eastAsia="en-US"/>
              </w:rPr>
            </w:pPr>
          </w:p>
        </w:tc>
        <w:tc>
          <w:tcPr>
            <w:tcW w:w="3960" w:type="dxa"/>
            <w:shd w:val="clear" w:color="auto" w:fill="D0CECE"/>
            <w:vAlign w:val="center"/>
          </w:tcPr>
          <w:p w14:paraId="5F8406B0" w14:textId="77777777" w:rsidR="00066FC5" w:rsidRPr="006612BF" w:rsidRDefault="00066FC5" w:rsidP="00066FC5">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Medication Modification</w:t>
            </w:r>
          </w:p>
          <w:p w14:paraId="67017EA1" w14:textId="362C7830" w:rsidR="00066FC5" w:rsidRPr="006612BF" w:rsidRDefault="00066FC5"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 xml:space="preserve">Research nurse recommends medication adjustments. </w:t>
            </w:r>
            <w:r w:rsidRPr="006612BF">
              <w:rPr>
                <w:rFonts w:ascii="Calibri" w:eastAsia="Calibri" w:hAnsi="Calibri"/>
                <w:sz w:val="20"/>
                <w:szCs w:val="20"/>
                <w:lang w:eastAsia="en-US"/>
              </w:rPr>
              <w:t xml:space="preserve">The provider </w:t>
            </w:r>
            <w:r>
              <w:rPr>
                <w:rFonts w:ascii="Calibri" w:eastAsia="Calibri" w:hAnsi="Calibri"/>
                <w:sz w:val="20"/>
                <w:szCs w:val="20"/>
                <w:lang w:eastAsia="en-US"/>
              </w:rPr>
              <w:t>reviews recommendations and</w:t>
            </w:r>
            <w:r w:rsidR="002046E1">
              <w:rPr>
                <w:rFonts w:ascii="Calibri" w:eastAsia="Calibri" w:hAnsi="Calibri"/>
                <w:sz w:val="20"/>
                <w:szCs w:val="20"/>
                <w:lang w:eastAsia="en-US"/>
              </w:rPr>
              <w:t>,</w:t>
            </w:r>
            <w:r w:rsidR="00FD14A0">
              <w:rPr>
                <w:rFonts w:ascii="Calibri" w:eastAsia="Calibri" w:hAnsi="Calibri"/>
                <w:sz w:val="20"/>
                <w:szCs w:val="20"/>
                <w:lang w:eastAsia="en-US"/>
              </w:rPr>
              <w:t xml:space="preserve"> </w:t>
            </w:r>
            <w:r w:rsidR="002046E1">
              <w:rPr>
                <w:rFonts w:ascii="Calibri" w:eastAsia="Calibri" w:hAnsi="Calibri"/>
                <w:sz w:val="20"/>
                <w:szCs w:val="20"/>
                <w:lang w:eastAsia="en-US"/>
              </w:rPr>
              <w:t>if indicated,</w:t>
            </w:r>
            <w:r>
              <w:rPr>
                <w:rFonts w:ascii="Calibri" w:eastAsia="Calibri" w:hAnsi="Calibri"/>
                <w:sz w:val="20"/>
                <w:szCs w:val="20"/>
                <w:lang w:eastAsia="en-US"/>
              </w:rPr>
              <w:t xml:space="preserve"> </w:t>
            </w:r>
            <w:r w:rsidRPr="006612BF">
              <w:rPr>
                <w:rFonts w:ascii="Calibri" w:eastAsia="Calibri" w:hAnsi="Calibri"/>
                <w:sz w:val="20"/>
                <w:szCs w:val="20"/>
                <w:lang w:eastAsia="en-US"/>
              </w:rPr>
              <w:t>adjusts medications that are associated with increased risk of falling.</w:t>
            </w:r>
          </w:p>
        </w:tc>
        <w:tc>
          <w:tcPr>
            <w:tcW w:w="1777" w:type="dxa"/>
            <w:shd w:val="clear" w:color="auto" w:fill="BDD6EE" w:themeFill="accent1" w:themeFillTint="66"/>
            <w:vAlign w:val="center"/>
          </w:tcPr>
          <w:p w14:paraId="3F63C785"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FFFFFF"/>
            <w:vAlign w:val="center"/>
          </w:tcPr>
          <w:p w14:paraId="71EA1BC5"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0"/>
                <w:szCs w:val="20"/>
                <w:shd w:val="clear" w:color="auto" w:fill="FFFFFF"/>
                <w:lang w:eastAsia="en-US"/>
              </w:rPr>
              <w:t>SoC</w:t>
            </w:r>
          </w:p>
        </w:tc>
        <w:tc>
          <w:tcPr>
            <w:tcW w:w="1777" w:type="dxa"/>
            <w:shd w:val="clear" w:color="auto" w:fill="BDD6EE" w:themeFill="accent1" w:themeFillTint="66"/>
            <w:vAlign w:val="center"/>
          </w:tcPr>
          <w:p w14:paraId="3D384855"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auto"/>
            <w:vAlign w:val="center"/>
          </w:tcPr>
          <w:p w14:paraId="333BB0C8" w14:textId="77777777" w:rsidR="00066FC5" w:rsidRPr="006612BF" w:rsidRDefault="00066FC5" w:rsidP="00066FC5">
            <w:pPr>
              <w:spacing w:line="259" w:lineRule="auto"/>
              <w:jc w:val="center"/>
              <w:rPr>
                <w:rFonts w:ascii="Calibri" w:eastAsia="Calibri" w:hAnsi="Calibri"/>
                <w:sz w:val="28"/>
                <w:szCs w:val="20"/>
              </w:rPr>
            </w:pPr>
            <w:r w:rsidRPr="005B2854">
              <w:rPr>
                <w:rFonts w:ascii="Calibri" w:eastAsia="Calibri" w:hAnsi="Calibri"/>
                <w:sz w:val="20"/>
                <w:szCs w:val="20"/>
                <w:lang w:eastAsia="en-US"/>
              </w:rPr>
              <w:t>SoC</w:t>
            </w:r>
          </w:p>
        </w:tc>
      </w:tr>
      <w:tr w:rsidR="00066FC5" w:rsidRPr="006612BF" w14:paraId="692A8146" w14:textId="77777777" w:rsidTr="00800081">
        <w:trPr>
          <w:trHeight w:val="152"/>
        </w:trPr>
        <w:tc>
          <w:tcPr>
            <w:tcW w:w="1255" w:type="dxa"/>
            <w:vMerge/>
            <w:shd w:val="clear" w:color="auto" w:fill="D0CECE"/>
            <w:vAlign w:val="center"/>
          </w:tcPr>
          <w:p w14:paraId="6FAA33AD" w14:textId="77777777" w:rsidR="00066FC5" w:rsidRPr="006612BF" w:rsidRDefault="00066FC5" w:rsidP="009E230E">
            <w:pPr>
              <w:spacing w:line="259" w:lineRule="auto"/>
              <w:rPr>
                <w:rFonts w:ascii="Calibri" w:eastAsia="Calibri" w:hAnsi="Calibri"/>
                <w:sz w:val="20"/>
                <w:szCs w:val="20"/>
                <w:lang w:eastAsia="en-US"/>
              </w:rPr>
            </w:pPr>
          </w:p>
        </w:tc>
        <w:tc>
          <w:tcPr>
            <w:tcW w:w="3960" w:type="dxa"/>
            <w:shd w:val="clear" w:color="auto" w:fill="D0CECE"/>
            <w:vAlign w:val="center"/>
          </w:tcPr>
          <w:p w14:paraId="6F8D6F7A" w14:textId="77777777" w:rsidR="00066FC5" w:rsidRPr="006612BF" w:rsidRDefault="00066FC5" w:rsidP="009E230E">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Eye Specialist Referral</w:t>
            </w:r>
          </w:p>
          <w:p w14:paraId="1FFA906F"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The</w:t>
            </w:r>
            <w:r>
              <w:rPr>
                <w:rFonts w:ascii="Calibri" w:eastAsia="Calibri" w:hAnsi="Calibri"/>
                <w:sz w:val="20"/>
                <w:szCs w:val="20"/>
                <w:lang w:eastAsia="en-US"/>
              </w:rPr>
              <w:t xml:space="preserve"> research nurse determines whether to recommend the patient for referral to an eye specialist and the</w:t>
            </w:r>
            <w:r w:rsidRPr="006612BF">
              <w:rPr>
                <w:rFonts w:ascii="Calibri" w:eastAsia="Calibri" w:hAnsi="Calibri"/>
                <w:sz w:val="20"/>
                <w:szCs w:val="20"/>
                <w:lang w:eastAsia="en-US"/>
              </w:rPr>
              <w:t xml:space="preserve"> provider </w:t>
            </w:r>
            <w:r>
              <w:rPr>
                <w:rFonts w:ascii="Calibri" w:eastAsia="Calibri" w:hAnsi="Calibri"/>
                <w:sz w:val="20"/>
                <w:szCs w:val="20"/>
                <w:lang w:eastAsia="en-US"/>
              </w:rPr>
              <w:t xml:space="preserve">reviews recommendations and accepts or rejects referral of </w:t>
            </w:r>
            <w:r w:rsidRPr="006612BF">
              <w:rPr>
                <w:rFonts w:ascii="Calibri" w:eastAsia="Calibri" w:hAnsi="Calibri"/>
                <w:sz w:val="20"/>
                <w:szCs w:val="20"/>
                <w:lang w:eastAsia="en-US"/>
              </w:rPr>
              <w:t xml:space="preserve">patients with impaired vision to an </w:t>
            </w:r>
            <w:r>
              <w:rPr>
                <w:rFonts w:ascii="Calibri" w:eastAsia="Calibri" w:hAnsi="Calibri"/>
                <w:sz w:val="20"/>
                <w:szCs w:val="20"/>
                <w:lang w:eastAsia="en-US"/>
              </w:rPr>
              <w:t xml:space="preserve">eye-care provider. </w:t>
            </w:r>
          </w:p>
        </w:tc>
        <w:tc>
          <w:tcPr>
            <w:tcW w:w="1777" w:type="dxa"/>
            <w:shd w:val="clear" w:color="auto" w:fill="BDD6EE" w:themeFill="accent1" w:themeFillTint="66"/>
            <w:vAlign w:val="center"/>
          </w:tcPr>
          <w:p w14:paraId="6A83C890"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FFFFFF"/>
            <w:vAlign w:val="center"/>
          </w:tcPr>
          <w:p w14:paraId="5CB23F23" w14:textId="77777777" w:rsidR="00066FC5" w:rsidRPr="006612BF" w:rsidRDefault="00066FC5" w:rsidP="009E230E">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SoC</w:t>
            </w:r>
          </w:p>
        </w:tc>
        <w:tc>
          <w:tcPr>
            <w:tcW w:w="1777" w:type="dxa"/>
            <w:shd w:val="clear" w:color="auto" w:fill="FFFFFF"/>
            <w:vAlign w:val="center"/>
          </w:tcPr>
          <w:p w14:paraId="3D2D0119" w14:textId="77777777" w:rsidR="00066FC5" w:rsidRPr="006612BF" w:rsidRDefault="000D6720" w:rsidP="009E230E">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8" w:type="dxa"/>
            <w:shd w:val="clear" w:color="auto" w:fill="FFFFFF"/>
            <w:vAlign w:val="center"/>
          </w:tcPr>
          <w:p w14:paraId="028FFEB1" w14:textId="77777777" w:rsidR="00066FC5" w:rsidRPr="006612BF" w:rsidRDefault="00066FC5" w:rsidP="00066FC5">
            <w:pPr>
              <w:spacing w:line="259" w:lineRule="auto"/>
              <w:jc w:val="center"/>
              <w:rPr>
                <w:rFonts w:ascii="Calibri" w:eastAsia="Calibri" w:hAnsi="Calibri"/>
                <w:sz w:val="20"/>
                <w:szCs w:val="20"/>
              </w:rPr>
            </w:pPr>
            <w:r w:rsidRPr="006612BF">
              <w:rPr>
                <w:rFonts w:ascii="Calibri" w:eastAsia="Calibri" w:hAnsi="Calibri"/>
                <w:sz w:val="20"/>
                <w:szCs w:val="20"/>
                <w:lang w:eastAsia="en-US"/>
              </w:rPr>
              <w:t>SoC</w:t>
            </w:r>
          </w:p>
        </w:tc>
      </w:tr>
      <w:tr w:rsidR="00066FC5" w:rsidRPr="006612BF" w14:paraId="325C4855" w14:textId="77777777" w:rsidTr="00800081">
        <w:trPr>
          <w:trHeight w:val="70"/>
        </w:trPr>
        <w:tc>
          <w:tcPr>
            <w:tcW w:w="1255" w:type="dxa"/>
            <w:vMerge/>
            <w:shd w:val="clear" w:color="auto" w:fill="D0CECE"/>
            <w:vAlign w:val="center"/>
          </w:tcPr>
          <w:p w14:paraId="1EAE4462" w14:textId="77777777" w:rsidR="00066FC5" w:rsidRPr="006612BF" w:rsidRDefault="00066FC5" w:rsidP="00066FC5">
            <w:pPr>
              <w:spacing w:line="259" w:lineRule="auto"/>
              <w:rPr>
                <w:rFonts w:ascii="Calibri" w:eastAsia="Calibri" w:hAnsi="Calibri"/>
                <w:sz w:val="20"/>
                <w:szCs w:val="20"/>
                <w:lang w:eastAsia="en-US"/>
              </w:rPr>
            </w:pPr>
          </w:p>
        </w:tc>
        <w:tc>
          <w:tcPr>
            <w:tcW w:w="3960" w:type="dxa"/>
            <w:shd w:val="clear" w:color="auto" w:fill="D0CECE"/>
            <w:vAlign w:val="center"/>
          </w:tcPr>
          <w:p w14:paraId="1E8227F0" w14:textId="77777777" w:rsidR="00066FC5" w:rsidRPr="006612BF" w:rsidRDefault="00066FC5" w:rsidP="00066FC5">
            <w:pPr>
              <w:spacing w:line="259" w:lineRule="auto"/>
              <w:jc w:val="center"/>
              <w:rPr>
                <w:rFonts w:ascii="Calibri" w:eastAsia="Calibri" w:hAnsi="Calibri"/>
                <w:b/>
                <w:i/>
                <w:sz w:val="20"/>
                <w:szCs w:val="20"/>
                <w:lang w:eastAsia="en-US"/>
              </w:rPr>
            </w:pPr>
            <w:r w:rsidRPr="006612BF">
              <w:rPr>
                <w:rFonts w:ascii="Calibri" w:eastAsia="Calibri" w:hAnsi="Calibri"/>
                <w:b/>
                <w:i/>
                <w:sz w:val="20"/>
                <w:szCs w:val="20"/>
                <w:lang w:eastAsia="en-US"/>
              </w:rPr>
              <w:t xml:space="preserve">Home Hazard </w:t>
            </w:r>
            <w:r>
              <w:rPr>
                <w:rFonts w:ascii="Calibri" w:eastAsia="Calibri" w:hAnsi="Calibri"/>
                <w:b/>
                <w:i/>
                <w:sz w:val="20"/>
                <w:szCs w:val="20"/>
                <w:lang w:eastAsia="en-US"/>
              </w:rPr>
              <w:t>Modification</w:t>
            </w:r>
          </w:p>
          <w:p w14:paraId="0242EED8" w14:textId="32FB9F84" w:rsidR="00066FC5" w:rsidRPr="0095641E" w:rsidRDefault="00066FC5" w:rsidP="00FD14A0">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T</w:t>
            </w:r>
            <w:r>
              <w:rPr>
                <w:rFonts w:ascii="Calibri" w:eastAsia="Calibri" w:hAnsi="Calibri"/>
                <w:sz w:val="20"/>
                <w:szCs w:val="20"/>
                <w:lang w:eastAsia="en-US"/>
              </w:rPr>
              <w:t>he research nurse</w:t>
            </w:r>
            <w:r w:rsidRPr="006612BF">
              <w:rPr>
                <w:rFonts w:ascii="Calibri" w:eastAsia="Calibri" w:hAnsi="Calibri"/>
                <w:sz w:val="20"/>
                <w:szCs w:val="20"/>
                <w:lang w:eastAsia="en-US"/>
              </w:rPr>
              <w:t xml:space="preserve"> </w:t>
            </w:r>
            <w:r>
              <w:rPr>
                <w:rFonts w:ascii="Calibri" w:eastAsia="Calibri" w:hAnsi="Calibri"/>
                <w:sz w:val="20"/>
                <w:szCs w:val="20"/>
                <w:lang w:eastAsia="en-US"/>
              </w:rPr>
              <w:t xml:space="preserve">reviews the </w:t>
            </w:r>
            <w:r>
              <w:rPr>
                <w:rFonts w:ascii="Calibri" w:eastAsia="Calibri" w:hAnsi="Calibri"/>
                <w:i/>
                <w:sz w:val="20"/>
                <w:szCs w:val="20"/>
                <w:lang w:eastAsia="en-US"/>
              </w:rPr>
              <w:t xml:space="preserve">Check for Safety </w:t>
            </w:r>
            <w:r>
              <w:rPr>
                <w:rFonts w:ascii="Calibri" w:eastAsia="Calibri" w:hAnsi="Calibri"/>
                <w:sz w:val="20"/>
                <w:szCs w:val="20"/>
                <w:lang w:eastAsia="en-US"/>
              </w:rPr>
              <w:t xml:space="preserve">brochure with the patient </w:t>
            </w:r>
          </w:p>
        </w:tc>
        <w:tc>
          <w:tcPr>
            <w:tcW w:w="1777" w:type="dxa"/>
            <w:shd w:val="clear" w:color="auto" w:fill="BDD6EE" w:themeFill="accent1" w:themeFillTint="66"/>
            <w:vAlign w:val="center"/>
          </w:tcPr>
          <w:p w14:paraId="5CD180FA"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8"/>
                <w:szCs w:val="20"/>
                <w:lang w:eastAsia="en-US"/>
              </w:rPr>
              <w:t>X</w:t>
            </w:r>
          </w:p>
        </w:tc>
        <w:tc>
          <w:tcPr>
            <w:tcW w:w="1778" w:type="dxa"/>
            <w:shd w:val="clear" w:color="auto" w:fill="FFFFFF"/>
            <w:vAlign w:val="center"/>
          </w:tcPr>
          <w:p w14:paraId="6C4DCC9D" w14:textId="77777777" w:rsidR="00066FC5" w:rsidRPr="006612BF" w:rsidRDefault="00066FC5" w:rsidP="00066FC5">
            <w:pPr>
              <w:spacing w:line="259" w:lineRule="auto"/>
              <w:jc w:val="center"/>
              <w:rPr>
                <w:rFonts w:ascii="Calibri" w:eastAsia="Calibri" w:hAnsi="Calibri"/>
                <w:sz w:val="20"/>
                <w:szCs w:val="20"/>
                <w:lang w:eastAsia="en-US"/>
              </w:rPr>
            </w:pPr>
            <w:r w:rsidRPr="006612BF">
              <w:rPr>
                <w:rFonts w:ascii="Calibri" w:eastAsia="Calibri" w:hAnsi="Calibri"/>
                <w:sz w:val="20"/>
                <w:szCs w:val="20"/>
                <w:lang w:eastAsia="en-US"/>
              </w:rPr>
              <w:t>SoC</w:t>
            </w:r>
          </w:p>
        </w:tc>
        <w:tc>
          <w:tcPr>
            <w:tcW w:w="1777" w:type="dxa"/>
            <w:shd w:val="clear" w:color="auto" w:fill="FFFFFF"/>
            <w:vAlign w:val="center"/>
          </w:tcPr>
          <w:p w14:paraId="7FAF930D" w14:textId="3ED590E3" w:rsidR="00066FC5" w:rsidRPr="006612BF" w:rsidRDefault="000D6720" w:rsidP="00F05CA7">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8" w:type="dxa"/>
            <w:shd w:val="clear" w:color="auto" w:fill="FFFFFF"/>
            <w:vAlign w:val="center"/>
          </w:tcPr>
          <w:p w14:paraId="0DA948D8" w14:textId="77777777" w:rsidR="00066FC5" w:rsidRPr="006612BF" w:rsidRDefault="00066FC5" w:rsidP="00066FC5">
            <w:pPr>
              <w:spacing w:line="259" w:lineRule="auto"/>
              <w:jc w:val="center"/>
              <w:rPr>
                <w:rFonts w:ascii="Calibri" w:eastAsia="Calibri" w:hAnsi="Calibri"/>
                <w:sz w:val="20"/>
                <w:szCs w:val="20"/>
              </w:rPr>
            </w:pPr>
            <w:r w:rsidRPr="007F13FA">
              <w:rPr>
                <w:rFonts w:ascii="Calibri" w:eastAsia="Calibri" w:hAnsi="Calibri"/>
                <w:sz w:val="20"/>
                <w:szCs w:val="20"/>
                <w:lang w:eastAsia="en-US"/>
              </w:rPr>
              <w:t>SoC</w:t>
            </w:r>
          </w:p>
        </w:tc>
      </w:tr>
      <w:tr w:rsidR="00066FC5" w:rsidRPr="006612BF" w14:paraId="270A0F02" w14:textId="77777777" w:rsidTr="00800081">
        <w:trPr>
          <w:trHeight w:val="70"/>
        </w:trPr>
        <w:tc>
          <w:tcPr>
            <w:tcW w:w="1255" w:type="dxa"/>
            <w:vMerge/>
            <w:shd w:val="clear" w:color="auto" w:fill="D0CECE"/>
            <w:vAlign w:val="center"/>
          </w:tcPr>
          <w:p w14:paraId="194FB1C2" w14:textId="77777777" w:rsidR="00066FC5" w:rsidRPr="006612BF" w:rsidRDefault="00066FC5" w:rsidP="00066FC5">
            <w:pPr>
              <w:spacing w:line="259" w:lineRule="auto"/>
              <w:rPr>
                <w:rFonts w:ascii="Calibri" w:eastAsia="Calibri" w:hAnsi="Calibri"/>
                <w:sz w:val="20"/>
                <w:szCs w:val="20"/>
                <w:lang w:eastAsia="en-US"/>
              </w:rPr>
            </w:pPr>
          </w:p>
        </w:tc>
        <w:tc>
          <w:tcPr>
            <w:tcW w:w="3960" w:type="dxa"/>
            <w:shd w:val="clear" w:color="auto" w:fill="D0CECE"/>
            <w:vAlign w:val="center"/>
          </w:tcPr>
          <w:p w14:paraId="216320E4" w14:textId="77777777" w:rsidR="00066FC5" w:rsidRDefault="00066FC5" w:rsidP="00066FC5">
            <w:pPr>
              <w:spacing w:line="259" w:lineRule="auto"/>
              <w:jc w:val="center"/>
              <w:rPr>
                <w:rFonts w:ascii="Calibri" w:eastAsia="Calibri" w:hAnsi="Calibri"/>
                <w:b/>
                <w:i/>
                <w:sz w:val="20"/>
                <w:szCs w:val="20"/>
                <w:lang w:eastAsia="en-US"/>
              </w:rPr>
            </w:pPr>
            <w:r>
              <w:rPr>
                <w:rFonts w:ascii="Calibri" w:eastAsia="Calibri" w:hAnsi="Calibri"/>
                <w:b/>
                <w:i/>
                <w:sz w:val="20"/>
                <w:szCs w:val="20"/>
                <w:lang w:eastAsia="en-US"/>
              </w:rPr>
              <w:t>Podiatry Referral</w:t>
            </w:r>
          </w:p>
          <w:p w14:paraId="72F19441" w14:textId="77777777" w:rsidR="00066FC5" w:rsidRPr="003E545C" w:rsidRDefault="00066FC5"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If needed, the research nurse recommends referral to a podiatrist. The provider may accept or reject this recommendation</w:t>
            </w:r>
          </w:p>
        </w:tc>
        <w:tc>
          <w:tcPr>
            <w:tcW w:w="1777" w:type="dxa"/>
            <w:shd w:val="clear" w:color="auto" w:fill="BDD6EE" w:themeFill="accent1" w:themeFillTint="66"/>
            <w:vAlign w:val="center"/>
          </w:tcPr>
          <w:p w14:paraId="38D1821E" w14:textId="77777777" w:rsidR="00066FC5" w:rsidRPr="006612BF" w:rsidRDefault="00066FC5" w:rsidP="00066FC5">
            <w:pPr>
              <w:spacing w:line="259" w:lineRule="auto"/>
              <w:jc w:val="center"/>
              <w:rPr>
                <w:rFonts w:ascii="Calibri" w:eastAsia="Calibri" w:hAnsi="Calibri"/>
                <w:sz w:val="28"/>
                <w:szCs w:val="20"/>
                <w:lang w:eastAsia="en-US"/>
              </w:rPr>
            </w:pPr>
            <w:r>
              <w:rPr>
                <w:rFonts w:ascii="Calibri" w:eastAsia="Calibri" w:hAnsi="Calibri"/>
                <w:sz w:val="28"/>
                <w:szCs w:val="20"/>
                <w:lang w:eastAsia="en-US"/>
              </w:rPr>
              <w:t>X</w:t>
            </w:r>
          </w:p>
        </w:tc>
        <w:tc>
          <w:tcPr>
            <w:tcW w:w="1778" w:type="dxa"/>
            <w:shd w:val="clear" w:color="auto" w:fill="FFFFFF"/>
            <w:vAlign w:val="center"/>
          </w:tcPr>
          <w:p w14:paraId="58798027" w14:textId="02C2320C" w:rsidR="00066FC5" w:rsidRPr="006612BF" w:rsidRDefault="000D6720"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7" w:type="dxa"/>
            <w:shd w:val="clear" w:color="auto" w:fill="FFFFFF"/>
            <w:vAlign w:val="center"/>
          </w:tcPr>
          <w:p w14:paraId="48364E68" w14:textId="77777777" w:rsidR="00066FC5" w:rsidRPr="006612BF" w:rsidRDefault="000D6720"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8" w:type="dxa"/>
            <w:shd w:val="clear" w:color="auto" w:fill="FFFFFF"/>
            <w:vAlign w:val="center"/>
          </w:tcPr>
          <w:p w14:paraId="666AB762" w14:textId="77777777" w:rsidR="00066FC5" w:rsidRPr="006612BF" w:rsidRDefault="00066FC5" w:rsidP="00066FC5">
            <w:pPr>
              <w:spacing w:line="259" w:lineRule="auto"/>
              <w:jc w:val="center"/>
              <w:rPr>
                <w:rFonts w:ascii="Calibri" w:eastAsia="Calibri" w:hAnsi="Calibri"/>
                <w:sz w:val="20"/>
                <w:szCs w:val="20"/>
              </w:rPr>
            </w:pPr>
            <w:r w:rsidRPr="007F13FA">
              <w:rPr>
                <w:rFonts w:ascii="Calibri" w:eastAsia="Calibri" w:hAnsi="Calibri"/>
                <w:sz w:val="20"/>
                <w:szCs w:val="20"/>
                <w:lang w:eastAsia="en-US"/>
              </w:rPr>
              <w:t>SoC</w:t>
            </w:r>
          </w:p>
        </w:tc>
      </w:tr>
      <w:tr w:rsidR="00066FC5" w:rsidRPr="006612BF" w14:paraId="149038BB" w14:textId="77777777" w:rsidTr="00800081">
        <w:trPr>
          <w:trHeight w:val="70"/>
        </w:trPr>
        <w:tc>
          <w:tcPr>
            <w:tcW w:w="1255" w:type="dxa"/>
            <w:vMerge/>
            <w:shd w:val="clear" w:color="auto" w:fill="D0CECE"/>
            <w:vAlign w:val="center"/>
          </w:tcPr>
          <w:p w14:paraId="47EE827D" w14:textId="77777777" w:rsidR="00066FC5" w:rsidRPr="006612BF" w:rsidRDefault="00066FC5" w:rsidP="00066FC5">
            <w:pPr>
              <w:spacing w:line="259" w:lineRule="auto"/>
              <w:rPr>
                <w:rFonts w:ascii="Calibri" w:eastAsia="Calibri" w:hAnsi="Calibri"/>
                <w:sz w:val="20"/>
                <w:szCs w:val="20"/>
                <w:lang w:eastAsia="en-US"/>
              </w:rPr>
            </w:pPr>
          </w:p>
        </w:tc>
        <w:tc>
          <w:tcPr>
            <w:tcW w:w="3960" w:type="dxa"/>
            <w:shd w:val="clear" w:color="auto" w:fill="D0CECE"/>
            <w:vAlign w:val="center"/>
          </w:tcPr>
          <w:p w14:paraId="2410C92F" w14:textId="77777777" w:rsidR="00066FC5" w:rsidRDefault="00066FC5" w:rsidP="00066FC5">
            <w:pPr>
              <w:spacing w:line="259" w:lineRule="auto"/>
              <w:jc w:val="center"/>
              <w:rPr>
                <w:rFonts w:ascii="Calibri" w:eastAsia="Calibri" w:hAnsi="Calibri"/>
                <w:b/>
                <w:i/>
                <w:sz w:val="20"/>
                <w:szCs w:val="20"/>
                <w:lang w:eastAsia="en-US"/>
              </w:rPr>
            </w:pPr>
            <w:r>
              <w:rPr>
                <w:rFonts w:ascii="Calibri" w:eastAsia="Calibri" w:hAnsi="Calibri"/>
                <w:b/>
                <w:i/>
                <w:sz w:val="20"/>
                <w:szCs w:val="20"/>
                <w:lang w:eastAsia="en-US"/>
              </w:rPr>
              <w:t xml:space="preserve">Referral Exercise Program </w:t>
            </w:r>
          </w:p>
          <w:p w14:paraId="3302C666" w14:textId="77777777" w:rsidR="00066FC5" w:rsidRPr="003E545C" w:rsidRDefault="00066FC5"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If needed, the research nurse recommends referral to a community-based exercise program (e.g. Tai Chi). The provider may accept or reject this recommendation</w:t>
            </w:r>
          </w:p>
        </w:tc>
        <w:tc>
          <w:tcPr>
            <w:tcW w:w="1777" w:type="dxa"/>
            <w:shd w:val="clear" w:color="auto" w:fill="BDD6EE" w:themeFill="accent1" w:themeFillTint="66"/>
            <w:vAlign w:val="center"/>
          </w:tcPr>
          <w:p w14:paraId="0C8204FC" w14:textId="77777777" w:rsidR="00066FC5" w:rsidRPr="006612BF" w:rsidRDefault="00066FC5" w:rsidP="00066FC5">
            <w:pPr>
              <w:spacing w:line="259" w:lineRule="auto"/>
              <w:jc w:val="center"/>
              <w:rPr>
                <w:rFonts w:ascii="Calibri" w:eastAsia="Calibri" w:hAnsi="Calibri"/>
                <w:sz w:val="28"/>
                <w:szCs w:val="20"/>
                <w:lang w:eastAsia="en-US"/>
              </w:rPr>
            </w:pPr>
            <w:r>
              <w:rPr>
                <w:rFonts w:ascii="Calibri" w:eastAsia="Calibri" w:hAnsi="Calibri"/>
                <w:sz w:val="28"/>
                <w:szCs w:val="20"/>
                <w:lang w:eastAsia="en-US"/>
              </w:rPr>
              <w:t>X</w:t>
            </w:r>
          </w:p>
        </w:tc>
        <w:tc>
          <w:tcPr>
            <w:tcW w:w="1778" w:type="dxa"/>
            <w:shd w:val="clear" w:color="auto" w:fill="FFFFFF"/>
            <w:vAlign w:val="center"/>
          </w:tcPr>
          <w:p w14:paraId="7305E76C" w14:textId="77777777" w:rsidR="00066FC5" w:rsidRPr="006612BF" w:rsidRDefault="000D6720"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7" w:type="dxa"/>
            <w:shd w:val="clear" w:color="auto" w:fill="FFFFFF"/>
            <w:vAlign w:val="center"/>
          </w:tcPr>
          <w:p w14:paraId="448C1D0F" w14:textId="77777777" w:rsidR="00066FC5" w:rsidRPr="006612BF" w:rsidRDefault="000D6720" w:rsidP="00066FC5">
            <w:pPr>
              <w:spacing w:line="259" w:lineRule="auto"/>
              <w:jc w:val="center"/>
              <w:rPr>
                <w:rFonts w:ascii="Calibri" w:eastAsia="Calibri" w:hAnsi="Calibri"/>
                <w:sz w:val="20"/>
                <w:szCs w:val="20"/>
                <w:lang w:eastAsia="en-US"/>
              </w:rPr>
            </w:pPr>
            <w:r>
              <w:rPr>
                <w:rFonts w:ascii="Calibri" w:eastAsia="Calibri" w:hAnsi="Calibri"/>
                <w:sz w:val="20"/>
                <w:szCs w:val="20"/>
                <w:lang w:eastAsia="en-US"/>
              </w:rPr>
              <w:t>SoC</w:t>
            </w:r>
          </w:p>
        </w:tc>
        <w:tc>
          <w:tcPr>
            <w:tcW w:w="1778" w:type="dxa"/>
            <w:shd w:val="clear" w:color="auto" w:fill="FFFFFF"/>
            <w:vAlign w:val="center"/>
          </w:tcPr>
          <w:p w14:paraId="4E43A7FB" w14:textId="77777777" w:rsidR="00066FC5" w:rsidRPr="006612BF" w:rsidRDefault="00066FC5" w:rsidP="00066FC5">
            <w:pPr>
              <w:spacing w:line="259" w:lineRule="auto"/>
              <w:jc w:val="center"/>
              <w:rPr>
                <w:rFonts w:ascii="Calibri" w:eastAsia="Calibri" w:hAnsi="Calibri"/>
                <w:sz w:val="20"/>
                <w:szCs w:val="20"/>
              </w:rPr>
            </w:pPr>
            <w:r w:rsidRPr="007F13FA">
              <w:rPr>
                <w:rFonts w:ascii="Calibri" w:eastAsia="Calibri" w:hAnsi="Calibri"/>
                <w:sz w:val="20"/>
                <w:szCs w:val="20"/>
                <w:lang w:eastAsia="en-US"/>
              </w:rPr>
              <w:t>SoC</w:t>
            </w:r>
          </w:p>
        </w:tc>
      </w:tr>
    </w:tbl>
    <w:p w14:paraId="7BDD0AAA" w14:textId="77777777" w:rsidR="00240A75" w:rsidRDefault="00066FC5" w:rsidP="009C2095">
      <w:pPr>
        <w:rPr>
          <w:b/>
        </w:rPr>
        <w:sectPr w:rsidR="00240A75" w:rsidSect="00240A75">
          <w:endnotePr>
            <w:numFmt w:val="decimal"/>
          </w:endnotePr>
          <w:pgSz w:w="15840" w:h="12240" w:orient="landscape"/>
          <w:pgMar w:top="1800" w:right="1440" w:bottom="1800" w:left="1260" w:header="720" w:footer="720" w:gutter="0"/>
          <w:cols w:space="720"/>
          <w:titlePg/>
          <w:docGrid w:linePitch="360"/>
        </w:sectPr>
      </w:pPr>
      <w:r>
        <w:rPr>
          <w:b/>
        </w:rPr>
        <w:t>So</w:t>
      </w:r>
      <w:r w:rsidR="009E230E">
        <w:rPr>
          <w:b/>
        </w:rPr>
        <w:t>C</w:t>
      </w:r>
      <w:r>
        <w:rPr>
          <w:b/>
        </w:rPr>
        <w:t>=Pre-STEADI implementation standard of care in the health syste</w:t>
      </w:r>
      <w:r w:rsidR="008A5BFF">
        <w:rPr>
          <w:b/>
        </w:rPr>
        <w:t>m</w:t>
      </w:r>
    </w:p>
    <w:p w14:paraId="226D1F8E" w14:textId="77777777" w:rsidR="009C5AFF" w:rsidRPr="00F46586" w:rsidRDefault="007B4D24" w:rsidP="009C5AFF">
      <w:pPr>
        <w:pStyle w:val="Heading2"/>
        <w:rPr>
          <w:rFonts w:ascii="Times New Roman" w:hAnsi="Times New Roman" w:cs="Times New Roman"/>
          <w:i w:val="0"/>
          <w:sz w:val="24"/>
          <w:szCs w:val="24"/>
        </w:rPr>
      </w:pPr>
      <w:bookmarkStart w:id="16" w:name="_Toc2085383"/>
      <w:r w:rsidRPr="00F46586">
        <w:rPr>
          <w:rFonts w:ascii="Times New Roman" w:hAnsi="Times New Roman" w:cs="Times New Roman"/>
          <w:i w:val="0"/>
          <w:sz w:val="24"/>
          <w:szCs w:val="24"/>
        </w:rPr>
        <w:t>A.</w:t>
      </w:r>
      <w:r w:rsidR="009C5AFF" w:rsidRPr="00F46586">
        <w:rPr>
          <w:rFonts w:ascii="Times New Roman" w:hAnsi="Times New Roman" w:cs="Times New Roman"/>
          <w:i w:val="0"/>
          <w:sz w:val="24"/>
          <w:szCs w:val="24"/>
        </w:rPr>
        <w:t xml:space="preserve">2. </w:t>
      </w:r>
      <w:r w:rsidR="00780A40" w:rsidRPr="00F46586">
        <w:rPr>
          <w:rFonts w:ascii="Times New Roman" w:hAnsi="Times New Roman" w:cs="Times New Roman"/>
          <w:i w:val="0"/>
          <w:sz w:val="24"/>
          <w:szCs w:val="24"/>
        </w:rPr>
        <w:t xml:space="preserve">Purpose and Use of the </w:t>
      </w:r>
      <w:r w:rsidR="001C3A7A">
        <w:rPr>
          <w:rFonts w:ascii="Times New Roman" w:hAnsi="Times New Roman" w:cs="Times New Roman"/>
          <w:i w:val="0"/>
          <w:sz w:val="24"/>
          <w:szCs w:val="24"/>
        </w:rPr>
        <w:t>Information</w:t>
      </w:r>
      <w:r w:rsidR="00216638" w:rsidRPr="00F46586">
        <w:rPr>
          <w:rFonts w:ascii="Times New Roman" w:hAnsi="Times New Roman" w:cs="Times New Roman"/>
          <w:i w:val="0"/>
          <w:sz w:val="24"/>
          <w:szCs w:val="24"/>
        </w:rPr>
        <w:t xml:space="preserve"> </w:t>
      </w:r>
      <w:r w:rsidR="00780A40" w:rsidRPr="00F46586">
        <w:rPr>
          <w:rFonts w:ascii="Times New Roman" w:hAnsi="Times New Roman" w:cs="Times New Roman"/>
          <w:i w:val="0"/>
          <w:sz w:val="24"/>
          <w:szCs w:val="24"/>
        </w:rPr>
        <w:t>Collection</w:t>
      </w:r>
      <w:bookmarkEnd w:id="16"/>
    </w:p>
    <w:p w14:paraId="3D6A18C2" w14:textId="61102989" w:rsidR="009C5AFF" w:rsidRPr="00F46586" w:rsidRDefault="009C5AFF" w:rsidP="009C5AFF">
      <w:pPr>
        <w:rPr>
          <w:color w:val="000000" w:themeColor="text1"/>
          <w:lang w:val="en"/>
        </w:rPr>
      </w:pPr>
      <w:r w:rsidRPr="00F46586">
        <w:t xml:space="preserve">This data collection effort </w:t>
      </w:r>
      <w:r w:rsidR="009D1B44">
        <w:t xml:space="preserve">is </w:t>
      </w:r>
      <w:r w:rsidRPr="00F46586">
        <w:t xml:space="preserve">a </w:t>
      </w:r>
      <w:r w:rsidR="00541C31">
        <w:t xml:space="preserve">formative </w:t>
      </w:r>
      <w:r w:rsidRPr="00F46586">
        <w:t xml:space="preserve">evaluation strategy to </w:t>
      </w:r>
      <w:r w:rsidR="009D1B44" w:rsidRPr="00F46586">
        <w:rPr>
          <w:color w:val="000000" w:themeColor="text1"/>
          <w:lang w:val="en"/>
        </w:rPr>
        <w:t>assess</w:t>
      </w:r>
      <w:r w:rsidRPr="00F46586">
        <w:rPr>
          <w:color w:val="000000" w:themeColor="text1"/>
          <w:lang w:val="en"/>
        </w:rPr>
        <w:t xml:space="preserve"> the </w:t>
      </w:r>
      <w:r w:rsidR="00055D1E">
        <w:rPr>
          <w:color w:val="000000" w:themeColor="text1"/>
          <w:lang w:val="en"/>
        </w:rPr>
        <w:t xml:space="preserve">impact </w:t>
      </w:r>
      <w:r w:rsidRPr="00F46586">
        <w:rPr>
          <w:color w:val="000000" w:themeColor="text1"/>
          <w:lang w:val="en"/>
        </w:rPr>
        <w:t xml:space="preserve">of STEADI in a primary care system. </w:t>
      </w:r>
      <w:r w:rsidR="00096A12" w:rsidRPr="00F46586">
        <w:rPr>
          <w:color w:val="000000" w:themeColor="text1"/>
        </w:rPr>
        <w:t>The purpose of this information collection is to:</w:t>
      </w:r>
      <w:r w:rsidRPr="00F46586">
        <w:rPr>
          <w:color w:val="000000" w:themeColor="text1"/>
        </w:rPr>
        <w:t xml:space="preserve"> </w:t>
      </w:r>
    </w:p>
    <w:p w14:paraId="2A449063" w14:textId="77777777" w:rsidR="00351F5A" w:rsidRPr="00F46586" w:rsidRDefault="00351F5A" w:rsidP="002573F9">
      <w:pPr>
        <w:numPr>
          <w:ilvl w:val="0"/>
          <w:numId w:val="3"/>
        </w:numPr>
      </w:pPr>
      <w:r>
        <w:t>E</w:t>
      </w:r>
      <w:r w:rsidRPr="00F46586">
        <w:t>valuate the impact of STEADI on falls</w:t>
      </w:r>
      <w:r>
        <w:t xml:space="preserve"> and health outcomes</w:t>
      </w:r>
      <w:r w:rsidRPr="00F46586">
        <w:t xml:space="preserve"> </w:t>
      </w:r>
      <w:r w:rsidRPr="00F46586">
        <w:rPr>
          <w:i/>
        </w:rPr>
        <w:t>(Patient Surveys)</w:t>
      </w:r>
    </w:p>
    <w:p w14:paraId="2363EB80" w14:textId="61B6C104" w:rsidR="00351F5A" w:rsidRPr="00610BD7" w:rsidRDefault="00351F5A" w:rsidP="002573F9">
      <w:pPr>
        <w:numPr>
          <w:ilvl w:val="0"/>
          <w:numId w:val="3"/>
        </w:numPr>
      </w:pPr>
      <w:r>
        <w:t>E</w:t>
      </w:r>
      <w:r w:rsidRPr="00F46586">
        <w:t xml:space="preserve">valuate whether less resource intense versions of STEADI result in similar </w:t>
      </w:r>
      <w:r>
        <w:t>fall prevention</w:t>
      </w:r>
      <w:r w:rsidRPr="00F46586">
        <w:t xml:space="preserve"> benefits</w:t>
      </w:r>
      <w:r w:rsidR="00135FF7">
        <w:t xml:space="preserve"> compared</w:t>
      </w:r>
      <w:r w:rsidRPr="00F46586">
        <w:t xml:space="preserve"> to the entire module </w:t>
      </w:r>
      <w:r w:rsidRPr="00F46586">
        <w:rPr>
          <w:i/>
        </w:rPr>
        <w:t>(Patient Surveys)</w:t>
      </w:r>
    </w:p>
    <w:p w14:paraId="4B4E568E" w14:textId="77777777" w:rsidR="009C5AFF" w:rsidRPr="00F46586" w:rsidRDefault="00096A12" w:rsidP="002573F9">
      <w:pPr>
        <w:numPr>
          <w:ilvl w:val="0"/>
          <w:numId w:val="3"/>
        </w:numPr>
      </w:pPr>
      <w:r w:rsidRPr="00F46586">
        <w:t xml:space="preserve">Evaluate </w:t>
      </w:r>
      <w:r w:rsidR="00A25CD9">
        <w:t>the fidelity of the STEADI implementation to inform and interpret the impact results</w:t>
      </w:r>
      <w:r w:rsidRPr="00F46586">
        <w:t xml:space="preserve">. </w:t>
      </w:r>
      <w:r w:rsidRPr="00F46586">
        <w:rPr>
          <w:i/>
        </w:rPr>
        <w:t>(Process evaluation interviews)</w:t>
      </w:r>
    </w:p>
    <w:p w14:paraId="175B6340" w14:textId="77777777" w:rsidR="00F169F3" w:rsidRPr="00F46586" w:rsidRDefault="00F169F3" w:rsidP="00610BD7">
      <w:pPr>
        <w:ind w:left="720"/>
      </w:pPr>
    </w:p>
    <w:p w14:paraId="6D600AE1" w14:textId="694DC83C" w:rsidR="003E5A6E" w:rsidRDefault="003E5A6E" w:rsidP="00134107">
      <w:pPr>
        <w:rPr>
          <w:b/>
        </w:rPr>
      </w:pPr>
      <w:r w:rsidRPr="00F46586">
        <w:t xml:space="preserve">To reach these goals, the data collection will consist of </w:t>
      </w:r>
      <w:r w:rsidR="00B709B2">
        <w:t xml:space="preserve">one </w:t>
      </w:r>
      <w:r w:rsidR="000B2C0A">
        <w:t>pre-</w:t>
      </w:r>
      <w:r w:rsidR="00B709B2">
        <w:t>screener</w:t>
      </w:r>
      <w:r w:rsidR="000B2C0A">
        <w:t xml:space="preserve"> to determine eligibility,</w:t>
      </w:r>
      <w:r w:rsidR="00B933D8">
        <w:t xml:space="preserve"> STEADI</w:t>
      </w:r>
      <w:r w:rsidR="000B2C0A">
        <w:t xml:space="preserve"> </w:t>
      </w:r>
      <w:r w:rsidR="000B2C0A">
        <w:rPr>
          <w:i/>
        </w:rPr>
        <w:t xml:space="preserve">Stay Independent Fall Risk Screener, </w:t>
      </w:r>
      <w:r w:rsidR="00B709B2">
        <w:t>and two</w:t>
      </w:r>
      <w:r w:rsidR="00B709B2" w:rsidRPr="00F46586">
        <w:t xml:space="preserve"> </w:t>
      </w:r>
      <w:r w:rsidR="00B709B2">
        <w:t>data collections</w:t>
      </w:r>
      <w:r w:rsidRPr="00F46586">
        <w:t xml:space="preserve">: </w:t>
      </w:r>
      <w:r w:rsidRPr="00F46586">
        <w:rPr>
          <w:i/>
        </w:rPr>
        <w:t xml:space="preserve">Patient surveys and process evaluation interviews </w:t>
      </w:r>
      <w:r w:rsidR="00227085">
        <w:rPr>
          <w:b/>
        </w:rPr>
        <w:t>(Table A.2.1</w:t>
      </w:r>
      <w:r w:rsidRPr="00F46586">
        <w:rPr>
          <w:b/>
        </w:rPr>
        <w:t>)</w:t>
      </w:r>
    </w:p>
    <w:p w14:paraId="188E3B13" w14:textId="77777777" w:rsidR="00F05CA7" w:rsidRDefault="00F05CA7" w:rsidP="00134107">
      <w:pPr>
        <w:rPr>
          <w:b/>
        </w:rPr>
      </w:pPr>
    </w:p>
    <w:p w14:paraId="237CF995" w14:textId="35BA5994" w:rsidR="00F05CA7" w:rsidRPr="00F46586" w:rsidRDefault="00F05CA7" w:rsidP="00134107">
      <w:pPr>
        <w:rPr>
          <w:b/>
        </w:rPr>
      </w:pPr>
      <w:r w:rsidRPr="00F46586">
        <w:t xml:space="preserve">The information collection will consist of two components: 1) </w:t>
      </w:r>
      <w:r w:rsidRPr="00F46586">
        <w:rPr>
          <w:i/>
        </w:rPr>
        <w:t>patient surveys</w:t>
      </w:r>
      <w:r w:rsidRPr="00F46586">
        <w:t xml:space="preserve"> and 2) </w:t>
      </w:r>
      <w:r w:rsidRPr="00F46586">
        <w:rPr>
          <w:i/>
        </w:rPr>
        <w:t>process evaluation interviews</w:t>
      </w:r>
      <w:r w:rsidRPr="00F46586">
        <w:t xml:space="preserve">. The study population for the </w:t>
      </w:r>
      <w:r w:rsidRPr="00F46586">
        <w:rPr>
          <w:i/>
        </w:rPr>
        <w:t>patient surveys</w:t>
      </w:r>
      <w:r w:rsidRPr="00F46586">
        <w:t xml:space="preserve"> will consist of patients 65 years and older who attend </w:t>
      </w:r>
      <w:r w:rsidR="00B8427D">
        <w:t xml:space="preserve">one of two </w:t>
      </w:r>
      <w:r w:rsidRPr="00F46586">
        <w:t>selected primary care clinics</w:t>
      </w:r>
      <w:r w:rsidR="00B8427D">
        <w:t xml:space="preserve"> in a large health system</w:t>
      </w:r>
      <w:r>
        <w:t xml:space="preserve">, </w:t>
      </w:r>
      <w:r w:rsidRPr="00F46586">
        <w:t>screen as high risk for a fall</w:t>
      </w:r>
      <w:r>
        <w:t>, consent to participate, and are randomized, using block randomization, to either intervention or control groups</w:t>
      </w:r>
      <w:r w:rsidRPr="00F46586">
        <w:t xml:space="preserve">. </w:t>
      </w:r>
      <w:r w:rsidR="00D7660A">
        <w:t xml:space="preserve">Clinics were selected based on their willingness to participate, their high volume of patients ages 65 and older, and their role as primary care facilities. </w:t>
      </w:r>
      <w:r w:rsidR="00541C31">
        <w:t>T</w:t>
      </w:r>
      <w:r w:rsidR="00D7660A">
        <w:t xml:space="preserve">his is a convenience sample, </w:t>
      </w:r>
      <w:r w:rsidR="00541C31">
        <w:t xml:space="preserve">although </w:t>
      </w:r>
      <w:r w:rsidR="00D7660A">
        <w:t>randomization within clinics eliminate bias in the selection of patients to receive STEADI</w:t>
      </w:r>
      <w:r w:rsidR="00541C31">
        <w:t>, results will not be interpreted outside of the study population.</w:t>
      </w:r>
      <w:r w:rsidR="00D7660A">
        <w:t xml:space="preserve"> </w:t>
      </w:r>
      <w:r w:rsidRPr="00F46586">
        <w:t xml:space="preserve">The population for the </w:t>
      </w:r>
      <w:r w:rsidRPr="00F46586">
        <w:rPr>
          <w:i/>
        </w:rPr>
        <w:t>process evaluation interviews</w:t>
      </w:r>
      <w:r w:rsidRPr="00F46586">
        <w:t xml:space="preserve"> will include clinical intervention staff at the selected clinics who </w:t>
      </w:r>
      <w:r>
        <w:t>will implement</w:t>
      </w:r>
      <w:r w:rsidRPr="00F46586">
        <w:t xml:space="preserve"> </w:t>
      </w:r>
      <w:r>
        <w:t xml:space="preserve">and maintain </w:t>
      </w:r>
      <w:r w:rsidRPr="00F46586">
        <w:t>STEADI.</w:t>
      </w:r>
    </w:p>
    <w:p w14:paraId="0C7F8D04" w14:textId="77777777" w:rsidR="003E5A6E" w:rsidRPr="00F46586" w:rsidRDefault="003E5A6E" w:rsidP="00134107"/>
    <w:p w14:paraId="14519BA9" w14:textId="13038043" w:rsidR="00D6517C" w:rsidRPr="00F46586" w:rsidRDefault="003E5A6E" w:rsidP="00134107">
      <w:pPr>
        <w:pStyle w:val="ColorfulList-Accent11"/>
        <w:ind w:left="0"/>
        <w:rPr>
          <w:bCs/>
        </w:rPr>
      </w:pPr>
      <w:r w:rsidRPr="00F46586">
        <w:t xml:space="preserve">Study data for </w:t>
      </w:r>
      <w:r w:rsidRPr="00F46586">
        <w:rPr>
          <w:i/>
        </w:rPr>
        <w:t>patient surveys</w:t>
      </w:r>
      <w:r w:rsidR="00E11898" w:rsidRPr="00F46586">
        <w:rPr>
          <w:i/>
        </w:rPr>
        <w:t xml:space="preserve"> </w:t>
      </w:r>
      <w:r w:rsidR="00E11898" w:rsidRPr="00F46586">
        <w:rPr>
          <w:bCs/>
        </w:rPr>
        <w:t>(</w:t>
      </w:r>
      <w:r w:rsidR="008B54AA">
        <w:rPr>
          <w:b/>
          <w:bCs/>
        </w:rPr>
        <w:t xml:space="preserve">Attachment </w:t>
      </w:r>
      <w:r w:rsidR="00CC61D6">
        <w:rPr>
          <w:b/>
          <w:bCs/>
        </w:rPr>
        <w:t>B</w:t>
      </w:r>
      <w:r w:rsidR="008B54AA">
        <w:rPr>
          <w:b/>
          <w:bCs/>
        </w:rPr>
        <w:t>.1</w:t>
      </w:r>
      <w:r w:rsidR="00EE2E35">
        <w:rPr>
          <w:b/>
          <w:bCs/>
        </w:rPr>
        <w:t>)</w:t>
      </w:r>
      <w:r w:rsidRPr="00F46586">
        <w:t xml:space="preserve"> will be collected from older adults identified as high risk for falls</w:t>
      </w:r>
      <w:r w:rsidR="00CC61D6">
        <w:t xml:space="preserve"> </w:t>
      </w:r>
      <w:r w:rsidR="008E22ED">
        <w:t xml:space="preserve">using the STEADI </w:t>
      </w:r>
      <w:r w:rsidR="008E22ED">
        <w:rPr>
          <w:i/>
        </w:rPr>
        <w:t>Stay Independent Fall Risk Screener</w:t>
      </w:r>
      <w:r w:rsidR="008E22ED">
        <w:t xml:space="preserve"> (</w:t>
      </w:r>
      <w:r w:rsidR="008E22ED" w:rsidRPr="00800081">
        <w:rPr>
          <w:b/>
        </w:rPr>
        <w:t>Attachment D</w:t>
      </w:r>
      <w:r w:rsidR="008E22ED">
        <w:t>)</w:t>
      </w:r>
      <w:r w:rsidR="008E22ED">
        <w:rPr>
          <w:i/>
        </w:rPr>
        <w:t xml:space="preserve">, </w:t>
      </w:r>
      <w:r w:rsidR="00CC61D6">
        <w:t>who consent to participate in the study (</w:t>
      </w:r>
      <w:r w:rsidR="00CC61D6">
        <w:rPr>
          <w:b/>
        </w:rPr>
        <w:t>Attachment C</w:t>
      </w:r>
      <w:r w:rsidR="00CC61D6">
        <w:t>)</w:t>
      </w:r>
      <w:r w:rsidR="00A903C3">
        <w:t>.</w:t>
      </w:r>
      <w:r w:rsidR="00D6517C" w:rsidRPr="00F46586">
        <w:t xml:space="preserve"> </w:t>
      </w:r>
      <w:r w:rsidR="00D6517C" w:rsidRPr="00F46586">
        <w:rPr>
          <w:bCs/>
        </w:rPr>
        <w:t xml:space="preserve">Surveys will be administered by the </w:t>
      </w:r>
      <w:r w:rsidR="00A903C3" w:rsidRPr="00F46586">
        <w:rPr>
          <w:bCs/>
        </w:rPr>
        <w:t>patient’s choice</w:t>
      </w:r>
      <w:r w:rsidR="00D6517C" w:rsidRPr="00F46586">
        <w:rPr>
          <w:bCs/>
        </w:rPr>
        <w:t xml:space="preserve"> of </w:t>
      </w:r>
      <w:r w:rsidR="00BA2B58">
        <w:rPr>
          <w:bCs/>
        </w:rPr>
        <w:t>internet</w:t>
      </w:r>
      <w:r w:rsidR="00D6517C" w:rsidRPr="00F46586">
        <w:rPr>
          <w:bCs/>
        </w:rPr>
        <w:t xml:space="preserve">, mail, or telephone. All </w:t>
      </w:r>
      <w:r w:rsidR="00884BE5" w:rsidRPr="00F46586">
        <w:rPr>
          <w:bCs/>
        </w:rPr>
        <w:t>participants</w:t>
      </w:r>
      <w:r w:rsidR="00884BE5">
        <w:rPr>
          <w:bCs/>
        </w:rPr>
        <w:t xml:space="preserve"> in the intervention and control groups </w:t>
      </w:r>
      <w:r w:rsidR="00D6517C" w:rsidRPr="00F46586">
        <w:rPr>
          <w:bCs/>
        </w:rPr>
        <w:t xml:space="preserve">will be given </w:t>
      </w:r>
      <w:r w:rsidR="004C5AEB">
        <w:rPr>
          <w:bCs/>
        </w:rPr>
        <w:t>the Patient B</w:t>
      </w:r>
      <w:r w:rsidR="00D6517C" w:rsidRPr="00F46586">
        <w:rPr>
          <w:bCs/>
        </w:rPr>
        <w:t xml:space="preserve">aseline </w:t>
      </w:r>
      <w:r w:rsidR="00751CD9">
        <w:rPr>
          <w:bCs/>
        </w:rPr>
        <w:t>S</w:t>
      </w:r>
      <w:r w:rsidR="00751CD9" w:rsidRPr="00F46586">
        <w:rPr>
          <w:bCs/>
        </w:rPr>
        <w:t>urvey</w:t>
      </w:r>
      <w:r w:rsidR="00751CD9">
        <w:rPr>
          <w:bCs/>
        </w:rPr>
        <w:t xml:space="preserve"> </w:t>
      </w:r>
      <w:r w:rsidR="008E22ED">
        <w:rPr>
          <w:bCs/>
        </w:rPr>
        <w:t>(</w:t>
      </w:r>
      <w:r w:rsidR="008E22ED">
        <w:rPr>
          <w:b/>
          <w:bCs/>
        </w:rPr>
        <w:t>Attachment B.1</w:t>
      </w:r>
      <w:r w:rsidR="00891DB2">
        <w:rPr>
          <w:b/>
          <w:bCs/>
        </w:rPr>
        <w:t xml:space="preserve"> &amp; </w:t>
      </w:r>
      <w:r w:rsidR="0087485C">
        <w:rPr>
          <w:b/>
          <w:bCs/>
        </w:rPr>
        <w:t>B.3</w:t>
      </w:r>
      <w:r w:rsidR="008E22ED">
        <w:rPr>
          <w:b/>
          <w:bCs/>
        </w:rPr>
        <w:t xml:space="preserve">) </w:t>
      </w:r>
      <w:r w:rsidR="00D6517C" w:rsidRPr="00F46586">
        <w:rPr>
          <w:bCs/>
        </w:rPr>
        <w:t xml:space="preserve">at the start of the </w:t>
      </w:r>
      <w:r w:rsidR="00800081" w:rsidRPr="00F46586">
        <w:rPr>
          <w:bCs/>
        </w:rPr>
        <w:t>study</w:t>
      </w:r>
      <w:r w:rsidR="00800081">
        <w:rPr>
          <w:bCs/>
        </w:rPr>
        <w:t>. The</w:t>
      </w:r>
      <w:r w:rsidR="004C5AEB">
        <w:rPr>
          <w:bCs/>
        </w:rPr>
        <w:t xml:space="preserve"> Patient F</w:t>
      </w:r>
      <w:r w:rsidR="00D6517C" w:rsidRPr="00F46586">
        <w:rPr>
          <w:bCs/>
        </w:rPr>
        <w:t xml:space="preserve">ollow-up </w:t>
      </w:r>
      <w:r w:rsidR="004C5AEB">
        <w:rPr>
          <w:bCs/>
        </w:rPr>
        <w:t>S</w:t>
      </w:r>
      <w:r w:rsidR="004C5AEB" w:rsidRPr="00F46586">
        <w:rPr>
          <w:bCs/>
        </w:rPr>
        <w:t>urvey</w:t>
      </w:r>
      <w:r w:rsidR="004C5AEB">
        <w:rPr>
          <w:bCs/>
        </w:rPr>
        <w:t xml:space="preserve"> </w:t>
      </w:r>
      <w:r w:rsidR="008E22ED">
        <w:rPr>
          <w:bCs/>
        </w:rPr>
        <w:t>(</w:t>
      </w:r>
      <w:r w:rsidR="008E22ED">
        <w:rPr>
          <w:b/>
          <w:bCs/>
        </w:rPr>
        <w:t>Attachment B.2</w:t>
      </w:r>
      <w:r w:rsidR="009D4129">
        <w:rPr>
          <w:b/>
          <w:bCs/>
        </w:rPr>
        <w:t xml:space="preserve"> </w:t>
      </w:r>
      <w:r w:rsidR="00CD50B6">
        <w:rPr>
          <w:b/>
          <w:bCs/>
        </w:rPr>
        <w:t xml:space="preserve">&amp; </w:t>
      </w:r>
      <w:r w:rsidR="0087485C">
        <w:rPr>
          <w:b/>
          <w:bCs/>
        </w:rPr>
        <w:t>B.4</w:t>
      </w:r>
      <w:r w:rsidR="008E22ED">
        <w:rPr>
          <w:b/>
          <w:bCs/>
        </w:rPr>
        <w:t>)</w:t>
      </w:r>
      <w:r w:rsidR="00D6517C" w:rsidRPr="00F46586">
        <w:rPr>
          <w:bCs/>
        </w:rPr>
        <w:t xml:space="preserve"> will be conducted at months 4, 8 and 12 post-</w:t>
      </w:r>
      <w:r w:rsidR="00595AE6">
        <w:rPr>
          <w:bCs/>
        </w:rPr>
        <w:t>baseline survey</w:t>
      </w:r>
      <w:r w:rsidR="00F169F3">
        <w:rPr>
          <w:bCs/>
        </w:rPr>
        <w:t>, for all of the intervention and control participants</w:t>
      </w:r>
      <w:r w:rsidR="00D6517C" w:rsidRPr="00F46586">
        <w:rPr>
          <w:bCs/>
        </w:rPr>
        <w:t xml:space="preserve">. The </w:t>
      </w:r>
      <w:r w:rsidR="001B7266">
        <w:rPr>
          <w:bCs/>
        </w:rPr>
        <w:t>follow-up</w:t>
      </w:r>
      <w:r w:rsidR="001B7266" w:rsidRPr="00F46586">
        <w:rPr>
          <w:bCs/>
        </w:rPr>
        <w:t xml:space="preserve"> </w:t>
      </w:r>
      <w:r w:rsidR="00D6517C" w:rsidRPr="00F46586">
        <w:rPr>
          <w:bCs/>
        </w:rPr>
        <w:t xml:space="preserve">surveys will be conducted to </w:t>
      </w:r>
      <w:r w:rsidR="00550933">
        <w:rPr>
          <w:bCs/>
        </w:rPr>
        <w:t>capture</w:t>
      </w:r>
      <w:r w:rsidR="00D6517C" w:rsidRPr="00F46586">
        <w:rPr>
          <w:bCs/>
        </w:rPr>
        <w:t xml:space="preserve"> falls that did not require medical attention</w:t>
      </w:r>
      <w:r w:rsidR="00444334">
        <w:rPr>
          <w:bCs/>
        </w:rPr>
        <w:t>, falls</w:t>
      </w:r>
      <w:r w:rsidR="00D6517C" w:rsidRPr="00F46586">
        <w:rPr>
          <w:bCs/>
        </w:rPr>
        <w:t xml:space="preserve"> where medical attention was sought outside of the </w:t>
      </w:r>
      <w:r w:rsidR="00550933">
        <w:rPr>
          <w:bCs/>
        </w:rPr>
        <w:t xml:space="preserve">healthcare system so are not recorded in the </w:t>
      </w:r>
      <w:r w:rsidR="00167B2D">
        <w:rPr>
          <w:bCs/>
        </w:rPr>
        <w:t>EHR</w:t>
      </w:r>
      <w:r w:rsidR="00444334">
        <w:rPr>
          <w:bCs/>
        </w:rPr>
        <w:t>, and any fall prevention interventions the patient uses</w:t>
      </w:r>
      <w:r w:rsidR="002E5217" w:rsidRPr="00F46586">
        <w:rPr>
          <w:bCs/>
        </w:rPr>
        <w:t xml:space="preserve"> (</w:t>
      </w:r>
      <w:r w:rsidR="00227085">
        <w:rPr>
          <w:b/>
          <w:bCs/>
        </w:rPr>
        <w:t>Table A.2.2</w:t>
      </w:r>
      <w:r w:rsidR="002E5217" w:rsidRPr="00F46586">
        <w:rPr>
          <w:b/>
          <w:bCs/>
        </w:rPr>
        <w:t>)</w:t>
      </w:r>
      <w:r w:rsidR="00D6517C" w:rsidRPr="00F46586">
        <w:rPr>
          <w:bCs/>
        </w:rPr>
        <w:t>.</w:t>
      </w:r>
      <w:r w:rsidR="000D6689">
        <w:rPr>
          <w:bCs/>
        </w:rPr>
        <w:t xml:space="preserve"> Additionally, patients will be </w:t>
      </w:r>
      <w:r w:rsidR="00800081">
        <w:rPr>
          <w:bCs/>
        </w:rPr>
        <w:t>given the</w:t>
      </w:r>
      <w:r w:rsidR="004C5AEB">
        <w:rPr>
          <w:bCs/>
        </w:rPr>
        <w:t xml:space="preserve"> </w:t>
      </w:r>
      <w:r w:rsidR="003D3404">
        <w:rPr>
          <w:bCs/>
          <w:i/>
        </w:rPr>
        <w:t>Patient Falls Tracking Log</w:t>
      </w:r>
      <w:r w:rsidR="004C5AEB">
        <w:rPr>
          <w:bCs/>
        </w:rPr>
        <w:t xml:space="preserve"> (</w:t>
      </w:r>
      <w:r w:rsidR="004C5AEB">
        <w:rPr>
          <w:b/>
          <w:bCs/>
        </w:rPr>
        <w:t xml:space="preserve">Attachment </w:t>
      </w:r>
      <w:r w:rsidR="00361E49">
        <w:rPr>
          <w:b/>
          <w:bCs/>
        </w:rPr>
        <w:t>J</w:t>
      </w:r>
      <w:r w:rsidR="004C5AEB">
        <w:rPr>
          <w:b/>
          <w:bCs/>
        </w:rPr>
        <w:t xml:space="preserve">) </w:t>
      </w:r>
      <w:r w:rsidR="000D6689">
        <w:rPr>
          <w:bCs/>
        </w:rPr>
        <w:t>to</w:t>
      </w:r>
      <w:r w:rsidR="00E94E17">
        <w:rPr>
          <w:bCs/>
        </w:rPr>
        <w:t xml:space="preserve"> help patients</w:t>
      </w:r>
      <w:r w:rsidR="000D6689">
        <w:rPr>
          <w:bCs/>
        </w:rPr>
        <w:t xml:space="preserve"> </w:t>
      </w:r>
      <w:r w:rsidR="00B52945">
        <w:rPr>
          <w:bCs/>
        </w:rPr>
        <w:t xml:space="preserve">track all falls and </w:t>
      </w:r>
      <w:r w:rsidR="000D6689">
        <w:rPr>
          <w:bCs/>
        </w:rPr>
        <w:t>ensure an accurate count of falls reported on the patient surveys</w:t>
      </w:r>
      <w:r w:rsidR="00E94E17">
        <w:rPr>
          <w:bCs/>
        </w:rPr>
        <w:t>, these logs will not be collected by researchers</w:t>
      </w:r>
      <w:r w:rsidR="000D6689">
        <w:rPr>
          <w:bCs/>
        </w:rPr>
        <w:t>.</w:t>
      </w:r>
      <w:r w:rsidR="00E94E17">
        <w:rPr>
          <w:bCs/>
        </w:rPr>
        <w:t xml:space="preserve"> </w:t>
      </w:r>
      <w:r w:rsidR="0087485C">
        <w:rPr>
          <w:bCs/>
        </w:rPr>
        <w:t xml:space="preserve">This log is </w:t>
      </w:r>
      <w:r w:rsidR="0087485C" w:rsidRPr="00EF2382">
        <w:rPr>
          <w:bCs/>
        </w:rPr>
        <w:t>provided to help patients keep track of any falls so they can accurately complete the surveys</w:t>
      </w:r>
      <w:r w:rsidR="0087485C">
        <w:rPr>
          <w:bCs/>
        </w:rPr>
        <w:t>, but it is not required</w:t>
      </w:r>
      <w:r w:rsidR="0087485C">
        <w:rPr>
          <w:rFonts w:ascii="Arial" w:hAnsi="Arial" w:cs="Arial"/>
        </w:rPr>
        <w:t xml:space="preserve">. </w:t>
      </w:r>
      <w:r w:rsidR="00D6517C" w:rsidRPr="00F46586">
        <w:rPr>
          <w:bCs/>
        </w:rPr>
        <w:t xml:space="preserve">Each survey is estimated to take </w:t>
      </w:r>
      <w:r w:rsidR="007E1551">
        <w:rPr>
          <w:bCs/>
        </w:rPr>
        <w:t>an average 10</w:t>
      </w:r>
      <w:r w:rsidR="00D6517C" w:rsidRPr="00F46586">
        <w:rPr>
          <w:bCs/>
        </w:rPr>
        <w:t xml:space="preserve"> minutes to complete. The questions on the patient survey were compiled from previous older adult falls surveys</w:t>
      </w:r>
      <w:r w:rsidR="00F70E2E">
        <w:rPr>
          <w:bCs/>
        </w:rPr>
        <w:t xml:space="preserve">, </w:t>
      </w:r>
      <w:r w:rsidR="00D6517C" w:rsidRPr="00F46586">
        <w:rPr>
          <w:bCs/>
        </w:rPr>
        <w:t>the Behavioral Risk Fact</w:t>
      </w:r>
      <w:r w:rsidR="006B0941">
        <w:rPr>
          <w:bCs/>
        </w:rPr>
        <w:t>or Surveillance System (BRFSS)</w:t>
      </w:r>
      <w:r w:rsidR="00F70E2E">
        <w:rPr>
          <w:bCs/>
        </w:rPr>
        <w:t>,</w:t>
      </w:r>
      <w:r w:rsidR="006B0941">
        <w:rPr>
          <w:bCs/>
        </w:rPr>
        <w:t xml:space="preserve"> and </w:t>
      </w:r>
      <w:r w:rsidR="00D6517C" w:rsidRPr="00F46586">
        <w:rPr>
          <w:bCs/>
        </w:rPr>
        <w:t>the CDC Test Predictability of Falls Screening Tool</w:t>
      </w:r>
      <w:r w:rsidR="00F05CA7">
        <w:rPr>
          <w:bCs/>
        </w:rPr>
        <w:t xml:space="preserve"> (OMB </w:t>
      </w:r>
      <w:r w:rsidR="004B3334">
        <w:rPr>
          <w:bCs/>
        </w:rPr>
        <w:t>control N</w:t>
      </w:r>
      <w:r w:rsidR="00F05CA7">
        <w:rPr>
          <w:bCs/>
        </w:rPr>
        <w:t>o. 0920-1220)</w:t>
      </w:r>
      <w:r w:rsidR="00D6517C" w:rsidRPr="00F46586">
        <w:rPr>
          <w:bCs/>
        </w:rPr>
        <w:t>.</w:t>
      </w:r>
      <w:r w:rsidR="00801203" w:rsidRPr="00F46586">
        <w:rPr>
          <w:bCs/>
        </w:rPr>
        <w:t xml:space="preserve"> </w:t>
      </w:r>
      <w:r w:rsidR="00E5617A">
        <w:rPr>
          <w:bCs/>
        </w:rPr>
        <w:t xml:space="preserve"> </w:t>
      </w:r>
    </w:p>
    <w:p w14:paraId="19CD67A2" w14:textId="77777777" w:rsidR="00216638" w:rsidRPr="00F46586" w:rsidRDefault="00216638" w:rsidP="00134107">
      <w:pPr>
        <w:pStyle w:val="ColorfulList-Accent11"/>
        <w:ind w:left="0"/>
        <w:rPr>
          <w:bCs/>
        </w:rPr>
      </w:pPr>
    </w:p>
    <w:p w14:paraId="780D5F08" w14:textId="090E985B" w:rsidR="002E5217" w:rsidRPr="00F46586" w:rsidRDefault="00216638" w:rsidP="00134107">
      <w:pPr>
        <w:pStyle w:val="ColorfulList-Accent11"/>
        <w:ind w:left="0"/>
        <w:rPr>
          <w:bCs/>
        </w:rPr>
      </w:pPr>
      <w:r>
        <w:rPr>
          <w:bCs/>
        </w:rPr>
        <w:t xml:space="preserve">With regard to testing feasibility of implementation, </w:t>
      </w:r>
      <w:r w:rsidR="00BA2B58">
        <w:rPr>
          <w:bCs/>
        </w:rPr>
        <w:t>s</w:t>
      </w:r>
      <w:r w:rsidR="002E5217" w:rsidRPr="00F46586">
        <w:rPr>
          <w:bCs/>
        </w:rPr>
        <w:t xml:space="preserve">tudy data for the </w:t>
      </w:r>
      <w:r w:rsidR="002E5217" w:rsidRPr="00F46586">
        <w:rPr>
          <w:bCs/>
          <w:i/>
        </w:rPr>
        <w:t>process evaluation interviews</w:t>
      </w:r>
      <w:r w:rsidR="002E5217" w:rsidRPr="00F46586">
        <w:rPr>
          <w:bCs/>
        </w:rPr>
        <w:t xml:space="preserve"> will </w:t>
      </w:r>
      <w:r w:rsidR="00DC490A" w:rsidRPr="00F46586">
        <w:rPr>
          <w:bCs/>
        </w:rPr>
        <w:t xml:space="preserve">be </w:t>
      </w:r>
      <w:r w:rsidR="00DC490A">
        <w:rPr>
          <w:bCs/>
        </w:rPr>
        <w:t>gathered</w:t>
      </w:r>
      <w:r w:rsidR="00550933" w:rsidRPr="00F46586">
        <w:rPr>
          <w:bCs/>
        </w:rPr>
        <w:t xml:space="preserve"> </w:t>
      </w:r>
      <w:r w:rsidR="00127739" w:rsidRPr="00F46586">
        <w:rPr>
          <w:bCs/>
        </w:rPr>
        <w:t xml:space="preserve">in person or over the phone </w:t>
      </w:r>
      <w:r w:rsidR="002E5217" w:rsidRPr="00F46586">
        <w:rPr>
          <w:bCs/>
        </w:rPr>
        <w:t xml:space="preserve">with </w:t>
      </w:r>
      <w:r w:rsidR="00D7660A">
        <w:rPr>
          <w:bCs/>
        </w:rPr>
        <w:t xml:space="preserve">the </w:t>
      </w:r>
      <w:r w:rsidR="00A214D0">
        <w:rPr>
          <w:bCs/>
        </w:rPr>
        <w:t>clinic staff</w:t>
      </w:r>
      <w:r w:rsidR="00550933">
        <w:rPr>
          <w:bCs/>
        </w:rPr>
        <w:t xml:space="preserve"> </w:t>
      </w:r>
      <w:r w:rsidR="00550933" w:rsidRPr="00F46586">
        <w:rPr>
          <w:bCs/>
        </w:rPr>
        <w:t xml:space="preserve">(physicians, </w:t>
      </w:r>
      <w:r w:rsidR="00550933">
        <w:rPr>
          <w:bCs/>
        </w:rPr>
        <w:t>physician assistants</w:t>
      </w:r>
      <w:r w:rsidR="00A9125B">
        <w:rPr>
          <w:bCs/>
        </w:rPr>
        <w:t>/nurse practitioners</w:t>
      </w:r>
      <w:r w:rsidR="00550933">
        <w:rPr>
          <w:bCs/>
        </w:rPr>
        <w:t xml:space="preserve">, </w:t>
      </w:r>
      <w:r w:rsidR="00550933" w:rsidRPr="00F46586">
        <w:rPr>
          <w:bCs/>
        </w:rPr>
        <w:t xml:space="preserve">and clinic </w:t>
      </w:r>
      <w:r w:rsidR="00550933">
        <w:rPr>
          <w:bCs/>
        </w:rPr>
        <w:t>operations</w:t>
      </w:r>
      <w:r w:rsidR="00550933" w:rsidRPr="00F46586">
        <w:rPr>
          <w:bCs/>
        </w:rPr>
        <w:t xml:space="preserve"> managers)</w:t>
      </w:r>
      <w:r w:rsidR="00A214D0" w:rsidRPr="00F46586">
        <w:rPr>
          <w:bCs/>
        </w:rPr>
        <w:t xml:space="preserve"> </w:t>
      </w:r>
      <w:r w:rsidR="00D7660A">
        <w:rPr>
          <w:bCs/>
        </w:rPr>
        <w:t>who participated in the STEADI implementation</w:t>
      </w:r>
      <w:r w:rsidR="00E204DB">
        <w:rPr>
          <w:bCs/>
        </w:rPr>
        <w:t xml:space="preserve"> in two large urban primary care clinics serving a demographically mixed population of older adults</w:t>
      </w:r>
      <w:r w:rsidR="00E0054D">
        <w:rPr>
          <w:bCs/>
        </w:rPr>
        <w:t xml:space="preserve">. </w:t>
      </w:r>
      <w:r w:rsidR="00550933">
        <w:rPr>
          <w:bCs/>
        </w:rPr>
        <w:t xml:space="preserve">The purpose of these interviews is </w:t>
      </w:r>
      <w:r w:rsidR="002E5217" w:rsidRPr="00F46586">
        <w:rPr>
          <w:bCs/>
        </w:rPr>
        <w:t xml:space="preserve">to determine the attitudes of </w:t>
      </w:r>
      <w:r w:rsidR="00E0054D">
        <w:rPr>
          <w:bCs/>
        </w:rPr>
        <w:t>staff</w:t>
      </w:r>
      <w:r w:rsidR="00E0054D" w:rsidRPr="00F46586">
        <w:rPr>
          <w:bCs/>
        </w:rPr>
        <w:t xml:space="preserve"> regarding</w:t>
      </w:r>
      <w:r w:rsidR="002E5217" w:rsidRPr="00F46586">
        <w:rPr>
          <w:bCs/>
        </w:rPr>
        <w:t xml:space="preserve"> the feasibility of implementing STEADI</w:t>
      </w:r>
      <w:r w:rsidR="001B3B2A">
        <w:rPr>
          <w:bCs/>
        </w:rPr>
        <w:t xml:space="preserve"> to add context to the data collected from patient surveys</w:t>
      </w:r>
      <w:r w:rsidR="002E5217" w:rsidRPr="00F46586">
        <w:rPr>
          <w:bCs/>
        </w:rPr>
        <w:t>.</w:t>
      </w:r>
      <w:r w:rsidR="00F70E2E">
        <w:rPr>
          <w:bCs/>
        </w:rPr>
        <w:t xml:space="preserve"> </w:t>
      </w:r>
      <w:r w:rsidR="00127739" w:rsidRPr="00F46586">
        <w:rPr>
          <w:bCs/>
        </w:rPr>
        <w:t>(</w:t>
      </w:r>
      <w:r w:rsidR="00227085">
        <w:rPr>
          <w:b/>
          <w:bCs/>
        </w:rPr>
        <w:t>Table A.2.3 and A.2.4</w:t>
      </w:r>
      <w:r w:rsidR="00744A98" w:rsidRPr="00F46586">
        <w:rPr>
          <w:b/>
          <w:bCs/>
        </w:rPr>
        <w:t xml:space="preserve">) </w:t>
      </w:r>
      <w:r w:rsidR="000B2895">
        <w:rPr>
          <w:bCs/>
        </w:rPr>
        <w:t>Staff</w:t>
      </w:r>
      <w:r w:rsidR="00167B2D">
        <w:rPr>
          <w:bCs/>
        </w:rPr>
        <w:t xml:space="preserve"> </w:t>
      </w:r>
      <w:r w:rsidR="00F473A8">
        <w:rPr>
          <w:bCs/>
        </w:rPr>
        <w:t>(Physician</w:t>
      </w:r>
      <w:r w:rsidR="00D377E7">
        <w:rPr>
          <w:bCs/>
        </w:rPr>
        <w:t>s</w:t>
      </w:r>
      <w:r w:rsidR="00F473A8">
        <w:rPr>
          <w:bCs/>
        </w:rPr>
        <w:t xml:space="preserve"> </w:t>
      </w:r>
      <w:r w:rsidR="009C3BAA">
        <w:rPr>
          <w:bCs/>
        </w:rPr>
        <w:t xml:space="preserve">and </w:t>
      </w:r>
      <w:r w:rsidR="00F473A8">
        <w:rPr>
          <w:bCs/>
        </w:rPr>
        <w:t>Clinic Operation Manager</w:t>
      </w:r>
      <w:r w:rsidR="009C3BAA">
        <w:rPr>
          <w:bCs/>
        </w:rPr>
        <w:t>s</w:t>
      </w:r>
      <w:r w:rsidR="00F473A8">
        <w:rPr>
          <w:bCs/>
        </w:rPr>
        <w:t>)</w:t>
      </w:r>
      <w:r w:rsidR="000B2895" w:rsidRPr="00F46586">
        <w:rPr>
          <w:bCs/>
        </w:rPr>
        <w:t xml:space="preserve"> </w:t>
      </w:r>
      <w:r w:rsidR="002E5217" w:rsidRPr="00F46586">
        <w:rPr>
          <w:bCs/>
        </w:rPr>
        <w:t xml:space="preserve">will be asked to walk through the STEADI intervention and describe how each piece was implemented to </w:t>
      </w:r>
      <w:r w:rsidR="00E5617A">
        <w:rPr>
          <w:bCs/>
        </w:rPr>
        <w:t>assess</w:t>
      </w:r>
      <w:r w:rsidR="00E5617A" w:rsidRPr="00F46586">
        <w:rPr>
          <w:bCs/>
        </w:rPr>
        <w:t xml:space="preserve"> </w:t>
      </w:r>
      <w:r w:rsidR="002E5217" w:rsidRPr="00F46586">
        <w:rPr>
          <w:bCs/>
        </w:rPr>
        <w:t>fidelity</w:t>
      </w:r>
      <w:r w:rsidR="00127739" w:rsidRPr="00F46586">
        <w:rPr>
          <w:bCs/>
        </w:rPr>
        <w:t xml:space="preserve"> (</w:t>
      </w:r>
      <w:r w:rsidR="008B54AA">
        <w:rPr>
          <w:b/>
          <w:bCs/>
        </w:rPr>
        <w:t xml:space="preserve">Attachment </w:t>
      </w:r>
      <w:r w:rsidR="00396639">
        <w:rPr>
          <w:b/>
          <w:bCs/>
        </w:rPr>
        <w:t>E</w:t>
      </w:r>
      <w:r w:rsidR="00801203" w:rsidRPr="00F46586">
        <w:rPr>
          <w:b/>
          <w:bCs/>
        </w:rPr>
        <w:t>.1-</w:t>
      </w:r>
      <w:r w:rsidR="00396639">
        <w:rPr>
          <w:b/>
          <w:bCs/>
        </w:rPr>
        <w:t>E</w:t>
      </w:r>
      <w:r w:rsidR="00E11898" w:rsidRPr="00F46586">
        <w:rPr>
          <w:b/>
          <w:bCs/>
        </w:rPr>
        <w:t>.</w:t>
      </w:r>
      <w:r w:rsidR="009C3BAA">
        <w:rPr>
          <w:b/>
          <w:bCs/>
        </w:rPr>
        <w:t>2</w:t>
      </w:r>
      <w:r w:rsidR="00127739" w:rsidRPr="00F46586">
        <w:rPr>
          <w:b/>
          <w:bCs/>
        </w:rPr>
        <w:t>.)</w:t>
      </w:r>
      <w:r w:rsidR="00BD64B4" w:rsidRPr="00F46586">
        <w:rPr>
          <w:bCs/>
        </w:rPr>
        <w:t xml:space="preserve"> </w:t>
      </w:r>
      <w:r w:rsidR="00905405">
        <w:rPr>
          <w:bCs/>
        </w:rPr>
        <w:t xml:space="preserve"> Physicians will answer questions regarding ease of implementation, fidelity</w:t>
      </w:r>
      <w:r w:rsidR="00F95E85">
        <w:rPr>
          <w:bCs/>
        </w:rPr>
        <w:t>,</w:t>
      </w:r>
      <w:r w:rsidR="00227085">
        <w:rPr>
          <w:bCs/>
        </w:rPr>
        <w:t xml:space="preserve"> </w:t>
      </w:r>
      <w:r w:rsidR="00905405">
        <w:rPr>
          <w:bCs/>
        </w:rPr>
        <w:t>communication,</w:t>
      </w:r>
      <w:r w:rsidR="001F52C2">
        <w:rPr>
          <w:bCs/>
        </w:rPr>
        <w:t xml:space="preserve"> </w:t>
      </w:r>
      <w:r w:rsidR="00DA5FE1">
        <w:rPr>
          <w:bCs/>
        </w:rPr>
        <w:t xml:space="preserve">and </w:t>
      </w:r>
      <w:r w:rsidR="001F52C2">
        <w:rPr>
          <w:bCs/>
        </w:rPr>
        <w:t>time spent implementing STEADI.</w:t>
      </w:r>
      <w:r w:rsidR="00905405">
        <w:rPr>
          <w:bCs/>
        </w:rPr>
        <w:t xml:space="preserve"> </w:t>
      </w:r>
      <w:r w:rsidR="00A214D0">
        <w:rPr>
          <w:bCs/>
        </w:rPr>
        <w:t>Clinic o</w:t>
      </w:r>
      <w:r w:rsidR="00905405">
        <w:rPr>
          <w:bCs/>
        </w:rPr>
        <w:t xml:space="preserve">perations managers (those who manage </w:t>
      </w:r>
      <w:r w:rsidR="00041DE7">
        <w:rPr>
          <w:bCs/>
        </w:rPr>
        <w:t>day-to-</w:t>
      </w:r>
      <w:r w:rsidR="00905405">
        <w:rPr>
          <w:bCs/>
        </w:rPr>
        <w:t xml:space="preserve">day operations of the respective clinics) will answer questions about how implementation affected the work flow of clinics. </w:t>
      </w:r>
      <w:r w:rsidR="00BD64B4" w:rsidRPr="00F46586">
        <w:rPr>
          <w:bCs/>
        </w:rPr>
        <w:t>Each interview will take</w:t>
      </w:r>
      <w:r w:rsidR="009C3BAA">
        <w:rPr>
          <w:bCs/>
        </w:rPr>
        <w:t xml:space="preserve">, on average, 45 </w:t>
      </w:r>
      <w:r w:rsidR="00BD64B4" w:rsidRPr="00F46586">
        <w:rPr>
          <w:bCs/>
        </w:rPr>
        <w:t>minutes to complete</w:t>
      </w:r>
      <w:r w:rsidR="007E1551">
        <w:rPr>
          <w:bCs/>
        </w:rPr>
        <w:t xml:space="preserve"> based on the staff role</w:t>
      </w:r>
      <w:r w:rsidR="00BD64B4" w:rsidRPr="00F46586">
        <w:rPr>
          <w:bCs/>
        </w:rPr>
        <w:t xml:space="preserve">. </w:t>
      </w:r>
    </w:p>
    <w:p w14:paraId="3403A40D" w14:textId="77777777" w:rsidR="002A6EB5" w:rsidRPr="00F46586" w:rsidRDefault="002A6EB5" w:rsidP="00134107">
      <w:pPr>
        <w:pStyle w:val="ColorfulList-Accent11"/>
        <w:ind w:left="0"/>
      </w:pPr>
    </w:p>
    <w:p w14:paraId="0AB9612A" w14:textId="77777777" w:rsidR="005C0928" w:rsidRPr="00F46586" w:rsidRDefault="005C0928" w:rsidP="005C0928">
      <w:pPr>
        <w:ind w:left="720"/>
      </w:pPr>
    </w:p>
    <w:p w14:paraId="04D144F4" w14:textId="77777777" w:rsidR="005C0928" w:rsidRPr="00F46586" w:rsidRDefault="005C0928" w:rsidP="00227085">
      <w:pPr>
        <w:pStyle w:val="MarkforTableTitle"/>
        <w:rPr>
          <w:rFonts w:ascii="Times New Roman" w:hAnsi="Times New Roman"/>
          <w:b/>
          <w:sz w:val="24"/>
          <w:szCs w:val="24"/>
        </w:rPr>
      </w:pPr>
      <w:r w:rsidRPr="00F46586">
        <w:rPr>
          <w:rFonts w:ascii="Times New Roman" w:hAnsi="Times New Roman"/>
          <w:b/>
          <w:sz w:val="24"/>
          <w:szCs w:val="24"/>
        </w:rPr>
        <w:t>Table A.2.1 Summary of data collection methods under this OMB request</w:t>
      </w:r>
    </w:p>
    <w:tbl>
      <w:tblPr>
        <w:tblStyle w:val="TableGrid"/>
        <w:tblW w:w="9461" w:type="dxa"/>
        <w:tblInd w:w="-5" w:type="dxa"/>
        <w:tblLook w:val="04A0" w:firstRow="1" w:lastRow="0" w:firstColumn="1" w:lastColumn="0" w:noHBand="0" w:noVBand="1"/>
      </w:tblPr>
      <w:tblGrid>
        <w:gridCol w:w="1956"/>
        <w:gridCol w:w="2165"/>
        <w:gridCol w:w="1862"/>
        <w:gridCol w:w="2172"/>
        <w:gridCol w:w="1306"/>
      </w:tblGrid>
      <w:tr w:rsidR="00CD1B5B" w:rsidRPr="00F46586" w14:paraId="206EF09B" w14:textId="77777777" w:rsidTr="00134107">
        <w:tc>
          <w:tcPr>
            <w:tcW w:w="0" w:type="auto"/>
          </w:tcPr>
          <w:p w14:paraId="6B4EFD0F" w14:textId="77777777" w:rsidR="005C0928" w:rsidRPr="00800081" w:rsidRDefault="005C0928" w:rsidP="008E3F4B">
            <w:pPr>
              <w:pStyle w:val="TableHeaderLeft"/>
              <w:rPr>
                <w:rFonts w:ascii="Times New Roman" w:hAnsi="Times New Roman"/>
                <w:b/>
                <w:sz w:val="24"/>
                <w:szCs w:val="24"/>
              </w:rPr>
            </w:pPr>
            <w:r w:rsidRPr="00800081">
              <w:rPr>
                <w:rFonts w:ascii="Times New Roman" w:hAnsi="Times New Roman"/>
                <w:b/>
                <w:sz w:val="24"/>
                <w:szCs w:val="24"/>
              </w:rPr>
              <w:t>Data Collection Method</w:t>
            </w:r>
          </w:p>
        </w:tc>
        <w:tc>
          <w:tcPr>
            <w:tcW w:w="0" w:type="auto"/>
          </w:tcPr>
          <w:p w14:paraId="504F2009" w14:textId="77777777" w:rsidR="005C0928" w:rsidRPr="00800081" w:rsidRDefault="005C0928" w:rsidP="008E3F4B">
            <w:pPr>
              <w:pStyle w:val="TableHeaderCenter"/>
              <w:rPr>
                <w:rFonts w:ascii="Times New Roman" w:hAnsi="Times New Roman"/>
                <w:b/>
                <w:sz w:val="24"/>
                <w:szCs w:val="24"/>
              </w:rPr>
            </w:pPr>
            <w:r w:rsidRPr="00800081">
              <w:rPr>
                <w:rFonts w:ascii="Times New Roman" w:hAnsi="Times New Roman"/>
                <w:b/>
                <w:sz w:val="24"/>
                <w:szCs w:val="24"/>
              </w:rPr>
              <w:t>Data Collected</w:t>
            </w:r>
          </w:p>
        </w:tc>
        <w:tc>
          <w:tcPr>
            <w:tcW w:w="0" w:type="auto"/>
          </w:tcPr>
          <w:p w14:paraId="068CCF37" w14:textId="77777777" w:rsidR="005C0928" w:rsidRPr="00800081" w:rsidRDefault="005C0928" w:rsidP="008E3F4B">
            <w:pPr>
              <w:pStyle w:val="TableHeaderCenter"/>
              <w:rPr>
                <w:rFonts w:ascii="Times New Roman" w:hAnsi="Times New Roman"/>
                <w:b/>
                <w:sz w:val="24"/>
                <w:szCs w:val="24"/>
              </w:rPr>
            </w:pPr>
            <w:r w:rsidRPr="00800081">
              <w:rPr>
                <w:rFonts w:ascii="Times New Roman" w:hAnsi="Times New Roman"/>
                <w:b/>
                <w:sz w:val="24"/>
                <w:szCs w:val="24"/>
              </w:rPr>
              <w:t>Respondent Type</w:t>
            </w:r>
          </w:p>
        </w:tc>
        <w:tc>
          <w:tcPr>
            <w:tcW w:w="0" w:type="auto"/>
          </w:tcPr>
          <w:p w14:paraId="62F63191" w14:textId="77777777" w:rsidR="005C0928" w:rsidRPr="00800081" w:rsidRDefault="005C0928" w:rsidP="008E3F4B">
            <w:pPr>
              <w:pStyle w:val="TableHeaderCenter"/>
              <w:rPr>
                <w:rFonts w:ascii="Times New Roman" w:hAnsi="Times New Roman"/>
                <w:b/>
                <w:sz w:val="24"/>
                <w:szCs w:val="24"/>
              </w:rPr>
            </w:pPr>
            <w:r w:rsidRPr="00800081">
              <w:rPr>
                <w:rFonts w:ascii="Times New Roman" w:hAnsi="Times New Roman"/>
                <w:b/>
                <w:sz w:val="24"/>
                <w:szCs w:val="24"/>
              </w:rPr>
              <w:t>Administration</w:t>
            </w:r>
          </w:p>
        </w:tc>
        <w:tc>
          <w:tcPr>
            <w:tcW w:w="0" w:type="auto"/>
          </w:tcPr>
          <w:p w14:paraId="19D8778C" w14:textId="77777777" w:rsidR="005C0928" w:rsidRPr="00800081" w:rsidRDefault="005C0928" w:rsidP="008E3F4B">
            <w:pPr>
              <w:pStyle w:val="TableHeaderCenter"/>
              <w:rPr>
                <w:rFonts w:ascii="Times New Roman" w:hAnsi="Times New Roman"/>
                <w:b/>
                <w:sz w:val="24"/>
                <w:szCs w:val="24"/>
              </w:rPr>
            </w:pPr>
            <w:r w:rsidRPr="00800081">
              <w:rPr>
                <w:rFonts w:ascii="Times New Roman" w:hAnsi="Times New Roman"/>
                <w:b/>
                <w:sz w:val="24"/>
                <w:szCs w:val="24"/>
              </w:rPr>
              <w:t>Rounds of Data Collection</w:t>
            </w:r>
          </w:p>
        </w:tc>
      </w:tr>
      <w:tr w:rsidR="00585D59" w:rsidRPr="00F46586" w14:paraId="2CC525E7" w14:textId="77777777" w:rsidTr="00134107">
        <w:trPr>
          <w:trHeight w:val="20"/>
        </w:trPr>
        <w:tc>
          <w:tcPr>
            <w:tcW w:w="0" w:type="auto"/>
          </w:tcPr>
          <w:p w14:paraId="5B112D5E" w14:textId="77777777" w:rsidR="00E5617A" w:rsidRDefault="00E5617A" w:rsidP="00216638">
            <w:pPr>
              <w:pStyle w:val="TableText"/>
              <w:spacing w:before="120" w:after="60"/>
              <w:rPr>
                <w:rFonts w:ascii="Times New Roman" w:hAnsi="Times New Roman"/>
                <w:i/>
                <w:sz w:val="24"/>
                <w:szCs w:val="24"/>
              </w:rPr>
            </w:pPr>
            <w:r>
              <w:rPr>
                <w:rFonts w:ascii="Times New Roman" w:hAnsi="Times New Roman"/>
                <w:i/>
                <w:sz w:val="24"/>
                <w:szCs w:val="24"/>
              </w:rPr>
              <w:t>To Assess Fall Risk and Eligibility for Study</w:t>
            </w:r>
          </w:p>
          <w:p w14:paraId="3D065ECB" w14:textId="77777777" w:rsidR="00E5617A" w:rsidRDefault="00E5617A" w:rsidP="00216638">
            <w:pPr>
              <w:pStyle w:val="TableText"/>
              <w:spacing w:before="120" w:after="60"/>
              <w:rPr>
                <w:rFonts w:ascii="Times New Roman" w:hAnsi="Times New Roman"/>
                <w:i/>
                <w:sz w:val="24"/>
                <w:szCs w:val="24"/>
              </w:rPr>
            </w:pPr>
          </w:p>
          <w:p w14:paraId="386F5DF3" w14:textId="69392A7E" w:rsidR="00585D59" w:rsidRDefault="00B933D8" w:rsidP="00A61622">
            <w:pPr>
              <w:pStyle w:val="TableText"/>
              <w:spacing w:before="120" w:after="60"/>
              <w:rPr>
                <w:rFonts w:ascii="Times New Roman" w:hAnsi="Times New Roman"/>
                <w:i/>
                <w:sz w:val="24"/>
                <w:szCs w:val="24"/>
              </w:rPr>
            </w:pPr>
            <w:r>
              <w:rPr>
                <w:rFonts w:ascii="Times New Roman" w:hAnsi="Times New Roman"/>
                <w:i/>
                <w:sz w:val="24"/>
                <w:szCs w:val="24"/>
              </w:rPr>
              <w:t xml:space="preserve">STEADI </w:t>
            </w:r>
            <w:r w:rsidR="00585D59">
              <w:rPr>
                <w:rFonts w:ascii="Times New Roman" w:hAnsi="Times New Roman"/>
                <w:i/>
                <w:sz w:val="24"/>
                <w:szCs w:val="24"/>
              </w:rPr>
              <w:t>Stay Independent Fall Risk Screener</w:t>
            </w:r>
          </w:p>
        </w:tc>
        <w:tc>
          <w:tcPr>
            <w:tcW w:w="0" w:type="auto"/>
          </w:tcPr>
          <w:p w14:paraId="237402B4" w14:textId="77777777" w:rsidR="00585D59" w:rsidRPr="00F46586" w:rsidRDefault="002F4485" w:rsidP="002F4485">
            <w:pPr>
              <w:pStyle w:val="TableText"/>
              <w:spacing w:before="120" w:after="60"/>
              <w:rPr>
                <w:rFonts w:ascii="Times New Roman" w:hAnsi="Times New Roman"/>
                <w:sz w:val="24"/>
                <w:szCs w:val="24"/>
              </w:rPr>
            </w:pPr>
            <w:r>
              <w:rPr>
                <w:rFonts w:ascii="Times New Roman" w:hAnsi="Times New Roman"/>
                <w:sz w:val="24"/>
                <w:szCs w:val="24"/>
              </w:rPr>
              <w:t>Questions to determine study eligibility (fall risk)</w:t>
            </w:r>
          </w:p>
        </w:tc>
        <w:tc>
          <w:tcPr>
            <w:tcW w:w="0" w:type="auto"/>
          </w:tcPr>
          <w:p w14:paraId="34987B8C" w14:textId="77777777" w:rsidR="00585D59" w:rsidRPr="00F46586" w:rsidRDefault="002F4485" w:rsidP="008E3F4B">
            <w:pPr>
              <w:pStyle w:val="TableText"/>
              <w:spacing w:before="120" w:after="60"/>
              <w:rPr>
                <w:rFonts w:ascii="Times New Roman" w:hAnsi="Times New Roman"/>
                <w:sz w:val="24"/>
                <w:szCs w:val="24"/>
              </w:rPr>
            </w:pPr>
            <w:r>
              <w:rPr>
                <w:rFonts w:ascii="Times New Roman" w:hAnsi="Times New Roman"/>
                <w:sz w:val="24"/>
                <w:szCs w:val="24"/>
              </w:rPr>
              <w:t>Older Adults attending a selected clinic</w:t>
            </w:r>
          </w:p>
        </w:tc>
        <w:tc>
          <w:tcPr>
            <w:tcW w:w="0" w:type="auto"/>
          </w:tcPr>
          <w:p w14:paraId="58C880A0" w14:textId="77777777" w:rsidR="00585D59" w:rsidRPr="00F46586" w:rsidRDefault="002F4485" w:rsidP="008E3F4B">
            <w:pPr>
              <w:pStyle w:val="TableText"/>
              <w:spacing w:before="120" w:after="60"/>
              <w:rPr>
                <w:rFonts w:ascii="Times New Roman" w:hAnsi="Times New Roman"/>
                <w:sz w:val="24"/>
                <w:szCs w:val="24"/>
              </w:rPr>
            </w:pPr>
            <w:r>
              <w:rPr>
                <w:rFonts w:ascii="Times New Roman" w:hAnsi="Times New Roman"/>
                <w:sz w:val="24"/>
                <w:szCs w:val="24"/>
              </w:rPr>
              <w:t>Paper forms to be filled out in the waiting room of clinic</w:t>
            </w:r>
          </w:p>
        </w:tc>
        <w:tc>
          <w:tcPr>
            <w:tcW w:w="0" w:type="auto"/>
          </w:tcPr>
          <w:p w14:paraId="1EFB6101" w14:textId="77777777" w:rsidR="00585D59" w:rsidRPr="00F46586" w:rsidRDefault="002F4485" w:rsidP="008E3F4B">
            <w:pPr>
              <w:pStyle w:val="TableText"/>
              <w:spacing w:before="120" w:after="60"/>
              <w:rPr>
                <w:rStyle w:val="CommentReference"/>
                <w:rFonts w:ascii="Times New Roman" w:hAnsi="Times New Roman"/>
                <w:sz w:val="24"/>
                <w:szCs w:val="24"/>
              </w:rPr>
            </w:pPr>
            <w:r>
              <w:rPr>
                <w:rStyle w:val="CommentReference"/>
                <w:rFonts w:ascii="Times New Roman" w:hAnsi="Times New Roman"/>
                <w:sz w:val="24"/>
                <w:szCs w:val="24"/>
              </w:rPr>
              <w:t xml:space="preserve">1 round </w:t>
            </w:r>
          </w:p>
        </w:tc>
      </w:tr>
      <w:tr w:rsidR="00CD1B5B" w:rsidRPr="00F46586" w14:paraId="21F62B97" w14:textId="77777777" w:rsidTr="00134107">
        <w:trPr>
          <w:trHeight w:val="20"/>
        </w:trPr>
        <w:tc>
          <w:tcPr>
            <w:tcW w:w="0" w:type="auto"/>
          </w:tcPr>
          <w:p w14:paraId="224BCDC9" w14:textId="77777777" w:rsidR="00216638" w:rsidRPr="00216638" w:rsidRDefault="00216638" w:rsidP="00216638">
            <w:pPr>
              <w:pStyle w:val="TableText"/>
              <w:spacing w:before="120" w:after="60"/>
              <w:rPr>
                <w:rFonts w:ascii="Times New Roman" w:hAnsi="Times New Roman"/>
                <w:sz w:val="24"/>
                <w:szCs w:val="24"/>
              </w:rPr>
            </w:pPr>
            <w:r>
              <w:rPr>
                <w:rFonts w:ascii="Times New Roman" w:hAnsi="Times New Roman"/>
                <w:i/>
                <w:sz w:val="24"/>
                <w:szCs w:val="24"/>
              </w:rPr>
              <w:t xml:space="preserve">To Assess </w:t>
            </w:r>
            <w:r w:rsidR="00055D1E">
              <w:rPr>
                <w:rFonts w:ascii="Times New Roman" w:hAnsi="Times New Roman"/>
                <w:i/>
                <w:sz w:val="24"/>
                <w:szCs w:val="24"/>
              </w:rPr>
              <w:t xml:space="preserve">Impact </w:t>
            </w:r>
            <w:r>
              <w:rPr>
                <w:rFonts w:ascii="Times New Roman" w:hAnsi="Times New Roman"/>
                <w:i/>
                <w:sz w:val="24"/>
                <w:szCs w:val="24"/>
              </w:rPr>
              <w:t>of STEADI</w:t>
            </w:r>
          </w:p>
          <w:p w14:paraId="51225AB4" w14:textId="77777777" w:rsidR="005C0928" w:rsidRPr="00F46586" w:rsidRDefault="008E3F4B" w:rsidP="00216638">
            <w:pPr>
              <w:pStyle w:val="TableText"/>
              <w:spacing w:before="120" w:after="60"/>
              <w:rPr>
                <w:rFonts w:ascii="Times New Roman" w:hAnsi="Times New Roman"/>
                <w:sz w:val="24"/>
                <w:szCs w:val="24"/>
              </w:rPr>
            </w:pPr>
            <w:r w:rsidRPr="00F46586">
              <w:rPr>
                <w:rFonts w:ascii="Times New Roman" w:hAnsi="Times New Roman"/>
                <w:sz w:val="24"/>
                <w:szCs w:val="24"/>
              </w:rPr>
              <w:t>Patient Surveys</w:t>
            </w:r>
            <w:r w:rsidR="00216638">
              <w:rPr>
                <w:rFonts w:ascii="Times New Roman" w:hAnsi="Times New Roman"/>
                <w:sz w:val="24"/>
                <w:szCs w:val="24"/>
              </w:rPr>
              <w:t xml:space="preserve">  </w:t>
            </w:r>
          </w:p>
        </w:tc>
        <w:tc>
          <w:tcPr>
            <w:tcW w:w="0" w:type="auto"/>
          </w:tcPr>
          <w:p w14:paraId="2DFE9E8F" w14:textId="77777777" w:rsidR="005C0928" w:rsidRPr="00F46586" w:rsidRDefault="008E3F4B" w:rsidP="008E3F4B">
            <w:pPr>
              <w:pStyle w:val="TableText"/>
              <w:spacing w:before="120" w:after="60"/>
              <w:rPr>
                <w:rFonts w:ascii="Times New Roman" w:hAnsi="Times New Roman"/>
                <w:sz w:val="24"/>
                <w:szCs w:val="24"/>
              </w:rPr>
            </w:pPr>
            <w:r w:rsidRPr="00F46586">
              <w:rPr>
                <w:rFonts w:ascii="Times New Roman" w:hAnsi="Times New Roman"/>
                <w:sz w:val="24"/>
                <w:szCs w:val="24"/>
              </w:rPr>
              <w:t>Self-reported falls</w:t>
            </w:r>
            <w:r w:rsidR="00096A12" w:rsidRPr="00F46586">
              <w:rPr>
                <w:rFonts w:ascii="Times New Roman" w:hAnsi="Times New Roman"/>
                <w:sz w:val="24"/>
                <w:szCs w:val="24"/>
              </w:rPr>
              <w:t>, fall</w:t>
            </w:r>
            <w:r w:rsidR="00BA2B58">
              <w:rPr>
                <w:rFonts w:ascii="Times New Roman" w:hAnsi="Times New Roman"/>
                <w:sz w:val="24"/>
                <w:szCs w:val="24"/>
              </w:rPr>
              <w:t>-related</w:t>
            </w:r>
            <w:r w:rsidR="00096A12" w:rsidRPr="00F46586">
              <w:rPr>
                <w:rFonts w:ascii="Times New Roman" w:hAnsi="Times New Roman"/>
                <w:sz w:val="24"/>
                <w:szCs w:val="24"/>
              </w:rPr>
              <w:t xml:space="preserve"> injuries,</w:t>
            </w:r>
            <w:r w:rsidRPr="00F46586">
              <w:rPr>
                <w:rFonts w:ascii="Times New Roman" w:hAnsi="Times New Roman"/>
                <w:sz w:val="24"/>
                <w:szCs w:val="24"/>
              </w:rPr>
              <w:t xml:space="preserve"> and participation in recommended interventions</w:t>
            </w:r>
          </w:p>
        </w:tc>
        <w:tc>
          <w:tcPr>
            <w:tcW w:w="0" w:type="auto"/>
          </w:tcPr>
          <w:p w14:paraId="1C158E65" w14:textId="77777777" w:rsidR="005C0928" w:rsidRPr="00F46586" w:rsidRDefault="005C0928" w:rsidP="008E3F4B">
            <w:pPr>
              <w:pStyle w:val="TableText"/>
              <w:spacing w:before="120" w:after="60"/>
              <w:rPr>
                <w:rFonts w:ascii="Times New Roman" w:hAnsi="Times New Roman"/>
                <w:sz w:val="24"/>
                <w:szCs w:val="24"/>
              </w:rPr>
            </w:pPr>
            <w:r w:rsidRPr="00F46586">
              <w:rPr>
                <w:rFonts w:ascii="Times New Roman" w:hAnsi="Times New Roman"/>
                <w:sz w:val="24"/>
                <w:szCs w:val="24"/>
              </w:rPr>
              <w:t>All patients (treatment and control) who completed the STEADI Falls Risk Screener and agreed to participate in the study</w:t>
            </w:r>
          </w:p>
        </w:tc>
        <w:tc>
          <w:tcPr>
            <w:tcW w:w="0" w:type="auto"/>
          </w:tcPr>
          <w:p w14:paraId="0204863F" w14:textId="33FC32B1" w:rsidR="005C0928" w:rsidRPr="00F46586" w:rsidRDefault="002033A5" w:rsidP="003D3404">
            <w:pPr>
              <w:pStyle w:val="TableText"/>
              <w:spacing w:before="120" w:after="60"/>
              <w:rPr>
                <w:rFonts w:ascii="Times New Roman" w:hAnsi="Times New Roman"/>
                <w:sz w:val="24"/>
                <w:szCs w:val="24"/>
              </w:rPr>
            </w:pPr>
            <w:r w:rsidRPr="00F46586">
              <w:rPr>
                <w:rFonts w:ascii="Times New Roman" w:hAnsi="Times New Roman"/>
                <w:sz w:val="24"/>
                <w:szCs w:val="24"/>
              </w:rPr>
              <w:t xml:space="preserve">Web </w:t>
            </w:r>
            <w:r w:rsidR="005C0928" w:rsidRPr="00F46586">
              <w:rPr>
                <w:rFonts w:ascii="Times New Roman" w:hAnsi="Times New Roman"/>
                <w:sz w:val="24"/>
                <w:szCs w:val="24"/>
              </w:rPr>
              <w:t>surveys followed up with mail and phone surveys for non-respondents</w:t>
            </w:r>
            <w:r w:rsidR="00EE2E35">
              <w:rPr>
                <w:rFonts w:ascii="Times New Roman" w:hAnsi="Times New Roman"/>
                <w:sz w:val="24"/>
                <w:szCs w:val="24"/>
              </w:rPr>
              <w:t xml:space="preserve">, falls </w:t>
            </w:r>
            <w:r w:rsidR="003D3404">
              <w:rPr>
                <w:rFonts w:ascii="Times New Roman" w:hAnsi="Times New Roman"/>
                <w:sz w:val="24"/>
                <w:szCs w:val="24"/>
              </w:rPr>
              <w:t xml:space="preserve">tracking log </w:t>
            </w:r>
            <w:r w:rsidR="00EE2E35">
              <w:rPr>
                <w:rFonts w:ascii="Times New Roman" w:hAnsi="Times New Roman"/>
                <w:sz w:val="24"/>
                <w:szCs w:val="24"/>
              </w:rPr>
              <w:t>to be filled out by patients when they experience a fall</w:t>
            </w:r>
          </w:p>
        </w:tc>
        <w:tc>
          <w:tcPr>
            <w:tcW w:w="0" w:type="auto"/>
          </w:tcPr>
          <w:p w14:paraId="029ED24B" w14:textId="77777777" w:rsidR="005C0928" w:rsidRPr="00F46586" w:rsidRDefault="005C0928" w:rsidP="008E3F4B">
            <w:pPr>
              <w:pStyle w:val="TableText"/>
              <w:spacing w:before="120" w:after="60"/>
              <w:rPr>
                <w:rFonts w:ascii="Times New Roman" w:hAnsi="Times New Roman"/>
                <w:sz w:val="24"/>
                <w:szCs w:val="24"/>
              </w:rPr>
            </w:pPr>
            <w:r w:rsidRPr="00F46586">
              <w:rPr>
                <w:rStyle w:val="CommentReference"/>
                <w:rFonts w:ascii="Times New Roman" w:hAnsi="Times New Roman"/>
                <w:sz w:val="24"/>
                <w:szCs w:val="24"/>
              </w:rPr>
              <w:t xml:space="preserve">4 rounds </w:t>
            </w:r>
            <w:r w:rsidR="00216638">
              <w:rPr>
                <w:rStyle w:val="CommentReference"/>
                <w:rFonts w:ascii="Times New Roman" w:hAnsi="Times New Roman"/>
                <w:sz w:val="24"/>
                <w:szCs w:val="24"/>
              </w:rPr>
              <w:t>over 1 year</w:t>
            </w:r>
          </w:p>
        </w:tc>
      </w:tr>
      <w:tr w:rsidR="00CD1B5B" w:rsidRPr="00F46586" w14:paraId="737CF82A" w14:textId="77777777" w:rsidTr="00134107">
        <w:trPr>
          <w:trHeight w:val="20"/>
        </w:trPr>
        <w:tc>
          <w:tcPr>
            <w:tcW w:w="0" w:type="auto"/>
          </w:tcPr>
          <w:p w14:paraId="7BF30DFF" w14:textId="77777777" w:rsidR="00216638" w:rsidRDefault="00216638" w:rsidP="00E61F6E">
            <w:pPr>
              <w:pStyle w:val="TableText"/>
              <w:spacing w:before="120" w:after="60"/>
              <w:rPr>
                <w:rFonts w:ascii="Times New Roman" w:hAnsi="Times New Roman"/>
                <w:i/>
                <w:sz w:val="24"/>
                <w:szCs w:val="24"/>
              </w:rPr>
            </w:pPr>
            <w:r>
              <w:rPr>
                <w:rFonts w:ascii="Times New Roman" w:hAnsi="Times New Roman"/>
                <w:i/>
                <w:sz w:val="24"/>
                <w:szCs w:val="24"/>
              </w:rPr>
              <w:t xml:space="preserve">To Assess Feasibility </w:t>
            </w:r>
            <w:r w:rsidR="00F4643E">
              <w:rPr>
                <w:rFonts w:ascii="Times New Roman" w:hAnsi="Times New Roman"/>
                <w:i/>
                <w:sz w:val="24"/>
                <w:szCs w:val="24"/>
              </w:rPr>
              <w:t xml:space="preserve">and Fidelity </w:t>
            </w:r>
            <w:r>
              <w:rPr>
                <w:rFonts w:ascii="Times New Roman" w:hAnsi="Times New Roman"/>
                <w:i/>
                <w:sz w:val="24"/>
                <w:szCs w:val="24"/>
              </w:rPr>
              <w:t>of Implementation</w:t>
            </w:r>
          </w:p>
          <w:p w14:paraId="366CF981" w14:textId="77777777" w:rsidR="005C0928" w:rsidRPr="00F46586" w:rsidRDefault="00096A12" w:rsidP="00E61F6E">
            <w:pPr>
              <w:pStyle w:val="TableText"/>
              <w:spacing w:before="120" w:after="60"/>
              <w:rPr>
                <w:rFonts w:ascii="Times New Roman" w:hAnsi="Times New Roman"/>
                <w:sz w:val="24"/>
                <w:szCs w:val="24"/>
              </w:rPr>
            </w:pPr>
            <w:r w:rsidRPr="00F46586">
              <w:rPr>
                <w:rFonts w:ascii="Times New Roman" w:hAnsi="Times New Roman"/>
                <w:sz w:val="24"/>
                <w:szCs w:val="24"/>
              </w:rPr>
              <w:t>Process Evaluation Interviews</w:t>
            </w:r>
            <w:r w:rsidR="00E61F6E">
              <w:rPr>
                <w:rFonts w:ascii="Times New Roman" w:hAnsi="Times New Roman"/>
                <w:sz w:val="24"/>
                <w:szCs w:val="24"/>
              </w:rPr>
              <w:t>- Physicians/ physician assistants</w:t>
            </w:r>
            <w:r w:rsidR="00FC1926">
              <w:rPr>
                <w:rFonts w:ascii="Times New Roman" w:hAnsi="Times New Roman"/>
                <w:sz w:val="24"/>
                <w:szCs w:val="24"/>
              </w:rPr>
              <w:t>/Nurse practitioners</w:t>
            </w:r>
          </w:p>
        </w:tc>
        <w:tc>
          <w:tcPr>
            <w:tcW w:w="0" w:type="auto"/>
          </w:tcPr>
          <w:p w14:paraId="0DACAC19" w14:textId="77777777" w:rsidR="005C0928" w:rsidRPr="00F46586" w:rsidRDefault="005C0928" w:rsidP="002D6255">
            <w:pPr>
              <w:pStyle w:val="TableText"/>
              <w:spacing w:before="120" w:after="60"/>
              <w:rPr>
                <w:rFonts w:ascii="Times New Roman" w:hAnsi="Times New Roman"/>
                <w:sz w:val="24"/>
                <w:szCs w:val="24"/>
              </w:rPr>
            </w:pPr>
            <w:r w:rsidRPr="00F46586">
              <w:rPr>
                <w:rFonts w:ascii="Times New Roman" w:hAnsi="Times New Roman"/>
                <w:sz w:val="24"/>
                <w:szCs w:val="24"/>
              </w:rPr>
              <w:t>Attitudes and concerns about STEADI implementation</w:t>
            </w:r>
            <w:r w:rsidR="00C94465" w:rsidRPr="00F46586">
              <w:rPr>
                <w:rFonts w:ascii="Times New Roman" w:hAnsi="Times New Roman"/>
                <w:sz w:val="24"/>
                <w:szCs w:val="24"/>
              </w:rPr>
              <w:t xml:space="preserve"> (</w:t>
            </w:r>
            <w:r w:rsidR="00826E33" w:rsidRPr="00F46586">
              <w:rPr>
                <w:rFonts w:ascii="Times New Roman" w:hAnsi="Times New Roman"/>
                <w:sz w:val="24"/>
                <w:szCs w:val="24"/>
              </w:rPr>
              <w:t xml:space="preserve">fidelity, ease of use, time, communication between providers and nurses, </w:t>
            </w:r>
            <w:r w:rsidR="00C94465" w:rsidRPr="00F46586">
              <w:rPr>
                <w:rFonts w:ascii="Times New Roman" w:hAnsi="Times New Roman"/>
                <w:sz w:val="24"/>
                <w:szCs w:val="24"/>
              </w:rPr>
              <w:t xml:space="preserve"> provider efficacy</w:t>
            </w:r>
            <w:r w:rsidR="00826E33" w:rsidRPr="00F46586">
              <w:rPr>
                <w:rFonts w:ascii="Times New Roman" w:hAnsi="Times New Roman"/>
                <w:sz w:val="24"/>
                <w:szCs w:val="24"/>
              </w:rPr>
              <w:t>, patient engagement</w:t>
            </w:r>
            <w:r w:rsidR="00C94465" w:rsidRPr="00F46586">
              <w:rPr>
                <w:rFonts w:ascii="Times New Roman" w:hAnsi="Times New Roman"/>
                <w:sz w:val="24"/>
                <w:szCs w:val="24"/>
              </w:rPr>
              <w:t>)</w:t>
            </w:r>
          </w:p>
        </w:tc>
        <w:tc>
          <w:tcPr>
            <w:tcW w:w="0" w:type="auto"/>
          </w:tcPr>
          <w:p w14:paraId="3452F394" w14:textId="77777777" w:rsidR="005C0928" w:rsidRPr="00F46586" w:rsidRDefault="00440607" w:rsidP="008E3F4B">
            <w:pPr>
              <w:pStyle w:val="TableText"/>
              <w:spacing w:before="120" w:after="60"/>
              <w:rPr>
                <w:rFonts w:ascii="Times New Roman" w:hAnsi="Times New Roman"/>
                <w:sz w:val="24"/>
                <w:szCs w:val="24"/>
              </w:rPr>
            </w:pPr>
            <w:r>
              <w:rPr>
                <w:rFonts w:ascii="Times New Roman" w:hAnsi="Times New Roman"/>
                <w:sz w:val="24"/>
                <w:szCs w:val="24"/>
              </w:rPr>
              <w:t>Clinic staff</w:t>
            </w:r>
            <w:r w:rsidRPr="00F46586">
              <w:rPr>
                <w:rFonts w:ascii="Times New Roman" w:hAnsi="Times New Roman"/>
                <w:sz w:val="24"/>
                <w:szCs w:val="24"/>
              </w:rPr>
              <w:t xml:space="preserve"> </w:t>
            </w:r>
            <w:r w:rsidR="00CD1B5B">
              <w:rPr>
                <w:rFonts w:ascii="Times New Roman" w:hAnsi="Times New Roman"/>
                <w:sz w:val="24"/>
                <w:szCs w:val="24"/>
              </w:rPr>
              <w:t xml:space="preserve">(physician, physician assistants, etc.) </w:t>
            </w:r>
            <w:r w:rsidR="005C0928" w:rsidRPr="00F46586">
              <w:rPr>
                <w:rFonts w:ascii="Times New Roman" w:hAnsi="Times New Roman"/>
                <w:sz w:val="24"/>
                <w:szCs w:val="24"/>
              </w:rPr>
              <w:t>implementing STEADI</w:t>
            </w:r>
          </w:p>
          <w:p w14:paraId="6D574CF4" w14:textId="77777777" w:rsidR="00826E33" w:rsidRPr="00F46586" w:rsidRDefault="00826E33" w:rsidP="008E3F4B">
            <w:pPr>
              <w:pStyle w:val="TableText"/>
              <w:spacing w:before="120" w:after="60"/>
              <w:rPr>
                <w:rFonts w:ascii="Times New Roman" w:hAnsi="Times New Roman"/>
                <w:sz w:val="24"/>
                <w:szCs w:val="24"/>
              </w:rPr>
            </w:pPr>
          </w:p>
        </w:tc>
        <w:tc>
          <w:tcPr>
            <w:tcW w:w="0" w:type="auto"/>
          </w:tcPr>
          <w:p w14:paraId="493024D3" w14:textId="77777777" w:rsidR="005C0928" w:rsidRPr="00F46586" w:rsidRDefault="00C94465" w:rsidP="008E3F4B">
            <w:pPr>
              <w:pStyle w:val="TableText"/>
              <w:spacing w:before="120" w:after="60"/>
              <w:rPr>
                <w:rFonts w:ascii="Times New Roman" w:hAnsi="Times New Roman"/>
                <w:sz w:val="24"/>
                <w:szCs w:val="24"/>
              </w:rPr>
            </w:pPr>
            <w:r w:rsidRPr="00F46586">
              <w:rPr>
                <w:rFonts w:ascii="Times New Roman" w:hAnsi="Times New Roman"/>
                <w:sz w:val="24"/>
                <w:szCs w:val="24"/>
              </w:rPr>
              <w:t>In-person or telephone interview</w:t>
            </w:r>
          </w:p>
        </w:tc>
        <w:tc>
          <w:tcPr>
            <w:tcW w:w="0" w:type="auto"/>
          </w:tcPr>
          <w:p w14:paraId="570199FA" w14:textId="77777777" w:rsidR="005C0928" w:rsidRPr="00F46586" w:rsidRDefault="005C0928" w:rsidP="008E3F4B">
            <w:pPr>
              <w:pStyle w:val="TableText"/>
              <w:spacing w:before="120" w:after="60"/>
              <w:rPr>
                <w:rFonts w:ascii="Times New Roman" w:hAnsi="Times New Roman"/>
                <w:sz w:val="24"/>
                <w:szCs w:val="24"/>
              </w:rPr>
            </w:pPr>
            <w:r w:rsidRPr="00F46586">
              <w:rPr>
                <w:rFonts w:ascii="Times New Roman" w:hAnsi="Times New Roman"/>
                <w:sz w:val="24"/>
                <w:szCs w:val="24"/>
              </w:rPr>
              <w:t>1 round</w:t>
            </w:r>
          </w:p>
        </w:tc>
      </w:tr>
      <w:tr w:rsidR="00CD1B5B" w:rsidRPr="00F46586" w14:paraId="36BD3424" w14:textId="77777777" w:rsidTr="00134107">
        <w:trPr>
          <w:trHeight w:val="20"/>
        </w:trPr>
        <w:tc>
          <w:tcPr>
            <w:tcW w:w="0" w:type="auto"/>
          </w:tcPr>
          <w:p w14:paraId="7814462E" w14:textId="77777777" w:rsidR="00CD11CD" w:rsidRPr="00F46586" w:rsidRDefault="00CD11CD" w:rsidP="00A214D0">
            <w:pPr>
              <w:pStyle w:val="TableText"/>
              <w:spacing w:before="120" w:after="60"/>
              <w:rPr>
                <w:rFonts w:ascii="Times New Roman" w:hAnsi="Times New Roman"/>
                <w:sz w:val="24"/>
                <w:szCs w:val="24"/>
              </w:rPr>
            </w:pPr>
            <w:r>
              <w:rPr>
                <w:rFonts w:ascii="Times New Roman" w:hAnsi="Times New Roman"/>
                <w:sz w:val="24"/>
                <w:szCs w:val="24"/>
              </w:rPr>
              <w:t xml:space="preserve">Process Evaluation Interviews- </w:t>
            </w:r>
            <w:r w:rsidR="00A214D0">
              <w:rPr>
                <w:rFonts w:ascii="Times New Roman" w:hAnsi="Times New Roman"/>
                <w:sz w:val="24"/>
                <w:szCs w:val="24"/>
              </w:rPr>
              <w:t>Clinic o</w:t>
            </w:r>
            <w:r>
              <w:rPr>
                <w:rFonts w:ascii="Times New Roman" w:hAnsi="Times New Roman"/>
                <w:sz w:val="24"/>
                <w:szCs w:val="24"/>
              </w:rPr>
              <w:t xml:space="preserve">perations </w:t>
            </w:r>
            <w:r w:rsidR="00A72EC6">
              <w:rPr>
                <w:rFonts w:ascii="Times New Roman" w:hAnsi="Times New Roman"/>
                <w:sz w:val="24"/>
                <w:szCs w:val="24"/>
              </w:rPr>
              <w:t>managers</w:t>
            </w:r>
          </w:p>
        </w:tc>
        <w:tc>
          <w:tcPr>
            <w:tcW w:w="0" w:type="auto"/>
          </w:tcPr>
          <w:p w14:paraId="3CD543EE" w14:textId="77777777" w:rsidR="00CD11CD" w:rsidRPr="00F46586" w:rsidRDefault="004D0520" w:rsidP="00CD11CD">
            <w:pPr>
              <w:pStyle w:val="TableText"/>
              <w:spacing w:before="120" w:after="60"/>
              <w:rPr>
                <w:rFonts w:ascii="Times New Roman" w:hAnsi="Times New Roman"/>
                <w:sz w:val="24"/>
                <w:szCs w:val="24"/>
              </w:rPr>
            </w:pPr>
            <w:r w:rsidRPr="00F46586">
              <w:rPr>
                <w:rFonts w:ascii="Times New Roman" w:hAnsi="Times New Roman"/>
                <w:sz w:val="24"/>
                <w:szCs w:val="24"/>
              </w:rPr>
              <w:t>Attitudes and concerns about STEADI implementation</w:t>
            </w:r>
          </w:p>
        </w:tc>
        <w:tc>
          <w:tcPr>
            <w:tcW w:w="0" w:type="auto"/>
          </w:tcPr>
          <w:p w14:paraId="5C9BC69E" w14:textId="77777777" w:rsidR="00CD11CD" w:rsidRPr="00F46586" w:rsidRDefault="00A214D0" w:rsidP="00A214D0">
            <w:pPr>
              <w:pStyle w:val="TableText"/>
              <w:spacing w:before="120" w:after="60"/>
              <w:rPr>
                <w:rFonts w:ascii="Times New Roman" w:hAnsi="Times New Roman"/>
                <w:sz w:val="24"/>
                <w:szCs w:val="24"/>
              </w:rPr>
            </w:pPr>
            <w:r>
              <w:rPr>
                <w:rFonts w:ascii="Times New Roman" w:hAnsi="Times New Roman"/>
                <w:sz w:val="24"/>
                <w:szCs w:val="24"/>
              </w:rPr>
              <w:t>Clinic o</w:t>
            </w:r>
            <w:r w:rsidR="00CD11CD">
              <w:rPr>
                <w:rFonts w:ascii="Times New Roman" w:hAnsi="Times New Roman"/>
                <w:sz w:val="24"/>
                <w:szCs w:val="24"/>
              </w:rPr>
              <w:t>perations managers at clinics where STEADI is being implemented</w:t>
            </w:r>
          </w:p>
        </w:tc>
        <w:tc>
          <w:tcPr>
            <w:tcW w:w="0" w:type="auto"/>
          </w:tcPr>
          <w:p w14:paraId="5F1F8E56" w14:textId="77777777" w:rsidR="00CD11CD" w:rsidRPr="00F46586" w:rsidRDefault="00CD11CD" w:rsidP="00CD11CD">
            <w:pPr>
              <w:pStyle w:val="TableText"/>
              <w:spacing w:before="120" w:after="60"/>
              <w:rPr>
                <w:rFonts w:ascii="Times New Roman" w:hAnsi="Times New Roman"/>
                <w:sz w:val="24"/>
                <w:szCs w:val="24"/>
              </w:rPr>
            </w:pPr>
            <w:r w:rsidRPr="00F46586">
              <w:rPr>
                <w:rFonts w:ascii="Times New Roman" w:hAnsi="Times New Roman"/>
                <w:sz w:val="24"/>
                <w:szCs w:val="24"/>
              </w:rPr>
              <w:t>In-person or telephone interview</w:t>
            </w:r>
          </w:p>
        </w:tc>
        <w:tc>
          <w:tcPr>
            <w:tcW w:w="0" w:type="auto"/>
          </w:tcPr>
          <w:p w14:paraId="58A46B82" w14:textId="77777777" w:rsidR="00CD11CD" w:rsidRPr="00F46586" w:rsidRDefault="00CD11CD" w:rsidP="00CD11CD">
            <w:pPr>
              <w:pStyle w:val="TableText"/>
              <w:spacing w:before="120" w:after="60"/>
              <w:rPr>
                <w:rFonts w:ascii="Times New Roman" w:hAnsi="Times New Roman"/>
                <w:sz w:val="24"/>
                <w:szCs w:val="24"/>
              </w:rPr>
            </w:pPr>
            <w:r w:rsidRPr="00F46586">
              <w:rPr>
                <w:rFonts w:ascii="Times New Roman" w:hAnsi="Times New Roman"/>
                <w:sz w:val="24"/>
                <w:szCs w:val="24"/>
              </w:rPr>
              <w:t>1 round</w:t>
            </w:r>
          </w:p>
        </w:tc>
      </w:tr>
    </w:tbl>
    <w:p w14:paraId="138621B9" w14:textId="77777777" w:rsidR="005C0928" w:rsidRPr="00F46586" w:rsidRDefault="005C0928" w:rsidP="0052522D">
      <w:pPr>
        <w:pStyle w:val="ColorfulList-Accent11"/>
        <w:ind w:left="0"/>
        <w:rPr>
          <w:bCs/>
        </w:rPr>
      </w:pPr>
    </w:p>
    <w:p w14:paraId="1BC8651D" w14:textId="77777777" w:rsidR="008E3F4B" w:rsidRPr="00227085" w:rsidRDefault="00227085" w:rsidP="0052522D">
      <w:pPr>
        <w:pStyle w:val="ColorfulList-Accent11"/>
        <w:ind w:left="0"/>
        <w:rPr>
          <w:b/>
          <w:bCs/>
        </w:rPr>
      </w:pPr>
      <w:r>
        <w:rPr>
          <w:b/>
          <w:bCs/>
        </w:rPr>
        <w:t>Table A.2.2</w:t>
      </w:r>
      <w:r w:rsidRPr="00F46586">
        <w:rPr>
          <w:b/>
          <w:bCs/>
        </w:rPr>
        <w:t xml:space="preserve"> Patient Surveys Crosswalk of Questions with Indicators</w:t>
      </w:r>
    </w:p>
    <w:tbl>
      <w:tblPr>
        <w:tblStyle w:val="TableGrid"/>
        <w:tblW w:w="9450" w:type="dxa"/>
        <w:tblInd w:w="-5" w:type="dxa"/>
        <w:tblLook w:val="04A0" w:firstRow="1" w:lastRow="0" w:firstColumn="1" w:lastColumn="0" w:noHBand="0" w:noVBand="1"/>
      </w:tblPr>
      <w:tblGrid>
        <w:gridCol w:w="3109"/>
        <w:gridCol w:w="2770"/>
        <w:gridCol w:w="3571"/>
      </w:tblGrid>
      <w:tr w:rsidR="00227085" w:rsidRPr="00F46586" w14:paraId="5284AE0F" w14:textId="77777777" w:rsidTr="0012271D">
        <w:tc>
          <w:tcPr>
            <w:tcW w:w="3109" w:type="dxa"/>
          </w:tcPr>
          <w:p w14:paraId="71DBD822" w14:textId="77777777" w:rsidR="00227085" w:rsidRPr="00F46586" w:rsidRDefault="00227085" w:rsidP="0012271D">
            <w:pPr>
              <w:pStyle w:val="ColorfulList-Accent11"/>
              <w:ind w:left="0"/>
              <w:rPr>
                <w:bCs/>
              </w:rPr>
            </w:pPr>
            <w:r w:rsidRPr="00F46586">
              <w:rPr>
                <w:bCs/>
              </w:rPr>
              <w:t>Questions</w:t>
            </w:r>
          </w:p>
        </w:tc>
        <w:tc>
          <w:tcPr>
            <w:tcW w:w="2770" w:type="dxa"/>
          </w:tcPr>
          <w:p w14:paraId="19FF7EF3" w14:textId="77777777" w:rsidR="00227085" w:rsidRPr="00F46586" w:rsidRDefault="00227085" w:rsidP="0012271D">
            <w:pPr>
              <w:pStyle w:val="ColorfulList-Accent11"/>
              <w:ind w:left="0"/>
              <w:rPr>
                <w:bCs/>
              </w:rPr>
            </w:pPr>
            <w:r w:rsidRPr="00F46586">
              <w:rPr>
                <w:bCs/>
              </w:rPr>
              <w:t>Questions Description</w:t>
            </w:r>
          </w:p>
        </w:tc>
        <w:tc>
          <w:tcPr>
            <w:tcW w:w="3571" w:type="dxa"/>
          </w:tcPr>
          <w:p w14:paraId="79B5E7A5" w14:textId="77777777" w:rsidR="00227085" w:rsidRPr="00F46586" w:rsidRDefault="00227085" w:rsidP="0012271D">
            <w:pPr>
              <w:pStyle w:val="ColorfulList-Accent11"/>
              <w:ind w:left="0"/>
              <w:rPr>
                <w:bCs/>
              </w:rPr>
            </w:pPr>
            <w:r w:rsidRPr="00F46586">
              <w:rPr>
                <w:bCs/>
              </w:rPr>
              <w:t>Indicator</w:t>
            </w:r>
          </w:p>
        </w:tc>
      </w:tr>
      <w:tr w:rsidR="00AD4B07" w:rsidRPr="00F46586" w14:paraId="30F32323" w14:textId="77777777" w:rsidTr="0012271D">
        <w:trPr>
          <w:trHeight w:val="710"/>
        </w:trPr>
        <w:tc>
          <w:tcPr>
            <w:tcW w:w="3109" w:type="dxa"/>
          </w:tcPr>
          <w:p w14:paraId="175C603D" w14:textId="483E7E64" w:rsidR="00AD4B07" w:rsidRPr="00F46586" w:rsidRDefault="00AD4B07" w:rsidP="00AD4B07">
            <w:pPr>
              <w:pStyle w:val="ColorfulList-Accent11"/>
              <w:ind w:left="0"/>
              <w:rPr>
                <w:bCs/>
              </w:rPr>
            </w:pPr>
            <w:r>
              <w:rPr>
                <w:bCs/>
              </w:rPr>
              <w:t>Baseline survey questions 1-2</w:t>
            </w:r>
          </w:p>
        </w:tc>
        <w:tc>
          <w:tcPr>
            <w:tcW w:w="2770" w:type="dxa"/>
          </w:tcPr>
          <w:p w14:paraId="4DE4BA2F" w14:textId="2B7E21E4" w:rsidR="00AD4B07" w:rsidRPr="00F46586" w:rsidRDefault="00AD4B07" w:rsidP="0012271D">
            <w:pPr>
              <w:pStyle w:val="ColorfulList-Accent11"/>
              <w:ind w:left="0"/>
              <w:rPr>
                <w:bCs/>
              </w:rPr>
            </w:pPr>
            <w:r w:rsidRPr="00AD4B07">
              <w:rPr>
                <w:bCs/>
              </w:rPr>
              <w:t>Falls and fall injuries in the past 12 months</w:t>
            </w:r>
          </w:p>
        </w:tc>
        <w:tc>
          <w:tcPr>
            <w:tcW w:w="3571" w:type="dxa"/>
          </w:tcPr>
          <w:p w14:paraId="5AC7757D" w14:textId="2EDC3BF6" w:rsidR="00AD4B07" w:rsidRPr="00F46586" w:rsidRDefault="00AD4B07" w:rsidP="00FA114B">
            <w:pPr>
              <w:pStyle w:val="ColorfulList-Accent11"/>
              <w:ind w:left="0"/>
              <w:rPr>
                <w:bCs/>
              </w:rPr>
            </w:pPr>
            <w:r w:rsidRPr="00AD4B07">
              <w:rPr>
                <w:bCs/>
              </w:rPr>
              <w:t>Falls in the past year</w:t>
            </w:r>
          </w:p>
        </w:tc>
      </w:tr>
      <w:tr w:rsidR="00AD4B07" w:rsidRPr="00F46586" w14:paraId="122E2150" w14:textId="77777777" w:rsidTr="0012271D">
        <w:trPr>
          <w:trHeight w:val="710"/>
        </w:trPr>
        <w:tc>
          <w:tcPr>
            <w:tcW w:w="3109" w:type="dxa"/>
          </w:tcPr>
          <w:p w14:paraId="4AD2886E" w14:textId="264B1955" w:rsidR="00AD4B07" w:rsidRPr="00F46586" w:rsidRDefault="00AD4B07" w:rsidP="00AD4B07">
            <w:pPr>
              <w:pStyle w:val="ColorfulList-Accent11"/>
              <w:ind w:left="0"/>
              <w:rPr>
                <w:bCs/>
              </w:rPr>
            </w:pPr>
            <w:r>
              <w:rPr>
                <w:bCs/>
              </w:rPr>
              <w:t>Baseline survey question 3</w:t>
            </w:r>
          </w:p>
        </w:tc>
        <w:tc>
          <w:tcPr>
            <w:tcW w:w="2770" w:type="dxa"/>
          </w:tcPr>
          <w:p w14:paraId="09C8CD3D" w14:textId="2A17A7C0" w:rsidR="00AD4B07" w:rsidRPr="00F46586" w:rsidRDefault="00AD4B07" w:rsidP="00AD4B07">
            <w:pPr>
              <w:pStyle w:val="ColorfulList-Accent11"/>
              <w:ind w:left="0"/>
              <w:rPr>
                <w:bCs/>
              </w:rPr>
            </w:pPr>
            <w:r w:rsidRPr="00F46586">
              <w:rPr>
                <w:bCs/>
              </w:rPr>
              <w:t>In general would you say your health is</w:t>
            </w:r>
          </w:p>
        </w:tc>
        <w:tc>
          <w:tcPr>
            <w:tcW w:w="3571" w:type="dxa"/>
          </w:tcPr>
          <w:p w14:paraId="77765880" w14:textId="688B2A5E" w:rsidR="00AD4B07" w:rsidRPr="00F46586" w:rsidRDefault="00AD4B07" w:rsidP="00AD4B07">
            <w:pPr>
              <w:pStyle w:val="ColorfulList-Accent11"/>
              <w:ind w:left="0"/>
              <w:rPr>
                <w:bCs/>
              </w:rPr>
            </w:pPr>
            <w:r w:rsidRPr="00F46586">
              <w:rPr>
                <w:bCs/>
              </w:rPr>
              <w:t>General health at baseline</w:t>
            </w:r>
          </w:p>
        </w:tc>
      </w:tr>
      <w:tr w:rsidR="00AD4B07" w:rsidRPr="00F46586" w14:paraId="0CF9047C" w14:textId="77777777" w:rsidTr="0012271D">
        <w:trPr>
          <w:trHeight w:val="710"/>
        </w:trPr>
        <w:tc>
          <w:tcPr>
            <w:tcW w:w="3109" w:type="dxa"/>
          </w:tcPr>
          <w:p w14:paraId="0460CCDE" w14:textId="4B0FD979" w:rsidR="00AD4B07" w:rsidRPr="00F46586" w:rsidRDefault="00AD4B07" w:rsidP="00AD4B07">
            <w:pPr>
              <w:pStyle w:val="ColorfulList-Accent11"/>
              <w:ind w:left="0"/>
              <w:rPr>
                <w:bCs/>
              </w:rPr>
            </w:pPr>
            <w:r w:rsidRPr="00F46586">
              <w:rPr>
                <w:bCs/>
              </w:rPr>
              <w:t xml:space="preserve">Baseline survey questions </w:t>
            </w:r>
            <w:r w:rsidR="00B57E64">
              <w:rPr>
                <w:bCs/>
              </w:rPr>
              <w:t>4</w:t>
            </w:r>
            <w:r w:rsidRPr="00F46586">
              <w:rPr>
                <w:bCs/>
              </w:rPr>
              <w:t>-</w:t>
            </w:r>
            <w:r w:rsidR="00B57E64">
              <w:rPr>
                <w:bCs/>
              </w:rPr>
              <w:t>7</w:t>
            </w:r>
            <w:r>
              <w:rPr>
                <w:bCs/>
              </w:rPr>
              <w:t xml:space="preserve">, </w:t>
            </w:r>
            <w:r w:rsidR="00B57E64">
              <w:rPr>
                <w:bCs/>
              </w:rPr>
              <w:t>10</w:t>
            </w:r>
            <w:r>
              <w:rPr>
                <w:bCs/>
              </w:rPr>
              <w:t>-</w:t>
            </w:r>
            <w:r w:rsidR="00B57E64">
              <w:rPr>
                <w:bCs/>
              </w:rPr>
              <w:t>14</w:t>
            </w:r>
          </w:p>
        </w:tc>
        <w:tc>
          <w:tcPr>
            <w:tcW w:w="2770" w:type="dxa"/>
          </w:tcPr>
          <w:p w14:paraId="10A0110E" w14:textId="77777777" w:rsidR="00AD4B07" w:rsidRPr="00F46586" w:rsidRDefault="00AD4B07" w:rsidP="00AD4B07">
            <w:pPr>
              <w:pStyle w:val="ColorfulList-Accent11"/>
              <w:ind w:left="0"/>
              <w:rPr>
                <w:bCs/>
              </w:rPr>
            </w:pPr>
            <w:r w:rsidRPr="00F46586">
              <w:rPr>
                <w:bCs/>
              </w:rPr>
              <w:t>Attitudes about falling (how likely are you to fall, how important is falling, are you afraid of falling etc.)</w:t>
            </w:r>
          </w:p>
        </w:tc>
        <w:tc>
          <w:tcPr>
            <w:tcW w:w="3571" w:type="dxa"/>
          </w:tcPr>
          <w:p w14:paraId="67BB0699" w14:textId="77777777" w:rsidR="00AD4B07" w:rsidRPr="00F46586" w:rsidRDefault="00AD4B07" w:rsidP="00AD4B07">
            <w:pPr>
              <w:pStyle w:val="ColorfulList-Accent11"/>
              <w:ind w:left="0"/>
              <w:rPr>
                <w:bCs/>
              </w:rPr>
            </w:pPr>
            <w:r w:rsidRPr="00F46586">
              <w:rPr>
                <w:bCs/>
              </w:rPr>
              <w:t>Fall prevention perceptions and attitudes</w:t>
            </w:r>
            <w:r>
              <w:rPr>
                <w:bCs/>
              </w:rPr>
              <w:t>, to understand patient characteristics that facilitate  adherence to recommended fall interventions</w:t>
            </w:r>
          </w:p>
        </w:tc>
      </w:tr>
      <w:tr w:rsidR="00AD4B07" w:rsidRPr="00F46586" w14:paraId="1A1C390A" w14:textId="77777777" w:rsidTr="0012271D">
        <w:tc>
          <w:tcPr>
            <w:tcW w:w="3109" w:type="dxa"/>
          </w:tcPr>
          <w:p w14:paraId="482DC7E9" w14:textId="3B9A8552" w:rsidR="00AD4B07" w:rsidRPr="00F46586" w:rsidRDefault="00AD4B07" w:rsidP="00B57E64">
            <w:pPr>
              <w:pStyle w:val="ColorfulList-Accent11"/>
              <w:ind w:left="0"/>
              <w:rPr>
                <w:bCs/>
              </w:rPr>
            </w:pPr>
            <w:r w:rsidRPr="00F46586">
              <w:rPr>
                <w:bCs/>
              </w:rPr>
              <w:t xml:space="preserve">Baseline survey questions </w:t>
            </w:r>
            <w:r w:rsidR="00B57E64">
              <w:rPr>
                <w:bCs/>
              </w:rPr>
              <w:t>8-9</w:t>
            </w:r>
          </w:p>
        </w:tc>
        <w:tc>
          <w:tcPr>
            <w:tcW w:w="2770" w:type="dxa"/>
          </w:tcPr>
          <w:p w14:paraId="1F5B1EB2" w14:textId="7A3DEF8B" w:rsidR="00AD4B07" w:rsidRPr="00F46586" w:rsidRDefault="00B57E64" w:rsidP="00AD4B07">
            <w:pPr>
              <w:pStyle w:val="ColorfulList-Accent11"/>
              <w:ind w:left="0"/>
              <w:rPr>
                <w:bCs/>
              </w:rPr>
            </w:pPr>
            <w:r>
              <w:rPr>
                <w:bCs/>
              </w:rPr>
              <w:t>How physically active older adults are at baseline</w:t>
            </w:r>
          </w:p>
        </w:tc>
        <w:tc>
          <w:tcPr>
            <w:tcW w:w="3571" w:type="dxa"/>
          </w:tcPr>
          <w:p w14:paraId="05B55F78" w14:textId="1DE81F09" w:rsidR="00AD4B07" w:rsidRPr="00F46586" w:rsidRDefault="00B57E64" w:rsidP="00AD4B07">
            <w:pPr>
              <w:pStyle w:val="ColorfulList-Accent11"/>
              <w:ind w:left="0"/>
              <w:rPr>
                <w:bCs/>
              </w:rPr>
            </w:pPr>
            <w:r>
              <w:rPr>
                <w:bCs/>
              </w:rPr>
              <w:t>Physical activity</w:t>
            </w:r>
          </w:p>
        </w:tc>
      </w:tr>
      <w:tr w:rsidR="00AD4B07" w:rsidRPr="00F46586" w14:paraId="2D2CAAC9" w14:textId="77777777" w:rsidTr="0012271D">
        <w:tc>
          <w:tcPr>
            <w:tcW w:w="3109" w:type="dxa"/>
          </w:tcPr>
          <w:p w14:paraId="47C5022F" w14:textId="1DC07A30" w:rsidR="00AD4B07" w:rsidRPr="00F46586" w:rsidRDefault="00AD4B07" w:rsidP="00AD4B07">
            <w:pPr>
              <w:pStyle w:val="ColorfulList-Accent11"/>
              <w:ind w:left="0"/>
              <w:rPr>
                <w:bCs/>
              </w:rPr>
            </w:pPr>
            <w:r w:rsidRPr="00F46586">
              <w:rPr>
                <w:bCs/>
              </w:rPr>
              <w:t>Baseline survey questions 15-2</w:t>
            </w:r>
            <w:r w:rsidR="00F8054C">
              <w:rPr>
                <w:bCs/>
              </w:rPr>
              <w:t>2</w:t>
            </w:r>
            <w:r w:rsidRPr="00F46586">
              <w:rPr>
                <w:bCs/>
              </w:rPr>
              <w:t xml:space="preserve"> </w:t>
            </w:r>
          </w:p>
        </w:tc>
        <w:tc>
          <w:tcPr>
            <w:tcW w:w="2770" w:type="dxa"/>
          </w:tcPr>
          <w:p w14:paraId="6BF19ED6" w14:textId="77777777" w:rsidR="00AD4B07" w:rsidRPr="00F46586" w:rsidRDefault="00AD4B07" w:rsidP="00AD4B07">
            <w:pPr>
              <w:pStyle w:val="ColorfulList-Accent11"/>
              <w:ind w:left="0"/>
              <w:rPr>
                <w:bCs/>
              </w:rPr>
            </w:pPr>
            <w:r w:rsidRPr="00F46586">
              <w:rPr>
                <w:bCs/>
              </w:rPr>
              <w:t>Fall prevention activities at baseline (Physical Therapy, Occupational Therapy, etc.)</w:t>
            </w:r>
          </w:p>
        </w:tc>
        <w:tc>
          <w:tcPr>
            <w:tcW w:w="3571" w:type="dxa"/>
          </w:tcPr>
          <w:p w14:paraId="2F6768CF" w14:textId="77777777" w:rsidR="00AD4B07" w:rsidRPr="00F46586" w:rsidRDefault="00AD4B07" w:rsidP="00AD4B07">
            <w:pPr>
              <w:pStyle w:val="ColorfulList-Accent11"/>
              <w:ind w:left="0"/>
              <w:rPr>
                <w:bCs/>
              </w:rPr>
            </w:pPr>
            <w:r w:rsidRPr="00F46586">
              <w:rPr>
                <w:bCs/>
              </w:rPr>
              <w:t>Baseline fall prevention activities</w:t>
            </w:r>
          </w:p>
        </w:tc>
      </w:tr>
      <w:tr w:rsidR="00AD4B07" w:rsidRPr="00F46586" w14:paraId="1AA7C450" w14:textId="77777777" w:rsidTr="0012271D">
        <w:trPr>
          <w:trHeight w:val="467"/>
        </w:trPr>
        <w:tc>
          <w:tcPr>
            <w:tcW w:w="3109" w:type="dxa"/>
          </w:tcPr>
          <w:p w14:paraId="25A0B5D7" w14:textId="214AD519" w:rsidR="00AD4B07" w:rsidRPr="00F46586" w:rsidRDefault="00AD4B07" w:rsidP="00226F49">
            <w:pPr>
              <w:pStyle w:val="ColorfulList-Accent11"/>
              <w:ind w:left="0"/>
              <w:rPr>
                <w:bCs/>
              </w:rPr>
            </w:pPr>
            <w:r w:rsidRPr="00F46586">
              <w:rPr>
                <w:bCs/>
              </w:rPr>
              <w:t>Baseline survey 2</w:t>
            </w:r>
            <w:r w:rsidR="00F8054C">
              <w:rPr>
                <w:bCs/>
              </w:rPr>
              <w:t>3</w:t>
            </w:r>
            <w:r w:rsidRPr="00F46586">
              <w:rPr>
                <w:bCs/>
              </w:rPr>
              <w:t>-3</w:t>
            </w:r>
            <w:r w:rsidR="00226F49">
              <w:rPr>
                <w:bCs/>
              </w:rPr>
              <w:t>4</w:t>
            </w:r>
          </w:p>
        </w:tc>
        <w:tc>
          <w:tcPr>
            <w:tcW w:w="2770" w:type="dxa"/>
          </w:tcPr>
          <w:p w14:paraId="216CC443" w14:textId="59284234" w:rsidR="00AD4B07" w:rsidRPr="00F46586" w:rsidRDefault="00AD4B07" w:rsidP="00F8054C">
            <w:pPr>
              <w:pStyle w:val="ColorfulList-Accent11"/>
              <w:ind w:left="0"/>
              <w:rPr>
                <w:bCs/>
              </w:rPr>
            </w:pPr>
            <w:r w:rsidRPr="00F46586">
              <w:rPr>
                <w:bCs/>
              </w:rPr>
              <w:t>Fall risk factors including use of medications linked to fall risk</w:t>
            </w:r>
            <w:r w:rsidR="00F8054C">
              <w:rPr>
                <w:bCs/>
              </w:rPr>
              <w:t xml:space="preserve">, </w:t>
            </w:r>
            <w:r w:rsidR="00802BBD">
              <w:rPr>
                <w:bCs/>
              </w:rPr>
              <w:t>alcohol</w:t>
            </w:r>
            <w:r w:rsidR="00F8054C">
              <w:rPr>
                <w:bCs/>
              </w:rPr>
              <w:t xml:space="preserve">, </w:t>
            </w:r>
            <w:r w:rsidR="00802BBD">
              <w:rPr>
                <w:bCs/>
              </w:rPr>
              <w:t>marijuana use</w:t>
            </w:r>
            <w:r w:rsidR="00F8054C">
              <w:rPr>
                <w:bCs/>
              </w:rPr>
              <w:t>, and other health related risk factors</w:t>
            </w:r>
          </w:p>
        </w:tc>
        <w:tc>
          <w:tcPr>
            <w:tcW w:w="3571" w:type="dxa"/>
          </w:tcPr>
          <w:p w14:paraId="64B1F8EF" w14:textId="77777777" w:rsidR="00AD4B07" w:rsidRPr="00F46586" w:rsidRDefault="00AD4B07" w:rsidP="00AD4B07">
            <w:pPr>
              <w:pStyle w:val="ColorfulList-Accent11"/>
              <w:ind w:left="0"/>
              <w:rPr>
                <w:bCs/>
              </w:rPr>
            </w:pPr>
            <w:r w:rsidRPr="00F46586">
              <w:rPr>
                <w:bCs/>
              </w:rPr>
              <w:t>Fall risk factors at baseline</w:t>
            </w:r>
          </w:p>
        </w:tc>
      </w:tr>
      <w:tr w:rsidR="00214A3C" w:rsidRPr="00F46586" w14:paraId="6B1E87B9" w14:textId="77777777" w:rsidTr="0012271D">
        <w:trPr>
          <w:trHeight w:val="467"/>
        </w:trPr>
        <w:tc>
          <w:tcPr>
            <w:tcW w:w="3109" w:type="dxa"/>
          </w:tcPr>
          <w:p w14:paraId="466481AA" w14:textId="2B71424D" w:rsidR="00214A3C" w:rsidRDefault="00214A3C" w:rsidP="00AD4B07">
            <w:pPr>
              <w:pStyle w:val="ColorfulList-Accent11"/>
              <w:ind w:left="0"/>
              <w:rPr>
                <w:bCs/>
              </w:rPr>
            </w:pPr>
            <w:r>
              <w:rPr>
                <w:bCs/>
              </w:rPr>
              <w:t>Baseline survey 35-36</w:t>
            </w:r>
          </w:p>
        </w:tc>
        <w:tc>
          <w:tcPr>
            <w:tcW w:w="2770" w:type="dxa"/>
          </w:tcPr>
          <w:p w14:paraId="18CF207E" w14:textId="25141B50" w:rsidR="00214A3C" w:rsidRPr="00F46586" w:rsidRDefault="00214A3C" w:rsidP="00AD4B07">
            <w:pPr>
              <w:pStyle w:val="ColorfulList-Accent11"/>
              <w:ind w:left="0"/>
              <w:rPr>
                <w:bCs/>
              </w:rPr>
            </w:pPr>
            <w:r>
              <w:rPr>
                <w:bCs/>
              </w:rPr>
              <w:t>Race and ethnicity</w:t>
            </w:r>
          </w:p>
        </w:tc>
        <w:tc>
          <w:tcPr>
            <w:tcW w:w="3571" w:type="dxa"/>
          </w:tcPr>
          <w:p w14:paraId="5D1E3686" w14:textId="14FD2642" w:rsidR="00214A3C" w:rsidRPr="00F46586" w:rsidRDefault="00214A3C" w:rsidP="00AD4B07">
            <w:pPr>
              <w:pStyle w:val="ColorfulList-Accent11"/>
              <w:ind w:left="0"/>
              <w:rPr>
                <w:bCs/>
              </w:rPr>
            </w:pPr>
            <w:r>
              <w:rPr>
                <w:bCs/>
              </w:rPr>
              <w:t>Race and ethnicity</w:t>
            </w:r>
          </w:p>
        </w:tc>
      </w:tr>
      <w:tr w:rsidR="00AD4B07" w:rsidRPr="00F46586" w14:paraId="0EAF239C" w14:textId="77777777" w:rsidTr="0012271D">
        <w:trPr>
          <w:trHeight w:val="467"/>
        </w:trPr>
        <w:tc>
          <w:tcPr>
            <w:tcW w:w="3109" w:type="dxa"/>
          </w:tcPr>
          <w:p w14:paraId="31230296" w14:textId="77777777" w:rsidR="00AD4B07" w:rsidRPr="00F46586" w:rsidRDefault="00AD4B07" w:rsidP="00AD4B07">
            <w:pPr>
              <w:pStyle w:val="ColorfulList-Accent11"/>
              <w:ind w:left="0"/>
              <w:rPr>
                <w:bCs/>
              </w:rPr>
            </w:pPr>
            <w:r>
              <w:rPr>
                <w:bCs/>
              </w:rPr>
              <w:t>Follow-up</w:t>
            </w:r>
            <w:r w:rsidRPr="00F46586">
              <w:rPr>
                <w:bCs/>
              </w:rPr>
              <w:t xml:space="preserve"> survey question 1</w:t>
            </w:r>
          </w:p>
        </w:tc>
        <w:tc>
          <w:tcPr>
            <w:tcW w:w="2770" w:type="dxa"/>
          </w:tcPr>
          <w:p w14:paraId="2726FFF2" w14:textId="77777777" w:rsidR="00AD4B07" w:rsidRPr="00F46586" w:rsidRDefault="00AD4B07" w:rsidP="00AD4B07">
            <w:pPr>
              <w:pStyle w:val="ColorfulList-Accent11"/>
              <w:ind w:left="0"/>
              <w:rPr>
                <w:bCs/>
              </w:rPr>
            </w:pPr>
            <w:r w:rsidRPr="00F46586">
              <w:rPr>
                <w:bCs/>
              </w:rPr>
              <w:t>General health</w:t>
            </w:r>
          </w:p>
        </w:tc>
        <w:tc>
          <w:tcPr>
            <w:tcW w:w="3571" w:type="dxa"/>
          </w:tcPr>
          <w:p w14:paraId="1E35BD62" w14:textId="77777777" w:rsidR="00AD4B07" w:rsidRPr="00F46586" w:rsidRDefault="00AD4B07" w:rsidP="00AD4B07">
            <w:pPr>
              <w:pStyle w:val="ColorfulList-Accent11"/>
              <w:ind w:left="0"/>
              <w:rPr>
                <w:bCs/>
              </w:rPr>
            </w:pPr>
            <w:r w:rsidRPr="00F46586">
              <w:rPr>
                <w:bCs/>
              </w:rPr>
              <w:t>Change in health status compared to baseline survey</w:t>
            </w:r>
          </w:p>
        </w:tc>
      </w:tr>
      <w:tr w:rsidR="00AD4B07" w:rsidRPr="00F46586" w14:paraId="18E440C4" w14:textId="77777777" w:rsidTr="0012271D">
        <w:tc>
          <w:tcPr>
            <w:tcW w:w="3109" w:type="dxa"/>
          </w:tcPr>
          <w:p w14:paraId="6FF5C454" w14:textId="368EC875" w:rsidR="00AD4B07" w:rsidRPr="00F46586" w:rsidRDefault="00AD4B07" w:rsidP="00AD4B07">
            <w:pPr>
              <w:pStyle w:val="ColorfulList-Accent11"/>
              <w:ind w:left="0"/>
              <w:rPr>
                <w:bCs/>
              </w:rPr>
            </w:pPr>
            <w:r>
              <w:rPr>
                <w:bCs/>
              </w:rPr>
              <w:t>Follow-up</w:t>
            </w:r>
            <w:r w:rsidRPr="00F46586">
              <w:rPr>
                <w:bCs/>
              </w:rPr>
              <w:t xml:space="preserve"> survey question 2-9</w:t>
            </w:r>
            <w:r>
              <w:rPr>
                <w:bCs/>
              </w:rPr>
              <w:t xml:space="preserve"> and falls tracking log</w:t>
            </w:r>
          </w:p>
        </w:tc>
        <w:tc>
          <w:tcPr>
            <w:tcW w:w="2770" w:type="dxa"/>
          </w:tcPr>
          <w:p w14:paraId="4279AE3F" w14:textId="77777777" w:rsidR="00AD4B07" w:rsidRPr="00F46586" w:rsidRDefault="00AD4B07" w:rsidP="00AD4B07">
            <w:pPr>
              <w:pStyle w:val="ColorfulList-Accent11"/>
              <w:ind w:left="0"/>
              <w:rPr>
                <w:bCs/>
              </w:rPr>
            </w:pPr>
            <w:r w:rsidRPr="00F46586">
              <w:rPr>
                <w:bCs/>
              </w:rPr>
              <w:t>Number of times fallen since last surveyed, number of injurious falls since last survey, and medical attention required</w:t>
            </w:r>
          </w:p>
        </w:tc>
        <w:tc>
          <w:tcPr>
            <w:tcW w:w="3571" w:type="dxa"/>
          </w:tcPr>
          <w:p w14:paraId="511E77BC" w14:textId="77777777" w:rsidR="00AD4B07" w:rsidRPr="00F46586" w:rsidRDefault="00AD4B07" w:rsidP="00AD4B07">
            <w:pPr>
              <w:pStyle w:val="ColorfulList-Accent11"/>
              <w:ind w:left="0"/>
              <w:rPr>
                <w:bCs/>
              </w:rPr>
            </w:pPr>
            <w:r w:rsidRPr="00F46586">
              <w:rPr>
                <w:bCs/>
              </w:rPr>
              <w:t>Number of falls, injurious falls, and medically significant falls</w:t>
            </w:r>
          </w:p>
        </w:tc>
      </w:tr>
      <w:tr w:rsidR="00AD4B07" w:rsidRPr="00F46586" w14:paraId="259E5C6E" w14:textId="77777777" w:rsidTr="0012271D">
        <w:tc>
          <w:tcPr>
            <w:tcW w:w="3109" w:type="dxa"/>
          </w:tcPr>
          <w:p w14:paraId="07954E09" w14:textId="1B73C4D9" w:rsidR="00AD4B07" w:rsidRPr="00F46586" w:rsidRDefault="00AD4B07" w:rsidP="00794542">
            <w:pPr>
              <w:pStyle w:val="ColorfulList-Accent11"/>
              <w:ind w:left="0"/>
              <w:rPr>
                <w:bCs/>
              </w:rPr>
            </w:pPr>
            <w:r>
              <w:rPr>
                <w:bCs/>
              </w:rPr>
              <w:t>Follow-up</w:t>
            </w:r>
            <w:r w:rsidRPr="00F46586">
              <w:rPr>
                <w:bCs/>
              </w:rPr>
              <w:t xml:space="preserve"> survey questions 10-1</w:t>
            </w:r>
            <w:r w:rsidR="00794542">
              <w:rPr>
                <w:bCs/>
              </w:rPr>
              <w:t>6</w:t>
            </w:r>
          </w:p>
        </w:tc>
        <w:tc>
          <w:tcPr>
            <w:tcW w:w="2770" w:type="dxa"/>
          </w:tcPr>
          <w:p w14:paraId="05DF76E8" w14:textId="77777777" w:rsidR="00AD4B07" w:rsidRPr="00F46586" w:rsidRDefault="00AD4B07" w:rsidP="00AD4B07">
            <w:pPr>
              <w:pStyle w:val="ColorfulList-Accent11"/>
              <w:ind w:left="0"/>
              <w:rPr>
                <w:bCs/>
              </w:rPr>
            </w:pPr>
            <w:r w:rsidRPr="00F46586">
              <w:rPr>
                <w:bCs/>
              </w:rPr>
              <w:t xml:space="preserve">Recollection </w:t>
            </w:r>
            <w:r>
              <w:rPr>
                <w:bCs/>
              </w:rPr>
              <w:t>of</w:t>
            </w:r>
            <w:r w:rsidRPr="00F46586">
              <w:rPr>
                <w:bCs/>
              </w:rPr>
              <w:t xml:space="preserve"> discussions about fall prevention activities with health care provider</w:t>
            </w:r>
          </w:p>
        </w:tc>
        <w:tc>
          <w:tcPr>
            <w:tcW w:w="3571" w:type="dxa"/>
          </w:tcPr>
          <w:p w14:paraId="68E14845" w14:textId="77777777" w:rsidR="00AD4B07" w:rsidRPr="00F46586" w:rsidRDefault="00AD4B07" w:rsidP="00AD4B07">
            <w:pPr>
              <w:pStyle w:val="ColorfulList-Accent11"/>
              <w:ind w:left="0"/>
              <w:rPr>
                <w:bCs/>
              </w:rPr>
            </w:pPr>
            <w:r w:rsidRPr="00F46586">
              <w:rPr>
                <w:bCs/>
              </w:rPr>
              <w:t>Fall prevention activities recommended by health care professional</w:t>
            </w:r>
          </w:p>
        </w:tc>
      </w:tr>
      <w:tr w:rsidR="00AD4B07" w:rsidRPr="00F46586" w14:paraId="14E7C673" w14:textId="77777777" w:rsidTr="0012271D">
        <w:tc>
          <w:tcPr>
            <w:tcW w:w="3109" w:type="dxa"/>
          </w:tcPr>
          <w:p w14:paraId="474CA7E0" w14:textId="6FACE571" w:rsidR="00AD4B07" w:rsidRPr="00F46586" w:rsidRDefault="00AD4B07" w:rsidP="00794542">
            <w:pPr>
              <w:pStyle w:val="ColorfulList-Accent11"/>
              <w:ind w:left="0"/>
              <w:rPr>
                <w:bCs/>
              </w:rPr>
            </w:pPr>
            <w:r>
              <w:rPr>
                <w:bCs/>
              </w:rPr>
              <w:t>Follow-up</w:t>
            </w:r>
            <w:r w:rsidR="00794542">
              <w:rPr>
                <w:bCs/>
              </w:rPr>
              <w:t xml:space="preserve"> survey questions 17</w:t>
            </w:r>
            <w:r w:rsidRPr="00F46586">
              <w:rPr>
                <w:bCs/>
              </w:rPr>
              <w:t>-3</w:t>
            </w:r>
            <w:r w:rsidR="00794542">
              <w:rPr>
                <w:bCs/>
              </w:rPr>
              <w:t>3</w:t>
            </w:r>
          </w:p>
        </w:tc>
        <w:tc>
          <w:tcPr>
            <w:tcW w:w="2770" w:type="dxa"/>
          </w:tcPr>
          <w:p w14:paraId="62D113E4" w14:textId="77777777" w:rsidR="00AD4B07" w:rsidRPr="00F46586" w:rsidRDefault="00AD4B07" w:rsidP="00AD4B07">
            <w:pPr>
              <w:pStyle w:val="ColorfulList-Accent11"/>
              <w:ind w:left="0"/>
              <w:rPr>
                <w:bCs/>
              </w:rPr>
            </w:pPr>
            <w:r w:rsidRPr="00F46586">
              <w:rPr>
                <w:bCs/>
              </w:rPr>
              <w:t>Specific fall prevention activities patient engaged in since last survey</w:t>
            </w:r>
          </w:p>
        </w:tc>
        <w:tc>
          <w:tcPr>
            <w:tcW w:w="3571" w:type="dxa"/>
          </w:tcPr>
          <w:p w14:paraId="09F4F1AA" w14:textId="77777777" w:rsidR="00AD4B07" w:rsidRPr="00F46586" w:rsidRDefault="00AD4B07" w:rsidP="00AD4B07">
            <w:pPr>
              <w:pStyle w:val="ColorfulList-Accent11"/>
              <w:ind w:left="0"/>
              <w:rPr>
                <w:bCs/>
              </w:rPr>
            </w:pPr>
            <w:r w:rsidRPr="00F46586">
              <w:rPr>
                <w:bCs/>
              </w:rPr>
              <w:t>Adherence to provider recommendations for fall prevention</w:t>
            </w:r>
          </w:p>
        </w:tc>
      </w:tr>
      <w:tr w:rsidR="00AD4B07" w:rsidRPr="00F46586" w14:paraId="2B5A9ED4" w14:textId="77777777" w:rsidTr="0012271D">
        <w:tc>
          <w:tcPr>
            <w:tcW w:w="3109" w:type="dxa"/>
          </w:tcPr>
          <w:p w14:paraId="1AB4EC64" w14:textId="13080284" w:rsidR="00AD4B07" w:rsidRPr="00F46586" w:rsidRDefault="00AD4B07" w:rsidP="00794542">
            <w:pPr>
              <w:pStyle w:val="ColorfulList-Accent11"/>
              <w:ind w:left="0"/>
              <w:rPr>
                <w:bCs/>
              </w:rPr>
            </w:pPr>
            <w:r>
              <w:rPr>
                <w:bCs/>
              </w:rPr>
              <w:t>Follow-up</w:t>
            </w:r>
            <w:r w:rsidRPr="00F46586">
              <w:rPr>
                <w:bCs/>
              </w:rPr>
              <w:t xml:space="preserve"> survey questions 3</w:t>
            </w:r>
            <w:r w:rsidR="00794542">
              <w:rPr>
                <w:bCs/>
              </w:rPr>
              <w:t>4</w:t>
            </w:r>
            <w:r w:rsidRPr="00F46586">
              <w:rPr>
                <w:bCs/>
              </w:rPr>
              <w:t>-4</w:t>
            </w:r>
            <w:r w:rsidR="00794542">
              <w:rPr>
                <w:bCs/>
              </w:rPr>
              <w:t>4</w:t>
            </w:r>
          </w:p>
        </w:tc>
        <w:tc>
          <w:tcPr>
            <w:tcW w:w="2770" w:type="dxa"/>
          </w:tcPr>
          <w:p w14:paraId="29DD7E2A" w14:textId="05E2BE79" w:rsidR="00AD4B07" w:rsidRPr="00F46586" w:rsidRDefault="00AD4B07" w:rsidP="00AD4B07">
            <w:pPr>
              <w:pStyle w:val="ColorfulList-Accent11"/>
              <w:ind w:left="0"/>
              <w:rPr>
                <w:bCs/>
              </w:rPr>
            </w:pPr>
            <w:r w:rsidRPr="00F46586">
              <w:rPr>
                <w:bCs/>
              </w:rPr>
              <w:t>Medications patients take since last survey</w:t>
            </w:r>
            <w:r w:rsidR="00802BBD">
              <w:rPr>
                <w:bCs/>
              </w:rPr>
              <w:t xml:space="preserve"> and alcohol and marijuana use</w:t>
            </w:r>
          </w:p>
        </w:tc>
        <w:tc>
          <w:tcPr>
            <w:tcW w:w="3571" w:type="dxa"/>
          </w:tcPr>
          <w:p w14:paraId="313DCFD3" w14:textId="77777777" w:rsidR="00AD4B07" w:rsidRPr="00F46586" w:rsidRDefault="00AD4B07" w:rsidP="00AD4B07">
            <w:pPr>
              <w:pStyle w:val="ColorfulList-Accent11"/>
              <w:ind w:left="0"/>
              <w:rPr>
                <w:bCs/>
              </w:rPr>
            </w:pPr>
            <w:r w:rsidRPr="00F46586">
              <w:rPr>
                <w:bCs/>
              </w:rPr>
              <w:t>Increases or decreases in patient medication use</w:t>
            </w:r>
          </w:p>
        </w:tc>
      </w:tr>
      <w:tr w:rsidR="00AD4B07" w:rsidRPr="00F46586" w14:paraId="1EEBD548" w14:textId="77777777" w:rsidTr="0012271D">
        <w:tc>
          <w:tcPr>
            <w:tcW w:w="3109" w:type="dxa"/>
          </w:tcPr>
          <w:p w14:paraId="4E8C084D" w14:textId="6B760B18" w:rsidR="00AD4B07" w:rsidRPr="00F46586" w:rsidRDefault="00AD4B07" w:rsidP="00794542">
            <w:pPr>
              <w:pStyle w:val="ColorfulList-Accent11"/>
              <w:ind w:left="0"/>
              <w:rPr>
                <w:bCs/>
              </w:rPr>
            </w:pPr>
            <w:r>
              <w:rPr>
                <w:bCs/>
              </w:rPr>
              <w:t>Follow-up</w:t>
            </w:r>
            <w:r w:rsidRPr="00F46586">
              <w:rPr>
                <w:bCs/>
              </w:rPr>
              <w:t xml:space="preserve"> survey (last survey only) question 4</w:t>
            </w:r>
            <w:r w:rsidR="00794542">
              <w:rPr>
                <w:bCs/>
              </w:rPr>
              <w:t>5</w:t>
            </w:r>
            <w:r>
              <w:rPr>
                <w:bCs/>
              </w:rPr>
              <w:t>-4</w:t>
            </w:r>
            <w:r w:rsidR="00794542">
              <w:rPr>
                <w:bCs/>
              </w:rPr>
              <w:t>6</w:t>
            </w:r>
          </w:p>
        </w:tc>
        <w:tc>
          <w:tcPr>
            <w:tcW w:w="2770" w:type="dxa"/>
          </w:tcPr>
          <w:p w14:paraId="6D275147" w14:textId="77777777" w:rsidR="00AD4B07" w:rsidRPr="00F46586" w:rsidRDefault="00AD4B07" w:rsidP="00AD4B07">
            <w:pPr>
              <w:pStyle w:val="ColorfulList-Accent11"/>
              <w:ind w:left="0"/>
              <w:rPr>
                <w:bCs/>
              </w:rPr>
            </w:pPr>
            <w:r w:rsidRPr="00F46586">
              <w:rPr>
                <w:bCs/>
              </w:rPr>
              <w:t xml:space="preserve">Perceptions and attitudes of falls </w:t>
            </w:r>
          </w:p>
        </w:tc>
        <w:tc>
          <w:tcPr>
            <w:tcW w:w="3571" w:type="dxa"/>
          </w:tcPr>
          <w:p w14:paraId="186612CC" w14:textId="77777777" w:rsidR="00AD4B07" w:rsidRPr="00F46586" w:rsidRDefault="00AD4B07" w:rsidP="00AD4B07">
            <w:pPr>
              <w:pStyle w:val="ColorfulList-Accent11"/>
              <w:ind w:left="0"/>
              <w:rPr>
                <w:bCs/>
              </w:rPr>
            </w:pPr>
            <w:r w:rsidRPr="00F46586">
              <w:rPr>
                <w:bCs/>
              </w:rPr>
              <w:t>Fall prevention perceptions and attitudes change from baseline</w:t>
            </w:r>
          </w:p>
        </w:tc>
      </w:tr>
    </w:tbl>
    <w:p w14:paraId="5861F556" w14:textId="543FB2A9" w:rsidR="008E3F4B" w:rsidRDefault="008E3F4B" w:rsidP="0052522D">
      <w:pPr>
        <w:pStyle w:val="ColorfulList-Accent11"/>
        <w:ind w:left="0"/>
        <w:rPr>
          <w:bCs/>
        </w:rPr>
      </w:pPr>
    </w:p>
    <w:p w14:paraId="2AB5D3A3" w14:textId="50E27157" w:rsidR="00BB40C0" w:rsidRDefault="00BB40C0" w:rsidP="0052522D">
      <w:pPr>
        <w:pStyle w:val="ColorfulList-Accent11"/>
        <w:ind w:left="0"/>
        <w:rPr>
          <w:bCs/>
        </w:rPr>
      </w:pPr>
    </w:p>
    <w:p w14:paraId="1A22ECB3" w14:textId="6949B15B" w:rsidR="00BB40C0" w:rsidRDefault="00BB40C0" w:rsidP="0052522D">
      <w:pPr>
        <w:pStyle w:val="ColorfulList-Accent11"/>
        <w:ind w:left="0"/>
        <w:rPr>
          <w:bCs/>
        </w:rPr>
      </w:pPr>
    </w:p>
    <w:p w14:paraId="4B25D1D7" w14:textId="77777777" w:rsidR="00BB40C0" w:rsidRPr="00F46586" w:rsidRDefault="00BB40C0" w:rsidP="0052522D">
      <w:pPr>
        <w:pStyle w:val="ColorfulList-Accent11"/>
        <w:ind w:left="0"/>
        <w:rPr>
          <w:bCs/>
        </w:rPr>
      </w:pPr>
    </w:p>
    <w:p w14:paraId="410DB757" w14:textId="77777777" w:rsidR="005C0928" w:rsidRPr="00F46586" w:rsidRDefault="00227085" w:rsidP="0052522D">
      <w:pPr>
        <w:pStyle w:val="ColorfulList-Accent11"/>
        <w:ind w:left="0"/>
        <w:rPr>
          <w:b/>
          <w:bCs/>
        </w:rPr>
      </w:pPr>
      <w:r>
        <w:rPr>
          <w:b/>
          <w:bCs/>
        </w:rPr>
        <w:t>Table A.2.3</w:t>
      </w:r>
      <w:r w:rsidR="005C0928" w:rsidRPr="00F46586">
        <w:rPr>
          <w:b/>
          <w:bCs/>
        </w:rPr>
        <w:t xml:space="preserve"> </w:t>
      </w:r>
      <w:r w:rsidR="00F95E85">
        <w:rPr>
          <w:b/>
          <w:bCs/>
        </w:rPr>
        <w:t xml:space="preserve">Process </w:t>
      </w:r>
      <w:r>
        <w:rPr>
          <w:b/>
          <w:bCs/>
        </w:rPr>
        <w:t xml:space="preserve">evaluation </w:t>
      </w:r>
      <w:r w:rsidR="00F95E85">
        <w:rPr>
          <w:b/>
          <w:bCs/>
        </w:rPr>
        <w:t>d</w:t>
      </w:r>
      <w:r w:rsidR="005C0928" w:rsidRPr="00F46586">
        <w:rPr>
          <w:b/>
          <w:bCs/>
        </w:rPr>
        <w:t xml:space="preserve">ata collection efforts </w:t>
      </w:r>
    </w:p>
    <w:tbl>
      <w:tblPr>
        <w:tblStyle w:val="TableGrid"/>
        <w:tblW w:w="9445" w:type="dxa"/>
        <w:tblBorders>
          <w:insideH w:val="none" w:sz="0" w:space="0" w:color="auto"/>
          <w:insideV w:val="none" w:sz="0" w:space="0" w:color="auto"/>
        </w:tblBorders>
        <w:tblLook w:val="04A0" w:firstRow="1" w:lastRow="0" w:firstColumn="1" w:lastColumn="0" w:noHBand="0" w:noVBand="1"/>
      </w:tblPr>
      <w:tblGrid>
        <w:gridCol w:w="1689"/>
        <w:gridCol w:w="1475"/>
        <w:gridCol w:w="1504"/>
        <w:gridCol w:w="1290"/>
        <w:gridCol w:w="1461"/>
        <w:gridCol w:w="2026"/>
      </w:tblGrid>
      <w:tr w:rsidR="009C3BAA" w:rsidRPr="00F46586" w14:paraId="41FED4DE" w14:textId="77777777" w:rsidTr="00AF1489">
        <w:trPr>
          <w:gridAfter w:val="3"/>
          <w:wAfter w:w="3887" w:type="dxa"/>
          <w:trHeight w:val="276"/>
        </w:trPr>
        <w:tc>
          <w:tcPr>
            <w:tcW w:w="1576" w:type="dxa"/>
            <w:vMerge w:val="restart"/>
            <w:tcBorders>
              <w:top w:val="single" w:sz="4" w:space="0" w:color="auto"/>
              <w:bottom w:val="nil"/>
              <w:right w:val="single" w:sz="4" w:space="0" w:color="auto"/>
            </w:tcBorders>
          </w:tcPr>
          <w:p w14:paraId="463F48F1" w14:textId="77777777" w:rsidR="009C3BAA" w:rsidRPr="00F46586" w:rsidRDefault="009C3BAA" w:rsidP="008E3F4B">
            <w:pPr>
              <w:rPr>
                <w:b/>
              </w:rPr>
            </w:pPr>
            <w:r w:rsidRPr="00F46586">
              <w:t>Research Question</w:t>
            </w:r>
          </w:p>
        </w:tc>
        <w:tc>
          <w:tcPr>
            <w:tcW w:w="1376" w:type="dxa"/>
            <w:vMerge w:val="restart"/>
            <w:tcBorders>
              <w:top w:val="single" w:sz="4" w:space="0" w:color="auto"/>
              <w:left w:val="single" w:sz="4" w:space="0" w:color="auto"/>
              <w:bottom w:val="nil"/>
              <w:right w:val="single" w:sz="4" w:space="0" w:color="auto"/>
            </w:tcBorders>
          </w:tcPr>
          <w:p w14:paraId="04DE1235" w14:textId="77777777" w:rsidR="009C3BAA" w:rsidRPr="00F46586" w:rsidRDefault="009C3BAA" w:rsidP="008E3F4B">
            <w:pPr>
              <w:rPr>
                <w:b/>
              </w:rPr>
            </w:pPr>
            <w:r w:rsidRPr="00F46586">
              <w:t>Construct</w:t>
            </w:r>
          </w:p>
        </w:tc>
        <w:tc>
          <w:tcPr>
            <w:tcW w:w="1403" w:type="dxa"/>
            <w:vMerge w:val="restart"/>
            <w:tcBorders>
              <w:top w:val="single" w:sz="4" w:space="0" w:color="auto"/>
              <w:left w:val="single" w:sz="4" w:space="0" w:color="auto"/>
              <w:bottom w:val="nil"/>
              <w:right w:val="single" w:sz="4" w:space="0" w:color="auto"/>
            </w:tcBorders>
          </w:tcPr>
          <w:p w14:paraId="566D27C3" w14:textId="77777777" w:rsidR="009C3BAA" w:rsidRPr="00F46586" w:rsidRDefault="009C3BAA" w:rsidP="008E3F4B">
            <w:pPr>
              <w:jc w:val="center"/>
              <w:rPr>
                <w:b/>
              </w:rPr>
            </w:pPr>
            <w:r w:rsidRPr="00F46586">
              <w:t>Method Type(s)</w:t>
            </w:r>
          </w:p>
        </w:tc>
      </w:tr>
      <w:tr w:rsidR="009C3BAA" w:rsidRPr="00F46586" w14:paraId="2B14C88A" w14:textId="77777777" w:rsidTr="0012433C">
        <w:tc>
          <w:tcPr>
            <w:tcW w:w="1576" w:type="dxa"/>
            <w:vMerge/>
            <w:tcBorders>
              <w:top w:val="nil"/>
              <w:bottom w:val="single" w:sz="4" w:space="0" w:color="auto"/>
              <w:right w:val="single" w:sz="4" w:space="0" w:color="auto"/>
            </w:tcBorders>
          </w:tcPr>
          <w:p w14:paraId="68391A65" w14:textId="77777777" w:rsidR="009C3BAA" w:rsidRPr="00F46586" w:rsidRDefault="009C3BAA" w:rsidP="008E3F4B">
            <w:pPr>
              <w:rPr>
                <w:b/>
              </w:rPr>
            </w:pPr>
          </w:p>
        </w:tc>
        <w:tc>
          <w:tcPr>
            <w:tcW w:w="1376" w:type="dxa"/>
            <w:vMerge/>
            <w:tcBorders>
              <w:top w:val="nil"/>
              <w:left w:val="single" w:sz="4" w:space="0" w:color="auto"/>
              <w:bottom w:val="single" w:sz="4" w:space="0" w:color="auto"/>
              <w:right w:val="single" w:sz="4" w:space="0" w:color="auto"/>
            </w:tcBorders>
          </w:tcPr>
          <w:p w14:paraId="71B6750C" w14:textId="77777777" w:rsidR="009C3BAA" w:rsidRPr="00F46586" w:rsidRDefault="009C3BAA" w:rsidP="008E3F4B">
            <w:pPr>
              <w:rPr>
                <w:b/>
              </w:rPr>
            </w:pPr>
          </w:p>
        </w:tc>
        <w:tc>
          <w:tcPr>
            <w:tcW w:w="1403" w:type="dxa"/>
            <w:vMerge/>
            <w:tcBorders>
              <w:top w:val="nil"/>
              <w:left w:val="single" w:sz="4" w:space="0" w:color="auto"/>
              <w:bottom w:val="single" w:sz="4" w:space="0" w:color="auto"/>
              <w:right w:val="single" w:sz="4" w:space="0" w:color="auto"/>
            </w:tcBorders>
          </w:tcPr>
          <w:p w14:paraId="7FB53DD3" w14:textId="77777777" w:rsidR="009C3BAA" w:rsidRPr="00F46586" w:rsidRDefault="009C3BAA" w:rsidP="008E3F4B">
            <w:pPr>
              <w:rPr>
                <w:b/>
              </w:rPr>
            </w:pPr>
          </w:p>
        </w:tc>
        <w:tc>
          <w:tcPr>
            <w:tcW w:w="1203" w:type="dxa"/>
            <w:tcBorders>
              <w:top w:val="single" w:sz="4" w:space="0" w:color="auto"/>
              <w:left w:val="single" w:sz="4" w:space="0" w:color="auto"/>
              <w:bottom w:val="single" w:sz="4" w:space="0" w:color="auto"/>
              <w:right w:val="single" w:sz="4" w:space="0" w:color="auto"/>
            </w:tcBorders>
          </w:tcPr>
          <w:p w14:paraId="6711BA37" w14:textId="77777777" w:rsidR="009C3BAA" w:rsidRPr="00F46586" w:rsidRDefault="009C3BAA" w:rsidP="008E3F4B">
            <w:pPr>
              <w:jc w:val="center"/>
              <w:rPr>
                <w:b/>
              </w:rPr>
            </w:pPr>
            <w:r w:rsidRPr="00F46586">
              <w:rPr>
                <w:b/>
              </w:rPr>
              <w:t>Provider Interview</w:t>
            </w:r>
          </w:p>
        </w:tc>
        <w:tc>
          <w:tcPr>
            <w:tcW w:w="794" w:type="dxa"/>
            <w:tcBorders>
              <w:top w:val="single" w:sz="4" w:space="0" w:color="auto"/>
              <w:left w:val="single" w:sz="4" w:space="0" w:color="auto"/>
              <w:bottom w:val="single" w:sz="4" w:space="0" w:color="auto"/>
              <w:right w:val="single" w:sz="4" w:space="0" w:color="auto"/>
            </w:tcBorders>
          </w:tcPr>
          <w:p w14:paraId="60AFBE97" w14:textId="77777777" w:rsidR="009C3BAA" w:rsidRPr="00F46586" w:rsidRDefault="009C3BAA" w:rsidP="008E3F4B">
            <w:pPr>
              <w:jc w:val="center"/>
              <w:rPr>
                <w:b/>
              </w:rPr>
            </w:pPr>
            <w:r>
              <w:rPr>
                <w:b/>
              </w:rPr>
              <w:t>Clinic O</w:t>
            </w:r>
            <w:r w:rsidRPr="00F46586">
              <w:rPr>
                <w:b/>
              </w:rPr>
              <w:t>perations Manager Interview</w:t>
            </w:r>
          </w:p>
        </w:tc>
        <w:tc>
          <w:tcPr>
            <w:tcW w:w="1890" w:type="dxa"/>
            <w:tcBorders>
              <w:top w:val="single" w:sz="4" w:space="0" w:color="auto"/>
              <w:left w:val="single" w:sz="4" w:space="0" w:color="auto"/>
              <w:bottom w:val="single" w:sz="4" w:space="0" w:color="auto"/>
            </w:tcBorders>
          </w:tcPr>
          <w:p w14:paraId="512F9FDD" w14:textId="77777777" w:rsidR="009C3BAA" w:rsidRPr="00F46586" w:rsidRDefault="009C3BAA" w:rsidP="008E3F4B">
            <w:pPr>
              <w:jc w:val="center"/>
              <w:rPr>
                <w:b/>
              </w:rPr>
            </w:pPr>
            <w:r w:rsidRPr="00F46586">
              <w:rPr>
                <w:b/>
              </w:rPr>
              <w:t>EHR Data</w:t>
            </w:r>
          </w:p>
        </w:tc>
      </w:tr>
      <w:tr w:rsidR="009C3BAA" w:rsidRPr="00F46586" w14:paraId="7B0C215C" w14:textId="77777777" w:rsidTr="0012433C">
        <w:tc>
          <w:tcPr>
            <w:tcW w:w="1576" w:type="dxa"/>
            <w:vMerge w:val="restart"/>
            <w:tcBorders>
              <w:top w:val="single" w:sz="4" w:space="0" w:color="auto"/>
              <w:bottom w:val="nil"/>
              <w:right w:val="single" w:sz="4" w:space="0" w:color="auto"/>
            </w:tcBorders>
          </w:tcPr>
          <w:p w14:paraId="575E1525" w14:textId="77777777" w:rsidR="009C3BAA" w:rsidRPr="00F46586" w:rsidRDefault="009C3BAA" w:rsidP="008E3F4B">
            <w:r w:rsidRPr="00F46586">
              <w:t>How is fall prevention being implemented?</w:t>
            </w:r>
          </w:p>
        </w:tc>
        <w:tc>
          <w:tcPr>
            <w:tcW w:w="1376" w:type="dxa"/>
            <w:tcBorders>
              <w:top w:val="single" w:sz="4" w:space="0" w:color="auto"/>
              <w:left w:val="single" w:sz="4" w:space="0" w:color="auto"/>
              <w:bottom w:val="nil"/>
              <w:right w:val="single" w:sz="4" w:space="0" w:color="auto"/>
            </w:tcBorders>
          </w:tcPr>
          <w:p w14:paraId="4F5E236D" w14:textId="77777777" w:rsidR="009C3BAA" w:rsidRPr="00F46586" w:rsidRDefault="009C3BAA" w:rsidP="008E3F4B">
            <w:r w:rsidRPr="00F46586">
              <w:t>Ease of use</w:t>
            </w:r>
          </w:p>
        </w:tc>
        <w:tc>
          <w:tcPr>
            <w:tcW w:w="1403" w:type="dxa"/>
            <w:tcBorders>
              <w:top w:val="single" w:sz="4" w:space="0" w:color="auto"/>
              <w:left w:val="single" w:sz="4" w:space="0" w:color="auto"/>
              <w:bottom w:val="nil"/>
              <w:right w:val="single" w:sz="4" w:space="0" w:color="auto"/>
            </w:tcBorders>
          </w:tcPr>
          <w:p w14:paraId="6981F785" w14:textId="77777777" w:rsidR="009C3BAA" w:rsidRPr="00F46586" w:rsidRDefault="009C3BAA" w:rsidP="008E3F4B">
            <w:r w:rsidRPr="00F46586">
              <w:t xml:space="preserve">Qualitative </w:t>
            </w:r>
          </w:p>
        </w:tc>
        <w:tc>
          <w:tcPr>
            <w:tcW w:w="1203" w:type="dxa"/>
            <w:tcBorders>
              <w:top w:val="single" w:sz="4" w:space="0" w:color="auto"/>
              <w:left w:val="single" w:sz="4" w:space="0" w:color="auto"/>
              <w:bottom w:val="nil"/>
              <w:right w:val="single" w:sz="4" w:space="0" w:color="auto"/>
            </w:tcBorders>
          </w:tcPr>
          <w:p w14:paraId="3A018AE0" w14:textId="77777777" w:rsidR="009C3BAA" w:rsidRPr="00F46586" w:rsidRDefault="009C3BAA" w:rsidP="008E3F4B">
            <w:pPr>
              <w:jc w:val="center"/>
            </w:pPr>
            <w:r w:rsidRPr="00F46586">
              <w:t>X</w:t>
            </w:r>
          </w:p>
        </w:tc>
        <w:tc>
          <w:tcPr>
            <w:tcW w:w="794" w:type="dxa"/>
            <w:tcBorders>
              <w:top w:val="single" w:sz="4" w:space="0" w:color="auto"/>
              <w:left w:val="single" w:sz="4" w:space="0" w:color="auto"/>
              <w:bottom w:val="nil"/>
              <w:right w:val="single" w:sz="4" w:space="0" w:color="auto"/>
            </w:tcBorders>
          </w:tcPr>
          <w:p w14:paraId="0005AA06" w14:textId="77777777" w:rsidR="009C3BAA" w:rsidRPr="00F46586" w:rsidRDefault="009C3BAA" w:rsidP="008E3F4B">
            <w:pPr>
              <w:jc w:val="center"/>
            </w:pPr>
          </w:p>
        </w:tc>
        <w:tc>
          <w:tcPr>
            <w:tcW w:w="1890" w:type="dxa"/>
            <w:tcBorders>
              <w:top w:val="single" w:sz="4" w:space="0" w:color="auto"/>
              <w:left w:val="single" w:sz="4" w:space="0" w:color="auto"/>
              <w:bottom w:val="nil"/>
            </w:tcBorders>
          </w:tcPr>
          <w:p w14:paraId="74585043" w14:textId="77777777" w:rsidR="009C3BAA" w:rsidRPr="00F46586" w:rsidRDefault="009C3BAA" w:rsidP="008E3F4B">
            <w:pPr>
              <w:jc w:val="center"/>
            </w:pPr>
          </w:p>
        </w:tc>
      </w:tr>
      <w:tr w:rsidR="009C3BAA" w:rsidRPr="00F46586" w14:paraId="43DDD172" w14:textId="77777777" w:rsidTr="0012433C">
        <w:tc>
          <w:tcPr>
            <w:tcW w:w="1576" w:type="dxa"/>
            <w:vMerge/>
            <w:tcBorders>
              <w:top w:val="nil"/>
              <w:bottom w:val="nil"/>
              <w:right w:val="single" w:sz="4" w:space="0" w:color="auto"/>
            </w:tcBorders>
          </w:tcPr>
          <w:p w14:paraId="1B68BA57" w14:textId="77777777" w:rsidR="009C3BAA" w:rsidRPr="00F46586" w:rsidRDefault="009C3BAA" w:rsidP="008E3F4B"/>
        </w:tc>
        <w:tc>
          <w:tcPr>
            <w:tcW w:w="1376" w:type="dxa"/>
            <w:tcBorders>
              <w:top w:val="nil"/>
              <w:left w:val="single" w:sz="4" w:space="0" w:color="auto"/>
              <w:bottom w:val="nil"/>
              <w:right w:val="single" w:sz="4" w:space="0" w:color="auto"/>
            </w:tcBorders>
          </w:tcPr>
          <w:p w14:paraId="1BC14F15" w14:textId="77777777" w:rsidR="009C3BAA" w:rsidRPr="00F46586" w:rsidRDefault="009C3BAA" w:rsidP="008E3F4B">
            <w:r w:rsidRPr="00F46586">
              <w:t>Time</w:t>
            </w:r>
          </w:p>
        </w:tc>
        <w:tc>
          <w:tcPr>
            <w:tcW w:w="1403" w:type="dxa"/>
            <w:tcBorders>
              <w:top w:val="nil"/>
              <w:left w:val="single" w:sz="4" w:space="0" w:color="auto"/>
              <w:bottom w:val="nil"/>
              <w:right w:val="single" w:sz="4" w:space="0" w:color="auto"/>
            </w:tcBorders>
          </w:tcPr>
          <w:p w14:paraId="6203AA4D" w14:textId="77777777" w:rsidR="009C3BAA" w:rsidRPr="00F46586" w:rsidRDefault="009C3BAA" w:rsidP="008E3F4B">
            <w:r w:rsidRPr="00F46586">
              <w:t>Qualitative</w:t>
            </w:r>
          </w:p>
        </w:tc>
        <w:tc>
          <w:tcPr>
            <w:tcW w:w="1203" w:type="dxa"/>
            <w:tcBorders>
              <w:top w:val="nil"/>
              <w:left w:val="single" w:sz="4" w:space="0" w:color="auto"/>
              <w:bottom w:val="nil"/>
              <w:right w:val="single" w:sz="4" w:space="0" w:color="auto"/>
            </w:tcBorders>
          </w:tcPr>
          <w:p w14:paraId="41A9255D" w14:textId="77777777" w:rsidR="009C3BAA" w:rsidRPr="00F46586" w:rsidRDefault="009C3BAA" w:rsidP="008E3F4B">
            <w:pPr>
              <w:jc w:val="center"/>
            </w:pPr>
            <w:r w:rsidRPr="00F46586">
              <w:t>X</w:t>
            </w:r>
          </w:p>
        </w:tc>
        <w:tc>
          <w:tcPr>
            <w:tcW w:w="794" w:type="dxa"/>
            <w:tcBorders>
              <w:top w:val="nil"/>
              <w:left w:val="single" w:sz="4" w:space="0" w:color="auto"/>
              <w:bottom w:val="nil"/>
              <w:right w:val="single" w:sz="4" w:space="0" w:color="auto"/>
            </w:tcBorders>
          </w:tcPr>
          <w:p w14:paraId="751751D7" w14:textId="77777777" w:rsidR="009C3BAA" w:rsidRPr="00F46586" w:rsidRDefault="009C3BAA" w:rsidP="008E3F4B">
            <w:pPr>
              <w:jc w:val="center"/>
            </w:pPr>
            <w:r w:rsidRPr="00F46586">
              <w:t>X</w:t>
            </w:r>
          </w:p>
        </w:tc>
        <w:tc>
          <w:tcPr>
            <w:tcW w:w="1890" w:type="dxa"/>
            <w:tcBorders>
              <w:top w:val="nil"/>
              <w:left w:val="single" w:sz="4" w:space="0" w:color="auto"/>
              <w:bottom w:val="nil"/>
            </w:tcBorders>
          </w:tcPr>
          <w:p w14:paraId="1AAB9773" w14:textId="77777777" w:rsidR="009C3BAA" w:rsidRPr="00F46586" w:rsidRDefault="009C3BAA" w:rsidP="008E3F4B">
            <w:pPr>
              <w:jc w:val="center"/>
            </w:pPr>
          </w:p>
        </w:tc>
      </w:tr>
      <w:tr w:rsidR="009C3BAA" w:rsidRPr="00F46586" w14:paraId="14E94C1A" w14:textId="77777777" w:rsidTr="0012433C">
        <w:tc>
          <w:tcPr>
            <w:tcW w:w="1576" w:type="dxa"/>
            <w:vMerge/>
            <w:tcBorders>
              <w:top w:val="nil"/>
              <w:bottom w:val="nil"/>
              <w:right w:val="single" w:sz="4" w:space="0" w:color="auto"/>
            </w:tcBorders>
          </w:tcPr>
          <w:p w14:paraId="2FB8E4DF" w14:textId="77777777" w:rsidR="009C3BAA" w:rsidRPr="00F46586" w:rsidRDefault="009C3BAA" w:rsidP="008E3F4B"/>
        </w:tc>
        <w:tc>
          <w:tcPr>
            <w:tcW w:w="1376" w:type="dxa"/>
            <w:tcBorders>
              <w:top w:val="nil"/>
              <w:left w:val="single" w:sz="4" w:space="0" w:color="auto"/>
              <w:bottom w:val="nil"/>
              <w:right w:val="single" w:sz="4" w:space="0" w:color="auto"/>
            </w:tcBorders>
          </w:tcPr>
          <w:p w14:paraId="63310C69" w14:textId="77777777" w:rsidR="009C3BAA" w:rsidRPr="00F46586" w:rsidRDefault="009C3BAA" w:rsidP="008E3F4B">
            <w:r w:rsidRPr="00F46586">
              <w:t>Perceived efficacy</w:t>
            </w:r>
          </w:p>
        </w:tc>
        <w:tc>
          <w:tcPr>
            <w:tcW w:w="1403" w:type="dxa"/>
            <w:tcBorders>
              <w:top w:val="nil"/>
              <w:left w:val="single" w:sz="4" w:space="0" w:color="auto"/>
              <w:bottom w:val="nil"/>
              <w:right w:val="single" w:sz="4" w:space="0" w:color="auto"/>
            </w:tcBorders>
          </w:tcPr>
          <w:p w14:paraId="6BB60A55" w14:textId="77777777" w:rsidR="009C3BAA" w:rsidRPr="00F46586" w:rsidRDefault="009C3BAA" w:rsidP="008E3F4B">
            <w:r w:rsidRPr="00F46586">
              <w:t>Qualitative</w:t>
            </w:r>
          </w:p>
        </w:tc>
        <w:tc>
          <w:tcPr>
            <w:tcW w:w="1203" w:type="dxa"/>
            <w:tcBorders>
              <w:top w:val="nil"/>
              <w:left w:val="single" w:sz="4" w:space="0" w:color="auto"/>
              <w:bottom w:val="nil"/>
              <w:right w:val="single" w:sz="4" w:space="0" w:color="auto"/>
            </w:tcBorders>
          </w:tcPr>
          <w:p w14:paraId="41B75830" w14:textId="77777777" w:rsidR="009C3BAA" w:rsidRPr="00F46586" w:rsidRDefault="009C3BAA" w:rsidP="008E3F4B">
            <w:pPr>
              <w:jc w:val="center"/>
            </w:pPr>
            <w:r w:rsidRPr="00F46586">
              <w:t>X</w:t>
            </w:r>
          </w:p>
        </w:tc>
        <w:tc>
          <w:tcPr>
            <w:tcW w:w="794" w:type="dxa"/>
            <w:tcBorders>
              <w:top w:val="nil"/>
              <w:left w:val="single" w:sz="4" w:space="0" w:color="auto"/>
              <w:bottom w:val="nil"/>
              <w:right w:val="single" w:sz="4" w:space="0" w:color="auto"/>
            </w:tcBorders>
          </w:tcPr>
          <w:p w14:paraId="0860874C" w14:textId="77777777" w:rsidR="009C3BAA" w:rsidRPr="00F46586" w:rsidRDefault="009C3BAA" w:rsidP="008E3F4B">
            <w:pPr>
              <w:jc w:val="center"/>
            </w:pPr>
          </w:p>
        </w:tc>
        <w:tc>
          <w:tcPr>
            <w:tcW w:w="1890" w:type="dxa"/>
            <w:tcBorders>
              <w:top w:val="nil"/>
              <w:left w:val="single" w:sz="4" w:space="0" w:color="auto"/>
              <w:bottom w:val="nil"/>
            </w:tcBorders>
          </w:tcPr>
          <w:p w14:paraId="7A33163E" w14:textId="77777777" w:rsidR="009C3BAA" w:rsidRPr="00F46586" w:rsidRDefault="009C3BAA" w:rsidP="008E3F4B">
            <w:pPr>
              <w:jc w:val="center"/>
            </w:pPr>
          </w:p>
        </w:tc>
      </w:tr>
      <w:tr w:rsidR="009C3BAA" w:rsidRPr="00F46586" w14:paraId="0122960C" w14:textId="77777777" w:rsidTr="0012433C">
        <w:tc>
          <w:tcPr>
            <w:tcW w:w="1576" w:type="dxa"/>
            <w:vMerge/>
            <w:tcBorders>
              <w:top w:val="nil"/>
              <w:bottom w:val="single" w:sz="4" w:space="0" w:color="auto"/>
              <w:right w:val="single" w:sz="4" w:space="0" w:color="auto"/>
            </w:tcBorders>
          </w:tcPr>
          <w:p w14:paraId="5519336C" w14:textId="77777777" w:rsidR="009C3BAA" w:rsidRPr="00F46586" w:rsidRDefault="009C3BAA" w:rsidP="008E3F4B"/>
        </w:tc>
        <w:tc>
          <w:tcPr>
            <w:tcW w:w="1376" w:type="dxa"/>
            <w:tcBorders>
              <w:top w:val="nil"/>
              <w:left w:val="single" w:sz="4" w:space="0" w:color="auto"/>
              <w:bottom w:val="single" w:sz="4" w:space="0" w:color="auto"/>
              <w:right w:val="single" w:sz="4" w:space="0" w:color="auto"/>
            </w:tcBorders>
          </w:tcPr>
          <w:p w14:paraId="42D695FE" w14:textId="77777777" w:rsidR="009C3BAA" w:rsidRPr="00F46586" w:rsidRDefault="009C3BAA" w:rsidP="008E3F4B">
            <w:r w:rsidRPr="00F46586">
              <w:t>Patient engagement</w:t>
            </w:r>
          </w:p>
        </w:tc>
        <w:tc>
          <w:tcPr>
            <w:tcW w:w="1403" w:type="dxa"/>
            <w:tcBorders>
              <w:top w:val="nil"/>
              <w:left w:val="single" w:sz="4" w:space="0" w:color="auto"/>
              <w:bottom w:val="single" w:sz="4" w:space="0" w:color="auto"/>
              <w:right w:val="single" w:sz="4" w:space="0" w:color="auto"/>
            </w:tcBorders>
          </w:tcPr>
          <w:p w14:paraId="3D45105C" w14:textId="77777777" w:rsidR="009C3BAA" w:rsidRPr="00F46586" w:rsidRDefault="009C3BAA" w:rsidP="008E3F4B">
            <w:r w:rsidRPr="00F46586">
              <w:t>Qualitative</w:t>
            </w:r>
          </w:p>
        </w:tc>
        <w:tc>
          <w:tcPr>
            <w:tcW w:w="1203" w:type="dxa"/>
            <w:tcBorders>
              <w:top w:val="nil"/>
              <w:left w:val="single" w:sz="4" w:space="0" w:color="auto"/>
              <w:bottom w:val="single" w:sz="4" w:space="0" w:color="auto"/>
              <w:right w:val="single" w:sz="4" w:space="0" w:color="auto"/>
            </w:tcBorders>
          </w:tcPr>
          <w:p w14:paraId="1D916028" w14:textId="77777777" w:rsidR="009C3BAA" w:rsidRPr="00F46586" w:rsidRDefault="009C3BAA" w:rsidP="008E3F4B">
            <w:pPr>
              <w:jc w:val="center"/>
            </w:pPr>
            <w:r w:rsidRPr="00F46586">
              <w:t>X</w:t>
            </w:r>
          </w:p>
        </w:tc>
        <w:tc>
          <w:tcPr>
            <w:tcW w:w="794" w:type="dxa"/>
            <w:tcBorders>
              <w:top w:val="nil"/>
              <w:left w:val="single" w:sz="4" w:space="0" w:color="auto"/>
              <w:bottom w:val="single" w:sz="4" w:space="0" w:color="auto"/>
              <w:right w:val="single" w:sz="4" w:space="0" w:color="auto"/>
            </w:tcBorders>
          </w:tcPr>
          <w:p w14:paraId="64FA095C" w14:textId="77777777" w:rsidR="009C3BAA" w:rsidRPr="00F46586" w:rsidRDefault="009C3BAA" w:rsidP="008E3F4B">
            <w:pPr>
              <w:jc w:val="center"/>
            </w:pPr>
          </w:p>
        </w:tc>
        <w:tc>
          <w:tcPr>
            <w:tcW w:w="1890" w:type="dxa"/>
            <w:tcBorders>
              <w:top w:val="nil"/>
              <w:left w:val="single" w:sz="4" w:space="0" w:color="auto"/>
              <w:bottom w:val="single" w:sz="4" w:space="0" w:color="auto"/>
            </w:tcBorders>
          </w:tcPr>
          <w:p w14:paraId="6745F05A" w14:textId="77777777" w:rsidR="009C3BAA" w:rsidRPr="00F46586" w:rsidRDefault="009C3BAA" w:rsidP="008E3F4B">
            <w:pPr>
              <w:jc w:val="center"/>
            </w:pPr>
          </w:p>
        </w:tc>
      </w:tr>
      <w:tr w:rsidR="009C3BAA" w:rsidRPr="00F46586" w14:paraId="494629ED" w14:textId="77777777" w:rsidTr="0012433C">
        <w:tc>
          <w:tcPr>
            <w:tcW w:w="1576" w:type="dxa"/>
            <w:tcBorders>
              <w:top w:val="single" w:sz="4" w:space="0" w:color="auto"/>
              <w:right w:val="single" w:sz="4" w:space="0" w:color="auto"/>
            </w:tcBorders>
          </w:tcPr>
          <w:p w14:paraId="26E30CAC" w14:textId="77777777" w:rsidR="009C3BAA" w:rsidRPr="00F46586" w:rsidRDefault="009C3BAA" w:rsidP="008E3F4B">
            <w:r w:rsidRPr="00F46586">
              <w:t>To what extent is fall prevention being implemented as designed?</w:t>
            </w:r>
          </w:p>
        </w:tc>
        <w:tc>
          <w:tcPr>
            <w:tcW w:w="1376" w:type="dxa"/>
            <w:tcBorders>
              <w:top w:val="single" w:sz="4" w:space="0" w:color="auto"/>
              <w:left w:val="single" w:sz="4" w:space="0" w:color="auto"/>
              <w:bottom w:val="single" w:sz="4" w:space="0" w:color="auto"/>
              <w:right w:val="single" w:sz="4" w:space="0" w:color="auto"/>
            </w:tcBorders>
          </w:tcPr>
          <w:p w14:paraId="6F69F2CE" w14:textId="77777777" w:rsidR="009C3BAA" w:rsidRPr="00F46586" w:rsidRDefault="009C3BAA" w:rsidP="008E3F4B">
            <w:r w:rsidRPr="00F46586">
              <w:t>Fidelity</w:t>
            </w:r>
          </w:p>
        </w:tc>
        <w:tc>
          <w:tcPr>
            <w:tcW w:w="1403" w:type="dxa"/>
            <w:tcBorders>
              <w:top w:val="single" w:sz="4" w:space="0" w:color="auto"/>
              <w:left w:val="single" w:sz="4" w:space="0" w:color="auto"/>
              <w:bottom w:val="single" w:sz="4" w:space="0" w:color="auto"/>
              <w:right w:val="single" w:sz="4" w:space="0" w:color="auto"/>
            </w:tcBorders>
          </w:tcPr>
          <w:p w14:paraId="4E94C9C0" w14:textId="77777777" w:rsidR="009C3BAA" w:rsidRPr="00F46586" w:rsidRDefault="009C3BAA" w:rsidP="008E3F4B">
            <w:r w:rsidRPr="00F46586">
              <w:t>Quantitative and Qualitative</w:t>
            </w:r>
          </w:p>
        </w:tc>
        <w:tc>
          <w:tcPr>
            <w:tcW w:w="1203" w:type="dxa"/>
            <w:tcBorders>
              <w:top w:val="single" w:sz="4" w:space="0" w:color="auto"/>
              <w:left w:val="single" w:sz="4" w:space="0" w:color="auto"/>
              <w:bottom w:val="single" w:sz="4" w:space="0" w:color="auto"/>
              <w:right w:val="single" w:sz="4" w:space="0" w:color="auto"/>
            </w:tcBorders>
          </w:tcPr>
          <w:p w14:paraId="3D0CA530" w14:textId="77777777" w:rsidR="009C3BAA" w:rsidRPr="00F46586" w:rsidRDefault="009C3BAA" w:rsidP="008E3F4B">
            <w:pPr>
              <w:jc w:val="center"/>
            </w:pPr>
            <w:r w:rsidRPr="00F46586">
              <w:t>X</w:t>
            </w:r>
          </w:p>
        </w:tc>
        <w:tc>
          <w:tcPr>
            <w:tcW w:w="794" w:type="dxa"/>
            <w:tcBorders>
              <w:top w:val="single" w:sz="4" w:space="0" w:color="auto"/>
              <w:left w:val="single" w:sz="4" w:space="0" w:color="auto"/>
              <w:bottom w:val="single" w:sz="4" w:space="0" w:color="auto"/>
              <w:right w:val="single" w:sz="4" w:space="0" w:color="auto"/>
            </w:tcBorders>
          </w:tcPr>
          <w:p w14:paraId="4C21918F" w14:textId="77777777" w:rsidR="009C3BAA" w:rsidRPr="00F46586" w:rsidRDefault="009C3BAA" w:rsidP="008E3F4B">
            <w:pPr>
              <w:jc w:val="center"/>
            </w:pPr>
          </w:p>
        </w:tc>
        <w:tc>
          <w:tcPr>
            <w:tcW w:w="1890" w:type="dxa"/>
            <w:tcBorders>
              <w:top w:val="single" w:sz="4" w:space="0" w:color="auto"/>
              <w:left w:val="single" w:sz="4" w:space="0" w:color="auto"/>
              <w:bottom w:val="single" w:sz="4" w:space="0" w:color="auto"/>
            </w:tcBorders>
          </w:tcPr>
          <w:p w14:paraId="3ED9EC2C" w14:textId="77777777" w:rsidR="009C3BAA" w:rsidRPr="00F46586" w:rsidRDefault="009C3BAA" w:rsidP="008E3F4B">
            <w:pPr>
              <w:jc w:val="center"/>
            </w:pPr>
            <w:r w:rsidRPr="00F46586">
              <w:t>X</w:t>
            </w:r>
          </w:p>
        </w:tc>
      </w:tr>
    </w:tbl>
    <w:p w14:paraId="23C3500D" w14:textId="77777777" w:rsidR="00DF1789" w:rsidRPr="00F46586" w:rsidRDefault="00DF1789" w:rsidP="00227085">
      <w:pPr>
        <w:pStyle w:val="ColorfulList-Accent11"/>
        <w:ind w:left="0"/>
        <w:rPr>
          <w:b/>
          <w:bCs/>
        </w:rPr>
      </w:pPr>
    </w:p>
    <w:p w14:paraId="16E2CC3B" w14:textId="77777777" w:rsidR="00447E20" w:rsidRPr="00F46586" w:rsidRDefault="00447E20" w:rsidP="00134107">
      <w:pPr>
        <w:pStyle w:val="ColorfulList-Accent11"/>
        <w:rPr>
          <w:bCs/>
        </w:rPr>
      </w:pPr>
    </w:p>
    <w:p w14:paraId="15C1AE2E" w14:textId="77777777" w:rsidR="00447E20" w:rsidRPr="00F46586" w:rsidRDefault="005C0928" w:rsidP="006F45AB">
      <w:pPr>
        <w:pStyle w:val="ColorfulList-Accent11"/>
        <w:ind w:left="0"/>
        <w:rPr>
          <w:b/>
          <w:bCs/>
        </w:rPr>
      </w:pPr>
      <w:r w:rsidRPr="00F46586">
        <w:rPr>
          <w:b/>
          <w:bCs/>
        </w:rPr>
        <w:t>Table A.2.</w:t>
      </w:r>
      <w:r w:rsidR="00801203" w:rsidRPr="00F46586">
        <w:rPr>
          <w:b/>
          <w:bCs/>
        </w:rPr>
        <w:t>4</w:t>
      </w:r>
      <w:r w:rsidRPr="00F46586">
        <w:rPr>
          <w:b/>
          <w:bCs/>
        </w:rPr>
        <w:t xml:space="preserve"> </w:t>
      </w:r>
      <w:r w:rsidR="00D31937" w:rsidRPr="00F46586">
        <w:rPr>
          <w:b/>
          <w:bCs/>
        </w:rPr>
        <w:t xml:space="preserve">Process Evaluation Interviews </w:t>
      </w:r>
      <w:r w:rsidR="00447E20" w:rsidRPr="00F46586">
        <w:rPr>
          <w:b/>
          <w:bCs/>
        </w:rPr>
        <w:t>Crosswalk of Questions with Indicators</w:t>
      </w:r>
    </w:p>
    <w:p w14:paraId="4243DDC6" w14:textId="77777777" w:rsidR="00FF389E" w:rsidRPr="00F46586" w:rsidRDefault="00FF389E" w:rsidP="006F45AB">
      <w:pPr>
        <w:pStyle w:val="ColorfulList-Accent11"/>
        <w:ind w:left="0"/>
        <w:rPr>
          <w:b/>
          <w:bCs/>
        </w:rPr>
      </w:pPr>
    </w:p>
    <w:tbl>
      <w:tblPr>
        <w:tblStyle w:val="TableGrid"/>
        <w:tblW w:w="0" w:type="auto"/>
        <w:tblLook w:val="04A0" w:firstRow="1" w:lastRow="0" w:firstColumn="1" w:lastColumn="0" w:noHBand="0" w:noVBand="1"/>
      </w:tblPr>
      <w:tblGrid>
        <w:gridCol w:w="2876"/>
        <w:gridCol w:w="2877"/>
        <w:gridCol w:w="2877"/>
      </w:tblGrid>
      <w:tr w:rsidR="00FF389E" w:rsidRPr="00F46586" w14:paraId="4253F0A3" w14:textId="77777777" w:rsidTr="00FF389E">
        <w:tc>
          <w:tcPr>
            <w:tcW w:w="2876" w:type="dxa"/>
          </w:tcPr>
          <w:p w14:paraId="409FBE36" w14:textId="77777777" w:rsidR="00FF389E" w:rsidRPr="00F46586" w:rsidRDefault="00FF389E" w:rsidP="006F45AB">
            <w:pPr>
              <w:pStyle w:val="ColorfulList-Accent11"/>
              <w:ind w:left="0"/>
              <w:rPr>
                <w:bCs/>
              </w:rPr>
            </w:pPr>
            <w:r w:rsidRPr="00F46586">
              <w:rPr>
                <w:bCs/>
              </w:rPr>
              <w:t>Questions</w:t>
            </w:r>
          </w:p>
        </w:tc>
        <w:tc>
          <w:tcPr>
            <w:tcW w:w="2877" w:type="dxa"/>
          </w:tcPr>
          <w:p w14:paraId="4B50E9D2" w14:textId="77777777" w:rsidR="00FF389E" w:rsidRPr="00F46586" w:rsidRDefault="00FF389E" w:rsidP="006F45AB">
            <w:pPr>
              <w:pStyle w:val="ColorfulList-Accent11"/>
              <w:ind w:left="0"/>
              <w:rPr>
                <w:bCs/>
              </w:rPr>
            </w:pPr>
            <w:r w:rsidRPr="00F46586">
              <w:rPr>
                <w:bCs/>
              </w:rPr>
              <w:t>Questions Description</w:t>
            </w:r>
          </w:p>
        </w:tc>
        <w:tc>
          <w:tcPr>
            <w:tcW w:w="2877" w:type="dxa"/>
          </w:tcPr>
          <w:p w14:paraId="7A26ECB6" w14:textId="77777777" w:rsidR="00FF389E" w:rsidRPr="00F46586" w:rsidRDefault="00FF389E" w:rsidP="006F45AB">
            <w:pPr>
              <w:pStyle w:val="ColorfulList-Accent11"/>
              <w:ind w:left="0"/>
              <w:rPr>
                <w:bCs/>
              </w:rPr>
            </w:pPr>
            <w:r w:rsidRPr="00F46586">
              <w:rPr>
                <w:bCs/>
              </w:rPr>
              <w:t>Indicator</w:t>
            </w:r>
          </w:p>
        </w:tc>
      </w:tr>
      <w:tr w:rsidR="00FF389E" w:rsidRPr="00F46586" w14:paraId="1E1EF6C4" w14:textId="77777777" w:rsidTr="00FF389E">
        <w:tc>
          <w:tcPr>
            <w:tcW w:w="2876" w:type="dxa"/>
          </w:tcPr>
          <w:p w14:paraId="2943740F" w14:textId="46E0E146" w:rsidR="00FF389E" w:rsidRPr="00F46586" w:rsidRDefault="00E95B6F" w:rsidP="00E95B6F">
            <w:pPr>
              <w:pStyle w:val="ColorfulList-Accent11"/>
              <w:ind w:left="0"/>
              <w:rPr>
                <w:bCs/>
              </w:rPr>
            </w:pPr>
            <w:r w:rsidRPr="00F46586">
              <w:rPr>
                <w:bCs/>
              </w:rPr>
              <w:t>P</w:t>
            </w:r>
            <w:r>
              <w:rPr>
                <w:bCs/>
              </w:rPr>
              <w:t>hysician</w:t>
            </w:r>
            <w:r w:rsidRPr="00F46586">
              <w:rPr>
                <w:bCs/>
              </w:rPr>
              <w:t xml:space="preserve"> </w:t>
            </w:r>
            <w:r w:rsidR="00FF389E" w:rsidRPr="00F46586">
              <w:rPr>
                <w:bCs/>
              </w:rPr>
              <w:t>interview questions 1-</w:t>
            </w:r>
            <w:r w:rsidR="00F204DF">
              <w:rPr>
                <w:bCs/>
              </w:rPr>
              <w:t>2</w:t>
            </w:r>
          </w:p>
        </w:tc>
        <w:tc>
          <w:tcPr>
            <w:tcW w:w="2877" w:type="dxa"/>
          </w:tcPr>
          <w:p w14:paraId="1BC82AEF" w14:textId="77777777" w:rsidR="00FF389E" w:rsidRPr="00F46586" w:rsidRDefault="00FF389E" w:rsidP="006F45AB">
            <w:pPr>
              <w:pStyle w:val="ColorfulList-Accent11"/>
              <w:ind w:left="0"/>
              <w:rPr>
                <w:bCs/>
              </w:rPr>
            </w:pPr>
            <w:r w:rsidRPr="00F46586">
              <w:rPr>
                <w:bCs/>
              </w:rPr>
              <w:t>Implementation of STEADI and changes in work flow</w:t>
            </w:r>
          </w:p>
        </w:tc>
        <w:tc>
          <w:tcPr>
            <w:tcW w:w="2877" w:type="dxa"/>
          </w:tcPr>
          <w:p w14:paraId="6923D13D" w14:textId="77777777" w:rsidR="00FF389E" w:rsidRPr="00F46586" w:rsidRDefault="00FF389E" w:rsidP="006F45AB">
            <w:pPr>
              <w:pStyle w:val="ColorfulList-Accent11"/>
              <w:ind w:left="0"/>
              <w:rPr>
                <w:bCs/>
              </w:rPr>
            </w:pPr>
            <w:r w:rsidRPr="00F46586">
              <w:rPr>
                <w:bCs/>
              </w:rPr>
              <w:t>Fidelity</w:t>
            </w:r>
          </w:p>
        </w:tc>
      </w:tr>
      <w:tr w:rsidR="00E95B6F" w:rsidRPr="00F46586" w14:paraId="19BD7DB0" w14:textId="77777777" w:rsidTr="00FF389E">
        <w:tc>
          <w:tcPr>
            <w:tcW w:w="2876" w:type="dxa"/>
          </w:tcPr>
          <w:p w14:paraId="15468C52" w14:textId="06D07978" w:rsidR="00E95B6F" w:rsidRDefault="00E95B6F" w:rsidP="00F204DF">
            <w:pPr>
              <w:pStyle w:val="ColorfulList-Accent11"/>
              <w:ind w:left="0"/>
              <w:rPr>
                <w:bCs/>
              </w:rPr>
            </w:pPr>
            <w:r>
              <w:rPr>
                <w:bCs/>
              </w:rPr>
              <w:t xml:space="preserve">Physician interview questions </w:t>
            </w:r>
            <w:r w:rsidR="00F204DF">
              <w:rPr>
                <w:bCs/>
              </w:rPr>
              <w:t>3-5</w:t>
            </w:r>
            <w:r w:rsidR="005F7B05">
              <w:rPr>
                <w:bCs/>
              </w:rPr>
              <w:t xml:space="preserve"> and </w:t>
            </w:r>
            <w:r w:rsidR="00F204DF">
              <w:rPr>
                <w:bCs/>
              </w:rPr>
              <w:t>11-12</w:t>
            </w:r>
          </w:p>
        </w:tc>
        <w:tc>
          <w:tcPr>
            <w:tcW w:w="2877" w:type="dxa"/>
          </w:tcPr>
          <w:p w14:paraId="4E81D37F" w14:textId="77777777" w:rsidR="00E95B6F" w:rsidRPr="00F46586" w:rsidRDefault="00E95B6F" w:rsidP="006F45AB">
            <w:pPr>
              <w:pStyle w:val="ColorfulList-Accent11"/>
              <w:ind w:left="0"/>
              <w:rPr>
                <w:bCs/>
              </w:rPr>
            </w:pPr>
            <w:r w:rsidRPr="00F46586">
              <w:rPr>
                <w:bCs/>
              </w:rPr>
              <w:t>Ease of use of STEADI and communication between providers</w:t>
            </w:r>
          </w:p>
        </w:tc>
        <w:tc>
          <w:tcPr>
            <w:tcW w:w="2877" w:type="dxa"/>
          </w:tcPr>
          <w:p w14:paraId="659B8155" w14:textId="77777777" w:rsidR="00E95B6F" w:rsidRDefault="00A60F2A" w:rsidP="006F45AB">
            <w:pPr>
              <w:pStyle w:val="ColorfulList-Accent11"/>
              <w:ind w:left="0"/>
              <w:rPr>
                <w:bCs/>
              </w:rPr>
            </w:pPr>
            <w:r w:rsidRPr="00F46586">
              <w:rPr>
                <w:bCs/>
              </w:rPr>
              <w:t>Barriers and facilitators to implementing STEADI</w:t>
            </w:r>
          </w:p>
        </w:tc>
      </w:tr>
      <w:tr w:rsidR="00FF389E" w:rsidRPr="00F46586" w14:paraId="230F2E42" w14:textId="77777777" w:rsidTr="00FF389E">
        <w:tc>
          <w:tcPr>
            <w:tcW w:w="2876" w:type="dxa"/>
          </w:tcPr>
          <w:p w14:paraId="4EEBF8E8" w14:textId="2DB6BC2B" w:rsidR="00FF389E" w:rsidRPr="00F46586" w:rsidRDefault="00DA5FE1" w:rsidP="00115EFA">
            <w:pPr>
              <w:pStyle w:val="ColorfulList-Accent11"/>
              <w:ind w:left="0"/>
              <w:rPr>
                <w:bCs/>
              </w:rPr>
            </w:pPr>
            <w:r>
              <w:rPr>
                <w:bCs/>
              </w:rPr>
              <w:t>Clinic operations manager</w:t>
            </w:r>
            <w:r w:rsidR="0053225B" w:rsidRPr="00F46586">
              <w:rPr>
                <w:bCs/>
              </w:rPr>
              <w:t xml:space="preserve"> questions 1-</w:t>
            </w:r>
            <w:r w:rsidR="00F204DF">
              <w:rPr>
                <w:bCs/>
              </w:rPr>
              <w:t>8</w:t>
            </w:r>
          </w:p>
        </w:tc>
        <w:tc>
          <w:tcPr>
            <w:tcW w:w="2877" w:type="dxa"/>
          </w:tcPr>
          <w:p w14:paraId="4DB8A9C2" w14:textId="77777777" w:rsidR="00FF389E" w:rsidRPr="00F46586" w:rsidRDefault="003113CB" w:rsidP="00A60F2A">
            <w:pPr>
              <w:pStyle w:val="ColorfulList-Accent11"/>
              <w:ind w:left="0"/>
              <w:rPr>
                <w:bCs/>
              </w:rPr>
            </w:pPr>
            <w:r w:rsidRPr="00F46586">
              <w:rPr>
                <w:bCs/>
              </w:rPr>
              <w:t>Ease of use of STEADI</w:t>
            </w:r>
            <w:r w:rsidR="0053225B" w:rsidRPr="00F46586">
              <w:rPr>
                <w:bCs/>
              </w:rPr>
              <w:t xml:space="preserve"> </w:t>
            </w:r>
          </w:p>
        </w:tc>
        <w:tc>
          <w:tcPr>
            <w:tcW w:w="2877" w:type="dxa"/>
          </w:tcPr>
          <w:p w14:paraId="40554A46" w14:textId="77777777" w:rsidR="00FF389E" w:rsidRPr="00F46586" w:rsidRDefault="0053225B" w:rsidP="006F45AB">
            <w:pPr>
              <w:pStyle w:val="ColorfulList-Accent11"/>
              <w:ind w:left="0"/>
              <w:rPr>
                <w:bCs/>
              </w:rPr>
            </w:pPr>
            <w:r w:rsidRPr="00F46586">
              <w:rPr>
                <w:bCs/>
              </w:rPr>
              <w:t>Barriers and facilitators to implementing STEADI</w:t>
            </w:r>
          </w:p>
        </w:tc>
      </w:tr>
      <w:tr w:rsidR="00E95B6F" w:rsidRPr="00F46586" w14:paraId="549127C9" w14:textId="77777777" w:rsidTr="00FF389E">
        <w:tc>
          <w:tcPr>
            <w:tcW w:w="2876" w:type="dxa"/>
          </w:tcPr>
          <w:p w14:paraId="186E50C0" w14:textId="4E94FA48" w:rsidR="00E95B6F" w:rsidRPr="00F46586" w:rsidRDefault="00A60F2A" w:rsidP="00F204DF">
            <w:pPr>
              <w:pStyle w:val="ColorfulList-Accent11"/>
              <w:ind w:left="0"/>
              <w:rPr>
                <w:bCs/>
              </w:rPr>
            </w:pPr>
            <w:r>
              <w:rPr>
                <w:bCs/>
              </w:rPr>
              <w:t xml:space="preserve">Physician interview questions </w:t>
            </w:r>
            <w:r w:rsidR="00F204DF">
              <w:rPr>
                <w:bCs/>
              </w:rPr>
              <w:t>6-10</w:t>
            </w:r>
          </w:p>
        </w:tc>
        <w:tc>
          <w:tcPr>
            <w:tcW w:w="2877" w:type="dxa"/>
          </w:tcPr>
          <w:p w14:paraId="5B1CA71F" w14:textId="77777777" w:rsidR="00E95B6F" w:rsidRPr="00F46586" w:rsidRDefault="00A60F2A" w:rsidP="006F45AB">
            <w:pPr>
              <w:pStyle w:val="ColorfulList-Accent11"/>
              <w:ind w:left="0"/>
              <w:rPr>
                <w:bCs/>
              </w:rPr>
            </w:pPr>
            <w:r w:rsidRPr="00F46586">
              <w:rPr>
                <w:bCs/>
              </w:rPr>
              <w:t>Time taken to implement different components of STEADI</w:t>
            </w:r>
          </w:p>
        </w:tc>
        <w:tc>
          <w:tcPr>
            <w:tcW w:w="2877" w:type="dxa"/>
          </w:tcPr>
          <w:p w14:paraId="75443423" w14:textId="77777777" w:rsidR="00E95B6F" w:rsidRPr="00F46586" w:rsidRDefault="00A60F2A" w:rsidP="006F45AB">
            <w:pPr>
              <w:pStyle w:val="ColorfulList-Accent11"/>
              <w:ind w:left="0"/>
              <w:rPr>
                <w:bCs/>
              </w:rPr>
            </w:pPr>
            <w:r w:rsidRPr="00F46586">
              <w:rPr>
                <w:bCs/>
              </w:rPr>
              <w:t>STEADI implementation time</w:t>
            </w:r>
          </w:p>
        </w:tc>
      </w:tr>
      <w:tr w:rsidR="00A60F2A" w:rsidRPr="00F46586" w14:paraId="19825784" w14:textId="77777777" w:rsidTr="00FF389E">
        <w:tc>
          <w:tcPr>
            <w:tcW w:w="2876" w:type="dxa"/>
          </w:tcPr>
          <w:p w14:paraId="060ED97D" w14:textId="20E7479A" w:rsidR="00A60F2A" w:rsidRPr="00F46586" w:rsidDel="00A60F2A" w:rsidRDefault="00DA5FE1" w:rsidP="00F204DF">
            <w:pPr>
              <w:pStyle w:val="ColorfulList-Accent11"/>
              <w:ind w:left="0"/>
              <w:rPr>
                <w:bCs/>
              </w:rPr>
            </w:pPr>
            <w:r>
              <w:rPr>
                <w:bCs/>
              </w:rPr>
              <w:t>Clinic o</w:t>
            </w:r>
            <w:r w:rsidR="00A60F2A">
              <w:rPr>
                <w:bCs/>
              </w:rPr>
              <w:t xml:space="preserve">perations manager interview questions </w:t>
            </w:r>
            <w:r w:rsidR="00F204DF">
              <w:rPr>
                <w:bCs/>
              </w:rPr>
              <w:t>9-13</w:t>
            </w:r>
          </w:p>
        </w:tc>
        <w:tc>
          <w:tcPr>
            <w:tcW w:w="2877" w:type="dxa"/>
          </w:tcPr>
          <w:p w14:paraId="02BA423E" w14:textId="77777777" w:rsidR="00A60F2A" w:rsidRPr="00F46586" w:rsidRDefault="00A60F2A" w:rsidP="003113CB">
            <w:pPr>
              <w:pStyle w:val="ColorfulList-Accent11"/>
              <w:ind w:left="0"/>
              <w:rPr>
                <w:bCs/>
              </w:rPr>
            </w:pPr>
            <w:r w:rsidRPr="00F46586">
              <w:rPr>
                <w:bCs/>
              </w:rPr>
              <w:t>Time taken to implement different components of STEADI</w:t>
            </w:r>
          </w:p>
        </w:tc>
        <w:tc>
          <w:tcPr>
            <w:tcW w:w="2877" w:type="dxa"/>
          </w:tcPr>
          <w:p w14:paraId="3E8BEFFB" w14:textId="77777777" w:rsidR="00A60F2A" w:rsidRPr="00F46586" w:rsidRDefault="00A60F2A" w:rsidP="006F45AB">
            <w:pPr>
              <w:pStyle w:val="ColorfulList-Accent11"/>
              <w:ind w:left="0"/>
              <w:rPr>
                <w:bCs/>
              </w:rPr>
            </w:pPr>
            <w:r>
              <w:rPr>
                <w:bCs/>
              </w:rPr>
              <w:t>STEADI implementation time</w:t>
            </w:r>
          </w:p>
        </w:tc>
      </w:tr>
      <w:tr w:rsidR="00FF389E" w:rsidRPr="00F46586" w14:paraId="50D6C457" w14:textId="77777777" w:rsidTr="00FF389E">
        <w:tc>
          <w:tcPr>
            <w:tcW w:w="2876" w:type="dxa"/>
          </w:tcPr>
          <w:p w14:paraId="38641994" w14:textId="4E87EBA1" w:rsidR="00FF389E" w:rsidRPr="00F46586" w:rsidRDefault="0053225B" w:rsidP="005F7B05">
            <w:pPr>
              <w:pStyle w:val="ColorfulList-Accent11"/>
              <w:ind w:left="0"/>
              <w:rPr>
                <w:bCs/>
              </w:rPr>
            </w:pPr>
            <w:r w:rsidRPr="00F46586">
              <w:rPr>
                <w:bCs/>
              </w:rPr>
              <w:t xml:space="preserve">Provider interview questions </w:t>
            </w:r>
            <w:r w:rsidR="005F7B05">
              <w:rPr>
                <w:bCs/>
              </w:rPr>
              <w:t>1</w:t>
            </w:r>
            <w:r w:rsidR="00F204DF">
              <w:rPr>
                <w:bCs/>
              </w:rPr>
              <w:t>3</w:t>
            </w:r>
            <w:r w:rsidR="005F7B05">
              <w:rPr>
                <w:bCs/>
              </w:rPr>
              <w:t>-19</w:t>
            </w:r>
            <w:r w:rsidRPr="00F46586">
              <w:rPr>
                <w:bCs/>
              </w:rPr>
              <w:t xml:space="preserve"> </w:t>
            </w:r>
          </w:p>
        </w:tc>
        <w:tc>
          <w:tcPr>
            <w:tcW w:w="2877" w:type="dxa"/>
          </w:tcPr>
          <w:p w14:paraId="73360633" w14:textId="77777777" w:rsidR="00FF389E" w:rsidRPr="00F46586" w:rsidRDefault="0053225B" w:rsidP="0053225B">
            <w:pPr>
              <w:pStyle w:val="ColorfulList-Accent11"/>
              <w:ind w:left="0"/>
              <w:rPr>
                <w:bCs/>
              </w:rPr>
            </w:pPr>
            <w:r w:rsidRPr="00F46586">
              <w:rPr>
                <w:bCs/>
              </w:rPr>
              <w:t>Perceived knowledge, awareness, and engagement of patients attitudes towards falls and fall prevention</w:t>
            </w:r>
          </w:p>
        </w:tc>
        <w:tc>
          <w:tcPr>
            <w:tcW w:w="2877" w:type="dxa"/>
          </w:tcPr>
          <w:p w14:paraId="7A98BEA5" w14:textId="77777777" w:rsidR="00FF389E" w:rsidRPr="00F46586" w:rsidRDefault="00A633A3" w:rsidP="006F45AB">
            <w:pPr>
              <w:pStyle w:val="ColorfulList-Accent11"/>
              <w:ind w:left="0"/>
              <w:rPr>
                <w:bCs/>
              </w:rPr>
            </w:pPr>
            <w:r w:rsidRPr="00F46586">
              <w:rPr>
                <w:bCs/>
              </w:rPr>
              <w:t>Perceived</w:t>
            </w:r>
            <w:r w:rsidR="0053225B" w:rsidRPr="00F46586">
              <w:rPr>
                <w:bCs/>
              </w:rPr>
              <w:t xml:space="preserve"> efficacy and patient engagement</w:t>
            </w:r>
          </w:p>
        </w:tc>
      </w:tr>
    </w:tbl>
    <w:p w14:paraId="446C7D63" w14:textId="77777777" w:rsidR="00FF389E" w:rsidRPr="00F46586" w:rsidRDefault="00FF389E" w:rsidP="006F45AB">
      <w:pPr>
        <w:pStyle w:val="ColorfulList-Accent11"/>
        <w:ind w:left="0"/>
        <w:rPr>
          <w:b/>
          <w:bCs/>
        </w:rPr>
      </w:pPr>
    </w:p>
    <w:p w14:paraId="26DBEF4B" w14:textId="77777777" w:rsidR="00780A40" w:rsidRPr="00F46586" w:rsidRDefault="008615CB" w:rsidP="00D1423D">
      <w:pPr>
        <w:pStyle w:val="Heading2"/>
        <w:rPr>
          <w:rFonts w:ascii="Times New Roman" w:hAnsi="Times New Roman" w:cs="Times New Roman"/>
          <w:i w:val="0"/>
          <w:sz w:val="24"/>
          <w:szCs w:val="24"/>
        </w:rPr>
      </w:pPr>
      <w:bookmarkStart w:id="17" w:name="_Toc532215334"/>
      <w:bookmarkStart w:id="18" w:name="_Toc2085384"/>
      <w:r w:rsidRPr="00F46586">
        <w:rPr>
          <w:rFonts w:ascii="Times New Roman" w:hAnsi="Times New Roman" w:cs="Times New Roman"/>
          <w:i w:val="0"/>
          <w:sz w:val="24"/>
          <w:szCs w:val="24"/>
        </w:rPr>
        <w:t>A.</w:t>
      </w:r>
      <w:bookmarkStart w:id="19" w:name="_Toc151782178"/>
      <w:bookmarkStart w:id="20" w:name="_Toc158526218"/>
      <w:bookmarkEnd w:id="17"/>
      <w:r w:rsidR="00780A40" w:rsidRPr="00F46586">
        <w:rPr>
          <w:rFonts w:ascii="Times New Roman" w:hAnsi="Times New Roman" w:cs="Times New Roman"/>
          <w:i w:val="0"/>
          <w:sz w:val="24"/>
          <w:szCs w:val="24"/>
        </w:rPr>
        <w:t>3. Use of Improved Information Technology and Burden Reduction</w:t>
      </w:r>
      <w:bookmarkEnd w:id="18"/>
      <w:r w:rsidR="00780A40" w:rsidRPr="00F46586" w:rsidDel="00780A40">
        <w:rPr>
          <w:rFonts w:ascii="Times New Roman" w:hAnsi="Times New Roman" w:cs="Times New Roman"/>
          <w:i w:val="0"/>
          <w:sz w:val="24"/>
          <w:szCs w:val="24"/>
        </w:rPr>
        <w:t xml:space="preserve"> </w:t>
      </w:r>
    </w:p>
    <w:bookmarkEnd w:id="19"/>
    <w:bookmarkEnd w:id="20"/>
    <w:p w14:paraId="5E77C54B" w14:textId="65B22B9C" w:rsidR="00640EB2" w:rsidRDefault="00651E61" w:rsidP="00640EB2">
      <w:r w:rsidRPr="00F46586">
        <w:t xml:space="preserve">Patients will have the opportunity to respond to the </w:t>
      </w:r>
      <w:r w:rsidR="000E4DF3" w:rsidRPr="00F46586">
        <w:t xml:space="preserve">baseline and </w:t>
      </w:r>
      <w:r w:rsidR="00F604B2">
        <w:t>follow-up</w:t>
      </w:r>
      <w:r w:rsidR="00F604B2" w:rsidRPr="00F46586">
        <w:t xml:space="preserve"> </w:t>
      </w:r>
      <w:r w:rsidRPr="00F46586">
        <w:t>patient surveys via a self-administered web-based survey (also called computer-assisted web interview</w:t>
      </w:r>
      <w:r w:rsidR="00BA2B58">
        <w:t>,</w:t>
      </w:r>
      <w:r w:rsidRPr="00F46586">
        <w:t xml:space="preserve"> or CAWI). CAWI technology minimizes respondent burden by 1) automatically providing text fills within questions and handling skip patterns based on responses to each question; 2) allowing respondents to complete the survey at a convenient time; 3) allowing respondents to stop and re-enter the survey if needed; and 4) capturing data in real-time, thereby eliminating the need for manual data entry.</w:t>
      </w:r>
      <w:r w:rsidRPr="00F46586">
        <w:br/>
      </w:r>
      <w:r w:rsidRPr="00F46586">
        <w:br/>
        <w:t xml:space="preserve">Patients who do not complete the self-administered web survey or the mailed paper self-administered questionnaire (SAQ) will be called to attempt to complete the questionnaire via telephone with a trained telephone interviewer. Further, if a respondent receives the paper SAQ but does not wish to complete the paper version of the survey, he/she can call a toll-free line and complete the survey via telephone. Similar to CAWI technology, computer-assisted telephone interviewing (CATI) technology helps minimize respondent burden with built-in functionality that moves through skip patterns seamlessly to increase efficiency. CATI tailors the sequence of the questions based on the answers of the respondent, resulting in few – if any – skip errors, and automatically provides text fills within questions based on responses to each question. Data collected via CATI are also automatically stored electronically, eliminating the need for manual data entry. </w:t>
      </w:r>
    </w:p>
    <w:p w14:paraId="33D8BF2A" w14:textId="77777777" w:rsidR="00640EB2" w:rsidRDefault="00640EB2" w:rsidP="00640EB2"/>
    <w:p w14:paraId="1D2A7DD6" w14:textId="77777777" w:rsidR="001B2DB9" w:rsidRPr="00640EB2" w:rsidRDefault="00F95E85" w:rsidP="00640EB2">
      <w:r>
        <w:t xml:space="preserve">This data collection will supplement data </w:t>
      </w:r>
      <w:r w:rsidR="00265ED7">
        <w:t xml:space="preserve">collected from the </w:t>
      </w:r>
      <w:r w:rsidR="0030166D">
        <w:t xml:space="preserve">EHR. </w:t>
      </w:r>
      <w:r w:rsidR="00265ED7">
        <w:t>The only data collected via survey will be information that cannot be obtained from the EHR.</w:t>
      </w:r>
    </w:p>
    <w:p w14:paraId="022A2A7A" w14:textId="77777777" w:rsidR="009B633D" w:rsidRPr="00F46586" w:rsidRDefault="00A95E80" w:rsidP="009B633D">
      <w:pPr>
        <w:pStyle w:val="Heading2"/>
        <w:rPr>
          <w:rFonts w:ascii="Times New Roman" w:hAnsi="Times New Roman" w:cs="Times New Roman"/>
          <w:i w:val="0"/>
          <w:sz w:val="24"/>
          <w:szCs w:val="24"/>
        </w:rPr>
      </w:pPr>
      <w:bookmarkStart w:id="21" w:name="_Toc151782179"/>
      <w:bookmarkStart w:id="22" w:name="_Toc158526219"/>
      <w:bookmarkStart w:id="23" w:name="_Toc2085385"/>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4. </w:t>
      </w:r>
      <w:r w:rsidR="00780A40" w:rsidRPr="00F46586">
        <w:rPr>
          <w:rFonts w:ascii="Times New Roman" w:hAnsi="Times New Roman" w:cs="Times New Roman"/>
          <w:i w:val="0"/>
          <w:sz w:val="24"/>
          <w:szCs w:val="24"/>
        </w:rPr>
        <w:t>Efforts to Identify Duplication and Use of Similar Information</w:t>
      </w:r>
      <w:bookmarkEnd w:id="21"/>
      <w:bookmarkEnd w:id="22"/>
      <w:bookmarkEnd w:id="23"/>
      <w:r w:rsidR="00EA19DF">
        <w:rPr>
          <w:rFonts w:ascii="Times New Roman" w:hAnsi="Times New Roman" w:cs="Times New Roman"/>
          <w:i w:val="0"/>
          <w:sz w:val="24"/>
          <w:szCs w:val="24"/>
        </w:rPr>
        <w:t xml:space="preserve"> </w:t>
      </w:r>
    </w:p>
    <w:p w14:paraId="36F78038" w14:textId="75C50833" w:rsidR="007169AE" w:rsidRDefault="005715AE" w:rsidP="0058077C">
      <w:r w:rsidRPr="00F46586">
        <w:t>No effort</w:t>
      </w:r>
      <w:r w:rsidR="007775B4" w:rsidRPr="00F46586">
        <w:t xml:space="preserve"> </w:t>
      </w:r>
      <w:r w:rsidR="008065A0">
        <w:t xml:space="preserve">has been identified </w:t>
      </w:r>
      <w:r w:rsidR="007775B4" w:rsidRPr="00F46586">
        <w:t>to collect</w:t>
      </w:r>
      <w:r w:rsidRPr="00F46586">
        <w:t xml:space="preserve"> </w:t>
      </w:r>
      <w:r w:rsidR="007775B4" w:rsidRPr="00F46586">
        <w:t xml:space="preserve">data for the evaluation of STEADI in a primary care setting within the </w:t>
      </w:r>
      <w:r w:rsidR="00D7350D">
        <w:t>CDC</w:t>
      </w:r>
      <w:r w:rsidR="00A3111E">
        <w:t>.</w:t>
      </w:r>
      <w:r w:rsidR="007110E0">
        <w:t xml:space="preserve"> </w:t>
      </w:r>
      <w:r w:rsidR="00A3111E">
        <w:t>Prior data was collected in one health care system in New York</w:t>
      </w:r>
      <w:r w:rsidR="00260E1D">
        <w:t xml:space="preserve"> State</w:t>
      </w:r>
      <w:r w:rsidR="00B71342">
        <w:t xml:space="preserve">. </w:t>
      </w:r>
      <w:r w:rsidR="00BA2B58">
        <w:t>H</w:t>
      </w:r>
      <w:r w:rsidR="00A3111E">
        <w:t xml:space="preserve">owever, this </w:t>
      </w:r>
      <w:r w:rsidR="00260E1D">
        <w:t xml:space="preserve">study </w:t>
      </w:r>
      <w:r w:rsidR="00A3111E">
        <w:t>was not a randomized control trial</w:t>
      </w:r>
      <w:r w:rsidR="004477D7">
        <w:t xml:space="preserve"> </w:t>
      </w:r>
      <w:r w:rsidR="00A3111E">
        <w:t>and measured</w:t>
      </w:r>
      <w:r w:rsidR="00260E1D">
        <w:t xml:space="preserve"> falls</w:t>
      </w:r>
      <w:r w:rsidR="00A3111E">
        <w:t xml:space="preserve"> </w:t>
      </w:r>
      <w:r w:rsidR="00260E1D">
        <w:t xml:space="preserve">leading to </w:t>
      </w:r>
      <w:r w:rsidR="00A3111E">
        <w:t>emergency department</w:t>
      </w:r>
      <w:r w:rsidR="002C0989">
        <w:t xml:space="preserve"> (ED)</w:t>
      </w:r>
      <w:r w:rsidR="00A3111E">
        <w:t xml:space="preserve"> visits and hospitalizations </w:t>
      </w:r>
      <w:r w:rsidR="00260E1D">
        <w:t>only</w:t>
      </w:r>
      <w:r w:rsidR="00D7350D">
        <w:t xml:space="preserve"> </w:t>
      </w:r>
      <w:r w:rsidR="00D7350D" w:rsidRPr="00F46586">
        <w:t xml:space="preserve">(Johnston 2018). </w:t>
      </w:r>
      <w:r w:rsidR="003B75D0">
        <w:t xml:space="preserve"> The proposed study will randomize patients to either intervention or control groups </w:t>
      </w:r>
      <w:r w:rsidR="00BA2B58">
        <w:t xml:space="preserve">and </w:t>
      </w:r>
      <w:r w:rsidR="00D7350D">
        <w:t xml:space="preserve">is </w:t>
      </w:r>
      <w:r w:rsidR="002C0989">
        <w:t xml:space="preserve">able to not only collect data on ED visits and hospitalizations, but will </w:t>
      </w:r>
      <w:r w:rsidR="00260E1D">
        <w:t xml:space="preserve">also capture </w:t>
      </w:r>
      <w:r w:rsidR="002C0989">
        <w:t>data on</w:t>
      </w:r>
      <w:r w:rsidR="004477D7">
        <w:t xml:space="preserve"> </w:t>
      </w:r>
      <w:r w:rsidR="002C0989">
        <w:t>falls</w:t>
      </w:r>
      <w:r w:rsidR="00EA19DF">
        <w:t xml:space="preserve"> not </w:t>
      </w:r>
      <w:r w:rsidR="00260E1D">
        <w:t>treated medically.</w:t>
      </w:r>
      <w:r w:rsidR="002C0989">
        <w:t xml:space="preserve"> </w:t>
      </w:r>
    </w:p>
    <w:p w14:paraId="22D8767A" w14:textId="77777777" w:rsidR="002907C7" w:rsidRDefault="002907C7" w:rsidP="0058077C"/>
    <w:p w14:paraId="685C4F8E" w14:textId="305446EA" w:rsidR="00EA19DF" w:rsidRDefault="007169AE" w:rsidP="0058077C">
      <w:r>
        <w:t>CDC conducted the study</w:t>
      </w:r>
      <w:r w:rsidR="00243787">
        <w:t>,</w:t>
      </w:r>
      <w:r>
        <w:t xml:space="preserve"> Older Adult Safe Mobility Assessment Tool (OMB# 0920-1005)</w:t>
      </w:r>
      <w:r w:rsidR="00243787">
        <w:t>, with the goal of creating an</w:t>
      </w:r>
      <w:r w:rsidR="00BB40C0">
        <w:t>d</w:t>
      </w:r>
      <w:r w:rsidR="00243787">
        <w:t xml:space="preserve"> evaluating a </w:t>
      </w:r>
      <w:r w:rsidR="00BB40C0">
        <w:t>m</w:t>
      </w:r>
      <w:r w:rsidR="00243787">
        <w:t>obility planning tool to promote readiness to adopt mobility-protective behaviors in older adults.</w:t>
      </w:r>
      <w:r w:rsidR="00BB40C0">
        <w:t xml:space="preserve"> </w:t>
      </w:r>
      <w:r>
        <w:t xml:space="preserve">This project tested how to </w:t>
      </w:r>
      <w:r w:rsidR="00243787">
        <w:t xml:space="preserve">effectively </w:t>
      </w:r>
      <w:r w:rsidR="00F377D2">
        <w:t>word fall</w:t>
      </w:r>
      <w:r w:rsidR="00243787">
        <w:t xml:space="preserve"> and motor vehicle crash</w:t>
      </w:r>
      <w:r>
        <w:t xml:space="preserve"> prevention tips for older adult audiences but did not evaluate fall prevention and did not </w:t>
      </w:r>
      <w:r w:rsidR="001D3B5F">
        <w:t xml:space="preserve">examine the impact </w:t>
      </w:r>
      <w:r w:rsidR="00FC3FB0">
        <w:t>on injury</w:t>
      </w:r>
      <w:r>
        <w:t xml:space="preserve"> outcomes.</w:t>
      </w:r>
    </w:p>
    <w:p w14:paraId="14E1C9F6" w14:textId="77777777" w:rsidR="00CC1A3D" w:rsidRPr="00F46586" w:rsidRDefault="00CC1A3D" w:rsidP="0058077C"/>
    <w:p w14:paraId="350DB23E" w14:textId="77777777" w:rsidR="004A47C8" w:rsidRPr="00F46586" w:rsidRDefault="005F62C8" w:rsidP="00610BD7">
      <w:r>
        <w:t xml:space="preserve">Other similar studies include the Strategies to Reduce Injuries and Develop confidence in Elders (STRIDE) study funded by the </w:t>
      </w:r>
      <w:r w:rsidR="009C7F1C" w:rsidRPr="00F46586">
        <w:t>National Institute on Aging (NIA) in partnership with the Patient</w:t>
      </w:r>
      <w:r w:rsidR="003C30BF" w:rsidRPr="00F46586">
        <w:t xml:space="preserve"> </w:t>
      </w:r>
      <w:r w:rsidR="009C7F1C" w:rsidRPr="00F46586">
        <w:t>Centered Outcomes Research In</w:t>
      </w:r>
      <w:r w:rsidR="003C30BF" w:rsidRPr="00F46586">
        <w:t>stitute</w:t>
      </w:r>
      <w:r w:rsidR="009C7F1C" w:rsidRPr="00F46586">
        <w:t xml:space="preserve"> (PCORI)</w:t>
      </w:r>
      <w:r>
        <w:t xml:space="preserve">. </w:t>
      </w:r>
      <w:r w:rsidR="00707895">
        <w:t xml:space="preserve">STRIDE will </w:t>
      </w:r>
      <w:r w:rsidR="003C30BF" w:rsidRPr="00F46586">
        <w:t xml:space="preserve">compare the effects of an evidence-based multifactorial </w:t>
      </w:r>
      <w:r w:rsidR="00B334FB" w:rsidRPr="00F46586">
        <w:t xml:space="preserve">falls </w:t>
      </w:r>
      <w:r w:rsidR="003C30BF" w:rsidRPr="00F46586">
        <w:t xml:space="preserve">intervention implemented in a primary care </w:t>
      </w:r>
      <w:r w:rsidR="004E6040" w:rsidRPr="00F46586">
        <w:t xml:space="preserve">setting </w:t>
      </w:r>
      <w:r w:rsidR="003C30BF" w:rsidRPr="00F46586">
        <w:t>with usual care.</w:t>
      </w:r>
      <w:r w:rsidR="004E6040" w:rsidRPr="00F46586">
        <w:t xml:space="preserve"> The proposed study differs from STRIDE </w:t>
      </w:r>
      <w:r w:rsidR="00BD3887">
        <w:t xml:space="preserve">as the proposed study </w:t>
      </w:r>
      <w:r w:rsidR="00780173" w:rsidRPr="00F46586">
        <w:t xml:space="preserve">evaluates fall prevention based </w:t>
      </w:r>
      <w:r w:rsidR="00793784">
        <w:t xml:space="preserve">specifically </w:t>
      </w:r>
      <w:r w:rsidR="00780173" w:rsidRPr="00F46586">
        <w:t>on</w:t>
      </w:r>
      <w:r w:rsidR="006B555B" w:rsidRPr="00F46586">
        <w:t xml:space="preserve"> </w:t>
      </w:r>
      <w:r w:rsidR="00793784">
        <w:t xml:space="preserve">CDC’s </w:t>
      </w:r>
      <w:r w:rsidR="006B555B" w:rsidRPr="00F46586">
        <w:t>STEADI</w:t>
      </w:r>
      <w:r w:rsidR="00793784">
        <w:t xml:space="preserve"> initiative</w:t>
      </w:r>
      <w:r w:rsidR="006B555B" w:rsidRPr="00F46586">
        <w:t xml:space="preserve"> to determine which</w:t>
      </w:r>
      <w:r w:rsidR="00BD3887">
        <w:t xml:space="preserve"> components</w:t>
      </w:r>
      <w:r w:rsidR="006B555B" w:rsidRPr="00F46586">
        <w:t xml:space="preserve"> are </w:t>
      </w:r>
      <w:r w:rsidR="00B334FB" w:rsidRPr="00F46586">
        <w:t xml:space="preserve">most </w:t>
      </w:r>
      <w:r w:rsidR="006B555B" w:rsidRPr="00F46586">
        <w:t>effective at reducing falls</w:t>
      </w:r>
      <w:r w:rsidR="004A47C8" w:rsidRPr="00F46586">
        <w:t xml:space="preserve"> in addition to evaluating the entire intervention</w:t>
      </w:r>
      <w:r w:rsidR="006B555B" w:rsidRPr="00F46586">
        <w:t xml:space="preserve">. </w:t>
      </w:r>
    </w:p>
    <w:p w14:paraId="697BC020" w14:textId="77777777" w:rsidR="00EC5D03" w:rsidRPr="00F46586" w:rsidRDefault="00EC5D03" w:rsidP="0058077C"/>
    <w:p w14:paraId="4B867007" w14:textId="77777777" w:rsidR="00EC5D03" w:rsidRPr="00F46586" w:rsidRDefault="00EC5D03" w:rsidP="0058077C">
      <w:r w:rsidRPr="00F46586">
        <w:t xml:space="preserve">The data collection proposed in this project is </w:t>
      </w:r>
      <w:r w:rsidR="00235D6A" w:rsidRPr="00F46586">
        <w:t>necessary,</w:t>
      </w:r>
      <w:r w:rsidRPr="00F46586">
        <w:t xml:space="preserve"> </w:t>
      </w:r>
      <w:r w:rsidR="005715AE" w:rsidRPr="00F46586">
        <w:t xml:space="preserve">as it is the first federal effort </w:t>
      </w:r>
      <w:r w:rsidRPr="00F46586">
        <w:t xml:space="preserve">to determine </w:t>
      </w:r>
      <w:r w:rsidR="00735FCB">
        <w:t xml:space="preserve">specifically </w:t>
      </w:r>
      <w:r w:rsidRPr="00F46586">
        <w:t>which of the STEADI components are effective at reducing falls</w:t>
      </w:r>
      <w:r w:rsidR="00B93F1D" w:rsidRPr="00F46586">
        <w:t xml:space="preserve"> in older adults</w:t>
      </w:r>
      <w:r w:rsidR="005F63D4">
        <w:t>.</w:t>
      </w:r>
    </w:p>
    <w:p w14:paraId="7F84A5AA" w14:textId="77777777" w:rsidR="00637706" w:rsidRPr="00F46586" w:rsidRDefault="00637706" w:rsidP="0058077C"/>
    <w:p w14:paraId="1ED464E5" w14:textId="22A246EF" w:rsidR="00637706" w:rsidRPr="00F46586" w:rsidRDefault="00FC3FB0" w:rsidP="0058077C">
      <w:r>
        <w:t xml:space="preserve">CDC is currently the only federal agency focused on integrating public health and clinical care of falls. </w:t>
      </w:r>
      <w:r w:rsidR="002907C7" w:rsidRPr="00F46586">
        <w:t>CDC reached out to other federal agencies</w:t>
      </w:r>
      <w:r w:rsidR="002907C7">
        <w:t xml:space="preserve"> and other national organizations</w:t>
      </w:r>
      <w:r w:rsidR="002907C7" w:rsidRPr="00F46586">
        <w:t xml:space="preserve"> in </w:t>
      </w:r>
      <w:r w:rsidR="002907C7">
        <w:t xml:space="preserve">December </w:t>
      </w:r>
      <w:r w:rsidR="002907C7" w:rsidRPr="00F46586">
        <w:t xml:space="preserve">2018 that have an interest in </w:t>
      </w:r>
      <w:r w:rsidR="002907C7">
        <w:t>the prevention of</w:t>
      </w:r>
      <w:r w:rsidR="002907C7" w:rsidRPr="00F46586">
        <w:t xml:space="preserve"> older adult falls</w:t>
      </w:r>
      <w:r w:rsidR="002907C7">
        <w:t>. Based on these discussions, there are no similar data collections that have been conducted or are underway, as confirmed via searches of electronic databases and discussions with stakeholders and federal partners.</w:t>
      </w:r>
      <w:r w:rsidR="002907C7" w:rsidRPr="00F46586">
        <w:t xml:space="preserve"> </w:t>
      </w:r>
      <w:r>
        <w:t>W</w:t>
      </w:r>
      <w:r w:rsidR="00DD4DA6">
        <w:t xml:space="preserve">e have shared the project design with the </w:t>
      </w:r>
      <w:r w:rsidR="002907C7">
        <w:t>Administration for Community Living (</w:t>
      </w:r>
      <w:r w:rsidR="00DD4DA6">
        <w:t>ACL</w:t>
      </w:r>
      <w:r w:rsidR="002907C7">
        <w:t>)</w:t>
      </w:r>
      <w:r>
        <w:t xml:space="preserve"> </w:t>
      </w:r>
      <w:r w:rsidR="00B96487">
        <w:t xml:space="preserve">and </w:t>
      </w:r>
      <w:r w:rsidR="002907C7">
        <w:t>the National Council on Aging (</w:t>
      </w:r>
      <w:r w:rsidR="00DD4DA6">
        <w:t>NCOA</w:t>
      </w:r>
      <w:r w:rsidR="002907C7">
        <w:t>)</w:t>
      </w:r>
      <w:r w:rsidR="00DD4DA6">
        <w:t xml:space="preserve"> through partnership calls, and presentations at the NCOA annual meeting in May 2018, and the Gerontological Society of America annual conference in November 2018.  We plan to share the data from this project during partner calls and at scientific meetings and webinars,  </w:t>
      </w:r>
    </w:p>
    <w:p w14:paraId="552F5BAA" w14:textId="77777777" w:rsidR="009B633D" w:rsidRPr="00F46586" w:rsidRDefault="00CC64F1" w:rsidP="00DA2637">
      <w:pPr>
        <w:pStyle w:val="Heading2"/>
        <w:spacing w:after="0"/>
        <w:rPr>
          <w:rFonts w:ascii="Times New Roman" w:hAnsi="Times New Roman" w:cs="Times New Roman"/>
          <w:i w:val="0"/>
          <w:sz w:val="24"/>
          <w:szCs w:val="24"/>
        </w:rPr>
      </w:pPr>
      <w:bookmarkStart w:id="24" w:name="_Toc151782180"/>
      <w:bookmarkStart w:id="25" w:name="_Toc158526220"/>
      <w:bookmarkStart w:id="26" w:name="_Toc2085386"/>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5. </w:t>
      </w:r>
      <w:r w:rsidR="00780A40" w:rsidRPr="00F46586">
        <w:rPr>
          <w:rFonts w:ascii="Times New Roman" w:hAnsi="Times New Roman" w:cs="Times New Roman"/>
          <w:i w:val="0"/>
          <w:sz w:val="24"/>
          <w:szCs w:val="24"/>
        </w:rPr>
        <w:t>Impact on Small Business or Other Small Entities</w:t>
      </w:r>
      <w:bookmarkEnd w:id="24"/>
      <w:bookmarkEnd w:id="25"/>
      <w:bookmarkEnd w:id="26"/>
    </w:p>
    <w:p w14:paraId="14DC649F" w14:textId="77777777" w:rsidR="005715AE" w:rsidRPr="00F46586" w:rsidRDefault="005715AE" w:rsidP="005715AE">
      <w:r w:rsidRPr="00F46586">
        <w:t>No small businesses will be involved or impacted in this data collection.</w:t>
      </w:r>
    </w:p>
    <w:p w14:paraId="660CF5C3" w14:textId="77777777" w:rsidR="009B633D" w:rsidRPr="00F46586" w:rsidRDefault="00C1226E" w:rsidP="009B633D">
      <w:pPr>
        <w:pStyle w:val="Heading2"/>
        <w:rPr>
          <w:rFonts w:ascii="Times New Roman" w:hAnsi="Times New Roman" w:cs="Times New Roman"/>
          <w:i w:val="0"/>
          <w:sz w:val="24"/>
          <w:szCs w:val="24"/>
        </w:rPr>
      </w:pPr>
      <w:bookmarkStart w:id="27" w:name="_Toc532215338"/>
      <w:bookmarkStart w:id="28" w:name="_Toc2085387"/>
      <w:r w:rsidRPr="00F46586">
        <w:rPr>
          <w:rFonts w:ascii="Times New Roman" w:hAnsi="Times New Roman" w:cs="Times New Roman"/>
          <w:i w:val="0"/>
          <w:sz w:val="24"/>
          <w:szCs w:val="24"/>
        </w:rPr>
        <w:t>A.</w:t>
      </w:r>
      <w:bookmarkStart w:id="29" w:name="_Toc151782181"/>
      <w:bookmarkStart w:id="30" w:name="_Toc158526221"/>
      <w:bookmarkEnd w:id="27"/>
      <w:r w:rsidR="009B633D" w:rsidRPr="00F46586">
        <w:rPr>
          <w:rFonts w:ascii="Times New Roman" w:hAnsi="Times New Roman" w:cs="Times New Roman"/>
          <w:i w:val="0"/>
          <w:sz w:val="24"/>
          <w:szCs w:val="24"/>
        </w:rPr>
        <w:t xml:space="preserve">6. </w:t>
      </w:r>
      <w:r w:rsidR="00780A40" w:rsidRPr="00F46586">
        <w:rPr>
          <w:rFonts w:ascii="Times New Roman" w:hAnsi="Times New Roman" w:cs="Times New Roman"/>
          <w:i w:val="0"/>
          <w:sz w:val="24"/>
          <w:szCs w:val="24"/>
        </w:rPr>
        <w:t>Consequences of Collecting Information Less Frequently</w:t>
      </w:r>
      <w:bookmarkEnd w:id="28"/>
      <w:bookmarkEnd w:id="29"/>
      <w:bookmarkEnd w:id="30"/>
    </w:p>
    <w:p w14:paraId="1A3D170E" w14:textId="3D02207B" w:rsidR="00D160FC" w:rsidRPr="00F46586" w:rsidRDefault="002665A1" w:rsidP="00EF2382">
      <w:bookmarkStart w:id="31" w:name="_Toc151782182"/>
      <w:bookmarkStart w:id="32" w:name="_Toc158526222"/>
      <w:r w:rsidRPr="00F46586">
        <w:t xml:space="preserve">This data collection effort will be part of a comprehensive evaluation </w:t>
      </w:r>
      <w:r w:rsidR="00063C3B" w:rsidRPr="00F46586">
        <w:t>of</w:t>
      </w:r>
      <w:r w:rsidRPr="00F46586">
        <w:t xml:space="preserve"> </w:t>
      </w:r>
      <w:r w:rsidR="003C6FD4" w:rsidRPr="00F46586">
        <w:t xml:space="preserve">STEADI. </w:t>
      </w:r>
      <w:r w:rsidR="009537FA" w:rsidRPr="00F46586">
        <w:t xml:space="preserve">The planned frequency of data </w:t>
      </w:r>
      <w:r w:rsidRPr="00F46586">
        <w:t xml:space="preserve">collection </w:t>
      </w:r>
      <w:r w:rsidR="00CC64F1" w:rsidRPr="00F46586">
        <w:t xml:space="preserve">for the </w:t>
      </w:r>
      <w:r w:rsidR="00CC64F1" w:rsidRPr="00F46586">
        <w:rPr>
          <w:i/>
        </w:rPr>
        <w:t xml:space="preserve">patient survey </w:t>
      </w:r>
      <w:r w:rsidRPr="00F46586">
        <w:t>is necessary to</w:t>
      </w:r>
      <w:r w:rsidR="002F4485">
        <w:t xml:space="preserve"> capture falls that were not medically treated and to determine whether patients </w:t>
      </w:r>
      <w:r w:rsidR="00B40491">
        <w:t xml:space="preserve">adhered to </w:t>
      </w:r>
      <w:r w:rsidR="002F4485">
        <w:t>the recommended interventions.</w:t>
      </w:r>
      <w:r w:rsidRPr="00F46586">
        <w:t xml:space="preserve"> </w:t>
      </w:r>
      <w:r w:rsidR="00CC64F1" w:rsidRPr="00F46586">
        <w:t>The</w:t>
      </w:r>
      <w:r w:rsidR="00595AE6">
        <w:t xml:space="preserve"> baseline</w:t>
      </w:r>
      <w:r w:rsidR="00CC64F1" w:rsidRPr="00F46586">
        <w:t xml:space="preserve"> </w:t>
      </w:r>
      <w:r w:rsidR="00CC64F1" w:rsidRPr="00F46586">
        <w:rPr>
          <w:i/>
        </w:rPr>
        <w:t xml:space="preserve">patient surveys </w:t>
      </w:r>
      <w:r w:rsidR="00CC64F1" w:rsidRPr="00F46586">
        <w:t xml:space="preserve">will be collected </w:t>
      </w:r>
      <w:r w:rsidR="00735FCB">
        <w:t xml:space="preserve">at time zero </w:t>
      </w:r>
      <w:r w:rsidR="008C7F0A">
        <w:t xml:space="preserve">following the STEADI </w:t>
      </w:r>
      <w:r w:rsidR="006902B1">
        <w:t xml:space="preserve">fall risk </w:t>
      </w:r>
      <w:r w:rsidR="008C7F0A">
        <w:t xml:space="preserve">screening </w:t>
      </w:r>
      <w:r w:rsidR="00CC64F1" w:rsidRPr="00F46586">
        <w:t xml:space="preserve">and </w:t>
      </w:r>
      <w:r w:rsidR="00F604B2">
        <w:t xml:space="preserve">at 4, 8, and 12 months </w:t>
      </w:r>
      <w:r w:rsidR="008C7F0A">
        <w:t>post baseline</w:t>
      </w:r>
      <w:r w:rsidR="00CC64F1" w:rsidRPr="00F46586">
        <w:t xml:space="preserve">. Collecting less frequently (longer time period between surveys) could result in recall problems for older adult patients leading to inaccurate data. If these data are not collected, CDC will be unable to determine </w:t>
      </w:r>
      <w:r w:rsidR="002F4485">
        <w:t xml:space="preserve">whether STEADI is effective and </w:t>
      </w:r>
      <w:r w:rsidR="00CC64F1" w:rsidRPr="00F46586">
        <w:t>which components of STEADI are effective at reducing the number of falls and fall injuries in the primary care setting. Without this information, it will be impossible to</w:t>
      </w:r>
      <w:r w:rsidR="002F4485">
        <w:t xml:space="preserve"> assess</w:t>
      </w:r>
      <w:r w:rsidR="00CC64F1" w:rsidRPr="00F46586">
        <w:t xml:space="preserve"> the </w:t>
      </w:r>
      <w:r w:rsidR="00055D1E">
        <w:t>impact</w:t>
      </w:r>
      <w:r w:rsidR="00055D1E" w:rsidRPr="00F46586">
        <w:t xml:space="preserve"> </w:t>
      </w:r>
      <w:r w:rsidR="00CC64F1" w:rsidRPr="00F46586">
        <w:t xml:space="preserve">of STEADI. </w:t>
      </w:r>
      <w:r w:rsidR="000F714D">
        <w:rPr>
          <w:i/>
        </w:rPr>
        <w:t xml:space="preserve"> The patient fall logs </w:t>
      </w:r>
      <w:r w:rsidR="00361E49" w:rsidRPr="00EF2382">
        <w:t>is not required</w:t>
      </w:r>
      <w:r w:rsidR="00361E49">
        <w:t>, it</w:t>
      </w:r>
      <w:r w:rsidR="00361E49" w:rsidRPr="00EF2382">
        <w:t xml:space="preserve"> is provided</w:t>
      </w:r>
      <w:r w:rsidR="00361E49">
        <w:rPr>
          <w:i/>
        </w:rPr>
        <w:t xml:space="preserve"> </w:t>
      </w:r>
      <w:r w:rsidR="00E94E17">
        <w:t>to help accurately fill out the patient surveys</w:t>
      </w:r>
      <w:r w:rsidR="00E65DF7">
        <w:t>. Recall of falls has been shown to be most accurate when data is collected weekly or monthly to avoid recall bias (</w:t>
      </w:r>
      <w:r w:rsidR="0055259C">
        <w:t xml:space="preserve">Ganz </w:t>
      </w:r>
      <w:r w:rsidR="00E65DF7">
        <w:t>2005).</w:t>
      </w:r>
      <w:r w:rsidR="00361E49">
        <w:t xml:space="preserve"> </w:t>
      </w:r>
      <w:r w:rsidR="00E65DF7">
        <w:t>If data is collected less frequently, it could lead to either an over or under estimation of falls.</w:t>
      </w:r>
      <w:r w:rsidR="000F714D" w:rsidRPr="00BB40C0">
        <w:t xml:space="preserve"> </w:t>
      </w:r>
      <w:r w:rsidR="00D160FC" w:rsidRPr="00F46586">
        <w:t xml:space="preserve">The </w:t>
      </w:r>
      <w:r w:rsidR="00D160FC" w:rsidRPr="00F46586">
        <w:rPr>
          <w:i/>
        </w:rPr>
        <w:t>process evaluation</w:t>
      </w:r>
      <w:r w:rsidR="00CC64F1" w:rsidRPr="00F46586">
        <w:rPr>
          <w:i/>
        </w:rPr>
        <w:t xml:space="preserve"> interviews</w:t>
      </w:r>
      <w:r w:rsidR="00D160FC" w:rsidRPr="00F46586">
        <w:t xml:space="preserve"> will occur once during the study period.</w:t>
      </w:r>
      <w:r w:rsidR="005027C8" w:rsidRPr="00F46586">
        <w:t xml:space="preserve"> </w:t>
      </w:r>
      <w:r w:rsidR="00D160FC" w:rsidRPr="00F46586">
        <w:t xml:space="preserve">If this data were not collected, CDC would not know what barriers existed in implementing STEADI in the </w:t>
      </w:r>
      <w:r w:rsidR="00C6508F" w:rsidRPr="00F46586">
        <w:t xml:space="preserve">selected primary care clinics of a health care system. </w:t>
      </w:r>
      <w:r w:rsidR="00A03305">
        <w:t xml:space="preserve"> </w:t>
      </w:r>
      <w:r w:rsidR="00B40491">
        <w:t>Additionally, CDC would not have information on implementation factors that may affect the impact</w:t>
      </w:r>
      <w:r w:rsidR="00181038">
        <w:t xml:space="preserve"> of STEADI</w:t>
      </w:r>
      <w:r w:rsidR="00B40491">
        <w:t xml:space="preserve">.  </w:t>
      </w:r>
    </w:p>
    <w:p w14:paraId="34AA2610" w14:textId="77777777" w:rsidR="009B633D" w:rsidRPr="00F46586" w:rsidRDefault="00CC64F1" w:rsidP="009B633D">
      <w:pPr>
        <w:pStyle w:val="Heading2"/>
        <w:rPr>
          <w:rFonts w:ascii="Times New Roman" w:hAnsi="Times New Roman" w:cs="Times New Roman"/>
          <w:i w:val="0"/>
          <w:sz w:val="24"/>
          <w:szCs w:val="24"/>
        </w:rPr>
      </w:pPr>
      <w:bookmarkStart w:id="33" w:name="_Toc532215340"/>
      <w:bookmarkStart w:id="34" w:name="_Toc2085388"/>
      <w:r w:rsidRPr="00F46586">
        <w:rPr>
          <w:rFonts w:ascii="Times New Roman" w:hAnsi="Times New Roman" w:cs="Times New Roman"/>
          <w:i w:val="0"/>
          <w:sz w:val="24"/>
          <w:szCs w:val="24"/>
        </w:rPr>
        <w:t>A.</w:t>
      </w:r>
      <w:bookmarkEnd w:id="33"/>
      <w:r w:rsidR="009B633D" w:rsidRPr="00F46586">
        <w:rPr>
          <w:rFonts w:ascii="Times New Roman" w:hAnsi="Times New Roman" w:cs="Times New Roman"/>
          <w:i w:val="0"/>
          <w:sz w:val="24"/>
          <w:szCs w:val="24"/>
        </w:rPr>
        <w:t xml:space="preserve">7. </w:t>
      </w:r>
      <w:r w:rsidR="00B11182" w:rsidRPr="00F46586">
        <w:rPr>
          <w:rFonts w:ascii="Times New Roman" w:hAnsi="Times New Roman" w:cs="Times New Roman"/>
          <w:i w:val="0"/>
          <w:sz w:val="24"/>
          <w:szCs w:val="24"/>
        </w:rPr>
        <w:t xml:space="preserve">Special Circumstances </w:t>
      </w:r>
      <w:r w:rsidR="00B11182" w:rsidRPr="00F46586">
        <w:rPr>
          <w:rFonts w:ascii="Times New Roman" w:eastAsiaTheme="minorEastAsia" w:hAnsi="Times New Roman" w:cs="Times New Roman"/>
          <w:i w:val="0"/>
          <w:sz w:val="24"/>
          <w:szCs w:val="24"/>
        </w:rPr>
        <w:t>Relating to the Guidelines of 5 CFR 1320.5</w:t>
      </w:r>
      <w:bookmarkEnd w:id="31"/>
      <w:bookmarkEnd w:id="32"/>
      <w:bookmarkEnd w:id="34"/>
    </w:p>
    <w:p w14:paraId="7E831391" w14:textId="172C9E4E" w:rsidR="00041505" w:rsidRDefault="00041505" w:rsidP="00EF2382">
      <w:r w:rsidRPr="00F46586">
        <w:t>This request fully complies with 5 CFR 1320.5. There are no special circumstances.</w:t>
      </w:r>
    </w:p>
    <w:p w14:paraId="25C1C7CA" w14:textId="77777777" w:rsidR="00B42A48" w:rsidRPr="00F46586" w:rsidRDefault="00B42A48" w:rsidP="00B42A48">
      <w:pPr>
        <w:rPr>
          <w:rFonts w:eastAsiaTheme="minorEastAsia"/>
        </w:rPr>
      </w:pPr>
    </w:p>
    <w:p w14:paraId="0592A721" w14:textId="77777777" w:rsidR="004E3A1B" w:rsidRPr="00F46586" w:rsidRDefault="00CC64F1" w:rsidP="004E3A1B">
      <w:pPr>
        <w:pStyle w:val="Heading2"/>
        <w:rPr>
          <w:rFonts w:ascii="Times New Roman" w:hAnsi="Times New Roman" w:cs="Times New Roman"/>
          <w:i w:val="0"/>
          <w:sz w:val="24"/>
          <w:szCs w:val="24"/>
        </w:rPr>
      </w:pPr>
      <w:bookmarkStart w:id="35" w:name="_Toc151782183"/>
      <w:bookmarkStart w:id="36" w:name="_Toc158526223"/>
      <w:bookmarkStart w:id="37" w:name="_Toc2085389"/>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8. </w:t>
      </w:r>
      <w:bookmarkEnd w:id="35"/>
      <w:bookmarkEnd w:id="36"/>
      <w:r w:rsidR="00B11182" w:rsidRPr="00F46586">
        <w:rPr>
          <w:rFonts w:ascii="Times New Roman" w:eastAsiaTheme="minorEastAsia" w:hAnsi="Times New Roman" w:cs="Times New Roman"/>
          <w:i w:val="0"/>
          <w:sz w:val="24"/>
          <w:szCs w:val="24"/>
        </w:rPr>
        <w:t>Comments in Response to the Federal Register Notice and Efforts to Consult Outside the Agency</w:t>
      </w:r>
      <w:bookmarkEnd w:id="37"/>
    </w:p>
    <w:p w14:paraId="4A9B97C0" w14:textId="20E98738" w:rsidR="002A6EB0" w:rsidRPr="002A6EB0" w:rsidRDefault="002A6EB0" w:rsidP="00EF2382">
      <w:pPr>
        <w:rPr>
          <w:rFonts w:eastAsiaTheme="minorEastAsia"/>
        </w:rPr>
      </w:pPr>
      <w:bookmarkStart w:id="38" w:name="OLE_LINK3"/>
      <w:bookmarkStart w:id="39" w:name="OLE_LINK4"/>
      <w:r w:rsidRPr="002A6EB0">
        <w:rPr>
          <w:rFonts w:eastAsiaTheme="minorEastAsia"/>
        </w:rPr>
        <w:t>A.</w:t>
      </w:r>
      <w:r w:rsidR="00B42A48">
        <w:rPr>
          <w:rFonts w:eastAsiaTheme="minorEastAsia"/>
        </w:rPr>
        <w:t xml:space="preserve"> </w:t>
      </w:r>
      <w:r w:rsidRPr="002A6EB0">
        <w:rPr>
          <w:rFonts w:eastAsiaTheme="minorEastAsia"/>
        </w:rPr>
        <w:t xml:space="preserve">Federal Register Notice </w:t>
      </w:r>
    </w:p>
    <w:p w14:paraId="4E198514" w14:textId="32D4B008" w:rsidR="00041505" w:rsidRPr="00BB40C0" w:rsidRDefault="002A6EB0" w:rsidP="00217C2D">
      <w:pPr>
        <w:pStyle w:val="NormalSS"/>
        <w:ind w:left="432" w:firstLine="0"/>
      </w:pPr>
      <w:r w:rsidRPr="002A6EB0">
        <w:rPr>
          <w:rFonts w:eastAsiaTheme="minorEastAsia"/>
          <w:szCs w:val="24"/>
        </w:rPr>
        <w:t xml:space="preserve">A 60-day Federal Register Notice was published in the Federal Register on </w:t>
      </w:r>
      <w:r>
        <w:rPr>
          <w:szCs w:val="24"/>
        </w:rPr>
        <w:t>May 24</w:t>
      </w:r>
      <w:r w:rsidR="00206733">
        <w:rPr>
          <w:szCs w:val="24"/>
        </w:rPr>
        <w:t>, 2019</w:t>
      </w:r>
      <w:r w:rsidRPr="008B54AA">
        <w:rPr>
          <w:szCs w:val="24"/>
        </w:rPr>
        <w:t xml:space="preserve"> </w:t>
      </w:r>
      <w:r w:rsidR="00041505" w:rsidRPr="008B54AA">
        <w:rPr>
          <w:szCs w:val="24"/>
        </w:rPr>
        <w:t xml:space="preserve">Volume </w:t>
      </w:r>
      <w:r w:rsidR="00206733">
        <w:rPr>
          <w:szCs w:val="24"/>
        </w:rPr>
        <w:t>84</w:t>
      </w:r>
      <w:r w:rsidR="00041505" w:rsidRPr="008B54AA">
        <w:rPr>
          <w:szCs w:val="24"/>
        </w:rPr>
        <w:t xml:space="preserve">, Number </w:t>
      </w:r>
      <w:r w:rsidR="00206733">
        <w:rPr>
          <w:szCs w:val="24"/>
        </w:rPr>
        <w:t>10</w:t>
      </w:r>
      <w:r w:rsidR="005361EF">
        <w:rPr>
          <w:szCs w:val="24"/>
        </w:rPr>
        <w:t>1</w:t>
      </w:r>
      <w:r w:rsidR="00041505" w:rsidRPr="008B54AA">
        <w:rPr>
          <w:szCs w:val="24"/>
        </w:rPr>
        <w:t xml:space="preserve">, </w:t>
      </w:r>
      <w:r w:rsidR="00206733">
        <w:rPr>
          <w:szCs w:val="24"/>
        </w:rPr>
        <w:t xml:space="preserve">pp </w:t>
      </w:r>
      <w:r w:rsidR="005361EF">
        <w:rPr>
          <w:szCs w:val="24"/>
        </w:rPr>
        <w:t>24150</w:t>
      </w:r>
      <w:r w:rsidR="00041505" w:rsidRPr="008B54AA">
        <w:rPr>
          <w:szCs w:val="24"/>
        </w:rPr>
        <w:t xml:space="preserve"> (</w:t>
      </w:r>
      <w:r w:rsidR="00041505" w:rsidRPr="00DC490A">
        <w:rPr>
          <w:b/>
          <w:szCs w:val="24"/>
        </w:rPr>
        <w:t>Attachment</w:t>
      </w:r>
      <w:r w:rsidR="004F4174">
        <w:rPr>
          <w:b/>
          <w:szCs w:val="24"/>
        </w:rPr>
        <w:t xml:space="preserve"> F</w:t>
      </w:r>
      <w:r w:rsidR="00041505" w:rsidRPr="008B54AA">
        <w:rPr>
          <w:szCs w:val="24"/>
        </w:rPr>
        <w:t xml:space="preserve">) </w:t>
      </w:r>
      <w:r w:rsidR="00206733" w:rsidRPr="00AF4E1B">
        <w:t xml:space="preserve">CDC received one </w:t>
      </w:r>
      <w:r w:rsidR="00206733">
        <w:t>non-substantive anonymous public comment (</w:t>
      </w:r>
      <w:r w:rsidR="00206733" w:rsidRPr="00EF2382">
        <w:rPr>
          <w:b/>
        </w:rPr>
        <w:t>Attachment F1</w:t>
      </w:r>
      <w:r w:rsidR="00206733" w:rsidRPr="00AF4E1B">
        <w:t>)</w:t>
      </w:r>
      <w:r w:rsidR="00206733" w:rsidRPr="008B54AA" w:rsidDel="00206733">
        <w:rPr>
          <w:szCs w:val="24"/>
        </w:rPr>
        <w:t xml:space="preserve"> </w:t>
      </w:r>
    </w:p>
    <w:bookmarkEnd w:id="38"/>
    <w:bookmarkEnd w:id="39"/>
    <w:p w14:paraId="4413326C" w14:textId="77777777" w:rsidR="009B633D" w:rsidRPr="00BB40C0" w:rsidRDefault="004322D9" w:rsidP="00EF2382">
      <w:pPr>
        <w:rPr>
          <w:rFonts w:eastAsiaTheme="minorEastAsia"/>
        </w:rPr>
      </w:pPr>
      <w:r w:rsidRPr="00BB40C0">
        <w:rPr>
          <w:rFonts w:eastAsiaTheme="minorEastAsia"/>
        </w:rPr>
        <w:t xml:space="preserve">B. </w:t>
      </w:r>
      <w:r w:rsidR="00BB75EC" w:rsidRPr="00BB40C0">
        <w:rPr>
          <w:rFonts w:eastAsiaTheme="minorEastAsia"/>
        </w:rPr>
        <w:t>Efforts to Consult Outside the Agency</w:t>
      </w:r>
    </w:p>
    <w:p w14:paraId="30A374F0" w14:textId="50470479" w:rsidR="00191DD2" w:rsidRDefault="000235EF" w:rsidP="00191DD2">
      <w:bookmarkStart w:id="40" w:name="_Toc457285506"/>
      <w:bookmarkStart w:id="41" w:name="_Toc58725294"/>
      <w:bookmarkStart w:id="42" w:name="_Toc151782184"/>
      <w:bookmarkStart w:id="43" w:name="_Toc158526224"/>
      <w:r>
        <w:tab/>
      </w:r>
      <w:r w:rsidR="00191DD2" w:rsidRPr="00F46586">
        <w:t>CDC made the following efforts to consult outside of the agency:</w:t>
      </w:r>
    </w:p>
    <w:p w14:paraId="5706D296" w14:textId="77777777" w:rsidR="000235EF" w:rsidRPr="00F46586" w:rsidRDefault="000235EF" w:rsidP="00217C2D">
      <w:pPr>
        <w:ind w:left="1080"/>
        <w:rPr>
          <w:color w:val="000000" w:themeColor="text1"/>
        </w:rPr>
      </w:pPr>
    </w:p>
    <w:p w14:paraId="591A3D63" w14:textId="7DBE5AC9" w:rsidR="00D34375" w:rsidRPr="00F46586" w:rsidRDefault="00191DD2" w:rsidP="00217C2D">
      <w:pPr>
        <w:pStyle w:val="ListParagraph"/>
        <w:numPr>
          <w:ilvl w:val="0"/>
          <w:numId w:val="4"/>
        </w:numPr>
      </w:pPr>
      <w:r w:rsidRPr="00217C2D">
        <w:rPr>
          <w:color w:val="000000" w:themeColor="text1"/>
        </w:rPr>
        <w:t xml:space="preserve">Reviewed the list of projects funded by the National Institute on Aging and found </w:t>
      </w:r>
      <w:r w:rsidR="00C1607D" w:rsidRPr="00217C2D">
        <w:rPr>
          <w:color w:val="000000" w:themeColor="text1"/>
        </w:rPr>
        <w:t>one</w:t>
      </w:r>
      <w:r w:rsidR="007B2438" w:rsidRPr="00217C2D">
        <w:rPr>
          <w:color w:val="000000" w:themeColor="text1"/>
        </w:rPr>
        <w:t xml:space="preserve"> project</w:t>
      </w:r>
      <w:r w:rsidRPr="00217C2D">
        <w:rPr>
          <w:color w:val="000000" w:themeColor="text1"/>
        </w:rPr>
        <w:t xml:space="preserve"> </w:t>
      </w:r>
      <w:r w:rsidR="00D34375" w:rsidRPr="00217C2D">
        <w:rPr>
          <w:color w:val="000000" w:themeColor="text1"/>
        </w:rPr>
        <w:t xml:space="preserve">(STRIDE) </w:t>
      </w:r>
      <w:r w:rsidRPr="00217C2D">
        <w:rPr>
          <w:color w:val="000000" w:themeColor="text1"/>
        </w:rPr>
        <w:t xml:space="preserve">directed at falls prevention in </w:t>
      </w:r>
      <w:r w:rsidR="00C1607D" w:rsidRPr="00217C2D">
        <w:rPr>
          <w:color w:val="000000" w:themeColor="text1"/>
        </w:rPr>
        <w:t>primary care settings. See section A.4</w:t>
      </w:r>
      <w:r w:rsidRPr="00217C2D">
        <w:rPr>
          <w:color w:val="000000" w:themeColor="text1"/>
        </w:rPr>
        <w:t xml:space="preserve">. </w:t>
      </w:r>
      <w:r w:rsidR="00D34375" w:rsidRPr="00217C2D">
        <w:rPr>
          <w:color w:val="000000" w:themeColor="text1"/>
        </w:rPr>
        <w:t>This project is sponsored by the Patient-Centered Outcomes Research Institute (PCORI), an independent, nonprofit, nongovernmental organization</w:t>
      </w:r>
      <w:r w:rsidR="00217C2D">
        <w:rPr>
          <w:color w:val="000000" w:themeColor="text1"/>
        </w:rPr>
        <w:t xml:space="preserve"> and is being conducted at ten clinical trial sites across the country including six academic medical centers (Mount Sinai, Johns Hopkins, University of Iowa, University of Pittsburgh, University of Texas, University of Michigan)</w:t>
      </w:r>
      <w:r w:rsidR="00D34375" w:rsidRPr="00217C2D">
        <w:rPr>
          <w:color w:val="000000" w:themeColor="text1"/>
        </w:rPr>
        <w:t xml:space="preserve">.  CDC had a call with PCORI to discuss the design of their project and the design of the current data collection.  </w:t>
      </w:r>
      <w:r w:rsidR="00D34375" w:rsidRPr="00F46586">
        <w:t xml:space="preserve">The proposed study differs from STRIDE </w:t>
      </w:r>
      <w:r w:rsidR="00D34375">
        <w:t xml:space="preserve">as the proposed study </w:t>
      </w:r>
      <w:r w:rsidR="00D34375" w:rsidRPr="00F46586">
        <w:t xml:space="preserve">evaluates fall prevention based </w:t>
      </w:r>
      <w:r w:rsidR="00D34375">
        <w:t xml:space="preserve">specifically </w:t>
      </w:r>
      <w:r w:rsidR="00D34375" w:rsidRPr="00F46586">
        <w:t xml:space="preserve">on </w:t>
      </w:r>
      <w:r w:rsidR="00D34375">
        <w:t xml:space="preserve">CDC’s </w:t>
      </w:r>
      <w:r w:rsidR="00D34375" w:rsidRPr="00F46586">
        <w:t>STEADI</w:t>
      </w:r>
      <w:r w:rsidR="00D34375">
        <w:t xml:space="preserve"> initiative</w:t>
      </w:r>
      <w:r w:rsidR="00D34375" w:rsidRPr="00F46586">
        <w:t xml:space="preserve"> to determine which</w:t>
      </w:r>
      <w:r w:rsidR="00D34375">
        <w:t xml:space="preserve"> components</w:t>
      </w:r>
      <w:r w:rsidR="00D34375" w:rsidRPr="00F46586">
        <w:t xml:space="preserve"> are most effective at reducing falls in addition to evaluating the entire intervention. </w:t>
      </w:r>
    </w:p>
    <w:p w14:paraId="2287EDB4" w14:textId="22134A68" w:rsidR="00191DD2" w:rsidRPr="00F46586" w:rsidRDefault="00191DD2" w:rsidP="00691197">
      <w:pPr>
        <w:ind w:left="720"/>
        <w:rPr>
          <w:color w:val="000000" w:themeColor="text1"/>
        </w:rPr>
      </w:pPr>
    </w:p>
    <w:p w14:paraId="53B6C69D" w14:textId="46E68A51" w:rsidR="00191DD2" w:rsidRPr="00F46586" w:rsidRDefault="00191DD2" w:rsidP="002573F9">
      <w:pPr>
        <w:numPr>
          <w:ilvl w:val="0"/>
          <w:numId w:val="4"/>
        </w:numPr>
      </w:pPr>
      <w:r w:rsidRPr="00F46586">
        <w:t xml:space="preserve">CDC is in regular contact with other federal agencies that have an interest in preventing older adult falls (e.g., ACL, National Institutes of Health [NIH]). These agencies will be interested in the findings from this project, as they are engaged in complementary but not redundant efforts (see above), and we plan to share results during our partnership calls. </w:t>
      </w:r>
    </w:p>
    <w:p w14:paraId="25EE6607" w14:textId="77777777" w:rsidR="0038217D" w:rsidRPr="00F46586" w:rsidRDefault="00BB75EC" w:rsidP="00C218DB">
      <w:pPr>
        <w:pStyle w:val="Heading2"/>
        <w:spacing w:after="0"/>
        <w:rPr>
          <w:rFonts w:ascii="Times New Roman" w:hAnsi="Times New Roman" w:cs="Times New Roman"/>
          <w:i w:val="0"/>
          <w:sz w:val="24"/>
          <w:szCs w:val="24"/>
        </w:rPr>
      </w:pPr>
      <w:bookmarkStart w:id="44" w:name="_Toc532215343"/>
      <w:bookmarkStart w:id="45" w:name="_Toc2085390"/>
      <w:r w:rsidRPr="00F46586">
        <w:rPr>
          <w:rFonts w:ascii="Times New Roman" w:hAnsi="Times New Roman" w:cs="Times New Roman"/>
          <w:i w:val="0"/>
          <w:sz w:val="24"/>
          <w:szCs w:val="24"/>
        </w:rPr>
        <w:t>A.</w:t>
      </w:r>
      <w:bookmarkEnd w:id="44"/>
      <w:r w:rsidR="009B633D" w:rsidRPr="00F46586">
        <w:rPr>
          <w:rFonts w:ascii="Times New Roman" w:hAnsi="Times New Roman" w:cs="Times New Roman"/>
          <w:i w:val="0"/>
          <w:sz w:val="24"/>
          <w:szCs w:val="24"/>
        </w:rPr>
        <w:t xml:space="preserve">9. </w:t>
      </w:r>
      <w:r w:rsidR="00B11182" w:rsidRPr="00F46586">
        <w:rPr>
          <w:rFonts w:ascii="Times New Roman" w:eastAsiaTheme="minorEastAsia" w:hAnsi="Times New Roman" w:cs="Times New Roman"/>
          <w:i w:val="0"/>
          <w:sz w:val="24"/>
          <w:szCs w:val="24"/>
        </w:rPr>
        <w:t>Explanation of Any Payment or Gift to Respondents</w:t>
      </w:r>
      <w:bookmarkEnd w:id="40"/>
      <w:bookmarkEnd w:id="41"/>
      <w:bookmarkEnd w:id="42"/>
      <w:bookmarkEnd w:id="43"/>
      <w:bookmarkEnd w:id="45"/>
    </w:p>
    <w:p w14:paraId="6249AAF6" w14:textId="31CD612E" w:rsidR="002B134F" w:rsidRPr="002B134F" w:rsidRDefault="00D56F38" w:rsidP="002B134F">
      <w:r>
        <w:t xml:space="preserve">The </w:t>
      </w:r>
      <w:r>
        <w:rPr>
          <w:i/>
        </w:rPr>
        <w:t>patient surveys</w:t>
      </w:r>
      <w:r>
        <w:t xml:space="preserve"> involve repeated surveying, with the same or similar questions, of the same individuals four times over the course of a 12-month period. Keeping respondents engaged and motivated is important in order to obtain maximum retention of panelists and cumulative response rates. </w:t>
      </w:r>
      <w:r w:rsidR="00FE5C97" w:rsidRPr="00F46586">
        <w:rPr>
          <w:noProof/>
        </w:rPr>
        <w:t>To</w:t>
      </w:r>
      <w:r w:rsidR="002B134F">
        <w:rPr>
          <w:noProof/>
        </w:rPr>
        <w:t xml:space="preserve"> improve</w:t>
      </w:r>
      <w:r w:rsidR="00FE5C97" w:rsidRPr="00F46586">
        <w:rPr>
          <w:noProof/>
        </w:rPr>
        <w:t xml:space="preserve"> </w:t>
      </w:r>
      <w:r>
        <w:rPr>
          <w:noProof/>
        </w:rPr>
        <w:t>survey participation</w:t>
      </w:r>
      <w:r w:rsidRPr="00F46586">
        <w:rPr>
          <w:noProof/>
        </w:rPr>
        <w:t xml:space="preserve"> </w:t>
      </w:r>
      <w:r w:rsidR="00FE5C97" w:rsidRPr="00F46586">
        <w:rPr>
          <w:noProof/>
        </w:rPr>
        <w:t>rates</w:t>
      </w:r>
      <w:r>
        <w:rPr>
          <w:noProof/>
        </w:rPr>
        <w:t xml:space="preserve"> for the baseline and follow-up surveys</w:t>
      </w:r>
      <w:r w:rsidR="00FE5C97" w:rsidRPr="00F46586">
        <w:rPr>
          <w:noProof/>
        </w:rPr>
        <w:t xml:space="preserve">, </w:t>
      </w:r>
      <w:r>
        <w:rPr>
          <w:noProof/>
        </w:rPr>
        <w:t>respondents</w:t>
      </w:r>
      <w:r w:rsidRPr="00F46586">
        <w:rPr>
          <w:noProof/>
        </w:rPr>
        <w:t xml:space="preserve"> </w:t>
      </w:r>
      <w:r w:rsidR="00FE5C97" w:rsidRPr="00F46586">
        <w:rPr>
          <w:noProof/>
        </w:rPr>
        <w:t xml:space="preserve">will </w:t>
      </w:r>
      <w:r w:rsidR="00FF263C" w:rsidRPr="00F46586">
        <w:rPr>
          <w:noProof/>
        </w:rPr>
        <w:t xml:space="preserve">receive an incentive </w:t>
      </w:r>
      <w:r w:rsidR="00FE5C97" w:rsidRPr="00F46586">
        <w:rPr>
          <w:noProof/>
        </w:rPr>
        <w:t xml:space="preserve">with a value of $3 per completed </w:t>
      </w:r>
      <w:r w:rsidR="00F604B2">
        <w:rPr>
          <w:noProof/>
        </w:rPr>
        <w:t xml:space="preserve"> s</w:t>
      </w:r>
      <w:r w:rsidR="00F554D6">
        <w:rPr>
          <w:noProof/>
        </w:rPr>
        <w:t>ur</w:t>
      </w:r>
      <w:r w:rsidR="00F604B2">
        <w:rPr>
          <w:noProof/>
        </w:rPr>
        <w:t>vey</w:t>
      </w:r>
      <w:r>
        <w:rPr>
          <w:noProof/>
        </w:rPr>
        <w:t>,</w:t>
      </w:r>
      <w:r w:rsidR="00FE5C97" w:rsidRPr="00F46586">
        <w:rPr>
          <w:noProof/>
        </w:rPr>
        <w:t xml:space="preserve"> in the form of </w:t>
      </w:r>
      <w:r w:rsidR="004B3334">
        <w:t>postage stamps.</w:t>
      </w:r>
      <w:r w:rsidR="00FE5C97" w:rsidRPr="00F46586">
        <w:t xml:space="preserve"> As there </w:t>
      </w:r>
      <w:r w:rsidR="00F604B2">
        <w:t>is one ba</w:t>
      </w:r>
      <w:r w:rsidR="00F554D6">
        <w:t>s</w:t>
      </w:r>
      <w:r w:rsidR="00F604B2">
        <w:t>eline and three follow-up</w:t>
      </w:r>
      <w:r w:rsidR="00FE5C97" w:rsidRPr="00F46586">
        <w:t xml:space="preserve"> patient surveys, each patient will receive up to $12 </w:t>
      </w:r>
      <w:r w:rsidR="004B3334">
        <w:t xml:space="preserve">of postage stamps </w:t>
      </w:r>
      <w:r w:rsidR="00FE5C97" w:rsidRPr="00F46586">
        <w:t xml:space="preserve">for their participation in the study. </w:t>
      </w:r>
      <w:r w:rsidRPr="002B134F">
        <w:t xml:space="preserve">Respondent attrition from the baseline survey through each subsequent follow-up survey would be detrimental </w:t>
      </w:r>
      <w:r w:rsidR="00F40669" w:rsidRPr="002B134F">
        <w:t xml:space="preserve">to the </w:t>
      </w:r>
      <w:r w:rsidR="00F40669" w:rsidRPr="00AF511E">
        <w:t xml:space="preserve">patient surveys </w:t>
      </w:r>
      <w:r w:rsidR="00F40669" w:rsidRPr="002B134F">
        <w:t>study data, as information on patient falls and adherence to the recommended interventions would be incomplete.</w:t>
      </w:r>
      <w:r w:rsidR="00F40669" w:rsidRPr="00AF511E">
        <w:t xml:space="preserve"> </w:t>
      </w:r>
      <w:r w:rsidR="00680A33">
        <w:t xml:space="preserve"> A Cochrane Collaboration systematic review found that a monetary incentive doubled the odds of receiving response rates on a survey (Edwards</w:t>
      </w:r>
      <w:r w:rsidR="00886EAB">
        <w:t xml:space="preserve"> et al</w:t>
      </w:r>
      <w:r w:rsidR="00680A33">
        <w:t>.</w:t>
      </w:r>
      <w:r w:rsidR="0011100A">
        <w:t>,</w:t>
      </w:r>
      <w:r w:rsidR="003B3E8A">
        <w:t xml:space="preserve"> </w:t>
      </w:r>
      <w:r w:rsidR="0011100A">
        <w:t>2002).  A study of the impact of incentives on multi-modal survey response rates found that the incentive had a greater effect on those aged 60 years and older (p&lt;.05), increasing their response rate by 22.5% compared to an increase of 15% for those younger than 40, and 10.7% for those aged 40-59 (McGonagle</w:t>
      </w:r>
      <w:r w:rsidR="00886EAB">
        <w:t xml:space="preserve"> et al.</w:t>
      </w:r>
      <w:r w:rsidR="0011100A">
        <w:t xml:space="preserve">, 2017).  </w:t>
      </w:r>
      <w:r w:rsidR="00680A33">
        <w:t xml:space="preserve">  </w:t>
      </w:r>
    </w:p>
    <w:p w14:paraId="3F3094A1" w14:textId="77777777" w:rsidR="00B11182" w:rsidRDefault="00BB75EC" w:rsidP="009B633D">
      <w:pPr>
        <w:pStyle w:val="Heading2"/>
        <w:rPr>
          <w:rFonts w:ascii="Times New Roman" w:hAnsi="Times New Roman" w:cs="Times New Roman"/>
          <w:i w:val="0"/>
          <w:sz w:val="24"/>
          <w:szCs w:val="24"/>
        </w:rPr>
      </w:pPr>
      <w:bookmarkStart w:id="46" w:name="_Toc2085391"/>
      <w:bookmarkStart w:id="47" w:name="_Toc151782185"/>
      <w:bookmarkStart w:id="48" w:name="_Toc158526225"/>
      <w:r w:rsidRPr="00065A1E">
        <w:rPr>
          <w:rFonts w:ascii="Times New Roman" w:hAnsi="Times New Roman" w:cs="Times New Roman"/>
          <w:i w:val="0"/>
          <w:sz w:val="24"/>
          <w:szCs w:val="24"/>
        </w:rPr>
        <w:t>A.</w:t>
      </w:r>
      <w:r w:rsidR="009B633D" w:rsidRPr="00065A1E">
        <w:rPr>
          <w:rFonts w:ascii="Times New Roman" w:hAnsi="Times New Roman" w:cs="Times New Roman"/>
          <w:i w:val="0"/>
          <w:sz w:val="24"/>
          <w:szCs w:val="24"/>
        </w:rPr>
        <w:t xml:space="preserve">10. </w:t>
      </w:r>
      <w:r w:rsidRPr="008B54AA">
        <w:rPr>
          <w:rFonts w:ascii="Times New Roman" w:hAnsi="Times New Roman" w:cs="Times New Roman"/>
          <w:i w:val="0"/>
          <w:sz w:val="24"/>
          <w:szCs w:val="24"/>
        </w:rPr>
        <w:t>Protection of the Privacy and Confidential</w:t>
      </w:r>
      <w:r w:rsidR="00CE0AE3">
        <w:rPr>
          <w:rFonts w:ascii="Times New Roman" w:hAnsi="Times New Roman" w:cs="Times New Roman"/>
          <w:i w:val="0"/>
          <w:sz w:val="24"/>
          <w:szCs w:val="24"/>
        </w:rPr>
        <w:t xml:space="preserve">ity of Information Provided by </w:t>
      </w:r>
      <w:r w:rsidRPr="008B54AA">
        <w:rPr>
          <w:rFonts w:ascii="Times New Roman" w:hAnsi="Times New Roman" w:cs="Times New Roman"/>
          <w:i w:val="0"/>
          <w:sz w:val="24"/>
          <w:szCs w:val="24"/>
        </w:rPr>
        <w:t>Respondents</w:t>
      </w:r>
      <w:bookmarkEnd w:id="46"/>
    </w:p>
    <w:bookmarkEnd w:id="47"/>
    <w:bookmarkEnd w:id="48"/>
    <w:p w14:paraId="5C963C78" w14:textId="522F7E8B" w:rsidR="00065A1E" w:rsidRPr="00A132A1" w:rsidRDefault="00065A1E" w:rsidP="00065A1E">
      <w:r w:rsidRPr="00A132A1">
        <w:t xml:space="preserve">The Office of the Chief Information Officer at the CDC has determined that the Privacy Act does apply.  </w:t>
      </w:r>
      <w:r w:rsidR="00A1420C" w:rsidRPr="00392F96">
        <w:t xml:space="preserve">The applicable System of Records Notice (SORN) is </w:t>
      </w:r>
      <w:r w:rsidR="00A1420C">
        <w:t>09</w:t>
      </w:r>
      <w:r w:rsidR="003E67A6">
        <w:t>-20-0136</w:t>
      </w:r>
      <w:r w:rsidR="00A1420C">
        <w:t xml:space="preserve"> </w:t>
      </w:r>
      <w:r w:rsidR="003E67A6">
        <w:t>Epidemiology Studies and Surveillance of Disease Problems</w:t>
      </w:r>
      <w:r w:rsidR="00A1420C" w:rsidRPr="00392F96">
        <w:t xml:space="preserve">. Published in the Federal Register on </w:t>
      </w:r>
      <w:r w:rsidR="00A1420C">
        <w:t xml:space="preserve">November 24, 1986. </w:t>
      </w:r>
      <w:r w:rsidR="00A1420C" w:rsidRPr="00392F96">
        <w:t xml:space="preserve"> Volume 5</w:t>
      </w:r>
      <w:r w:rsidR="00A1420C">
        <w:t>1</w:t>
      </w:r>
      <w:r w:rsidR="00A1420C" w:rsidRPr="00392F96">
        <w:t>, Number 2</w:t>
      </w:r>
      <w:r w:rsidR="00A1420C">
        <w:t>26</w:t>
      </w:r>
      <w:r w:rsidR="00A1420C" w:rsidRPr="00392F96">
        <w:t xml:space="preserve">, Page </w:t>
      </w:r>
      <w:r w:rsidR="00A1420C">
        <w:t>42484-42485</w:t>
      </w:r>
      <w:r w:rsidR="00A1420C" w:rsidRPr="00392F96">
        <w:t xml:space="preserve">. </w:t>
      </w:r>
      <w:r w:rsidRPr="00A132A1">
        <w:t>The Privacy Impact Assessment (PIA) is attached (</w:t>
      </w:r>
      <w:r w:rsidRPr="000155E9">
        <w:rPr>
          <w:b/>
        </w:rPr>
        <w:t xml:space="preserve">Attachment </w:t>
      </w:r>
      <w:r w:rsidR="00396639">
        <w:rPr>
          <w:b/>
        </w:rPr>
        <w:t>G</w:t>
      </w:r>
      <w:r w:rsidRPr="00A132A1">
        <w:t xml:space="preserve">). All respondents will be informed that the information they provide will be treated in a secure manner and will be used only for the purpose of this research, unless otherwise compelled by law. </w:t>
      </w:r>
    </w:p>
    <w:p w14:paraId="0A9AABDA" w14:textId="77777777" w:rsidR="00065A1E" w:rsidRPr="00A132A1" w:rsidRDefault="00065A1E" w:rsidP="00065A1E"/>
    <w:p w14:paraId="6ABF7F04" w14:textId="77777777" w:rsidR="00065A1E" w:rsidRDefault="00065A1E" w:rsidP="00065A1E">
      <w:r w:rsidRPr="00DC490A">
        <w:rPr>
          <w:i/>
        </w:rPr>
        <w:t xml:space="preserve">Patient Baseline and </w:t>
      </w:r>
      <w:r w:rsidR="00F604B2" w:rsidRPr="00DC490A">
        <w:rPr>
          <w:i/>
        </w:rPr>
        <w:t xml:space="preserve">Follow-Up </w:t>
      </w:r>
      <w:r w:rsidRPr="00DC490A">
        <w:rPr>
          <w:i/>
        </w:rPr>
        <w:t>Surveys</w:t>
      </w:r>
      <w:r w:rsidR="00DC490A">
        <w:rPr>
          <w:i/>
        </w:rPr>
        <w:t>:</w:t>
      </w:r>
      <w:r w:rsidRPr="00A132A1">
        <w:t xml:space="preserve"> To ensure privacy, personal identifiable information will not be collected during the survey. A </w:t>
      </w:r>
      <w:r w:rsidR="00287B0C">
        <w:t xml:space="preserve">randomly generated, numeric </w:t>
      </w:r>
      <w:r w:rsidRPr="00A132A1">
        <w:t>participant ID will be assigned to each respondent</w:t>
      </w:r>
      <w:r w:rsidR="00095DBF">
        <w:t>,</w:t>
      </w:r>
      <w:r w:rsidR="00545BAC">
        <w:t xml:space="preserve"> which will be </w:t>
      </w:r>
      <w:r w:rsidR="00287B0C">
        <w:t xml:space="preserve">used to link the survey data with the patient’s </w:t>
      </w:r>
      <w:r w:rsidR="00545BAC">
        <w:t>EHR record.</w:t>
      </w:r>
      <w:r w:rsidR="00095DBF">
        <w:t xml:space="preserve"> </w:t>
      </w:r>
      <w:r w:rsidR="00545BAC">
        <w:t xml:space="preserve">After </w:t>
      </w:r>
      <w:r w:rsidRPr="00A132A1">
        <w:t xml:space="preserve">the </w:t>
      </w:r>
      <w:r>
        <w:t xml:space="preserve">completion of the </w:t>
      </w:r>
      <w:r w:rsidR="00545BAC">
        <w:t xml:space="preserve">follow-up </w:t>
      </w:r>
      <w:r>
        <w:t xml:space="preserve">surveys, </w:t>
      </w:r>
      <w:r w:rsidRPr="00A132A1">
        <w:t xml:space="preserve">only the </w:t>
      </w:r>
      <w:r w:rsidR="00287B0C">
        <w:t xml:space="preserve">participant </w:t>
      </w:r>
      <w:r w:rsidRPr="00A132A1">
        <w:t>ID and other (non-Protected Health Information) categorical variables necessary for analysis will be available.</w:t>
      </w:r>
      <w:r w:rsidRPr="00A132A1">
        <w:rPr>
          <w:color w:val="FF0000"/>
        </w:rPr>
        <w:t xml:space="preserve"> </w:t>
      </w:r>
      <w:r w:rsidRPr="00A132A1">
        <w:t xml:space="preserve">Within 3 months of the end of the study period, the link between the </w:t>
      </w:r>
      <w:r w:rsidR="00287B0C">
        <w:t xml:space="preserve">participant </w:t>
      </w:r>
      <w:r w:rsidR="00735FCB">
        <w:t>identification</w:t>
      </w:r>
      <w:r w:rsidRPr="00A132A1">
        <w:t xml:space="preserve"> and the participant’s personally identifiable information</w:t>
      </w:r>
      <w:r w:rsidR="00A30FDB">
        <w:t xml:space="preserve"> will be destroyed</w:t>
      </w:r>
      <w:r w:rsidRPr="00A132A1">
        <w:t>. No personally identifiable information (names, addresses, and telephone numbers) will be in the database delivered to CDC. All data containing identifying information about participants will be destroyed within three months of the end of the study period. CDC will not have access to personal identifiable information.</w:t>
      </w:r>
      <w:r w:rsidRPr="00FE0914">
        <w:t xml:space="preserve"> </w:t>
      </w:r>
    </w:p>
    <w:p w14:paraId="4F78BED4" w14:textId="77777777" w:rsidR="00065A1E" w:rsidRDefault="00065A1E" w:rsidP="00065A1E"/>
    <w:p w14:paraId="663DA6F3" w14:textId="77777777" w:rsidR="00065A1E" w:rsidRDefault="00065A1E" w:rsidP="00065A1E">
      <w:r>
        <w:t xml:space="preserve">Unique identifiers will be assigned to each case in the data files as data are collected and participants removed from contact lists when their interview participation is complete. Survey data will be stored by the contractor in secure servers. All respondents will be told during the consent process that the data they provide will be treated in a secure manner to the extent allowed by law. They also will be informed that participation is voluntary, that they may refuse to answer any question, and can stop at any time without risk. In addition, names of participants in any component of the study will not be provided to the federal government. Instead, a unique ID will be assigned to each participant. </w:t>
      </w:r>
    </w:p>
    <w:p w14:paraId="663AB39B" w14:textId="77777777" w:rsidR="00065A1E" w:rsidRPr="00360B29" w:rsidRDefault="00065A1E" w:rsidP="00065A1E">
      <w:pPr>
        <w:rPr>
          <w:highlight w:val="yellow"/>
        </w:rPr>
      </w:pPr>
    </w:p>
    <w:p w14:paraId="750940C2" w14:textId="77777777" w:rsidR="00065A1E" w:rsidRPr="00A132A1" w:rsidRDefault="00065A1E" w:rsidP="00065A1E">
      <w:r w:rsidRPr="002E3C48">
        <w:rPr>
          <w:i/>
        </w:rPr>
        <w:t>Provider Interviews</w:t>
      </w:r>
      <w:r w:rsidR="002E3C48">
        <w:rPr>
          <w:i/>
        </w:rPr>
        <w:t>:</w:t>
      </w:r>
      <w:r w:rsidRPr="00A132A1">
        <w:t xml:space="preserve">  To ensure privacy, personal identifiable information will not be collected during the </w:t>
      </w:r>
      <w:r>
        <w:t>interviews</w:t>
      </w:r>
      <w:r w:rsidRPr="00A132A1">
        <w:t xml:space="preserve">. </w:t>
      </w:r>
      <w:r>
        <w:t xml:space="preserve">Each participant will be assigned an ID and their interview responses will not be stored with their identifying information. </w:t>
      </w:r>
      <w:r w:rsidRPr="00A132A1">
        <w:t xml:space="preserve">Personal identifiable information such as an email will not be shared outside the database.  </w:t>
      </w:r>
    </w:p>
    <w:p w14:paraId="7F06518D" w14:textId="77777777" w:rsidR="00065A1E" w:rsidRPr="00F46586" w:rsidRDefault="00065A1E" w:rsidP="00134107"/>
    <w:p w14:paraId="307390D3" w14:textId="77777777" w:rsidR="00610409" w:rsidRPr="00F46586" w:rsidRDefault="004F3FF4" w:rsidP="00134107">
      <w:pPr>
        <w:pStyle w:val="Heading2"/>
        <w:rPr>
          <w:rFonts w:ascii="Times New Roman" w:hAnsi="Times New Roman" w:cs="Times New Roman"/>
          <w:sz w:val="24"/>
          <w:szCs w:val="24"/>
        </w:rPr>
      </w:pPr>
      <w:bookmarkStart w:id="49" w:name="_Toc2085392"/>
      <w:r w:rsidRPr="00F46586">
        <w:rPr>
          <w:rFonts w:ascii="Times New Roman" w:hAnsi="Times New Roman" w:cs="Times New Roman"/>
          <w:i w:val="0"/>
          <w:sz w:val="24"/>
          <w:szCs w:val="24"/>
        </w:rPr>
        <w:t xml:space="preserve">A.11 Institutional Review Board (IRB) and </w:t>
      </w:r>
      <w:r w:rsidR="00547B59" w:rsidRPr="00F46586">
        <w:rPr>
          <w:rFonts w:ascii="Times New Roman" w:hAnsi="Times New Roman" w:cs="Times New Roman"/>
          <w:i w:val="0"/>
          <w:sz w:val="24"/>
          <w:szCs w:val="24"/>
        </w:rPr>
        <w:t>Justification</w:t>
      </w:r>
      <w:r w:rsidRPr="00F46586">
        <w:rPr>
          <w:rFonts w:ascii="Times New Roman" w:hAnsi="Times New Roman" w:cs="Times New Roman"/>
          <w:i w:val="0"/>
          <w:sz w:val="24"/>
          <w:szCs w:val="24"/>
        </w:rPr>
        <w:t xml:space="preserve"> for Sensitive Questions</w:t>
      </w:r>
      <w:bookmarkEnd w:id="49"/>
    </w:p>
    <w:p w14:paraId="3EBD45C5" w14:textId="796D1A22" w:rsidR="001F278E" w:rsidRPr="00691197" w:rsidRDefault="00D76C4B" w:rsidP="001F278E">
      <w:pPr>
        <w:pStyle w:val="BodyText3"/>
        <w:rPr>
          <w:b/>
          <w:bCs/>
          <w:i/>
          <w:iCs/>
          <w:sz w:val="24"/>
          <w:szCs w:val="24"/>
        </w:rPr>
      </w:pPr>
      <w:r>
        <w:rPr>
          <w:sz w:val="24"/>
          <w:szCs w:val="24"/>
        </w:rPr>
        <w:t xml:space="preserve">A. </w:t>
      </w:r>
      <w:r w:rsidRPr="00F46586">
        <w:rPr>
          <w:i/>
          <w:sz w:val="24"/>
          <w:szCs w:val="24"/>
        </w:rPr>
        <w:t>Institutional Review Board (IRB)</w:t>
      </w:r>
      <w:r>
        <w:rPr>
          <w:i/>
          <w:sz w:val="24"/>
          <w:szCs w:val="24"/>
        </w:rPr>
        <w:t xml:space="preserve">. </w:t>
      </w:r>
      <w:r w:rsidR="001F278E" w:rsidRPr="00691197">
        <w:rPr>
          <w:sz w:val="24"/>
          <w:szCs w:val="24"/>
        </w:rPr>
        <w:t xml:space="preserve">The study protocol has been reviewed and approved by </w:t>
      </w:r>
      <w:r w:rsidR="001F278E">
        <w:rPr>
          <w:sz w:val="24"/>
          <w:szCs w:val="24"/>
        </w:rPr>
        <w:t>Emory University’s</w:t>
      </w:r>
      <w:r w:rsidR="001F278E" w:rsidRPr="00691197">
        <w:rPr>
          <w:sz w:val="24"/>
          <w:szCs w:val="24"/>
        </w:rPr>
        <w:t xml:space="preserve"> IRB. A copy of the </w:t>
      </w:r>
      <w:r w:rsidR="001F278E">
        <w:rPr>
          <w:sz w:val="24"/>
          <w:szCs w:val="24"/>
        </w:rPr>
        <w:t>Emory</w:t>
      </w:r>
      <w:r w:rsidR="001F278E" w:rsidRPr="00691197">
        <w:rPr>
          <w:sz w:val="24"/>
          <w:szCs w:val="24"/>
        </w:rPr>
        <w:t xml:space="preserve"> IRB approval letter</w:t>
      </w:r>
      <w:r w:rsidR="001F278E">
        <w:rPr>
          <w:sz w:val="24"/>
          <w:szCs w:val="24"/>
        </w:rPr>
        <w:t xml:space="preserve"> is</w:t>
      </w:r>
      <w:r w:rsidR="001F278E" w:rsidRPr="00691197">
        <w:rPr>
          <w:sz w:val="24"/>
          <w:szCs w:val="24"/>
        </w:rPr>
        <w:t xml:space="preserve"> provided in </w:t>
      </w:r>
      <w:r w:rsidR="001F278E" w:rsidRPr="00EF2382">
        <w:rPr>
          <w:b/>
          <w:sz w:val="24"/>
        </w:rPr>
        <w:t xml:space="preserve">Attachment </w:t>
      </w:r>
      <w:r w:rsidR="001F278E" w:rsidRPr="001F31A6">
        <w:rPr>
          <w:b/>
          <w:sz w:val="24"/>
          <w:szCs w:val="24"/>
        </w:rPr>
        <w:t>H</w:t>
      </w:r>
      <w:r w:rsidR="001F278E" w:rsidRPr="00691197">
        <w:rPr>
          <w:sz w:val="24"/>
          <w:szCs w:val="24"/>
        </w:rPr>
        <w:t>.</w:t>
      </w:r>
    </w:p>
    <w:p w14:paraId="4080ACB2" w14:textId="7B314BF1" w:rsidR="00C4494A" w:rsidRDefault="001F278E" w:rsidP="00EF2382">
      <w:pPr>
        <w:autoSpaceDE w:val="0"/>
        <w:autoSpaceDN w:val="0"/>
        <w:adjustRightInd w:val="0"/>
      </w:pPr>
      <w:r w:rsidRPr="00F46586">
        <w:t xml:space="preserve"> </w:t>
      </w:r>
      <w:bookmarkStart w:id="50" w:name="_Toc2085393"/>
      <w:bookmarkStart w:id="51" w:name="_Toc151782186"/>
      <w:bookmarkStart w:id="52" w:name="_Toc158526226"/>
      <w:r w:rsidR="00D76C4B">
        <w:t xml:space="preserve">B. </w:t>
      </w:r>
      <w:r w:rsidR="00B11182" w:rsidRPr="00EF2382">
        <w:rPr>
          <w:i/>
        </w:rPr>
        <w:t>Justification for Sensitive Questions</w:t>
      </w:r>
      <w:bookmarkEnd w:id="50"/>
      <w:r w:rsidR="00D76C4B">
        <w:rPr>
          <w:i/>
        </w:rPr>
        <w:t xml:space="preserve">. </w:t>
      </w:r>
      <w:bookmarkEnd w:id="51"/>
      <w:bookmarkEnd w:id="52"/>
      <w:r w:rsidR="00C20B82" w:rsidRPr="00F46586">
        <w:t xml:space="preserve">The patient </w:t>
      </w:r>
      <w:r w:rsidR="00C03365" w:rsidRPr="00F46586">
        <w:t>surveys and the provider interviews will not contain any sensitive items.</w:t>
      </w:r>
    </w:p>
    <w:p w14:paraId="236E104B" w14:textId="77777777" w:rsidR="00E24EA6" w:rsidRPr="00F46586" w:rsidRDefault="00E24EA6" w:rsidP="008B54AA">
      <w:pPr>
        <w:rPr>
          <w:i/>
        </w:rPr>
      </w:pPr>
    </w:p>
    <w:p w14:paraId="5073C8BD" w14:textId="77777777" w:rsidR="009B633D" w:rsidRDefault="004F3FF4" w:rsidP="008B54AA">
      <w:pPr>
        <w:pStyle w:val="Heading2"/>
        <w:spacing w:after="0"/>
        <w:rPr>
          <w:rFonts w:ascii="Times New Roman" w:hAnsi="Times New Roman" w:cs="Times New Roman"/>
          <w:i w:val="0"/>
          <w:sz w:val="24"/>
          <w:szCs w:val="24"/>
        </w:rPr>
      </w:pPr>
      <w:bookmarkStart w:id="53" w:name="_Toc151782187"/>
      <w:bookmarkStart w:id="54" w:name="_Toc158526227"/>
      <w:bookmarkStart w:id="55" w:name="_Toc2085394"/>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12. Estimates of Annualized Burden Hours and Costs</w:t>
      </w:r>
      <w:bookmarkEnd w:id="53"/>
      <w:bookmarkEnd w:id="54"/>
      <w:bookmarkEnd w:id="55"/>
    </w:p>
    <w:p w14:paraId="04E8DD0C" w14:textId="06A8F64C" w:rsidR="00156214" w:rsidRPr="005668F1" w:rsidRDefault="00270B39" w:rsidP="00E24EA6">
      <w:pPr>
        <w:rPr>
          <w:rStyle w:val="Strong"/>
          <w:b w:val="0"/>
        </w:rPr>
      </w:pPr>
      <w:r w:rsidRPr="00F46586">
        <w:rPr>
          <w:rStyle w:val="Strong"/>
        </w:rPr>
        <w:t>Table</w:t>
      </w:r>
      <w:r w:rsidR="00654F33" w:rsidRPr="00F46586">
        <w:rPr>
          <w:rStyle w:val="Strong"/>
        </w:rPr>
        <w:t xml:space="preserve"> </w:t>
      </w:r>
      <w:r w:rsidR="001C1E5C" w:rsidRPr="00F46586">
        <w:rPr>
          <w:rStyle w:val="Strong"/>
        </w:rPr>
        <w:t>A.</w:t>
      </w:r>
      <w:r w:rsidR="00B95F8A" w:rsidRPr="00F46586">
        <w:rPr>
          <w:rStyle w:val="Strong"/>
        </w:rPr>
        <w:t>1</w:t>
      </w:r>
      <w:r w:rsidRPr="00F46586">
        <w:rPr>
          <w:rStyle w:val="Strong"/>
        </w:rPr>
        <w:t>2</w:t>
      </w:r>
      <w:r w:rsidR="00B95F8A" w:rsidRPr="00F46586">
        <w:rPr>
          <w:rStyle w:val="Strong"/>
        </w:rPr>
        <w:t>.1</w:t>
      </w:r>
      <w:r w:rsidR="00654F33" w:rsidRPr="00F46586">
        <w:rPr>
          <w:rStyle w:val="Strong"/>
          <w:b w:val="0"/>
        </w:rPr>
        <w:t xml:space="preserve"> shows the estimated annualized burden hours for the respondents’ time to </w:t>
      </w:r>
      <w:r w:rsidR="0082220D" w:rsidRPr="00F46586">
        <w:rPr>
          <w:rStyle w:val="Strong"/>
          <w:b w:val="0"/>
        </w:rPr>
        <w:t xml:space="preserve">complete the </w:t>
      </w:r>
      <w:r w:rsidR="00DE2822">
        <w:rPr>
          <w:rStyle w:val="Strong"/>
          <w:b w:val="0"/>
          <w:i/>
        </w:rPr>
        <w:t xml:space="preserve">Stay Independent Fall Risk Screener, </w:t>
      </w:r>
      <w:r w:rsidR="00CD6F6E" w:rsidRPr="00F46586">
        <w:rPr>
          <w:rStyle w:val="Strong"/>
          <w:b w:val="0"/>
          <w:i/>
        </w:rPr>
        <w:t xml:space="preserve">patient </w:t>
      </w:r>
      <w:r w:rsidR="00F72354" w:rsidRPr="00F46586">
        <w:rPr>
          <w:rStyle w:val="Strong"/>
          <w:b w:val="0"/>
          <w:i/>
        </w:rPr>
        <w:t>survey</w:t>
      </w:r>
      <w:r w:rsidR="005C0445">
        <w:rPr>
          <w:rStyle w:val="Strong"/>
          <w:b w:val="0"/>
          <w:i/>
        </w:rPr>
        <w:t xml:space="preserve"> </w:t>
      </w:r>
      <w:r w:rsidR="00F72354" w:rsidRPr="00F46586">
        <w:rPr>
          <w:rStyle w:val="Strong"/>
          <w:b w:val="0"/>
          <w:i/>
        </w:rPr>
        <w:t xml:space="preserve">consent, patient survey </w:t>
      </w:r>
      <w:r w:rsidR="00CD6F6E" w:rsidRPr="00F46586">
        <w:rPr>
          <w:rStyle w:val="Strong"/>
          <w:b w:val="0"/>
          <w:i/>
        </w:rPr>
        <w:t>questionnaire</w:t>
      </w:r>
      <w:r w:rsidR="00287B0C">
        <w:rPr>
          <w:rStyle w:val="Strong"/>
          <w:b w:val="0"/>
          <w:i/>
        </w:rPr>
        <w:t>s</w:t>
      </w:r>
      <w:r w:rsidR="00F72354" w:rsidRPr="00F46586">
        <w:rPr>
          <w:rStyle w:val="Strong"/>
          <w:b w:val="0"/>
        </w:rPr>
        <w:t xml:space="preserve">, and </w:t>
      </w:r>
      <w:r w:rsidR="00F72354" w:rsidRPr="00F46586">
        <w:rPr>
          <w:rStyle w:val="Strong"/>
          <w:b w:val="0"/>
          <w:i/>
        </w:rPr>
        <w:t>provider interviews.</w:t>
      </w:r>
      <w:r w:rsidR="005C0445">
        <w:rPr>
          <w:rStyle w:val="Strong"/>
          <w:b w:val="0"/>
          <w:i/>
        </w:rPr>
        <w:t xml:space="preserve"> </w:t>
      </w:r>
      <w:r w:rsidR="005668F1">
        <w:rPr>
          <w:rStyle w:val="Strong"/>
          <w:b w:val="0"/>
        </w:rPr>
        <w:t xml:space="preserve">Total annualized burden is estimated at </w:t>
      </w:r>
      <w:r w:rsidR="0030660F">
        <w:rPr>
          <w:rStyle w:val="Strong"/>
          <w:b w:val="0"/>
        </w:rPr>
        <w:t>1,578</w:t>
      </w:r>
      <w:r w:rsidR="00411A66">
        <w:rPr>
          <w:rStyle w:val="Strong"/>
          <w:b w:val="0"/>
        </w:rPr>
        <w:t xml:space="preserve"> </w:t>
      </w:r>
      <w:r w:rsidR="005668F1">
        <w:rPr>
          <w:rStyle w:val="Strong"/>
          <w:b w:val="0"/>
        </w:rPr>
        <w:t xml:space="preserve">hours. </w:t>
      </w:r>
    </w:p>
    <w:p w14:paraId="7474B56D" w14:textId="77777777" w:rsidR="00156214" w:rsidRDefault="00156214" w:rsidP="00E24EA6">
      <w:pPr>
        <w:rPr>
          <w:rStyle w:val="Strong"/>
          <w:b w:val="0"/>
          <w:i/>
        </w:rPr>
      </w:pPr>
    </w:p>
    <w:p w14:paraId="3C610CE9" w14:textId="701E4D02" w:rsidR="00FA6CDA" w:rsidRDefault="00FA6CDA" w:rsidP="00E24EA6">
      <w:pPr>
        <w:rPr>
          <w:rStyle w:val="Strong"/>
          <w:b w:val="0"/>
        </w:rPr>
      </w:pPr>
      <w:r>
        <w:rPr>
          <w:rStyle w:val="Strong"/>
        </w:rPr>
        <w:t xml:space="preserve">Screener. </w:t>
      </w:r>
      <w:r w:rsidR="005C0445">
        <w:rPr>
          <w:rStyle w:val="Strong"/>
          <w:b w:val="0"/>
        </w:rPr>
        <w:t xml:space="preserve">The </w:t>
      </w:r>
      <w:r w:rsidR="005C0445">
        <w:rPr>
          <w:rStyle w:val="Strong"/>
          <w:b w:val="0"/>
          <w:i/>
        </w:rPr>
        <w:t xml:space="preserve">Stay Independent Fall Risk Screener </w:t>
      </w:r>
      <w:r w:rsidR="005C0445" w:rsidRPr="00181038">
        <w:rPr>
          <w:rStyle w:val="Strong"/>
          <w:b w:val="0"/>
        </w:rPr>
        <w:t xml:space="preserve">takes an </w:t>
      </w:r>
      <w:r w:rsidR="004A3675" w:rsidRPr="00181038">
        <w:rPr>
          <w:rStyle w:val="Strong"/>
          <w:b w:val="0"/>
        </w:rPr>
        <w:t>estimated</w:t>
      </w:r>
      <w:r w:rsidR="005C0445" w:rsidRPr="00181038">
        <w:rPr>
          <w:rStyle w:val="Strong"/>
          <w:b w:val="0"/>
        </w:rPr>
        <w:t xml:space="preserve"> 6 minutes to comp</w:t>
      </w:r>
      <w:r w:rsidR="00D25DCE">
        <w:rPr>
          <w:rStyle w:val="Strong"/>
          <w:b w:val="0"/>
        </w:rPr>
        <w:t>l</w:t>
      </w:r>
      <w:r w:rsidR="005C0445" w:rsidRPr="00181038">
        <w:rPr>
          <w:rStyle w:val="Strong"/>
          <w:b w:val="0"/>
        </w:rPr>
        <w:t>ete</w:t>
      </w:r>
      <w:r w:rsidR="00530219">
        <w:rPr>
          <w:rStyle w:val="Strong"/>
          <w:b w:val="0"/>
        </w:rPr>
        <w:t xml:space="preserve"> (30 seconds per question for each of </w:t>
      </w:r>
      <w:r w:rsidR="00D25DCE">
        <w:rPr>
          <w:rStyle w:val="Strong"/>
          <w:b w:val="0"/>
        </w:rPr>
        <w:t xml:space="preserve">the </w:t>
      </w:r>
      <w:r w:rsidR="00530219">
        <w:rPr>
          <w:rStyle w:val="Strong"/>
          <w:b w:val="0"/>
        </w:rPr>
        <w:t>12 questions)</w:t>
      </w:r>
      <w:r w:rsidR="005C0445" w:rsidRPr="00181038">
        <w:rPr>
          <w:rStyle w:val="Strong"/>
          <w:b w:val="0"/>
        </w:rPr>
        <w:t xml:space="preserve">. </w:t>
      </w:r>
      <w:r w:rsidR="005C0445" w:rsidRPr="0067619A">
        <w:rPr>
          <w:rStyle w:val="Strong"/>
          <w:b w:val="0"/>
        </w:rPr>
        <w:t xml:space="preserve">We expect that </w:t>
      </w:r>
      <w:r>
        <w:rPr>
          <w:rStyle w:val="Strong"/>
          <w:b w:val="0"/>
        </w:rPr>
        <w:t>12,</w:t>
      </w:r>
      <w:r w:rsidR="00411A66">
        <w:rPr>
          <w:rStyle w:val="Strong"/>
          <w:b w:val="0"/>
        </w:rPr>
        <w:t>10</w:t>
      </w:r>
      <w:r w:rsidR="0022433B">
        <w:rPr>
          <w:rStyle w:val="Strong"/>
          <w:b w:val="0"/>
        </w:rPr>
        <w:t>5</w:t>
      </w:r>
      <w:r w:rsidR="00411A66">
        <w:rPr>
          <w:rStyle w:val="Strong"/>
          <w:b w:val="0"/>
        </w:rPr>
        <w:t xml:space="preserve"> </w:t>
      </w:r>
      <w:r w:rsidR="005C0445" w:rsidRPr="0067619A">
        <w:rPr>
          <w:rStyle w:val="Strong"/>
          <w:b w:val="0"/>
        </w:rPr>
        <w:t>patients will be screened to obtain the target sample size</w:t>
      </w:r>
      <w:r>
        <w:rPr>
          <w:rStyle w:val="Strong"/>
          <w:b w:val="0"/>
        </w:rPr>
        <w:t xml:space="preserve"> of approximately 3,000 patient</w:t>
      </w:r>
      <w:r w:rsidR="002C377A">
        <w:rPr>
          <w:rStyle w:val="Strong"/>
          <w:b w:val="0"/>
        </w:rPr>
        <w:t>s</w:t>
      </w:r>
      <w:r w:rsidR="00E204DB">
        <w:rPr>
          <w:rStyle w:val="Strong"/>
          <w:b w:val="0"/>
        </w:rPr>
        <w:t xml:space="preserve"> wh</w:t>
      </w:r>
      <w:r w:rsidR="007A1EF9">
        <w:rPr>
          <w:rStyle w:val="Strong"/>
          <w:b w:val="0"/>
        </w:rPr>
        <w:t>o agree to participate in the study and</w:t>
      </w:r>
      <w:r w:rsidR="00E204DB">
        <w:rPr>
          <w:rStyle w:val="Strong"/>
          <w:b w:val="0"/>
        </w:rPr>
        <w:t xml:space="preserve"> receive the STEADI risk assessment </w:t>
      </w:r>
      <w:r w:rsidR="007A1EF9">
        <w:rPr>
          <w:rStyle w:val="Strong"/>
          <w:b w:val="0"/>
        </w:rPr>
        <w:t xml:space="preserve">or are assigned to </w:t>
      </w:r>
      <w:r w:rsidR="007A1EF9" w:rsidRPr="00EE4DB8">
        <w:rPr>
          <w:rStyle w:val="Strong"/>
          <w:b w:val="0"/>
        </w:rPr>
        <w:t>the control group</w:t>
      </w:r>
      <w:r w:rsidR="008F72B0">
        <w:rPr>
          <w:rStyle w:val="Strong"/>
          <w:b w:val="0"/>
        </w:rPr>
        <w:t xml:space="preserve">. </w:t>
      </w:r>
      <w:r>
        <w:t xml:space="preserve">Those </w:t>
      </w:r>
      <w:r w:rsidR="008F72B0">
        <w:t xml:space="preserve">patients </w:t>
      </w:r>
      <w:r>
        <w:t>who screen at high risk will be assigned, based on clinic attended and week of attendance, to one of three study arms</w:t>
      </w:r>
      <w:r w:rsidR="00E204DB">
        <w:t xml:space="preserve"> or to the </w:t>
      </w:r>
      <w:r w:rsidR="00E204DB" w:rsidRPr="00EE4DB8">
        <w:t>control group</w:t>
      </w:r>
      <w:r w:rsidRPr="00EE4DB8">
        <w:t>.</w:t>
      </w:r>
      <w:r>
        <w:t xml:space="preserve"> </w:t>
      </w:r>
    </w:p>
    <w:p w14:paraId="7239194A" w14:textId="77777777" w:rsidR="00FA6CDA" w:rsidRDefault="00FA6CDA" w:rsidP="00E24EA6">
      <w:pPr>
        <w:rPr>
          <w:rStyle w:val="Strong"/>
          <w:b w:val="0"/>
        </w:rPr>
      </w:pPr>
    </w:p>
    <w:p w14:paraId="138C1323" w14:textId="0ECBD5F0" w:rsidR="002C377A" w:rsidRDefault="00FA6CDA" w:rsidP="00E24EA6">
      <w:pPr>
        <w:rPr>
          <w:rStyle w:val="Strong"/>
          <w:b w:val="0"/>
          <w:i/>
        </w:rPr>
      </w:pPr>
      <w:r>
        <w:rPr>
          <w:rStyle w:val="Strong"/>
        </w:rPr>
        <w:t xml:space="preserve">Survey </w:t>
      </w:r>
      <w:r w:rsidR="006B52DD">
        <w:rPr>
          <w:rStyle w:val="Strong"/>
        </w:rPr>
        <w:t>Screener and Consent</w:t>
      </w:r>
      <w:r>
        <w:rPr>
          <w:rStyle w:val="Strong"/>
        </w:rPr>
        <w:t xml:space="preserve">. </w:t>
      </w:r>
      <w:r w:rsidRPr="00FA6CDA">
        <w:rPr>
          <w:rStyle w:val="Strong"/>
          <w:b w:val="0"/>
        </w:rPr>
        <w:t>T</w:t>
      </w:r>
      <w:r w:rsidR="004F3FF4" w:rsidRPr="0067619A">
        <w:rPr>
          <w:rStyle w:val="Strong"/>
          <w:b w:val="0"/>
        </w:rPr>
        <w:t xml:space="preserve">he </w:t>
      </w:r>
      <w:r w:rsidR="004F3FF4" w:rsidRPr="0067619A">
        <w:rPr>
          <w:rStyle w:val="Strong"/>
          <w:b w:val="0"/>
          <w:i/>
        </w:rPr>
        <w:t xml:space="preserve">survey consent screener </w:t>
      </w:r>
      <w:r w:rsidR="004F3FF4" w:rsidRPr="0067619A">
        <w:rPr>
          <w:rStyle w:val="Strong"/>
          <w:b w:val="0"/>
        </w:rPr>
        <w:t>will tak</w:t>
      </w:r>
      <w:r w:rsidR="00AF6EEB" w:rsidRPr="0067619A">
        <w:rPr>
          <w:rStyle w:val="Strong"/>
          <w:b w:val="0"/>
        </w:rPr>
        <w:t>e</w:t>
      </w:r>
      <w:r w:rsidR="004F3FF4" w:rsidRPr="0067619A">
        <w:rPr>
          <w:rStyle w:val="Strong"/>
          <w:b w:val="0"/>
        </w:rPr>
        <w:t xml:space="preserve"> an estimated 12 minutes to complete</w:t>
      </w:r>
      <w:r w:rsidR="0080067B">
        <w:rPr>
          <w:rStyle w:val="Strong"/>
          <w:b w:val="0"/>
        </w:rPr>
        <w:t>, based on the number of items in the screener</w:t>
      </w:r>
      <w:r w:rsidR="00AF6EEB" w:rsidRPr="0067619A">
        <w:rPr>
          <w:rStyle w:val="Strong"/>
          <w:b w:val="0"/>
        </w:rPr>
        <w:t xml:space="preserve">. We expect </w:t>
      </w:r>
      <w:r w:rsidR="0012271D" w:rsidRPr="0067619A">
        <w:rPr>
          <w:rStyle w:val="Strong"/>
          <w:b w:val="0"/>
        </w:rPr>
        <w:t xml:space="preserve">that </w:t>
      </w:r>
      <w:r w:rsidR="002C377A">
        <w:rPr>
          <w:rStyle w:val="Strong"/>
          <w:b w:val="0"/>
        </w:rPr>
        <w:t>4,3</w:t>
      </w:r>
      <w:r w:rsidR="0094446F">
        <w:rPr>
          <w:rStyle w:val="Strong"/>
          <w:b w:val="0"/>
        </w:rPr>
        <w:t>5</w:t>
      </w:r>
      <w:r w:rsidR="00D00DC6">
        <w:rPr>
          <w:rStyle w:val="Strong"/>
          <w:b w:val="0"/>
        </w:rPr>
        <w:t>7</w:t>
      </w:r>
      <w:r w:rsidR="0094446F">
        <w:rPr>
          <w:rStyle w:val="Strong"/>
          <w:b w:val="0"/>
        </w:rPr>
        <w:t xml:space="preserve"> </w:t>
      </w:r>
      <w:r w:rsidR="00872CFD" w:rsidRPr="0067619A">
        <w:rPr>
          <w:rStyle w:val="Strong"/>
          <w:b w:val="0"/>
        </w:rPr>
        <w:t>patients</w:t>
      </w:r>
      <w:r w:rsidR="0012271D" w:rsidRPr="0067619A">
        <w:rPr>
          <w:rStyle w:val="Strong"/>
          <w:b w:val="0"/>
        </w:rPr>
        <w:t xml:space="preserve"> will screen at risk for a fall</w:t>
      </w:r>
      <w:r w:rsidR="007E5A5D">
        <w:rPr>
          <w:rStyle w:val="Strong"/>
          <w:b w:val="0"/>
        </w:rPr>
        <w:t xml:space="preserve"> (36 percent)</w:t>
      </w:r>
      <w:r w:rsidR="00872CFD" w:rsidRPr="0067619A">
        <w:rPr>
          <w:rStyle w:val="Strong"/>
          <w:b w:val="0"/>
        </w:rPr>
        <w:t xml:space="preserve"> and that </w:t>
      </w:r>
      <w:r w:rsidR="00AF6EEB" w:rsidRPr="0067619A">
        <w:rPr>
          <w:rStyle w:val="Strong"/>
          <w:b w:val="0"/>
        </w:rPr>
        <w:t>3,</w:t>
      </w:r>
      <w:r w:rsidR="002C377A">
        <w:rPr>
          <w:rStyle w:val="Strong"/>
          <w:b w:val="0"/>
        </w:rPr>
        <w:t>70</w:t>
      </w:r>
      <w:r w:rsidR="00054D0D">
        <w:rPr>
          <w:rStyle w:val="Strong"/>
          <w:b w:val="0"/>
        </w:rPr>
        <w:t>5</w:t>
      </w:r>
      <w:r w:rsidR="00AF6EEB" w:rsidRPr="0067619A">
        <w:rPr>
          <w:rStyle w:val="Strong"/>
          <w:b w:val="0"/>
        </w:rPr>
        <w:t xml:space="preserve"> patient</w:t>
      </w:r>
      <w:r w:rsidR="00872CFD" w:rsidRPr="0067619A">
        <w:rPr>
          <w:rStyle w:val="Strong"/>
          <w:b w:val="0"/>
        </w:rPr>
        <w:t>s</w:t>
      </w:r>
      <w:r w:rsidR="002C377A">
        <w:rPr>
          <w:rStyle w:val="Strong"/>
          <w:b w:val="0"/>
        </w:rPr>
        <w:t xml:space="preserve"> (85 percent)</w:t>
      </w:r>
      <w:r w:rsidR="00AF6EEB" w:rsidRPr="0067619A">
        <w:rPr>
          <w:rStyle w:val="Strong"/>
          <w:b w:val="0"/>
        </w:rPr>
        <w:t xml:space="preserve"> </w:t>
      </w:r>
      <w:r w:rsidR="00872CFD" w:rsidRPr="0067619A">
        <w:rPr>
          <w:rStyle w:val="Strong"/>
          <w:b w:val="0"/>
        </w:rPr>
        <w:t xml:space="preserve">will </w:t>
      </w:r>
      <w:r w:rsidR="00AF6EEB" w:rsidRPr="0067619A">
        <w:rPr>
          <w:rStyle w:val="Strong"/>
          <w:b w:val="0"/>
        </w:rPr>
        <w:t>consent to participate</w:t>
      </w:r>
      <w:r w:rsidR="002462A1" w:rsidRPr="0067619A">
        <w:rPr>
          <w:rStyle w:val="Strong"/>
          <w:b w:val="0"/>
        </w:rPr>
        <w:t xml:space="preserve"> in the </w:t>
      </w:r>
      <w:r w:rsidR="002462A1" w:rsidRPr="0067619A">
        <w:rPr>
          <w:rStyle w:val="Strong"/>
          <w:b w:val="0"/>
          <w:i/>
        </w:rPr>
        <w:t>patient surveys</w:t>
      </w:r>
      <w:r w:rsidR="002C377A">
        <w:rPr>
          <w:rStyle w:val="Strong"/>
          <w:b w:val="0"/>
          <w:i/>
        </w:rPr>
        <w:t xml:space="preserve">. </w:t>
      </w:r>
    </w:p>
    <w:p w14:paraId="7FC6E4E0" w14:textId="77777777" w:rsidR="002C377A" w:rsidRDefault="002C377A" w:rsidP="00E24EA6">
      <w:pPr>
        <w:rPr>
          <w:rStyle w:val="Strong"/>
          <w:b w:val="0"/>
          <w:i/>
        </w:rPr>
      </w:pPr>
    </w:p>
    <w:p w14:paraId="0C476A4D" w14:textId="3D6D0132" w:rsidR="002C377A" w:rsidRDefault="002C377A" w:rsidP="00E24EA6">
      <w:pPr>
        <w:rPr>
          <w:rStyle w:val="Strong"/>
          <w:b w:val="0"/>
        </w:rPr>
      </w:pPr>
      <w:r>
        <w:rPr>
          <w:rStyle w:val="Strong"/>
        </w:rPr>
        <w:t>Patient Baseline and Follow-up Surveys.</w:t>
      </w:r>
      <w:r w:rsidR="008E19BE" w:rsidRPr="0067619A">
        <w:rPr>
          <w:rStyle w:val="Strong"/>
          <w:b w:val="0"/>
        </w:rPr>
        <w:t xml:space="preserve"> </w:t>
      </w:r>
      <w:r>
        <w:rPr>
          <w:rStyle w:val="Strong"/>
          <w:b w:val="0"/>
        </w:rPr>
        <w:t>Of the 3,70</w:t>
      </w:r>
      <w:r w:rsidR="009644AE">
        <w:rPr>
          <w:rStyle w:val="Strong"/>
          <w:b w:val="0"/>
        </w:rPr>
        <w:t>5</w:t>
      </w:r>
      <w:r>
        <w:rPr>
          <w:rStyle w:val="Strong"/>
          <w:b w:val="0"/>
        </w:rPr>
        <w:t xml:space="preserve"> patients who consent to participate, an estimated 3,00</w:t>
      </w:r>
      <w:r w:rsidR="0094446F">
        <w:rPr>
          <w:rStyle w:val="Strong"/>
          <w:b w:val="0"/>
        </w:rPr>
        <w:t>0</w:t>
      </w:r>
      <w:r>
        <w:rPr>
          <w:rStyle w:val="Strong"/>
          <w:b w:val="0"/>
        </w:rPr>
        <w:t xml:space="preserve"> patients (81 percent) will complete the </w:t>
      </w:r>
      <w:r>
        <w:rPr>
          <w:rStyle w:val="Strong"/>
          <w:b w:val="0"/>
          <w:i/>
        </w:rPr>
        <w:t xml:space="preserve">baseline survey </w:t>
      </w:r>
      <w:r>
        <w:rPr>
          <w:rStyle w:val="Strong"/>
          <w:b w:val="0"/>
        </w:rPr>
        <w:t>and an</w:t>
      </w:r>
      <w:r w:rsidR="006B52DD">
        <w:rPr>
          <w:rStyle w:val="Strong"/>
          <w:b w:val="0"/>
        </w:rPr>
        <w:t xml:space="preserve"> estimated </w:t>
      </w:r>
      <w:r>
        <w:rPr>
          <w:rStyle w:val="Strong"/>
          <w:b w:val="0"/>
        </w:rPr>
        <w:t>2,</w:t>
      </w:r>
      <w:r w:rsidR="0094446F">
        <w:rPr>
          <w:rStyle w:val="Strong"/>
          <w:b w:val="0"/>
        </w:rPr>
        <w:t>688</w:t>
      </w:r>
      <w:r w:rsidR="0094446F" w:rsidRPr="0067619A">
        <w:rPr>
          <w:rStyle w:val="Strong"/>
          <w:b w:val="0"/>
        </w:rPr>
        <w:t xml:space="preserve"> </w:t>
      </w:r>
      <w:r w:rsidR="00AF6EEB" w:rsidRPr="0067619A">
        <w:rPr>
          <w:rStyle w:val="Strong"/>
          <w:b w:val="0"/>
        </w:rPr>
        <w:t xml:space="preserve">patients </w:t>
      </w:r>
      <w:r>
        <w:rPr>
          <w:rStyle w:val="Strong"/>
          <w:b w:val="0"/>
        </w:rPr>
        <w:t>(</w:t>
      </w:r>
      <w:r w:rsidR="00C92BF1">
        <w:rPr>
          <w:rStyle w:val="Strong"/>
          <w:b w:val="0"/>
        </w:rPr>
        <w:t>90</w:t>
      </w:r>
      <w:r>
        <w:rPr>
          <w:rStyle w:val="Strong"/>
          <w:b w:val="0"/>
        </w:rPr>
        <w:t xml:space="preserve"> percent) </w:t>
      </w:r>
      <w:r w:rsidR="008E19BE" w:rsidRPr="0067619A">
        <w:rPr>
          <w:rStyle w:val="Strong"/>
          <w:b w:val="0"/>
        </w:rPr>
        <w:t xml:space="preserve">will complete at least two of the three follow-up </w:t>
      </w:r>
      <w:r w:rsidR="008E19BE" w:rsidRPr="0067619A">
        <w:rPr>
          <w:rStyle w:val="Strong"/>
          <w:b w:val="0"/>
          <w:i/>
        </w:rPr>
        <w:t>patient surveys</w:t>
      </w:r>
      <w:r w:rsidR="008E19BE" w:rsidRPr="0067619A">
        <w:rPr>
          <w:rStyle w:val="Strong"/>
          <w:b w:val="0"/>
        </w:rPr>
        <w:t xml:space="preserve"> in addition to the baseline </w:t>
      </w:r>
      <w:r w:rsidR="00AF6EEB" w:rsidRPr="0067619A">
        <w:rPr>
          <w:rStyle w:val="Strong"/>
          <w:b w:val="0"/>
        </w:rPr>
        <w:t xml:space="preserve">over a </w:t>
      </w:r>
      <w:r w:rsidR="00872CFD" w:rsidRPr="0067619A">
        <w:rPr>
          <w:rStyle w:val="Strong"/>
          <w:b w:val="0"/>
        </w:rPr>
        <w:t>30</w:t>
      </w:r>
      <w:r w:rsidR="00AF6EEB" w:rsidRPr="0067619A">
        <w:rPr>
          <w:rStyle w:val="Strong"/>
          <w:b w:val="0"/>
        </w:rPr>
        <w:t>-month period, on a rolling basis.</w:t>
      </w:r>
      <w:r w:rsidR="00AF6EEB" w:rsidRPr="00F46586">
        <w:rPr>
          <w:rStyle w:val="Strong"/>
          <w:b w:val="0"/>
        </w:rPr>
        <w:t xml:space="preserve"> Each survey will take an estimated 15 minutes to complete.</w:t>
      </w:r>
      <w:r w:rsidR="0086189F" w:rsidRPr="00F46586">
        <w:rPr>
          <w:rStyle w:val="Strong"/>
          <w:b w:val="0"/>
        </w:rPr>
        <w:t xml:space="preserve"> </w:t>
      </w:r>
      <w:r w:rsidR="00C506CA">
        <w:rPr>
          <w:rStyle w:val="Strong"/>
          <w:b w:val="0"/>
        </w:rPr>
        <w:t xml:space="preserve">The patients will also be asked to complete a </w:t>
      </w:r>
      <w:r w:rsidR="003D3404">
        <w:rPr>
          <w:rStyle w:val="Strong"/>
          <w:b w:val="0"/>
        </w:rPr>
        <w:t>falls tracking log</w:t>
      </w:r>
      <w:r w:rsidR="00C506CA">
        <w:rPr>
          <w:rStyle w:val="Strong"/>
          <w:b w:val="0"/>
        </w:rPr>
        <w:t xml:space="preserve"> during the 12 months of the study, to record any falls and medical care they receive as a result. </w:t>
      </w:r>
    </w:p>
    <w:p w14:paraId="2AC5C871" w14:textId="77777777" w:rsidR="002C377A" w:rsidRDefault="002C377A" w:rsidP="00E24EA6">
      <w:pPr>
        <w:rPr>
          <w:rStyle w:val="Strong"/>
          <w:b w:val="0"/>
        </w:rPr>
      </w:pPr>
    </w:p>
    <w:p w14:paraId="00A760EF" w14:textId="5F429BD4" w:rsidR="00950C6F" w:rsidRDefault="00020D17" w:rsidP="00E24EA6">
      <w:pPr>
        <w:rPr>
          <w:rStyle w:val="Strong"/>
          <w:b w:val="0"/>
        </w:rPr>
      </w:pPr>
      <w:r>
        <w:rPr>
          <w:rStyle w:val="Strong"/>
        </w:rPr>
        <w:t xml:space="preserve">Patient Falls Tracking Log. </w:t>
      </w:r>
      <w:r w:rsidR="00C506CA">
        <w:rPr>
          <w:rStyle w:val="Strong"/>
          <w:b w:val="0"/>
        </w:rPr>
        <w:t xml:space="preserve">Patients will be asked to recall information from the </w:t>
      </w:r>
      <w:r w:rsidR="003D3404">
        <w:rPr>
          <w:rStyle w:val="Strong"/>
          <w:b w:val="0"/>
        </w:rPr>
        <w:t xml:space="preserve">log </w:t>
      </w:r>
      <w:r w:rsidR="00C506CA">
        <w:rPr>
          <w:rStyle w:val="Strong"/>
          <w:b w:val="0"/>
        </w:rPr>
        <w:t xml:space="preserve">during the </w:t>
      </w:r>
      <w:r w:rsidR="00F604B2">
        <w:rPr>
          <w:rStyle w:val="Strong"/>
          <w:b w:val="0"/>
        </w:rPr>
        <w:t xml:space="preserve">follow-up </w:t>
      </w:r>
      <w:r w:rsidR="00C506CA">
        <w:rPr>
          <w:rStyle w:val="Strong"/>
          <w:b w:val="0"/>
        </w:rPr>
        <w:t xml:space="preserve">surveys. </w:t>
      </w:r>
      <w:r w:rsidR="0012271D">
        <w:rPr>
          <w:rStyle w:val="Strong"/>
          <w:b w:val="0"/>
        </w:rPr>
        <w:t xml:space="preserve">Tracking </w:t>
      </w:r>
      <w:r w:rsidR="00C506CA">
        <w:rPr>
          <w:rStyle w:val="Strong"/>
          <w:b w:val="0"/>
        </w:rPr>
        <w:t xml:space="preserve">falls in the </w:t>
      </w:r>
      <w:r w:rsidR="00C33865">
        <w:rPr>
          <w:rStyle w:val="Strong"/>
          <w:b w:val="0"/>
        </w:rPr>
        <w:t>Patient Falls Tracking Log is optional</w:t>
      </w:r>
      <w:r w:rsidR="00C506CA">
        <w:rPr>
          <w:rStyle w:val="Strong"/>
          <w:b w:val="0"/>
        </w:rPr>
        <w:t xml:space="preserve">. </w:t>
      </w:r>
    </w:p>
    <w:p w14:paraId="303E680C" w14:textId="77777777" w:rsidR="00950C6F" w:rsidRDefault="00950C6F" w:rsidP="00E24EA6">
      <w:pPr>
        <w:rPr>
          <w:rStyle w:val="Strong"/>
          <w:b w:val="0"/>
        </w:rPr>
      </w:pPr>
    </w:p>
    <w:p w14:paraId="652A692D" w14:textId="318C4193" w:rsidR="00654F33" w:rsidRPr="00F46586" w:rsidRDefault="00BA1F90" w:rsidP="00E24EA6">
      <w:pPr>
        <w:rPr>
          <w:rStyle w:val="Strong"/>
          <w:b w:val="0"/>
        </w:rPr>
      </w:pPr>
      <w:r>
        <w:rPr>
          <w:rStyle w:val="Strong"/>
        </w:rPr>
        <w:t xml:space="preserve">Provider, and </w:t>
      </w:r>
      <w:r w:rsidR="00B53733">
        <w:rPr>
          <w:rStyle w:val="Strong"/>
        </w:rPr>
        <w:t xml:space="preserve">Clinical </w:t>
      </w:r>
      <w:r>
        <w:rPr>
          <w:rStyle w:val="Strong"/>
        </w:rPr>
        <w:t xml:space="preserve">Operations Manager Interviews. </w:t>
      </w:r>
      <w:r w:rsidR="00616713" w:rsidRPr="00F46586">
        <w:rPr>
          <w:rStyle w:val="Strong"/>
          <w:b w:val="0"/>
        </w:rPr>
        <w:t xml:space="preserve">The </w:t>
      </w:r>
      <w:r w:rsidR="00616713" w:rsidRPr="00F46586">
        <w:rPr>
          <w:rStyle w:val="Strong"/>
          <w:b w:val="0"/>
          <w:i/>
        </w:rPr>
        <w:t>provider intervie</w:t>
      </w:r>
      <w:r w:rsidR="0086189F" w:rsidRPr="00F46586">
        <w:rPr>
          <w:rStyle w:val="Strong"/>
          <w:b w:val="0"/>
          <w:i/>
        </w:rPr>
        <w:t>ws</w:t>
      </w:r>
      <w:r w:rsidR="00203307">
        <w:rPr>
          <w:rStyle w:val="Strong"/>
          <w:b w:val="0"/>
          <w:i/>
        </w:rPr>
        <w:t xml:space="preserve"> consent screener </w:t>
      </w:r>
      <w:r w:rsidR="0086189F" w:rsidRPr="00F46586">
        <w:rPr>
          <w:rStyle w:val="Strong"/>
          <w:b w:val="0"/>
        </w:rPr>
        <w:t xml:space="preserve">will take an estimated </w:t>
      </w:r>
      <w:r w:rsidR="00B029A3">
        <w:rPr>
          <w:rStyle w:val="Strong"/>
          <w:b w:val="0"/>
        </w:rPr>
        <w:t xml:space="preserve">5 </w:t>
      </w:r>
      <w:r w:rsidR="00203307">
        <w:rPr>
          <w:rStyle w:val="Strong"/>
          <w:b w:val="0"/>
        </w:rPr>
        <w:t xml:space="preserve">minutes to complete, and the </w:t>
      </w:r>
      <w:r w:rsidR="00203307">
        <w:rPr>
          <w:rStyle w:val="Strong"/>
          <w:b w:val="0"/>
          <w:i/>
        </w:rPr>
        <w:t xml:space="preserve">provider interviews </w:t>
      </w:r>
      <w:r w:rsidR="00203307">
        <w:rPr>
          <w:rStyle w:val="Strong"/>
          <w:b w:val="0"/>
        </w:rPr>
        <w:t xml:space="preserve">will take an estimated </w:t>
      </w:r>
      <w:r w:rsidR="00EC6D8A">
        <w:rPr>
          <w:rStyle w:val="Strong"/>
          <w:b w:val="0"/>
        </w:rPr>
        <w:t xml:space="preserve">45 </w:t>
      </w:r>
      <w:r w:rsidR="00203307">
        <w:rPr>
          <w:rStyle w:val="Strong"/>
          <w:b w:val="0"/>
        </w:rPr>
        <w:t>minutes</w:t>
      </w:r>
      <w:r w:rsidR="0086189F" w:rsidRPr="00F46586">
        <w:rPr>
          <w:rStyle w:val="Strong"/>
          <w:b w:val="0"/>
        </w:rPr>
        <w:t xml:space="preserve"> to complete</w:t>
      </w:r>
      <w:r w:rsidR="00E204DB">
        <w:rPr>
          <w:rStyle w:val="Strong"/>
          <w:b w:val="0"/>
        </w:rPr>
        <w:t xml:space="preserve"> based on the number of questions and prompts included in the interview guide</w:t>
      </w:r>
      <w:r w:rsidR="0086189F" w:rsidRPr="00F46586">
        <w:rPr>
          <w:rStyle w:val="Strong"/>
          <w:b w:val="0"/>
        </w:rPr>
        <w:t xml:space="preserve">. </w:t>
      </w:r>
      <w:r w:rsidR="002462A1" w:rsidRPr="0067619A">
        <w:rPr>
          <w:rStyle w:val="Strong"/>
          <w:b w:val="0"/>
        </w:rPr>
        <w:t>We expect</w:t>
      </w:r>
      <w:r w:rsidR="00A32130" w:rsidRPr="0067619A">
        <w:rPr>
          <w:rStyle w:val="Strong"/>
          <w:b w:val="0"/>
        </w:rPr>
        <w:t xml:space="preserve"> </w:t>
      </w:r>
      <w:r>
        <w:rPr>
          <w:rStyle w:val="Strong"/>
          <w:b w:val="0"/>
        </w:rPr>
        <w:t>a total of</w:t>
      </w:r>
      <w:r w:rsidR="009644AE">
        <w:rPr>
          <w:rStyle w:val="Strong"/>
          <w:b w:val="0"/>
        </w:rPr>
        <w:t xml:space="preserve"> </w:t>
      </w:r>
      <w:r w:rsidR="00B17096" w:rsidRPr="0067619A">
        <w:rPr>
          <w:rStyle w:val="Strong"/>
          <w:b w:val="0"/>
        </w:rPr>
        <w:t xml:space="preserve">ten </w:t>
      </w:r>
      <w:r w:rsidR="00DE2822" w:rsidRPr="0067619A">
        <w:rPr>
          <w:rStyle w:val="Strong"/>
          <w:b w:val="0"/>
        </w:rPr>
        <w:t>physician/physician assistant</w:t>
      </w:r>
      <w:r w:rsidR="003915C7" w:rsidRPr="0067619A">
        <w:rPr>
          <w:rStyle w:val="Strong"/>
          <w:b w:val="0"/>
        </w:rPr>
        <w:t>s</w:t>
      </w:r>
      <w:r w:rsidR="00DE2822" w:rsidRPr="0067619A">
        <w:rPr>
          <w:rStyle w:val="Strong"/>
          <w:b w:val="0"/>
        </w:rPr>
        <w:t>/nurse practitioner</w:t>
      </w:r>
      <w:r w:rsidR="003915C7" w:rsidRPr="0067619A">
        <w:rPr>
          <w:rStyle w:val="Strong"/>
          <w:b w:val="0"/>
        </w:rPr>
        <w:t>s</w:t>
      </w:r>
      <w:r w:rsidR="00DE2822" w:rsidRPr="0067619A">
        <w:rPr>
          <w:rStyle w:val="Strong"/>
          <w:b w:val="0"/>
        </w:rPr>
        <w:t xml:space="preserve"> </w:t>
      </w:r>
      <w:r w:rsidR="001A584C" w:rsidRPr="0067619A">
        <w:rPr>
          <w:rStyle w:val="Strong"/>
          <w:b w:val="0"/>
        </w:rPr>
        <w:t xml:space="preserve">and </w:t>
      </w:r>
      <w:r w:rsidR="00B17096" w:rsidRPr="0067619A">
        <w:rPr>
          <w:rStyle w:val="Strong"/>
          <w:b w:val="0"/>
        </w:rPr>
        <w:t>six</w:t>
      </w:r>
      <w:r w:rsidR="00DE2822" w:rsidRPr="0067619A">
        <w:rPr>
          <w:rStyle w:val="Strong"/>
          <w:b w:val="0"/>
        </w:rPr>
        <w:t xml:space="preserve"> of the</w:t>
      </w:r>
      <w:r w:rsidR="003915C7" w:rsidRPr="0067619A">
        <w:rPr>
          <w:rStyle w:val="Strong"/>
          <w:b w:val="0"/>
        </w:rPr>
        <w:t xml:space="preserve"> </w:t>
      </w:r>
      <w:r w:rsidR="00DE2822" w:rsidRPr="0067619A">
        <w:rPr>
          <w:rStyle w:val="Strong"/>
          <w:b w:val="0"/>
        </w:rPr>
        <w:t>clin</w:t>
      </w:r>
      <w:r w:rsidR="00E00813" w:rsidRPr="0067619A">
        <w:rPr>
          <w:rStyle w:val="Strong"/>
          <w:b w:val="0"/>
        </w:rPr>
        <w:t>i</w:t>
      </w:r>
      <w:r w:rsidR="00DE2822" w:rsidRPr="0067619A">
        <w:rPr>
          <w:rStyle w:val="Strong"/>
          <w:b w:val="0"/>
        </w:rPr>
        <w:t xml:space="preserve">c operations managers </w:t>
      </w:r>
      <w:r w:rsidR="0086189F" w:rsidRPr="0067619A">
        <w:rPr>
          <w:rStyle w:val="Strong"/>
          <w:b w:val="0"/>
        </w:rPr>
        <w:t>will complete the interviews.</w:t>
      </w:r>
      <w:r w:rsidR="0086189F" w:rsidRPr="00F46586">
        <w:rPr>
          <w:rStyle w:val="Strong"/>
          <w:b w:val="0"/>
        </w:rPr>
        <w:t xml:space="preserve">  </w:t>
      </w:r>
    </w:p>
    <w:p w14:paraId="2711E05E" w14:textId="77777777" w:rsidR="00945E34" w:rsidRPr="00F46586" w:rsidRDefault="00945E34" w:rsidP="00E24EA6">
      <w:pPr>
        <w:rPr>
          <w:rStyle w:val="Strong"/>
          <w:b w:val="0"/>
        </w:rPr>
      </w:pPr>
    </w:p>
    <w:p w14:paraId="73D93F6D" w14:textId="77777777" w:rsidR="00E24EA6" w:rsidRPr="00F46586" w:rsidRDefault="00270B39" w:rsidP="00E24EA6">
      <w:r w:rsidRPr="00F46586">
        <w:rPr>
          <w:b/>
          <w:bCs/>
          <w:color w:val="000000"/>
        </w:rPr>
        <w:t xml:space="preserve">Table </w:t>
      </w:r>
      <w:r w:rsidR="001C1E5C" w:rsidRPr="00F46586">
        <w:rPr>
          <w:b/>
          <w:bCs/>
          <w:color w:val="000000"/>
        </w:rPr>
        <w:t>A.</w:t>
      </w:r>
      <w:r w:rsidR="00B95F8A" w:rsidRPr="00F46586">
        <w:rPr>
          <w:b/>
          <w:bCs/>
          <w:color w:val="000000"/>
        </w:rPr>
        <w:t>1</w:t>
      </w:r>
      <w:r w:rsidRPr="00F46586">
        <w:rPr>
          <w:b/>
          <w:bCs/>
          <w:color w:val="000000"/>
        </w:rPr>
        <w:t>2</w:t>
      </w:r>
      <w:r w:rsidR="00B95F8A" w:rsidRPr="00F46586">
        <w:rPr>
          <w:b/>
          <w:bCs/>
          <w:color w:val="000000"/>
        </w:rPr>
        <w:t>.1</w:t>
      </w:r>
      <w:r w:rsidR="00056B40" w:rsidRPr="00F46586">
        <w:rPr>
          <w:b/>
          <w:bCs/>
          <w:color w:val="000000"/>
        </w:rPr>
        <w:t> Estimated</w:t>
      </w:r>
      <w:r w:rsidR="0012271D">
        <w:rPr>
          <w:b/>
          <w:bCs/>
          <w:color w:val="000000"/>
        </w:rPr>
        <w:t xml:space="preserve"> </w:t>
      </w:r>
      <w:r w:rsidR="00E24EA6" w:rsidRPr="00F46586">
        <w:rPr>
          <w:b/>
          <w:bCs/>
          <w:color w:val="000000"/>
        </w:rPr>
        <w:t>annualized burden hours</w:t>
      </w:r>
    </w:p>
    <w:tbl>
      <w:tblPr>
        <w:tblW w:w="943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4"/>
        <w:gridCol w:w="2629"/>
        <w:gridCol w:w="1443"/>
        <w:gridCol w:w="1413"/>
        <w:gridCol w:w="967"/>
        <w:gridCol w:w="1357"/>
      </w:tblGrid>
      <w:tr w:rsidR="00EB664A" w:rsidRPr="00F46586" w14:paraId="52712C47" w14:textId="77777777" w:rsidTr="00DE2822">
        <w:trPr>
          <w:trHeight w:val="1313"/>
        </w:trPr>
        <w:tc>
          <w:tcPr>
            <w:tcW w:w="1624" w:type="dxa"/>
          </w:tcPr>
          <w:p w14:paraId="70632B29" w14:textId="77777777" w:rsidR="00EB664A" w:rsidRPr="00F46586" w:rsidRDefault="00EB664A" w:rsidP="00F603E3">
            <w:pPr>
              <w:rPr>
                <w:color w:val="000000"/>
              </w:rPr>
            </w:pPr>
            <w:r>
              <w:rPr>
                <w:color w:val="000000"/>
              </w:rPr>
              <w:t>Type of Respondent</w:t>
            </w:r>
          </w:p>
        </w:tc>
        <w:tc>
          <w:tcPr>
            <w:tcW w:w="2629" w:type="dxa"/>
            <w:shd w:val="clear" w:color="auto" w:fill="auto"/>
            <w:tcMar>
              <w:top w:w="0" w:type="dxa"/>
              <w:left w:w="108" w:type="dxa"/>
              <w:bottom w:w="0" w:type="dxa"/>
              <w:right w:w="108" w:type="dxa"/>
            </w:tcMar>
          </w:tcPr>
          <w:p w14:paraId="277BB9C2" w14:textId="77777777" w:rsidR="00EB664A" w:rsidRPr="00F46586" w:rsidRDefault="00EB664A" w:rsidP="00F603E3">
            <w:r w:rsidRPr="00F46586">
              <w:rPr>
                <w:color w:val="000000"/>
              </w:rPr>
              <w:t>Form Name</w:t>
            </w:r>
          </w:p>
        </w:tc>
        <w:tc>
          <w:tcPr>
            <w:tcW w:w="1443" w:type="dxa"/>
            <w:shd w:val="clear" w:color="auto" w:fill="auto"/>
            <w:tcMar>
              <w:top w:w="0" w:type="dxa"/>
              <w:left w:w="108" w:type="dxa"/>
              <w:bottom w:w="0" w:type="dxa"/>
              <w:right w:w="108" w:type="dxa"/>
            </w:tcMar>
          </w:tcPr>
          <w:p w14:paraId="509216AD" w14:textId="77777777" w:rsidR="00EB664A" w:rsidRPr="00F46586" w:rsidRDefault="00EB664A" w:rsidP="00B27F17">
            <w:pPr>
              <w:jc w:val="center"/>
            </w:pPr>
            <w:r w:rsidRPr="00F46586">
              <w:rPr>
                <w:color w:val="000000"/>
              </w:rPr>
              <w:t>Number of Respondents</w:t>
            </w:r>
          </w:p>
        </w:tc>
        <w:tc>
          <w:tcPr>
            <w:tcW w:w="1413" w:type="dxa"/>
            <w:shd w:val="clear" w:color="auto" w:fill="auto"/>
            <w:tcMar>
              <w:top w:w="0" w:type="dxa"/>
              <w:left w:w="108" w:type="dxa"/>
              <w:bottom w:w="0" w:type="dxa"/>
              <w:right w:w="108" w:type="dxa"/>
            </w:tcMar>
          </w:tcPr>
          <w:p w14:paraId="0F7CC477" w14:textId="77777777" w:rsidR="00EB664A" w:rsidRPr="00F46586" w:rsidRDefault="00EB664A" w:rsidP="00B27F17">
            <w:pPr>
              <w:jc w:val="center"/>
            </w:pPr>
            <w:r w:rsidRPr="00F46586">
              <w:t xml:space="preserve">Number of </w:t>
            </w:r>
            <w:r w:rsidR="00A35E1D">
              <w:t>R</w:t>
            </w:r>
            <w:r w:rsidRPr="00F46586">
              <w:t xml:space="preserve">esponses </w:t>
            </w:r>
            <w:r w:rsidR="00A35E1D">
              <w:t>P</w:t>
            </w:r>
            <w:r w:rsidRPr="00F46586">
              <w:t xml:space="preserve">er </w:t>
            </w:r>
            <w:r w:rsidR="00A35E1D">
              <w:t>R</w:t>
            </w:r>
            <w:r w:rsidRPr="00F46586">
              <w:t>espondent</w:t>
            </w:r>
          </w:p>
        </w:tc>
        <w:tc>
          <w:tcPr>
            <w:tcW w:w="967" w:type="dxa"/>
          </w:tcPr>
          <w:p w14:paraId="4089C5FF" w14:textId="77777777" w:rsidR="00EB664A" w:rsidRPr="00F46586" w:rsidRDefault="00EB664A" w:rsidP="00DA5E0D">
            <w:pPr>
              <w:jc w:val="center"/>
            </w:pPr>
            <w:r w:rsidRPr="00F46586">
              <w:rPr>
                <w:color w:val="000000"/>
              </w:rPr>
              <w:t>Average Burden Per Response (hours )</w:t>
            </w:r>
          </w:p>
        </w:tc>
        <w:tc>
          <w:tcPr>
            <w:tcW w:w="1357" w:type="dxa"/>
            <w:shd w:val="clear" w:color="auto" w:fill="auto"/>
            <w:tcMar>
              <w:top w:w="0" w:type="dxa"/>
              <w:left w:w="108" w:type="dxa"/>
              <w:bottom w:w="0" w:type="dxa"/>
              <w:right w:w="108" w:type="dxa"/>
            </w:tcMar>
          </w:tcPr>
          <w:p w14:paraId="007DAD65" w14:textId="77777777" w:rsidR="00EB664A" w:rsidRPr="00F46586" w:rsidRDefault="00EB664A" w:rsidP="00B27F17">
            <w:pPr>
              <w:jc w:val="center"/>
              <w:rPr>
                <w:color w:val="000000"/>
              </w:rPr>
            </w:pPr>
            <w:r w:rsidRPr="00F46586">
              <w:rPr>
                <w:color w:val="000000"/>
              </w:rPr>
              <w:t xml:space="preserve">Total Burden </w:t>
            </w:r>
          </w:p>
          <w:p w14:paraId="7071A26D" w14:textId="77777777" w:rsidR="00EB664A" w:rsidRPr="00F46586" w:rsidRDefault="00EB664A" w:rsidP="00B27F17">
            <w:pPr>
              <w:jc w:val="center"/>
            </w:pPr>
            <w:r w:rsidRPr="00F46586">
              <w:rPr>
                <w:color w:val="000000"/>
              </w:rPr>
              <w:t>(hours)</w:t>
            </w:r>
          </w:p>
        </w:tc>
      </w:tr>
      <w:tr w:rsidR="00DE2822" w:rsidRPr="00F46586" w14:paraId="42DB164C" w14:textId="77777777" w:rsidTr="00181038">
        <w:tc>
          <w:tcPr>
            <w:tcW w:w="1624" w:type="dxa"/>
            <w:vMerge w:val="restart"/>
          </w:tcPr>
          <w:p w14:paraId="5ABC8EC3" w14:textId="77777777" w:rsidR="00DE2822" w:rsidRDefault="00DE2822" w:rsidP="00DE2822">
            <w:pPr>
              <w:pStyle w:val="ColorfulList-Accent11"/>
              <w:ind w:left="0"/>
            </w:pPr>
          </w:p>
          <w:p w14:paraId="0EBDA90F" w14:textId="77777777" w:rsidR="00DE2822" w:rsidRPr="00F46586" w:rsidRDefault="00DE2822" w:rsidP="00DE2822">
            <w:pPr>
              <w:pStyle w:val="ColorfulList-Accent11"/>
              <w:ind w:left="0"/>
            </w:pPr>
            <w:r>
              <w:t>Patient</w:t>
            </w:r>
          </w:p>
          <w:p w14:paraId="1D0B4C3D" w14:textId="77777777" w:rsidR="00DE2822" w:rsidRDefault="00DE2822">
            <w:pPr>
              <w:pStyle w:val="ColorfulList-Accent11"/>
              <w:ind w:left="0"/>
            </w:pPr>
          </w:p>
        </w:tc>
        <w:tc>
          <w:tcPr>
            <w:tcW w:w="2629" w:type="dxa"/>
            <w:shd w:val="clear" w:color="auto" w:fill="auto"/>
            <w:tcMar>
              <w:top w:w="0" w:type="dxa"/>
              <w:left w:w="108" w:type="dxa"/>
              <w:bottom w:w="0" w:type="dxa"/>
              <w:right w:w="108" w:type="dxa"/>
            </w:tcMar>
          </w:tcPr>
          <w:p w14:paraId="557884F1" w14:textId="77777777" w:rsidR="00DE2822" w:rsidRPr="00F46586" w:rsidRDefault="00DE2822" w:rsidP="00CD6F6E">
            <w:pPr>
              <w:pStyle w:val="ColorfulList-Accent11"/>
              <w:ind w:left="0"/>
            </w:pPr>
            <w:r>
              <w:t>Stay Independent Fall Risk Screener</w:t>
            </w:r>
            <w:r w:rsidR="00DA0690">
              <w:t xml:space="preserve"> (Att. </w:t>
            </w:r>
            <w:r w:rsidR="00705FF1">
              <w:t>D</w:t>
            </w:r>
            <w:r w:rsidR="00DA0690">
              <w:t>)</w:t>
            </w:r>
          </w:p>
        </w:tc>
        <w:tc>
          <w:tcPr>
            <w:tcW w:w="1443" w:type="dxa"/>
            <w:shd w:val="clear" w:color="auto" w:fill="auto"/>
            <w:tcMar>
              <w:top w:w="0" w:type="dxa"/>
              <w:left w:w="108" w:type="dxa"/>
              <w:bottom w:w="0" w:type="dxa"/>
              <w:right w:w="108" w:type="dxa"/>
            </w:tcMar>
          </w:tcPr>
          <w:p w14:paraId="0B910804" w14:textId="06C56CF6" w:rsidR="00DE2822" w:rsidRPr="0067619A" w:rsidRDefault="00DA38B0" w:rsidP="00B71342">
            <w:pPr>
              <w:jc w:val="center"/>
            </w:pPr>
            <w:r>
              <w:t>4,03</w:t>
            </w:r>
            <w:r w:rsidR="0094446F">
              <w:t>5</w:t>
            </w:r>
          </w:p>
        </w:tc>
        <w:tc>
          <w:tcPr>
            <w:tcW w:w="1413" w:type="dxa"/>
            <w:shd w:val="clear" w:color="auto" w:fill="auto"/>
            <w:tcMar>
              <w:top w:w="0" w:type="dxa"/>
              <w:left w:w="108" w:type="dxa"/>
              <w:bottom w:w="0" w:type="dxa"/>
              <w:right w:w="108" w:type="dxa"/>
            </w:tcMar>
          </w:tcPr>
          <w:p w14:paraId="55ED3B99" w14:textId="77777777" w:rsidR="00DE2822" w:rsidRPr="00F46586" w:rsidRDefault="00DE2822" w:rsidP="00B27F17">
            <w:pPr>
              <w:jc w:val="center"/>
            </w:pPr>
            <w:r>
              <w:t>1</w:t>
            </w:r>
          </w:p>
        </w:tc>
        <w:tc>
          <w:tcPr>
            <w:tcW w:w="967" w:type="dxa"/>
          </w:tcPr>
          <w:p w14:paraId="091434A0" w14:textId="168AD5B9" w:rsidR="00DE2822" w:rsidRDefault="00F5799E" w:rsidP="00B27F17">
            <w:pPr>
              <w:jc w:val="center"/>
              <w:rPr>
                <w:bCs/>
                <w:color w:val="000000"/>
              </w:rPr>
            </w:pPr>
            <w:r>
              <w:rPr>
                <w:bCs/>
                <w:color w:val="000000"/>
              </w:rPr>
              <w:t>6</w:t>
            </w:r>
            <w:r w:rsidR="00DE2822">
              <w:rPr>
                <w:bCs/>
                <w:color w:val="000000"/>
              </w:rPr>
              <w:t>/60</w:t>
            </w:r>
          </w:p>
        </w:tc>
        <w:tc>
          <w:tcPr>
            <w:tcW w:w="1357" w:type="dxa"/>
            <w:shd w:val="clear" w:color="auto" w:fill="auto"/>
            <w:tcMar>
              <w:top w:w="0" w:type="dxa"/>
              <w:left w:w="108" w:type="dxa"/>
              <w:bottom w:w="0" w:type="dxa"/>
              <w:right w:w="108" w:type="dxa"/>
            </w:tcMar>
          </w:tcPr>
          <w:p w14:paraId="6733A202" w14:textId="109E4935" w:rsidR="00DE2822" w:rsidRDefault="00DA38B0" w:rsidP="002D364E">
            <w:pPr>
              <w:jc w:val="center"/>
            </w:pPr>
            <w:r>
              <w:t>404</w:t>
            </w:r>
          </w:p>
        </w:tc>
      </w:tr>
      <w:tr w:rsidR="00DE2822" w:rsidRPr="00F46586" w14:paraId="7455DBFF" w14:textId="77777777" w:rsidTr="00DE2822">
        <w:tc>
          <w:tcPr>
            <w:tcW w:w="1624" w:type="dxa"/>
            <w:vMerge/>
            <w:vAlign w:val="center"/>
          </w:tcPr>
          <w:p w14:paraId="69F326D7" w14:textId="77777777" w:rsidR="00DE2822" w:rsidRPr="00F46586" w:rsidRDefault="00DE2822" w:rsidP="00EB664A">
            <w:pPr>
              <w:pStyle w:val="ColorfulList-Accent11"/>
              <w:ind w:left="0"/>
            </w:pPr>
          </w:p>
        </w:tc>
        <w:tc>
          <w:tcPr>
            <w:tcW w:w="2629" w:type="dxa"/>
            <w:shd w:val="clear" w:color="auto" w:fill="auto"/>
            <w:tcMar>
              <w:top w:w="0" w:type="dxa"/>
              <w:left w:w="108" w:type="dxa"/>
              <w:bottom w:w="0" w:type="dxa"/>
              <w:right w:w="108" w:type="dxa"/>
            </w:tcMar>
          </w:tcPr>
          <w:p w14:paraId="30260004" w14:textId="0DCF4F50" w:rsidR="00DE2822" w:rsidRPr="00F46586" w:rsidRDefault="0022433B" w:rsidP="002E4FD5">
            <w:pPr>
              <w:pStyle w:val="ColorfulList-Accent11"/>
              <w:ind w:left="0"/>
            </w:pPr>
            <w:r>
              <w:t xml:space="preserve">Consent </w:t>
            </w:r>
            <w:r w:rsidR="001F31A6">
              <w:t>Form</w:t>
            </w:r>
            <w:r w:rsidR="00705FF1">
              <w:t xml:space="preserve"> (Att. C)</w:t>
            </w:r>
          </w:p>
        </w:tc>
        <w:tc>
          <w:tcPr>
            <w:tcW w:w="1443" w:type="dxa"/>
            <w:shd w:val="clear" w:color="auto" w:fill="auto"/>
            <w:tcMar>
              <w:top w:w="0" w:type="dxa"/>
              <w:left w:w="108" w:type="dxa"/>
              <w:bottom w:w="0" w:type="dxa"/>
              <w:right w:w="108" w:type="dxa"/>
            </w:tcMar>
          </w:tcPr>
          <w:p w14:paraId="3CDB613C" w14:textId="5EF1D9E1" w:rsidR="00DE2822" w:rsidRPr="0067619A" w:rsidRDefault="00DE2822" w:rsidP="00DA38B0">
            <w:pPr>
              <w:jc w:val="center"/>
            </w:pPr>
            <w:r w:rsidRPr="0067619A">
              <w:t>1,</w:t>
            </w:r>
            <w:r w:rsidR="00DA38B0">
              <w:t>23</w:t>
            </w:r>
            <w:r w:rsidR="0094446F">
              <w:t>5</w:t>
            </w:r>
            <w:r w:rsidR="00610AC6" w:rsidRPr="0067619A">
              <w:t>*</w:t>
            </w:r>
          </w:p>
        </w:tc>
        <w:tc>
          <w:tcPr>
            <w:tcW w:w="1413" w:type="dxa"/>
            <w:shd w:val="clear" w:color="auto" w:fill="auto"/>
            <w:tcMar>
              <w:top w:w="0" w:type="dxa"/>
              <w:left w:w="108" w:type="dxa"/>
              <w:bottom w:w="0" w:type="dxa"/>
              <w:right w:w="108" w:type="dxa"/>
            </w:tcMar>
          </w:tcPr>
          <w:p w14:paraId="472E1516" w14:textId="77777777" w:rsidR="00DE2822" w:rsidRPr="00F46586" w:rsidRDefault="00DE2822" w:rsidP="00B27F17">
            <w:pPr>
              <w:jc w:val="center"/>
            </w:pPr>
            <w:r w:rsidRPr="00F46586">
              <w:t>1</w:t>
            </w:r>
          </w:p>
        </w:tc>
        <w:tc>
          <w:tcPr>
            <w:tcW w:w="967" w:type="dxa"/>
          </w:tcPr>
          <w:p w14:paraId="4DEBC21C" w14:textId="77777777" w:rsidR="00DE2822" w:rsidRPr="00F46586" w:rsidRDefault="00DE2822" w:rsidP="00B27F17">
            <w:pPr>
              <w:jc w:val="center"/>
              <w:rPr>
                <w:bCs/>
                <w:color w:val="000000"/>
              </w:rPr>
            </w:pPr>
            <w:r>
              <w:rPr>
                <w:bCs/>
                <w:color w:val="000000"/>
              </w:rPr>
              <w:t>12/60</w:t>
            </w:r>
          </w:p>
        </w:tc>
        <w:tc>
          <w:tcPr>
            <w:tcW w:w="1357" w:type="dxa"/>
            <w:shd w:val="clear" w:color="auto" w:fill="auto"/>
            <w:tcMar>
              <w:top w:w="0" w:type="dxa"/>
              <w:left w:w="108" w:type="dxa"/>
              <w:bottom w:w="0" w:type="dxa"/>
              <w:right w:w="108" w:type="dxa"/>
            </w:tcMar>
          </w:tcPr>
          <w:p w14:paraId="68829332" w14:textId="073531B6" w:rsidR="00DE2822" w:rsidRPr="00F46586" w:rsidRDefault="00DA38B0" w:rsidP="002D364E">
            <w:pPr>
              <w:jc w:val="center"/>
            </w:pPr>
            <w:r>
              <w:t>247</w:t>
            </w:r>
          </w:p>
        </w:tc>
      </w:tr>
      <w:tr w:rsidR="00DE2822" w:rsidRPr="00F46586" w14:paraId="4582D3A3" w14:textId="77777777" w:rsidTr="00DE2822">
        <w:tc>
          <w:tcPr>
            <w:tcW w:w="1624" w:type="dxa"/>
            <w:vMerge/>
          </w:tcPr>
          <w:p w14:paraId="1CE5C8FD" w14:textId="77777777" w:rsidR="00DE2822" w:rsidRDefault="00DE2822" w:rsidP="00C4494A">
            <w:pPr>
              <w:pStyle w:val="ColorfulList-Accent11"/>
              <w:ind w:left="0"/>
            </w:pPr>
          </w:p>
        </w:tc>
        <w:tc>
          <w:tcPr>
            <w:tcW w:w="2629" w:type="dxa"/>
            <w:shd w:val="clear" w:color="auto" w:fill="auto"/>
            <w:tcMar>
              <w:top w:w="0" w:type="dxa"/>
              <w:left w:w="108" w:type="dxa"/>
              <w:bottom w:w="0" w:type="dxa"/>
              <w:right w:w="108" w:type="dxa"/>
            </w:tcMar>
          </w:tcPr>
          <w:p w14:paraId="365C556C" w14:textId="77777777" w:rsidR="00DE2822" w:rsidRPr="00F46586" w:rsidRDefault="00DE2822" w:rsidP="002E4FD5">
            <w:pPr>
              <w:pStyle w:val="ColorfulList-Accent11"/>
              <w:ind w:left="0"/>
            </w:pPr>
            <w:r>
              <w:t xml:space="preserve">Patient </w:t>
            </w:r>
            <w:r w:rsidR="002E4FD5">
              <w:t xml:space="preserve">Baseline  </w:t>
            </w:r>
            <w:r>
              <w:t>Survey</w:t>
            </w:r>
            <w:r w:rsidR="00705FF1">
              <w:t xml:space="preserve"> (Att. B1)</w:t>
            </w:r>
          </w:p>
        </w:tc>
        <w:tc>
          <w:tcPr>
            <w:tcW w:w="1443" w:type="dxa"/>
            <w:shd w:val="clear" w:color="auto" w:fill="auto"/>
            <w:tcMar>
              <w:top w:w="0" w:type="dxa"/>
              <w:left w:w="108" w:type="dxa"/>
              <w:bottom w:w="0" w:type="dxa"/>
              <w:right w:w="108" w:type="dxa"/>
            </w:tcMar>
          </w:tcPr>
          <w:p w14:paraId="0F45DCF7" w14:textId="7F4075A2" w:rsidR="00DE2822" w:rsidRPr="0067619A" w:rsidRDefault="00DE2822" w:rsidP="002462A1">
            <w:pPr>
              <w:jc w:val="center"/>
            </w:pPr>
            <w:r w:rsidRPr="0067619A">
              <w:t>1,00</w:t>
            </w:r>
            <w:r w:rsidR="0094446F">
              <w:t>0</w:t>
            </w:r>
          </w:p>
        </w:tc>
        <w:tc>
          <w:tcPr>
            <w:tcW w:w="1413" w:type="dxa"/>
            <w:shd w:val="clear" w:color="auto" w:fill="auto"/>
            <w:tcMar>
              <w:top w:w="0" w:type="dxa"/>
              <w:left w:w="108" w:type="dxa"/>
              <w:bottom w:w="0" w:type="dxa"/>
              <w:right w:w="108" w:type="dxa"/>
            </w:tcMar>
          </w:tcPr>
          <w:p w14:paraId="063AA336" w14:textId="77777777" w:rsidR="00DE2822" w:rsidRPr="00F46586" w:rsidRDefault="00DE2822" w:rsidP="00B27F17">
            <w:pPr>
              <w:jc w:val="center"/>
            </w:pPr>
            <w:r>
              <w:t>1</w:t>
            </w:r>
          </w:p>
        </w:tc>
        <w:tc>
          <w:tcPr>
            <w:tcW w:w="967" w:type="dxa"/>
          </w:tcPr>
          <w:p w14:paraId="1293F9EE" w14:textId="77777777" w:rsidR="00DE2822" w:rsidRPr="00F46586" w:rsidRDefault="00DE2822" w:rsidP="00B27F17">
            <w:pPr>
              <w:jc w:val="center"/>
              <w:rPr>
                <w:bCs/>
                <w:color w:val="000000"/>
              </w:rPr>
            </w:pPr>
            <w:r>
              <w:rPr>
                <w:bCs/>
                <w:color w:val="000000"/>
              </w:rPr>
              <w:t>15/60</w:t>
            </w:r>
          </w:p>
        </w:tc>
        <w:tc>
          <w:tcPr>
            <w:tcW w:w="1357" w:type="dxa"/>
            <w:shd w:val="clear" w:color="auto" w:fill="auto"/>
            <w:tcMar>
              <w:top w:w="0" w:type="dxa"/>
              <w:left w:w="108" w:type="dxa"/>
              <w:bottom w:w="0" w:type="dxa"/>
              <w:right w:w="108" w:type="dxa"/>
            </w:tcMar>
          </w:tcPr>
          <w:p w14:paraId="51E7D27D" w14:textId="77777777" w:rsidR="00DE2822" w:rsidRPr="00F46586" w:rsidRDefault="00DE2822" w:rsidP="002D364E">
            <w:pPr>
              <w:jc w:val="center"/>
            </w:pPr>
            <w:r>
              <w:t>250</w:t>
            </w:r>
          </w:p>
        </w:tc>
      </w:tr>
      <w:tr w:rsidR="00DE2822" w:rsidRPr="00F46586" w14:paraId="5E138AB9" w14:textId="77777777" w:rsidTr="00DE2822">
        <w:tc>
          <w:tcPr>
            <w:tcW w:w="1624" w:type="dxa"/>
            <w:vMerge/>
          </w:tcPr>
          <w:p w14:paraId="46FDDFF8" w14:textId="77777777" w:rsidR="00DE2822" w:rsidRPr="00F46586" w:rsidRDefault="00DE2822" w:rsidP="00C4494A">
            <w:pPr>
              <w:pStyle w:val="ColorfulList-Accent11"/>
              <w:ind w:left="0"/>
            </w:pPr>
          </w:p>
        </w:tc>
        <w:tc>
          <w:tcPr>
            <w:tcW w:w="2629" w:type="dxa"/>
            <w:shd w:val="clear" w:color="auto" w:fill="auto"/>
            <w:tcMar>
              <w:top w:w="0" w:type="dxa"/>
              <w:left w:w="108" w:type="dxa"/>
              <w:bottom w:w="0" w:type="dxa"/>
              <w:right w:w="108" w:type="dxa"/>
            </w:tcMar>
          </w:tcPr>
          <w:p w14:paraId="1485F913" w14:textId="77777777" w:rsidR="00DE2822" w:rsidRPr="00F46586" w:rsidRDefault="00DE2822" w:rsidP="002E4FD5">
            <w:pPr>
              <w:pStyle w:val="ColorfulList-Accent11"/>
              <w:ind w:left="0"/>
            </w:pPr>
            <w:bookmarkStart w:id="56" w:name="_Hlk21354484"/>
            <w:r>
              <w:t>Patient</w:t>
            </w:r>
            <w:r w:rsidR="002E4FD5">
              <w:t xml:space="preserve"> Follow-up</w:t>
            </w:r>
            <w:r>
              <w:t xml:space="preserve"> Survey</w:t>
            </w:r>
            <w:r w:rsidR="00705FF1">
              <w:t xml:space="preserve"> </w:t>
            </w:r>
            <w:bookmarkEnd w:id="56"/>
            <w:r w:rsidR="00705FF1">
              <w:t>(Att. B2)</w:t>
            </w:r>
          </w:p>
        </w:tc>
        <w:tc>
          <w:tcPr>
            <w:tcW w:w="1443" w:type="dxa"/>
            <w:shd w:val="clear" w:color="auto" w:fill="auto"/>
            <w:tcMar>
              <w:top w:w="0" w:type="dxa"/>
              <w:left w:w="108" w:type="dxa"/>
              <w:bottom w:w="0" w:type="dxa"/>
              <w:right w:w="108" w:type="dxa"/>
            </w:tcMar>
          </w:tcPr>
          <w:p w14:paraId="72B1086B" w14:textId="66EDD371" w:rsidR="00DE2822" w:rsidRPr="0067619A" w:rsidRDefault="005668F1" w:rsidP="005668F1">
            <w:pPr>
              <w:jc w:val="center"/>
            </w:pPr>
            <w:r w:rsidRPr="0067619A">
              <w:t>89</w:t>
            </w:r>
            <w:r w:rsidR="0094446F">
              <w:t>6</w:t>
            </w:r>
          </w:p>
        </w:tc>
        <w:tc>
          <w:tcPr>
            <w:tcW w:w="1413" w:type="dxa"/>
            <w:shd w:val="clear" w:color="auto" w:fill="auto"/>
            <w:tcMar>
              <w:top w:w="0" w:type="dxa"/>
              <w:left w:w="108" w:type="dxa"/>
              <w:bottom w:w="0" w:type="dxa"/>
              <w:right w:w="108" w:type="dxa"/>
            </w:tcMar>
          </w:tcPr>
          <w:p w14:paraId="0C9CEBC2" w14:textId="77777777" w:rsidR="00DE2822" w:rsidRPr="00F46586" w:rsidRDefault="00DE2822" w:rsidP="00B27F17">
            <w:pPr>
              <w:jc w:val="center"/>
            </w:pPr>
            <w:r>
              <w:t>3</w:t>
            </w:r>
          </w:p>
        </w:tc>
        <w:tc>
          <w:tcPr>
            <w:tcW w:w="967" w:type="dxa"/>
          </w:tcPr>
          <w:p w14:paraId="7B0D20C1" w14:textId="77777777" w:rsidR="00DE2822" w:rsidRPr="00F46586" w:rsidRDefault="00DE2822" w:rsidP="00B27F17">
            <w:pPr>
              <w:jc w:val="center"/>
              <w:rPr>
                <w:bCs/>
                <w:color w:val="000000"/>
              </w:rPr>
            </w:pPr>
            <w:r>
              <w:rPr>
                <w:bCs/>
                <w:color w:val="000000"/>
              </w:rPr>
              <w:t>15/60</w:t>
            </w:r>
          </w:p>
        </w:tc>
        <w:tc>
          <w:tcPr>
            <w:tcW w:w="1357" w:type="dxa"/>
            <w:shd w:val="clear" w:color="auto" w:fill="auto"/>
            <w:tcMar>
              <w:top w:w="0" w:type="dxa"/>
              <w:left w:w="108" w:type="dxa"/>
              <w:bottom w:w="0" w:type="dxa"/>
              <w:right w:w="108" w:type="dxa"/>
            </w:tcMar>
          </w:tcPr>
          <w:p w14:paraId="41AE7D8E" w14:textId="4CD57F2D" w:rsidR="00DE2822" w:rsidRPr="00F46586" w:rsidRDefault="005668F1" w:rsidP="00721FD5">
            <w:pPr>
              <w:jc w:val="center"/>
            </w:pPr>
            <w:r>
              <w:t>67</w:t>
            </w:r>
            <w:r w:rsidR="00B17A30">
              <w:t>2</w:t>
            </w:r>
          </w:p>
        </w:tc>
      </w:tr>
      <w:tr w:rsidR="009C5151" w:rsidRPr="00F46586" w14:paraId="0F2A6410" w14:textId="77777777" w:rsidTr="00DE2822">
        <w:tc>
          <w:tcPr>
            <w:tcW w:w="1624" w:type="dxa"/>
          </w:tcPr>
          <w:p w14:paraId="1FD8EDB0" w14:textId="77777777" w:rsidR="009C5151" w:rsidRPr="00F46586" w:rsidRDefault="009C5151" w:rsidP="00CD6F6E">
            <w:pPr>
              <w:pStyle w:val="ColorfulList-Accent11"/>
              <w:ind w:left="0"/>
            </w:pPr>
            <w:r>
              <w:t>Physician/ Physician Assistants/Nurse Practitioners</w:t>
            </w:r>
          </w:p>
        </w:tc>
        <w:tc>
          <w:tcPr>
            <w:tcW w:w="2629" w:type="dxa"/>
            <w:shd w:val="clear" w:color="auto" w:fill="auto"/>
            <w:tcMar>
              <w:top w:w="0" w:type="dxa"/>
              <w:left w:w="108" w:type="dxa"/>
              <w:bottom w:w="0" w:type="dxa"/>
              <w:right w:w="108" w:type="dxa"/>
            </w:tcMar>
          </w:tcPr>
          <w:p w14:paraId="60234C68" w14:textId="4C5EE626" w:rsidR="009C5151" w:rsidRPr="00F46586" w:rsidRDefault="009C5151" w:rsidP="00CD6F6E">
            <w:pPr>
              <w:pStyle w:val="ColorfulList-Accent11"/>
              <w:ind w:left="0"/>
            </w:pPr>
            <w:r>
              <w:t>Provider  Interview Guide/Consent (Att. E1)</w:t>
            </w:r>
          </w:p>
        </w:tc>
        <w:tc>
          <w:tcPr>
            <w:tcW w:w="1443" w:type="dxa"/>
            <w:shd w:val="clear" w:color="auto" w:fill="auto"/>
            <w:tcMar>
              <w:top w:w="0" w:type="dxa"/>
              <w:left w:w="108" w:type="dxa"/>
              <w:bottom w:w="0" w:type="dxa"/>
              <w:right w:w="108" w:type="dxa"/>
            </w:tcMar>
          </w:tcPr>
          <w:p w14:paraId="453718F5" w14:textId="77777777" w:rsidR="009C5151" w:rsidRPr="0067619A" w:rsidRDefault="009C5151" w:rsidP="00DB1B5A">
            <w:pPr>
              <w:jc w:val="center"/>
            </w:pPr>
            <w:r w:rsidRPr="0067619A">
              <w:t>3</w:t>
            </w:r>
          </w:p>
        </w:tc>
        <w:tc>
          <w:tcPr>
            <w:tcW w:w="1413" w:type="dxa"/>
            <w:shd w:val="clear" w:color="auto" w:fill="auto"/>
            <w:tcMar>
              <w:top w:w="0" w:type="dxa"/>
              <w:left w:w="108" w:type="dxa"/>
              <w:bottom w:w="0" w:type="dxa"/>
              <w:right w:w="108" w:type="dxa"/>
            </w:tcMar>
          </w:tcPr>
          <w:p w14:paraId="6DC54D69" w14:textId="77777777" w:rsidR="009C5151" w:rsidRPr="00F46586" w:rsidRDefault="009C5151" w:rsidP="00B27F17">
            <w:pPr>
              <w:jc w:val="center"/>
            </w:pPr>
            <w:r>
              <w:t>1</w:t>
            </w:r>
          </w:p>
        </w:tc>
        <w:tc>
          <w:tcPr>
            <w:tcW w:w="967" w:type="dxa"/>
          </w:tcPr>
          <w:p w14:paraId="4537B040" w14:textId="6FB54E71" w:rsidR="009C5151" w:rsidRPr="00F46586" w:rsidRDefault="00B029A3" w:rsidP="00B27F17">
            <w:pPr>
              <w:jc w:val="center"/>
              <w:rPr>
                <w:bCs/>
                <w:color w:val="000000"/>
              </w:rPr>
            </w:pPr>
            <w:r>
              <w:rPr>
                <w:bCs/>
                <w:color w:val="000000"/>
              </w:rPr>
              <w:t>50</w:t>
            </w:r>
            <w:r w:rsidR="00B53733">
              <w:rPr>
                <w:bCs/>
                <w:color w:val="000000"/>
              </w:rPr>
              <w:t>/60</w:t>
            </w:r>
          </w:p>
        </w:tc>
        <w:tc>
          <w:tcPr>
            <w:tcW w:w="1357" w:type="dxa"/>
            <w:shd w:val="clear" w:color="auto" w:fill="auto"/>
            <w:tcMar>
              <w:top w:w="0" w:type="dxa"/>
              <w:left w:w="108" w:type="dxa"/>
              <w:bottom w:w="0" w:type="dxa"/>
              <w:right w:w="108" w:type="dxa"/>
            </w:tcMar>
          </w:tcPr>
          <w:p w14:paraId="047171E0" w14:textId="24642E33" w:rsidR="009C5151" w:rsidRDefault="00B029A3" w:rsidP="002D364E">
            <w:pPr>
              <w:jc w:val="center"/>
            </w:pPr>
            <w:r>
              <w:t>3</w:t>
            </w:r>
          </w:p>
        </w:tc>
      </w:tr>
      <w:tr w:rsidR="00DE2822" w:rsidRPr="00F46586" w14:paraId="454DF6F9" w14:textId="77777777" w:rsidTr="00DE2822">
        <w:tc>
          <w:tcPr>
            <w:tcW w:w="1624" w:type="dxa"/>
          </w:tcPr>
          <w:p w14:paraId="684D6A70" w14:textId="1EEE660B" w:rsidR="00DE2822" w:rsidRPr="00F46586" w:rsidRDefault="009C5151" w:rsidP="00D40725">
            <w:pPr>
              <w:pStyle w:val="ColorfulList-Accent11"/>
              <w:ind w:left="0"/>
            </w:pPr>
            <w:r>
              <w:t xml:space="preserve">Clinic </w:t>
            </w:r>
            <w:r w:rsidR="00D40725">
              <w:t xml:space="preserve">Operations </w:t>
            </w:r>
            <w:r>
              <w:t>Manager</w:t>
            </w:r>
          </w:p>
        </w:tc>
        <w:tc>
          <w:tcPr>
            <w:tcW w:w="2629" w:type="dxa"/>
            <w:shd w:val="clear" w:color="auto" w:fill="auto"/>
            <w:tcMar>
              <w:top w:w="0" w:type="dxa"/>
              <w:left w:w="108" w:type="dxa"/>
              <w:bottom w:w="0" w:type="dxa"/>
              <w:right w:w="108" w:type="dxa"/>
            </w:tcMar>
          </w:tcPr>
          <w:p w14:paraId="7CF94677" w14:textId="0AEC6790" w:rsidR="00DE2822" w:rsidRPr="00F46586" w:rsidRDefault="00DE2822" w:rsidP="00D04A30">
            <w:pPr>
              <w:pStyle w:val="ColorfulList-Accent11"/>
              <w:ind w:left="0"/>
            </w:pPr>
            <w:r>
              <w:t xml:space="preserve">Operations Manager </w:t>
            </w:r>
            <w:r w:rsidR="00054D0D">
              <w:t xml:space="preserve">Interview </w:t>
            </w:r>
            <w:r w:rsidR="00D04A30">
              <w:t>Guide</w:t>
            </w:r>
            <w:r w:rsidR="009C5151">
              <w:t>/Consent</w:t>
            </w:r>
            <w:r w:rsidR="00764F69">
              <w:t xml:space="preserve"> (Att. E</w:t>
            </w:r>
            <w:r w:rsidR="00B53733">
              <w:t>2</w:t>
            </w:r>
            <w:r w:rsidR="00764F69">
              <w:t>)</w:t>
            </w:r>
          </w:p>
        </w:tc>
        <w:tc>
          <w:tcPr>
            <w:tcW w:w="1443" w:type="dxa"/>
            <w:shd w:val="clear" w:color="auto" w:fill="auto"/>
            <w:tcMar>
              <w:top w:w="0" w:type="dxa"/>
              <w:left w:w="108" w:type="dxa"/>
              <w:bottom w:w="0" w:type="dxa"/>
              <w:right w:w="108" w:type="dxa"/>
            </w:tcMar>
          </w:tcPr>
          <w:p w14:paraId="02114622" w14:textId="77777777" w:rsidR="00DE2822" w:rsidRPr="0067619A" w:rsidRDefault="00DE2822" w:rsidP="00DB1B5A">
            <w:pPr>
              <w:jc w:val="center"/>
            </w:pPr>
            <w:r w:rsidRPr="0067619A">
              <w:t>2</w:t>
            </w:r>
          </w:p>
        </w:tc>
        <w:tc>
          <w:tcPr>
            <w:tcW w:w="1413" w:type="dxa"/>
            <w:shd w:val="clear" w:color="auto" w:fill="auto"/>
            <w:tcMar>
              <w:top w:w="0" w:type="dxa"/>
              <w:left w:w="108" w:type="dxa"/>
              <w:bottom w:w="0" w:type="dxa"/>
              <w:right w:w="108" w:type="dxa"/>
            </w:tcMar>
          </w:tcPr>
          <w:p w14:paraId="6BBC466A" w14:textId="77777777" w:rsidR="00DE2822" w:rsidRPr="00F46586" w:rsidRDefault="00DE2822" w:rsidP="00B27F17">
            <w:pPr>
              <w:jc w:val="center"/>
            </w:pPr>
            <w:r>
              <w:t>1</w:t>
            </w:r>
          </w:p>
        </w:tc>
        <w:tc>
          <w:tcPr>
            <w:tcW w:w="967" w:type="dxa"/>
          </w:tcPr>
          <w:p w14:paraId="30E635F7" w14:textId="52BE57C5" w:rsidR="00DE2822" w:rsidRPr="00F46586" w:rsidRDefault="00B029A3" w:rsidP="00B27F17">
            <w:pPr>
              <w:jc w:val="center"/>
              <w:rPr>
                <w:bCs/>
                <w:color w:val="000000"/>
              </w:rPr>
            </w:pPr>
            <w:r>
              <w:rPr>
                <w:bCs/>
                <w:color w:val="000000"/>
              </w:rPr>
              <w:t>50</w:t>
            </w:r>
            <w:r w:rsidR="00B53733">
              <w:rPr>
                <w:bCs/>
                <w:color w:val="000000"/>
              </w:rPr>
              <w:t>/60</w:t>
            </w:r>
          </w:p>
        </w:tc>
        <w:tc>
          <w:tcPr>
            <w:tcW w:w="1357" w:type="dxa"/>
            <w:shd w:val="clear" w:color="auto" w:fill="auto"/>
            <w:tcMar>
              <w:top w:w="0" w:type="dxa"/>
              <w:left w:w="108" w:type="dxa"/>
              <w:bottom w:w="0" w:type="dxa"/>
              <w:right w:w="108" w:type="dxa"/>
            </w:tcMar>
          </w:tcPr>
          <w:p w14:paraId="0AB10D0A" w14:textId="77777777" w:rsidR="00DE2822" w:rsidRDefault="00DE2822" w:rsidP="002D364E">
            <w:pPr>
              <w:jc w:val="center"/>
            </w:pPr>
            <w:r>
              <w:t>2</w:t>
            </w:r>
          </w:p>
        </w:tc>
      </w:tr>
      <w:tr w:rsidR="00EB664A" w:rsidRPr="00F46586" w14:paraId="265E7D39" w14:textId="77777777" w:rsidTr="00DE2822">
        <w:tc>
          <w:tcPr>
            <w:tcW w:w="1624" w:type="dxa"/>
          </w:tcPr>
          <w:p w14:paraId="5B088D17" w14:textId="77777777" w:rsidR="00EB664A" w:rsidRPr="00F46586" w:rsidRDefault="00EB664A" w:rsidP="00B27F17">
            <w:pPr>
              <w:rPr>
                <w:b/>
              </w:rPr>
            </w:pPr>
          </w:p>
        </w:tc>
        <w:tc>
          <w:tcPr>
            <w:tcW w:w="2629" w:type="dxa"/>
            <w:shd w:val="clear" w:color="auto" w:fill="auto"/>
            <w:tcMar>
              <w:top w:w="0" w:type="dxa"/>
              <w:left w:w="108" w:type="dxa"/>
              <w:bottom w:w="0" w:type="dxa"/>
              <w:right w:w="108" w:type="dxa"/>
            </w:tcMar>
          </w:tcPr>
          <w:p w14:paraId="72199500" w14:textId="77777777" w:rsidR="00EB664A" w:rsidRPr="00F46586" w:rsidRDefault="00EB664A" w:rsidP="00B27F17">
            <w:pPr>
              <w:rPr>
                <w:b/>
              </w:rPr>
            </w:pPr>
            <w:r w:rsidRPr="00F46586">
              <w:rPr>
                <w:b/>
              </w:rPr>
              <w:t>Total</w:t>
            </w:r>
          </w:p>
        </w:tc>
        <w:tc>
          <w:tcPr>
            <w:tcW w:w="1443" w:type="dxa"/>
            <w:shd w:val="clear" w:color="auto" w:fill="auto"/>
            <w:tcMar>
              <w:top w:w="0" w:type="dxa"/>
              <w:left w:w="108" w:type="dxa"/>
              <w:bottom w:w="0" w:type="dxa"/>
              <w:right w:w="108" w:type="dxa"/>
            </w:tcMar>
          </w:tcPr>
          <w:p w14:paraId="5A76258C" w14:textId="77777777" w:rsidR="00EB664A" w:rsidRPr="00F46586" w:rsidRDefault="00EB664A" w:rsidP="00721FD5">
            <w:pPr>
              <w:jc w:val="center"/>
              <w:rPr>
                <w:b/>
              </w:rPr>
            </w:pPr>
          </w:p>
        </w:tc>
        <w:tc>
          <w:tcPr>
            <w:tcW w:w="1413" w:type="dxa"/>
            <w:shd w:val="clear" w:color="auto" w:fill="auto"/>
            <w:tcMar>
              <w:top w:w="0" w:type="dxa"/>
              <w:left w:w="108" w:type="dxa"/>
              <w:bottom w:w="0" w:type="dxa"/>
              <w:right w:w="108" w:type="dxa"/>
            </w:tcMar>
          </w:tcPr>
          <w:p w14:paraId="018B5224" w14:textId="77777777" w:rsidR="00EB664A" w:rsidRPr="00F46586" w:rsidRDefault="00EB664A" w:rsidP="00B27F17">
            <w:pPr>
              <w:jc w:val="center"/>
              <w:rPr>
                <w:b/>
              </w:rPr>
            </w:pPr>
          </w:p>
        </w:tc>
        <w:tc>
          <w:tcPr>
            <w:tcW w:w="967" w:type="dxa"/>
          </w:tcPr>
          <w:p w14:paraId="58DAE03B" w14:textId="77777777" w:rsidR="00EB664A" w:rsidRPr="00F46586" w:rsidRDefault="00EB664A" w:rsidP="00B27F17">
            <w:pPr>
              <w:jc w:val="center"/>
              <w:rPr>
                <w:b/>
                <w:bCs/>
                <w:color w:val="000000"/>
              </w:rPr>
            </w:pPr>
          </w:p>
        </w:tc>
        <w:tc>
          <w:tcPr>
            <w:tcW w:w="1357" w:type="dxa"/>
            <w:shd w:val="clear" w:color="auto" w:fill="auto"/>
            <w:tcMar>
              <w:top w:w="0" w:type="dxa"/>
              <w:left w:w="108" w:type="dxa"/>
              <w:bottom w:w="0" w:type="dxa"/>
              <w:right w:w="108" w:type="dxa"/>
            </w:tcMar>
          </w:tcPr>
          <w:p w14:paraId="5FD91744" w14:textId="7414EE02" w:rsidR="00EB664A" w:rsidRPr="00F46586" w:rsidRDefault="00583B0F" w:rsidP="00B17A30">
            <w:pPr>
              <w:jc w:val="center"/>
              <w:rPr>
                <w:b/>
              </w:rPr>
            </w:pPr>
            <w:r>
              <w:rPr>
                <w:b/>
              </w:rPr>
              <w:t>1,578</w:t>
            </w:r>
          </w:p>
        </w:tc>
      </w:tr>
    </w:tbl>
    <w:p w14:paraId="11F6AE4E" w14:textId="0E0799DE" w:rsidR="001627D3" w:rsidRDefault="00610AC6">
      <w:r w:rsidRPr="00BC2C6F">
        <w:t>*</w:t>
      </w:r>
      <w:r w:rsidR="002E0525" w:rsidRPr="00BC2C6F" w:rsidDel="002E0525">
        <w:t xml:space="preserve"> </w:t>
      </w:r>
      <w:r w:rsidR="002E0525" w:rsidRPr="00BC2C6F">
        <w:t>This number includes the o</w:t>
      </w:r>
      <w:r w:rsidRPr="00BC2C6F">
        <w:t>lder adults who screen at risk for a fa</w:t>
      </w:r>
      <w:r w:rsidR="00CC5D84">
        <w:t>ll and consent to participate in the study</w:t>
      </w:r>
    </w:p>
    <w:p w14:paraId="3F899B76" w14:textId="77777777" w:rsidR="00610AC6" w:rsidRPr="00F46586" w:rsidRDefault="00610AC6"/>
    <w:p w14:paraId="1D1DCF64" w14:textId="5B5A490B" w:rsidR="001B6ACD" w:rsidRDefault="00270B39" w:rsidP="00654F33">
      <w:r w:rsidRPr="00F46586">
        <w:t>Table</w:t>
      </w:r>
      <w:r w:rsidR="00654F33" w:rsidRPr="00F46586">
        <w:t xml:space="preserve"> </w:t>
      </w:r>
      <w:r w:rsidR="001C1E5C" w:rsidRPr="00F46586">
        <w:t>A.</w:t>
      </w:r>
      <w:r w:rsidR="00B95F8A" w:rsidRPr="00F46586">
        <w:t xml:space="preserve">12.2 </w:t>
      </w:r>
      <w:r w:rsidR="00654F33" w:rsidRPr="00F46586">
        <w:t xml:space="preserve">shows the estimated annualized cost burden based on the respondents’ time to </w:t>
      </w:r>
      <w:r w:rsidR="0082220D" w:rsidRPr="00F46586">
        <w:t>complete the data collection forms</w:t>
      </w:r>
      <w:r w:rsidR="00654F33" w:rsidRPr="00F46586">
        <w:t xml:space="preserve">. </w:t>
      </w:r>
      <w:r w:rsidR="00CD710D">
        <w:t>Average hourly wage rates were calculated using mean wages from the U.S. Department of Labor</w:t>
      </w:r>
      <w:r w:rsidR="001B6ACD">
        <w:t>, Burea</w:t>
      </w:r>
      <w:r w:rsidR="009E611B">
        <w:t>u</w:t>
      </w:r>
      <w:r w:rsidR="001B6ACD">
        <w:t xml:space="preserve"> of Labor Statistics </w:t>
      </w:r>
      <w:hyperlink r:id="rId14" w:history="1">
        <w:r w:rsidR="001B6ACD" w:rsidRPr="00864CB4">
          <w:rPr>
            <w:rStyle w:val="Hyperlink"/>
          </w:rPr>
          <w:t>https://www.bls.gov/oes/current/oes_stru.htm</w:t>
        </w:r>
      </w:hyperlink>
      <w:r w:rsidR="001B6ACD">
        <w:t xml:space="preserve">. </w:t>
      </w:r>
    </w:p>
    <w:p w14:paraId="1BA9FAC9" w14:textId="77777777" w:rsidR="00EC3197" w:rsidRPr="00F46586" w:rsidRDefault="00EC3197" w:rsidP="00654F33"/>
    <w:p w14:paraId="6306A11F" w14:textId="77777777" w:rsidR="00B51378" w:rsidRPr="00F46586" w:rsidRDefault="00270B39" w:rsidP="00B51378">
      <w:r w:rsidRPr="00F46586">
        <w:rPr>
          <w:b/>
          <w:bCs/>
          <w:color w:val="000000"/>
        </w:rPr>
        <w:t>Table</w:t>
      </w:r>
      <w:r w:rsidR="00E738AF" w:rsidRPr="00F46586">
        <w:rPr>
          <w:b/>
          <w:bCs/>
          <w:color w:val="000000"/>
        </w:rPr>
        <w:t xml:space="preserve"> </w:t>
      </w:r>
      <w:r w:rsidR="001C1E5C" w:rsidRPr="00F46586">
        <w:rPr>
          <w:b/>
          <w:bCs/>
          <w:color w:val="000000"/>
        </w:rPr>
        <w:t>A.</w:t>
      </w:r>
      <w:r w:rsidR="00B95F8A" w:rsidRPr="00F46586">
        <w:rPr>
          <w:b/>
          <w:bCs/>
          <w:color w:val="000000"/>
        </w:rPr>
        <w:t xml:space="preserve">12.2 </w:t>
      </w:r>
      <w:r w:rsidR="00B51378" w:rsidRPr="00F46586">
        <w:rPr>
          <w:b/>
        </w:rPr>
        <w:t>Estimated annualized burden</w:t>
      </w:r>
      <w:r w:rsidR="00E53078">
        <w:rPr>
          <w:b/>
        </w:rPr>
        <w:t xml:space="preserve"> costs</w:t>
      </w: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7"/>
        <w:gridCol w:w="1710"/>
        <w:gridCol w:w="1530"/>
        <w:gridCol w:w="1530"/>
        <w:gridCol w:w="1350"/>
        <w:gridCol w:w="1260"/>
        <w:gridCol w:w="1080"/>
      </w:tblGrid>
      <w:tr w:rsidR="00A35E1D" w:rsidRPr="00F46586" w14:paraId="18D5FB65" w14:textId="77777777" w:rsidTr="007B0DC5">
        <w:tc>
          <w:tcPr>
            <w:tcW w:w="1957" w:type="dxa"/>
          </w:tcPr>
          <w:p w14:paraId="106013A2" w14:textId="77777777" w:rsidR="00A35E1D" w:rsidRPr="00F46586" w:rsidRDefault="00A35E1D" w:rsidP="00B51378">
            <w:r>
              <w:t>Type of Respondent</w:t>
            </w:r>
          </w:p>
        </w:tc>
        <w:tc>
          <w:tcPr>
            <w:tcW w:w="1710" w:type="dxa"/>
            <w:shd w:val="clear" w:color="auto" w:fill="auto"/>
            <w:tcMar>
              <w:top w:w="0" w:type="dxa"/>
              <w:left w:w="108" w:type="dxa"/>
              <w:bottom w:w="0" w:type="dxa"/>
              <w:right w:w="108" w:type="dxa"/>
            </w:tcMar>
          </w:tcPr>
          <w:p w14:paraId="50DDDA82" w14:textId="77777777" w:rsidR="00A35E1D" w:rsidRPr="00F46586" w:rsidRDefault="00A35E1D" w:rsidP="00B51378">
            <w:r w:rsidRPr="00F46586">
              <w:t>Form Name</w:t>
            </w:r>
          </w:p>
        </w:tc>
        <w:tc>
          <w:tcPr>
            <w:tcW w:w="1530" w:type="dxa"/>
            <w:shd w:val="clear" w:color="auto" w:fill="auto"/>
            <w:tcMar>
              <w:top w:w="0" w:type="dxa"/>
              <w:left w:w="108" w:type="dxa"/>
              <w:bottom w:w="0" w:type="dxa"/>
              <w:right w:w="108" w:type="dxa"/>
            </w:tcMar>
          </w:tcPr>
          <w:p w14:paraId="6A1490F4" w14:textId="77777777" w:rsidR="00A35E1D" w:rsidRPr="00F46586" w:rsidRDefault="00A35E1D" w:rsidP="00B51378">
            <w:r w:rsidRPr="00F46586">
              <w:t>Number of Respondents</w:t>
            </w:r>
          </w:p>
        </w:tc>
        <w:tc>
          <w:tcPr>
            <w:tcW w:w="1530" w:type="dxa"/>
          </w:tcPr>
          <w:p w14:paraId="3209D7C7" w14:textId="77777777" w:rsidR="00A35E1D" w:rsidRPr="00F46586" w:rsidRDefault="00A35E1D" w:rsidP="00B51378">
            <w:r>
              <w:t>Number of Responses per Respondent</w:t>
            </w:r>
          </w:p>
        </w:tc>
        <w:tc>
          <w:tcPr>
            <w:tcW w:w="1350" w:type="dxa"/>
            <w:shd w:val="clear" w:color="auto" w:fill="auto"/>
            <w:tcMar>
              <w:top w:w="0" w:type="dxa"/>
              <w:left w:w="108" w:type="dxa"/>
              <w:bottom w:w="0" w:type="dxa"/>
              <w:right w:w="108" w:type="dxa"/>
            </w:tcMar>
          </w:tcPr>
          <w:p w14:paraId="3EA7BFCA" w14:textId="77777777" w:rsidR="00A35E1D" w:rsidRPr="00F46586" w:rsidRDefault="00544462" w:rsidP="00B51378">
            <w:r>
              <w:t>Average Burden Per Response (hours)</w:t>
            </w:r>
          </w:p>
        </w:tc>
        <w:tc>
          <w:tcPr>
            <w:tcW w:w="1260" w:type="dxa"/>
          </w:tcPr>
          <w:p w14:paraId="447581B3" w14:textId="77777777" w:rsidR="00A35E1D" w:rsidRPr="00F46586" w:rsidRDefault="00A35E1D" w:rsidP="00B51378">
            <w:r w:rsidRPr="00F46586">
              <w:t>Average Hourly Wage Rate</w:t>
            </w:r>
          </w:p>
        </w:tc>
        <w:tc>
          <w:tcPr>
            <w:tcW w:w="1080" w:type="dxa"/>
            <w:shd w:val="clear" w:color="auto" w:fill="auto"/>
            <w:tcMar>
              <w:top w:w="0" w:type="dxa"/>
              <w:left w:w="108" w:type="dxa"/>
              <w:bottom w:w="0" w:type="dxa"/>
              <w:right w:w="108" w:type="dxa"/>
            </w:tcMar>
          </w:tcPr>
          <w:p w14:paraId="6AFD7748" w14:textId="77777777" w:rsidR="00A35E1D" w:rsidRPr="00F46586" w:rsidRDefault="00A35E1D" w:rsidP="00B51378">
            <w:r w:rsidRPr="00F46586">
              <w:t>Total  Cost Burden</w:t>
            </w:r>
          </w:p>
        </w:tc>
      </w:tr>
      <w:tr w:rsidR="00DE2822" w:rsidRPr="00F46586" w14:paraId="09D6F6C0" w14:textId="77777777" w:rsidTr="007B0DC5">
        <w:tc>
          <w:tcPr>
            <w:tcW w:w="1957" w:type="dxa"/>
            <w:vMerge w:val="restart"/>
            <w:vAlign w:val="center"/>
          </w:tcPr>
          <w:p w14:paraId="641A1D71" w14:textId="77777777" w:rsidR="00DE2822" w:rsidRPr="00F46586" w:rsidRDefault="00DE2822" w:rsidP="002E6D40">
            <w:r>
              <w:t>Patient</w:t>
            </w:r>
          </w:p>
          <w:p w14:paraId="58E86A64" w14:textId="77777777" w:rsidR="00DE2822" w:rsidRDefault="00DE2822" w:rsidP="00127BAD"/>
        </w:tc>
        <w:tc>
          <w:tcPr>
            <w:tcW w:w="1710" w:type="dxa"/>
            <w:shd w:val="clear" w:color="auto" w:fill="auto"/>
            <w:tcMar>
              <w:top w:w="0" w:type="dxa"/>
              <w:left w:w="108" w:type="dxa"/>
              <w:bottom w:w="0" w:type="dxa"/>
              <w:right w:w="108" w:type="dxa"/>
            </w:tcMar>
          </w:tcPr>
          <w:p w14:paraId="67465F35" w14:textId="7A9D1C49" w:rsidR="00DE2822" w:rsidRPr="00F46586" w:rsidRDefault="00DE2822" w:rsidP="009E5379">
            <w:r>
              <w:t>Stay Independent Fall Risk Screener</w:t>
            </w:r>
            <w:r w:rsidR="00C704C8">
              <w:t xml:space="preserve"> (Att. D)</w:t>
            </w:r>
          </w:p>
        </w:tc>
        <w:tc>
          <w:tcPr>
            <w:tcW w:w="1530" w:type="dxa"/>
            <w:shd w:val="clear" w:color="auto" w:fill="auto"/>
            <w:tcMar>
              <w:top w:w="0" w:type="dxa"/>
              <w:left w:w="108" w:type="dxa"/>
              <w:bottom w:w="0" w:type="dxa"/>
              <w:right w:w="108" w:type="dxa"/>
            </w:tcMar>
          </w:tcPr>
          <w:p w14:paraId="11BF6F24" w14:textId="4D804178" w:rsidR="00DE2822" w:rsidRPr="00BC2C6F" w:rsidRDefault="005668F1" w:rsidP="009E611B">
            <w:pPr>
              <w:jc w:val="center"/>
            </w:pPr>
            <w:r>
              <w:t>4,03</w:t>
            </w:r>
            <w:r w:rsidR="00B17A30">
              <w:t>5</w:t>
            </w:r>
          </w:p>
        </w:tc>
        <w:tc>
          <w:tcPr>
            <w:tcW w:w="1530" w:type="dxa"/>
          </w:tcPr>
          <w:p w14:paraId="7817675B" w14:textId="77777777" w:rsidR="00DE2822" w:rsidRDefault="00DE2822" w:rsidP="009E5379">
            <w:pPr>
              <w:jc w:val="center"/>
            </w:pPr>
            <w:r>
              <w:t>1</w:t>
            </w:r>
          </w:p>
        </w:tc>
        <w:tc>
          <w:tcPr>
            <w:tcW w:w="1350" w:type="dxa"/>
            <w:shd w:val="clear" w:color="auto" w:fill="auto"/>
            <w:tcMar>
              <w:top w:w="0" w:type="dxa"/>
              <w:left w:w="108" w:type="dxa"/>
              <w:bottom w:w="0" w:type="dxa"/>
              <w:right w:w="108" w:type="dxa"/>
            </w:tcMar>
          </w:tcPr>
          <w:p w14:paraId="34E4FF80" w14:textId="56D295FC" w:rsidR="00DE2822" w:rsidRDefault="005668F1" w:rsidP="00FA34E8">
            <w:pPr>
              <w:jc w:val="center"/>
            </w:pPr>
            <w:r>
              <w:t>6</w:t>
            </w:r>
            <w:r w:rsidR="00DE2822">
              <w:t>/60</w:t>
            </w:r>
          </w:p>
        </w:tc>
        <w:tc>
          <w:tcPr>
            <w:tcW w:w="1260" w:type="dxa"/>
          </w:tcPr>
          <w:p w14:paraId="502AABA3" w14:textId="77777777" w:rsidR="00DE2822" w:rsidRPr="00F46586" w:rsidRDefault="00DE2822" w:rsidP="009E5379">
            <w:pPr>
              <w:jc w:val="center"/>
              <w:rPr>
                <w:bCs/>
                <w:color w:val="000000"/>
              </w:rPr>
            </w:pPr>
            <w:r w:rsidRPr="00F46586">
              <w:rPr>
                <w:bCs/>
                <w:color w:val="000000"/>
              </w:rPr>
              <w:t>$24.34*</w:t>
            </w:r>
          </w:p>
        </w:tc>
        <w:tc>
          <w:tcPr>
            <w:tcW w:w="1080" w:type="dxa"/>
            <w:shd w:val="clear" w:color="auto" w:fill="auto"/>
            <w:tcMar>
              <w:top w:w="0" w:type="dxa"/>
              <w:left w:w="108" w:type="dxa"/>
              <w:bottom w:w="0" w:type="dxa"/>
              <w:right w:w="108" w:type="dxa"/>
            </w:tcMar>
          </w:tcPr>
          <w:p w14:paraId="100779C3" w14:textId="13D244A7" w:rsidR="00DE2822" w:rsidRDefault="00DE2822" w:rsidP="00B17A30">
            <w:pPr>
              <w:jc w:val="right"/>
            </w:pPr>
            <w:r>
              <w:t>$</w:t>
            </w:r>
            <w:r w:rsidR="005668F1">
              <w:t>9,</w:t>
            </w:r>
            <w:r w:rsidR="00B17A30">
              <w:t>821</w:t>
            </w:r>
          </w:p>
        </w:tc>
      </w:tr>
      <w:tr w:rsidR="00DE2822" w:rsidRPr="00F46586" w14:paraId="581DE7AF" w14:textId="77777777" w:rsidTr="007B0DC5">
        <w:tc>
          <w:tcPr>
            <w:tcW w:w="1957" w:type="dxa"/>
            <w:vMerge/>
            <w:vAlign w:val="center"/>
          </w:tcPr>
          <w:p w14:paraId="16C4CD1D" w14:textId="77777777" w:rsidR="00DE2822" w:rsidRPr="00F46586" w:rsidRDefault="00DE2822" w:rsidP="00127BAD"/>
        </w:tc>
        <w:tc>
          <w:tcPr>
            <w:tcW w:w="1710" w:type="dxa"/>
            <w:shd w:val="clear" w:color="auto" w:fill="auto"/>
            <w:tcMar>
              <w:top w:w="0" w:type="dxa"/>
              <w:left w:w="108" w:type="dxa"/>
              <w:bottom w:w="0" w:type="dxa"/>
              <w:right w:w="108" w:type="dxa"/>
            </w:tcMar>
          </w:tcPr>
          <w:p w14:paraId="16FD8F34" w14:textId="61FBB6CA" w:rsidR="00DE2822" w:rsidRPr="00F46586" w:rsidRDefault="00DE2822" w:rsidP="00050F5D">
            <w:r w:rsidRPr="00F46586">
              <w:t xml:space="preserve">Consent </w:t>
            </w:r>
            <w:r w:rsidR="00050F5D">
              <w:t>Form</w:t>
            </w:r>
            <w:r w:rsidR="00C704C8">
              <w:t xml:space="preserve"> (Att.</w:t>
            </w:r>
            <w:r w:rsidR="007E7FDC">
              <w:t xml:space="preserve"> </w:t>
            </w:r>
            <w:r w:rsidR="00C704C8">
              <w:t>C)</w:t>
            </w:r>
          </w:p>
        </w:tc>
        <w:tc>
          <w:tcPr>
            <w:tcW w:w="1530" w:type="dxa"/>
            <w:shd w:val="clear" w:color="auto" w:fill="auto"/>
            <w:tcMar>
              <w:top w:w="0" w:type="dxa"/>
              <w:left w:w="108" w:type="dxa"/>
              <w:bottom w:w="0" w:type="dxa"/>
              <w:right w:w="108" w:type="dxa"/>
            </w:tcMar>
          </w:tcPr>
          <w:p w14:paraId="186B842D" w14:textId="04A06B9A" w:rsidR="00DE2822" w:rsidRPr="00BC2C6F" w:rsidRDefault="00DE2822" w:rsidP="005668F1">
            <w:pPr>
              <w:jc w:val="center"/>
            </w:pPr>
            <w:r w:rsidRPr="00BC2C6F">
              <w:t>1,</w:t>
            </w:r>
            <w:r w:rsidR="005668F1">
              <w:t>23</w:t>
            </w:r>
            <w:r w:rsidR="00B17A30">
              <w:t>5</w:t>
            </w:r>
          </w:p>
        </w:tc>
        <w:tc>
          <w:tcPr>
            <w:tcW w:w="1530" w:type="dxa"/>
          </w:tcPr>
          <w:p w14:paraId="6FBA745B" w14:textId="77777777" w:rsidR="00DE2822" w:rsidRDefault="00DE2822" w:rsidP="009E5379">
            <w:pPr>
              <w:jc w:val="center"/>
            </w:pPr>
            <w:r>
              <w:t>1</w:t>
            </w:r>
          </w:p>
          <w:p w14:paraId="5F0EC83C" w14:textId="77777777" w:rsidR="00DE2822" w:rsidRPr="00F46586" w:rsidRDefault="00DE2822" w:rsidP="009E5379">
            <w:pPr>
              <w:jc w:val="center"/>
            </w:pPr>
          </w:p>
        </w:tc>
        <w:tc>
          <w:tcPr>
            <w:tcW w:w="1350" w:type="dxa"/>
            <w:shd w:val="clear" w:color="auto" w:fill="auto"/>
            <w:tcMar>
              <w:top w:w="0" w:type="dxa"/>
              <w:left w:w="108" w:type="dxa"/>
              <w:bottom w:w="0" w:type="dxa"/>
              <w:right w:w="108" w:type="dxa"/>
            </w:tcMar>
          </w:tcPr>
          <w:p w14:paraId="55248554" w14:textId="77777777" w:rsidR="00DE2822" w:rsidRPr="00F46586" w:rsidRDefault="00DE2822" w:rsidP="00FA34E8">
            <w:pPr>
              <w:jc w:val="center"/>
            </w:pPr>
            <w:r>
              <w:t>12/60</w:t>
            </w:r>
          </w:p>
        </w:tc>
        <w:tc>
          <w:tcPr>
            <w:tcW w:w="1260" w:type="dxa"/>
          </w:tcPr>
          <w:p w14:paraId="751BD80E" w14:textId="77777777" w:rsidR="00DE2822" w:rsidRPr="00F46586" w:rsidRDefault="00DE2822" w:rsidP="009E5379">
            <w:pPr>
              <w:jc w:val="center"/>
              <w:rPr>
                <w:bCs/>
                <w:color w:val="000000"/>
              </w:rPr>
            </w:pPr>
            <w:r w:rsidRPr="00F46586">
              <w:rPr>
                <w:bCs/>
                <w:color w:val="000000"/>
              </w:rPr>
              <w:t>$24.34*</w:t>
            </w:r>
          </w:p>
        </w:tc>
        <w:tc>
          <w:tcPr>
            <w:tcW w:w="1080" w:type="dxa"/>
            <w:shd w:val="clear" w:color="auto" w:fill="auto"/>
            <w:tcMar>
              <w:top w:w="0" w:type="dxa"/>
              <w:left w:w="108" w:type="dxa"/>
              <w:bottom w:w="0" w:type="dxa"/>
              <w:right w:w="108" w:type="dxa"/>
            </w:tcMar>
          </w:tcPr>
          <w:p w14:paraId="483C8A8B" w14:textId="194C9783" w:rsidR="00DE2822" w:rsidRDefault="00DE2822" w:rsidP="0012271D">
            <w:pPr>
              <w:jc w:val="right"/>
            </w:pPr>
            <w:r>
              <w:t>$6,</w:t>
            </w:r>
            <w:r w:rsidR="00B17A30">
              <w:t>012</w:t>
            </w:r>
          </w:p>
          <w:p w14:paraId="559BE145" w14:textId="77777777" w:rsidR="00DE2822" w:rsidRPr="00F46586" w:rsidRDefault="00DE2822" w:rsidP="0012271D">
            <w:pPr>
              <w:jc w:val="right"/>
            </w:pPr>
          </w:p>
        </w:tc>
      </w:tr>
      <w:tr w:rsidR="00DE2822" w:rsidRPr="00F46586" w14:paraId="0122A21D" w14:textId="77777777" w:rsidTr="007B0DC5">
        <w:tc>
          <w:tcPr>
            <w:tcW w:w="1957" w:type="dxa"/>
            <w:vMerge/>
          </w:tcPr>
          <w:p w14:paraId="0E4E19B1" w14:textId="77777777" w:rsidR="00DE2822" w:rsidRPr="00F46586" w:rsidRDefault="00DE2822" w:rsidP="009E5379"/>
        </w:tc>
        <w:tc>
          <w:tcPr>
            <w:tcW w:w="1710" w:type="dxa"/>
            <w:shd w:val="clear" w:color="auto" w:fill="auto"/>
            <w:tcMar>
              <w:top w:w="0" w:type="dxa"/>
              <w:left w:w="108" w:type="dxa"/>
              <w:bottom w:w="0" w:type="dxa"/>
              <w:right w:w="108" w:type="dxa"/>
            </w:tcMar>
          </w:tcPr>
          <w:p w14:paraId="653C4B1A" w14:textId="2A5D48A5" w:rsidR="00DE2822" w:rsidRPr="00F46586" w:rsidRDefault="00DE2822" w:rsidP="00050F5D">
            <w:r w:rsidRPr="00F46586">
              <w:t xml:space="preserve">Patient </w:t>
            </w:r>
            <w:r w:rsidR="00050F5D">
              <w:t xml:space="preserve"> </w:t>
            </w:r>
            <w:r w:rsidR="00050F5D" w:rsidRPr="00F46586">
              <w:t xml:space="preserve">Baseline </w:t>
            </w:r>
            <w:r w:rsidRPr="00F46586">
              <w:t xml:space="preserve">Survey </w:t>
            </w:r>
            <w:r w:rsidR="00C704C8">
              <w:t>(Att. B1)</w:t>
            </w:r>
          </w:p>
        </w:tc>
        <w:tc>
          <w:tcPr>
            <w:tcW w:w="1530" w:type="dxa"/>
            <w:shd w:val="clear" w:color="auto" w:fill="auto"/>
            <w:tcMar>
              <w:top w:w="0" w:type="dxa"/>
              <w:left w:w="108" w:type="dxa"/>
              <w:bottom w:w="0" w:type="dxa"/>
              <w:right w:w="108" w:type="dxa"/>
            </w:tcMar>
          </w:tcPr>
          <w:p w14:paraId="551A204D" w14:textId="57B8A36D" w:rsidR="00DE2822" w:rsidRPr="00BC2C6F" w:rsidRDefault="00DE2822" w:rsidP="005668F1">
            <w:pPr>
              <w:jc w:val="center"/>
            </w:pPr>
            <w:r w:rsidRPr="00BC2C6F">
              <w:t>1,00</w:t>
            </w:r>
            <w:r w:rsidR="00B17A30">
              <w:t>0</w:t>
            </w:r>
          </w:p>
        </w:tc>
        <w:tc>
          <w:tcPr>
            <w:tcW w:w="1530" w:type="dxa"/>
          </w:tcPr>
          <w:p w14:paraId="66560D7A" w14:textId="77777777" w:rsidR="00DE2822" w:rsidRPr="00F46586" w:rsidRDefault="00DE2822" w:rsidP="0012743C">
            <w:pPr>
              <w:jc w:val="center"/>
            </w:pPr>
            <w:r>
              <w:t>1</w:t>
            </w:r>
          </w:p>
        </w:tc>
        <w:tc>
          <w:tcPr>
            <w:tcW w:w="1350" w:type="dxa"/>
            <w:shd w:val="clear" w:color="auto" w:fill="auto"/>
            <w:tcMar>
              <w:top w:w="0" w:type="dxa"/>
              <w:left w:w="108" w:type="dxa"/>
              <w:bottom w:w="0" w:type="dxa"/>
              <w:right w:w="108" w:type="dxa"/>
            </w:tcMar>
          </w:tcPr>
          <w:p w14:paraId="0E4FE38E" w14:textId="77777777" w:rsidR="00DE2822" w:rsidRPr="00F46586" w:rsidRDefault="00DE2822" w:rsidP="0012743C">
            <w:pPr>
              <w:jc w:val="center"/>
            </w:pPr>
            <w:r>
              <w:t>15/60</w:t>
            </w:r>
          </w:p>
        </w:tc>
        <w:tc>
          <w:tcPr>
            <w:tcW w:w="1260" w:type="dxa"/>
          </w:tcPr>
          <w:p w14:paraId="29D97715" w14:textId="77777777" w:rsidR="00DE2822" w:rsidRPr="00F46586" w:rsidRDefault="00DE2822" w:rsidP="009E5379">
            <w:pPr>
              <w:jc w:val="center"/>
              <w:rPr>
                <w:bCs/>
              </w:rPr>
            </w:pPr>
            <w:r w:rsidRPr="00F46586">
              <w:rPr>
                <w:bCs/>
                <w:color w:val="000000"/>
              </w:rPr>
              <w:t>$24.34*</w:t>
            </w:r>
          </w:p>
        </w:tc>
        <w:tc>
          <w:tcPr>
            <w:tcW w:w="1080" w:type="dxa"/>
            <w:shd w:val="clear" w:color="auto" w:fill="auto"/>
            <w:tcMar>
              <w:top w:w="0" w:type="dxa"/>
              <w:left w:w="108" w:type="dxa"/>
              <w:bottom w:w="0" w:type="dxa"/>
              <w:right w:w="108" w:type="dxa"/>
            </w:tcMar>
          </w:tcPr>
          <w:p w14:paraId="16BA38D3" w14:textId="1B563671" w:rsidR="00DE2822" w:rsidRPr="00F46586" w:rsidRDefault="00DE2822" w:rsidP="00B17A30">
            <w:pPr>
              <w:jc w:val="right"/>
            </w:pPr>
            <w:r>
              <w:t>$6,</w:t>
            </w:r>
            <w:r w:rsidR="00B17A30">
              <w:t>085</w:t>
            </w:r>
          </w:p>
        </w:tc>
      </w:tr>
      <w:tr w:rsidR="00DE2822" w:rsidRPr="00F46586" w14:paraId="46AA18A2" w14:textId="77777777" w:rsidTr="007B0DC5">
        <w:tc>
          <w:tcPr>
            <w:tcW w:w="1957" w:type="dxa"/>
            <w:vMerge/>
          </w:tcPr>
          <w:p w14:paraId="28B1F380" w14:textId="77777777" w:rsidR="00DE2822" w:rsidRDefault="00DE2822" w:rsidP="009E5379"/>
        </w:tc>
        <w:tc>
          <w:tcPr>
            <w:tcW w:w="1710" w:type="dxa"/>
            <w:shd w:val="clear" w:color="auto" w:fill="auto"/>
            <w:tcMar>
              <w:top w:w="0" w:type="dxa"/>
              <w:left w:w="108" w:type="dxa"/>
              <w:bottom w:w="0" w:type="dxa"/>
              <w:right w:w="108" w:type="dxa"/>
            </w:tcMar>
          </w:tcPr>
          <w:p w14:paraId="4DD73B7C" w14:textId="4AA7A1FF" w:rsidR="00DE2822" w:rsidRPr="00F46586" w:rsidRDefault="00DE2822" w:rsidP="00050F5D">
            <w:r>
              <w:t xml:space="preserve">Patient </w:t>
            </w:r>
            <w:r w:rsidR="00050F5D">
              <w:t xml:space="preserve">Follow-up </w:t>
            </w:r>
            <w:r>
              <w:t>Survey</w:t>
            </w:r>
            <w:r w:rsidR="00C704C8">
              <w:t xml:space="preserve"> (Att. B2)</w:t>
            </w:r>
          </w:p>
        </w:tc>
        <w:tc>
          <w:tcPr>
            <w:tcW w:w="1530" w:type="dxa"/>
            <w:shd w:val="clear" w:color="auto" w:fill="auto"/>
            <w:tcMar>
              <w:top w:w="0" w:type="dxa"/>
              <w:left w:w="108" w:type="dxa"/>
              <w:bottom w:w="0" w:type="dxa"/>
              <w:right w:w="108" w:type="dxa"/>
            </w:tcMar>
          </w:tcPr>
          <w:p w14:paraId="5511DC0D" w14:textId="5573549B" w:rsidR="00DE2822" w:rsidRPr="00BC2C6F" w:rsidRDefault="005668F1" w:rsidP="005668F1">
            <w:pPr>
              <w:jc w:val="center"/>
            </w:pPr>
            <w:r w:rsidRPr="00BC2C6F">
              <w:t>89</w:t>
            </w:r>
            <w:r w:rsidR="00B17A30">
              <w:t>6</w:t>
            </w:r>
          </w:p>
        </w:tc>
        <w:tc>
          <w:tcPr>
            <w:tcW w:w="1530" w:type="dxa"/>
          </w:tcPr>
          <w:p w14:paraId="2933B258" w14:textId="77777777" w:rsidR="00DE2822" w:rsidRPr="00F46586" w:rsidRDefault="00DE2822" w:rsidP="0012743C">
            <w:pPr>
              <w:jc w:val="center"/>
            </w:pPr>
            <w:r>
              <w:t>3</w:t>
            </w:r>
          </w:p>
        </w:tc>
        <w:tc>
          <w:tcPr>
            <w:tcW w:w="1350" w:type="dxa"/>
            <w:shd w:val="clear" w:color="auto" w:fill="auto"/>
            <w:tcMar>
              <w:top w:w="0" w:type="dxa"/>
              <w:left w:w="108" w:type="dxa"/>
              <w:bottom w:w="0" w:type="dxa"/>
              <w:right w:w="108" w:type="dxa"/>
            </w:tcMar>
          </w:tcPr>
          <w:p w14:paraId="3F4DA8B8" w14:textId="77777777" w:rsidR="00DE2822" w:rsidRPr="00F46586" w:rsidRDefault="00DE2822" w:rsidP="0012743C">
            <w:pPr>
              <w:jc w:val="center"/>
            </w:pPr>
            <w:r>
              <w:rPr>
                <w:bCs/>
                <w:color w:val="000000"/>
              </w:rPr>
              <w:t>15/60</w:t>
            </w:r>
          </w:p>
        </w:tc>
        <w:tc>
          <w:tcPr>
            <w:tcW w:w="1260" w:type="dxa"/>
          </w:tcPr>
          <w:p w14:paraId="214E7103" w14:textId="77777777" w:rsidR="00DE2822" w:rsidRPr="00F46586" w:rsidRDefault="00DE2822" w:rsidP="009E5379">
            <w:pPr>
              <w:jc w:val="center"/>
              <w:rPr>
                <w:bCs/>
                <w:color w:val="000000"/>
              </w:rPr>
            </w:pPr>
            <w:r>
              <w:rPr>
                <w:bCs/>
                <w:color w:val="000000"/>
              </w:rPr>
              <w:t>$24.34*</w:t>
            </w:r>
          </w:p>
        </w:tc>
        <w:tc>
          <w:tcPr>
            <w:tcW w:w="1080" w:type="dxa"/>
            <w:shd w:val="clear" w:color="auto" w:fill="auto"/>
            <w:tcMar>
              <w:top w:w="0" w:type="dxa"/>
              <w:left w:w="108" w:type="dxa"/>
              <w:bottom w:w="0" w:type="dxa"/>
              <w:right w:w="108" w:type="dxa"/>
            </w:tcMar>
          </w:tcPr>
          <w:p w14:paraId="59525595" w14:textId="3D65BC91" w:rsidR="00DE2822" w:rsidRPr="00F46586" w:rsidRDefault="00DE2822" w:rsidP="00B17A30">
            <w:pPr>
              <w:jc w:val="right"/>
            </w:pPr>
            <w:r>
              <w:t>$16,</w:t>
            </w:r>
            <w:r w:rsidR="00B17A30">
              <w:t>356</w:t>
            </w:r>
          </w:p>
        </w:tc>
      </w:tr>
      <w:tr w:rsidR="00127BAD" w:rsidRPr="00F46586" w14:paraId="16151E6F" w14:textId="77777777" w:rsidTr="007B0DC5">
        <w:tc>
          <w:tcPr>
            <w:tcW w:w="1957" w:type="dxa"/>
          </w:tcPr>
          <w:p w14:paraId="0071CC53" w14:textId="7981B87D" w:rsidR="009C5151" w:rsidRDefault="008B618B" w:rsidP="009C5151">
            <w:r>
              <w:t>79</w:t>
            </w:r>
            <w:r w:rsidR="009C5151">
              <w:t>Physician/Physician Assistant/Nurse Practitioner</w:t>
            </w:r>
          </w:p>
          <w:p w14:paraId="28B8300B" w14:textId="77777777" w:rsidR="00127BAD" w:rsidRDefault="00127BAD" w:rsidP="00B4703E"/>
        </w:tc>
        <w:tc>
          <w:tcPr>
            <w:tcW w:w="1710" w:type="dxa"/>
            <w:shd w:val="clear" w:color="auto" w:fill="auto"/>
            <w:tcMar>
              <w:top w:w="0" w:type="dxa"/>
              <w:left w:w="108" w:type="dxa"/>
              <w:bottom w:w="0" w:type="dxa"/>
              <w:right w:w="108" w:type="dxa"/>
            </w:tcMar>
          </w:tcPr>
          <w:p w14:paraId="3D17F010" w14:textId="31ACFF91" w:rsidR="00127BAD" w:rsidRDefault="0088342E" w:rsidP="00B4703E">
            <w:r>
              <w:t xml:space="preserve">Provider  </w:t>
            </w:r>
            <w:r w:rsidR="00127BAD">
              <w:t>Interview</w:t>
            </w:r>
            <w:r w:rsidR="00D04A30">
              <w:t xml:space="preserve"> </w:t>
            </w:r>
            <w:r w:rsidR="00210594">
              <w:t>Guide</w:t>
            </w:r>
            <w:r w:rsidR="009C5151">
              <w:t>/Consent</w:t>
            </w:r>
            <w:r w:rsidR="00C704C8">
              <w:t xml:space="preserve"> (Att. E1)</w:t>
            </w:r>
          </w:p>
        </w:tc>
        <w:tc>
          <w:tcPr>
            <w:tcW w:w="1530" w:type="dxa"/>
            <w:shd w:val="clear" w:color="auto" w:fill="auto"/>
            <w:tcMar>
              <w:top w:w="0" w:type="dxa"/>
              <w:left w:w="108" w:type="dxa"/>
              <w:bottom w:w="0" w:type="dxa"/>
              <w:right w:w="108" w:type="dxa"/>
            </w:tcMar>
          </w:tcPr>
          <w:p w14:paraId="5A616187" w14:textId="77777777" w:rsidR="00127BAD" w:rsidRPr="00BC2C6F" w:rsidRDefault="009E611B" w:rsidP="009E5379">
            <w:pPr>
              <w:jc w:val="center"/>
            </w:pPr>
            <w:r w:rsidRPr="00BC2C6F">
              <w:t>3</w:t>
            </w:r>
          </w:p>
        </w:tc>
        <w:tc>
          <w:tcPr>
            <w:tcW w:w="1530" w:type="dxa"/>
          </w:tcPr>
          <w:p w14:paraId="64E753C1" w14:textId="77777777" w:rsidR="00127BAD" w:rsidRDefault="00CD3BBE" w:rsidP="009E5379">
            <w:pPr>
              <w:jc w:val="center"/>
            </w:pPr>
            <w:r>
              <w:t>1</w:t>
            </w:r>
          </w:p>
        </w:tc>
        <w:tc>
          <w:tcPr>
            <w:tcW w:w="1350" w:type="dxa"/>
            <w:shd w:val="clear" w:color="auto" w:fill="auto"/>
            <w:tcMar>
              <w:top w:w="0" w:type="dxa"/>
              <w:left w:w="108" w:type="dxa"/>
              <w:bottom w:w="0" w:type="dxa"/>
              <w:right w:w="108" w:type="dxa"/>
            </w:tcMar>
          </w:tcPr>
          <w:p w14:paraId="1984F98B" w14:textId="67A9A12B" w:rsidR="00127BAD" w:rsidRDefault="00B029A3" w:rsidP="009E5379">
            <w:pPr>
              <w:jc w:val="center"/>
            </w:pPr>
            <w:r>
              <w:t>50</w:t>
            </w:r>
            <w:r w:rsidR="00B53733">
              <w:t>/60</w:t>
            </w:r>
          </w:p>
        </w:tc>
        <w:tc>
          <w:tcPr>
            <w:tcW w:w="1260" w:type="dxa"/>
          </w:tcPr>
          <w:p w14:paraId="1D660897" w14:textId="77777777" w:rsidR="00127BAD" w:rsidRPr="00F46586" w:rsidRDefault="005B28BB" w:rsidP="003747DD">
            <w:pPr>
              <w:jc w:val="center"/>
              <w:rPr>
                <w:bCs/>
              </w:rPr>
            </w:pPr>
            <w:r>
              <w:rPr>
                <w:bCs/>
              </w:rPr>
              <w:t>$101.63</w:t>
            </w:r>
          </w:p>
        </w:tc>
        <w:tc>
          <w:tcPr>
            <w:tcW w:w="1080" w:type="dxa"/>
            <w:shd w:val="clear" w:color="auto" w:fill="auto"/>
            <w:tcMar>
              <w:top w:w="0" w:type="dxa"/>
              <w:left w:w="108" w:type="dxa"/>
              <w:bottom w:w="0" w:type="dxa"/>
              <w:right w:w="108" w:type="dxa"/>
            </w:tcMar>
          </w:tcPr>
          <w:p w14:paraId="6E643A15" w14:textId="0E603C42" w:rsidR="00127BAD" w:rsidRPr="00F46586" w:rsidRDefault="004E47E3" w:rsidP="00B029A3">
            <w:pPr>
              <w:jc w:val="right"/>
            </w:pPr>
            <w:r>
              <w:t>$</w:t>
            </w:r>
            <w:r w:rsidR="00B53733">
              <w:t>2</w:t>
            </w:r>
            <w:r w:rsidR="00B029A3">
              <w:t>54</w:t>
            </w:r>
          </w:p>
        </w:tc>
      </w:tr>
      <w:tr w:rsidR="009C5151" w:rsidRPr="00F46586" w14:paraId="46784A84" w14:textId="77777777" w:rsidTr="007B0DC5">
        <w:tc>
          <w:tcPr>
            <w:tcW w:w="1957" w:type="dxa"/>
            <w:vAlign w:val="center"/>
          </w:tcPr>
          <w:p w14:paraId="433D43E4" w14:textId="77777777" w:rsidR="009C5151" w:rsidRDefault="009C5151" w:rsidP="009C5151">
            <w:r>
              <w:t>Clinic operations Manager</w:t>
            </w:r>
          </w:p>
          <w:p w14:paraId="20626B2E" w14:textId="77777777" w:rsidR="009C5151" w:rsidRDefault="009C5151" w:rsidP="009C5151"/>
        </w:tc>
        <w:tc>
          <w:tcPr>
            <w:tcW w:w="1710" w:type="dxa"/>
            <w:shd w:val="clear" w:color="auto" w:fill="auto"/>
            <w:tcMar>
              <w:top w:w="0" w:type="dxa"/>
              <w:left w:w="108" w:type="dxa"/>
              <w:bottom w:w="0" w:type="dxa"/>
              <w:right w:w="108" w:type="dxa"/>
            </w:tcMar>
          </w:tcPr>
          <w:p w14:paraId="7AB68605" w14:textId="45936694" w:rsidR="009C5151" w:rsidRDefault="009C5151" w:rsidP="009C5151">
            <w:r>
              <w:t>Operations Manager Interview Guide/Consent</w:t>
            </w:r>
            <w:r w:rsidR="00C704C8">
              <w:t xml:space="preserve"> (Att. E2)</w:t>
            </w:r>
          </w:p>
        </w:tc>
        <w:tc>
          <w:tcPr>
            <w:tcW w:w="1530" w:type="dxa"/>
            <w:shd w:val="clear" w:color="auto" w:fill="auto"/>
            <w:tcMar>
              <w:top w:w="0" w:type="dxa"/>
              <w:left w:w="108" w:type="dxa"/>
              <w:bottom w:w="0" w:type="dxa"/>
              <w:right w:w="108" w:type="dxa"/>
            </w:tcMar>
          </w:tcPr>
          <w:p w14:paraId="47406481" w14:textId="77777777" w:rsidR="009C5151" w:rsidRPr="00BC2C6F" w:rsidRDefault="009C5151" w:rsidP="009C5151">
            <w:pPr>
              <w:jc w:val="center"/>
            </w:pPr>
            <w:r w:rsidRPr="00BC2C6F">
              <w:t>2</w:t>
            </w:r>
          </w:p>
        </w:tc>
        <w:tc>
          <w:tcPr>
            <w:tcW w:w="1530" w:type="dxa"/>
          </w:tcPr>
          <w:p w14:paraId="0C5C77EB" w14:textId="77777777" w:rsidR="009C5151" w:rsidRDefault="009C5151" w:rsidP="009C5151">
            <w:pPr>
              <w:jc w:val="center"/>
            </w:pPr>
            <w:r>
              <w:t>1</w:t>
            </w:r>
          </w:p>
        </w:tc>
        <w:tc>
          <w:tcPr>
            <w:tcW w:w="1350" w:type="dxa"/>
            <w:shd w:val="clear" w:color="auto" w:fill="auto"/>
            <w:tcMar>
              <w:top w:w="0" w:type="dxa"/>
              <w:left w:w="108" w:type="dxa"/>
              <w:bottom w:w="0" w:type="dxa"/>
              <w:right w:w="108" w:type="dxa"/>
            </w:tcMar>
          </w:tcPr>
          <w:p w14:paraId="527117AF" w14:textId="655BF909" w:rsidR="009C5151" w:rsidRDefault="00B029A3" w:rsidP="009C5151">
            <w:pPr>
              <w:jc w:val="center"/>
            </w:pPr>
            <w:r>
              <w:t>50</w:t>
            </w:r>
            <w:r w:rsidR="00B53733">
              <w:t>/60</w:t>
            </w:r>
          </w:p>
        </w:tc>
        <w:tc>
          <w:tcPr>
            <w:tcW w:w="1260" w:type="dxa"/>
          </w:tcPr>
          <w:p w14:paraId="57A67FF2" w14:textId="77777777" w:rsidR="009C5151" w:rsidRPr="00F46586" w:rsidRDefault="009C5151" w:rsidP="009C5151">
            <w:pPr>
              <w:jc w:val="center"/>
              <w:rPr>
                <w:bCs/>
              </w:rPr>
            </w:pPr>
            <w:r>
              <w:rPr>
                <w:bCs/>
              </w:rPr>
              <w:t>$47.29</w:t>
            </w:r>
          </w:p>
        </w:tc>
        <w:tc>
          <w:tcPr>
            <w:tcW w:w="1080" w:type="dxa"/>
            <w:shd w:val="clear" w:color="auto" w:fill="auto"/>
            <w:tcMar>
              <w:top w:w="0" w:type="dxa"/>
              <w:left w:w="108" w:type="dxa"/>
              <w:bottom w:w="0" w:type="dxa"/>
              <w:right w:w="108" w:type="dxa"/>
            </w:tcMar>
          </w:tcPr>
          <w:p w14:paraId="29874BEB" w14:textId="52775690" w:rsidR="009C5151" w:rsidRPr="00F46586" w:rsidRDefault="009C5151" w:rsidP="009C5151">
            <w:pPr>
              <w:jc w:val="right"/>
            </w:pPr>
            <w:r>
              <w:t>$</w:t>
            </w:r>
            <w:r w:rsidR="00D35350">
              <w:t>7</w:t>
            </w:r>
            <w:r w:rsidR="00B029A3">
              <w:t>9</w:t>
            </w:r>
          </w:p>
        </w:tc>
      </w:tr>
      <w:tr w:rsidR="009C5151" w:rsidRPr="00F46586" w14:paraId="74948DBF" w14:textId="77777777" w:rsidTr="007B0DC5">
        <w:tc>
          <w:tcPr>
            <w:tcW w:w="1957" w:type="dxa"/>
          </w:tcPr>
          <w:p w14:paraId="0FCF831F" w14:textId="77777777" w:rsidR="009C5151" w:rsidRPr="00F46586" w:rsidRDefault="009C5151" w:rsidP="009C5151">
            <w:pPr>
              <w:rPr>
                <w:b/>
              </w:rPr>
            </w:pPr>
          </w:p>
        </w:tc>
        <w:tc>
          <w:tcPr>
            <w:tcW w:w="1710" w:type="dxa"/>
            <w:shd w:val="clear" w:color="auto" w:fill="auto"/>
            <w:tcMar>
              <w:top w:w="0" w:type="dxa"/>
              <w:left w:w="108" w:type="dxa"/>
              <w:bottom w:w="0" w:type="dxa"/>
              <w:right w:w="108" w:type="dxa"/>
            </w:tcMar>
          </w:tcPr>
          <w:p w14:paraId="26E5F595" w14:textId="77777777" w:rsidR="009C5151" w:rsidRPr="00F46586" w:rsidRDefault="009C5151" w:rsidP="009C5151">
            <w:pPr>
              <w:rPr>
                <w:b/>
              </w:rPr>
            </w:pPr>
            <w:r w:rsidRPr="00F46586">
              <w:rPr>
                <w:b/>
              </w:rPr>
              <w:t>Total</w:t>
            </w:r>
          </w:p>
        </w:tc>
        <w:tc>
          <w:tcPr>
            <w:tcW w:w="1530" w:type="dxa"/>
            <w:shd w:val="clear" w:color="auto" w:fill="auto"/>
            <w:tcMar>
              <w:top w:w="0" w:type="dxa"/>
              <w:left w:w="108" w:type="dxa"/>
              <w:bottom w:w="0" w:type="dxa"/>
              <w:right w:w="108" w:type="dxa"/>
            </w:tcMar>
            <w:vAlign w:val="center"/>
          </w:tcPr>
          <w:p w14:paraId="5F0B2D3E" w14:textId="77777777" w:rsidR="009C5151" w:rsidRPr="00F46586" w:rsidRDefault="009C5151" w:rsidP="009C5151">
            <w:pPr>
              <w:jc w:val="center"/>
              <w:rPr>
                <w:b/>
              </w:rPr>
            </w:pPr>
          </w:p>
        </w:tc>
        <w:tc>
          <w:tcPr>
            <w:tcW w:w="1530" w:type="dxa"/>
          </w:tcPr>
          <w:p w14:paraId="4AD394BD" w14:textId="77777777" w:rsidR="009C5151" w:rsidRDefault="009C5151" w:rsidP="009C5151">
            <w:pPr>
              <w:jc w:val="center"/>
              <w:rPr>
                <w:b/>
                <w:bCs/>
                <w:color w:val="000000"/>
              </w:rPr>
            </w:pPr>
          </w:p>
        </w:tc>
        <w:tc>
          <w:tcPr>
            <w:tcW w:w="1350" w:type="dxa"/>
            <w:shd w:val="clear" w:color="auto" w:fill="auto"/>
            <w:tcMar>
              <w:top w:w="0" w:type="dxa"/>
              <w:left w:w="108" w:type="dxa"/>
              <w:bottom w:w="0" w:type="dxa"/>
              <w:right w:w="108" w:type="dxa"/>
            </w:tcMar>
            <w:vAlign w:val="center"/>
          </w:tcPr>
          <w:p w14:paraId="31FE021C" w14:textId="77777777" w:rsidR="009C5151" w:rsidRPr="00F46586" w:rsidRDefault="009C5151" w:rsidP="009C5151">
            <w:pPr>
              <w:jc w:val="center"/>
              <w:rPr>
                <w:b/>
              </w:rPr>
            </w:pPr>
          </w:p>
        </w:tc>
        <w:tc>
          <w:tcPr>
            <w:tcW w:w="1260" w:type="dxa"/>
            <w:vAlign w:val="center"/>
          </w:tcPr>
          <w:p w14:paraId="78A3B1C7" w14:textId="77777777" w:rsidR="009C5151" w:rsidRPr="00F46586" w:rsidRDefault="009C5151" w:rsidP="009C5151">
            <w:pPr>
              <w:jc w:val="center"/>
              <w:rPr>
                <w:b/>
                <w:bCs/>
              </w:rPr>
            </w:pPr>
          </w:p>
        </w:tc>
        <w:tc>
          <w:tcPr>
            <w:tcW w:w="1080" w:type="dxa"/>
            <w:shd w:val="clear" w:color="auto" w:fill="auto"/>
            <w:tcMar>
              <w:top w:w="0" w:type="dxa"/>
              <w:left w:w="108" w:type="dxa"/>
              <w:bottom w:w="0" w:type="dxa"/>
              <w:right w:w="108" w:type="dxa"/>
            </w:tcMar>
            <w:vAlign w:val="center"/>
          </w:tcPr>
          <w:p w14:paraId="3AE815AE" w14:textId="70702D52" w:rsidR="009C5151" w:rsidRPr="00F46586" w:rsidRDefault="009C5151" w:rsidP="00B029A3">
            <w:pPr>
              <w:jc w:val="right"/>
              <w:rPr>
                <w:b/>
              </w:rPr>
            </w:pPr>
            <w:r>
              <w:rPr>
                <w:b/>
                <w:bCs/>
                <w:color w:val="000000"/>
              </w:rPr>
              <w:t>$</w:t>
            </w:r>
            <w:r w:rsidR="008B618B">
              <w:rPr>
                <w:b/>
                <w:bCs/>
                <w:color w:val="000000"/>
              </w:rPr>
              <w:t>38,607</w:t>
            </w:r>
          </w:p>
        </w:tc>
      </w:tr>
    </w:tbl>
    <w:p w14:paraId="020EDAEA" w14:textId="77777777" w:rsidR="00CD6F6E" w:rsidRPr="002F3500" w:rsidRDefault="00B51378" w:rsidP="00B8351D">
      <w:pPr>
        <w:rPr>
          <w:sz w:val="20"/>
          <w:szCs w:val="20"/>
        </w:rPr>
      </w:pPr>
      <w:r w:rsidRPr="002F3500">
        <w:rPr>
          <w:sz w:val="20"/>
          <w:szCs w:val="20"/>
        </w:rPr>
        <w:t>*</w:t>
      </w:r>
      <w:bookmarkStart w:id="57" w:name="_Toc151782188"/>
      <w:bookmarkStart w:id="58" w:name="_Toc158526228"/>
      <w:r w:rsidR="00CD6F6E" w:rsidRPr="002F3500">
        <w:rPr>
          <w:sz w:val="20"/>
          <w:szCs w:val="20"/>
        </w:rPr>
        <w:t xml:space="preserve"> Average hourly wage rate calculated using mean wages for </w:t>
      </w:r>
      <w:r w:rsidR="00CD6F6E" w:rsidRPr="002F3500">
        <w:rPr>
          <w:i/>
          <w:sz w:val="20"/>
          <w:szCs w:val="20"/>
        </w:rPr>
        <w:t>00-0000 All Occupations</w:t>
      </w:r>
      <w:r w:rsidR="00CD6F6E" w:rsidRPr="002F3500">
        <w:rPr>
          <w:sz w:val="20"/>
          <w:szCs w:val="20"/>
        </w:rPr>
        <w:t xml:space="preserve"> from the National Compensation Survey: Occupational wages in the United States May </w:t>
      </w:r>
      <w:r w:rsidR="00B8351D" w:rsidRPr="002F3500">
        <w:rPr>
          <w:sz w:val="20"/>
          <w:szCs w:val="20"/>
        </w:rPr>
        <w:t xml:space="preserve">2017 </w:t>
      </w:r>
      <w:r w:rsidR="00CD6F6E" w:rsidRPr="002F3500">
        <w:rPr>
          <w:sz w:val="20"/>
          <w:szCs w:val="20"/>
        </w:rPr>
        <w:t xml:space="preserve">“U.S. Department of Labor, Bureau of Labor Statistics:” </w:t>
      </w:r>
      <w:hyperlink r:id="rId15" w:history="1">
        <w:r w:rsidR="00E4324F" w:rsidRPr="002F3500">
          <w:rPr>
            <w:rStyle w:val="Hyperlink"/>
            <w:sz w:val="20"/>
            <w:szCs w:val="20"/>
          </w:rPr>
          <w:t>018</w:t>
        </w:r>
      </w:hyperlink>
      <w:r w:rsidR="00CD6F6E" w:rsidRPr="002F3500">
        <w:rPr>
          <w:sz w:val="20"/>
          <w:szCs w:val="20"/>
        </w:rPr>
        <w:t xml:space="preserve">. </w:t>
      </w:r>
    </w:p>
    <w:p w14:paraId="0EF106AC" w14:textId="77777777" w:rsidR="005B28BB" w:rsidRPr="002F3500" w:rsidRDefault="005B28BB" w:rsidP="00CD6F6E">
      <w:pPr>
        <w:rPr>
          <w:sz w:val="20"/>
          <w:szCs w:val="20"/>
        </w:rPr>
      </w:pPr>
    </w:p>
    <w:p w14:paraId="4F99A8C9" w14:textId="77777777" w:rsidR="009B633D" w:rsidRPr="00F46586" w:rsidRDefault="00B95F8A" w:rsidP="00CD6F6E">
      <w:pPr>
        <w:pStyle w:val="Heading2"/>
        <w:rPr>
          <w:rFonts w:ascii="Times New Roman" w:hAnsi="Times New Roman" w:cs="Times New Roman"/>
          <w:i w:val="0"/>
          <w:sz w:val="24"/>
          <w:szCs w:val="24"/>
        </w:rPr>
      </w:pPr>
      <w:bookmarkStart w:id="59" w:name="_Toc2085395"/>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13. </w:t>
      </w:r>
      <w:r w:rsidR="00B11182" w:rsidRPr="00F46586">
        <w:rPr>
          <w:rFonts w:ascii="Times New Roman" w:eastAsiaTheme="minorEastAsia" w:hAnsi="Times New Roman" w:cs="Times New Roman"/>
          <w:i w:val="0"/>
          <w:sz w:val="24"/>
          <w:szCs w:val="24"/>
        </w:rPr>
        <w:t>Estimates of Other Total Annual Cost Burden to Respondents and Record Keepers</w:t>
      </w:r>
      <w:bookmarkEnd w:id="57"/>
      <w:bookmarkEnd w:id="58"/>
      <w:bookmarkEnd w:id="59"/>
    </w:p>
    <w:p w14:paraId="54ED0F9E" w14:textId="77777777" w:rsidR="00E14FC3" w:rsidRPr="00F46586" w:rsidRDefault="00B762E0" w:rsidP="00C205C8">
      <w:pPr>
        <w:spacing w:before="120"/>
      </w:pPr>
      <w:r w:rsidRPr="00F46586">
        <w:t xml:space="preserve">Capital and maintenance costs include the purchase of </w:t>
      </w:r>
      <w:r w:rsidR="00C205C8" w:rsidRPr="00F46586">
        <w:t xml:space="preserve">equipment, </w:t>
      </w:r>
      <w:r w:rsidRPr="00F46586">
        <w:t>computer</w:t>
      </w:r>
      <w:r w:rsidR="00C205C8" w:rsidRPr="00F46586">
        <w:t>s or computer software or services, or storage facilities for records, as a result of complying with this data collection.</w:t>
      </w:r>
      <w:r w:rsidR="00C205C8" w:rsidRPr="00F46586">
        <w:rPr>
          <w:i/>
        </w:rPr>
        <w:t xml:space="preserve"> </w:t>
      </w:r>
      <w:r w:rsidR="00C205C8" w:rsidRPr="00F46586">
        <w:t>T</w:t>
      </w:r>
      <w:r w:rsidR="0080612B" w:rsidRPr="00F46586">
        <w:t xml:space="preserve">here are no direct costs to respondents other than their time to participate in the </w:t>
      </w:r>
      <w:r w:rsidR="003B6873" w:rsidRPr="00F46586">
        <w:t>project</w:t>
      </w:r>
      <w:r w:rsidR="0080612B" w:rsidRPr="00F46586">
        <w:t>.</w:t>
      </w:r>
    </w:p>
    <w:p w14:paraId="257D101E" w14:textId="77777777" w:rsidR="009B633D" w:rsidRPr="00F46586" w:rsidRDefault="002F7E51" w:rsidP="009B633D">
      <w:pPr>
        <w:pStyle w:val="Heading2"/>
        <w:rPr>
          <w:rFonts w:ascii="Times New Roman" w:hAnsi="Times New Roman" w:cs="Times New Roman"/>
          <w:i w:val="0"/>
          <w:sz w:val="24"/>
          <w:szCs w:val="24"/>
        </w:rPr>
      </w:pPr>
      <w:bookmarkStart w:id="60" w:name="_Toc58725299"/>
      <w:bookmarkStart w:id="61" w:name="_Toc151782189"/>
      <w:bookmarkStart w:id="62" w:name="_Toc158526229"/>
      <w:bookmarkStart w:id="63" w:name="_Toc2085396"/>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14. </w:t>
      </w:r>
      <w:r w:rsidR="00B11182" w:rsidRPr="00F46586">
        <w:rPr>
          <w:rFonts w:ascii="Times New Roman" w:eastAsiaTheme="minorEastAsia" w:hAnsi="Times New Roman" w:cs="Times New Roman"/>
          <w:i w:val="0"/>
          <w:sz w:val="24"/>
          <w:szCs w:val="24"/>
        </w:rPr>
        <w:t>Annualized Cost to the Federal Government</w:t>
      </w:r>
      <w:bookmarkEnd w:id="60"/>
      <w:bookmarkEnd w:id="61"/>
      <w:bookmarkEnd w:id="62"/>
      <w:bookmarkEnd w:id="63"/>
    </w:p>
    <w:p w14:paraId="49E02212" w14:textId="77777777" w:rsidR="00171872" w:rsidRPr="00F46586" w:rsidRDefault="00D65730" w:rsidP="00171872">
      <w:pPr>
        <w:pStyle w:val="BodyText2"/>
        <w:spacing w:line="240" w:lineRule="auto"/>
      </w:pPr>
      <w:bookmarkStart w:id="64" w:name="_Toc151782190"/>
      <w:bookmarkStart w:id="65" w:name="_Toc158526230"/>
      <w:r w:rsidRPr="00F46586">
        <w:t xml:space="preserve">It will take three years to conduct this data collection under contract HHSD2002013M5395.  The total cost to the government </w:t>
      </w:r>
      <w:r w:rsidR="00401B28">
        <w:t xml:space="preserve">over 3 years </w:t>
      </w:r>
      <w:r w:rsidRPr="00F46586">
        <w:t>will be $</w:t>
      </w:r>
      <w:r w:rsidR="00C506CA">
        <w:t>1,120,685</w:t>
      </w:r>
      <w:r w:rsidRPr="00F46586">
        <w:t>. The annualized cost to the government will be $</w:t>
      </w:r>
      <w:r w:rsidR="00C506CA">
        <w:t>373,562</w:t>
      </w:r>
      <w:r w:rsidRPr="00F46586">
        <w:t xml:space="preserve">. </w:t>
      </w:r>
      <w:r w:rsidR="003146B4" w:rsidRPr="00F46586">
        <w:t>(</w:t>
      </w:r>
      <w:r w:rsidR="00270B39" w:rsidRPr="00F46586">
        <w:t>Table</w:t>
      </w:r>
      <w:r w:rsidR="00D57118" w:rsidRPr="00F46586">
        <w:t xml:space="preserve"> </w:t>
      </w:r>
      <w:r w:rsidR="00633677" w:rsidRPr="00F46586">
        <w:t>A.</w:t>
      </w:r>
      <w:r w:rsidR="003146B4" w:rsidRPr="00F46586">
        <w:t>1</w:t>
      </w:r>
      <w:r w:rsidR="00270B39" w:rsidRPr="00F46586">
        <w:t>4</w:t>
      </w:r>
      <w:r w:rsidR="003146B4" w:rsidRPr="00F46586">
        <w:t>.1)</w:t>
      </w:r>
      <w:r w:rsidR="00D57118" w:rsidRPr="00F46586">
        <w:t>.</w:t>
      </w:r>
      <w:r w:rsidR="003146B4" w:rsidRPr="00F46586">
        <w:t>This includes $</w:t>
      </w:r>
      <w:r w:rsidR="00C506CA">
        <w:t>358,562</w:t>
      </w:r>
      <w:r w:rsidR="00C506CA" w:rsidRPr="00F46586">
        <w:t xml:space="preserve"> </w:t>
      </w:r>
      <w:r w:rsidR="003146B4" w:rsidRPr="00F46586">
        <w:t xml:space="preserve">in contract costs annually and $15,000 in other federal costs, including salary, fringe, travel, and supply expenses related to the involvement of </w:t>
      </w:r>
      <w:r w:rsidR="003146B4" w:rsidRPr="007B221D">
        <w:t>two</w:t>
      </w:r>
      <w:r w:rsidR="003146B4" w:rsidRPr="00F46586">
        <w:t xml:space="preserve"> federal employees to devote 5% FTE to the project.</w:t>
      </w:r>
    </w:p>
    <w:p w14:paraId="3687D7D8" w14:textId="77777777" w:rsidR="00D65943" w:rsidRPr="00F46586" w:rsidRDefault="00D65943" w:rsidP="00012FB9">
      <w:pPr>
        <w:rPr>
          <w:b/>
          <w:bCs/>
          <w:color w:val="000000"/>
        </w:rPr>
      </w:pPr>
    </w:p>
    <w:p w14:paraId="14704201" w14:textId="77777777" w:rsidR="0076335A" w:rsidRPr="00F46586" w:rsidRDefault="00C506CA" w:rsidP="00980528">
      <w:r>
        <w:t>Table A.14.1 Total Annualized Cost</w:t>
      </w:r>
    </w:p>
    <w:tbl>
      <w:tblPr>
        <w:tblStyle w:val="TableGrid"/>
        <w:tblW w:w="0" w:type="auto"/>
        <w:tblLook w:val="04A0" w:firstRow="1" w:lastRow="0" w:firstColumn="1" w:lastColumn="0" w:noHBand="0" w:noVBand="1"/>
      </w:tblPr>
      <w:tblGrid>
        <w:gridCol w:w="2876"/>
        <w:gridCol w:w="2877"/>
        <w:gridCol w:w="2877"/>
      </w:tblGrid>
      <w:tr w:rsidR="00D65730" w:rsidRPr="00F46586" w14:paraId="7FCAC4F4" w14:textId="77777777" w:rsidTr="00D65730">
        <w:tc>
          <w:tcPr>
            <w:tcW w:w="2876" w:type="dxa"/>
          </w:tcPr>
          <w:p w14:paraId="31A0CD3F" w14:textId="77777777" w:rsidR="00D65730" w:rsidRPr="00F46586" w:rsidRDefault="00D65730" w:rsidP="00980528">
            <w:r w:rsidRPr="00F46586">
              <w:t>Type of Cost</w:t>
            </w:r>
          </w:p>
        </w:tc>
        <w:tc>
          <w:tcPr>
            <w:tcW w:w="2877" w:type="dxa"/>
          </w:tcPr>
          <w:p w14:paraId="00EEBC2A" w14:textId="77777777" w:rsidR="00D65730" w:rsidRPr="00F46586" w:rsidRDefault="00D65730" w:rsidP="00980528">
            <w:r w:rsidRPr="00F46586">
              <w:t>Description of Services</w:t>
            </w:r>
          </w:p>
        </w:tc>
        <w:tc>
          <w:tcPr>
            <w:tcW w:w="2877" w:type="dxa"/>
          </w:tcPr>
          <w:p w14:paraId="61B5354D" w14:textId="77777777" w:rsidR="00D65730" w:rsidRPr="00F46586" w:rsidRDefault="00D65730" w:rsidP="00980528">
            <w:r w:rsidRPr="00F46586">
              <w:t>Annual Cost</w:t>
            </w:r>
          </w:p>
        </w:tc>
      </w:tr>
      <w:tr w:rsidR="00D65730" w:rsidRPr="00F46586" w14:paraId="133964D6" w14:textId="77777777" w:rsidTr="00D65730">
        <w:tc>
          <w:tcPr>
            <w:tcW w:w="2876" w:type="dxa"/>
          </w:tcPr>
          <w:p w14:paraId="20F2C538" w14:textId="77777777" w:rsidR="00D65730" w:rsidRPr="00F46586" w:rsidRDefault="00D65730" w:rsidP="00980528">
            <w:r w:rsidRPr="00F46586">
              <w:t>Contractor</w:t>
            </w:r>
          </w:p>
        </w:tc>
        <w:tc>
          <w:tcPr>
            <w:tcW w:w="2877" w:type="dxa"/>
          </w:tcPr>
          <w:p w14:paraId="1C84C37F" w14:textId="77777777" w:rsidR="00D65730" w:rsidRPr="00F46586" w:rsidRDefault="00D65730" w:rsidP="00980528">
            <w:r w:rsidRPr="00F46586">
              <w:t>Data collection, data analysis, project management</w:t>
            </w:r>
          </w:p>
        </w:tc>
        <w:tc>
          <w:tcPr>
            <w:tcW w:w="2877" w:type="dxa"/>
          </w:tcPr>
          <w:p w14:paraId="2C4CA3EC" w14:textId="77777777" w:rsidR="00D65730" w:rsidRPr="00F46586" w:rsidRDefault="00FF1D6B" w:rsidP="00980528">
            <w:r>
              <w:t>$358,562</w:t>
            </w:r>
          </w:p>
        </w:tc>
      </w:tr>
      <w:tr w:rsidR="00D65730" w:rsidRPr="00F46586" w14:paraId="73E75BBD" w14:textId="77777777" w:rsidTr="00D65730">
        <w:tc>
          <w:tcPr>
            <w:tcW w:w="2876" w:type="dxa"/>
          </w:tcPr>
          <w:p w14:paraId="1BDE1FE4" w14:textId="77777777" w:rsidR="00D65730" w:rsidRPr="00F46586" w:rsidRDefault="00D65730" w:rsidP="008B54AA">
            <w:r w:rsidRPr="00F46586">
              <w:t>T</w:t>
            </w:r>
            <w:r w:rsidR="008B54AA">
              <w:t>wo</w:t>
            </w:r>
            <w:r w:rsidRPr="00F46586">
              <w:t xml:space="preserve"> technical monitors at 5% FTE each (CDC)</w:t>
            </w:r>
          </w:p>
        </w:tc>
        <w:tc>
          <w:tcPr>
            <w:tcW w:w="2877" w:type="dxa"/>
          </w:tcPr>
          <w:p w14:paraId="337A1F82" w14:textId="77777777" w:rsidR="00D65730" w:rsidRPr="00F46586" w:rsidRDefault="00D65730" w:rsidP="00980528">
            <w:r w:rsidRPr="00F46586">
              <w:t>Study planning and contractor oversight</w:t>
            </w:r>
          </w:p>
        </w:tc>
        <w:tc>
          <w:tcPr>
            <w:tcW w:w="2877" w:type="dxa"/>
          </w:tcPr>
          <w:p w14:paraId="6F17821C" w14:textId="77777777" w:rsidR="00D65730" w:rsidRPr="00F46586" w:rsidRDefault="00171872" w:rsidP="00FF1D6B">
            <w:r w:rsidRPr="00F46586">
              <w:t>$15,000</w:t>
            </w:r>
          </w:p>
        </w:tc>
      </w:tr>
      <w:tr w:rsidR="00171872" w:rsidRPr="00F46586" w14:paraId="4B991639" w14:textId="77777777" w:rsidTr="006A17EB">
        <w:tc>
          <w:tcPr>
            <w:tcW w:w="5753" w:type="dxa"/>
            <w:gridSpan w:val="2"/>
          </w:tcPr>
          <w:p w14:paraId="0DB74D56" w14:textId="77777777" w:rsidR="00171872" w:rsidRPr="00F46586" w:rsidRDefault="00171872" w:rsidP="00980528">
            <w:r w:rsidRPr="00F46586">
              <w:t>Total Annual Estimated Costs</w:t>
            </w:r>
          </w:p>
        </w:tc>
        <w:tc>
          <w:tcPr>
            <w:tcW w:w="2877" w:type="dxa"/>
          </w:tcPr>
          <w:p w14:paraId="4C1E9078" w14:textId="77777777" w:rsidR="00171872" w:rsidRPr="00F46586" w:rsidRDefault="00FF1D6B" w:rsidP="00980528">
            <w:r>
              <w:t>$373,562</w:t>
            </w:r>
          </w:p>
        </w:tc>
      </w:tr>
    </w:tbl>
    <w:p w14:paraId="4AF65F40" w14:textId="77777777" w:rsidR="009B633D" w:rsidRPr="00F46586" w:rsidRDefault="00ED2268" w:rsidP="009B633D">
      <w:pPr>
        <w:pStyle w:val="Heading2"/>
        <w:rPr>
          <w:rFonts w:ascii="Times New Roman" w:hAnsi="Times New Roman" w:cs="Times New Roman"/>
          <w:i w:val="0"/>
          <w:sz w:val="24"/>
          <w:szCs w:val="24"/>
        </w:rPr>
      </w:pPr>
      <w:bookmarkStart w:id="66" w:name="_Toc2085397"/>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15. </w:t>
      </w:r>
      <w:r w:rsidR="00B11182" w:rsidRPr="00F46586">
        <w:rPr>
          <w:rFonts w:ascii="Times New Roman" w:eastAsiaTheme="minorEastAsia" w:hAnsi="Times New Roman" w:cs="Times New Roman"/>
          <w:i w:val="0"/>
          <w:sz w:val="24"/>
          <w:szCs w:val="24"/>
        </w:rPr>
        <w:t>Explanation for Program Changes or Adjustments</w:t>
      </w:r>
      <w:bookmarkEnd w:id="64"/>
      <w:bookmarkEnd w:id="65"/>
      <w:bookmarkEnd w:id="66"/>
    </w:p>
    <w:p w14:paraId="68B0EC38" w14:textId="77777777" w:rsidR="00D57118" w:rsidRPr="00F46586" w:rsidRDefault="00D57118" w:rsidP="00D57118">
      <w:bookmarkStart w:id="67" w:name="_Toc151782191"/>
      <w:bookmarkStart w:id="68" w:name="_Toc158526231"/>
      <w:r w:rsidRPr="00F46586">
        <w:t xml:space="preserve">This is a new </w:t>
      </w:r>
      <w:r w:rsidR="00ED2268" w:rsidRPr="00F46586">
        <w:t>collection</w:t>
      </w:r>
      <w:r w:rsidR="002D792A" w:rsidRPr="00F46586">
        <w:t>.</w:t>
      </w:r>
    </w:p>
    <w:p w14:paraId="6663159B" w14:textId="77777777" w:rsidR="00FA6388" w:rsidRPr="00F46586" w:rsidRDefault="00ED2268" w:rsidP="009B633D">
      <w:pPr>
        <w:pStyle w:val="Heading2"/>
        <w:rPr>
          <w:rFonts w:ascii="Times New Roman" w:hAnsi="Times New Roman" w:cs="Times New Roman"/>
          <w:i w:val="0"/>
          <w:sz w:val="24"/>
          <w:szCs w:val="24"/>
        </w:rPr>
      </w:pPr>
      <w:bookmarkStart w:id="69" w:name="_Toc2085398"/>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16. </w:t>
      </w:r>
      <w:r w:rsidR="00B11182" w:rsidRPr="00F46586">
        <w:rPr>
          <w:rFonts w:ascii="Times New Roman" w:eastAsiaTheme="minorEastAsia" w:hAnsi="Times New Roman" w:cs="Times New Roman"/>
          <w:i w:val="0"/>
          <w:sz w:val="24"/>
          <w:szCs w:val="24"/>
        </w:rPr>
        <w:t>Plans for Tabulation and Publication and Project Time Schedule</w:t>
      </w:r>
      <w:bookmarkEnd w:id="67"/>
      <w:bookmarkEnd w:id="68"/>
      <w:bookmarkEnd w:id="69"/>
    </w:p>
    <w:p w14:paraId="0240BF6B" w14:textId="77777777" w:rsidR="003B21D0" w:rsidRPr="00F46586" w:rsidRDefault="003B21D0" w:rsidP="00FA6388">
      <w:pPr>
        <w:pStyle w:val="CommentText"/>
        <w:rPr>
          <w:sz w:val="24"/>
          <w:szCs w:val="24"/>
        </w:rPr>
      </w:pPr>
      <w:r w:rsidRPr="00F46586">
        <w:rPr>
          <w:sz w:val="24"/>
          <w:szCs w:val="24"/>
        </w:rPr>
        <w:t xml:space="preserve">The exact </w:t>
      </w:r>
      <w:r w:rsidR="00D9045B" w:rsidRPr="00F46586">
        <w:rPr>
          <w:sz w:val="24"/>
          <w:szCs w:val="24"/>
        </w:rPr>
        <w:t>start date</w:t>
      </w:r>
      <w:r w:rsidRPr="00F46586">
        <w:rPr>
          <w:sz w:val="24"/>
          <w:szCs w:val="24"/>
        </w:rPr>
        <w:t xml:space="preserve"> for data collection activities </w:t>
      </w:r>
      <w:r w:rsidR="00D9045B" w:rsidRPr="00F46586">
        <w:rPr>
          <w:sz w:val="24"/>
          <w:szCs w:val="24"/>
        </w:rPr>
        <w:t>is</w:t>
      </w:r>
      <w:r w:rsidRPr="00F46586">
        <w:rPr>
          <w:sz w:val="24"/>
          <w:szCs w:val="24"/>
        </w:rPr>
        <w:t xml:space="preserve"> contingent on the OMB clearance date. </w:t>
      </w:r>
      <w:r w:rsidR="002D792A" w:rsidRPr="00F46586">
        <w:rPr>
          <w:sz w:val="24"/>
          <w:szCs w:val="24"/>
        </w:rPr>
        <w:t xml:space="preserve">Data from the provider interviews will be analyzed looking for common themes. The quantitative data </w:t>
      </w:r>
      <w:r w:rsidR="00D801A2" w:rsidRPr="00F46586">
        <w:rPr>
          <w:sz w:val="24"/>
          <w:szCs w:val="24"/>
        </w:rPr>
        <w:t xml:space="preserve">from the patient surveys </w:t>
      </w:r>
      <w:r w:rsidR="002D792A" w:rsidRPr="00F46586">
        <w:rPr>
          <w:sz w:val="24"/>
          <w:szCs w:val="24"/>
        </w:rPr>
        <w:t xml:space="preserve">will be used in conjunction with EHR data from the </w:t>
      </w:r>
      <w:r w:rsidR="00C6508F" w:rsidRPr="00F46586">
        <w:rPr>
          <w:sz w:val="24"/>
          <w:szCs w:val="24"/>
        </w:rPr>
        <w:t xml:space="preserve">selected clinics’ health care system </w:t>
      </w:r>
      <w:r w:rsidR="002D792A" w:rsidRPr="00F46586">
        <w:rPr>
          <w:sz w:val="24"/>
          <w:szCs w:val="24"/>
        </w:rPr>
        <w:t xml:space="preserve">to provide counts for falls, fall injuries, and interventions undertaken to prevent falls. Risk ratios comparing the three intervention arms to the </w:t>
      </w:r>
      <w:r w:rsidR="002D792A" w:rsidRPr="00EE4DB8">
        <w:rPr>
          <w:sz w:val="24"/>
          <w:szCs w:val="24"/>
        </w:rPr>
        <w:t>control group</w:t>
      </w:r>
      <w:r w:rsidR="002D792A" w:rsidRPr="00F46586">
        <w:rPr>
          <w:sz w:val="24"/>
          <w:szCs w:val="24"/>
        </w:rPr>
        <w:t xml:space="preserve"> will be calculated for number of falls and fall injuries control</w:t>
      </w:r>
      <w:r w:rsidR="00305575">
        <w:rPr>
          <w:sz w:val="24"/>
          <w:szCs w:val="24"/>
        </w:rPr>
        <w:t xml:space="preserve">ling for patient demographics </w:t>
      </w:r>
      <w:r w:rsidR="002D792A" w:rsidRPr="00F46586">
        <w:rPr>
          <w:sz w:val="24"/>
          <w:szCs w:val="24"/>
        </w:rPr>
        <w:t>(</w:t>
      </w:r>
      <w:r w:rsidR="002D792A" w:rsidRPr="00785F40">
        <w:rPr>
          <w:b/>
          <w:sz w:val="24"/>
          <w:szCs w:val="24"/>
        </w:rPr>
        <w:t xml:space="preserve">Attachment </w:t>
      </w:r>
      <w:r w:rsidR="00396639">
        <w:rPr>
          <w:b/>
          <w:sz w:val="24"/>
          <w:szCs w:val="24"/>
        </w:rPr>
        <w:t>I</w:t>
      </w:r>
      <w:r w:rsidR="002D792A" w:rsidRPr="00F46586">
        <w:rPr>
          <w:sz w:val="24"/>
          <w:szCs w:val="24"/>
        </w:rPr>
        <w:t>).</w:t>
      </w:r>
    </w:p>
    <w:p w14:paraId="08FC12C3" w14:textId="77777777" w:rsidR="003B21D0" w:rsidRPr="00F46586" w:rsidRDefault="003B21D0" w:rsidP="00FA6388">
      <w:pPr>
        <w:pStyle w:val="CommentText"/>
        <w:rPr>
          <w:sz w:val="24"/>
          <w:szCs w:val="24"/>
        </w:rPr>
      </w:pPr>
    </w:p>
    <w:p w14:paraId="496880BC" w14:textId="2D41CD82" w:rsidR="00FA6388" w:rsidRDefault="00AD4CA9" w:rsidP="00FA6388">
      <w:pPr>
        <w:pStyle w:val="CommentText"/>
        <w:rPr>
          <w:sz w:val="24"/>
          <w:szCs w:val="24"/>
        </w:rPr>
      </w:pPr>
      <w:r>
        <w:rPr>
          <w:sz w:val="24"/>
          <w:szCs w:val="24"/>
        </w:rPr>
        <w:t>F</w:t>
      </w:r>
      <w:r w:rsidR="006A17EB" w:rsidRPr="00F46586">
        <w:rPr>
          <w:sz w:val="24"/>
          <w:szCs w:val="24"/>
        </w:rPr>
        <w:t>inding</w:t>
      </w:r>
      <w:r>
        <w:rPr>
          <w:sz w:val="24"/>
          <w:szCs w:val="24"/>
        </w:rPr>
        <w:t>s</w:t>
      </w:r>
      <w:r w:rsidR="006A17EB" w:rsidRPr="00F46586">
        <w:rPr>
          <w:sz w:val="24"/>
          <w:szCs w:val="24"/>
        </w:rPr>
        <w:t xml:space="preserve"> will be published in a peer reviewed journal. Once published, there will be a link to the publication on the CDC’s Older Adult Fall’s webpage. The time schedule for the project activities are summarized in </w:t>
      </w:r>
      <w:r w:rsidR="006A17EB" w:rsidRPr="00F46586">
        <w:rPr>
          <w:b/>
          <w:sz w:val="24"/>
          <w:szCs w:val="24"/>
        </w:rPr>
        <w:t>Table A.16</w:t>
      </w:r>
      <w:r w:rsidR="006A17EB" w:rsidRPr="00F46586">
        <w:rPr>
          <w:sz w:val="24"/>
          <w:szCs w:val="24"/>
        </w:rPr>
        <w:t xml:space="preserve"> below.</w:t>
      </w:r>
    </w:p>
    <w:p w14:paraId="5075CCCB" w14:textId="437040BE" w:rsidR="00623547" w:rsidRDefault="00623547" w:rsidP="00FA6388">
      <w:pPr>
        <w:pStyle w:val="CommentText"/>
        <w:rPr>
          <w:sz w:val="24"/>
          <w:szCs w:val="24"/>
        </w:rPr>
      </w:pPr>
    </w:p>
    <w:p w14:paraId="574FDA8F" w14:textId="77777777" w:rsidR="006A17EB" w:rsidRPr="00F46586" w:rsidRDefault="00A0352C" w:rsidP="00FA6388">
      <w:pPr>
        <w:pStyle w:val="CommentText"/>
        <w:rPr>
          <w:sz w:val="24"/>
          <w:szCs w:val="24"/>
        </w:rPr>
      </w:pPr>
      <w:r w:rsidRPr="00F46586">
        <w:rPr>
          <w:sz w:val="24"/>
          <w:szCs w:val="24"/>
        </w:rPr>
        <w:t>Table A.16: Project Time Schedule</w:t>
      </w:r>
    </w:p>
    <w:tbl>
      <w:tblPr>
        <w:tblStyle w:val="TableGrid"/>
        <w:tblW w:w="0" w:type="auto"/>
        <w:tblLook w:val="04A0" w:firstRow="1" w:lastRow="0" w:firstColumn="1" w:lastColumn="0" w:noHBand="0" w:noVBand="1"/>
      </w:tblPr>
      <w:tblGrid>
        <w:gridCol w:w="4315"/>
        <w:gridCol w:w="4315"/>
      </w:tblGrid>
      <w:tr w:rsidR="00FA721F" w:rsidRPr="00F46586" w14:paraId="765ADB45" w14:textId="77777777" w:rsidTr="00FA721F">
        <w:tc>
          <w:tcPr>
            <w:tcW w:w="4315" w:type="dxa"/>
          </w:tcPr>
          <w:p w14:paraId="2D807A9D" w14:textId="77777777" w:rsidR="00FA721F" w:rsidRPr="00F46586" w:rsidRDefault="00FA721F" w:rsidP="00FA6388">
            <w:pPr>
              <w:pStyle w:val="CommentText"/>
              <w:rPr>
                <w:b/>
                <w:sz w:val="24"/>
                <w:szCs w:val="24"/>
              </w:rPr>
            </w:pPr>
            <w:r w:rsidRPr="00F46586">
              <w:rPr>
                <w:b/>
                <w:sz w:val="24"/>
                <w:szCs w:val="24"/>
              </w:rPr>
              <w:t>Activity</w:t>
            </w:r>
          </w:p>
        </w:tc>
        <w:tc>
          <w:tcPr>
            <w:tcW w:w="4315" w:type="dxa"/>
          </w:tcPr>
          <w:p w14:paraId="34ECAAA2" w14:textId="77777777" w:rsidR="00FA721F" w:rsidRPr="00F46586" w:rsidRDefault="00FA721F" w:rsidP="00FA6388">
            <w:pPr>
              <w:pStyle w:val="CommentText"/>
              <w:rPr>
                <w:b/>
                <w:sz w:val="24"/>
                <w:szCs w:val="24"/>
              </w:rPr>
            </w:pPr>
            <w:r w:rsidRPr="00F46586">
              <w:rPr>
                <w:b/>
                <w:sz w:val="24"/>
                <w:szCs w:val="24"/>
              </w:rPr>
              <w:t>Schedule</w:t>
            </w:r>
          </w:p>
        </w:tc>
      </w:tr>
      <w:tr w:rsidR="00FA721F" w:rsidRPr="00F46586" w14:paraId="0470CCDC" w14:textId="77777777" w:rsidTr="00FA721F">
        <w:tc>
          <w:tcPr>
            <w:tcW w:w="4315" w:type="dxa"/>
          </w:tcPr>
          <w:p w14:paraId="169ADEC7" w14:textId="77777777" w:rsidR="00FA721F" w:rsidRPr="00F46586" w:rsidRDefault="00FA721F" w:rsidP="00FA6388">
            <w:pPr>
              <w:pStyle w:val="CommentText"/>
              <w:rPr>
                <w:sz w:val="24"/>
                <w:szCs w:val="24"/>
              </w:rPr>
            </w:pPr>
            <w:r w:rsidRPr="00F46586">
              <w:rPr>
                <w:sz w:val="24"/>
                <w:szCs w:val="24"/>
              </w:rPr>
              <w:t>Consent and screen older adult patients into study.</w:t>
            </w:r>
          </w:p>
        </w:tc>
        <w:tc>
          <w:tcPr>
            <w:tcW w:w="4315" w:type="dxa"/>
          </w:tcPr>
          <w:p w14:paraId="4E6143BF" w14:textId="77777777" w:rsidR="00FA721F" w:rsidRPr="00F46586" w:rsidRDefault="00FA721F" w:rsidP="00FA6388">
            <w:pPr>
              <w:pStyle w:val="CommentText"/>
              <w:rPr>
                <w:sz w:val="24"/>
                <w:szCs w:val="24"/>
              </w:rPr>
            </w:pPr>
            <w:r w:rsidRPr="00F46586">
              <w:rPr>
                <w:sz w:val="24"/>
                <w:szCs w:val="24"/>
              </w:rPr>
              <w:t>Ongoing 1-18 months after OMB approval</w:t>
            </w:r>
          </w:p>
        </w:tc>
      </w:tr>
      <w:tr w:rsidR="00FA721F" w:rsidRPr="00F46586" w14:paraId="5272839C" w14:textId="77777777" w:rsidTr="00FA721F">
        <w:tc>
          <w:tcPr>
            <w:tcW w:w="4315" w:type="dxa"/>
          </w:tcPr>
          <w:p w14:paraId="766FB88F" w14:textId="77777777" w:rsidR="00FA721F" w:rsidRPr="00F46586" w:rsidRDefault="00FA721F" w:rsidP="00FA6388">
            <w:pPr>
              <w:pStyle w:val="CommentText"/>
              <w:rPr>
                <w:sz w:val="24"/>
                <w:szCs w:val="24"/>
              </w:rPr>
            </w:pPr>
            <w:r w:rsidRPr="00F46586">
              <w:rPr>
                <w:sz w:val="24"/>
                <w:szCs w:val="24"/>
              </w:rPr>
              <w:t>Conduct baseline and follow-up surveys</w:t>
            </w:r>
          </w:p>
        </w:tc>
        <w:tc>
          <w:tcPr>
            <w:tcW w:w="4315" w:type="dxa"/>
          </w:tcPr>
          <w:p w14:paraId="37083F55" w14:textId="77777777" w:rsidR="00FA721F" w:rsidRPr="00F46586" w:rsidRDefault="00FA721F" w:rsidP="00FA6388">
            <w:pPr>
              <w:pStyle w:val="CommentText"/>
              <w:rPr>
                <w:sz w:val="24"/>
                <w:szCs w:val="24"/>
              </w:rPr>
            </w:pPr>
            <w:r w:rsidRPr="00F46586">
              <w:rPr>
                <w:sz w:val="24"/>
                <w:szCs w:val="24"/>
              </w:rPr>
              <w:t>Ongoing 1-30 months after OMB approval</w:t>
            </w:r>
          </w:p>
        </w:tc>
      </w:tr>
      <w:tr w:rsidR="00FA721F" w:rsidRPr="00F46586" w14:paraId="0782B6F6" w14:textId="77777777" w:rsidTr="00FA721F">
        <w:tc>
          <w:tcPr>
            <w:tcW w:w="4315" w:type="dxa"/>
          </w:tcPr>
          <w:p w14:paraId="0E2FC873" w14:textId="77777777" w:rsidR="00FA721F" w:rsidRPr="00F46586" w:rsidRDefault="00FA721F" w:rsidP="00FA6388">
            <w:pPr>
              <w:pStyle w:val="CommentText"/>
              <w:rPr>
                <w:sz w:val="24"/>
                <w:szCs w:val="24"/>
              </w:rPr>
            </w:pPr>
            <w:r w:rsidRPr="00F46586">
              <w:rPr>
                <w:sz w:val="24"/>
                <w:szCs w:val="24"/>
              </w:rPr>
              <w:t>Conduct provider interviews</w:t>
            </w:r>
          </w:p>
        </w:tc>
        <w:tc>
          <w:tcPr>
            <w:tcW w:w="4315" w:type="dxa"/>
          </w:tcPr>
          <w:p w14:paraId="5A298FE9" w14:textId="77777777" w:rsidR="00FA721F" w:rsidRPr="00F46586" w:rsidRDefault="00364378" w:rsidP="00364378">
            <w:pPr>
              <w:pStyle w:val="CommentText"/>
              <w:rPr>
                <w:sz w:val="24"/>
                <w:szCs w:val="24"/>
              </w:rPr>
            </w:pPr>
            <w:r>
              <w:rPr>
                <w:sz w:val="24"/>
                <w:szCs w:val="24"/>
              </w:rPr>
              <w:t>Ongoing 6-18 months after OMB approval</w:t>
            </w:r>
          </w:p>
        </w:tc>
      </w:tr>
      <w:tr w:rsidR="00FA721F" w:rsidRPr="00F46586" w14:paraId="0F317F9B" w14:textId="77777777" w:rsidTr="00FA721F">
        <w:tc>
          <w:tcPr>
            <w:tcW w:w="4315" w:type="dxa"/>
          </w:tcPr>
          <w:p w14:paraId="3CB1C2A0" w14:textId="77777777" w:rsidR="00FA721F" w:rsidRPr="00F46586" w:rsidRDefault="00FA721F" w:rsidP="00FA6388">
            <w:pPr>
              <w:pStyle w:val="CommentText"/>
              <w:rPr>
                <w:sz w:val="24"/>
                <w:szCs w:val="24"/>
              </w:rPr>
            </w:pPr>
            <w:r w:rsidRPr="00F46586">
              <w:rPr>
                <w:sz w:val="24"/>
                <w:szCs w:val="24"/>
              </w:rPr>
              <w:t>Data collection, cleaning, analysis</w:t>
            </w:r>
          </w:p>
        </w:tc>
        <w:tc>
          <w:tcPr>
            <w:tcW w:w="4315" w:type="dxa"/>
          </w:tcPr>
          <w:p w14:paraId="0A844401" w14:textId="77777777" w:rsidR="00FA721F" w:rsidRPr="00F46586" w:rsidRDefault="00FA721F" w:rsidP="00FA6388">
            <w:pPr>
              <w:pStyle w:val="CommentText"/>
              <w:rPr>
                <w:sz w:val="24"/>
                <w:szCs w:val="24"/>
              </w:rPr>
            </w:pPr>
            <w:r w:rsidRPr="00F46586">
              <w:rPr>
                <w:sz w:val="24"/>
                <w:szCs w:val="24"/>
              </w:rPr>
              <w:t>Ongoing through month 36</w:t>
            </w:r>
          </w:p>
        </w:tc>
      </w:tr>
    </w:tbl>
    <w:p w14:paraId="78F91B59" w14:textId="77777777" w:rsidR="006A17EB" w:rsidRPr="00F46586" w:rsidRDefault="006A17EB" w:rsidP="00FA6388">
      <w:pPr>
        <w:pStyle w:val="CommentText"/>
        <w:rPr>
          <w:sz w:val="24"/>
          <w:szCs w:val="24"/>
        </w:rPr>
      </w:pPr>
    </w:p>
    <w:p w14:paraId="079B0E76" w14:textId="77777777" w:rsidR="009B633D" w:rsidRPr="00F46586" w:rsidRDefault="00C1226E" w:rsidP="009B633D">
      <w:pPr>
        <w:pStyle w:val="Heading2"/>
        <w:rPr>
          <w:rFonts w:ascii="Times New Roman" w:hAnsi="Times New Roman" w:cs="Times New Roman"/>
          <w:i w:val="0"/>
          <w:sz w:val="24"/>
          <w:szCs w:val="24"/>
        </w:rPr>
      </w:pPr>
      <w:bookmarkStart w:id="70" w:name="_Toc151782196"/>
      <w:bookmarkStart w:id="71" w:name="_Toc158526232"/>
      <w:bookmarkStart w:id="72" w:name="_Toc2085399"/>
      <w:r w:rsidRPr="00F46586">
        <w:rPr>
          <w:rFonts w:ascii="Times New Roman" w:hAnsi="Times New Roman" w:cs="Times New Roman"/>
          <w:i w:val="0"/>
          <w:sz w:val="24"/>
          <w:szCs w:val="24"/>
        </w:rPr>
        <w:t>A.</w:t>
      </w:r>
      <w:r w:rsidR="009B633D" w:rsidRPr="00F46586">
        <w:rPr>
          <w:rFonts w:ascii="Times New Roman" w:hAnsi="Times New Roman" w:cs="Times New Roman"/>
          <w:i w:val="0"/>
          <w:sz w:val="24"/>
          <w:szCs w:val="24"/>
        </w:rPr>
        <w:t xml:space="preserve">17. </w:t>
      </w:r>
      <w:r w:rsidR="00B11182" w:rsidRPr="00F46586">
        <w:rPr>
          <w:rFonts w:ascii="Times New Roman" w:eastAsiaTheme="minorEastAsia" w:hAnsi="Times New Roman" w:cs="Times New Roman"/>
          <w:i w:val="0"/>
          <w:sz w:val="24"/>
          <w:szCs w:val="24"/>
        </w:rPr>
        <w:t>Reason(s) Display of OMB Expiration Date is Inappropriate</w:t>
      </w:r>
      <w:bookmarkEnd w:id="70"/>
      <w:bookmarkEnd w:id="71"/>
      <w:bookmarkEnd w:id="72"/>
    </w:p>
    <w:p w14:paraId="62867259" w14:textId="77777777" w:rsidR="0091230B" w:rsidRPr="00F46586" w:rsidRDefault="0091230B" w:rsidP="0091230B">
      <w:r w:rsidRPr="00F46586">
        <w:t>The display of the OMB expiration date is appropriate.</w:t>
      </w:r>
    </w:p>
    <w:p w14:paraId="5ADDA3FC" w14:textId="77777777" w:rsidR="008F00ED" w:rsidRPr="00F46586" w:rsidRDefault="008F00ED" w:rsidP="009B633D"/>
    <w:p w14:paraId="03E8EAB8" w14:textId="77777777" w:rsidR="008F00ED" w:rsidRPr="00F46586" w:rsidRDefault="00C1226E" w:rsidP="00D1423D">
      <w:pPr>
        <w:pStyle w:val="Heading2"/>
        <w:rPr>
          <w:rFonts w:ascii="Times New Roman" w:hAnsi="Times New Roman" w:cs="Times New Roman"/>
          <w:i w:val="0"/>
          <w:sz w:val="24"/>
          <w:szCs w:val="24"/>
        </w:rPr>
      </w:pPr>
      <w:bookmarkStart w:id="73" w:name="_Toc2085400"/>
      <w:r w:rsidRPr="00F46586">
        <w:rPr>
          <w:rFonts w:ascii="Times New Roman" w:hAnsi="Times New Roman" w:cs="Times New Roman"/>
          <w:i w:val="0"/>
          <w:sz w:val="24"/>
          <w:szCs w:val="24"/>
        </w:rPr>
        <w:t>A.</w:t>
      </w:r>
      <w:r w:rsidR="008F00ED" w:rsidRPr="00F46586">
        <w:rPr>
          <w:rFonts w:ascii="Times New Roman" w:hAnsi="Times New Roman" w:cs="Times New Roman"/>
          <w:i w:val="0"/>
          <w:sz w:val="24"/>
          <w:szCs w:val="24"/>
        </w:rPr>
        <w:t>18. Exceptions to Certification for Paperwork Reduction Act</w:t>
      </w:r>
      <w:bookmarkEnd w:id="73"/>
    </w:p>
    <w:p w14:paraId="1981451A" w14:textId="77777777" w:rsidR="00AE1382" w:rsidRPr="00F46586" w:rsidRDefault="00D1221E" w:rsidP="009957EF">
      <w:r w:rsidRPr="00F46586">
        <w:t xml:space="preserve">There are no exceptions to the </w:t>
      </w:r>
      <w:r w:rsidR="00AF3112" w:rsidRPr="00F46586">
        <w:t>Paperwork Reduction Act</w:t>
      </w:r>
      <w:r w:rsidRPr="00F46586">
        <w:t>.</w:t>
      </w:r>
    </w:p>
    <w:p w14:paraId="0F44A906" w14:textId="77777777" w:rsidR="00F01326" w:rsidRPr="00F46586" w:rsidRDefault="00F01326" w:rsidP="009957EF"/>
    <w:p w14:paraId="3D352AC7" w14:textId="77777777" w:rsidR="0091230B" w:rsidRPr="00F46586" w:rsidRDefault="0091230B" w:rsidP="009957EF">
      <w:r w:rsidRPr="00F46586">
        <w:t>REFERENCES</w:t>
      </w:r>
    </w:p>
    <w:p w14:paraId="3BB6E3F1" w14:textId="77777777" w:rsidR="0091230B" w:rsidRPr="00F46586" w:rsidRDefault="0091230B" w:rsidP="009957EF"/>
    <w:p w14:paraId="7253719C" w14:textId="31F0D462" w:rsidR="00C85FC4" w:rsidRPr="00F46586" w:rsidRDefault="00C85FC4" w:rsidP="002573F9">
      <w:pPr>
        <w:pStyle w:val="EndNoteBibliography"/>
        <w:numPr>
          <w:ilvl w:val="0"/>
          <w:numId w:val="9"/>
        </w:numPr>
      </w:pPr>
      <w:r w:rsidRPr="00F46586">
        <w:rPr>
          <w:rFonts w:eastAsia="Times New Roman"/>
          <w:noProof w:val="0"/>
        </w:rPr>
        <w:t xml:space="preserve">Centers for Disease Control and Prevention NCIPC. Web-based Injury Statistics Query and Reporting System (WISQARS) [online]. Accessed at </w:t>
      </w:r>
      <w:hyperlink r:id="rId16" w:history="1">
        <w:r w:rsidRPr="00F46586">
          <w:rPr>
            <w:rFonts w:eastAsia="Times New Roman"/>
            <w:noProof w:val="0"/>
          </w:rPr>
          <w:t>www.cdc.gov/injury/wisqars</w:t>
        </w:r>
      </w:hyperlink>
      <w:r w:rsidRPr="00F46586">
        <w:rPr>
          <w:rFonts w:eastAsia="Times New Roman"/>
          <w:noProof w:val="0"/>
        </w:rPr>
        <w:t xml:space="preserve"> </w:t>
      </w:r>
      <w:r w:rsidR="00623547">
        <w:rPr>
          <w:rFonts w:eastAsia="Times New Roman"/>
          <w:noProof w:val="0"/>
        </w:rPr>
        <w:t>Aug</w:t>
      </w:r>
      <w:r w:rsidRPr="00F46586">
        <w:rPr>
          <w:rFonts w:eastAsia="Times New Roman"/>
          <w:noProof w:val="0"/>
        </w:rPr>
        <w:t>, 201</w:t>
      </w:r>
      <w:r w:rsidR="00623547">
        <w:rPr>
          <w:rFonts w:eastAsia="Times New Roman"/>
          <w:noProof w:val="0"/>
        </w:rPr>
        <w:t>9</w:t>
      </w:r>
      <w:r w:rsidRPr="00F46586">
        <w:rPr>
          <w:rFonts w:eastAsia="Times New Roman"/>
          <w:noProof w:val="0"/>
        </w:rPr>
        <w:t>.</w:t>
      </w:r>
    </w:p>
    <w:p w14:paraId="063A5E71" w14:textId="77777777" w:rsidR="001B4DC7" w:rsidRPr="00F46586" w:rsidRDefault="001B4DC7" w:rsidP="002573F9">
      <w:pPr>
        <w:pStyle w:val="ListParagraph"/>
        <w:numPr>
          <w:ilvl w:val="0"/>
          <w:numId w:val="9"/>
        </w:numPr>
        <w:contextualSpacing w:val="0"/>
      </w:pPr>
      <w:r w:rsidRPr="00F46586">
        <w:rPr>
          <w:color w:val="222222"/>
        </w:rPr>
        <w:t xml:space="preserve">Florence, Curtis S., et al. "Medical costs of fatal and nonfatal falls in older adults." </w:t>
      </w:r>
      <w:r w:rsidRPr="00F46586">
        <w:rPr>
          <w:i/>
          <w:iCs/>
          <w:color w:val="222222"/>
        </w:rPr>
        <w:t>Journal of the American Geriatrics Society</w:t>
      </w:r>
      <w:r w:rsidRPr="00F46586">
        <w:rPr>
          <w:color w:val="222222"/>
        </w:rPr>
        <w:t xml:space="preserve"> 66.4 (2018): 693-698.</w:t>
      </w:r>
    </w:p>
    <w:p w14:paraId="0845D6C4" w14:textId="77777777" w:rsidR="003F62F6" w:rsidRPr="003F62F6" w:rsidRDefault="003F62F6" w:rsidP="002573F9">
      <w:pPr>
        <w:pStyle w:val="ListParagraph"/>
        <w:numPr>
          <w:ilvl w:val="0"/>
          <w:numId w:val="9"/>
        </w:numPr>
        <w:contextualSpacing w:val="0"/>
      </w:pPr>
      <w:r>
        <w:rPr>
          <w:color w:val="222222"/>
        </w:rPr>
        <w:t>Burns, Elizabeth, and Kakara</w:t>
      </w:r>
      <w:r w:rsidR="004477D7">
        <w:rPr>
          <w:color w:val="222222"/>
        </w:rPr>
        <w:t>, Ramakrishna</w:t>
      </w:r>
      <w:r>
        <w:rPr>
          <w:color w:val="222222"/>
        </w:rPr>
        <w:t xml:space="preserve"> "Deaths from falls among persons aged≥ 65 years—United States, 2007–2016." </w:t>
      </w:r>
      <w:r>
        <w:rPr>
          <w:i/>
          <w:iCs/>
          <w:color w:val="222222"/>
        </w:rPr>
        <w:t>Morbidity and Mortality Weekly Report</w:t>
      </w:r>
      <w:r>
        <w:rPr>
          <w:color w:val="222222"/>
        </w:rPr>
        <w:t xml:space="preserve"> 67.18 (2018): 509.</w:t>
      </w:r>
    </w:p>
    <w:p w14:paraId="7A4CDC24" w14:textId="4569DE62" w:rsidR="001B4DC7" w:rsidRPr="00691197" w:rsidRDefault="001B4DC7" w:rsidP="002573F9">
      <w:pPr>
        <w:pStyle w:val="ListParagraph"/>
        <w:numPr>
          <w:ilvl w:val="0"/>
          <w:numId w:val="9"/>
        </w:numPr>
        <w:contextualSpacing w:val="0"/>
      </w:pPr>
      <w:r w:rsidRPr="00F46586">
        <w:rPr>
          <w:color w:val="222222"/>
        </w:rPr>
        <w:t xml:space="preserve">Johnston, Yvonne A., et al. "Implementation of the Stopping Elderly Accidents, Deaths, and Injuries initiative in primary care: an outcome evaluation." </w:t>
      </w:r>
      <w:r w:rsidRPr="00F46586">
        <w:rPr>
          <w:i/>
          <w:iCs/>
          <w:color w:val="222222"/>
        </w:rPr>
        <w:t>The Gerontologist</w:t>
      </w:r>
      <w:r w:rsidRPr="00F46586">
        <w:rPr>
          <w:color w:val="222222"/>
        </w:rPr>
        <w:t xml:space="preserve"> (2018).</w:t>
      </w:r>
    </w:p>
    <w:p w14:paraId="098538F6" w14:textId="67CAD002" w:rsidR="00E65DF7" w:rsidRPr="00610BD7" w:rsidRDefault="00E65DF7" w:rsidP="002573F9">
      <w:pPr>
        <w:pStyle w:val="ListParagraph"/>
        <w:numPr>
          <w:ilvl w:val="0"/>
          <w:numId w:val="9"/>
        </w:numPr>
        <w:contextualSpacing w:val="0"/>
      </w:pPr>
      <w:r>
        <w:rPr>
          <w:color w:val="222222"/>
        </w:rPr>
        <w:t xml:space="preserve">Ganz, David A., Takahiro Higashi, and Laurence Z. Rubenstein. "Monitoring falls in cohort studies of community‐dwelling older people: effect of the recall interval." </w:t>
      </w:r>
      <w:r>
        <w:rPr>
          <w:i/>
          <w:iCs/>
          <w:color w:val="222222"/>
        </w:rPr>
        <w:t>Journal of the American Geriatrics Society</w:t>
      </w:r>
      <w:r>
        <w:rPr>
          <w:color w:val="222222"/>
        </w:rPr>
        <w:t xml:space="preserve"> 53.12 (2005): 2190-2194.</w:t>
      </w:r>
    </w:p>
    <w:p w14:paraId="71A64118" w14:textId="77777777" w:rsidR="007C0723" w:rsidRPr="00610BD7" w:rsidRDefault="007C0723" w:rsidP="002573F9">
      <w:pPr>
        <w:pStyle w:val="ListParagraph"/>
        <w:numPr>
          <w:ilvl w:val="0"/>
          <w:numId w:val="9"/>
        </w:numPr>
        <w:contextualSpacing w:val="0"/>
        <w:rPr>
          <w:i/>
        </w:rPr>
      </w:pPr>
      <w:r>
        <w:rPr>
          <w:color w:val="222222"/>
        </w:rPr>
        <w:t xml:space="preserve">Edwards P, Roberts I, Clarke M, DiGuiseppi C, Pratap S, Wentz R, Kwan I.  Increasing response rates to postal questionnaires:  systematic review.  </w:t>
      </w:r>
      <w:r w:rsidRPr="00610BD7">
        <w:rPr>
          <w:i/>
          <w:color w:val="222222"/>
        </w:rPr>
        <w:t>British Medical Journal.</w:t>
      </w:r>
      <w:r>
        <w:rPr>
          <w:i/>
          <w:color w:val="222222"/>
        </w:rPr>
        <w:t xml:space="preserve">  </w:t>
      </w:r>
      <w:r>
        <w:rPr>
          <w:color w:val="222222"/>
        </w:rPr>
        <w:t>2002;324:1183.</w:t>
      </w:r>
    </w:p>
    <w:p w14:paraId="121C24D7" w14:textId="77777777" w:rsidR="007C0723" w:rsidRPr="00610BD7" w:rsidRDefault="007C0723" w:rsidP="002573F9">
      <w:pPr>
        <w:pStyle w:val="ListParagraph"/>
        <w:numPr>
          <w:ilvl w:val="0"/>
          <w:numId w:val="9"/>
        </w:numPr>
        <w:contextualSpacing w:val="0"/>
        <w:rPr>
          <w:i/>
        </w:rPr>
      </w:pPr>
      <w:r>
        <w:rPr>
          <w:color w:val="222222"/>
        </w:rPr>
        <w:t xml:space="preserve">McGonagle KA, Freedman VA.  The Effects of a Delayed Incentive on response rates, Response Mode, </w:t>
      </w:r>
      <w:r w:rsidR="00202A07">
        <w:rPr>
          <w:color w:val="222222"/>
        </w:rPr>
        <w:t xml:space="preserve">Data </w:t>
      </w:r>
      <w:r>
        <w:rPr>
          <w:color w:val="222222"/>
        </w:rPr>
        <w:t xml:space="preserve">Quality, and Sample Bias in a Nationally Representative Mixed Mode Study.  </w:t>
      </w:r>
      <w:r>
        <w:rPr>
          <w:i/>
          <w:color w:val="222222"/>
        </w:rPr>
        <w:t xml:space="preserve">Field Methods.  </w:t>
      </w:r>
      <w:r>
        <w:rPr>
          <w:color w:val="222222"/>
        </w:rPr>
        <w:t>2017;29(3):221-237.</w:t>
      </w:r>
    </w:p>
    <w:p w14:paraId="5CBE0DF7" w14:textId="77777777" w:rsidR="00DA79B5" w:rsidRPr="00F46586" w:rsidRDefault="00DA79B5" w:rsidP="00134107">
      <w:pPr>
        <w:pStyle w:val="NormalWeb"/>
        <w:tabs>
          <w:tab w:val="left" w:pos="360"/>
        </w:tabs>
        <w:ind w:left="1080"/>
      </w:pPr>
    </w:p>
    <w:sectPr w:rsidR="00DA79B5" w:rsidRPr="00F46586" w:rsidSect="00240A75">
      <w:endnotePr>
        <w:numFmt w:val="decimal"/>
      </w:endnotePr>
      <w:pgSz w:w="12240" w:h="15840"/>
      <w:pgMar w:top="1440" w:right="1800" w:bottom="126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35C1" w14:textId="77777777" w:rsidR="00050151" w:rsidRDefault="00050151">
      <w:r>
        <w:separator/>
      </w:r>
    </w:p>
  </w:endnote>
  <w:endnote w:type="continuationSeparator" w:id="0">
    <w:p w14:paraId="5F9529A9" w14:textId="77777777" w:rsidR="00050151" w:rsidRDefault="00050151">
      <w:r>
        <w:continuationSeparator/>
      </w:r>
    </w:p>
  </w:endnote>
  <w:endnote w:type="continuationNotice" w:id="1">
    <w:p w14:paraId="6549565D" w14:textId="77777777" w:rsidR="00050151" w:rsidRDefault="0005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ahnschrift SemiLight">
    <w:charset w:val="00"/>
    <w:family w:val="swiss"/>
    <w:pitch w:val="variable"/>
    <w:sig w:usb0="8000004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DB90" w14:textId="77777777" w:rsidR="002D4DEB" w:rsidRDefault="002D4DEB"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170CBD" w14:textId="77777777" w:rsidR="002D4DEB" w:rsidRDefault="002D4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624C1" w14:textId="26F493D5" w:rsidR="002D4DEB" w:rsidRDefault="002D4DEB"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4F2">
      <w:rPr>
        <w:rStyle w:val="PageNumber"/>
        <w:noProof/>
      </w:rPr>
      <w:t>2</w:t>
    </w:r>
    <w:r>
      <w:rPr>
        <w:rStyle w:val="PageNumber"/>
      </w:rPr>
      <w:fldChar w:fldCharType="end"/>
    </w:r>
  </w:p>
  <w:p w14:paraId="2E8CCF8A" w14:textId="77777777" w:rsidR="002D4DEB" w:rsidRDefault="002D4D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84109"/>
      <w:docPartObj>
        <w:docPartGallery w:val="Page Numbers (Bottom of Page)"/>
        <w:docPartUnique/>
      </w:docPartObj>
    </w:sdtPr>
    <w:sdtEndPr>
      <w:rPr>
        <w:noProof/>
      </w:rPr>
    </w:sdtEndPr>
    <w:sdtContent>
      <w:p w14:paraId="624D39D1" w14:textId="2C772AFB" w:rsidR="002D4DEB" w:rsidRDefault="002D4DEB">
        <w:pPr>
          <w:pStyle w:val="Footer"/>
          <w:jc w:val="center"/>
        </w:pPr>
        <w:r>
          <w:fldChar w:fldCharType="begin"/>
        </w:r>
        <w:r>
          <w:instrText xml:space="preserve"> PAGE   \* MERGEFORMAT </w:instrText>
        </w:r>
        <w:r>
          <w:fldChar w:fldCharType="separate"/>
        </w:r>
        <w:r w:rsidR="00F804F2">
          <w:rPr>
            <w:noProof/>
          </w:rPr>
          <w:t>1</w:t>
        </w:r>
        <w:r>
          <w:rPr>
            <w:noProof/>
          </w:rPr>
          <w:fldChar w:fldCharType="end"/>
        </w:r>
      </w:p>
    </w:sdtContent>
  </w:sdt>
  <w:p w14:paraId="47AFFC57" w14:textId="77777777" w:rsidR="002D4DEB" w:rsidRDefault="002D4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DEEE9" w14:textId="77777777" w:rsidR="00050151" w:rsidRDefault="00050151">
      <w:r>
        <w:separator/>
      </w:r>
    </w:p>
  </w:footnote>
  <w:footnote w:type="continuationSeparator" w:id="0">
    <w:p w14:paraId="5210F731" w14:textId="77777777" w:rsidR="00050151" w:rsidRDefault="00050151">
      <w:r>
        <w:continuationSeparator/>
      </w:r>
    </w:p>
  </w:footnote>
  <w:footnote w:type="continuationNotice" w:id="1">
    <w:p w14:paraId="32B57B7D" w14:textId="77777777" w:rsidR="00050151" w:rsidRDefault="000501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61B0"/>
    <w:multiLevelType w:val="hybridMultilevel"/>
    <w:tmpl w:val="E62E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521A7"/>
    <w:multiLevelType w:val="hybridMultilevel"/>
    <w:tmpl w:val="065E860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BC95424"/>
    <w:multiLevelType w:val="hybridMultilevel"/>
    <w:tmpl w:val="EE863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B3C03"/>
    <w:multiLevelType w:val="hybridMultilevel"/>
    <w:tmpl w:val="31341EB0"/>
    <w:lvl w:ilvl="0" w:tplc="3C6E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15A4D"/>
    <w:multiLevelType w:val="hybridMultilevel"/>
    <w:tmpl w:val="C10C96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76704"/>
    <w:multiLevelType w:val="hybridMultilevel"/>
    <w:tmpl w:val="670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7">
    <w:nsid w:val="64AA21A4"/>
    <w:multiLevelType w:val="hybridMultilevel"/>
    <w:tmpl w:val="738C5F42"/>
    <w:lvl w:ilvl="0" w:tplc="0409000F">
      <w:start w:val="1"/>
      <w:numFmt w:val="decimal"/>
      <w:lvlText w:val="%1."/>
      <w:lvlJc w:val="left"/>
      <w:pPr>
        <w:tabs>
          <w:tab w:val="num" w:pos="720"/>
        </w:tabs>
        <w:ind w:left="720" w:hanging="360"/>
      </w:pPr>
      <w:rPr>
        <w:rFonts w:hint="default"/>
      </w:rPr>
    </w:lvl>
    <w:lvl w:ilvl="1" w:tplc="DBDAE1EE" w:tentative="1">
      <w:start w:val="1"/>
      <w:numFmt w:val="bullet"/>
      <w:lvlText w:val=""/>
      <w:lvlJc w:val="left"/>
      <w:pPr>
        <w:tabs>
          <w:tab w:val="num" w:pos="1440"/>
        </w:tabs>
        <w:ind w:left="1440" w:hanging="360"/>
      </w:pPr>
      <w:rPr>
        <w:rFonts w:ascii="Wingdings" w:hAnsi="Wingdings" w:hint="default"/>
      </w:rPr>
    </w:lvl>
    <w:lvl w:ilvl="2" w:tplc="149E4AAA" w:tentative="1">
      <w:start w:val="1"/>
      <w:numFmt w:val="bullet"/>
      <w:lvlText w:val=""/>
      <w:lvlJc w:val="left"/>
      <w:pPr>
        <w:tabs>
          <w:tab w:val="num" w:pos="2160"/>
        </w:tabs>
        <w:ind w:left="2160" w:hanging="360"/>
      </w:pPr>
      <w:rPr>
        <w:rFonts w:ascii="Wingdings" w:hAnsi="Wingdings" w:hint="default"/>
      </w:rPr>
    </w:lvl>
    <w:lvl w:ilvl="3" w:tplc="AEF8CFF6" w:tentative="1">
      <w:start w:val="1"/>
      <w:numFmt w:val="bullet"/>
      <w:lvlText w:val=""/>
      <w:lvlJc w:val="left"/>
      <w:pPr>
        <w:tabs>
          <w:tab w:val="num" w:pos="2880"/>
        </w:tabs>
        <w:ind w:left="2880" w:hanging="360"/>
      </w:pPr>
      <w:rPr>
        <w:rFonts w:ascii="Wingdings" w:hAnsi="Wingdings" w:hint="default"/>
      </w:rPr>
    </w:lvl>
    <w:lvl w:ilvl="4" w:tplc="B050941E" w:tentative="1">
      <w:start w:val="1"/>
      <w:numFmt w:val="bullet"/>
      <w:lvlText w:val=""/>
      <w:lvlJc w:val="left"/>
      <w:pPr>
        <w:tabs>
          <w:tab w:val="num" w:pos="3600"/>
        </w:tabs>
        <w:ind w:left="3600" w:hanging="360"/>
      </w:pPr>
      <w:rPr>
        <w:rFonts w:ascii="Wingdings" w:hAnsi="Wingdings" w:hint="default"/>
      </w:rPr>
    </w:lvl>
    <w:lvl w:ilvl="5" w:tplc="D22A24DE" w:tentative="1">
      <w:start w:val="1"/>
      <w:numFmt w:val="bullet"/>
      <w:lvlText w:val=""/>
      <w:lvlJc w:val="left"/>
      <w:pPr>
        <w:tabs>
          <w:tab w:val="num" w:pos="4320"/>
        </w:tabs>
        <w:ind w:left="4320" w:hanging="360"/>
      </w:pPr>
      <w:rPr>
        <w:rFonts w:ascii="Wingdings" w:hAnsi="Wingdings" w:hint="default"/>
      </w:rPr>
    </w:lvl>
    <w:lvl w:ilvl="6" w:tplc="B07CFE50" w:tentative="1">
      <w:start w:val="1"/>
      <w:numFmt w:val="bullet"/>
      <w:lvlText w:val=""/>
      <w:lvlJc w:val="left"/>
      <w:pPr>
        <w:tabs>
          <w:tab w:val="num" w:pos="5040"/>
        </w:tabs>
        <w:ind w:left="5040" w:hanging="360"/>
      </w:pPr>
      <w:rPr>
        <w:rFonts w:ascii="Wingdings" w:hAnsi="Wingdings" w:hint="default"/>
      </w:rPr>
    </w:lvl>
    <w:lvl w:ilvl="7" w:tplc="F6223FBC" w:tentative="1">
      <w:start w:val="1"/>
      <w:numFmt w:val="bullet"/>
      <w:lvlText w:val=""/>
      <w:lvlJc w:val="left"/>
      <w:pPr>
        <w:tabs>
          <w:tab w:val="num" w:pos="5760"/>
        </w:tabs>
        <w:ind w:left="5760" w:hanging="360"/>
      </w:pPr>
      <w:rPr>
        <w:rFonts w:ascii="Wingdings" w:hAnsi="Wingdings" w:hint="default"/>
      </w:rPr>
    </w:lvl>
    <w:lvl w:ilvl="8" w:tplc="6468428C" w:tentative="1">
      <w:start w:val="1"/>
      <w:numFmt w:val="bullet"/>
      <w:lvlText w:val=""/>
      <w:lvlJc w:val="left"/>
      <w:pPr>
        <w:tabs>
          <w:tab w:val="num" w:pos="6480"/>
        </w:tabs>
        <w:ind w:left="6480" w:hanging="360"/>
      </w:pPr>
      <w:rPr>
        <w:rFonts w:ascii="Wingdings" w:hAnsi="Wingdings" w:hint="default"/>
      </w:rPr>
    </w:lvl>
  </w:abstractNum>
  <w:abstractNum w:abstractNumId="8">
    <w:nsid w:val="69565A7A"/>
    <w:multiLevelType w:val="hybridMultilevel"/>
    <w:tmpl w:val="6B0C160C"/>
    <w:lvl w:ilvl="0" w:tplc="3BEAF762">
      <w:start w:val="1"/>
      <w:numFmt w:val="bullet"/>
      <w:pStyle w:val="NORCBullet1TimesNewRomanSquare"/>
      <w:lvlText w:val="■"/>
      <w:lvlJc w:val="left"/>
      <w:pPr>
        <w:ind w:left="720" w:hanging="360"/>
      </w:pPr>
      <w:rPr>
        <w:rFonts w:ascii="Times New Roman" w:hAnsi="Times New Roman" w:cs="Times New Roman" w:hint="default"/>
        <w:color w:val="F3901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827B90"/>
    <w:multiLevelType w:val="hybridMultilevel"/>
    <w:tmpl w:val="68088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num w:numId="1">
    <w:abstractNumId w:val="10"/>
  </w:num>
  <w:num w:numId="2">
    <w:abstractNumId w:val="6"/>
  </w:num>
  <w:num w:numId="3">
    <w:abstractNumId w:val="7"/>
  </w:num>
  <w:num w:numId="4">
    <w:abstractNumId w:val="1"/>
  </w:num>
  <w:num w:numId="5">
    <w:abstractNumId w:val="4"/>
  </w:num>
  <w:num w:numId="6">
    <w:abstractNumId w:val="9"/>
  </w:num>
  <w:num w:numId="7">
    <w:abstractNumId w:val="8"/>
  </w:num>
  <w:num w:numId="8">
    <w:abstractNumId w:val="5"/>
  </w:num>
  <w:num w:numId="9">
    <w:abstractNumId w:val="0"/>
  </w:num>
  <w:num w:numId="10">
    <w:abstractNumId w:val="3"/>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2C07"/>
    <w:rsid w:val="00005358"/>
    <w:rsid w:val="00005A6A"/>
    <w:rsid w:val="00011E85"/>
    <w:rsid w:val="0001271C"/>
    <w:rsid w:val="00012921"/>
    <w:rsid w:val="00012FB9"/>
    <w:rsid w:val="000140EE"/>
    <w:rsid w:val="00014CA8"/>
    <w:rsid w:val="00014E7C"/>
    <w:rsid w:val="00015AAF"/>
    <w:rsid w:val="00016177"/>
    <w:rsid w:val="00016560"/>
    <w:rsid w:val="00016651"/>
    <w:rsid w:val="00020928"/>
    <w:rsid w:val="00020D17"/>
    <w:rsid w:val="000211C4"/>
    <w:rsid w:val="00022AE2"/>
    <w:rsid w:val="000235EF"/>
    <w:rsid w:val="00024FEE"/>
    <w:rsid w:val="00025F55"/>
    <w:rsid w:val="000262CA"/>
    <w:rsid w:val="00030403"/>
    <w:rsid w:val="0003242F"/>
    <w:rsid w:val="00033301"/>
    <w:rsid w:val="000334DE"/>
    <w:rsid w:val="000360A4"/>
    <w:rsid w:val="00036A2A"/>
    <w:rsid w:val="0003731B"/>
    <w:rsid w:val="00037998"/>
    <w:rsid w:val="00040FC0"/>
    <w:rsid w:val="00041505"/>
    <w:rsid w:val="00041567"/>
    <w:rsid w:val="00041C74"/>
    <w:rsid w:val="00041DE7"/>
    <w:rsid w:val="00043473"/>
    <w:rsid w:val="0004493F"/>
    <w:rsid w:val="00044CAE"/>
    <w:rsid w:val="00045959"/>
    <w:rsid w:val="000460AA"/>
    <w:rsid w:val="00046359"/>
    <w:rsid w:val="00046F6E"/>
    <w:rsid w:val="00050151"/>
    <w:rsid w:val="00050D6A"/>
    <w:rsid w:val="00050EE9"/>
    <w:rsid w:val="00050F5D"/>
    <w:rsid w:val="0005254B"/>
    <w:rsid w:val="00053B40"/>
    <w:rsid w:val="00054D0D"/>
    <w:rsid w:val="000555F5"/>
    <w:rsid w:val="00055D1E"/>
    <w:rsid w:val="00055FC4"/>
    <w:rsid w:val="000568D4"/>
    <w:rsid w:val="00056B40"/>
    <w:rsid w:val="00057D2A"/>
    <w:rsid w:val="00061AF7"/>
    <w:rsid w:val="0006207D"/>
    <w:rsid w:val="00063396"/>
    <w:rsid w:val="00063C3B"/>
    <w:rsid w:val="00063E0B"/>
    <w:rsid w:val="000641B3"/>
    <w:rsid w:val="00065A1E"/>
    <w:rsid w:val="0006612E"/>
    <w:rsid w:val="000664AE"/>
    <w:rsid w:val="00066FC5"/>
    <w:rsid w:val="00067867"/>
    <w:rsid w:val="00070A27"/>
    <w:rsid w:val="00070EDA"/>
    <w:rsid w:val="00071306"/>
    <w:rsid w:val="000722CE"/>
    <w:rsid w:val="00073950"/>
    <w:rsid w:val="00074B31"/>
    <w:rsid w:val="00075244"/>
    <w:rsid w:val="00075EFD"/>
    <w:rsid w:val="000769F7"/>
    <w:rsid w:val="000779A9"/>
    <w:rsid w:val="00082047"/>
    <w:rsid w:val="00082EBF"/>
    <w:rsid w:val="000840CC"/>
    <w:rsid w:val="00085EF4"/>
    <w:rsid w:val="00087D52"/>
    <w:rsid w:val="0009103A"/>
    <w:rsid w:val="00093282"/>
    <w:rsid w:val="00093CC5"/>
    <w:rsid w:val="00094032"/>
    <w:rsid w:val="00094648"/>
    <w:rsid w:val="00095DBF"/>
    <w:rsid w:val="00096A12"/>
    <w:rsid w:val="00097021"/>
    <w:rsid w:val="000A016A"/>
    <w:rsid w:val="000A140E"/>
    <w:rsid w:val="000A3475"/>
    <w:rsid w:val="000A3B35"/>
    <w:rsid w:val="000B2115"/>
    <w:rsid w:val="000B27AB"/>
    <w:rsid w:val="000B27F3"/>
    <w:rsid w:val="000B2895"/>
    <w:rsid w:val="000B2C0A"/>
    <w:rsid w:val="000B78CB"/>
    <w:rsid w:val="000C28BF"/>
    <w:rsid w:val="000C2BA8"/>
    <w:rsid w:val="000C32D8"/>
    <w:rsid w:val="000C43E7"/>
    <w:rsid w:val="000C490F"/>
    <w:rsid w:val="000C6243"/>
    <w:rsid w:val="000D128A"/>
    <w:rsid w:val="000D2AF7"/>
    <w:rsid w:val="000D429E"/>
    <w:rsid w:val="000D51AB"/>
    <w:rsid w:val="000D6689"/>
    <w:rsid w:val="000D6720"/>
    <w:rsid w:val="000E01D1"/>
    <w:rsid w:val="000E0A75"/>
    <w:rsid w:val="000E2594"/>
    <w:rsid w:val="000E3FB7"/>
    <w:rsid w:val="000E4300"/>
    <w:rsid w:val="000E4DF3"/>
    <w:rsid w:val="000E50F6"/>
    <w:rsid w:val="000E5F7E"/>
    <w:rsid w:val="000E65BF"/>
    <w:rsid w:val="000E6855"/>
    <w:rsid w:val="000E7AA5"/>
    <w:rsid w:val="000F0A30"/>
    <w:rsid w:val="000F0C73"/>
    <w:rsid w:val="000F1328"/>
    <w:rsid w:val="000F2AE2"/>
    <w:rsid w:val="000F2B59"/>
    <w:rsid w:val="000F382E"/>
    <w:rsid w:val="000F4138"/>
    <w:rsid w:val="000F51DA"/>
    <w:rsid w:val="000F532C"/>
    <w:rsid w:val="000F6DB9"/>
    <w:rsid w:val="000F714D"/>
    <w:rsid w:val="000F7858"/>
    <w:rsid w:val="00101B67"/>
    <w:rsid w:val="00102042"/>
    <w:rsid w:val="001032FD"/>
    <w:rsid w:val="00103DF7"/>
    <w:rsid w:val="00104F3E"/>
    <w:rsid w:val="00105AA9"/>
    <w:rsid w:val="0010748F"/>
    <w:rsid w:val="00110316"/>
    <w:rsid w:val="00110AC2"/>
    <w:rsid w:val="0011100A"/>
    <w:rsid w:val="001111D6"/>
    <w:rsid w:val="00112C53"/>
    <w:rsid w:val="00112DF2"/>
    <w:rsid w:val="00115768"/>
    <w:rsid w:val="00115EFA"/>
    <w:rsid w:val="00117B99"/>
    <w:rsid w:val="00120A0C"/>
    <w:rsid w:val="00120DEF"/>
    <w:rsid w:val="0012216B"/>
    <w:rsid w:val="0012271D"/>
    <w:rsid w:val="0012433C"/>
    <w:rsid w:val="00124917"/>
    <w:rsid w:val="00124CDC"/>
    <w:rsid w:val="00125566"/>
    <w:rsid w:val="0012743C"/>
    <w:rsid w:val="00127739"/>
    <w:rsid w:val="00127BAD"/>
    <w:rsid w:val="001301AA"/>
    <w:rsid w:val="001305E1"/>
    <w:rsid w:val="00131443"/>
    <w:rsid w:val="00134107"/>
    <w:rsid w:val="00135E3C"/>
    <w:rsid w:val="00135FF7"/>
    <w:rsid w:val="00136013"/>
    <w:rsid w:val="00140126"/>
    <w:rsid w:val="00141E21"/>
    <w:rsid w:val="0014279F"/>
    <w:rsid w:val="0014301C"/>
    <w:rsid w:val="001438FF"/>
    <w:rsid w:val="00143AA5"/>
    <w:rsid w:val="0014781C"/>
    <w:rsid w:val="00150FAD"/>
    <w:rsid w:val="00151670"/>
    <w:rsid w:val="00154241"/>
    <w:rsid w:val="00155464"/>
    <w:rsid w:val="00155A26"/>
    <w:rsid w:val="00156214"/>
    <w:rsid w:val="00162728"/>
    <w:rsid w:val="001627D3"/>
    <w:rsid w:val="00165D76"/>
    <w:rsid w:val="00165DE6"/>
    <w:rsid w:val="00166A69"/>
    <w:rsid w:val="00167B2D"/>
    <w:rsid w:val="00167EAB"/>
    <w:rsid w:val="001709BB"/>
    <w:rsid w:val="00171872"/>
    <w:rsid w:val="00171E43"/>
    <w:rsid w:val="00171E92"/>
    <w:rsid w:val="00174B77"/>
    <w:rsid w:val="001751B4"/>
    <w:rsid w:val="00180471"/>
    <w:rsid w:val="00181038"/>
    <w:rsid w:val="001848F8"/>
    <w:rsid w:val="00185BFA"/>
    <w:rsid w:val="001868E0"/>
    <w:rsid w:val="00187115"/>
    <w:rsid w:val="00187A50"/>
    <w:rsid w:val="00191351"/>
    <w:rsid w:val="001916C6"/>
    <w:rsid w:val="00191DD2"/>
    <w:rsid w:val="00193418"/>
    <w:rsid w:val="00193B07"/>
    <w:rsid w:val="001959B5"/>
    <w:rsid w:val="00196222"/>
    <w:rsid w:val="001968A0"/>
    <w:rsid w:val="00196CC6"/>
    <w:rsid w:val="00197272"/>
    <w:rsid w:val="001972DA"/>
    <w:rsid w:val="0019743E"/>
    <w:rsid w:val="001A0F15"/>
    <w:rsid w:val="001A1743"/>
    <w:rsid w:val="001A2576"/>
    <w:rsid w:val="001A28C0"/>
    <w:rsid w:val="001A41B0"/>
    <w:rsid w:val="001A5727"/>
    <w:rsid w:val="001A584C"/>
    <w:rsid w:val="001A5EC6"/>
    <w:rsid w:val="001A7F6A"/>
    <w:rsid w:val="001B1C61"/>
    <w:rsid w:val="001B215E"/>
    <w:rsid w:val="001B2DB9"/>
    <w:rsid w:val="001B2FA0"/>
    <w:rsid w:val="001B3427"/>
    <w:rsid w:val="001B3B2A"/>
    <w:rsid w:val="001B4DC7"/>
    <w:rsid w:val="001B5923"/>
    <w:rsid w:val="001B5BFF"/>
    <w:rsid w:val="001B6ACD"/>
    <w:rsid w:val="001B7266"/>
    <w:rsid w:val="001C06AD"/>
    <w:rsid w:val="001C1E5C"/>
    <w:rsid w:val="001C1EA2"/>
    <w:rsid w:val="001C25F8"/>
    <w:rsid w:val="001C3A7A"/>
    <w:rsid w:val="001C4117"/>
    <w:rsid w:val="001C59E4"/>
    <w:rsid w:val="001C6800"/>
    <w:rsid w:val="001C6966"/>
    <w:rsid w:val="001C7F20"/>
    <w:rsid w:val="001D26B8"/>
    <w:rsid w:val="001D2820"/>
    <w:rsid w:val="001D3B38"/>
    <w:rsid w:val="001D3B5F"/>
    <w:rsid w:val="001D6295"/>
    <w:rsid w:val="001E0C57"/>
    <w:rsid w:val="001E2596"/>
    <w:rsid w:val="001E4BD7"/>
    <w:rsid w:val="001E5A3A"/>
    <w:rsid w:val="001E63C6"/>
    <w:rsid w:val="001F0A5F"/>
    <w:rsid w:val="001F278E"/>
    <w:rsid w:val="001F31A6"/>
    <w:rsid w:val="001F3D06"/>
    <w:rsid w:val="001F5169"/>
    <w:rsid w:val="001F52C2"/>
    <w:rsid w:val="001F7594"/>
    <w:rsid w:val="0020064B"/>
    <w:rsid w:val="00202A07"/>
    <w:rsid w:val="00203307"/>
    <w:rsid w:val="002033A5"/>
    <w:rsid w:val="0020344E"/>
    <w:rsid w:val="002046E1"/>
    <w:rsid w:val="00206733"/>
    <w:rsid w:val="002071A0"/>
    <w:rsid w:val="00210594"/>
    <w:rsid w:val="002116D4"/>
    <w:rsid w:val="00211C65"/>
    <w:rsid w:val="00211E70"/>
    <w:rsid w:val="0021287E"/>
    <w:rsid w:val="00212AF8"/>
    <w:rsid w:val="00212B47"/>
    <w:rsid w:val="00214A3C"/>
    <w:rsid w:val="00214DD5"/>
    <w:rsid w:val="00216638"/>
    <w:rsid w:val="0021667F"/>
    <w:rsid w:val="0021671A"/>
    <w:rsid w:val="002172AB"/>
    <w:rsid w:val="00217C2D"/>
    <w:rsid w:val="00217FD1"/>
    <w:rsid w:val="002208BA"/>
    <w:rsid w:val="00222C41"/>
    <w:rsid w:val="0022366A"/>
    <w:rsid w:val="002237C9"/>
    <w:rsid w:val="0022433B"/>
    <w:rsid w:val="00226F49"/>
    <w:rsid w:val="00227085"/>
    <w:rsid w:val="0023294F"/>
    <w:rsid w:val="00233775"/>
    <w:rsid w:val="00235D6A"/>
    <w:rsid w:val="002403AE"/>
    <w:rsid w:val="00240A75"/>
    <w:rsid w:val="002418BD"/>
    <w:rsid w:val="00241AF2"/>
    <w:rsid w:val="00243138"/>
    <w:rsid w:val="00243787"/>
    <w:rsid w:val="0024396A"/>
    <w:rsid w:val="00243C16"/>
    <w:rsid w:val="002462A1"/>
    <w:rsid w:val="002520F0"/>
    <w:rsid w:val="00252864"/>
    <w:rsid w:val="00252CCE"/>
    <w:rsid w:val="002531D5"/>
    <w:rsid w:val="00253C6A"/>
    <w:rsid w:val="00254C8C"/>
    <w:rsid w:val="0025559F"/>
    <w:rsid w:val="00255BDA"/>
    <w:rsid w:val="002573F9"/>
    <w:rsid w:val="00257899"/>
    <w:rsid w:val="00257906"/>
    <w:rsid w:val="00260E1D"/>
    <w:rsid w:val="00262E5F"/>
    <w:rsid w:val="002633DD"/>
    <w:rsid w:val="0026424E"/>
    <w:rsid w:val="00264B80"/>
    <w:rsid w:val="00265B6B"/>
    <w:rsid w:val="00265D42"/>
    <w:rsid w:val="00265ED7"/>
    <w:rsid w:val="00265F98"/>
    <w:rsid w:val="002665A1"/>
    <w:rsid w:val="0027083C"/>
    <w:rsid w:val="0027090B"/>
    <w:rsid w:val="00270B39"/>
    <w:rsid w:val="00270C75"/>
    <w:rsid w:val="00272D4F"/>
    <w:rsid w:val="00272E29"/>
    <w:rsid w:val="00273E5D"/>
    <w:rsid w:val="0027425C"/>
    <w:rsid w:val="00275248"/>
    <w:rsid w:val="00276E67"/>
    <w:rsid w:val="00277FDB"/>
    <w:rsid w:val="00280787"/>
    <w:rsid w:val="002828B5"/>
    <w:rsid w:val="00283DA6"/>
    <w:rsid w:val="00285724"/>
    <w:rsid w:val="00286ADA"/>
    <w:rsid w:val="00287B0C"/>
    <w:rsid w:val="002907C7"/>
    <w:rsid w:val="00291B73"/>
    <w:rsid w:val="00292104"/>
    <w:rsid w:val="00292176"/>
    <w:rsid w:val="00294AE7"/>
    <w:rsid w:val="00296191"/>
    <w:rsid w:val="00296E30"/>
    <w:rsid w:val="0029734C"/>
    <w:rsid w:val="002974A8"/>
    <w:rsid w:val="002A211F"/>
    <w:rsid w:val="002A3B7C"/>
    <w:rsid w:val="002A3F6F"/>
    <w:rsid w:val="002A55A8"/>
    <w:rsid w:val="002A6EB0"/>
    <w:rsid w:val="002A6EB5"/>
    <w:rsid w:val="002B1293"/>
    <w:rsid w:val="002B134F"/>
    <w:rsid w:val="002B382B"/>
    <w:rsid w:val="002B467C"/>
    <w:rsid w:val="002B4BD3"/>
    <w:rsid w:val="002B4BF2"/>
    <w:rsid w:val="002B68F9"/>
    <w:rsid w:val="002B7635"/>
    <w:rsid w:val="002C0989"/>
    <w:rsid w:val="002C377A"/>
    <w:rsid w:val="002C5639"/>
    <w:rsid w:val="002C5BEF"/>
    <w:rsid w:val="002C7AD3"/>
    <w:rsid w:val="002D20C8"/>
    <w:rsid w:val="002D241A"/>
    <w:rsid w:val="002D32E1"/>
    <w:rsid w:val="002D364E"/>
    <w:rsid w:val="002D3C1F"/>
    <w:rsid w:val="002D486C"/>
    <w:rsid w:val="002D4DEB"/>
    <w:rsid w:val="002D6255"/>
    <w:rsid w:val="002D792A"/>
    <w:rsid w:val="002D7F74"/>
    <w:rsid w:val="002E0525"/>
    <w:rsid w:val="002E0BDD"/>
    <w:rsid w:val="002E3C48"/>
    <w:rsid w:val="002E4C6A"/>
    <w:rsid w:val="002E4FD5"/>
    <w:rsid w:val="002E5217"/>
    <w:rsid w:val="002E54EF"/>
    <w:rsid w:val="002E5E9F"/>
    <w:rsid w:val="002E6D40"/>
    <w:rsid w:val="002F1690"/>
    <w:rsid w:val="002F285E"/>
    <w:rsid w:val="002F2C9D"/>
    <w:rsid w:val="002F2E33"/>
    <w:rsid w:val="002F3500"/>
    <w:rsid w:val="002F4485"/>
    <w:rsid w:val="002F4DE8"/>
    <w:rsid w:val="002F7E51"/>
    <w:rsid w:val="0030166D"/>
    <w:rsid w:val="00302210"/>
    <w:rsid w:val="00303638"/>
    <w:rsid w:val="00305575"/>
    <w:rsid w:val="00305744"/>
    <w:rsid w:val="0030660F"/>
    <w:rsid w:val="00307733"/>
    <w:rsid w:val="003113CB"/>
    <w:rsid w:val="00312FCE"/>
    <w:rsid w:val="003146B4"/>
    <w:rsid w:val="00314A2A"/>
    <w:rsid w:val="003220C3"/>
    <w:rsid w:val="00322589"/>
    <w:rsid w:val="00325B9C"/>
    <w:rsid w:val="0032681A"/>
    <w:rsid w:val="003270FA"/>
    <w:rsid w:val="00330F72"/>
    <w:rsid w:val="00331019"/>
    <w:rsid w:val="00332C87"/>
    <w:rsid w:val="0033389C"/>
    <w:rsid w:val="003345BE"/>
    <w:rsid w:val="00334D06"/>
    <w:rsid w:val="003353B6"/>
    <w:rsid w:val="00335B03"/>
    <w:rsid w:val="00336513"/>
    <w:rsid w:val="00336906"/>
    <w:rsid w:val="00337478"/>
    <w:rsid w:val="00337C5C"/>
    <w:rsid w:val="00337F4D"/>
    <w:rsid w:val="00340D97"/>
    <w:rsid w:val="003419F2"/>
    <w:rsid w:val="00342C84"/>
    <w:rsid w:val="00342CB8"/>
    <w:rsid w:val="0034325D"/>
    <w:rsid w:val="00343F93"/>
    <w:rsid w:val="0034424E"/>
    <w:rsid w:val="003461D2"/>
    <w:rsid w:val="00350066"/>
    <w:rsid w:val="00350E4E"/>
    <w:rsid w:val="00351F5A"/>
    <w:rsid w:val="00353055"/>
    <w:rsid w:val="003533FA"/>
    <w:rsid w:val="00361E49"/>
    <w:rsid w:val="00361F52"/>
    <w:rsid w:val="003626B1"/>
    <w:rsid w:val="00362AC5"/>
    <w:rsid w:val="00362E8F"/>
    <w:rsid w:val="00363525"/>
    <w:rsid w:val="0036396B"/>
    <w:rsid w:val="00364378"/>
    <w:rsid w:val="00364867"/>
    <w:rsid w:val="00365B7B"/>
    <w:rsid w:val="00367770"/>
    <w:rsid w:val="00370BAC"/>
    <w:rsid w:val="003721B3"/>
    <w:rsid w:val="0037254D"/>
    <w:rsid w:val="00372EEE"/>
    <w:rsid w:val="003733F8"/>
    <w:rsid w:val="003739DF"/>
    <w:rsid w:val="0037427A"/>
    <w:rsid w:val="003747DD"/>
    <w:rsid w:val="00374897"/>
    <w:rsid w:val="00376868"/>
    <w:rsid w:val="00377301"/>
    <w:rsid w:val="0037771B"/>
    <w:rsid w:val="00377D6D"/>
    <w:rsid w:val="00377D80"/>
    <w:rsid w:val="00380954"/>
    <w:rsid w:val="0038217D"/>
    <w:rsid w:val="003822A2"/>
    <w:rsid w:val="00382F92"/>
    <w:rsid w:val="00384371"/>
    <w:rsid w:val="003852DB"/>
    <w:rsid w:val="00387405"/>
    <w:rsid w:val="0039115E"/>
    <w:rsid w:val="003915C7"/>
    <w:rsid w:val="003945A5"/>
    <w:rsid w:val="00396639"/>
    <w:rsid w:val="003A001F"/>
    <w:rsid w:val="003A0672"/>
    <w:rsid w:val="003A14B4"/>
    <w:rsid w:val="003A1564"/>
    <w:rsid w:val="003A4F09"/>
    <w:rsid w:val="003A606E"/>
    <w:rsid w:val="003A6468"/>
    <w:rsid w:val="003A7247"/>
    <w:rsid w:val="003B08C8"/>
    <w:rsid w:val="003B21D0"/>
    <w:rsid w:val="003B28CB"/>
    <w:rsid w:val="003B2951"/>
    <w:rsid w:val="003B3E8A"/>
    <w:rsid w:val="003B4186"/>
    <w:rsid w:val="003B45CA"/>
    <w:rsid w:val="003B5859"/>
    <w:rsid w:val="003B6873"/>
    <w:rsid w:val="003B6B41"/>
    <w:rsid w:val="003B75D0"/>
    <w:rsid w:val="003B7C41"/>
    <w:rsid w:val="003C30BF"/>
    <w:rsid w:val="003C3613"/>
    <w:rsid w:val="003C4640"/>
    <w:rsid w:val="003C5E0C"/>
    <w:rsid w:val="003C60BD"/>
    <w:rsid w:val="003C6FD4"/>
    <w:rsid w:val="003C7B91"/>
    <w:rsid w:val="003D097C"/>
    <w:rsid w:val="003D0FF6"/>
    <w:rsid w:val="003D21A7"/>
    <w:rsid w:val="003D3404"/>
    <w:rsid w:val="003D35C3"/>
    <w:rsid w:val="003D37A0"/>
    <w:rsid w:val="003D3937"/>
    <w:rsid w:val="003D3B46"/>
    <w:rsid w:val="003D535B"/>
    <w:rsid w:val="003D73D8"/>
    <w:rsid w:val="003D745B"/>
    <w:rsid w:val="003E10DA"/>
    <w:rsid w:val="003E122A"/>
    <w:rsid w:val="003E190C"/>
    <w:rsid w:val="003E2801"/>
    <w:rsid w:val="003E5A6E"/>
    <w:rsid w:val="003E67A6"/>
    <w:rsid w:val="003F0E28"/>
    <w:rsid w:val="003F5921"/>
    <w:rsid w:val="003F5C2B"/>
    <w:rsid w:val="003F62F6"/>
    <w:rsid w:val="003F7744"/>
    <w:rsid w:val="003F7E63"/>
    <w:rsid w:val="003F7F8C"/>
    <w:rsid w:val="00401427"/>
    <w:rsid w:val="00401B28"/>
    <w:rsid w:val="00402680"/>
    <w:rsid w:val="00402D32"/>
    <w:rsid w:val="004040DD"/>
    <w:rsid w:val="00406013"/>
    <w:rsid w:val="0040737C"/>
    <w:rsid w:val="00407FF9"/>
    <w:rsid w:val="00411A66"/>
    <w:rsid w:val="004131BC"/>
    <w:rsid w:val="00414C80"/>
    <w:rsid w:val="004155E1"/>
    <w:rsid w:val="00420586"/>
    <w:rsid w:val="00420AEC"/>
    <w:rsid w:val="00422F32"/>
    <w:rsid w:val="00423065"/>
    <w:rsid w:val="0042312A"/>
    <w:rsid w:val="00423E8F"/>
    <w:rsid w:val="0042421E"/>
    <w:rsid w:val="00424D53"/>
    <w:rsid w:val="00425974"/>
    <w:rsid w:val="00425CCD"/>
    <w:rsid w:val="004261ED"/>
    <w:rsid w:val="00426867"/>
    <w:rsid w:val="00427C6F"/>
    <w:rsid w:val="0043192D"/>
    <w:rsid w:val="004322D9"/>
    <w:rsid w:val="00432FD4"/>
    <w:rsid w:val="004330FF"/>
    <w:rsid w:val="00433651"/>
    <w:rsid w:val="00434372"/>
    <w:rsid w:val="0043596B"/>
    <w:rsid w:val="00436244"/>
    <w:rsid w:val="00437CF0"/>
    <w:rsid w:val="00440607"/>
    <w:rsid w:val="00440AC5"/>
    <w:rsid w:val="004427CE"/>
    <w:rsid w:val="00444334"/>
    <w:rsid w:val="004459FD"/>
    <w:rsid w:val="0044769A"/>
    <w:rsid w:val="004477D7"/>
    <w:rsid w:val="00447E20"/>
    <w:rsid w:val="00450538"/>
    <w:rsid w:val="00451DD9"/>
    <w:rsid w:val="00452268"/>
    <w:rsid w:val="00453A11"/>
    <w:rsid w:val="00454A76"/>
    <w:rsid w:val="00456179"/>
    <w:rsid w:val="00456A80"/>
    <w:rsid w:val="004578A4"/>
    <w:rsid w:val="00460F16"/>
    <w:rsid w:val="004620E7"/>
    <w:rsid w:val="004626E9"/>
    <w:rsid w:val="004628A9"/>
    <w:rsid w:val="00464B30"/>
    <w:rsid w:val="00464D3A"/>
    <w:rsid w:val="004670A7"/>
    <w:rsid w:val="004670C2"/>
    <w:rsid w:val="00467163"/>
    <w:rsid w:val="004704D6"/>
    <w:rsid w:val="00472087"/>
    <w:rsid w:val="004730C1"/>
    <w:rsid w:val="00474D22"/>
    <w:rsid w:val="0047504D"/>
    <w:rsid w:val="004760F2"/>
    <w:rsid w:val="00476288"/>
    <w:rsid w:val="004762B9"/>
    <w:rsid w:val="00480523"/>
    <w:rsid w:val="00481038"/>
    <w:rsid w:val="004811AD"/>
    <w:rsid w:val="004811DF"/>
    <w:rsid w:val="0048126B"/>
    <w:rsid w:val="00481E11"/>
    <w:rsid w:val="0048374E"/>
    <w:rsid w:val="004847BF"/>
    <w:rsid w:val="00486420"/>
    <w:rsid w:val="0048769A"/>
    <w:rsid w:val="00492299"/>
    <w:rsid w:val="00492F5F"/>
    <w:rsid w:val="00493F89"/>
    <w:rsid w:val="004941C5"/>
    <w:rsid w:val="004A2263"/>
    <w:rsid w:val="004A253F"/>
    <w:rsid w:val="004A3675"/>
    <w:rsid w:val="004A47C8"/>
    <w:rsid w:val="004A59A5"/>
    <w:rsid w:val="004A5FF8"/>
    <w:rsid w:val="004A624D"/>
    <w:rsid w:val="004A7A75"/>
    <w:rsid w:val="004B171F"/>
    <w:rsid w:val="004B3334"/>
    <w:rsid w:val="004B441D"/>
    <w:rsid w:val="004B5B9E"/>
    <w:rsid w:val="004B6CD5"/>
    <w:rsid w:val="004B73AB"/>
    <w:rsid w:val="004C051F"/>
    <w:rsid w:val="004C1428"/>
    <w:rsid w:val="004C1DFE"/>
    <w:rsid w:val="004C2AB2"/>
    <w:rsid w:val="004C3195"/>
    <w:rsid w:val="004C3BA7"/>
    <w:rsid w:val="004C4143"/>
    <w:rsid w:val="004C4A74"/>
    <w:rsid w:val="004C4C52"/>
    <w:rsid w:val="004C4DF0"/>
    <w:rsid w:val="004C5AEB"/>
    <w:rsid w:val="004C71E7"/>
    <w:rsid w:val="004D0520"/>
    <w:rsid w:val="004D0630"/>
    <w:rsid w:val="004D0DBD"/>
    <w:rsid w:val="004D4F98"/>
    <w:rsid w:val="004D684C"/>
    <w:rsid w:val="004E0DDF"/>
    <w:rsid w:val="004E16F6"/>
    <w:rsid w:val="004E3677"/>
    <w:rsid w:val="004E3803"/>
    <w:rsid w:val="004E3A1B"/>
    <w:rsid w:val="004E47E3"/>
    <w:rsid w:val="004E6040"/>
    <w:rsid w:val="004E650A"/>
    <w:rsid w:val="004F356B"/>
    <w:rsid w:val="004F3FF4"/>
    <w:rsid w:val="004F4174"/>
    <w:rsid w:val="004F4A5D"/>
    <w:rsid w:val="004F6887"/>
    <w:rsid w:val="00501240"/>
    <w:rsid w:val="00501308"/>
    <w:rsid w:val="00501370"/>
    <w:rsid w:val="005027C8"/>
    <w:rsid w:val="00502C17"/>
    <w:rsid w:val="00502C39"/>
    <w:rsid w:val="00504583"/>
    <w:rsid w:val="00507F45"/>
    <w:rsid w:val="00510909"/>
    <w:rsid w:val="00511410"/>
    <w:rsid w:val="00511A31"/>
    <w:rsid w:val="00516087"/>
    <w:rsid w:val="00520CE0"/>
    <w:rsid w:val="00521325"/>
    <w:rsid w:val="00521868"/>
    <w:rsid w:val="00522242"/>
    <w:rsid w:val="0052353D"/>
    <w:rsid w:val="00523C7C"/>
    <w:rsid w:val="00523E79"/>
    <w:rsid w:val="0052522D"/>
    <w:rsid w:val="005258AF"/>
    <w:rsid w:val="00525F8F"/>
    <w:rsid w:val="00526B37"/>
    <w:rsid w:val="00527BBD"/>
    <w:rsid w:val="00530219"/>
    <w:rsid w:val="00530393"/>
    <w:rsid w:val="00531857"/>
    <w:rsid w:val="00531DE6"/>
    <w:rsid w:val="0053225B"/>
    <w:rsid w:val="00532C0C"/>
    <w:rsid w:val="005357C3"/>
    <w:rsid w:val="00535B56"/>
    <w:rsid w:val="005361EF"/>
    <w:rsid w:val="0054079E"/>
    <w:rsid w:val="00541453"/>
    <w:rsid w:val="00541C31"/>
    <w:rsid w:val="005442D9"/>
    <w:rsid w:val="00544462"/>
    <w:rsid w:val="00544591"/>
    <w:rsid w:val="00545BAC"/>
    <w:rsid w:val="005477D6"/>
    <w:rsid w:val="00547B59"/>
    <w:rsid w:val="00550933"/>
    <w:rsid w:val="005521FC"/>
    <w:rsid w:val="0055259C"/>
    <w:rsid w:val="005543BD"/>
    <w:rsid w:val="00555932"/>
    <w:rsid w:val="00556066"/>
    <w:rsid w:val="00561062"/>
    <w:rsid w:val="0056238F"/>
    <w:rsid w:val="00562469"/>
    <w:rsid w:val="005640E1"/>
    <w:rsid w:val="005668F1"/>
    <w:rsid w:val="00566CF8"/>
    <w:rsid w:val="00570AF3"/>
    <w:rsid w:val="00570B4D"/>
    <w:rsid w:val="005715AE"/>
    <w:rsid w:val="00572183"/>
    <w:rsid w:val="00574A15"/>
    <w:rsid w:val="00576E4B"/>
    <w:rsid w:val="0058077C"/>
    <w:rsid w:val="0058162F"/>
    <w:rsid w:val="00581FD2"/>
    <w:rsid w:val="005820B1"/>
    <w:rsid w:val="00582705"/>
    <w:rsid w:val="00583B0F"/>
    <w:rsid w:val="00585D59"/>
    <w:rsid w:val="00590844"/>
    <w:rsid w:val="00590BF1"/>
    <w:rsid w:val="0059189B"/>
    <w:rsid w:val="00592AF3"/>
    <w:rsid w:val="00593E67"/>
    <w:rsid w:val="00594BAB"/>
    <w:rsid w:val="005951E8"/>
    <w:rsid w:val="00595AE6"/>
    <w:rsid w:val="005A1854"/>
    <w:rsid w:val="005A1941"/>
    <w:rsid w:val="005A400B"/>
    <w:rsid w:val="005A44CD"/>
    <w:rsid w:val="005A5DA7"/>
    <w:rsid w:val="005B1798"/>
    <w:rsid w:val="005B28BB"/>
    <w:rsid w:val="005B2931"/>
    <w:rsid w:val="005B2955"/>
    <w:rsid w:val="005B3637"/>
    <w:rsid w:val="005B3C01"/>
    <w:rsid w:val="005B40A9"/>
    <w:rsid w:val="005B62CF"/>
    <w:rsid w:val="005B6FAA"/>
    <w:rsid w:val="005B715B"/>
    <w:rsid w:val="005C0445"/>
    <w:rsid w:val="005C0928"/>
    <w:rsid w:val="005C1538"/>
    <w:rsid w:val="005C1681"/>
    <w:rsid w:val="005C2236"/>
    <w:rsid w:val="005C3FA0"/>
    <w:rsid w:val="005C4F72"/>
    <w:rsid w:val="005C6A93"/>
    <w:rsid w:val="005C72EC"/>
    <w:rsid w:val="005C762B"/>
    <w:rsid w:val="005C7A9C"/>
    <w:rsid w:val="005C7CC5"/>
    <w:rsid w:val="005D023A"/>
    <w:rsid w:val="005D308C"/>
    <w:rsid w:val="005D3577"/>
    <w:rsid w:val="005D3FC8"/>
    <w:rsid w:val="005D6D09"/>
    <w:rsid w:val="005E17B0"/>
    <w:rsid w:val="005E1D6A"/>
    <w:rsid w:val="005E36E7"/>
    <w:rsid w:val="005E4215"/>
    <w:rsid w:val="005E492D"/>
    <w:rsid w:val="005E49B8"/>
    <w:rsid w:val="005F01AE"/>
    <w:rsid w:val="005F1B86"/>
    <w:rsid w:val="005F1BF2"/>
    <w:rsid w:val="005F4607"/>
    <w:rsid w:val="005F4B12"/>
    <w:rsid w:val="005F55E1"/>
    <w:rsid w:val="005F62C8"/>
    <w:rsid w:val="005F63D4"/>
    <w:rsid w:val="005F7B05"/>
    <w:rsid w:val="005F7C30"/>
    <w:rsid w:val="0060047D"/>
    <w:rsid w:val="006014DB"/>
    <w:rsid w:val="00602497"/>
    <w:rsid w:val="00603860"/>
    <w:rsid w:val="00604437"/>
    <w:rsid w:val="0060480F"/>
    <w:rsid w:val="00606400"/>
    <w:rsid w:val="00607FDB"/>
    <w:rsid w:val="00610409"/>
    <w:rsid w:val="00610AC6"/>
    <w:rsid w:val="00610BD7"/>
    <w:rsid w:val="00611A4D"/>
    <w:rsid w:val="006130BA"/>
    <w:rsid w:val="00613C05"/>
    <w:rsid w:val="00614B6A"/>
    <w:rsid w:val="00615392"/>
    <w:rsid w:val="00615F33"/>
    <w:rsid w:val="006160E9"/>
    <w:rsid w:val="00616713"/>
    <w:rsid w:val="00620B93"/>
    <w:rsid w:val="006211AD"/>
    <w:rsid w:val="00623547"/>
    <w:rsid w:val="00623FD8"/>
    <w:rsid w:val="0062518C"/>
    <w:rsid w:val="00625C1B"/>
    <w:rsid w:val="00626D1D"/>
    <w:rsid w:val="006271E1"/>
    <w:rsid w:val="00631C81"/>
    <w:rsid w:val="00633677"/>
    <w:rsid w:val="00633DA0"/>
    <w:rsid w:val="00635119"/>
    <w:rsid w:val="00636A0C"/>
    <w:rsid w:val="00636EEF"/>
    <w:rsid w:val="00637706"/>
    <w:rsid w:val="00637B97"/>
    <w:rsid w:val="00640462"/>
    <w:rsid w:val="00640B97"/>
    <w:rsid w:val="00640EB2"/>
    <w:rsid w:val="006414D8"/>
    <w:rsid w:val="006437CA"/>
    <w:rsid w:val="00643CB1"/>
    <w:rsid w:val="006443DD"/>
    <w:rsid w:val="00644DE4"/>
    <w:rsid w:val="006457E1"/>
    <w:rsid w:val="00646624"/>
    <w:rsid w:val="0064695D"/>
    <w:rsid w:val="0064723A"/>
    <w:rsid w:val="0065029F"/>
    <w:rsid w:val="00650808"/>
    <w:rsid w:val="00651E61"/>
    <w:rsid w:val="00653E89"/>
    <w:rsid w:val="00654138"/>
    <w:rsid w:val="006549B1"/>
    <w:rsid w:val="00654F33"/>
    <w:rsid w:val="0065583B"/>
    <w:rsid w:val="00655A17"/>
    <w:rsid w:val="00656651"/>
    <w:rsid w:val="00660009"/>
    <w:rsid w:val="00662A89"/>
    <w:rsid w:val="00662DC5"/>
    <w:rsid w:val="006633D3"/>
    <w:rsid w:val="00664384"/>
    <w:rsid w:val="00664D69"/>
    <w:rsid w:val="006672C0"/>
    <w:rsid w:val="0066792A"/>
    <w:rsid w:val="00671AF1"/>
    <w:rsid w:val="00672A73"/>
    <w:rsid w:val="00673146"/>
    <w:rsid w:val="00673643"/>
    <w:rsid w:val="006742DC"/>
    <w:rsid w:val="00674D05"/>
    <w:rsid w:val="0067619A"/>
    <w:rsid w:val="00680A33"/>
    <w:rsid w:val="0068529F"/>
    <w:rsid w:val="00686CCA"/>
    <w:rsid w:val="006902B1"/>
    <w:rsid w:val="006906E4"/>
    <w:rsid w:val="00691197"/>
    <w:rsid w:val="0069176B"/>
    <w:rsid w:val="00691AE8"/>
    <w:rsid w:val="00693147"/>
    <w:rsid w:val="006934CA"/>
    <w:rsid w:val="0069410E"/>
    <w:rsid w:val="00695879"/>
    <w:rsid w:val="00696283"/>
    <w:rsid w:val="00696B70"/>
    <w:rsid w:val="006A17EB"/>
    <w:rsid w:val="006A1F96"/>
    <w:rsid w:val="006A28E1"/>
    <w:rsid w:val="006A2CE4"/>
    <w:rsid w:val="006A3037"/>
    <w:rsid w:val="006A39E5"/>
    <w:rsid w:val="006A46FF"/>
    <w:rsid w:val="006A4D4E"/>
    <w:rsid w:val="006A6418"/>
    <w:rsid w:val="006B0941"/>
    <w:rsid w:val="006B0F22"/>
    <w:rsid w:val="006B1524"/>
    <w:rsid w:val="006B278F"/>
    <w:rsid w:val="006B3752"/>
    <w:rsid w:val="006B3DC5"/>
    <w:rsid w:val="006B4A25"/>
    <w:rsid w:val="006B4EDE"/>
    <w:rsid w:val="006B52DD"/>
    <w:rsid w:val="006B555B"/>
    <w:rsid w:val="006B7333"/>
    <w:rsid w:val="006C164F"/>
    <w:rsid w:val="006C45D0"/>
    <w:rsid w:val="006D1BEB"/>
    <w:rsid w:val="006D1C5E"/>
    <w:rsid w:val="006D25DC"/>
    <w:rsid w:val="006D3A6A"/>
    <w:rsid w:val="006D4351"/>
    <w:rsid w:val="006D4B00"/>
    <w:rsid w:val="006D5791"/>
    <w:rsid w:val="006D7C04"/>
    <w:rsid w:val="006D7C70"/>
    <w:rsid w:val="006E03B9"/>
    <w:rsid w:val="006E0A89"/>
    <w:rsid w:val="006E43EA"/>
    <w:rsid w:val="006E455F"/>
    <w:rsid w:val="006E5349"/>
    <w:rsid w:val="006E5829"/>
    <w:rsid w:val="006E60FB"/>
    <w:rsid w:val="006E6D7C"/>
    <w:rsid w:val="006F03B6"/>
    <w:rsid w:val="006F045C"/>
    <w:rsid w:val="006F1B69"/>
    <w:rsid w:val="006F2825"/>
    <w:rsid w:val="006F292D"/>
    <w:rsid w:val="006F2BE5"/>
    <w:rsid w:val="006F45AB"/>
    <w:rsid w:val="006F60D2"/>
    <w:rsid w:val="006F6507"/>
    <w:rsid w:val="0070072D"/>
    <w:rsid w:val="0070286A"/>
    <w:rsid w:val="00703573"/>
    <w:rsid w:val="00705C8F"/>
    <w:rsid w:val="00705FF1"/>
    <w:rsid w:val="00706C58"/>
    <w:rsid w:val="00707895"/>
    <w:rsid w:val="00710887"/>
    <w:rsid w:val="007109B1"/>
    <w:rsid w:val="00710C91"/>
    <w:rsid w:val="007110E0"/>
    <w:rsid w:val="007129F5"/>
    <w:rsid w:val="007169AE"/>
    <w:rsid w:val="007208E0"/>
    <w:rsid w:val="00721FD5"/>
    <w:rsid w:val="007226BE"/>
    <w:rsid w:val="00723075"/>
    <w:rsid w:val="007248C7"/>
    <w:rsid w:val="007257A3"/>
    <w:rsid w:val="00725ADA"/>
    <w:rsid w:val="00727FCD"/>
    <w:rsid w:val="00731E36"/>
    <w:rsid w:val="00732EC7"/>
    <w:rsid w:val="00733003"/>
    <w:rsid w:val="00733323"/>
    <w:rsid w:val="0073362C"/>
    <w:rsid w:val="007336F6"/>
    <w:rsid w:val="00734613"/>
    <w:rsid w:val="00735869"/>
    <w:rsid w:val="00735FCB"/>
    <w:rsid w:val="007374BC"/>
    <w:rsid w:val="007407EB"/>
    <w:rsid w:val="00740FCF"/>
    <w:rsid w:val="0074156F"/>
    <w:rsid w:val="00742406"/>
    <w:rsid w:val="00743797"/>
    <w:rsid w:val="00744A98"/>
    <w:rsid w:val="00744D19"/>
    <w:rsid w:val="00744E84"/>
    <w:rsid w:val="007450CB"/>
    <w:rsid w:val="00747A7E"/>
    <w:rsid w:val="00747D2F"/>
    <w:rsid w:val="00750F96"/>
    <w:rsid w:val="00751919"/>
    <w:rsid w:val="00751CD9"/>
    <w:rsid w:val="00752085"/>
    <w:rsid w:val="00752250"/>
    <w:rsid w:val="00752EA8"/>
    <w:rsid w:val="00753A8A"/>
    <w:rsid w:val="00753D93"/>
    <w:rsid w:val="00753E41"/>
    <w:rsid w:val="007573DC"/>
    <w:rsid w:val="0076335A"/>
    <w:rsid w:val="007633A9"/>
    <w:rsid w:val="00763548"/>
    <w:rsid w:val="00764F69"/>
    <w:rsid w:val="00765D1A"/>
    <w:rsid w:val="00766ACB"/>
    <w:rsid w:val="00767BA0"/>
    <w:rsid w:val="007700A7"/>
    <w:rsid w:val="007721F3"/>
    <w:rsid w:val="00772881"/>
    <w:rsid w:val="00773900"/>
    <w:rsid w:val="00774E2C"/>
    <w:rsid w:val="00775D44"/>
    <w:rsid w:val="00776654"/>
    <w:rsid w:val="00776D58"/>
    <w:rsid w:val="0077723C"/>
    <w:rsid w:val="007775B4"/>
    <w:rsid w:val="00777A65"/>
    <w:rsid w:val="00780173"/>
    <w:rsid w:val="00780979"/>
    <w:rsid w:val="00780A40"/>
    <w:rsid w:val="007827AF"/>
    <w:rsid w:val="00782CDF"/>
    <w:rsid w:val="00782E16"/>
    <w:rsid w:val="00784A8B"/>
    <w:rsid w:val="00785F40"/>
    <w:rsid w:val="00786B01"/>
    <w:rsid w:val="00786E44"/>
    <w:rsid w:val="00793784"/>
    <w:rsid w:val="00794542"/>
    <w:rsid w:val="00794D5E"/>
    <w:rsid w:val="00796350"/>
    <w:rsid w:val="00797804"/>
    <w:rsid w:val="007A01D9"/>
    <w:rsid w:val="007A0320"/>
    <w:rsid w:val="007A1739"/>
    <w:rsid w:val="007A1EF9"/>
    <w:rsid w:val="007A2590"/>
    <w:rsid w:val="007A265C"/>
    <w:rsid w:val="007A37C6"/>
    <w:rsid w:val="007A3B5D"/>
    <w:rsid w:val="007A4CF9"/>
    <w:rsid w:val="007B0CF3"/>
    <w:rsid w:val="007B0DC5"/>
    <w:rsid w:val="007B221D"/>
    <w:rsid w:val="007B2438"/>
    <w:rsid w:val="007B28DD"/>
    <w:rsid w:val="007B29C8"/>
    <w:rsid w:val="007B3A8E"/>
    <w:rsid w:val="007B3BA3"/>
    <w:rsid w:val="007B4A27"/>
    <w:rsid w:val="007B4D24"/>
    <w:rsid w:val="007C0723"/>
    <w:rsid w:val="007C0963"/>
    <w:rsid w:val="007C1ECB"/>
    <w:rsid w:val="007D0097"/>
    <w:rsid w:val="007D03F7"/>
    <w:rsid w:val="007D0C89"/>
    <w:rsid w:val="007D0CB5"/>
    <w:rsid w:val="007D1A6A"/>
    <w:rsid w:val="007D4F9F"/>
    <w:rsid w:val="007D52B2"/>
    <w:rsid w:val="007D5337"/>
    <w:rsid w:val="007D56A7"/>
    <w:rsid w:val="007D6782"/>
    <w:rsid w:val="007E1551"/>
    <w:rsid w:val="007E311A"/>
    <w:rsid w:val="007E41CF"/>
    <w:rsid w:val="007E4359"/>
    <w:rsid w:val="007E436E"/>
    <w:rsid w:val="007E47B3"/>
    <w:rsid w:val="007E4DF4"/>
    <w:rsid w:val="007E5A5A"/>
    <w:rsid w:val="007E5A5D"/>
    <w:rsid w:val="007E6093"/>
    <w:rsid w:val="007E6716"/>
    <w:rsid w:val="007E691A"/>
    <w:rsid w:val="007E7FDC"/>
    <w:rsid w:val="007F3599"/>
    <w:rsid w:val="007F4E86"/>
    <w:rsid w:val="007F5CB2"/>
    <w:rsid w:val="007F642A"/>
    <w:rsid w:val="007F7A36"/>
    <w:rsid w:val="00800081"/>
    <w:rsid w:val="0080067B"/>
    <w:rsid w:val="00801203"/>
    <w:rsid w:val="00801C7E"/>
    <w:rsid w:val="00802367"/>
    <w:rsid w:val="00802BBD"/>
    <w:rsid w:val="008040FB"/>
    <w:rsid w:val="00805877"/>
    <w:rsid w:val="0080612B"/>
    <w:rsid w:val="008064BC"/>
    <w:rsid w:val="008065A0"/>
    <w:rsid w:val="00807185"/>
    <w:rsid w:val="00811735"/>
    <w:rsid w:val="00817DA0"/>
    <w:rsid w:val="0082220D"/>
    <w:rsid w:val="008225B0"/>
    <w:rsid w:val="0082298E"/>
    <w:rsid w:val="0082588E"/>
    <w:rsid w:val="00825DA9"/>
    <w:rsid w:val="00826E33"/>
    <w:rsid w:val="00827391"/>
    <w:rsid w:val="00827399"/>
    <w:rsid w:val="00830154"/>
    <w:rsid w:val="0083145C"/>
    <w:rsid w:val="00832E1C"/>
    <w:rsid w:val="00832F16"/>
    <w:rsid w:val="00833411"/>
    <w:rsid w:val="0084059E"/>
    <w:rsid w:val="00841047"/>
    <w:rsid w:val="00843611"/>
    <w:rsid w:val="00843955"/>
    <w:rsid w:val="00843BE9"/>
    <w:rsid w:val="008450C0"/>
    <w:rsid w:val="00845B0A"/>
    <w:rsid w:val="00845F04"/>
    <w:rsid w:val="008463CF"/>
    <w:rsid w:val="008470D3"/>
    <w:rsid w:val="00850DCE"/>
    <w:rsid w:val="00853D04"/>
    <w:rsid w:val="00855719"/>
    <w:rsid w:val="008573ED"/>
    <w:rsid w:val="00857815"/>
    <w:rsid w:val="00857937"/>
    <w:rsid w:val="00860A2B"/>
    <w:rsid w:val="008615CB"/>
    <w:rsid w:val="0086189F"/>
    <w:rsid w:val="00861E61"/>
    <w:rsid w:val="00866F9A"/>
    <w:rsid w:val="00867180"/>
    <w:rsid w:val="00867FD6"/>
    <w:rsid w:val="00871895"/>
    <w:rsid w:val="00871B1F"/>
    <w:rsid w:val="00872CFD"/>
    <w:rsid w:val="00873F74"/>
    <w:rsid w:val="0087485C"/>
    <w:rsid w:val="00876B60"/>
    <w:rsid w:val="00877448"/>
    <w:rsid w:val="008804E1"/>
    <w:rsid w:val="00880C74"/>
    <w:rsid w:val="00880DFE"/>
    <w:rsid w:val="00880ED1"/>
    <w:rsid w:val="00880F8C"/>
    <w:rsid w:val="00882374"/>
    <w:rsid w:val="00883001"/>
    <w:rsid w:val="0088342E"/>
    <w:rsid w:val="00883AB5"/>
    <w:rsid w:val="008844E8"/>
    <w:rsid w:val="0088452B"/>
    <w:rsid w:val="00884BE5"/>
    <w:rsid w:val="00885C43"/>
    <w:rsid w:val="00886EAB"/>
    <w:rsid w:val="00887F65"/>
    <w:rsid w:val="00891DB2"/>
    <w:rsid w:val="0089261D"/>
    <w:rsid w:val="00892655"/>
    <w:rsid w:val="00895FDE"/>
    <w:rsid w:val="00896D9C"/>
    <w:rsid w:val="008A1CA0"/>
    <w:rsid w:val="008A235B"/>
    <w:rsid w:val="008A2A14"/>
    <w:rsid w:val="008A30B9"/>
    <w:rsid w:val="008A3C74"/>
    <w:rsid w:val="008A45EB"/>
    <w:rsid w:val="008A53E3"/>
    <w:rsid w:val="008A5BFF"/>
    <w:rsid w:val="008A61AE"/>
    <w:rsid w:val="008A62B6"/>
    <w:rsid w:val="008B1032"/>
    <w:rsid w:val="008B1613"/>
    <w:rsid w:val="008B1D62"/>
    <w:rsid w:val="008B1F1C"/>
    <w:rsid w:val="008B2FB4"/>
    <w:rsid w:val="008B3190"/>
    <w:rsid w:val="008B3FA3"/>
    <w:rsid w:val="008B54AA"/>
    <w:rsid w:val="008B593F"/>
    <w:rsid w:val="008B5F64"/>
    <w:rsid w:val="008B618B"/>
    <w:rsid w:val="008B7CC6"/>
    <w:rsid w:val="008C0F64"/>
    <w:rsid w:val="008C2356"/>
    <w:rsid w:val="008C462A"/>
    <w:rsid w:val="008C580E"/>
    <w:rsid w:val="008C6200"/>
    <w:rsid w:val="008C661D"/>
    <w:rsid w:val="008C66C8"/>
    <w:rsid w:val="008C7F0A"/>
    <w:rsid w:val="008D028E"/>
    <w:rsid w:val="008D201C"/>
    <w:rsid w:val="008D53DC"/>
    <w:rsid w:val="008E0A3B"/>
    <w:rsid w:val="008E0C54"/>
    <w:rsid w:val="008E19BE"/>
    <w:rsid w:val="008E22ED"/>
    <w:rsid w:val="008E3C2D"/>
    <w:rsid w:val="008E3EB1"/>
    <w:rsid w:val="008E3F4B"/>
    <w:rsid w:val="008E3F82"/>
    <w:rsid w:val="008E434C"/>
    <w:rsid w:val="008E4FC9"/>
    <w:rsid w:val="008E567E"/>
    <w:rsid w:val="008E5A53"/>
    <w:rsid w:val="008E6AA2"/>
    <w:rsid w:val="008E6FAF"/>
    <w:rsid w:val="008E71F4"/>
    <w:rsid w:val="008E7EC6"/>
    <w:rsid w:val="008F00ED"/>
    <w:rsid w:val="008F0B8B"/>
    <w:rsid w:val="008F0BEF"/>
    <w:rsid w:val="008F169C"/>
    <w:rsid w:val="008F1836"/>
    <w:rsid w:val="008F2096"/>
    <w:rsid w:val="008F3F17"/>
    <w:rsid w:val="008F5093"/>
    <w:rsid w:val="008F60FC"/>
    <w:rsid w:val="008F72B0"/>
    <w:rsid w:val="008F7E01"/>
    <w:rsid w:val="0090176F"/>
    <w:rsid w:val="0090243A"/>
    <w:rsid w:val="009024AF"/>
    <w:rsid w:val="00903204"/>
    <w:rsid w:val="00904CC3"/>
    <w:rsid w:val="00905405"/>
    <w:rsid w:val="00907108"/>
    <w:rsid w:val="00910BF9"/>
    <w:rsid w:val="00911B01"/>
    <w:rsid w:val="00911E10"/>
    <w:rsid w:val="0091230B"/>
    <w:rsid w:val="009138FA"/>
    <w:rsid w:val="009157ED"/>
    <w:rsid w:val="009161FF"/>
    <w:rsid w:val="009162B1"/>
    <w:rsid w:val="00916518"/>
    <w:rsid w:val="009218CB"/>
    <w:rsid w:val="0092231F"/>
    <w:rsid w:val="00923394"/>
    <w:rsid w:val="00923B7E"/>
    <w:rsid w:val="009272DB"/>
    <w:rsid w:val="0093018C"/>
    <w:rsid w:val="0093389A"/>
    <w:rsid w:val="00934B54"/>
    <w:rsid w:val="00934E48"/>
    <w:rsid w:val="00934FA2"/>
    <w:rsid w:val="00937236"/>
    <w:rsid w:val="009374DF"/>
    <w:rsid w:val="00937941"/>
    <w:rsid w:val="00940A49"/>
    <w:rsid w:val="00940EEF"/>
    <w:rsid w:val="009416D7"/>
    <w:rsid w:val="0094446F"/>
    <w:rsid w:val="0094575D"/>
    <w:rsid w:val="00945E34"/>
    <w:rsid w:val="009475D6"/>
    <w:rsid w:val="00950C6F"/>
    <w:rsid w:val="009537FA"/>
    <w:rsid w:val="009539C3"/>
    <w:rsid w:val="00955553"/>
    <w:rsid w:val="00955B04"/>
    <w:rsid w:val="0095674B"/>
    <w:rsid w:val="00956BF6"/>
    <w:rsid w:val="00956C15"/>
    <w:rsid w:val="00957FF2"/>
    <w:rsid w:val="00960F0D"/>
    <w:rsid w:val="00960F8C"/>
    <w:rsid w:val="00962D6F"/>
    <w:rsid w:val="009638F8"/>
    <w:rsid w:val="009644AE"/>
    <w:rsid w:val="00965D46"/>
    <w:rsid w:val="00967775"/>
    <w:rsid w:val="00967961"/>
    <w:rsid w:val="009700D5"/>
    <w:rsid w:val="009717B9"/>
    <w:rsid w:val="00971828"/>
    <w:rsid w:val="00971A60"/>
    <w:rsid w:val="00971F87"/>
    <w:rsid w:val="009746A1"/>
    <w:rsid w:val="00974A1B"/>
    <w:rsid w:val="009761F6"/>
    <w:rsid w:val="0097624B"/>
    <w:rsid w:val="00980528"/>
    <w:rsid w:val="00980F2D"/>
    <w:rsid w:val="00982AE0"/>
    <w:rsid w:val="0098580E"/>
    <w:rsid w:val="00990384"/>
    <w:rsid w:val="00990E37"/>
    <w:rsid w:val="009917F7"/>
    <w:rsid w:val="009935CE"/>
    <w:rsid w:val="009943E2"/>
    <w:rsid w:val="009943E4"/>
    <w:rsid w:val="00994C16"/>
    <w:rsid w:val="00994DD6"/>
    <w:rsid w:val="009957EF"/>
    <w:rsid w:val="0099646C"/>
    <w:rsid w:val="009A0C0D"/>
    <w:rsid w:val="009A1C0E"/>
    <w:rsid w:val="009A237A"/>
    <w:rsid w:val="009A49A7"/>
    <w:rsid w:val="009A6802"/>
    <w:rsid w:val="009B1557"/>
    <w:rsid w:val="009B251D"/>
    <w:rsid w:val="009B3622"/>
    <w:rsid w:val="009B3F5E"/>
    <w:rsid w:val="009B462C"/>
    <w:rsid w:val="009B62E3"/>
    <w:rsid w:val="009B633D"/>
    <w:rsid w:val="009C01C6"/>
    <w:rsid w:val="009C155B"/>
    <w:rsid w:val="009C1FDE"/>
    <w:rsid w:val="009C2095"/>
    <w:rsid w:val="009C237E"/>
    <w:rsid w:val="009C2725"/>
    <w:rsid w:val="009C2C20"/>
    <w:rsid w:val="009C39E1"/>
    <w:rsid w:val="009C3BAA"/>
    <w:rsid w:val="009C4881"/>
    <w:rsid w:val="009C5151"/>
    <w:rsid w:val="009C5AFF"/>
    <w:rsid w:val="009C63FD"/>
    <w:rsid w:val="009C6CE8"/>
    <w:rsid w:val="009C7060"/>
    <w:rsid w:val="009C7F1C"/>
    <w:rsid w:val="009D17D8"/>
    <w:rsid w:val="009D1B44"/>
    <w:rsid w:val="009D3DBB"/>
    <w:rsid w:val="009D4129"/>
    <w:rsid w:val="009D4574"/>
    <w:rsid w:val="009D505C"/>
    <w:rsid w:val="009D6A3B"/>
    <w:rsid w:val="009E230E"/>
    <w:rsid w:val="009E45A4"/>
    <w:rsid w:val="009E5077"/>
    <w:rsid w:val="009E5379"/>
    <w:rsid w:val="009E55B9"/>
    <w:rsid w:val="009E611B"/>
    <w:rsid w:val="009E7855"/>
    <w:rsid w:val="009F299E"/>
    <w:rsid w:val="009F2AE1"/>
    <w:rsid w:val="009F3607"/>
    <w:rsid w:val="009F3E12"/>
    <w:rsid w:val="009F43EA"/>
    <w:rsid w:val="009F597D"/>
    <w:rsid w:val="00A01490"/>
    <w:rsid w:val="00A03305"/>
    <w:rsid w:val="00A0352C"/>
    <w:rsid w:val="00A035C3"/>
    <w:rsid w:val="00A03A5F"/>
    <w:rsid w:val="00A04EF2"/>
    <w:rsid w:val="00A070AD"/>
    <w:rsid w:val="00A10149"/>
    <w:rsid w:val="00A119AD"/>
    <w:rsid w:val="00A127CC"/>
    <w:rsid w:val="00A1314D"/>
    <w:rsid w:val="00A13A32"/>
    <w:rsid w:val="00A13D8D"/>
    <w:rsid w:val="00A1420C"/>
    <w:rsid w:val="00A155C7"/>
    <w:rsid w:val="00A15D49"/>
    <w:rsid w:val="00A16464"/>
    <w:rsid w:val="00A214D0"/>
    <w:rsid w:val="00A21FC4"/>
    <w:rsid w:val="00A25CD9"/>
    <w:rsid w:val="00A27F80"/>
    <w:rsid w:val="00A30D9A"/>
    <w:rsid w:val="00A30FDB"/>
    <w:rsid w:val="00A3111E"/>
    <w:rsid w:val="00A32130"/>
    <w:rsid w:val="00A328E8"/>
    <w:rsid w:val="00A3319A"/>
    <w:rsid w:val="00A3399B"/>
    <w:rsid w:val="00A35E1D"/>
    <w:rsid w:val="00A36BED"/>
    <w:rsid w:val="00A37771"/>
    <w:rsid w:val="00A401EF"/>
    <w:rsid w:val="00A43592"/>
    <w:rsid w:val="00A44855"/>
    <w:rsid w:val="00A4694A"/>
    <w:rsid w:val="00A52BC2"/>
    <w:rsid w:val="00A53D7C"/>
    <w:rsid w:val="00A54155"/>
    <w:rsid w:val="00A54A9B"/>
    <w:rsid w:val="00A56D71"/>
    <w:rsid w:val="00A571F9"/>
    <w:rsid w:val="00A60F2A"/>
    <w:rsid w:val="00A6155E"/>
    <w:rsid w:val="00A61622"/>
    <w:rsid w:val="00A6285E"/>
    <w:rsid w:val="00A633A3"/>
    <w:rsid w:val="00A64056"/>
    <w:rsid w:val="00A64E80"/>
    <w:rsid w:val="00A65884"/>
    <w:rsid w:val="00A666C4"/>
    <w:rsid w:val="00A66A32"/>
    <w:rsid w:val="00A702B6"/>
    <w:rsid w:val="00A70B3C"/>
    <w:rsid w:val="00A72E89"/>
    <w:rsid w:val="00A72EC6"/>
    <w:rsid w:val="00A73701"/>
    <w:rsid w:val="00A7414B"/>
    <w:rsid w:val="00A74E0A"/>
    <w:rsid w:val="00A7539E"/>
    <w:rsid w:val="00A777E1"/>
    <w:rsid w:val="00A779D3"/>
    <w:rsid w:val="00A817F5"/>
    <w:rsid w:val="00A82E1A"/>
    <w:rsid w:val="00A835C4"/>
    <w:rsid w:val="00A835E4"/>
    <w:rsid w:val="00A873E1"/>
    <w:rsid w:val="00A903C3"/>
    <w:rsid w:val="00A905D8"/>
    <w:rsid w:val="00A9125B"/>
    <w:rsid w:val="00A94219"/>
    <w:rsid w:val="00A959C2"/>
    <w:rsid w:val="00A95E80"/>
    <w:rsid w:val="00AA0B6B"/>
    <w:rsid w:val="00AA178B"/>
    <w:rsid w:val="00AA19D5"/>
    <w:rsid w:val="00AA1DDC"/>
    <w:rsid w:val="00AA3F0B"/>
    <w:rsid w:val="00AA4A24"/>
    <w:rsid w:val="00AA4C9F"/>
    <w:rsid w:val="00AA51C4"/>
    <w:rsid w:val="00AA551C"/>
    <w:rsid w:val="00AA57D0"/>
    <w:rsid w:val="00AA6717"/>
    <w:rsid w:val="00AA788A"/>
    <w:rsid w:val="00AB1EB8"/>
    <w:rsid w:val="00AB42BF"/>
    <w:rsid w:val="00AB5E42"/>
    <w:rsid w:val="00AB6D20"/>
    <w:rsid w:val="00AC0293"/>
    <w:rsid w:val="00AC234A"/>
    <w:rsid w:val="00AC2650"/>
    <w:rsid w:val="00AC3D5D"/>
    <w:rsid w:val="00AC736C"/>
    <w:rsid w:val="00AC76EF"/>
    <w:rsid w:val="00AC77E8"/>
    <w:rsid w:val="00AD2D65"/>
    <w:rsid w:val="00AD3522"/>
    <w:rsid w:val="00AD4453"/>
    <w:rsid w:val="00AD4B07"/>
    <w:rsid w:val="00AD4CA9"/>
    <w:rsid w:val="00AD6516"/>
    <w:rsid w:val="00AD7052"/>
    <w:rsid w:val="00AE017B"/>
    <w:rsid w:val="00AE01EC"/>
    <w:rsid w:val="00AE1020"/>
    <w:rsid w:val="00AE1382"/>
    <w:rsid w:val="00AE1FAD"/>
    <w:rsid w:val="00AE1FC0"/>
    <w:rsid w:val="00AE216B"/>
    <w:rsid w:val="00AE2A69"/>
    <w:rsid w:val="00AE36DC"/>
    <w:rsid w:val="00AE3C89"/>
    <w:rsid w:val="00AE4702"/>
    <w:rsid w:val="00AE4AEE"/>
    <w:rsid w:val="00AE79FD"/>
    <w:rsid w:val="00AF1489"/>
    <w:rsid w:val="00AF3112"/>
    <w:rsid w:val="00AF4EBD"/>
    <w:rsid w:val="00AF511E"/>
    <w:rsid w:val="00AF646B"/>
    <w:rsid w:val="00AF6541"/>
    <w:rsid w:val="00AF6821"/>
    <w:rsid w:val="00AF6EEB"/>
    <w:rsid w:val="00AF6F2B"/>
    <w:rsid w:val="00B029A3"/>
    <w:rsid w:val="00B06B82"/>
    <w:rsid w:val="00B105CD"/>
    <w:rsid w:val="00B11182"/>
    <w:rsid w:val="00B11E3C"/>
    <w:rsid w:val="00B1264D"/>
    <w:rsid w:val="00B1280B"/>
    <w:rsid w:val="00B137F2"/>
    <w:rsid w:val="00B138B2"/>
    <w:rsid w:val="00B13A0F"/>
    <w:rsid w:val="00B17096"/>
    <w:rsid w:val="00B17A30"/>
    <w:rsid w:val="00B2166E"/>
    <w:rsid w:val="00B22155"/>
    <w:rsid w:val="00B238AD"/>
    <w:rsid w:val="00B257FE"/>
    <w:rsid w:val="00B26450"/>
    <w:rsid w:val="00B279C8"/>
    <w:rsid w:val="00B27F17"/>
    <w:rsid w:val="00B334FB"/>
    <w:rsid w:val="00B33BFD"/>
    <w:rsid w:val="00B34674"/>
    <w:rsid w:val="00B35684"/>
    <w:rsid w:val="00B40491"/>
    <w:rsid w:val="00B41853"/>
    <w:rsid w:val="00B42A48"/>
    <w:rsid w:val="00B44F4F"/>
    <w:rsid w:val="00B4703E"/>
    <w:rsid w:val="00B47C23"/>
    <w:rsid w:val="00B50F83"/>
    <w:rsid w:val="00B51378"/>
    <w:rsid w:val="00B5183A"/>
    <w:rsid w:val="00B519B4"/>
    <w:rsid w:val="00B52533"/>
    <w:rsid w:val="00B52945"/>
    <w:rsid w:val="00B52B1F"/>
    <w:rsid w:val="00B53733"/>
    <w:rsid w:val="00B53DA5"/>
    <w:rsid w:val="00B56B77"/>
    <w:rsid w:val="00B572C6"/>
    <w:rsid w:val="00B57E64"/>
    <w:rsid w:val="00B61FEB"/>
    <w:rsid w:val="00B620C4"/>
    <w:rsid w:val="00B6353D"/>
    <w:rsid w:val="00B645ED"/>
    <w:rsid w:val="00B65666"/>
    <w:rsid w:val="00B65A04"/>
    <w:rsid w:val="00B65A7F"/>
    <w:rsid w:val="00B709B2"/>
    <w:rsid w:val="00B71342"/>
    <w:rsid w:val="00B71871"/>
    <w:rsid w:val="00B720EC"/>
    <w:rsid w:val="00B7248D"/>
    <w:rsid w:val="00B7365A"/>
    <w:rsid w:val="00B742B7"/>
    <w:rsid w:val="00B762E0"/>
    <w:rsid w:val="00B76712"/>
    <w:rsid w:val="00B800C5"/>
    <w:rsid w:val="00B80669"/>
    <w:rsid w:val="00B825D0"/>
    <w:rsid w:val="00B8351D"/>
    <w:rsid w:val="00B83929"/>
    <w:rsid w:val="00B8427D"/>
    <w:rsid w:val="00B9082B"/>
    <w:rsid w:val="00B915F1"/>
    <w:rsid w:val="00B9254F"/>
    <w:rsid w:val="00B92B52"/>
    <w:rsid w:val="00B933D8"/>
    <w:rsid w:val="00B93F1D"/>
    <w:rsid w:val="00B952AF"/>
    <w:rsid w:val="00B95F8A"/>
    <w:rsid w:val="00B96487"/>
    <w:rsid w:val="00B96EDF"/>
    <w:rsid w:val="00B97E46"/>
    <w:rsid w:val="00BA1F39"/>
    <w:rsid w:val="00BA1F90"/>
    <w:rsid w:val="00BA2B58"/>
    <w:rsid w:val="00BA505C"/>
    <w:rsid w:val="00BA6E00"/>
    <w:rsid w:val="00BA7DEC"/>
    <w:rsid w:val="00BB1C2F"/>
    <w:rsid w:val="00BB2479"/>
    <w:rsid w:val="00BB30A1"/>
    <w:rsid w:val="00BB40C0"/>
    <w:rsid w:val="00BB46FE"/>
    <w:rsid w:val="00BB7136"/>
    <w:rsid w:val="00BB75EC"/>
    <w:rsid w:val="00BC2950"/>
    <w:rsid w:val="00BC2C6F"/>
    <w:rsid w:val="00BC2E2E"/>
    <w:rsid w:val="00BC5EC6"/>
    <w:rsid w:val="00BC63A1"/>
    <w:rsid w:val="00BC73D3"/>
    <w:rsid w:val="00BC779B"/>
    <w:rsid w:val="00BC79C2"/>
    <w:rsid w:val="00BD0232"/>
    <w:rsid w:val="00BD18AF"/>
    <w:rsid w:val="00BD3042"/>
    <w:rsid w:val="00BD357C"/>
    <w:rsid w:val="00BD3887"/>
    <w:rsid w:val="00BD4E4B"/>
    <w:rsid w:val="00BD6053"/>
    <w:rsid w:val="00BD64B4"/>
    <w:rsid w:val="00BD720F"/>
    <w:rsid w:val="00BE0430"/>
    <w:rsid w:val="00BE3E16"/>
    <w:rsid w:val="00BE3FB0"/>
    <w:rsid w:val="00BE4569"/>
    <w:rsid w:val="00BE7C9F"/>
    <w:rsid w:val="00BF05A7"/>
    <w:rsid w:val="00BF2E2E"/>
    <w:rsid w:val="00BF45A1"/>
    <w:rsid w:val="00BF4DDC"/>
    <w:rsid w:val="00BF514B"/>
    <w:rsid w:val="00BF7248"/>
    <w:rsid w:val="00BF735E"/>
    <w:rsid w:val="00C03365"/>
    <w:rsid w:val="00C04B3C"/>
    <w:rsid w:val="00C0644C"/>
    <w:rsid w:val="00C0647E"/>
    <w:rsid w:val="00C07332"/>
    <w:rsid w:val="00C07533"/>
    <w:rsid w:val="00C107EA"/>
    <w:rsid w:val="00C1226E"/>
    <w:rsid w:val="00C12BF3"/>
    <w:rsid w:val="00C1324C"/>
    <w:rsid w:val="00C1607D"/>
    <w:rsid w:val="00C163C6"/>
    <w:rsid w:val="00C173E1"/>
    <w:rsid w:val="00C205C8"/>
    <w:rsid w:val="00C20B82"/>
    <w:rsid w:val="00C218DB"/>
    <w:rsid w:val="00C2195B"/>
    <w:rsid w:val="00C2291D"/>
    <w:rsid w:val="00C23938"/>
    <w:rsid w:val="00C2428C"/>
    <w:rsid w:val="00C25943"/>
    <w:rsid w:val="00C26B24"/>
    <w:rsid w:val="00C27E9A"/>
    <w:rsid w:val="00C336C7"/>
    <w:rsid w:val="00C33865"/>
    <w:rsid w:val="00C33F57"/>
    <w:rsid w:val="00C342B7"/>
    <w:rsid w:val="00C375A9"/>
    <w:rsid w:val="00C37C4B"/>
    <w:rsid w:val="00C4006D"/>
    <w:rsid w:val="00C4209F"/>
    <w:rsid w:val="00C43560"/>
    <w:rsid w:val="00C44390"/>
    <w:rsid w:val="00C4494A"/>
    <w:rsid w:val="00C46919"/>
    <w:rsid w:val="00C46CA2"/>
    <w:rsid w:val="00C506CA"/>
    <w:rsid w:val="00C57652"/>
    <w:rsid w:val="00C5791B"/>
    <w:rsid w:val="00C60DEE"/>
    <w:rsid w:val="00C617E5"/>
    <w:rsid w:val="00C62563"/>
    <w:rsid w:val="00C6320C"/>
    <w:rsid w:val="00C63E48"/>
    <w:rsid w:val="00C6508F"/>
    <w:rsid w:val="00C65B05"/>
    <w:rsid w:val="00C65DAF"/>
    <w:rsid w:val="00C702C0"/>
    <w:rsid w:val="00C704C8"/>
    <w:rsid w:val="00C70CC4"/>
    <w:rsid w:val="00C727E7"/>
    <w:rsid w:val="00C73248"/>
    <w:rsid w:val="00C73F08"/>
    <w:rsid w:val="00C76C50"/>
    <w:rsid w:val="00C77433"/>
    <w:rsid w:val="00C81547"/>
    <w:rsid w:val="00C84911"/>
    <w:rsid w:val="00C84DAA"/>
    <w:rsid w:val="00C85244"/>
    <w:rsid w:val="00C85A26"/>
    <w:rsid w:val="00C85EB7"/>
    <w:rsid w:val="00C85FC4"/>
    <w:rsid w:val="00C8638B"/>
    <w:rsid w:val="00C86D7E"/>
    <w:rsid w:val="00C906D3"/>
    <w:rsid w:val="00C90878"/>
    <w:rsid w:val="00C924F6"/>
    <w:rsid w:val="00C929D4"/>
    <w:rsid w:val="00C92BF1"/>
    <w:rsid w:val="00C933ED"/>
    <w:rsid w:val="00C93CCC"/>
    <w:rsid w:val="00C94465"/>
    <w:rsid w:val="00C9633D"/>
    <w:rsid w:val="00C97924"/>
    <w:rsid w:val="00CA059C"/>
    <w:rsid w:val="00CA0D09"/>
    <w:rsid w:val="00CA136B"/>
    <w:rsid w:val="00CA1652"/>
    <w:rsid w:val="00CA3863"/>
    <w:rsid w:val="00CA42A2"/>
    <w:rsid w:val="00CA4485"/>
    <w:rsid w:val="00CA5CDA"/>
    <w:rsid w:val="00CA720C"/>
    <w:rsid w:val="00CA7470"/>
    <w:rsid w:val="00CA79CA"/>
    <w:rsid w:val="00CA7B7C"/>
    <w:rsid w:val="00CB1050"/>
    <w:rsid w:val="00CB52B9"/>
    <w:rsid w:val="00CB6D49"/>
    <w:rsid w:val="00CB758A"/>
    <w:rsid w:val="00CC1A3D"/>
    <w:rsid w:val="00CC2BFE"/>
    <w:rsid w:val="00CC2FEA"/>
    <w:rsid w:val="00CC4EEE"/>
    <w:rsid w:val="00CC5D84"/>
    <w:rsid w:val="00CC61D6"/>
    <w:rsid w:val="00CC64F1"/>
    <w:rsid w:val="00CC67E8"/>
    <w:rsid w:val="00CC7166"/>
    <w:rsid w:val="00CD11CD"/>
    <w:rsid w:val="00CD1B5B"/>
    <w:rsid w:val="00CD210F"/>
    <w:rsid w:val="00CD3BBE"/>
    <w:rsid w:val="00CD50B6"/>
    <w:rsid w:val="00CD6234"/>
    <w:rsid w:val="00CD655B"/>
    <w:rsid w:val="00CD6763"/>
    <w:rsid w:val="00CD6F6E"/>
    <w:rsid w:val="00CD710D"/>
    <w:rsid w:val="00CE01D2"/>
    <w:rsid w:val="00CE0AE3"/>
    <w:rsid w:val="00CE1FEA"/>
    <w:rsid w:val="00CE387B"/>
    <w:rsid w:val="00CE54F9"/>
    <w:rsid w:val="00CE6533"/>
    <w:rsid w:val="00CE6B10"/>
    <w:rsid w:val="00CE74B2"/>
    <w:rsid w:val="00CF2103"/>
    <w:rsid w:val="00CF29FA"/>
    <w:rsid w:val="00CF342D"/>
    <w:rsid w:val="00CF3861"/>
    <w:rsid w:val="00D001F8"/>
    <w:rsid w:val="00D00DC6"/>
    <w:rsid w:val="00D01EB8"/>
    <w:rsid w:val="00D02630"/>
    <w:rsid w:val="00D02ABA"/>
    <w:rsid w:val="00D0470C"/>
    <w:rsid w:val="00D04A30"/>
    <w:rsid w:val="00D04B9B"/>
    <w:rsid w:val="00D04EFA"/>
    <w:rsid w:val="00D0660C"/>
    <w:rsid w:val="00D067ED"/>
    <w:rsid w:val="00D068A0"/>
    <w:rsid w:val="00D073A1"/>
    <w:rsid w:val="00D10D99"/>
    <w:rsid w:val="00D10DF7"/>
    <w:rsid w:val="00D11271"/>
    <w:rsid w:val="00D1178E"/>
    <w:rsid w:val="00D11855"/>
    <w:rsid w:val="00D1221E"/>
    <w:rsid w:val="00D13437"/>
    <w:rsid w:val="00D13554"/>
    <w:rsid w:val="00D1423D"/>
    <w:rsid w:val="00D150A9"/>
    <w:rsid w:val="00D160FC"/>
    <w:rsid w:val="00D17FB9"/>
    <w:rsid w:val="00D20ABB"/>
    <w:rsid w:val="00D20C47"/>
    <w:rsid w:val="00D2521F"/>
    <w:rsid w:val="00D255FC"/>
    <w:rsid w:val="00D25DCE"/>
    <w:rsid w:val="00D2619D"/>
    <w:rsid w:val="00D26C85"/>
    <w:rsid w:val="00D26FF8"/>
    <w:rsid w:val="00D27D52"/>
    <w:rsid w:val="00D31937"/>
    <w:rsid w:val="00D31A8F"/>
    <w:rsid w:val="00D33C16"/>
    <w:rsid w:val="00D34375"/>
    <w:rsid w:val="00D35350"/>
    <w:rsid w:val="00D35463"/>
    <w:rsid w:val="00D362C9"/>
    <w:rsid w:val="00D377E7"/>
    <w:rsid w:val="00D40725"/>
    <w:rsid w:val="00D43687"/>
    <w:rsid w:val="00D43AA2"/>
    <w:rsid w:val="00D44D4E"/>
    <w:rsid w:val="00D45212"/>
    <w:rsid w:val="00D4748A"/>
    <w:rsid w:val="00D474B5"/>
    <w:rsid w:val="00D52633"/>
    <w:rsid w:val="00D543D5"/>
    <w:rsid w:val="00D55833"/>
    <w:rsid w:val="00D55F11"/>
    <w:rsid w:val="00D56F38"/>
    <w:rsid w:val="00D57118"/>
    <w:rsid w:val="00D57712"/>
    <w:rsid w:val="00D61666"/>
    <w:rsid w:val="00D6190D"/>
    <w:rsid w:val="00D62442"/>
    <w:rsid w:val="00D62F97"/>
    <w:rsid w:val="00D640BC"/>
    <w:rsid w:val="00D6517C"/>
    <w:rsid w:val="00D6532A"/>
    <w:rsid w:val="00D65730"/>
    <w:rsid w:val="00D65943"/>
    <w:rsid w:val="00D66E74"/>
    <w:rsid w:val="00D67186"/>
    <w:rsid w:val="00D71264"/>
    <w:rsid w:val="00D72090"/>
    <w:rsid w:val="00D7350D"/>
    <w:rsid w:val="00D749E2"/>
    <w:rsid w:val="00D7660A"/>
    <w:rsid w:val="00D7666C"/>
    <w:rsid w:val="00D76C4B"/>
    <w:rsid w:val="00D76ED5"/>
    <w:rsid w:val="00D77632"/>
    <w:rsid w:val="00D801A2"/>
    <w:rsid w:val="00D8034A"/>
    <w:rsid w:val="00D80E0D"/>
    <w:rsid w:val="00D83C09"/>
    <w:rsid w:val="00D84A3E"/>
    <w:rsid w:val="00D8575D"/>
    <w:rsid w:val="00D877F3"/>
    <w:rsid w:val="00D9045B"/>
    <w:rsid w:val="00D93899"/>
    <w:rsid w:val="00D942D9"/>
    <w:rsid w:val="00D97F43"/>
    <w:rsid w:val="00DA0690"/>
    <w:rsid w:val="00DA076E"/>
    <w:rsid w:val="00DA097F"/>
    <w:rsid w:val="00DA2637"/>
    <w:rsid w:val="00DA35E0"/>
    <w:rsid w:val="00DA38B0"/>
    <w:rsid w:val="00DA3B13"/>
    <w:rsid w:val="00DA3BCC"/>
    <w:rsid w:val="00DA3E7C"/>
    <w:rsid w:val="00DA4820"/>
    <w:rsid w:val="00DA4824"/>
    <w:rsid w:val="00DA4AE8"/>
    <w:rsid w:val="00DA5CFC"/>
    <w:rsid w:val="00DA5E0D"/>
    <w:rsid w:val="00DA5FE1"/>
    <w:rsid w:val="00DA6679"/>
    <w:rsid w:val="00DA69BC"/>
    <w:rsid w:val="00DA73A3"/>
    <w:rsid w:val="00DA79B5"/>
    <w:rsid w:val="00DA7D8D"/>
    <w:rsid w:val="00DB1B5A"/>
    <w:rsid w:val="00DB1BBA"/>
    <w:rsid w:val="00DB2C3F"/>
    <w:rsid w:val="00DB3948"/>
    <w:rsid w:val="00DB3D2C"/>
    <w:rsid w:val="00DB49A0"/>
    <w:rsid w:val="00DB4C23"/>
    <w:rsid w:val="00DC0942"/>
    <w:rsid w:val="00DC0C55"/>
    <w:rsid w:val="00DC10BD"/>
    <w:rsid w:val="00DC1D2C"/>
    <w:rsid w:val="00DC2318"/>
    <w:rsid w:val="00DC3288"/>
    <w:rsid w:val="00DC490A"/>
    <w:rsid w:val="00DC5341"/>
    <w:rsid w:val="00DC6064"/>
    <w:rsid w:val="00DC728E"/>
    <w:rsid w:val="00DD0A49"/>
    <w:rsid w:val="00DD0D2D"/>
    <w:rsid w:val="00DD1DDE"/>
    <w:rsid w:val="00DD4C07"/>
    <w:rsid w:val="00DD4DA6"/>
    <w:rsid w:val="00DD5F88"/>
    <w:rsid w:val="00DD73D1"/>
    <w:rsid w:val="00DD7539"/>
    <w:rsid w:val="00DD7869"/>
    <w:rsid w:val="00DE1202"/>
    <w:rsid w:val="00DE1217"/>
    <w:rsid w:val="00DE1566"/>
    <w:rsid w:val="00DE2822"/>
    <w:rsid w:val="00DE2E04"/>
    <w:rsid w:val="00DE43ED"/>
    <w:rsid w:val="00DF1789"/>
    <w:rsid w:val="00DF19BD"/>
    <w:rsid w:val="00DF3A6C"/>
    <w:rsid w:val="00DF4A5E"/>
    <w:rsid w:val="00DF4F3C"/>
    <w:rsid w:val="00DF4F6F"/>
    <w:rsid w:val="00DF5F9D"/>
    <w:rsid w:val="00E0054D"/>
    <w:rsid w:val="00E00813"/>
    <w:rsid w:val="00E0501B"/>
    <w:rsid w:val="00E06A23"/>
    <w:rsid w:val="00E07627"/>
    <w:rsid w:val="00E076A3"/>
    <w:rsid w:val="00E11898"/>
    <w:rsid w:val="00E12770"/>
    <w:rsid w:val="00E14FC3"/>
    <w:rsid w:val="00E175C4"/>
    <w:rsid w:val="00E204DB"/>
    <w:rsid w:val="00E24EA6"/>
    <w:rsid w:val="00E2542C"/>
    <w:rsid w:val="00E2592B"/>
    <w:rsid w:val="00E259C9"/>
    <w:rsid w:val="00E2693D"/>
    <w:rsid w:val="00E2743E"/>
    <w:rsid w:val="00E30599"/>
    <w:rsid w:val="00E329EE"/>
    <w:rsid w:val="00E347D3"/>
    <w:rsid w:val="00E3481B"/>
    <w:rsid w:val="00E34F00"/>
    <w:rsid w:val="00E35D09"/>
    <w:rsid w:val="00E36236"/>
    <w:rsid w:val="00E40BBC"/>
    <w:rsid w:val="00E42EA3"/>
    <w:rsid w:val="00E4324F"/>
    <w:rsid w:val="00E435FF"/>
    <w:rsid w:val="00E43EBB"/>
    <w:rsid w:val="00E45186"/>
    <w:rsid w:val="00E4751D"/>
    <w:rsid w:val="00E47851"/>
    <w:rsid w:val="00E50A28"/>
    <w:rsid w:val="00E52235"/>
    <w:rsid w:val="00E529C7"/>
    <w:rsid w:val="00E53078"/>
    <w:rsid w:val="00E53383"/>
    <w:rsid w:val="00E5408E"/>
    <w:rsid w:val="00E54D0C"/>
    <w:rsid w:val="00E5617A"/>
    <w:rsid w:val="00E56328"/>
    <w:rsid w:val="00E56716"/>
    <w:rsid w:val="00E600E9"/>
    <w:rsid w:val="00E604D7"/>
    <w:rsid w:val="00E60589"/>
    <w:rsid w:val="00E61F6E"/>
    <w:rsid w:val="00E6385C"/>
    <w:rsid w:val="00E65DF7"/>
    <w:rsid w:val="00E67134"/>
    <w:rsid w:val="00E67F84"/>
    <w:rsid w:val="00E70673"/>
    <w:rsid w:val="00E706B3"/>
    <w:rsid w:val="00E738AF"/>
    <w:rsid w:val="00E73A00"/>
    <w:rsid w:val="00E7422B"/>
    <w:rsid w:val="00E748E9"/>
    <w:rsid w:val="00E74FB5"/>
    <w:rsid w:val="00E75C10"/>
    <w:rsid w:val="00E771C3"/>
    <w:rsid w:val="00E77490"/>
    <w:rsid w:val="00E774A5"/>
    <w:rsid w:val="00E83441"/>
    <w:rsid w:val="00E845B5"/>
    <w:rsid w:val="00E874A6"/>
    <w:rsid w:val="00E904F2"/>
    <w:rsid w:val="00E90F16"/>
    <w:rsid w:val="00E928AD"/>
    <w:rsid w:val="00E92AD7"/>
    <w:rsid w:val="00E92BD7"/>
    <w:rsid w:val="00E94D2B"/>
    <w:rsid w:val="00E94E17"/>
    <w:rsid w:val="00E95B6F"/>
    <w:rsid w:val="00E962DA"/>
    <w:rsid w:val="00E96D61"/>
    <w:rsid w:val="00E97584"/>
    <w:rsid w:val="00EA0DC8"/>
    <w:rsid w:val="00EA19DF"/>
    <w:rsid w:val="00EA2C7A"/>
    <w:rsid w:val="00EA33FC"/>
    <w:rsid w:val="00EA3667"/>
    <w:rsid w:val="00EA3BED"/>
    <w:rsid w:val="00EA608F"/>
    <w:rsid w:val="00EB0162"/>
    <w:rsid w:val="00EB1024"/>
    <w:rsid w:val="00EB229C"/>
    <w:rsid w:val="00EB58F3"/>
    <w:rsid w:val="00EB664A"/>
    <w:rsid w:val="00EC063A"/>
    <w:rsid w:val="00EC24C3"/>
    <w:rsid w:val="00EC3197"/>
    <w:rsid w:val="00EC5D03"/>
    <w:rsid w:val="00EC6D8A"/>
    <w:rsid w:val="00EC7262"/>
    <w:rsid w:val="00ED05FE"/>
    <w:rsid w:val="00ED0C3B"/>
    <w:rsid w:val="00ED0EBB"/>
    <w:rsid w:val="00ED1100"/>
    <w:rsid w:val="00ED2268"/>
    <w:rsid w:val="00ED51EF"/>
    <w:rsid w:val="00EE201A"/>
    <w:rsid w:val="00EE2944"/>
    <w:rsid w:val="00EE29DC"/>
    <w:rsid w:val="00EE2E35"/>
    <w:rsid w:val="00EE4455"/>
    <w:rsid w:val="00EE4DB8"/>
    <w:rsid w:val="00EE68F1"/>
    <w:rsid w:val="00EE6D4A"/>
    <w:rsid w:val="00EE746E"/>
    <w:rsid w:val="00EF2382"/>
    <w:rsid w:val="00EF5157"/>
    <w:rsid w:val="00EF5D25"/>
    <w:rsid w:val="00F00EF3"/>
    <w:rsid w:val="00F01326"/>
    <w:rsid w:val="00F0165F"/>
    <w:rsid w:val="00F033D8"/>
    <w:rsid w:val="00F04055"/>
    <w:rsid w:val="00F04BE1"/>
    <w:rsid w:val="00F05CA7"/>
    <w:rsid w:val="00F120A5"/>
    <w:rsid w:val="00F122B9"/>
    <w:rsid w:val="00F161E2"/>
    <w:rsid w:val="00F169F3"/>
    <w:rsid w:val="00F204DF"/>
    <w:rsid w:val="00F207B3"/>
    <w:rsid w:val="00F2110F"/>
    <w:rsid w:val="00F21CD9"/>
    <w:rsid w:val="00F22750"/>
    <w:rsid w:val="00F22AFD"/>
    <w:rsid w:val="00F22E40"/>
    <w:rsid w:val="00F26DA1"/>
    <w:rsid w:val="00F30508"/>
    <w:rsid w:val="00F30951"/>
    <w:rsid w:val="00F3207F"/>
    <w:rsid w:val="00F331B6"/>
    <w:rsid w:val="00F33316"/>
    <w:rsid w:val="00F35343"/>
    <w:rsid w:val="00F3541A"/>
    <w:rsid w:val="00F377D2"/>
    <w:rsid w:val="00F40669"/>
    <w:rsid w:val="00F4160F"/>
    <w:rsid w:val="00F42FCF"/>
    <w:rsid w:val="00F43325"/>
    <w:rsid w:val="00F43E89"/>
    <w:rsid w:val="00F43FE9"/>
    <w:rsid w:val="00F45F6C"/>
    <w:rsid w:val="00F461B1"/>
    <w:rsid w:val="00F46275"/>
    <w:rsid w:val="00F4643E"/>
    <w:rsid w:val="00F46586"/>
    <w:rsid w:val="00F46895"/>
    <w:rsid w:val="00F473A8"/>
    <w:rsid w:val="00F52452"/>
    <w:rsid w:val="00F554D6"/>
    <w:rsid w:val="00F5665F"/>
    <w:rsid w:val="00F56E66"/>
    <w:rsid w:val="00F5799E"/>
    <w:rsid w:val="00F603E3"/>
    <w:rsid w:val="00F60488"/>
    <w:rsid w:val="00F604B2"/>
    <w:rsid w:val="00F631B6"/>
    <w:rsid w:val="00F6354C"/>
    <w:rsid w:val="00F63B9E"/>
    <w:rsid w:val="00F63BC0"/>
    <w:rsid w:val="00F63F74"/>
    <w:rsid w:val="00F640FB"/>
    <w:rsid w:val="00F65CEC"/>
    <w:rsid w:val="00F70715"/>
    <w:rsid w:val="00F70E2E"/>
    <w:rsid w:val="00F71926"/>
    <w:rsid w:val="00F719B8"/>
    <w:rsid w:val="00F72354"/>
    <w:rsid w:val="00F74B50"/>
    <w:rsid w:val="00F753FD"/>
    <w:rsid w:val="00F756FB"/>
    <w:rsid w:val="00F75B9F"/>
    <w:rsid w:val="00F75F4B"/>
    <w:rsid w:val="00F76B9B"/>
    <w:rsid w:val="00F804F2"/>
    <w:rsid w:val="00F8054C"/>
    <w:rsid w:val="00F822C5"/>
    <w:rsid w:val="00F82967"/>
    <w:rsid w:val="00F84718"/>
    <w:rsid w:val="00F85477"/>
    <w:rsid w:val="00F86247"/>
    <w:rsid w:val="00F9002E"/>
    <w:rsid w:val="00F917BD"/>
    <w:rsid w:val="00F91FE4"/>
    <w:rsid w:val="00F922BA"/>
    <w:rsid w:val="00F928C9"/>
    <w:rsid w:val="00F93478"/>
    <w:rsid w:val="00F9475F"/>
    <w:rsid w:val="00F94B00"/>
    <w:rsid w:val="00F95E85"/>
    <w:rsid w:val="00F977FF"/>
    <w:rsid w:val="00FA03AD"/>
    <w:rsid w:val="00FA114B"/>
    <w:rsid w:val="00FA2E89"/>
    <w:rsid w:val="00FA34E8"/>
    <w:rsid w:val="00FA37FD"/>
    <w:rsid w:val="00FA3956"/>
    <w:rsid w:val="00FA4E42"/>
    <w:rsid w:val="00FA59B8"/>
    <w:rsid w:val="00FA6388"/>
    <w:rsid w:val="00FA6CDA"/>
    <w:rsid w:val="00FA721F"/>
    <w:rsid w:val="00FB0826"/>
    <w:rsid w:val="00FB1488"/>
    <w:rsid w:val="00FB4440"/>
    <w:rsid w:val="00FB4BFF"/>
    <w:rsid w:val="00FB4C92"/>
    <w:rsid w:val="00FB5355"/>
    <w:rsid w:val="00FB647A"/>
    <w:rsid w:val="00FB6500"/>
    <w:rsid w:val="00FC18D7"/>
    <w:rsid w:val="00FC1926"/>
    <w:rsid w:val="00FC3FB0"/>
    <w:rsid w:val="00FC430C"/>
    <w:rsid w:val="00FC480B"/>
    <w:rsid w:val="00FC530D"/>
    <w:rsid w:val="00FC53D9"/>
    <w:rsid w:val="00FC552B"/>
    <w:rsid w:val="00FC5CC5"/>
    <w:rsid w:val="00FC5D04"/>
    <w:rsid w:val="00FC6C1A"/>
    <w:rsid w:val="00FC7332"/>
    <w:rsid w:val="00FD14A0"/>
    <w:rsid w:val="00FD1D9C"/>
    <w:rsid w:val="00FD39E2"/>
    <w:rsid w:val="00FD4B35"/>
    <w:rsid w:val="00FD6E34"/>
    <w:rsid w:val="00FE0D9B"/>
    <w:rsid w:val="00FE40FE"/>
    <w:rsid w:val="00FE5C97"/>
    <w:rsid w:val="00FF1A56"/>
    <w:rsid w:val="00FF1D6B"/>
    <w:rsid w:val="00FF1FFA"/>
    <w:rsid w:val="00FF263C"/>
    <w:rsid w:val="00FF2DC2"/>
    <w:rsid w:val="00FF389E"/>
    <w:rsid w:val="00FF42BD"/>
    <w:rsid w:val="00FF6ECA"/>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F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73F74"/>
    <w:pPr>
      <w:bidi/>
      <w:jc w:val="right"/>
    </w:pPr>
    <w:rPr>
      <w:sz w:val="20"/>
      <w:szCs w:val="20"/>
      <w:lang w:bidi="ar-QA"/>
    </w:rPr>
  </w:style>
  <w:style w:type="character" w:styleId="FootnoteReference">
    <w:name w:val="footnote reference"/>
    <w:uiPriority w:val="99"/>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uiPriority w:val="39"/>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aliases w:val="headerU,headerU1,B&amp;D Header,h,Header Char2 Char,Header Char1 Char Char,Header Char Char Char Char,h Char Char Char,B&amp;D Header Char Char Char,Header Char Char1 Char,h Char1 Char,B&amp;D Header Char1 Char,Header Char1 Char,h Char Cha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C1226E"/>
    <w:pPr>
      <w:tabs>
        <w:tab w:val="right" w:leader="dot" w:pos="8630"/>
      </w:tabs>
    </w:pPr>
  </w:style>
  <w:style w:type="paragraph" w:styleId="TOC2">
    <w:name w:val="toc 2"/>
    <w:basedOn w:val="Normal"/>
    <w:next w:val="Normal"/>
    <w:autoRedefine/>
    <w:uiPriority w:val="39"/>
    <w:rsid w:val="00082EBF"/>
    <w:pPr>
      <w:tabs>
        <w:tab w:val="right" w:leader="dot" w:pos="8630"/>
      </w:tabs>
      <w:ind w:left="240"/>
    </w:pPr>
  </w:style>
  <w:style w:type="paragraph" w:styleId="TOC3">
    <w:name w:val="toc 3"/>
    <w:basedOn w:val="Normal"/>
    <w:next w:val="Normal"/>
    <w:autoRedefine/>
    <w:uiPriority w:val="39"/>
    <w:rsid w:val="001D0454"/>
    <w:pPr>
      <w:ind w:left="480"/>
    </w:pPr>
  </w:style>
  <w:style w:type="character" w:styleId="Hyperlink">
    <w:name w:val="Hyperlink"/>
    <w:uiPriority w:val="99"/>
    <w:rsid w:val="001D0454"/>
    <w:rPr>
      <w:color w:val="0000FF"/>
      <w:u w:val="single"/>
    </w:rPr>
  </w:style>
  <w:style w:type="paragraph" w:styleId="Footer">
    <w:name w:val="footer"/>
    <w:basedOn w:val="Normal"/>
    <w:link w:val="FooterChar"/>
    <w:uiPriority w:val="99"/>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rsid w:val="00621299"/>
    <w:rPr>
      <w:sz w:val="16"/>
      <w:szCs w:val="16"/>
    </w:rPr>
  </w:style>
  <w:style w:type="paragraph" w:styleId="CommentText">
    <w:name w:val="annotation text"/>
    <w:basedOn w:val="Normal"/>
    <w:link w:val="CommentTextChar"/>
    <w:uiPriority w:val="99"/>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uiPriority w:val="99"/>
    <w:rsid w:val="00450538"/>
    <w:pPr>
      <w:spacing w:before="100" w:beforeAutospacing="1" w:after="100" w:afterAutospacing="1"/>
    </w:pPr>
  </w:style>
  <w:style w:type="character" w:customStyle="1" w:styleId="CommentTextChar">
    <w:name w:val="Comment Text Char"/>
    <w:basedOn w:val="DefaultParagraphFont"/>
    <w:link w:val="CommentText"/>
    <w:uiPriority w:val="99"/>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420AEC"/>
    <w:pPr>
      <w:ind w:left="720"/>
    </w:pPr>
  </w:style>
  <w:style w:type="paragraph" w:customStyle="1" w:styleId="Default">
    <w:name w:val="Default"/>
    <w:rsid w:val="004A253F"/>
    <w:pPr>
      <w:autoSpaceDE w:val="0"/>
      <w:autoSpaceDN w:val="0"/>
      <w:adjustRightInd w:val="0"/>
    </w:pPr>
    <w:rPr>
      <w:color w:val="000000"/>
      <w:sz w:val="24"/>
      <w:szCs w:val="24"/>
    </w:rPr>
  </w:style>
  <w:style w:type="paragraph" w:styleId="BodyText">
    <w:name w:val="Body Text"/>
    <w:basedOn w:val="Normal"/>
    <w:link w:val="BodyTextChar"/>
    <w:rsid w:val="00432FD4"/>
    <w:pPr>
      <w:spacing w:after="120"/>
    </w:pPr>
  </w:style>
  <w:style w:type="character" w:customStyle="1" w:styleId="BodyTextChar">
    <w:name w:val="Body Text Char"/>
    <w:link w:val="BodyText"/>
    <w:rsid w:val="00432FD4"/>
    <w:rPr>
      <w:sz w:val="24"/>
      <w:szCs w:val="24"/>
    </w:rPr>
  </w:style>
  <w:style w:type="character" w:customStyle="1" w:styleId="FootnoteTextChar">
    <w:name w:val="Footnote Text Char"/>
    <w:link w:val="FootnoteText"/>
    <w:uiPriority w:val="99"/>
    <w:rsid w:val="00767BA0"/>
    <w:rPr>
      <w:lang w:bidi="ar-QA"/>
    </w:rPr>
  </w:style>
  <w:style w:type="paragraph" w:customStyle="1" w:styleId="GridTable31">
    <w:name w:val="Grid Table 31"/>
    <w:basedOn w:val="Heading1"/>
    <w:next w:val="Normal"/>
    <w:uiPriority w:val="39"/>
    <w:unhideWhenUsed/>
    <w:qFormat/>
    <w:rsid w:val="00233775"/>
    <w:pPr>
      <w:outlineLvl w:val="9"/>
    </w:pPr>
    <w:rPr>
      <w:rFonts w:ascii="Calibri Light" w:hAnsi="Calibri Light" w:cs="Times New Roman"/>
    </w:rPr>
  </w:style>
  <w:style w:type="character" w:customStyle="1" w:styleId="HeaderChar">
    <w:name w:val="Header Char"/>
    <w:aliases w:val="headerU Char,headerU1 Char,B&amp;D Header Char,h Char,Header Char2 Char Char,Header Char1 Char Char Char,Header Char Char Char Char Char,h Char Char Char Char,B&amp;D Header Char Char Char Char,Header Char Char1 Char Char,h Char1 Char Char"/>
    <w:link w:val="Header"/>
    <w:uiPriority w:val="99"/>
    <w:rsid w:val="00541453"/>
    <w:rPr>
      <w:sz w:val="24"/>
    </w:rPr>
  </w:style>
  <w:style w:type="paragraph" w:customStyle="1" w:styleId="NORCProposalBodySingleSpacing-Garamond">
    <w:name w:val="NORC Proposal Body Single Spacing - Garamond"/>
    <w:basedOn w:val="Normal"/>
    <w:qFormat/>
    <w:rsid w:val="009C2095"/>
    <w:pPr>
      <w:tabs>
        <w:tab w:val="right" w:pos="9360"/>
      </w:tabs>
      <w:ind w:firstLine="360"/>
    </w:pPr>
    <w:rPr>
      <w:rFonts w:ascii="Garamond" w:hAnsi="Garamond" w:cs="AGaramond-Regular"/>
      <w:color w:val="000000" w:themeColor="text1"/>
      <w:szCs w:val="20"/>
    </w:rPr>
  </w:style>
  <w:style w:type="character" w:customStyle="1" w:styleId="FooterChar">
    <w:name w:val="Footer Char"/>
    <w:basedOn w:val="DefaultParagraphFont"/>
    <w:link w:val="Footer"/>
    <w:uiPriority w:val="99"/>
    <w:rsid w:val="009C2095"/>
    <w:rPr>
      <w:sz w:val="24"/>
      <w:szCs w:val="24"/>
    </w:rPr>
  </w:style>
  <w:style w:type="paragraph" w:styleId="ListParagraph">
    <w:name w:val="List Paragraph"/>
    <w:aliases w:val="Bullet List,FooterText,List Paragraph1,Proposal Bullet List,Paragraph"/>
    <w:basedOn w:val="Normal"/>
    <w:link w:val="ListParagraphChar"/>
    <w:uiPriority w:val="34"/>
    <w:qFormat/>
    <w:rsid w:val="009C2095"/>
    <w:pPr>
      <w:ind w:left="720"/>
      <w:contextualSpacing/>
    </w:pPr>
  </w:style>
  <w:style w:type="character" w:customStyle="1" w:styleId="ListParagraphChar">
    <w:name w:val="List Paragraph Char"/>
    <w:aliases w:val="Bullet List Char,FooterText Char,List Paragraph1 Char,Proposal Bullet List Char,Paragraph Char"/>
    <w:basedOn w:val="DefaultParagraphFont"/>
    <w:link w:val="ListParagraph"/>
    <w:uiPriority w:val="34"/>
    <w:locked/>
    <w:rsid w:val="009C2095"/>
    <w:rPr>
      <w:sz w:val="24"/>
      <w:szCs w:val="24"/>
    </w:rPr>
  </w:style>
  <w:style w:type="paragraph" w:styleId="NoSpacing">
    <w:name w:val="No Spacing"/>
    <w:uiPriority w:val="1"/>
    <w:qFormat/>
    <w:rsid w:val="009C2095"/>
    <w:rPr>
      <w:rFonts w:asciiTheme="minorHAnsi" w:eastAsiaTheme="minorHAnsi" w:hAnsiTheme="minorHAnsi" w:cstheme="minorBidi"/>
      <w:sz w:val="22"/>
      <w:szCs w:val="22"/>
    </w:rPr>
  </w:style>
  <w:style w:type="character" w:customStyle="1" w:styleId="NORCInlineL1BlackBold">
    <w:name w:val="NORC Inline L1 (Black Bold)"/>
    <w:qFormat/>
    <w:rsid w:val="00C81547"/>
    <w:rPr>
      <w:rFonts w:ascii="Garamond" w:hAnsi="Garamond"/>
      <w:b/>
      <w:bCs/>
      <w:sz w:val="24"/>
      <w:u w:val="none"/>
    </w:rPr>
  </w:style>
  <w:style w:type="paragraph" w:customStyle="1" w:styleId="MarkforTableTitle">
    <w:name w:val="Mark for Table Title"/>
    <w:basedOn w:val="Normal"/>
    <w:next w:val="NormalSS"/>
    <w:qFormat/>
    <w:rsid w:val="00BA6E00"/>
    <w:pPr>
      <w:keepNext/>
      <w:spacing w:after="60"/>
    </w:pPr>
    <w:rPr>
      <w:rFonts w:ascii="Arial Black" w:hAnsi="Arial Black"/>
      <w:sz w:val="22"/>
      <w:szCs w:val="20"/>
    </w:rPr>
  </w:style>
  <w:style w:type="paragraph" w:customStyle="1" w:styleId="NormalSS">
    <w:name w:val="NormalSS"/>
    <w:basedOn w:val="Normal"/>
    <w:link w:val="NormalSSChar"/>
    <w:qFormat/>
    <w:rsid w:val="00BA6E00"/>
    <w:pPr>
      <w:spacing w:after="240"/>
      <w:ind w:firstLine="432"/>
    </w:pPr>
    <w:rPr>
      <w:szCs w:val="20"/>
    </w:rPr>
  </w:style>
  <w:style w:type="paragraph" w:customStyle="1" w:styleId="TableHeaderLeft">
    <w:name w:val="Table Header Left"/>
    <w:basedOn w:val="TableText"/>
    <w:next w:val="TableText"/>
    <w:qFormat/>
    <w:rsid w:val="00BA6E00"/>
    <w:pPr>
      <w:spacing w:before="120" w:after="60"/>
    </w:pPr>
    <w:rPr>
      <w:rFonts w:ascii="Arial Black" w:hAnsi="Arial Black"/>
    </w:rPr>
  </w:style>
  <w:style w:type="paragraph" w:customStyle="1" w:styleId="TableHeaderCenter">
    <w:name w:val="Table Header Center"/>
    <w:basedOn w:val="TableHeaderLeft"/>
    <w:qFormat/>
    <w:rsid w:val="00BA6E00"/>
    <w:pPr>
      <w:jc w:val="center"/>
    </w:pPr>
  </w:style>
  <w:style w:type="paragraph" w:customStyle="1" w:styleId="TableText">
    <w:name w:val="Table Text"/>
    <w:basedOn w:val="Normal"/>
    <w:qFormat/>
    <w:rsid w:val="00BA6E00"/>
    <w:rPr>
      <w:rFonts w:ascii="Arial" w:hAnsi="Arial"/>
      <w:sz w:val="18"/>
      <w:szCs w:val="20"/>
    </w:rPr>
  </w:style>
  <w:style w:type="table" w:customStyle="1" w:styleId="Table">
    <w:name w:val="Table"/>
    <w:basedOn w:val="TableNormal"/>
    <w:uiPriority w:val="99"/>
    <w:qFormat/>
    <w:locked/>
    <w:rsid w:val="00BA6E00"/>
    <w:rPr>
      <w:rFonts w:ascii="Arial" w:hAnsi="Arial"/>
      <w:color w:val="000000" w:themeColor="text1"/>
      <w:sz w:val="18"/>
    </w:rPr>
    <w:tblPr>
      <w:tblInd w:w="115" w:type="dxa"/>
      <w:tblBorders>
        <w:top w:val="single" w:sz="12" w:space="0" w:color="auto"/>
        <w:bottom w:val="single" w:sz="4" w:space="0" w:color="auto"/>
      </w:tblBorders>
    </w:tblPr>
    <w:tcPr>
      <w:shd w:val="clear" w:color="auto" w:fill="auto"/>
      <w:vAlign w:val="bottom"/>
    </w:tcPr>
    <w:tblStylePr w:type="firstRow">
      <w:rPr>
        <w:rFonts w:ascii="Bahnschrift SemiLight" w:hAnsi="Bahnschrift SemiLight"/>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character" w:customStyle="1" w:styleId="NormalSSChar">
    <w:name w:val="NormalSS Char"/>
    <w:link w:val="NormalSS"/>
    <w:locked/>
    <w:rsid w:val="00BA6E00"/>
    <w:rPr>
      <w:sz w:val="24"/>
    </w:rPr>
  </w:style>
  <w:style w:type="paragraph" w:styleId="BodyText2">
    <w:name w:val="Body Text 2"/>
    <w:basedOn w:val="Normal"/>
    <w:link w:val="BodyText2Char"/>
    <w:rsid w:val="0076335A"/>
    <w:pPr>
      <w:spacing w:after="120" w:line="480" w:lineRule="auto"/>
    </w:pPr>
  </w:style>
  <w:style w:type="character" w:customStyle="1" w:styleId="BodyText2Char">
    <w:name w:val="Body Text 2 Char"/>
    <w:basedOn w:val="DefaultParagraphFont"/>
    <w:link w:val="BodyText2"/>
    <w:rsid w:val="0076335A"/>
    <w:rPr>
      <w:sz w:val="24"/>
      <w:szCs w:val="24"/>
    </w:rPr>
  </w:style>
  <w:style w:type="paragraph" w:customStyle="1" w:styleId="SL-FlLftSgl">
    <w:name w:val="SL-Fl Lft Sgl"/>
    <w:rsid w:val="0076335A"/>
    <w:pPr>
      <w:spacing w:line="240" w:lineRule="atLeast"/>
    </w:pPr>
    <w:rPr>
      <w:sz w:val="24"/>
      <w:szCs w:val="24"/>
    </w:rPr>
  </w:style>
  <w:style w:type="paragraph" w:styleId="Revision">
    <w:name w:val="Revision"/>
    <w:hidden/>
    <w:uiPriority w:val="99"/>
    <w:semiHidden/>
    <w:rsid w:val="00940EEF"/>
    <w:rPr>
      <w:sz w:val="24"/>
      <w:szCs w:val="24"/>
    </w:rPr>
  </w:style>
  <w:style w:type="paragraph" w:styleId="E-mailSignature">
    <w:name w:val="E-mail Signature"/>
    <w:basedOn w:val="Normal"/>
    <w:link w:val="E-mailSignatureChar"/>
    <w:rsid w:val="000C43E7"/>
  </w:style>
  <w:style w:type="character" w:customStyle="1" w:styleId="E-mailSignatureChar">
    <w:name w:val="E-mail Signature Char"/>
    <w:basedOn w:val="DefaultParagraphFont"/>
    <w:link w:val="E-mailSignature"/>
    <w:rsid w:val="000C43E7"/>
    <w:rPr>
      <w:sz w:val="24"/>
      <w:szCs w:val="24"/>
    </w:rPr>
  </w:style>
  <w:style w:type="table" w:customStyle="1" w:styleId="GridTable4-Accent11">
    <w:name w:val="Grid Table 4 - Accent 11"/>
    <w:basedOn w:val="TableNormal"/>
    <w:next w:val="GridTable4Accent1"/>
    <w:uiPriority w:val="49"/>
    <w:rsid w:val="005B2931"/>
    <w:rPr>
      <w:rFonts w:ascii="Calibri" w:eastAsia="Calibri" w:hAnsi="Calibri" w:cs="Arial"/>
      <w:sz w:val="22"/>
      <w:szCs w:val="22"/>
      <w:lang w:eastAsia="zh-TW"/>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
    <w:name w:val="Grid Table 4 Accent 1"/>
    <w:basedOn w:val="TableNormal"/>
    <w:uiPriority w:val="49"/>
    <w:rsid w:val="005B293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CBullet1TimesNewRomanSquare">
    <w:name w:val="NORC Bullet 1 (Times New Roman Square)"/>
    <w:qFormat/>
    <w:rsid w:val="00826E33"/>
    <w:pPr>
      <w:keepLines/>
      <w:numPr>
        <w:numId w:val="7"/>
      </w:numPr>
      <w:spacing w:before="60"/>
    </w:pPr>
    <w:rPr>
      <w:sz w:val="22"/>
      <w:szCs w:val="22"/>
    </w:rPr>
  </w:style>
  <w:style w:type="table" w:customStyle="1" w:styleId="GridTableLight">
    <w:name w:val="Grid Table Light"/>
    <w:basedOn w:val="TableNormal"/>
    <w:uiPriority w:val="40"/>
    <w:rsid w:val="00D319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
    <w:name w:val="EndNote Bibliography"/>
    <w:basedOn w:val="Normal"/>
    <w:link w:val="EndNoteBibliographyChar"/>
    <w:rsid w:val="00C85FC4"/>
    <w:rPr>
      <w:rFonts w:eastAsiaTheme="minorHAnsi"/>
      <w:noProof/>
    </w:rPr>
  </w:style>
  <w:style w:type="character" w:customStyle="1" w:styleId="EndNoteBibliographyChar">
    <w:name w:val="EndNote Bibliography Char"/>
    <w:basedOn w:val="DefaultParagraphFont"/>
    <w:link w:val="EndNoteBibliography"/>
    <w:rsid w:val="00C85FC4"/>
    <w:rPr>
      <w:rFonts w:eastAsiaTheme="minorHAnsi"/>
      <w:noProof/>
      <w:sz w:val="24"/>
      <w:szCs w:val="24"/>
    </w:rPr>
  </w:style>
  <w:style w:type="paragraph" w:customStyle="1" w:styleId="BodyText21">
    <w:name w:val="Body Text 21"/>
    <w:basedOn w:val="Normal"/>
    <w:rsid w:val="003F5C2B"/>
    <w:rPr>
      <w:rFonts w:ascii="Times" w:hAnsi="Times"/>
      <w:szCs w:val="20"/>
    </w:rPr>
  </w:style>
  <w:style w:type="paragraph" w:customStyle="1" w:styleId="NORCTableHeader1">
    <w:name w:val="NORC Table Header 1"/>
    <w:basedOn w:val="Normal"/>
    <w:qFormat/>
    <w:rsid w:val="00362AC5"/>
    <w:pPr>
      <w:keepNext/>
      <w:keepLines/>
      <w:spacing w:before="60" w:after="40"/>
      <w:jc w:val="center"/>
    </w:pPr>
    <w:rPr>
      <w:rFonts w:ascii="Arial" w:eastAsia="Calibri" w:hAnsi="Arial" w:cs="Arial"/>
      <w:b/>
      <w:sz w:val="18"/>
      <w:szCs w:val="20"/>
      <w:lang w:eastAsia="zh-TW"/>
    </w:rPr>
  </w:style>
  <w:style w:type="table" w:customStyle="1" w:styleId="TableGrid1">
    <w:name w:val="Table Grid1"/>
    <w:basedOn w:val="TableNormal"/>
    <w:next w:val="TableGrid"/>
    <w:uiPriority w:val="39"/>
    <w:rsid w:val="00F33316"/>
    <w:rPr>
      <w:rFonts w:eastAsiaTheme="minorHAns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1F278E"/>
    <w:pPr>
      <w:spacing w:after="120"/>
    </w:pPr>
    <w:rPr>
      <w:sz w:val="16"/>
      <w:szCs w:val="16"/>
    </w:rPr>
  </w:style>
  <w:style w:type="character" w:customStyle="1" w:styleId="BodyText3Char">
    <w:name w:val="Body Text 3 Char"/>
    <w:basedOn w:val="DefaultParagraphFont"/>
    <w:link w:val="BodyText3"/>
    <w:rsid w:val="001F278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73F74"/>
    <w:pPr>
      <w:bidi/>
      <w:jc w:val="right"/>
    </w:pPr>
    <w:rPr>
      <w:sz w:val="20"/>
      <w:szCs w:val="20"/>
      <w:lang w:bidi="ar-QA"/>
    </w:rPr>
  </w:style>
  <w:style w:type="character" w:styleId="FootnoteReference">
    <w:name w:val="footnote reference"/>
    <w:uiPriority w:val="99"/>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uiPriority w:val="39"/>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aliases w:val="headerU,headerU1,B&amp;D Header,h,Header Char2 Char,Header Char1 Char Char,Header Char Char Char Char,h Char Char Char,B&amp;D Header Char Char Char,Header Char Char1 Char,h Char1 Char,B&amp;D Header Char1 Char,Header Char1 Char,h Char Cha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C1226E"/>
    <w:pPr>
      <w:tabs>
        <w:tab w:val="right" w:leader="dot" w:pos="8630"/>
      </w:tabs>
    </w:pPr>
  </w:style>
  <w:style w:type="paragraph" w:styleId="TOC2">
    <w:name w:val="toc 2"/>
    <w:basedOn w:val="Normal"/>
    <w:next w:val="Normal"/>
    <w:autoRedefine/>
    <w:uiPriority w:val="39"/>
    <w:rsid w:val="00082EBF"/>
    <w:pPr>
      <w:tabs>
        <w:tab w:val="right" w:leader="dot" w:pos="8630"/>
      </w:tabs>
      <w:ind w:left="240"/>
    </w:pPr>
  </w:style>
  <w:style w:type="paragraph" w:styleId="TOC3">
    <w:name w:val="toc 3"/>
    <w:basedOn w:val="Normal"/>
    <w:next w:val="Normal"/>
    <w:autoRedefine/>
    <w:uiPriority w:val="39"/>
    <w:rsid w:val="001D0454"/>
    <w:pPr>
      <w:ind w:left="480"/>
    </w:pPr>
  </w:style>
  <w:style w:type="character" w:styleId="Hyperlink">
    <w:name w:val="Hyperlink"/>
    <w:uiPriority w:val="99"/>
    <w:rsid w:val="001D0454"/>
    <w:rPr>
      <w:color w:val="0000FF"/>
      <w:u w:val="single"/>
    </w:rPr>
  </w:style>
  <w:style w:type="paragraph" w:styleId="Footer">
    <w:name w:val="footer"/>
    <w:basedOn w:val="Normal"/>
    <w:link w:val="FooterChar"/>
    <w:uiPriority w:val="99"/>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rsid w:val="00621299"/>
    <w:rPr>
      <w:sz w:val="16"/>
      <w:szCs w:val="16"/>
    </w:rPr>
  </w:style>
  <w:style w:type="paragraph" w:styleId="CommentText">
    <w:name w:val="annotation text"/>
    <w:basedOn w:val="Normal"/>
    <w:link w:val="CommentTextChar"/>
    <w:uiPriority w:val="99"/>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uiPriority w:val="99"/>
    <w:rsid w:val="00450538"/>
    <w:pPr>
      <w:spacing w:before="100" w:beforeAutospacing="1" w:after="100" w:afterAutospacing="1"/>
    </w:pPr>
  </w:style>
  <w:style w:type="character" w:customStyle="1" w:styleId="CommentTextChar">
    <w:name w:val="Comment Text Char"/>
    <w:basedOn w:val="DefaultParagraphFont"/>
    <w:link w:val="CommentText"/>
    <w:uiPriority w:val="99"/>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420AEC"/>
    <w:pPr>
      <w:ind w:left="720"/>
    </w:pPr>
  </w:style>
  <w:style w:type="paragraph" w:customStyle="1" w:styleId="Default">
    <w:name w:val="Default"/>
    <w:rsid w:val="004A253F"/>
    <w:pPr>
      <w:autoSpaceDE w:val="0"/>
      <w:autoSpaceDN w:val="0"/>
      <w:adjustRightInd w:val="0"/>
    </w:pPr>
    <w:rPr>
      <w:color w:val="000000"/>
      <w:sz w:val="24"/>
      <w:szCs w:val="24"/>
    </w:rPr>
  </w:style>
  <w:style w:type="paragraph" w:styleId="BodyText">
    <w:name w:val="Body Text"/>
    <w:basedOn w:val="Normal"/>
    <w:link w:val="BodyTextChar"/>
    <w:rsid w:val="00432FD4"/>
    <w:pPr>
      <w:spacing w:after="120"/>
    </w:pPr>
  </w:style>
  <w:style w:type="character" w:customStyle="1" w:styleId="BodyTextChar">
    <w:name w:val="Body Text Char"/>
    <w:link w:val="BodyText"/>
    <w:rsid w:val="00432FD4"/>
    <w:rPr>
      <w:sz w:val="24"/>
      <w:szCs w:val="24"/>
    </w:rPr>
  </w:style>
  <w:style w:type="character" w:customStyle="1" w:styleId="FootnoteTextChar">
    <w:name w:val="Footnote Text Char"/>
    <w:link w:val="FootnoteText"/>
    <w:uiPriority w:val="99"/>
    <w:rsid w:val="00767BA0"/>
    <w:rPr>
      <w:lang w:bidi="ar-QA"/>
    </w:rPr>
  </w:style>
  <w:style w:type="paragraph" w:customStyle="1" w:styleId="GridTable31">
    <w:name w:val="Grid Table 31"/>
    <w:basedOn w:val="Heading1"/>
    <w:next w:val="Normal"/>
    <w:uiPriority w:val="39"/>
    <w:unhideWhenUsed/>
    <w:qFormat/>
    <w:rsid w:val="00233775"/>
    <w:pPr>
      <w:outlineLvl w:val="9"/>
    </w:pPr>
    <w:rPr>
      <w:rFonts w:ascii="Calibri Light" w:hAnsi="Calibri Light" w:cs="Times New Roman"/>
    </w:rPr>
  </w:style>
  <w:style w:type="character" w:customStyle="1" w:styleId="HeaderChar">
    <w:name w:val="Header Char"/>
    <w:aliases w:val="headerU Char,headerU1 Char,B&amp;D Header Char,h Char,Header Char2 Char Char,Header Char1 Char Char Char,Header Char Char Char Char Char,h Char Char Char Char,B&amp;D Header Char Char Char Char,Header Char Char1 Char Char,h Char1 Char Char"/>
    <w:link w:val="Header"/>
    <w:uiPriority w:val="99"/>
    <w:rsid w:val="00541453"/>
    <w:rPr>
      <w:sz w:val="24"/>
    </w:rPr>
  </w:style>
  <w:style w:type="paragraph" w:customStyle="1" w:styleId="NORCProposalBodySingleSpacing-Garamond">
    <w:name w:val="NORC Proposal Body Single Spacing - Garamond"/>
    <w:basedOn w:val="Normal"/>
    <w:qFormat/>
    <w:rsid w:val="009C2095"/>
    <w:pPr>
      <w:tabs>
        <w:tab w:val="right" w:pos="9360"/>
      </w:tabs>
      <w:ind w:firstLine="360"/>
    </w:pPr>
    <w:rPr>
      <w:rFonts w:ascii="Garamond" w:hAnsi="Garamond" w:cs="AGaramond-Regular"/>
      <w:color w:val="000000" w:themeColor="text1"/>
      <w:szCs w:val="20"/>
    </w:rPr>
  </w:style>
  <w:style w:type="character" w:customStyle="1" w:styleId="FooterChar">
    <w:name w:val="Footer Char"/>
    <w:basedOn w:val="DefaultParagraphFont"/>
    <w:link w:val="Footer"/>
    <w:uiPriority w:val="99"/>
    <w:rsid w:val="009C2095"/>
    <w:rPr>
      <w:sz w:val="24"/>
      <w:szCs w:val="24"/>
    </w:rPr>
  </w:style>
  <w:style w:type="paragraph" w:styleId="ListParagraph">
    <w:name w:val="List Paragraph"/>
    <w:aliases w:val="Bullet List,FooterText,List Paragraph1,Proposal Bullet List,Paragraph"/>
    <w:basedOn w:val="Normal"/>
    <w:link w:val="ListParagraphChar"/>
    <w:uiPriority w:val="34"/>
    <w:qFormat/>
    <w:rsid w:val="009C2095"/>
    <w:pPr>
      <w:ind w:left="720"/>
      <w:contextualSpacing/>
    </w:pPr>
  </w:style>
  <w:style w:type="character" w:customStyle="1" w:styleId="ListParagraphChar">
    <w:name w:val="List Paragraph Char"/>
    <w:aliases w:val="Bullet List Char,FooterText Char,List Paragraph1 Char,Proposal Bullet List Char,Paragraph Char"/>
    <w:basedOn w:val="DefaultParagraphFont"/>
    <w:link w:val="ListParagraph"/>
    <w:uiPriority w:val="34"/>
    <w:locked/>
    <w:rsid w:val="009C2095"/>
    <w:rPr>
      <w:sz w:val="24"/>
      <w:szCs w:val="24"/>
    </w:rPr>
  </w:style>
  <w:style w:type="paragraph" w:styleId="NoSpacing">
    <w:name w:val="No Spacing"/>
    <w:uiPriority w:val="1"/>
    <w:qFormat/>
    <w:rsid w:val="009C2095"/>
    <w:rPr>
      <w:rFonts w:asciiTheme="minorHAnsi" w:eastAsiaTheme="minorHAnsi" w:hAnsiTheme="minorHAnsi" w:cstheme="minorBidi"/>
      <w:sz w:val="22"/>
      <w:szCs w:val="22"/>
    </w:rPr>
  </w:style>
  <w:style w:type="character" w:customStyle="1" w:styleId="NORCInlineL1BlackBold">
    <w:name w:val="NORC Inline L1 (Black Bold)"/>
    <w:qFormat/>
    <w:rsid w:val="00C81547"/>
    <w:rPr>
      <w:rFonts w:ascii="Garamond" w:hAnsi="Garamond"/>
      <w:b/>
      <w:bCs/>
      <w:sz w:val="24"/>
      <w:u w:val="none"/>
    </w:rPr>
  </w:style>
  <w:style w:type="paragraph" w:customStyle="1" w:styleId="MarkforTableTitle">
    <w:name w:val="Mark for Table Title"/>
    <w:basedOn w:val="Normal"/>
    <w:next w:val="NormalSS"/>
    <w:qFormat/>
    <w:rsid w:val="00BA6E00"/>
    <w:pPr>
      <w:keepNext/>
      <w:spacing w:after="60"/>
    </w:pPr>
    <w:rPr>
      <w:rFonts w:ascii="Arial Black" w:hAnsi="Arial Black"/>
      <w:sz w:val="22"/>
      <w:szCs w:val="20"/>
    </w:rPr>
  </w:style>
  <w:style w:type="paragraph" w:customStyle="1" w:styleId="NormalSS">
    <w:name w:val="NormalSS"/>
    <w:basedOn w:val="Normal"/>
    <w:link w:val="NormalSSChar"/>
    <w:qFormat/>
    <w:rsid w:val="00BA6E00"/>
    <w:pPr>
      <w:spacing w:after="240"/>
      <w:ind w:firstLine="432"/>
    </w:pPr>
    <w:rPr>
      <w:szCs w:val="20"/>
    </w:rPr>
  </w:style>
  <w:style w:type="paragraph" w:customStyle="1" w:styleId="TableHeaderLeft">
    <w:name w:val="Table Header Left"/>
    <w:basedOn w:val="TableText"/>
    <w:next w:val="TableText"/>
    <w:qFormat/>
    <w:rsid w:val="00BA6E00"/>
    <w:pPr>
      <w:spacing w:before="120" w:after="60"/>
    </w:pPr>
    <w:rPr>
      <w:rFonts w:ascii="Arial Black" w:hAnsi="Arial Black"/>
    </w:rPr>
  </w:style>
  <w:style w:type="paragraph" w:customStyle="1" w:styleId="TableHeaderCenter">
    <w:name w:val="Table Header Center"/>
    <w:basedOn w:val="TableHeaderLeft"/>
    <w:qFormat/>
    <w:rsid w:val="00BA6E00"/>
    <w:pPr>
      <w:jc w:val="center"/>
    </w:pPr>
  </w:style>
  <w:style w:type="paragraph" w:customStyle="1" w:styleId="TableText">
    <w:name w:val="Table Text"/>
    <w:basedOn w:val="Normal"/>
    <w:qFormat/>
    <w:rsid w:val="00BA6E00"/>
    <w:rPr>
      <w:rFonts w:ascii="Arial" w:hAnsi="Arial"/>
      <w:sz w:val="18"/>
      <w:szCs w:val="20"/>
    </w:rPr>
  </w:style>
  <w:style w:type="table" w:customStyle="1" w:styleId="Table">
    <w:name w:val="Table"/>
    <w:basedOn w:val="TableNormal"/>
    <w:uiPriority w:val="99"/>
    <w:qFormat/>
    <w:locked/>
    <w:rsid w:val="00BA6E00"/>
    <w:rPr>
      <w:rFonts w:ascii="Arial" w:hAnsi="Arial"/>
      <w:color w:val="000000" w:themeColor="text1"/>
      <w:sz w:val="18"/>
    </w:rPr>
    <w:tblPr>
      <w:tblInd w:w="115" w:type="dxa"/>
      <w:tblBorders>
        <w:top w:val="single" w:sz="12" w:space="0" w:color="auto"/>
        <w:bottom w:val="single" w:sz="4" w:space="0" w:color="auto"/>
      </w:tblBorders>
    </w:tblPr>
    <w:tcPr>
      <w:shd w:val="clear" w:color="auto" w:fill="auto"/>
      <w:vAlign w:val="bottom"/>
    </w:tcPr>
    <w:tblStylePr w:type="firstRow">
      <w:rPr>
        <w:rFonts w:ascii="Bahnschrift SemiLight" w:hAnsi="Bahnschrift SemiLight"/>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character" w:customStyle="1" w:styleId="NormalSSChar">
    <w:name w:val="NormalSS Char"/>
    <w:link w:val="NormalSS"/>
    <w:locked/>
    <w:rsid w:val="00BA6E00"/>
    <w:rPr>
      <w:sz w:val="24"/>
    </w:rPr>
  </w:style>
  <w:style w:type="paragraph" w:styleId="BodyText2">
    <w:name w:val="Body Text 2"/>
    <w:basedOn w:val="Normal"/>
    <w:link w:val="BodyText2Char"/>
    <w:rsid w:val="0076335A"/>
    <w:pPr>
      <w:spacing w:after="120" w:line="480" w:lineRule="auto"/>
    </w:pPr>
  </w:style>
  <w:style w:type="character" w:customStyle="1" w:styleId="BodyText2Char">
    <w:name w:val="Body Text 2 Char"/>
    <w:basedOn w:val="DefaultParagraphFont"/>
    <w:link w:val="BodyText2"/>
    <w:rsid w:val="0076335A"/>
    <w:rPr>
      <w:sz w:val="24"/>
      <w:szCs w:val="24"/>
    </w:rPr>
  </w:style>
  <w:style w:type="paragraph" w:customStyle="1" w:styleId="SL-FlLftSgl">
    <w:name w:val="SL-Fl Lft Sgl"/>
    <w:rsid w:val="0076335A"/>
    <w:pPr>
      <w:spacing w:line="240" w:lineRule="atLeast"/>
    </w:pPr>
    <w:rPr>
      <w:sz w:val="24"/>
      <w:szCs w:val="24"/>
    </w:rPr>
  </w:style>
  <w:style w:type="paragraph" w:styleId="Revision">
    <w:name w:val="Revision"/>
    <w:hidden/>
    <w:uiPriority w:val="99"/>
    <w:semiHidden/>
    <w:rsid w:val="00940EEF"/>
    <w:rPr>
      <w:sz w:val="24"/>
      <w:szCs w:val="24"/>
    </w:rPr>
  </w:style>
  <w:style w:type="paragraph" w:styleId="E-mailSignature">
    <w:name w:val="E-mail Signature"/>
    <w:basedOn w:val="Normal"/>
    <w:link w:val="E-mailSignatureChar"/>
    <w:rsid w:val="000C43E7"/>
  </w:style>
  <w:style w:type="character" w:customStyle="1" w:styleId="E-mailSignatureChar">
    <w:name w:val="E-mail Signature Char"/>
    <w:basedOn w:val="DefaultParagraphFont"/>
    <w:link w:val="E-mailSignature"/>
    <w:rsid w:val="000C43E7"/>
    <w:rPr>
      <w:sz w:val="24"/>
      <w:szCs w:val="24"/>
    </w:rPr>
  </w:style>
  <w:style w:type="table" w:customStyle="1" w:styleId="GridTable4-Accent11">
    <w:name w:val="Grid Table 4 - Accent 11"/>
    <w:basedOn w:val="TableNormal"/>
    <w:next w:val="GridTable4Accent1"/>
    <w:uiPriority w:val="49"/>
    <w:rsid w:val="005B2931"/>
    <w:rPr>
      <w:rFonts w:ascii="Calibri" w:eastAsia="Calibri" w:hAnsi="Calibri" w:cs="Arial"/>
      <w:sz w:val="22"/>
      <w:szCs w:val="22"/>
      <w:lang w:eastAsia="zh-TW"/>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
    <w:name w:val="Grid Table 4 Accent 1"/>
    <w:basedOn w:val="TableNormal"/>
    <w:uiPriority w:val="49"/>
    <w:rsid w:val="005B293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CBullet1TimesNewRomanSquare">
    <w:name w:val="NORC Bullet 1 (Times New Roman Square)"/>
    <w:qFormat/>
    <w:rsid w:val="00826E33"/>
    <w:pPr>
      <w:keepLines/>
      <w:numPr>
        <w:numId w:val="7"/>
      </w:numPr>
      <w:spacing w:before="60"/>
    </w:pPr>
    <w:rPr>
      <w:sz w:val="22"/>
      <w:szCs w:val="22"/>
    </w:rPr>
  </w:style>
  <w:style w:type="table" w:customStyle="1" w:styleId="GridTableLight">
    <w:name w:val="Grid Table Light"/>
    <w:basedOn w:val="TableNormal"/>
    <w:uiPriority w:val="40"/>
    <w:rsid w:val="00D319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
    <w:name w:val="EndNote Bibliography"/>
    <w:basedOn w:val="Normal"/>
    <w:link w:val="EndNoteBibliographyChar"/>
    <w:rsid w:val="00C85FC4"/>
    <w:rPr>
      <w:rFonts w:eastAsiaTheme="minorHAnsi"/>
      <w:noProof/>
    </w:rPr>
  </w:style>
  <w:style w:type="character" w:customStyle="1" w:styleId="EndNoteBibliographyChar">
    <w:name w:val="EndNote Bibliography Char"/>
    <w:basedOn w:val="DefaultParagraphFont"/>
    <w:link w:val="EndNoteBibliography"/>
    <w:rsid w:val="00C85FC4"/>
    <w:rPr>
      <w:rFonts w:eastAsiaTheme="minorHAnsi"/>
      <w:noProof/>
      <w:sz w:val="24"/>
      <w:szCs w:val="24"/>
    </w:rPr>
  </w:style>
  <w:style w:type="paragraph" w:customStyle="1" w:styleId="BodyText21">
    <w:name w:val="Body Text 21"/>
    <w:basedOn w:val="Normal"/>
    <w:rsid w:val="003F5C2B"/>
    <w:rPr>
      <w:rFonts w:ascii="Times" w:hAnsi="Times"/>
      <w:szCs w:val="20"/>
    </w:rPr>
  </w:style>
  <w:style w:type="paragraph" w:customStyle="1" w:styleId="NORCTableHeader1">
    <w:name w:val="NORC Table Header 1"/>
    <w:basedOn w:val="Normal"/>
    <w:qFormat/>
    <w:rsid w:val="00362AC5"/>
    <w:pPr>
      <w:keepNext/>
      <w:keepLines/>
      <w:spacing w:before="60" w:after="40"/>
      <w:jc w:val="center"/>
    </w:pPr>
    <w:rPr>
      <w:rFonts w:ascii="Arial" w:eastAsia="Calibri" w:hAnsi="Arial" w:cs="Arial"/>
      <w:b/>
      <w:sz w:val="18"/>
      <w:szCs w:val="20"/>
      <w:lang w:eastAsia="zh-TW"/>
    </w:rPr>
  </w:style>
  <w:style w:type="table" w:customStyle="1" w:styleId="TableGrid1">
    <w:name w:val="Table Grid1"/>
    <w:basedOn w:val="TableNormal"/>
    <w:next w:val="TableGrid"/>
    <w:uiPriority w:val="39"/>
    <w:rsid w:val="00F33316"/>
    <w:rPr>
      <w:rFonts w:eastAsiaTheme="minorHAns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1F278E"/>
    <w:pPr>
      <w:spacing w:after="120"/>
    </w:pPr>
    <w:rPr>
      <w:sz w:val="16"/>
      <w:szCs w:val="16"/>
    </w:rPr>
  </w:style>
  <w:style w:type="character" w:customStyle="1" w:styleId="BodyText3Char">
    <w:name w:val="Body Text 3 Char"/>
    <w:basedOn w:val="DefaultParagraphFont"/>
    <w:link w:val="BodyText3"/>
    <w:rsid w:val="001F27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13839433">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198735381">
      <w:bodyDiv w:val="1"/>
      <w:marLeft w:val="0"/>
      <w:marRight w:val="0"/>
      <w:marTop w:val="0"/>
      <w:marBottom w:val="0"/>
      <w:divBdr>
        <w:top w:val="none" w:sz="0" w:space="0" w:color="auto"/>
        <w:left w:val="none" w:sz="0" w:space="0" w:color="auto"/>
        <w:bottom w:val="none" w:sz="0" w:space="0" w:color="auto"/>
        <w:right w:val="none" w:sz="0" w:space="0" w:color="auto"/>
      </w:divBdr>
      <w:divsChild>
        <w:div w:id="2107841883">
          <w:marLeft w:val="0"/>
          <w:marRight w:val="0"/>
          <w:marTop w:val="0"/>
          <w:marBottom w:val="0"/>
          <w:divBdr>
            <w:top w:val="none" w:sz="0" w:space="0" w:color="auto"/>
            <w:left w:val="none" w:sz="0" w:space="0" w:color="auto"/>
            <w:bottom w:val="none" w:sz="0" w:space="0" w:color="auto"/>
            <w:right w:val="none" w:sz="0" w:space="0" w:color="auto"/>
          </w:divBdr>
          <w:divsChild>
            <w:div w:id="1583178552">
              <w:marLeft w:val="0"/>
              <w:marRight w:val="0"/>
              <w:marTop w:val="0"/>
              <w:marBottom w:val="0"/>
              <w:divBdr>
                <w:top w:val="none" w:sz="0" w:space="0" w:color="auto"/>
                <w:left w:val="single" w:sz="6" w:space="0" w:color="E2E2E2"/>
                <w:bottom w:val="none" w:sz="0" w:space="0" w:color="auto"/>
                <w:right w:val="single" w:sz="6" w:space="0" w:color="E2E2E2"/>
              </w:divBdr>
              <w:divsChild>
                <w:div w:id="564268048">
                  <w:marLeft w:val="0"/>
                  <w:marRight w:val="0"/>
                  <w:marTop w:val="0"/>
                  <w:marBottom w:val="0"/>
                  <w:divBdr>
                    <w:top w:val="none" w:sz="0" w:space="0" w:color="auto"/>
                    <w:left w:val="none" w:sz="0" w:space="0" w:color="auto"/>
                    <w:bottom w:val="none" w:sz="0" w:space="0" w:color="auto"/>
                    <w:right w:val="none" w:sz="0" w:space="0" w:color="auto"/>
                  </w:divBdr>
                  <w:divsChild>
                    <w:div w:id="13896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320574367">
      <w:bodyDiv w:val="1"/>
      <w:marLeft w:val="0"/>
      <w:marRight w:val="0"/>
      <w:marTop w:val="0"/>
      <w:marBottom w:val="0"/>
      <w:divBdr>
        <w:top w:val="none" w:sz="0" w:space="0" w:color="auto"/>
        <w:left w:val="none" w:sz="0" w:space="0" w:color="auto"/>
        <w:bottom w:val="none" w:sz="0" w:space="0" w:color="auto"/>
        <w:right w:val="none" w:sz="0" w:space="0" w:color="auto"/>
      </w:divBdr>
    </w:div>
    <w:div w:id="1385444262">
      <w:bodyDiv w:val="1"/>
      <w:marLeft w:val="0"/>
      <w:marRight w:val="0"/>
      <w:marTop w:val="0"/>
      <w:marBottom w:val="0"/>
      <w:divBdr>
        <w:top w:val="none" w:sz="0" w:space="0" w:color="auto"/>
        <w:left w:val="none" w:sz="0" w:space="0" w:color="auto"/>
        <w:bottom w:val="none" w:sz="0" w:space="0" w:color="auto"/>
        <w:right w:val="none" w:sz="0" w:space="0" w:color="auto"/>
      </w:divBdr>
    </w:div>
    <w:div w:id="1403022336">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47891459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977640405">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c.gov/injury/wisq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ls.gov/oes/current/oes_stru.htm" TargetMode="External"/><Relationship Id="rId10" Type="http://schemas.openxmlformats.org/officeDocument/2006/relationships/hyperlink" Target="https://www.cdc.gov/steadi" TargetMode="External"/><Relationship Id="rId4" Type="http://schemas.microsoft.com/office/2007/relationships/stylesWithEffects" Target="stylesWithEffects.xml"/><Relationship Id="rId9" Type="http://schemas.openxmlformats.org/officeDocument/2006/relationships/hyperlink" Target="mailto:gjb8@cdc.gov" TargetMode="External"/><Relationship Id="rId14" Type="http://schemas.openxmlformats.org/officeDocument/2006/relationships/hyperlink" Target="https://www.bls.gov/oes/current/oes_str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C38C-EFD2-4950-81EB-65343868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6754</Words>
  <Characters>38502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45166</CharactersWithSpaces>
  <SharedDoc>false</SharedDoc>
  <HLinks>
    <vt:vector size="180" baseType="variant">
      <vt:variant>
        <vt:i4>1703963</vt:i4>
      </vt:variant>
      <vt:variant>
        <vt:i4>150</vt:i4>
      </vt:variant>
      <vt:variant>
        <vt:i4>0</vt:i4>
      </vt:variant>
      <vt:variant>
        <vt:i4>5</vt:i4>
      </vt:variant>
      <vt:variant>
        <vt:lpwstr>https://www.opm.gov/policy-data-oversight/pay-leave/salaries-wages/salary-tables/pdf/2017/DCB.pdf</vt:lpwstr>
      </vt:variant>
      <vt:variant>
        <vt:lpwstr/>
      </vt:variant>
      <vt:variant>
        <vt:i4>7340045</vt:i4>
      </vt:variant>
      <vt:variant>
        <vt:i4>147</vt:i4>
      </vt:variant>
      <vt:variant>
        <vt:i4>0</vt:i4>
      </vt:variant>
      <vt:variant>
        <vt:i4>5</vt:i4>
      </vt:variant>
      <vt:variant>
        <vt:lpwstr>http://www.bls.gov/oes/current/oes_stru.htm</vt:lpwstr>
      </vt:variant>
      <vt:variant>
        <vt:lpwstr/>
      </vt:variant>
      <vt:variant>
        <vt:i4>2162742</vt:i4>
      </vt:variant>
      <vt:variant>
        <vt:i4>144</vt:i4>
      </vt:variant>
      <vt:variant>
        <vt:i4>0</vt:i4>
      </vt:variant>
      <vt:variant>
        <vt:i4>5</vt:i4>
      </vt:variant>
      <vt:variant>
        <vt:lpwstr>http://www.hqinstitute.org/glossary</vt:lpwstr>
      </vt:variant>
      <vt:variant>
        <vt:lpwstr/>
      </vt:variant>
      <vt:variant>
        <vt:i4>2162742</vt:i4>
      </vt:variant>
      <vt:variant>
        <vt:i4>141</vt:i4>
      </vt:variant>
      <vt:variant>
        <vt:i4>0</vt:i4>
      </vt:variant>
      <vt:variant>
        <vt:i4>5</vt:i4>
      </vt:variant>
      <vt:variant>
        <vt:lpwstr>http://www.hqinstitute.org/glossary</vt:lpwstr>
      </vt:variant>
      <vt:variant>
        <vt:lpwstr/>
      </vt:variant>
      <vt:variant>
        <vt:i4>2162742</vt:i4>
      </vt:variant>
      <vt:variant>
        <vt:i4>138</vt:i4>
      </vt:variant>
      <vt:variant>
        <vt:i4>0</vt:i4>
      </vt:variant>
      <vt:variant>
        <vt:i4>5</vt:i4>
      </vt:variant>
      <vt:variant>
        <vt:lpwstr>http://www.hqinstitute.org/glossary</vt:lpwstr>
      </vt:variant>
      <vt:variant>
        <vt:lpwstr/>
      </vt:variant>
      <vt:variant>
        <vt:i4>2162742</vt:i4>
      </vt:variant>
      <vt:variant>
        <vt:i4>135</vt:i4>
      </vt:variant>
      <vt:variant>
        <vt:i4>0</vt:i4>
      </vt:variant>
      <vt:variant>
        <vt:i4>5</vt:i4>
      </vt:variant>
      <vt:variant>
        <vt:lpwstr>http://www.hqinstitute.org/glossary</vt:lpwstr>
      </vt:variant>
      <vt:variant>
        <vt:lpwstr/>
      </vt:variant>
      <vt:variant>
        <vt:i4>1048597</vt:i4>
      </vt:variant>
      <vt:variant>
        <vt:i4>132</vt:i4>
      </vt:variant>
      <vt:variant>
        <vt:i4>0</vt:i4>
      </vt:variant>
      <vt:variant>
        <vt:i4>5</vt:i4>
      </vt:variant>
      <vt:variant>
        <vt:lpwstr>http://www.ahrq.gov/professionals/quality-patient-safety/hais/index.html</vt:lpwstr>
      </vt:variant>
      <vt:variant>
        <vt:lpwstr/>
      </vt:variant>
      <vt:variant>
        <vt:i4>6946866</vt:i4>
      </vt:variant>
      <vt:variant>
        <vt:i4>129</vt:i4>
      </vt:variant>
      <vt:variant>
        <vt:i4>0</vt:i4>
      </vt:variant>
      <vt:variant>
        <vt:i4>5</vt:i4>
      </vt:variant>
      <vt:variant>
        <vt:lpwstr>http://www.ahrq.gov/hrqa99.pdf</vt:lpwstr>
      </vt:variant>
      <vt:variant>
        <vt:lpwstr/>
      </vt:variant>
      <vt:variant>
        <vt:i4>1638460</vt:i4>
      </vt:variant>
      <vt:variant>
        <vt:i4>122</vt:i4>
      </vt:variant>
      <vt:variant>
        <vt:i4>0</vt:i4>
      </vt:variant>
      <vt:variant>
        <vt:i4>5</vt:i4>
      </vt:variant>
      <vt:variant>
        <vt:lpwstr/>
      </vt:variant>
      <vt:variant>
        <vt:lpwstr>_Toc480808866</vt:lpwstr>
      </vt:variant>
      <vt:variant>
        <vt:i4>1638460</vt:i4>
      </vt:variant>
      <vt:variant>
        <vt:i4>116</vt:i4>
      </vt:variant>
      <vt:variant>
        <vt:i4>0</vt:i4>
      </vt:variant>
      <vt:variant>
        <vt:i4>5</vt:i4>
      </vt:variant>
      <vt:variant>
        <vt:lpwstr/>
      </vt:variant>
      <vt:variant>
        <vt:lpwstr>_Toc480808865</vt:lpwstr>
      </vt:variant>
      <vt:variant>
        <vt:i4>1638460</vt:i4>
      </vt:variant>
      <vt:variant>
        <vt:i4>110</vt:i4>
      </vt:variant>
      <vt:variant>
        <vt:i4>0</vt:i4>
      </vt:variant>
      <vt:variant>
        <vt:i4>5</vt:i4>
      </vt:variant>
      <vt:variant>
        <vt:lpwstr/>
      </vt:variant>
      <vt:variant>
        <vt:lpwstr>_Toc480808864</vt:lpwstr>
      </vt:variant>
      <vt:variant>
        <vt:i4>1638460</vt:i4>
      </vt:variant>
      <vt:variant>
        <vt:i4>104</vt:i4>
      </vt:variant>
      <vt:variant>
        <vt:i4>0</vt:i4>
      </vt:variant>
      <vt:variant>
        <vt:i4>5</vt:i4>
      </vt:variant>
      <vt:variant>
        <vt:lpwstr/>
      </vt:variant>
      <vt:variant>
        <vt:lpwstr>_Toc480808863</vt:lpwstr>
      </vt:variant>
      <vt:variant>
        <vt:i4>1638460</vt:i4>
      </vt:variant>
      <vt:variant>
        <vt:i4>98</vt:i4>
      </vt:variant>
      <vt:variant>
        <vt:i4>0</vt:i4>
      </vt:variant>
      <vt:variant>
        <vt:i4>5</vt:i4>
      </vt:variant>
      <vt:variant>
        <vt:lpwstr/>
      </vt:variant>
      <vt:variant>
        <vt:lpwstr>_Toc480808862</vt:lpwstr>
      </vt:variant>
      <vt:variant>
        <vt:i4>1638460</vt:i4>
      </vt:variant>
      <vt:variant>
        <vt:i4>92</vt:i4>
      </vt:variant>
      <vt:variant>
        <vt:i4>0</vt:i4>
      </vt:variant>
      <vt:variant>
        <vt:i4>5</vt:i4>
      </vt:variant>
      <vt:variant>
        <vt:lpwstr/>
      </vt:variant>
      <vt:variant>
        <vt:lpwstr>_Toc480808861</vt:lpwstr>
      </vt:variant>
      <vt:variant>
        <vt:i4>1638460</vt:i4>
      </vt:variant>
      <vt:variant>
        <vt:i4>86</vt:i4>
      </vt:variant>
      <vt:variant>
        <vt:i4>0</vt:i4>
      </vt:variant>
      <vt:variant>
        <vt:i4>5</vt:i4>
      </vt:variant>
      <vt:variant>
        <vt:lpwstr/>
      </vt:variant>
      <vt:variant>
        <vt:lpwstr>_Toc480808860</vt:lpwstr>
      </vt:variant>
      <vt:variant>
        <vt:i4>1703996</vt:i4>
      </vt:variant>
      <vt:variant>
        <vt:i4>80</vt:i4>
      </vt:variant>
      <vt:variant>
        <vt:i4>0</vt:i4>
      </vt:variant>
      <vt:variant>
        <vt:i4>5</vt:i4>
      </vt:variant>
      <vt:variant>
        <vt:lpwstr/>
      </vt:variant>
      <vt:variant>
        <vt:lpwstr>_Toc480808859</vt:lpwstr>
      </vt:variant>
      <vt:variant>
        <vt:i4>1703996</vt:i4>
      </vt:variant>
      <vt:variant>
        <vt:i4>74</vt:i4>
      </vt:variant>
      <vt:variant>
        <vt:i4>0</vt:i4>
      </vt:variant>
      <vt:variant>
        <vt:i4>5</vt:i4>
      </vt:variant>
      <vt:variant>
        <vt:lpwstr/>
      </vt:variant>
      <vt:variant>
        <vt:lpwstr>_Toc480808858</vt:lpwstr>
      </vt:variant>
      <vt:variant>
        <vt:i4>1703996</vt:i4>
      </vt:variant>
      <vt:variant>
        <vt:i4>68</vt:i4>
      </vt:variant>
      <vt:variant>
        <vt:i4>0</vt:i4>
      </vt:variant>
      <vt:variant>
        <vt:i4>5</vt:i4>
      </vt:variant>
      <vt:variant>
        <vt:lpwstr/>
      </vt:variant>
      <vt:variant>
        <vt:lpwstr>_Toc480808857</vt:lpwstr>
      </vt:variant>
      <vt:variant>
        <vt:i4>1703996</vt:i4>
      </vt:variant>
      <vt:variant>
        <vt:i4>62</vt:i4>
      </vt:variant>
      <vt:variant>
        <vt:i4>0</vt:i4>
      </vt:variant>
      <vt:variant>
        <vt:i4>5</vt:i4>
      </vt:variant>
      <vt:variant>
        <vt:lpwstr/>
      </vt:variant>
      <vt:variant>
        <vt:lpwstr>_Toc480808856</vt:lpwstr>
      </vt:variant>
      <vt:variant>
        <vt:i4>1703996</vt:i4>
      </vt:variant>
      <vt:variant>
        <vt:i4>56</vt:i4>
      </vt:variant>
      <vt:variant>
        <vt:i4>0</vt:i4>
      </vt:variant>
      <vt:variant>
        <vt:i4>5</vt:i4>
      </vt:variant>
      <vt:variant>
        <vt:lpwstr/>
      </vt:variant>
      <vt:variant>
        <vt:lpwstr>_Toc480808855</vt:lpwstr>
      </vt:variant>
      <vt:variant>
        <vt:i4>1703996</vt:i4>
      </vt:variant>
      <vt:variant>
        <vt:i4>50</vt:i4>
      </vt:variant>
      <vt:variant>
        <vt:i4>0</vt:i4>
      </vt:variant>
      <vt:variant>
        <vt:i4>5</vt:i4>
      </vt:variant>
      <vt:variant>
        <vt:lpwstr/>
      </vt:variant>
      <vt:variant>
        <vt:lpwstr>_Toc480808854</vt:lpwstr>
      </vt:variant>
      <vt:variant>
        <vt:i4>1703996</vt:i4>
      </vt:variant>
      <vt:variant>
        <vt:i4>44</vt:i4>
      </vt:variant>
      <vt:variant>
        <vt:i4>0</vt:i4>
      </vt:variant>
      <vt:variant>
        <vt:i4>5</vt:i4>
      </vt:variant>
      <vt:variant>
        <vt:lpwstr/>
      </vt:variant>
      <vt:variant>
        <vt:lpwstr>_Toc480808853</vt:lpwstr>
      </vt:variant>
      <vt:variant>
        <vt:i4>1703996</vt:i4>
      </vt:variant>
      <vt:variant>
        <vt:i4>38</vt:i4>
      </vt:variant>
      <vt:variant>
        <vt:i4>0</vt:i4>
      </vt:variant>
      <vt:variant>
        <vt:i4>5</vt:i4>
      </vt:variant>
      <vt:variant>
        <vt:lpwstr/>
      </vt:variant>
      <vt:variant>
        <vt:lpwstr>_Toc480808852</vt:lpwstr>
      </vt:variant>
      <vt:variant>
        <vt:i4>1703996</vt:i4>
      </vt:variant>
      <vt:variant>
        <vt:i4>32</vt:i4>
      </vt:variant>
      <vt:variant>
        <vt:i4>0</vt:i4>
      </vt:variant>
      <vt:variant>
        <vt:i4>5</vt:i4>
      </vt:variant>
      <vt:variant>
        <vt:lpwstr/>
      </vt:variant>
      <vt:variant>
        <vt:lpwstr>_Toc480808851</vt:lpwstr>
      </vt:variant>
      <vt:variant>
        <vt:i4>1703996</vt:i4>
      </vt:variant>
      <vt:variant>
        <vt:i4>26</vt:i4>
      </vt:variant>
      <vt:variant>
        <vt:i4>0</vt:i4>
      </vt:variant>
      <vt:variant>
        <vt:i4>5</vt:i4>
      </vt:variant>
      <vt:variant>
        <vt:lpwstr/>
      </vt:variant>
      <vt:variant>
        <vt:lpwstr>_Toc480808850</vt:lpwstr>
      </vt:variant>
      <vt:variant>
        <vt:i4>1769532</vt:i4>
      </vt:variant>
      <vt:variant>
        <vt:i4>20</vt:i4>
      </vt:variant>
      <vt:variant>
        <vt:i4>0</vt:i4>
      </vt:variant>
      <vt:variant>
        <vt:i4>5</vt:i4>
      </vt:variant>
      <vt:variant>
        <vt:lpwstr/>
      </vt:variant>
      <vt:variant>
        <vt:lpwstr>_Toc480808849</vt:lpwstr>
      </vt:variant>
      <vt:variant>
        <vt:i4>1769532</vt:i4>
      </vt:variant>
      <vt:variant>
        <vt:i4>14</vt:i4>
      </vt:variant>
      <vt:variant>
        <vt:i4>0</vt:i4>
      </vt:variant>
      <vt:variant>
        <vt:i4>5</vt:i4>
      </vt:variant>
      <vt:variant>
        <vt:lpwstr/>
      </vt:variant>
      <vt:variant>
        <vt:lpwstr>_Toc480808848</vt:lpwstr>
      </vt:variant>
      <vt:variant>
        <vt:i4>1769532</vt:i4>
      </vt:variant>
      <vt:variant>
        <vt:i4>8</vt:i4>
      </vt:variant>
      <vt:variant>
        <vt:i4>0</vt:i4>
      </vt:variant>
      <vt:variant>
        <vt:i4>5</vt:i4>
      </vt:variant>
      <vt:variant>
        <vt:lpwstr/>
      </vt:variant>
      <vt:variant>
        <vt:lpwstr>_Toc480808847</vt:lpwstr>
      </vt:variant>
      <vt:variant>
        <vt:i4>1769532</vt:i4>
      </vt:variant>
      <vt:variant>
        <vt:i4>2</vt:i4>
      </vt:variant>
      <vt:variant>
        <vt:i4>0</vt:i4>
      </vt:variant>
      <vt:variant>
        <vt:i4>5</vt:i4>
      </vt:variant>
      <vt:variant>
        <vt:lpwstr/>
      </vt:variant>
      <vt:variant>
        <vt:lpwstr>_Toc480808846</vt:lpwstr>
      </vt:variant>
      <vt:variant>
        <vt:i4>5177432</vt:i4>
      </vt:variant>
      <vt:variant>
        <vt:i4>0</vt:i4>
      </vt:variant>
      <vt:variant>
        <vt:i4>0</vt:i4>
      </vt:variant>
      <vt:variant>
        <vt:i4>5</vt:i4>
      </vt:variant>
      <vt:variant>
        <vt:lpwstr>http://www.ahrq.gov/professionals/quality-patient-safety/cusp/clabsi-final/index.html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subject/>
  <dc:creator>Bergen, Gwendolyn (CDC/DDNID/NCIPC/DUIP)</dc:creator>
  <cp:keywords/>
  <dc:description/>
  <cp:lastModifiedBy>SYSTEM</cp:lastModifiedBy>
  <cp:revision>2</cp:revision>
  <cp:lastPrinted>2019-08-22T15:17:00Z</cp:lastPrinted>
  <dcterms:created xsi:type="dcterms:W3CDTF">2019-10-16T15:10:00Z</dcterms:created>
  <dcterms:modified xsi:type="dcterms:W3CDTF">2019-10-16T15:10:00Z</dcterms:modified>
</cp:coreProperties>
</file>