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6B" w:rsidP="00521E6B" w:rsidRDefault="00521E6B" w14:paraId="2ABE3BD3" w14:textId="77777777">
      <w:pPr>
        <w:jc w:val="center"/>
        <w:rPr>
          <w:b/>
          <w:sz w:val="28"/>
          <w:szCs w:val="28"/>
        </w:rPr>
      </w:pPr>
      <w:bookmarkStart w:name="_GoBack" w:id="0"/>
      <w:bookmarkEnd w:id="0"/>
      <w:r w:rsidRPr="00456179">
        <w:rPr>
          <w:b/>
          <w:sz w:val="28"/>
          <w:szCs w:val="28"/>
        </w:rPr>
        <w:t>SUPPORTING STATEMENT</w:t>
      </w:r>
    </w:p>
    <w:p w:rsidR="00521E6B" w:rsidP="00521E6B" w:rsidRDefault="00521E6B" w14:paraId="5F09DA01" w14:textId="77777777">
      <w:pPr>
        <w:jc w:val="center"/>
        <w:rPr>
          <w:b/>
          <w:sz w:val="28"/>
          <w:szCs w:val="28"/>
        </w:rPr>
      </w:pPr>
    </w:p>
    <w:p w:rsidR="00521E6B" w:rsidP="00521E6B" w:rsidRDefault="00521E6B" w14:paraId="17FD35BA" w14:textId="77777777">
      <w:pPr>
        <w:jc w:val="center"/>
        <w:rPr>
          <w:sz w:val="28"/>
          <w:szCs w:val="28"/>
        </w:rPr>
      </w:pPr>
      <w:r>
        <w:rPr>
          <w:b/>
          <w:sz w:val="28"/>
          <w:szCs w:val="28"/>
        </w:rPr>
        <w:t>Part A</w:t>
      </w:r>
    </w:p>
    <w:p w:rsidR="00521E6B" w:rsidP="00521E6B" w:rsidRDefault="00521E6B" w14:paraId="6802E07B" w14:textId="77777777">
      <w:pPr>
        <w:jc w:val="center"/>
        <w:rPr>
          <w:sz w:val="28"/>
          <w:szCs w:val="28"/>
        </w:rPr>
      </w:pPr>
    </w:p>
    <w:p w:rsidR="00521E6B" w:rsidP="00521E6B" w:rsidRDefault="00521E6B" w14:paraId="516ACC90" w14:textId="77777777">
      <w:pPr>
        <w:jc w:val="center"/>
        <w:rPr>
          <w:sz w:val="28"/>
          <w:szCs w:val="28"/>
        </w:rPr>
      </w:pPr>
    </w:p>
    <w:p w:rsidR="00521E6B" w:rsidP="00521E6B" w:rsidRDefault="00521E6B" w14:paraId="09369026" w14:textId="77777777">
      <w:pPr>
        <w:jc w:val="center"/>
        <w:rPr>
          <w:sz w:val="28"/>
          <w:szCs w:val="28"/>
        </w:rPr>
      </w:pPr>
    </w:p>
    <w:p w:rsidR="00521E6B" w:rsidP="00521E6B" w:rsidRDefault="00521E6B" w14:paraId="0D44C17F" w14:textId="77777777">
      <w:pPr>
        <w:jc w:val="center"/>
        <w:rPr>
          <w:sz w:val="28"/>
          <w:szCs w:val="28"/>
        </w:rPr>
      </w:pPr>
    </w:p>
    <w:p w:rsidR="00521E6B" w:rsidP="00521E6B" w:rsidRDefault="00521E6B" w14:paraId="21BFE7C0" w14:textId="77777777">
      <w:pPr>
        <w:jc w:val="center"/>
        <w:rPr>
          <w:sz w:val="28"/>
          <w:szCs w:val="28"/>
        </w:rPr>
      </w:pPr>
    </w:p>
    <w:p w:rsidR="00521E6B" w:rsidP="00521E6B" w:rsidRDefault="00521E6B" w14:paraId="5A2A7695" w14:textId="77777777">
      <w:pPr>
        <w:jc w:val="center"/>
        <w:rPr>
          <w:sz w:val="28"/>
          <w:szCs w:val="28"/>
        </w:rPr>
      </w:pPr>
    </w:p>
    <w:p w:rsidR="00521E6B" w:rsidP="00521E6B" w:rsidRDefault="002A712B" w14:paraId="2A14170F" w14:textId="77777777">
      <w:pPr>
        <w:jc w:val="center"/>
        <w:rPr>
          <w:sz w:val="28"/>
          <w:szCs w:val="28"/>
        </w:rPr>
      </w:pPr>
      <w:r w:rsidRPr="00C11001">
        <w:rPr>
          <w:b/>
          <w:sz w:val="28"/>
          <w:szCs w:val="28"/>
        </w:rPr>
        <w:t>MEPS</w:t>
      </w:r>
      <w:r w:rsidRPr="00BB58AE">
        <w:rPr>
          <w:sz w:val="28"/>
          <w:szCs w:val="28"/>
        </w:rPr>
        <w:t xml:space="preserve"> </w:t>
      </w:r>
      <w:r w:rsidRPr="00C11001" w:rsidR="00BB58AE">
        <w:rPr>
          <w:b/>
          <w:sz w:val="28"/>
          <w:szCs w:val="28"/>
        </w:rPr>
        <w:t>Social and Health Experiences Self-Administered Questionnaire</w:t>
      </w:r>
      <w:r w:rsidR="007174E0">
        <w:rPr>
          <w:b/>
          <w:sz w:val="28"/>
          <w:szCs w:val="28"/>
        </w:rPr>
        <w:t xml:space="preserve"> </w:t>
      </w:r>
      <w:r w:rsidRPr="00AE45F6" w:rsidR="007174E0">
        <w:rPr>
          <w:b/>
          <w:sz w:val="28"/>
          <w:szCs w:val="28"/>
        </w:rPr>
        <w:t>and COVID-19 Changes</w:t>
      </w:r>
      <w:r w:rsidRPr="00AE45F6" w:rsidR="00BB58AE">
        <w:t xml:space="preserve"> </w:t>
      </w:r>
    </w:p>
    <w:p w:rsidR="00521E6B" w:rsidP="00521E6B" w:rsidRDefault="00521E6B" w14:paraId="5FC567A0" w14:textId="77777777">
      <w:pPr>
        <w:jc w:val="center"/>
        <w:rPr>
          <w:sz w:val="28"/>
          <w:szCs w:val="28"/>
        </w:rPr>
      </w:pPr>
    </w:p>
    <w:p w:rsidRPr="00B95455" w:rsidR="00521E6B" w:rsidP="00521E6B" w:rsidRDefault="004504F7" w14:paraId="33254269" w14:textId="77777777">
      <w:pPr>
        <w:jc w:val="center"/>
        <w:rPr>
          <w:b/>
          <w:sz w:val="28"/>
          <w:szCs w:val="28"/>
        </w:rPr>
      </w:pPr>
      <w:r>
        <w:rPr>
          <w:b/>
          <w:sz w:val="28"/>
          <w:szCs w:val="28"/>
        </w:rPr>
        <w:t xml:space="preserve">June </w:t>
      </w:r>
      <w:r w:rsidR="00521E6B">
        <w:rPr>
          <w:b/>
          <w:sz w:val="28"/>
          <w:szCs w:val="28"/>
        </w:rPr>
        <w:t>20</w:t>
      </w:r>
      <w:r w:rsidR="00BB58AE">
        <w:rPr>
          <w:b/>
          <w:sz w:val="28"/>
          <w:szCs w:val="28"/>
        </w:rPr>
        <w:t>20</w:t>
      </w:r>
    </w:p>
    <w:p w:rsidR="00521E6B" w:rsidP="00521E6B" w:rsidRDefault="00521E6B" w14:paraId="37719574" w14:textId="77777777">
      <w:pPr>
        <w:jc w:val="center"/>
        <w:rPr>
          <w:i/>
          <w:sz w:val="28"/>
          <w:szCs w:val="28"/>
        </w:rPr>
      </w:pPr>
    </w:p>
    <w:p w:rsidR="00521E6B" w:rsidP="00521E6B" w:rsidRDefault="00521E6B" w14:paraId="1B7F5EC8" w14:textId="77777777">
      <w:pPr>
        <w:jc w:val="center"/>
        <w:rPr>
          <w:sz w:val="28"/>
          <w:szCs w:val="28"/>
        </w:rPr>
      </w:pPr>
    </w:p>
    <w:p w:rsidR="00521E6B" w:rsidP="00521E6B" w:rsidRDefault="00521E6B" w14:paraId="0063D7C1" w14:textId="77777777">
      <w:pPr>
        <w:jc w:val="center"/>
        <w:rPr>
          <w:sz w:val="28"/>
          <w:szCs w:val="28"/>
        </w:rPr>
      </w:pPr>
    </w:p>
    <w:p w:rsidR="00521E6B" w:rsidP="00521E6B" w:rsidRDefault="00521E6B" w14:paraId="1158CA54" w14:textId="77777777">
      <w:pPr>
        <w:jc w:val="center"/>
        <w:rPr>
          <w:sz w:val="28"/>
          <w:szCs w:val="28"/>
        </w:rPr>
      </w:pPr>
    </w:p>
    <w:p w:rsidR="00521E6B" w:rsidP="00521E6B" w:rsidRDefault="00521E6B" w14:paraId="1656A960" w14:textId="77777777">
      <w:pPr>
        <w:jc w:val="center"/>
        <w:rPr>
          <w:sz w:val="28"/>
          <w:szCs w:val="28"/>
        </w:rPr>
      </w:pPr>
    </w:p>
    <w:p w:rsidR="00521E6B" w:rsidP="00521E6B" w:rsidRDefault="00521E6B" w14:paraId="15AC73D8" w14:textId="77777777">
      <w:pPr>
        <w:jc w:val="center"/>
        <w:rPr>
          <w:sz w:val="28"/>
          <w:szCs w:val="28"/>
        </w:rPr>
      </w:pPr>
    </w:p>
    <w:p w:rsidR="00521E6B" w:rsidP="00521E6B" w:rsidRDefault="00521E6B" w14:paraId="13E4D256" w14:textId="77777777">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CB7234" w:rsidP="00CB7234" w:rsidRDefault="00CB7234" w14:paraId="4C65E100" w14:textId="77777777">
      <w:pPr>
        <w:jc w:val="center"/>
        <w:rPr>
          <w:sz w:val="28"/>
          <w:szCs w:val="28"/>
        </w:rPr>
      </w:pPr>
    </w:p>
    <w:p w:rsidR="00CB7234" w:rsidP="00CB7234" w:rsidRDefault="00CB7234" w14:paraId="7B758C07" w14:textId="77777777">
      <w:pPr>
        <w:jc w:val="center"/>
        <w:rPr>
          <w:sz w:val="28"/>
          <w:szCs w:val="28"/>
        </w:rPr>
      </w:pPr>
    </w:p>
    <w:p w:rsidR="00CB7234" w:rsidP="00CB7234" w:rsidRDefault="00CB7234" w14:paraId="6789E273" w14:textId="77777777">
      <w:pPr>
        <w:jc w:val="center"/>
        <w:rPr>
          <w:sz w:val="28"/>
          <w:szCs w:val="28"/>
        </w:rPr>
      </w:pPr>
    </w:p>
    <w:p w:rsidR="00CB7234" w:rsidP="00CB7234" w:rsidRDefault="00CB7234" w14:paraId="2FC14400" w14:textId="77777777">
      <w:pPr>
        <w:jc w:val="center"/>
        <w:rPr>
          <w:sz w:val="28"/>
          <w:szCs w:val="28"/>
        </w:rPr>
      </w:pPr>
    </w:p>
    <w:p w:rsidR="00CB7234" w:rsidP="00CB7234" w:rsidRDefault="00CB7234" w14:paraId="245A6EE5" w14:textId="77777777">
      <w:pPr>
        <w:rPr>
          <w:sz w:val="28"/>
          <w:szCs w:val="28"/>
        </w:rPr>
      </w:pPr>
    </w:p>
    <w:p w:rsidR="00CB7234" w:rsidP="00CB7234" w:rsidRDefault="00CB7234" w14:paraId="3C5D1830" w14:textId="77777777">
      <w:pPr>
        <w:rPr>
          <w:sz w:val="28"/>
          <w:szCs w:val="28"/>
        </w:rPr>
      </w:pPr>
    </w:p>
    <w:p w:rsidRPr="00CB7234" w:rsidR="00CB7234" w:rsidP="00CB7234" w:rsidRDefault="00CB7234" w14:paraId="5A75D0D6" w14:textId="77777777">
      <w:pPr>
        <w:rPr>
          <w:b/>
          <w:sz w:val="24"/>
          <w:szCs w:val="24"/>
        </w:rPr>
      </w:pPr>
      <w:r>
        <w:br w:type="page"/>
      </w:r>
    </w:p>
    <w:sdt>
      <w:sdtPr>
        <w:rPr>
          <w:rFonts w:ascii="Times New Roman" w:hAnsi="Times New Roman" w:eastAsia="Times New Roman" w:cs="Times New Roman"/>
          <w:b w:val="0"/>
          <w:bCs w:val="0"/>
          <w:color w:val="auto"/>
          <w:sz w:val="20"/>
          <w:szCs w:val="20"/>
        </w:rPr>
        <w:id w:val="26770416"/>
        <w:docPartObj>
          <w:docPartGallery w:val="Table of Contents"/>
          <w:docPartUnique/>
        </w:docPartObj>
      </w:sdtPr>
      <w:sdtEndPr/>
      <w:sdtContent>
        <w:p w:rsidRPr="008C5826" w:rsidR="008C5826" w:rsidRDefault="008C5826" w14:paraId="74D9950E" w14:textId="77777777">
          <w:pPr>
            <w:pStyle w:val="TOCHeading"/>
            <w:rPr>
              <w:rFonts w:ascii="Times New Roman" w:hAnsi="Times New Roman" w:cs="Times New Roman"/>
            </w:rPr>
          </w:pPr>
          <w:r w:rsidRPr="008C5826">
            <w:rPr>
              <w:rFonts w:ascii="Times New Roman" w:hAnsi="Times New Roman" w:cs="Times New Roman"/>
            </w:rPr>
            <w:t>Table of Contents</w:t>
          </w:r>
        </w:p>
        <w:p w:rsidR="005F628B" w:rsidRDefault="004A024B" w14:paraId="5A3828D4" w14:textId="27BF161C">
          <w:pPr>
            <w:pStyle w:val="TOC2"/>
            <w:rPr>
              <w:rStyle w:val="Hyperlink"/>
            </w:rPr>
          </w:pPr>
          <w:r w:rsidRPr="008C5826">
            <w:fldChar w:fldCharType="begin"/>
          </w:r>
          <w:r w:rsidRPr="008C5826" w:rsidR="008C5826">
            <w:instrText xml:space="preserve"> TOC \o "1-3" \h \z \u </w:instrText>
          </w:r>
          <w:r w:rsidRPr="008C5826">
            <w:fldChar w:fldCharType="separate"/>
          </w:r>
          <w:hyperlink w:history="1" w:anchor="_Toc290559153">
            <w:r w:rsidRPr="0099649B" w:rsidR="002038FD">
              <w:rPr>
                <w:rStyle w:val="Hyperlink"/>
              </w:rPr>
              <w:t>A.  JUSTIFICATION</w:t>
            </w:r>
            <w:r w:rsidRPr="00425494" w:rsidR="00425494">
              <w:rPr>
                <w:rStyle w:val="Hyperlink"/>
                <w:webHidden/>
              </w:rPr>
              <w:tab/>
            </w:r>
            <w:r w:rsidRPr="00425494">
              <w:rPr>
                <w:rStyle w:val="Hyperlink"/>
                <w:webHidden/>
              </w:rPr>
              <w:fldChar w:fldCharType="begin"/>
            </w:r>
            <w:r w:rsidRPr="00425494" w:rsidR="00425494">
              <w:rPr>
                <w:rStyle w:val="Hyperlink"/>
                <w:webHidden/>
              </w:rPr>
              <w:instrText xml:space="preserve"> PAGEREF _Toc290559153 \h </w:instrText>
            </w:r>
            <w:r w:rsidRPr="00425494">
              <w:rPr>
                <w:rStyle w:val="Hyperlink"/>
                <w:webHidden/>
              </w:rPr>
            </w:r>
            <w:r w:rsidRPr="00425494">
              <w:rPr>
                <w:rStyle w:val="Hyperlink"/>
                <w:webHidden/>
              </w:rPr>
              <w:fldChar w:fldCharType="separate"/>
            </w:r>
            <w:r w:rsidR="00AE45F6">
              <w:rPr>
                <w:rStyle w:val="Hyperlink"/>
                <w:webHidden/>
              </w:rPr>
              <w:t>3</w:t>
            </w:r>
            <w:r w:rsidRPr="00425494">
              <w:rPr>
                <w:rStyle w:val="Hyperlink"/>
                <w:webHidden/>
              </w:rPr>
              <w:fldChar w:fldCharType="end"/>
            </w:r>
          </w:hyperlink>
        </w:p>
        <w:p w:rsidR="005F628B" w:rsidRDefault="0068129B" w14:paraId="378338D7" w14:textId="62116ACE">
          <w:pPr>
            <w:pStyle w:val="TOC2"/>
            <w:rPr>
              <w:rStyle w:val="Hyperlink"/>
            </w:rPr>
          </w:pPr>
          <w:hyperlink w:history="1" w:anchor="_Toc290559154">
            <w:r w:rsidRPr="0099649B" w:rsidR="002038FD">
              <w:rPr>
                <w:rStyle w:val="Hyperlink"/>
              </w:rPr>
              <w:t>1.  Need for Information</w:t>
            </w:r>
            <w:r w:rsidRPr="00425494" w:rsidR="00425494">
              <w:rPr>
                <w:rStyle w:val="Hyperlink"/>
                <w:webHidden/>
              </w:rPr>
              <w:tab/>
            </w:r>
            <w:r w:rsidRPr="00425494" w:rsidR="004A024B">
              <w:rPr>
                <w:rStyle w:val="Hyperlink"/>
                <w:webHidden/>
              </w:rPr>
              <w:fldChar w:fldCharType="begin"/>
            </w:r>
            <w:r w:rsidRPr="00425494" w:rsidR="00425494">
              <w:rPr>
                <w:rStyle w:val="Hyperlink"/>
                <w:webHidden/>
              </w:rPr>
              <w:instrText xml:space="preserve"> PAGEREF _Toc290559154 \h </w:instrText>
            </w:r>
            <w:r w:rsidRPr="00425494" w:rsidR="004A024B">
              <w:rPr>
                <w:rStyle w:val="Hyperlink"/>
                <w:webHidden/>
              </w:rPr>
            </w:r>
            <w:r w:rsidRPr="00425494" w:rsidR="004A024B">
              <w:rPr>
                <w:rStyle w:val="Hyperlink"/>
                <w:webHidden/>
              </w:rPr>
              <w:fldChar w:fldCharType="separate"/>
            </w:r>
            <w:r w:rsidR="00AE45F6">
              <w:rPr>
                <w:rStyle w:val="Hyperlink"/>
                <w:webHidden/>
              </w:rPr>
              <w:t>3</w:t>
            </w:r>
            <w:r w:rsidRPr="00425494" w:rsidR="004A024B">
              <w:rPr>
                <w:rStyle w:val="Hyperlink"/>
                <w:webHidden/>
              </w:rPr>
              <w:fldChar w:fldCharType="end"/>
            </w:r>
          </w:hyperlink>
        </w:p>
        <w:p w:rsidR="005F628B" w:rsidRDefault="0068129B" w14:paraId="40285231" w14:textId="513B4F48">
          <w:pPr>
            <w:pStyle w:val="TOC2"/>
            <w:rPr>
              <w:rStyle w:val="Hyperlink"/>
            </w:rPr>
          </w:pPr>
          <w:hyperlink w:history="1" w:anchor="_Toc290559155">
            <w:r w:rsidRPr="0099649B" w:rsidR="002038FD">
              <w:rPr>
                <w:rStyle w:val="Hyperlink"/>
              </w:rPr>
              <w:t>2.  How, by Whom, and for What Purpose Information Will Be Used</w:t>
            </w:r>
            <w:r w:rsidRPr="00425494" w:rsidR="00425494">
              <w:rPr>
                <w:rStyle w:val="Hyperlink"/>
                <w:webHidden/>
              </w:rPr>
              <w:tab/>
            </w:r>
            <w:r w:rsidR="008F0E75">
              <w:rPr>
                <w:rStyle w:val="Hyperlink"/>
                <w:webHidden/>
              </w:rPr>
              <w:t>4</w:t>
            </w:r>
          </w:hyperlink>
        </w:p>
        <w:p w:rsidR="005F628B" w:rsidRDefault="0068129B" w14:paraId="65E60395" w14:textId="6B5D4CF4">
          <w:pPr>
            <w:pStyle w:val="TOC2"/>
            <w:rPr>
              <w:rStyle w:val="Hyperlink"/>
            </w:rPr>
          </w:pPr>
          <w:hyperlink w:history="1" w:anchor="_Toc290559156">
            <w:r w:rsidRPr="0099649B" w:rsidR="002038FD">
              <w:rPr>
                <w:rStyle w:val="Hyperlink"/>
              </w:rPr>
              <w:t>3. Use of Improved Information Technology</w:t>
            </w:r>
            <w:r w:rsidRPr="00425494" w:rsidR="00425494">
              <w:rPr>
                <w:rStyle w:val="Hyperlink"/>
                <w:webHidden/>
              </w:rPr>
              <w:tab/>
            </w:r>
            <w:r w:rsidR="008F0E75">
              <w:rPr>
                <w:rStyle w:val="Hyperlink"/>
                <w:webHidden/>
              </w:rPr>
              <w:t>5</w:t>
            </w:r>
          </w:hyperlink>
        </w:p>
        <w:p w:rsidR="005F628B" w:rsidRDefault="0068129B" w14:paraId="4424468B" w14:textId="755E17A3">
          <w:pPr>
            <w:pStyle w:val="TOC2"/>
            <w:rPr>
              <w:rStyle w:val="Hyperlink"/>
            </w:rPr>
          </w:pPr>
          <w:hyperlink w:history="1" w:anchor="_Toc290559157">
            <w:r w:rsidRPr="0099649B" w:rsidR="002038FD">
              <w:rPr>
                <w:rStyle w:val="Hyperlink"/>
              </w:rPr>
              <w:t>4. Efforts to Identify Duplication</w:t>
            </w:r>
            <w:r w:rsidRPr="00425494" w:rsidR="00425494">
              <w:rPr>
                <w:rStyle w:val="Hyperlink"/>
                <w:webHidden/>
              </w:rPr>
              <w:tab/>
            </w:r>
            <w:r w:rsidR="008F0E75">
              <w:rPr>
                <w:rStyle w:val="Hyperlink"/>
                <w:webHidden/>
              </w:rPr>
              <w:t>5</w:t>
            </w:r>
          </w:hyperlink>
        </w:p>
        <w:p w:rsidR="005F628B" w:rsidRDefault="0068129B" w14:paraId="3EB30D0D" w14:textId="35BDB0BE">
          <w:pPr>
            <w:pStyle w:val="TOC2"/>
            <w:rPr>
              <w:rStyle w:val="Hyperlink"/>
            </w:rPr>
          </w:pPr>
          <w:hyperlink w:history="1" w:anchor="_Toc290559158">
            <w:r w:rsidRPr="0099649B" w:rsidR="002038FD">
              <w:rPr>
                <w:rStyle w:val="Hyperlink"/>
              </w:rPr>
              <w:t>6.  Consequences if Information Collected Less Frequently</w:t>
            </w:r>
            <w:r w:rsidRPr="00425494" w:rsidR="00425494">
              <w:rPr>
                <w:rStyle w:val="Hyperlink"/>
                <w:webHidden/>
              </w:rPr>
              <w:tab/>
            </w:r>
            <w:r w:rsidR="008F0E75">
              <w:rPr>
                <w:rStyle w:val="Hyperlink"/>
                <w:webHidden/>
              </w:rPr>
              <w:t>5</w:t>
            </w:r>
          </w:hyperlink>
        </w:p>
        <w:p w:rsidR="005F628B" w:rsidRDefault="0068129B" w14:paraId="76087B4B" w14:textId="49322B7C">
          <w:pPr>
            <w:pStyle w:val="TOC2"/>
            <w:rPr>
              <w:rStyle w:val="Hyperlink"/>
            </w:rPr>
          </w:pPr>
          <w:hyperlink w:history="1" w:anchor="_Toc290559159">
            <w:r w:rsidRPr="0099649B" w:rsidR="002038FD">
              <w:rPr>
                <w:rStyle w:val="Hyperlink"/>
              </w:rPr>
              <w:t>7.  Special Circumstances</w:t>
            </w:r>
            <w:r w:rsidRPr="00425494" w:rsidR="00425494">
              <w:rPr>
                <w:rStyle w:val="Hyperlink"/>
                <w:webHidden/>
              </w:rPr>
              <w:tab/>
            </w:r>
            <w:r w:rsidR="008F0E75">
              <w:rPr>
                <w:rStyle w:val="Hyperlink"/>
                <w:webHidden/>
              </w:rPr>
              <w:t>5</w:t>
            </w:r>
          </w:hyperlink>
        </w:p>
        <w:p w:rsidRPr="00425494" w:rsidR="00425494" w:rsidP="008F0E75" w:rsidRDefault="002038FD" w14:paraId="3E6EE8B4" w14:textId="77777777">
          <w:pPr>
            <w:pStyle w:val="TOC2"/>
            <w:rPr>
              <w:rStyle w:val="Hyperlink"/>
              <w:color w:val="auto"/>
              <w:u w:val="none"/>
            </w:rPr>
          </w:pPr>
          <w:r w:rsidRPr="008F0E75">
            <w:rPr>
              <w:rStyle w:val="Hyperlink"/>
              <w:color w:val="auto"/>
              <w:u w:val="none"/>
            </w:rPr>
            <w:t>8.</w:t>
          </w:r>
          <w:r w:rsidRPr="008F0E75" w:rsidR="008F0E75">
            <w:rPr>
              <w:rStyle w:val="Hyperlink"/>
              <w:color w:val="auto"/>
              <w:u w:val="none"/>
            </w:rPr>
            <w:t xml:space="preserve"> </w:t>
          </w:r>
          <w:r w:rsidRPr="00425494" w:rsidR="00425494">
            <w:rPr>
              <w:rStyle w:val="Hyperlink"/>
              <w:color w:val="auto"/>
              <w:u w:val="none"/>
            </w:rPr>
            <w:t>Federal Register Notice and Outside Consultations</w:t>
          </w:r>
          <w:r w:rsidRPr="00425494" w:rsidR="00425494">
            <w:rPr>
              <w:rStyle w:val="Hyperlink"/>
              <w:color w:val="auto"/>
              <w:u w:val="none"/>
            </w:rPr>
            <w:tab/>
            <w:t>5</w:t>
          </w:r>
          <w:r w:rsidRPr="00425494" w:rsidR="00425494">
            <w:rPr>
              <w:rStyle w:val="Hyperlink"/>
              <w:color w:val="auto"/>
              <w:u w:val="none"/>
            </w:rPr>
            <w:tab/>
          </w:r>
        </w:p>
        <w:p w:rsidR="005F628B" w:rsidRDefault="0068129B" w14:paraId="3FE20FFE" w14:textId="24BB124F">
          <w:pPr>
            <w:pStyle w:val="TOC2"/>
            <w:rPr>
              <w:rFonts w:asciiTheme="minorHAnsi" w:hAnsiTheme="minorHAnsi" w:eastAsiaTheme="minorEastAsia" w:cstheme="minorBidi"/>
              <w:sz w:val="22"/>
              <w:szCs w:val="22"/>
            </w:rPr>
          </w:pPr>
          <w:hyperlink w:history="1" w:anchor="_Toc290559160">
            <w:r w:rsidRPr="0099649B" w:rsidR="002038FD">
              <w:rPr>
                <w:rStyle w:val="Hyperlink"/>
              </w:rPr>
              <w:t>9.  Payments/Gifts to Respondents</w:t>
            </w:r>
            <w:r w:rsidRPr="00425494" w:rsidR="00425494">
              <w:rPr>
                <w:rStyle w:val="Hyperlink"/>
                <w:webHidden/>
              </w:rPr>
              <w:tab/>
            </w:r>
            <w:r w:rsidR="008F0E75">
              <w:rPr>
                <w:rStyle w:val="Hyperlink"/>
                <w:webHidden/>
              </w:rPr>
              <w:t>6</w:t>
            </w:r>
          </w:hyperlink>
        </w:p>
        <w:p w:rsidR="005F628B" w:rsidRDefault="0068129B" w14:paraId="5E8C4B81" w14:textId="37BA2782">
          <w:pPr>
            <w:pStyle w:val="TOC2"/>
            <w:rPr>
              <w:rFonts w:asciiTheme="minorHAnsi" w:hAnsiTheme="minorHAnsi" w:eastAsiaTheme="minorEastAsia" w:cstheme="minorBidi"/>
              <w:sz w:val="22"/>
              <w:szCs w:val="22"/>
            </w:rPr>
          </w:pPr>
          <w:hyperlink w:history="1" w:anchor="_Toc290559161">
            <w:r w:rsidRPr="0099649B" w:rsidR="002038FD">
              <w:rPr>
                <w:rStyle w:val="Hyperlink"/>
              </w:rPr>
              <w:t>10.  Assurance of Confidentiality</w:t>
            </w:r>
            <w:r w:rsidR="002038FD">
              <w:rPr>
                <w:webHidden/>
              </w:rPr>
              <w:tab/>
            </w:r>
            <w:r w:rsidR="008F0E75">
              <w:rPr>
                <w:webHidden/>
              </w:rPr>
              <w:t>6</w:t>
            </w:r>
          </w:hyperlink>
        </w:p>
        <w:p w:rsidR="005F628B" w:rsidRDefault="0068129B" w14:paraId="47397199" w14:textId="7B8A72A6">
          <w:pPr>
            <w:pStyle w:val="TOC2"/>
            <w:rPr>
              <w:rFonts w:asciiTheme="minorHAnsi" w:hAnsiTheme="minorHAnsi" w:eastAsiaTheme="minorEastAsia" w:cstheme="minorBidi"/>
              <w:sz w:val="22"/>
              <w:szCs w:val="22"/>
            </w:rPr>
          </w:pPr>
          <w:hyperlink w:history="1" w:anchor="_Toc290559162">
            <w:r w:rsidRPr="0099649B" w:rsidR="002038FD">
              <w:rPr>
                <w:rStyle w:val="Hyperlink"/>
              </w:rPr>
              <w:t>11.  Questions of a Sensitive Nature</w:t>
            </w:r>
            <w:r w:rsidR="002038FD">
              <w:rPr>
                <w:webHidden/>
              </w:rPr>
              <w:tab/>
            </w:r>
            <w:r w:rsidR="008F0E75">
              <w:rPr>
                <w:webHidden/>
              </w:rPr>
              <w:t>6</w:t>
            </w:r>
          </w:hyperlink>
        </w:p>
        <w:p w:rsidR="005F628B" w:rsidRDefault="0068129B" w14:paraId="01C7DD57" w14:textId="095D5500">
          <w:pPr>
            <w:pStyle w:val="TOC2"/>
            <w:rPr>
              <w:rFonts w:asciiTheme="minorHAnsi" w:hAnsiTheme="minorHAnsi" w:eastAsiaTheme="minorEastAsia" w:cstheme="minorBidi"/>
              <w:sz w:val="22"/>
              <w:szCs w:val="22"/>
            </w:rPr>
          </w:pPr>
          <w:hyperlink w:history="1" w:anchor="_Toc290559163">
            <w:r w:rsidRPr="0099649B" w:rsidR="002038FD">
              <w:rPr>
                <w:rStyle w:val="Hyperlink"/>
              </w:rPr>
              <w:t>12.  Estimates of Annualized Burden Hours and Costs</w:t>
            </w:r>
            <w:r w:rsidR="002038FD">
              <w:rPr>
                <w:webHidden/>
              </w:rPr>
              <w:tab/>
            </w:r>
            <w:r w:rsidR="008F0E75">
              <w:rPr>
                <w:webHidden/>
              </w:rPr>
              <w:t>6</w:t>
            </w:r>
          </w:hyperlink>
        </w:p>
        <w:p w:rsidR="005F628B" w:rsidRDefault="0068129B" w14:paraId="6B831584" w14:textId="5C929CDE">
          <w:pPr>
            <w:pStyle w:val="TOC2"/>
            <w:rPr>
              <w:rFonts w:asciiTheme="minorHAnsi" w:hAnsiTheme="minorHAnsi" w:eastAsiaTheme="minorEastAsia" w:cstheme="minorBidi"/>
              <w:sz w:val="22"/>
              <w:szCs w:val="22"/>
            </w:rPr>
          </w:pPr>
          <w:hyperlink w:history="1" w:anchor="_Toc290559164">
            <w:r w:rsidRPr="0099649B" w:rsidR="002038FD">
              <w:rPr>
                <w:rStyle w:val="Hyperlink"/>
              </w:rPr>
              <w:t>13.   Estimates of Annualized Respondent Capital and Maintenance Costs</w:t>
            </w:r>
            <w:r w:rsidR="002038FD">
              <w:rPr>
                <w:webHidden/>
              </w:rPr>
              <w:tab/>
            </w:r>
            <w:r w:rsidR="008F0E75">
              <w:rPr>
                <w:webHidden/>
              </w:rPr>
              <w:t>7</w:t>
            </w:r>
          </w:hyperlink>
        </w:p>
        <w:p w:rsidR="005F628B" w:rsidRDefault="0068129B" w14:paraId="1EDD4AAA" w14:textId="7F98CF81">
          <w:pPr>
            <w:pStyle w:val="TOC2"/>
            <w:rPr>
              <w:rFonts w:asciiTheme="minorHAnsi" w:hAnsiTheme="minorHAnsi" w:eastAsiaTheme="minorEastAsia" w:cstheme="minorBidi"/>
              <w:sz w:val="22"/>
              <w:szCs w:val="22"/>
            </w:rPr>
          </w:pPr>
          <w:hyperlink w:history="1" w:anchor="_Toc290559165">
            <w:r w:rsidRPr="00855A83" w:rsidR="002038FD">
              <w:rPr>
                <w:rStyle w:val="Hyperlink"/>
              </w:rPr>
              <w:t>14.  Estimates of Annualized Cost to the Government</w:t>
            </w:r>
            <w:r w:rsidR="002038FD">
              <w:rPr>
                <w:webHidden/>
              </w:rPr>
              <w:tab/>
            </w:r>
            <w:r w:rsidR="008F0E75">
              <w:rPr>
                <w:webHidden/>
              </w:rPr>
              <w:t>7</w:t>
            </w:r>
          </w:hyperlink>
        </w:p>
        <w:p w:rsidR="005F628B" w:rsidRDefault="0068129B" w14:paraId="2A8620EB" w14:textId="245D866B">
          <w:pPr>
            <w:pStyle w:val="TOC2"/>
            <w:rPr>
              <w:rFonts w:asciiTheme="minorHAnsi" w:hAnsiTheme="minorHAnsi" w:eastAsiaTheme="minorEastAsia" w:cstheme="minorBidi"/>
              <w:sz w:val="22"/>
              <w:szCs w:val="22"/>
            </w:rPr>
          </w:pPr>
          <w:hyperlink w:history="1" w:anchor="_Toc290559166">
            <w:r w:rsidRPr="0099649B" w:rsidR="002038FD">
              <w:rPr>
                <w:rStyle w:val="Hyperlink"/>
              </w:rPr>
              <w:t>15.  Change in Burden</w:t>
            </w:r>
            <w:r w:rsidR="002038FD">
              <w:rPr>
                <w:webHidden/>
              </w:rPr>
              <w:tab/>
            </w:r>
            <w:r w:rsidR="008F0E75">
              <w:rPr>
                <w:webHidden/>
              </w:rPr>
              <w:t>7</w:t>
            </w:r>
          </w:hyperlink>
        </w:p>
        <w:p w:rsidR="005F628B" w:rsidRDefault="0068129B" w14:paraId="76A9A3F2" w14:textId="32FA88C5">
          <w:pPr>
            <w:pStyle w:val="TOC2"/>
            <w:rPr>
              <w:rFonts w:asciiTheme="minorHAnsi" w:hAnsiTheme="minorHAnsi" w:eastAsiaTheme="minorEastAsia" w:cstheme="minorBidi"/>
              <w:sz w:val="22"/>
              <w:szCs w:val="22"/>
            </w:rPr>
          </w:pPr>
          <w:hyperlink w:history="1" w:anchor="_Toc290559167">
            <w:r w:rsidRPr="0099649B" w:rsidR="002038FD">
              <w:rPr>
                <w:rStyle w:val="Hyperlink"/>
              </w:rPr>
              <w:t>16.  Time Schedule, Publication and Analysis Plans</w:t>
            </w:r>
            <w:r w:rsidR="002038FD">
              <w:rPr>
                <w:webHidden/>
              </w:rPr>
              <w:tab/>
            </w:r>
            <w:r w:rsidR="008F0E75">
              <w:rPr>
                <w:webHidden/>
              </w:rPr>
              <w:t>7</w:t>
            </w:r>
          </w:hyperlink>
        </w:p>
        <w:p w:rsidR="005F628B" w:rsidRDefault="0068129B" w14:paraId="65036D2E" w14:textId="505DB57F">
          <w:pPr>
            <w:pStyle w:val="TOC2"/>
            <w:rPr>
              <w:rFonts w:asciiTheme="minorHAnsi" w:hAnsiTheme="minorHAnsi" w:eastAsiaTheme="minorEastAsia" w:cstheme="minorBidi"/>
              <w:sz w:val="22"/>
              <w:szCs w:val="22"/>
            </w:rPr>
          </w:pPr>
          <w:hyperlink w:history="1" w:anchor="_Toc290559168">
            <w:r w:rsidRPr="0099649B" w:rsidR="002038FD">
              <w:rPr>
                <w:rStyle w:val="Hyperlink"/>
              </w:rPr>
              <w:t>17.  Exemption for Display of Expiration Date</w:t>
            </w:r>
            <w:r w:rsidR="002038FD">
              <w:rPr>
                <w:webHidden/>
              </w:rPr>
              <w:tab/>
            </w:r>
            <w:r w:rsidR="008F0E75">
              <w:rPr>
                <w:webHidden/>
              </w:rPr>
              <w:t>8</w:t>
            </w:r>
          </w:hyperlink>
        </w:p>
        <w:p w:rsidR="008C5826" w:rsidRDefault="004A024B" w14:paraId="4F8057B3" w14:textId="77777777">
          <w:r w:rsidRPr="008C5826">
            <w:fldChar w:fldCharType="end"/>
          </w:r>
          <w:r w:rsidR="00085CF8">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rsidR="00CB7234" w:rsidP="00CB7234" w:rsidRDefault="00CB7234" w14:paraId="09B14DA4" w14:textId="77777777">
      <w:pPr>
        <w:rPr>
          <w:b/>
          <w:sz w:val="24"/>
          <w:szCs w:val="24"/>
        </w:rPr>
      </w:pPr>
      <w:r>
        <w:rPr>
          <w:b/>
          <w:sz w:val="24"/>
          <w:szCs w:val="24"/>
        </w:rPr>
        <w:br w:type="page"/>
      </w:r>
    </w:p>
    <w:p w:rsidRPr="008C5826" w:rsidR="0057087C" w:rsidP="008C5826" w:rsidRDefault="00A13BEE" w14:paraId="71FC375C" w14:textId="77777777">
      <w:pPr>
        <w:pStyle w:val="Heading1"/>
        <w:rPr>
          <w:color w:val="auto"/>
          <w:sz w:val="24"/>
          <w:szCs w:val="24"/>
        </w:rPr>
      </w:pPr>
      <w:bookmarkStart w:name="_Toc290559153" w:id="1"/>
      <w:r w:rsidRPr="008C5826">
        <w:rPr>
          <w:color w:val="auto"/>
          <w:sz w:val="24"/>
          <w:szCs w:val="24"/>
        </w:rPr>
        <w:lastRenderedPageBreak/>
        <w:t>A.</w:t>
      </w:r>
      <w:r>
        <w:rPr>
          <w:sz w:val="24"/>
          <w:szCs w:val="24"/>
        </w:rPr>
        <w:t xml:space="preserve">  </w:t>
      </w:r>
      <w:r w:rsidRPr="008C5826" w:rsidR="0057087C">
        <w:rPr>
          <w:color w:val="auto"/>
          <w:sz w:val="24"/>
          <w:szCs w:val="24"/>
        </w:rPr>
        <w:t>JUSTIFICATION</w:t>
      </w:r>
      <w:bookmarkEnd w:id="1"/>
    </w:p>
    <w:p w:rsidRPr="00CB177A" w:rsidR="0057087C" w:rsidRDefault="0057087C" w14:paraId="73E4B9C2" w14:textId="77777777">
      <w:pPr>
        <w:rPr>
          <w:sz w:val="24"/>
          <w:szCs w:val="24"/>
        </w:rPr>
      </w:pPr>
    </w:p>
    <w:p w:rsidRPr="001D16FA" w:rsidR="001D16FA" w:rsidP="001D16FA" w:rsidRDefault="0057087C" w14:paraId="28B732B3" w14:textId="77777777">
      <w:pPr>
        <w:pStyle w:val="Heading2"/>
        <w:rPr>
          <w:sz w:val="24"/>
          <w:szCs w:val="24"/>
        </w:rPr>
      </w:pPr>
      <w:bookmarkStart w:name="_Toc290559154" w:id="2"/>
      <w:r w:rsidRPr="008C5826">
        <w:rPr>
          <w:color w:val="auto"/>
          <w:sz w:val="24"/>
          <w:szCs w:val="24"/>
        </w:rPr>
        <w:t xml:space="preserve">1.  </w:t>
      </w:r>
      <w:r w:rsidRPr="008C5826">
        <w:rPr>
          <w:color w:val="auto"/>
          <w:sz w:val="24"/>
          <w:szCs w:val="24"/>
          <w:u w:val="single"/>
        </w:rPr>
        <w:t>Need for Information</w:t>
      </w:r>
      <w:bookmarkEnd w:id="2"/>
    </w:p>
    <w:p w:rsidR="006B0624" w:rsidRDefault="006B0624" w14:paraId="1720D42C" w14:textId="77777777">
      <w:pPr>
        <w:rPr>
          <w:sz w:val="24"/>
          <w:szCs w:val="24"/>
        </w:rPr>
      </w:pPr>
    </w:p>
    <w:p w:rsidRPr="00420A8F" w:rsidR="00BB58AE" w:rsidP="00BB58AE" w:rsidRDefault="00BB58AE" w14:paraId="617858F9" w14:textId="77777777">
      <w:pPr>
        <w:rPr>
          <w:sz w:val="24"/>
          <w:szCs w:val="24"/>
        </w:rPr>
      </w:pPr>
      <w:r w:rsidRPr="00420A8F">
        <w:rPr>
          <w:sz w:val="24"/>
          <w:szCs w:val="24"/>
        </w:rPr>
        <w:t>The mission of the Agency for Healthcare Research and Quality (AHRQ) is to produce evidence to make health care safer, higher quality, more accessible, equitable and affordable, and to work within the U.S. Department of Health and Human Services and with other partners to make sure that the evidence is understood and used.</w:t>
      </w:r>
    </w:p>
    <w:p w:rsidRPr="00420A8F" w:rsidR="00BB58AE" w:rsidP="00BB58AE" w:rsidRDefault="00BB58AE" w14:paraId="60FA431D" w14:textId="77777777">
      <w:pPr>
        <w:rPr>
          <w:sz w:val="24"/>
          <w:szCs w:val="24"/>
        </w:rPr>
      </w:pPr>
    </w:p>
    <w:p w:rsidR="001D16FA" w:rsidP="0035405B" w:rsidRDefault="00BB58AE" w14:paraId="7BED96A2" w14:textId="77777777">
      <w:pPr>
        <w:rPr>
          <w:sz w:val="24"/>
          <w:szCs w:val="24"/>
        </w:rPr>
      </w:pPr>
      <w:r w:rsidRPr="00420A8F">
        <w:rPr>
          <w:sz w:val="24"/>
          <w:szCs w:val="24"/>
        </w:rPr>
        <w:t>AHRQ shall promote health care quality improvement by</w:t>
      </w:r>
      <w:r w:rsidR="0070123B">
        <w:rPr>
          <w:sz w:val="24"/>
          <w:szCs w:val="24"/>
        </w:rPr>
        <w:t xml:space="preserve"> c</w:t>
      </w:r>
      <w:r w:rsidRPr="00420A8F">
        <w:rPr>
          <w:sz w:val="24"/>
          <w:szCs w:val="24"/>
        </w:rPr>
        <w:t>ollecting data on and producing measures of the quality, safety, effectiveness, and efficiency of American health care and health care systems; fostering the development of knowledge about improving health care, health care systems, and capacity; and</w:t>
      </w:r>
      <w:r w:rsidR="0070123B">
        <w:rPr>
          <w:sz w:val="24"/>
          <w:szCs w:val="24"/>
        </w:rPr>
        <w:t xml:space="preserve"> </w:t>
      </w:r>
      <w:r w:rsidRPr="00420A8F">
        <w:rPr>
          <w:sz w:val="24"/>
          <w:szCs w:val="24"/>
        </w:rPr>
        <w:t>partnering with stakeholders to implement proven strategies for health care improvement.</w:t>
      </w:r>
      <w:r w:rsidR="0070123B">
        <w:rPr>
          <w:sz w:val="24"/>
          <w:szCs w:val="24"/>
        </w:rPr>
        <w:t xml:space="preserve">  </w:t>
      </w:r>
      <w:r w:rsidRPr="00420A8F">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BB58AE" w:rsidP="0035405B" w:rsidRDefault="00BB58AE" w14:paraId="64B8C2A7" w14:textId="77777777">
      <w:pPr>
        <w:rPr>
          <w:sz w:val="24"/>
          <w:szCs w:val="24"/>
        </w:rPr>
      </w:pPr>
    </w:p>
    <w:p w:rsidRPr="00420A8F" w:rsidR="0035405B" w:rsidP="0035405B" w:rsidRDefault="00143B6B" w14:paraId="1F107FF9" w14:textId="77777777">
      <w:pPr>
        <w:rPr>
          <w:bCs/>
          <w:sz w:val="24"/>
          <w:szCs w:val="24"/>
        </w:rPr>
      </w:pPr>
      <w:r w:rsidRPr="00420A8F">
        <w:rPr>
          <w:bCs/>
          <w:sz w:val="24"/>
          <w:szCs w:val="24"/>
        </w:rPr>
        <w:t>The MEPS</w:t>
      </w:r>
      <w:r w:rsidRPr="00420A8F" w:rsidR="0035405B">
        <w:rPr>
          <w:bCs/>
          <w:sz w:val="24"/>
          <w:szCs w:val="24"/>
        </w:rPr>
        <w:t xml:space="preserve"> survey consists of </w:t>
      </w:r>
      <w:r w:rsidR="00D00076">
        <w:rPr>
          <w:bCs/>
          <w:sz w:val="24"/>
          <w:szCs w:val="24"/>
        </w:rPr>
        <w:t xml:space="preserve">the following </w:t>
      </w:r>
      <w:r w:rsidRPr="00420A8F" w:rsidR="0035405B">
        <w:rPr>
          <w:bCs/>
          <w:sz w:val="24"/>
          <w:szCs w:val="24"/>
        </w:rPr>
        <w:t xml:space="preserve">three </w:t>
      </w:r>
      <w:r w:rsidRPr="00A04F7A" w:rsidR="00D00076">
        <w:rPr>
          <w:bCs/>
          <w:sz w:val="24"/>
          <w:szCs w:val="24"/>
        </w:rPr>
        <w:t>components</w:t>
      </w:r>
      <w:r w:rsidRPr="00420A8F" w:rsidR="0035405B">
        <w:rPr>
          <w:bCs/>
          <w:sz w:val="24"/>
          <w:szCs w:val="24"/>
        </w:rPr>
        <w:t xml:space="preserve"> and has been conducted annu</w:t>
      </w:r>
      <w:r w:rsidR="00281B88">
        <w:rPr>
          <w:bCs/>
          <w:sz w:val="24"/>
          <w:szCs w:val="24"/>
        </w:rPr>
        <w:t>a</w:t>
      </w:r>
      <w:r w:rsidRPr="00420A8F" w:rsidR="0035405B">
        <w:rPr>
          <w:bCs/>
          <w:sz w:val="24"/>
          <w:szCs w:val="24"/>
        </w:rPr>
        <w:t xml:space="preserve">lly since 1996: </w:t>
      </w:r>
      <w:r w:rsidRPr="00420A8F">
        <w:rPr>
          <w:bCs/>
          <w:sz w:val="24"/>
          <w:szCs w:val="24"/>
        </w:rPr>
        <w:t xml:space="preserve"> </w:t>
      </w:r>
    </w:p>
    <w:p w:rsidRPr="00420A8F" w:rsidR="0035405B" w:rsidP="0035405B" w:rsidRDefault="0035405B" w14:paraId="570A3E3C" w14:textId="77777777">
      <w:pPr>
        <w:rPr>
          <w:bCs/>
          <w:sz w:val="24"/>
          <w:szCs w:val="24"/>
        </w:rPr>
      </w:pPr>
    </w:p>
    <w:p w:rsidRPr="00420A8F" w:rsidR="0035405B" w:rsidP="0035405B" w:rsidRDefault="0035405B" w14:paraId="3F026847" w14:textId="77777777">
      <w:pPr>
        <w:numPr>
          <w:ilvl w:val="0"/>
          <w:numId w:val="47"/>
        </w:numPr>
        <w:ind w:left="450" w:hanging="450"/>
        <w:rPr>
          <w:sz w:val="24"/>
          <w:szCs w:val="24"/>
        </w:rPr>
      </w:pPr>
      <w:r w:rsidRPr="00420A8F">
        <w:rPr>
          <w:sz w:val="24"/>
          <w:szCs w:val="24"/>
        </w:rPr>
        <w:t>Household Component: A sample of households participating in the National Health Interview Survey (NHIS) in the prior calendar year are interviewed 5 times over a 2 and one half (2.5) year period.  These 5 interviews yield two years of information on use of, and expenditures for, health care, sources of payment for that health care, insurance status, employment, health status and health care quality.</w:t>
      </w:r>
    </w:p>
    <w:p w:rsidRPr="00420A8F" w:rsidR="0035405B" w:rsidP="00420A8F" w:rsidRDefault="0035405B" w14:paraId="5A673585" w14:textId="77777777">
      <w:pPr>
        <w:numPr>
          <w:ilvl w:val="0"/>
          <w:numId w:val="47"/>
        </w:numPr>
        <w:ind w:left="450" w:hanging="450"/>
        <w:rPr>
          <w:sz w:val="24"/>
          <w:szCs w:val="24"/>
        </w:rPr>
      </w:pPr>
      <w:r w:rsidRPr="00420A8F">
        <w:rPr>
          <w:sz w:val="24"/>
          <w:szCs w:val="24"/>
        </w:rPr>
        <w:t xml:space="preserve">Medical Provider Component: The MEPS-MPC collects information from medical and financial records maintained by hospitals, physicians, pharmacies and home health agencies named as sources of care by household respondents.  </w:t>
      </w:r>
    </w:p>
    <w:p w:rsidRPr="00420A8F" w:rsidR="0035405B" w:rsidP="00420A8F" w:rsidRDefault="0035405B" w14:paraId="447D2554" w14:textId="77777777">
      <w:pPr>
        <w:numPr>
          <w:ilvl w:val="0"/>
          <w:numId w:val="47"/>
        </w:numPr>
        <w:ind w:left="450" w:hanging="450"/>
        <w:rPr>
          <w:sz w:val="24"/>
          <w:szCs w:val="24"/>
        </w:rPr>
      </w:pPr>
      <w:r w:rsidRPr="00420A8F">
        <w:rPr>
          <w:sz w:val="24"/>
          <w:szCs w:val="24"/>
        </w:rPr>
        <w:t>Insurance Component (MEPS-IC): The MEPS-IC collects information on establishment characteristics, insurance offerings and premiums from employers.  The MEPS-IC is conducted by the Census Bureau for AHRQ and is cleared separately.</w:t>
      </w:r>
    </w:p>
    <w:p w:rsidRPr="00420A8F" w:rsidR="0035405B" w:rsidP="0035405B" w:rsidRDefault="0035405B" w14:paraId="100DE494" w14:textId="77777777">
      <w:pPr>
        <w:rPr>
          <w:sz w:val="24"/>
          <w:szCs w:val="24"/>
          <w:highlight w:val="yellow"/>
        </w:rPr>
      </w:pPr>
    </w:p>
    <w:p w:rsidRPr="00420A8F" w:rsidR="0035405B" w:rsidP="0035405B" w:rsidRDefault="0035405B" w14:paraId="0006CC2C" w14:textId="77777777">
      <w:pPr>
        <w:rPr>
          <w:sz w:val="24"/>
          <w:szCs w:val="24"/>
        </w:rPr>
      </w:pPr>
      <w:r w:rsidRPr="00420A8F">
        <w:rPr>
          <w:sz w:val="24"/>
          <w:szCs w:val="24"/>
        </w:rPr>
        <w:t xml:space="preserve">This request is for the MEPS-HC only.  The OMB Control Number for the MEPS-HC and MPC is 0935-0118, which was last approved by OMB on November 8, 2019, and will expire on November 30, 2022.  </w:t>
      </w:r>
    </w:p>
    <w:p w:rsidRPr="00DA394A" w:rsidR="0035405B" w:rsidP="00207BF6" w:rsidRDefault="0035405B" w14:paraId="1FD375A0" w14:textId="77777777">
      <w:pPr>
        <w:rPr>
          <w:sz w:val="24"/>
          <w:szCs w:val="24"/>
        </w:rPr>
      </w:pPr>
    </w:p>
    <w:p w:rsidR="00704FF1" w:rsidP="00F219C3" w:rsidRDefault="00207BF6" w14:paraId="7514A03A" w14:textId="248BDFAA">
      <w:pPr>
        <w:rPr>
          <w:sz w:val="24"/>
          <w:szCs w:val="24"/>
          <w:highlight w:val="yellow"/>
        </w:rPr>
      </w:pPr>
      <w:r w:rsidRPr="00F76AD1">
        <w:rPr>
          <w:sz w:val="24"/>
          <w:szCs w:val="24"/>
        </w:rPr>
        <w:t xml:space="preserve">The purpose of this request is to integrate </w:t>
      </w:r>
      <w:r w:rsidRPr="00F76AD1" w:rsidR="00F863A4">
        <w:rPr>
          <w:sz w:val="24"/>
          <w:szCs w:val="24"/>
        </w:rPr>
        <w:t>several items into MEPS including several new questions related to COVID</w:t>
      </w:r>
      <w:r w:rsidRPr="00F76AD1" w:rsidR="00D75EB1">
        <w:rPr>
          <w:sz w:val="24"/>
          <w:szCs w:val="24"/>
        </w:rPr>
        <w:t>-19 (</w:t>
      </w:r>
      <w:r w:rsidRPr="00F76AD1" w:rsidR="00A1240B">
        <w:rPr>
          <w:sz w:val="24"/>
          <w:szCs w:val="24"/>
        </w:rPr>
        <w:t xml:space="preserve">see </w:t>
      </w:r>
      <w:r w:rsidRPr="00F76AD1" w:rsidR="00D75EB1">
        <w:rPr>
          <w:sz w:val="24"/>
          <w:szCs w:val="24"/>
        </w:rPr>
        <w:t>Attachment</w:t>
      </w:r>
      <w:r w:rsidRPr="00F76AD1" w:rsidR="00A1240B">
        <w:rPr>
          <w:sz w:val="24"/>
          <w:szCs w:val="24"/>
        </w:rPr>
        <w:t>s</w:t>
      </w:r>
      <w:r w:rsidRPr="00F76AD1" w:rsidR="00D75EB1">
        <w:rPr>
          <w:sz w:val="24"/>
          <w:szCs w:val="24"/>
        </w:rPr>
        <w:t xml:space="preserve"> A</w:t>
      </w:r>
      <w:r w:rsidRPr="00F76AD1" w:rsidR="00A1240B">
        <w:rPr>
          <w:sz w:val="24"/>
          <w:szCs w:val="24"/>
        </w:rPr>
        <w:t xml:space="preserve"> and A1</w:t>
      </w:r>
      <w:r w:rsidRPr="00F76AD1" w:rsidR="00D75EB1">
        <w:rPr>
          <w:sz w:val="24"/>
          <w:szCs w:val="24"/>
        </w:rPr>
        <w:t xml:space="preserve">) </w:t>
      </w:r>
      <w:r w:rsidRPr="00F76AD1" w:rsidR="007174E0">
        <w:rPr>
          <w:sz w:val="24"/>
          <w:szCs w:val="24"/>
        </w:rPr>
        <w:t xml:space="preserve">including </w:t>
      </w:r>
      <w:r w:rsidRPr="00F76AD1" w:rsidR="00E03E27">
        <w:rPr>
          <w:sz w:val="24"/>
          <w:szCs w:val="24"/>
        </w:rPr>
        <w:t xml:space="preserve">telehealth (telemedicine) </w:t>
      </w:r>
      <w:r w:rsidRPr="00F76AD1" w:rsidR="008C79AB">
        <w:rPr>
          <w:sz w:val="24"/>
          <w:szCs w:val="24"/>
        </w:rPr>
        <w:t xml:space="preserve">questions </w:t>
      </w:r>
      <w:r w:rsidRPr="00F76AD1" w:rsidR="00F863A4">
        <w:rPr>
          <w:sz w:val="24"/>
          <w:szCs w:val="24"/>
        </w:rPr>
        <w:t>(</w:t>
      </w:r>
      <w:r w:rsidRPr="00F76AD1" w:rsidR="00A1240B">
        <w:rPr>
          <w:sz w:val="24"/>
          <w:szCs w:val="24"/>
        </w:rPr>
        <w:t xml:space="preserve">see </w:t>
      </w:r>
      <w:r w:rsidRPr="00F76AD1" w:rsidR="00F863A4">
        <w:rPr>
          <w:sz w:val="24"/>
          <w:szCs w:val="24"/>
        </w:rPr>
        <w:t>Attachment B) into the CAPI questionnaire and a new self-administered questionnaire (SAQ) e</w:t>
      </w:r>
      <w:r w:rsidRPr="00F76AD1">
        <w:rPr>
          <w:sz w:val="24"/>
          <w:szCs w:val="24"/>
        </w:rPr>
        <w:t>ntitled, “</w:t>
      </w:r>
      <w:r w:rsidRPr="00F76AD1" w:rsidR="0035405B">
        <w:rPr>
          <w:sz w:val="24"/>
          <w:szCs w:val="24"/>
        </w:rPr>
        <w:t>Social and Health Experiences</w:t>
      </w:r>
      <w:r w:rsidRPr="00F76AD1">
        <w:rPr>
          <w:sz w:val="24"/>
          <w:szCs w:val="24"/>
        </w:rPr>
        <w:t xml:space="preserve">,” </w:t>
      </w:r>
      <w:r w:rsidRPr="00F76AD1" w:rsidR="00925214">
        <w:rPr>
          <w:sz w:val="24"/>
          <w:szCs w:val="24"/>
        </w:rPr>
        <w:t xml:space="preserve">(see Attachment </w:t>
      </w:r>
      <w:r w:rsidRPr="00F76AD1" w:rsidR="00F863A4">
        <w:rPr>
          <w:sz w:val="24"/>
          <w:szCs w:val="24"/>
        </w:rPr>
        <w:t>C</w:t>
      </w:r>
      <w:r w:rsidRPr="00F76AD1" w:rsidR="00925214">
        <w:rPr>
          <w:sz w:val="24"/>
          <w:szCs w:val="24"/>
        </w:rPr>
        <w:t>)</w:t>
      </w:r>
      <w:r w:rsidRPr="00F76AD1" w:rsidR="00F863A4">
        <w:rPr>
          <w:sz w:val="24"/>
          <w:szCs w:val="24"/>
        </w:rPr>
        <w:t>.</w:t>
      </w:r>
      <w:r w:rsidRPr="00F76AD1">
        <w:rPr>
          <w:sz w:val="24"/>
          <w:szCs w:val="24"/>
        </w:rPr>
        <w:t xml:space="preserve"> </w:t>
      </w:r>
      <w:r w:rsidRPr="00F76AD1" w:rsidR="00F863A4">
        <w:rPr>
          <w:sz w:val="24"/>
          <w:szCs w:val="24"/>
        </w:rPr>
        <w:t xml:space="preserve">The questions on COVID-19 </w:t>
      </w:r>
      <w:r w:rsidRPr="00F76AD1" w:rsidR="00073430">
        <w:rPr>
          <w:sz w:val="24"/>
          <w:szCs w:val="24"/>
        </w:rPr>
        <w:t>capture</w:t>
      </w:r>
      <w:r w:rsidRPr="00F76AD1" w:rsidR="00F863A4">
        <w:rPr>
          <w:sz w:val="24"/>
          <w:szCs w:val="24"/>
        </w:rPr>
        <w:t xml:space="preserve"> information on any delay in care due to COVID-19.</w:t>
      </w:r>
      <w:r w:rsidRPr="00F76AD1" w:rsidR="00073430">
        <w:rPr>
          <w:sz w:val="24"/>
          <w:szCs w:val="24"/>
        </w:rPr>
        <w:t xml:space="preserve"> The questions will be administered through an RU level gate question with follow up questions asked at the person level as appropriate. Telehealth</w:t>
      </w:r>
      <w:r w:rsidRPr="00F76AD1" w:rsidR="008C79AB">
        <w:rPr>
          <w:sz w:val="24"/>
          <w:szCs w:val="24"/>
        </w:rPr>
        <w:t xml:space="preserve"> (</w:t>
      </w:r>
      <w:r w:rsidRPr="00F76AD1" w:rsidR="00073430">
        <w:rPr>
          <w:sz w:val="24"/>
          <w:szCs w:val="24"/>
        </w:rPr>
        <w:t>telemedicine</w:t>
      </w:r>
      <w:r w:rsidRPr="00F76AD1" w:rsidR="008C79AB">
        <w:rPr>
          <w:sz w:val="24"/>
          <w:szCs w:val="24"/>
        </w:rPr>
        <w:t xml:space="preserve">) </w:t>
      </w:r>
      <w:r w:rsidRPr="00F76AD1" w:rsidR="00073430">
        <w:rPr>
          <w:sz w:val="24"/>
          <w:szCs w:val="24"/>
        </w:rPr>
        <w:t xml:space="preserve">will be administered as its own </w:t>
      </w:r>
      <w:r w:rsidRPr="00F76AD1" w:rsidR="00073430">
        <w:rPr>
          <w:sz w:val="24"/>
          <w:szCs w:val="24"/>
        </w:rPr>
        <w:lastRenderedPageBreak/>
        <w:t>event type with questions and probes mirroring those used for in-person medical provider visits.  The Social and Health Experiences SAQ will include questions</w:t>
      </w:r>
      <w:r w:rsidRPr="00F76AD1" w:rsidR="00F863A4">
        <w:rPr>
          <w:sz w:val="24"/>
          <w:szCs w:val="24"/>
        </w:rPr>
        <w:t xml:space="preserve"> </w:t>
      </w:r>
      <w:r w:rsidRPr="00F76AD1" w:rsidR="0035405B">
        <w:rPr>
          <w:sz w:val="24"/>
          <w:szCs w:val="24"/>
        </w:rPr>
        <w:t>in a dual mode (web and paper)</w:t>
      </w:r>
      <w:r w:rsidRPr="00420A8F" w:rsidR="0035405B">
        <w:rPr>
          <w:sz w:val="24"/>
          <w:szCs w:val="24"/>
        </w:rPr>
        <w:t xml:space="preserve"> self-administered questionnaire about social and behavioral determinants of health including questions about housing affordability and quality, neighborhood characteristics, food security, transportation needs, financial strain, smoking and physical activity, and experiences with discrimination, social support, general well-being, personal safety, and adverse circumstances in childhood.  Data collection will be for </w:t>
      </w:r>
      <w:r w:rsidR="000C2DC2">
        <w:rPr>
          <w:sz w:val="24"/>
          <w:szCs w:val="24"/>
        </w:rPr>
        <w:t xml:space="preserve">eligible </w:t>
      </w:r>
      <w:r w:rsidRPr="00420A8F" w:rsidR="0035405B">
        <w:rPr>
          <w:sz w:val="24"/>
          <w:szCs w:val="24"/>
        </w:rPr>
        <w:t xml:space="preserve">adults (aged 18 and over).   AHRQ proposes a mixed-mode (web and paper) primarily to further protect respondent’s privacy due to the sensitive nature of some of the items.  Web completion will be the main mode with paper offered to those with barriers to internet </w:t>
      </w:r>
      <w:r w:rsidRPr="00F76AD1" w:rsidR="0035405B">
        <w:rPr>
          <w:sz w:val="24"/>
          <w:szCs w:val="24"/>
        </w:rPr>
        <w:t xml:space="preserve">access.  </w:t>
      </w:r>
      <w:r w:rsidRPr="00F76AD1" w:rsidR="00F219C3">
        <w:rPr>
          <w:sz w:val="24"/>
          <w:szCs w:val="24"/>
        </w:rPr>
        <w:t xml:space="preserve">In addition, due to COVID-19, in March of 2020, MEPS moved to telephone interviewing for all panels and rounds currently in the field with increased use of the web to facilitate respondent reporting; for example the use of showcards.  The current plan is </w:t>
      </w:r>
      <w:r w:rsidRPr="00F76AD1" w:rsidR="006D4818">
        <w:rPr>
          <w:sz w:val="24"/>
          <w:szCs w:val="24"/>
        </w:rPr>
        <w:t xml:space="preserve">to </w:t>
      </w:r>
      <w:r w:rsidRPr="00F76AD1" w:rsidR="00F219C3">
        <w:rPr>
          <w:sz w:val="24"/>
          <w:szCs w:val="24"/>
        </w:rPr>
        <w:t xml:space="preserve">resume at least some face-to-face interviewing during the fall rounds for Panels 23, 24, and 25.   </w:t>
      </w:r>
      <w:r w:rsidRPr="008F68B7" w:rsidR="00F219C3">
        <w:rPr>
          <w:sz w:val="24"/>
          <w:szCs w:val="24"/>
          <w:highlight w:val="yellow"/>
        </w:rPr>
        <w:t xml:space="preserve">Moreover, Panels 23 and 24 are to be extended </w:t>
      </w:r>
      <w:r w:rsidRPr="008F68B7" w:rsidR="00220446">
        <w:rPr>
          <w:sz w:val="24"/>
          <w:szCs w:val="24"/>
          <w:highlight w:val="yellow"/>
        </w:rPr>
        <w:t xml:space="preserve">two </w:t>
      </w:r>
      <w:r w:rsidRPr="008F68B7" w:rsidR="00F219C3">
        <w:rPr>
          <w:sz w:val="24"/>
          <w:szCs w:val="24"/>
          <w:highlight w:val="yellow"/>
        </w:rPr>
        <w:t>year</w:t>
      </w:r>
      <w:r w:rsidRPr="008F68B7" w:rsidR="00220446">
        <w:rPr>
          <w:sz w:val="24"/>
          <w:szCs w:val="24"/>
          <w:highlight w:val="yellow"/>
        </w:rPr>
        <w:t>s</w:t>
      </w:r>
      <w:r w:rsidRPr="008F68B7" w:rsidR="00F219C3">
        <w:rPr>
          <w:sz w:val="24"/>
          <w:szCs w:val="24"/>
          <w:highlight w:val="yellow"/>
        </w:rPr>
        <w:t xml:space="preserve"> with the creation of Round 6 and 7</w:t>
      </w:r>
      <w:r w:rsidRPr="008F68B7" w:rsidR="00220446">
        <w:rPr>
          <w:sz w:val="24"/>
          <w:szCs w:val="24"/>
          <w:highlight w:val="yellow"/>
        </w:rPr>
        <w:t xml:space="preserve"> and Rounds 8 and 9</w:t>
      </w:r>
      <w:r w:rsidR="008F68B7">
        <w:rPr>
          <w:sz w:val="24"/>
          <w:szCs w:val="24"/>
          <w:highlight w:val="yellow"/>
        </w:rPr>
        <w:t xml:space="preserve"> </w:t>
      </w:r>
      <w:r w:rsidRPr="008F68B7" w:rsidR="00F219C3">
        <w:rPr>
          <w:sz w:val="24"/>
          <w:szCs w:val="24"/>
          <w:highlight w:val="yellow"/>
        </w:rPr>
        <w:t>in order to contribute to the data collected for data years 2020</w:t>
      </w:r>
      <w:r w:rsidRPr="008F68B7" w:rsidR="00220446">
        <w:rPr>
          <w:sz w:val="24"/>
          <w:szCs w:val="24"/>
          <w:highlight w:val="yellow"/>
        </w:rPr>
        <w:t xml:space="preserve">, </w:t>
      </w:r>
      <w:r w:rsidRPr="008F68B7" w:rsidR="00F219C3">
        <w:rPr>
          <w:sz w:val="24"/>
          <w:szCs w:val="24"/>
          <w:highlight w:val="yellow"/>
        </w:rPr>
        <w:t>2021</w:t>
      </w:r>
      <w:r w:rsidRPr="008F68B7" w:rsidR="00220446">
        <w:rPr>
          <w:sz w:val="24"/>
          <w:szCs w:val="24"/>
          <w:highlight w:val="yellow"/>
        </w:rPr>
        <w:t>, and 2022</w:t>
      </w:r>
      <w:r w:rsidRPr="008F68B7" w:rsidR="00F219C3">
        <w:rPr>
          <w:sz w:val="24"/>
          <w:szCs w:val="24"/>
          <w:highlight w:val="yellow"/>
        </w:rPr>
        <w:t>.  </w:t>
      </w:r>
      <w:r w:rsidR="008F68B7">
        <w:rPr>
          <w:sz w:val="24"/>
          <w:szCs w:val="24"/>
          <w:highlight w:val="yellow"/>
        </w:rPr>
        <w:t xml:space="preserve">The </w:t>
      </w:r>
      <w:r w:rsidRPr="008F68B7" w:rsidR="00220446">
        <w:rPr>
          <w:sz w:val="24"/>
          <w:szCs w:val="24"/>
          <w:highlight w:val="yellow"/>
        </w:rPr>
        <w:t>MEPS Medical Provider Component Authorization Forms will also reflect the extended time period</w:t>
      </w:r>
      <w:r w:rsidRPr="00F76AD1" w:rsidR="008F68B7">
        <w:rPr>
          <w:sz w:val="24"/>
          <w:szCs w:val="24"/>
          <w:highlight w:val="yellow"/>
        </w:rPr>
        <w:t xml:space="preserve">. </w:t>
      </w:r>
      <w:r w:rsidRPr="00F76AD1" w:rsidR="00220446">
        <w:rPr>
          <w:sz w:val="24"/>
          <w:szCs w:val="24"/>
          <w:highlight w:val="yellow"/>
        </w:rPr>
        <w:t xml:space="preserve"> </w:t>
      </w:r>
      <w:r w:rsidRPr="00F76AD1" w:rsidR="00501E20">
        <w:rPr>
          <w:sz w:val="24"/>
          <w:szCs w:val="24"/>
          <w:highlight w:val="yellow"/>
        </w:rPr>
        <w:t>Although</w:t>
      </w:r>
      <w:r w:rsidRPr="00F76AD1" w:rsidR="00A308A7">
        <w:rPr>
          <w:sz w:val="24"/>
          <w:szCs w:val="24"/>
          <w:highlight w:val="yellow"/>
        </w:rPr>
        <w:t>, t</w:t>
      </w:r>
      <w:r w:rsidRPr="00F76AD1" w:rsidR="00F219C3">
        <w:rPr>
          <w:sz w:val="24"/>
          <w:szCs w:val="24"/>
          <w:highlight w:val="yellow"/>
        </w:rPr>
        <w:t xml:space="preserve">he data </w:t>
      </w:r>
      <w:r w:rsidRPr="008F68B7" w:rsidR="00F219C3">
        <w:rPr>
          <w:sz w:val="24"/>
          <w:szCs w:val="24"/>
          <w:highlight w:val="yellow"/>
        </w:rPr>
        <w:t>collected will offset any impact on response rates due to the pandemic or changes in primary mode for data collection</w:t>
      </w:r>
      <w:r w:rsidRPr="008F68B7" w:rsidR="00A308A7">
        <w:rPr>
          <w:sz w:val="24"/>
          <w:szCs w:val="24"/>
          <w:highlight w:val="yellow"/>
        </w:rPr>
        <w:t>, the need for the additional rounds of MEPS data collection primarily stems from the decreased NHIS sample (MEPS will receive approximately ¾ the size of the regular sample from NHIS for its sample frame).  The additional rounds f</w:t>
      </w:r>
      <w:r w:rsidR="008F68B7">
        <w:rPr>
          <w:sz w:val="24"/>
          <w:szCs w:val="24"/>
          <w:highlight w:val="yellow"/>
        </w:rPr>
        <w:t>rom</w:t>
      </w:r>
      <w:r w:rsidRPr="008F68B7" w:rsidR="00A308A7">
        <w:rPr>
          <w:sz w:val="24"/>
          <w:szCs w:val="24"/>
          <w:highlight w:val="yellow"/>
        </w:rPr>
        <w:t xml:space="preserve"> Panel 23 and Panel 24 of MEPS will be used to supplement the sample.</w:t>
      </w:r>
      <w:r w:rsidRPr="008F68B7" w:rsidR="006D4818">
        <w:rPr>
          <w:sz w:val="24"/>
          <w:szCs w:val="24"/>
          <w:highlight w:val="yellow"/>
        </w:rPr>
        <w:t xml:space="preserve"> That would both enhance sample size, increase precision, and provide a means for better assessing data quality.</w:t>
      </w:r>
      <w:r w:rsidRPr="008F68B7" w:rsidR="001B1921">
        <w:rPr>
          <w:sz w:val="24"/>
          <w:szCs w:val="24"/>
          <w:highlight w:val="yellow"/>
        </w:rPr>
        <w:t xml:space="preserve"> </w:t>
      </w:r>
      <w:r w:rsidRPr="008F68B7" w:rsidR="00A95693">
        <w:rPr>
          <w:sz w:val="24"/>
          <w:szCs w:val="24"/>
          <w:highlight w:val="yellow"/>
        </w:rPr>
        <w:t xml:space="preserve">In addition to increasing sample sizes, it will also provide analytical capabilities for a longitudinal assessment of health care utilization and costs over a four year period of time, including the year of the pandemic and the two years following it.  Such longitudinal data can be expected to be of substantial interest to those seeking to better understand health care needs in the U.S.  Also, since these additional rounds of data collection are planned to be carried out via telephone, it is expected to be less burdensome and less costly than an in-person interviewing approach.  </w:t>
      </w:r>
    </w:p>
    <w:p w:rsidRPr="008F68B7" w:rsidR="008F68B7" w:rsidP="00F219C3" w:rsidRDefault="008F68B7" w14:paraId="16DA4A9A" w14:textId="77777777">
      <w:pPr>
        <w:rPr>
          <w:sz w:val="24"/>
          <w:szCs w:val="24"/>
          <w:highlight w:val="yellow"/>
        </w:rPr>
      </w:pPr>
    </w:p>
    <w:p w:rsidRPr="008F68B7" w:rsidR="00704FF1" w:rsidP="00F219C3" w:rsidRDefault="00704FF1" w14:paraId="1B18AF29" w14:textId="0F70129C">
      <w:pPr>
        <w:rPr>
          <w:color w:val="1F497D"/>
          <w:sz w:val="24"/>
          <w:szCs w:val="24"/>
          <w:highlight w:val="yellow"/>
        </w:rPr>
      </w:pPr>
      <w:r w:rsidRPr="008F68B7">
        <w:rPr>
          <w:sz w:val="24"/>
          <w:szCs w:val="24"/>
          <w:highlight w:val="yellow"/>
        </w:rPr>
        <w:t xml:space="preserve">As to the release of the data, whether rounds 6 through 9 will be released in combination with rounds 1 through 5 or as a separate public use file remains to be determine.  Rounds 6 through 9 will be assessed for potential bias </w:t>
      </w:r>
      <w:r w:rsidR="008F68B7">
        <w:rPr>
          <w:sz w:val="24"/>
          <w:szCs w:val="24"/>
          <w:highlight w:val="yellow"/>
        </w:rPr>
        <w:t xml:space="preserve">and data quality </w:t>
      </w:r>
      <w:r w:rsidRPr="008F68B7">
        <w:rPr>
          <w:sz w:val="24"/>
          <w:szCs w:val="24"/>
          <w:highlight w:val="yellow"/>
        </w:rPr>
        <w:t>given the unique circumstances pertaining to their collection.</w:t>
      </w:r>
    </w:p>
    <w:p w:rsidRPr="008F68B7" w:rsidR="00DF7EE6" w:rsidP="00F219C3" w:rsidRDefault="00DF7EE6" w14:paraId="4464942D" w14:textId="77777777">
      <w:pPr>
        <w:rPr>
          <w:color w:val="1F497D"/>
          <w:sz w:val="24"/>
          <w:szCs w:val="24"/>
          <w:highlight w:val="yellow"/>
        </w:rPr>
      </w:pPr>
    </w:p>
    <w:p w:rsidRPr="00BB58AE" w:rsidR="00143B6B" w:rsidP="00143B6B" w:rsidRDefault="00143B6B" w14:paraId="5DC6CFB0" w14:textId="77777777">
      <w:pPr>
        <w:rPr>
          <w:sz w:val="24"/>
          <w:szCs w:val="24"/>
        </w:rPr>
      </w:pPr>
      <w:r w:rsidRPr="00ED6419">
        <w:rPr>
          <w:bCs/>
          <w:sz w:val="24"/>
          <w:szCs w:val="24"/>
        </w:rPr>
        <w:t>This study is being conducted by AHRQ through its contractors, Westat and RTI International, pursuant to AHRQ’s statutory authority to conduct and support research on healthcare and on systems for the delivery of such care, including activities with respect to the cost and use of health care services and with respect to health statistics and surveys.  42 U.S.C. 299a(a)(3) and (8); 42 U.S.C. 299b-2.</w:t>
      </w:r>
    </w:p>
    <w:p w:rsidR="00D027EA" w:rsidP="00D027EA" w:rsidRDefault="00D027EA" w14:paraId="2F1A88E0" w14:textId="77777777">
      <w:pPr>
        <w:rPr>
          <w:sz w:val="24"/>
          <w:szCs w:val="24"/>
        </w:rPr>
      </w:pPr>
    </w:p>
    <w:p w:rsidRPr="008C5826" w:rsidR="0057087C" w:rsidP="008C5826" w:rsidRDefault="0057087C" w14:paraId="2801CF78" w14:textId="77777777">
      <w:pPr>
        <w:pStyle w:val="Heading2"/>
        <w:rPr>
          <w:color w:val="auto"/>
          <w:sz w:val="24"/>
          <w:szCs w:val="24"/>
        </w:rPr>
      </w:pPr>
      <w:bookmarkStart w:name="_Toc290559155" w:id="3"/>
      <w:r w:rsidRPr="008C5826">
        <w:rPr>
          <w:color w:val="auto"/>
          <w:sz w:val="24"/>
          <w:szCs w:val="24"/>
        </w:rPr>
        <w:t xml:space="preserve">2.  </w:t>
      </w:r>
      <w:r w:rsidRPr="008C5826">
        <w:rPr>
          <w:color w:val="auto"/>
          <w:sz w:val="24"/>
          <w:szCs w:val="24"/>
          <w:u w:val="single"/>
        </w:rPr>
        <w:t xml:space="preserve">How, by Whom, and for </w:t>
      </w:r>
      <w:r w:rsidRPr="002931EC">
        <w:rPr>
          <w:color w:val="auto"/>
          <w:sz w:val="24"/>
          <w:szCs w:val="24"/>
          <w:u w:val="single"/>
        </w:rPr>
        <w:t>What Purpose Information Will Be Used</w:t>
      </w:r>
      <w:bookmarkEnd w:id="3"/>
    </w:p>
    <w:p w:rsidR="006B0624" w:rsidRDefault="006B0624" w14:paraId="6880FD1E" w14:textId="77777777">
      <w:pPr>
        <w:rPr>
          <w:sz w:val="24"/>
          <w:szCs w:val="24"/>
        </w:rPr>
      </w:pPr>
    </w:p>
    <w:p w:rsidR="00073430" w:rsidP="00073430" w:rsidRDefault="00073430" w14:paraId="377B4F86" w14:textId="77777777">
      <w:pPr>
        <w:tabs>
          <w:tab w:val="left" w:pos="360"/>
        </w:tabs>
        <w:rPr>
          <w:sz w:val="24"/>
          <w:szCs w:val="24"/>
        </w:rPr>
      </w:pPr>
      <w:r w:rsidRPr="00F76AD1">
        <w:rPr>
          <w:sz w:val="24"/>
          <w:szCs w:val="24"/>
        </w:rPr>
        <w:t xml:space="preserve">The new CAPI questions collecting information about COVID-19 </w:t>
      </w:r>
      <w:r w:rsidRPr="00F76AD1" w:rsidR="007174E0">
        <w:rPr>
          <w:sz w:val="24"/>
          <w:szCs w:val="24"/>
        </w:rPr>
        <w:t xml:space="preserve">including </w:t>
      </w:r>
      <w:r w:rsidRPr="00F76AD1" w:rsidR="00E03E27">
        <w:rPr>
          <w:sz w:val="24"/>
          <w:szCs w:val="24"/>
        </w:rPr>
        <w:t xml:space="preserve">telehealth (telemedicine) </w:t>
      </w:r>
      <w:r w:rsidRPr="00F76AD1">
        <w:rPr>
          <w:sz w:val="24"/>
          <w:szCs w:val="24"/>
        </w:rPr>
        <w:t>will be folded into the regular processing stream of MEPS data to produce estimates of health care utilization and expenditures.</w:t>
      </w:r>
    </w:p>
    <w:p w:rsidR="00073430" w:rsidP="006831FE" w:rsidRDefault="00073430" w14:paraId="10A6A98A" w14:textId="77777777">
      <w:pPr>
        <w:tabs>
          <w:tab w:val="left" w:pos="360"/>
        </w:tabs>
        <w:rPr>
          <w:sz w:val="24"/>
          <w:szCs w:val="24"/>
        </w:rPr>
      </w:pPr>
    </w:p>
    <w:p w:rsidR="00201C1E" w:rsidP="00A5243C" w:rsidRDefault="00A04F7A" w14:paraId="4D71DB69" w14:textId="77777777">
      <w:pPr>
        <w:tabs>
          <w:tab w:val="left" w:pos="360"/>
        </w:tabs>
        <w:rPr>
          <w:sz w:val="24"/>
          <w:szCs w:val="24"/>
        </w:rPr>
      </w:pPr>
      <w:r w:rsidRPr="00420A8F">
        <w:rPr>
          <w:sz w:val="24"/>
          <w:szCs w:val="24"/>
        </w:rPr>
        <w:t xml:space="preserve">This SAQ will include questions about social and behavioral determinants of health including questions about housing affordability and quality, neighborhood characteristics, food security, transportation needs, financial strain, smoking and physical activity, and experiences with discrimination, social support, general well-being, personal safety, and adverse circumstances in childhood. </w:t>
      </w:r>
      <w:r w:rsidRPr="00ED6419" w:rsidR="006831FE">
        <w:rPr>
          <w:sz w:val="24"/>
          <w:szCs w:val="24"/>
        </w:rPr>
        <w:t xml:space="preserve">The information collected will be used to examine </w:t>
      </w:r>
      <w:r w:rsidRPr="00ED6419" w:rsidR="006831FE">
        <w:rPr>
          <w:color w:val="221E1F"/>
          <w:sz w:val="24"/>
          <w:szCs w:val="24"/>
        </w:rPr>
        <w:t>the relationship between measures of the social determinants of health and measures of health status</w:t>
      </w:r>
      <w:r w:rsidR="001204B7">
        <w:rPr>
          <w:color w:val="221E1F"/>
          <w:sz w:val="24"/>
          <w:szCs w:val="24"/>
        </w:rPr>
        <w:t>,</w:t>
      </w:r>
      <w:r w:rsidRPr="00ED6419" w:rsidR="006831FE">
        <w:rPr>
          <w:color w:val="221E1F"/>
          <w:sz w:val="24"/>
          <w:szCs w:val="24"/>
        </w:rPr>
        <w:t xml:space="preserve"> and the use </w:t>
      </w:r>
      <w:r w:rsidR="001204B7">
        <w:rPr>
          <w:color w:val="221E1F"/>
          <w:sz w:val="24"/>
          <w:szCs w:val="24"/>
        </w:rPr>
        <w:t xml:space="preserve">and expense </w:t>
      </w:r>
      <w:r w:rsidRPr="00ED6419" w:rsidR="006831FE">
        <w:rPr>
          <w:color w:val="221E1F"/>
          <w:sz w:val="24"/>
          <w:szCs w:val="24"/>
        </w:rPr>
        <w:t>of health care services.  The goal of this survey is to help understand the relationship between social determinants of health and health care need in order to ultimately improve health care and health. </w:t>
      </w:r>
      <w:r w:rsidRPr="00420A8F">
        <w:rPr>
          <w:sz w:val="24"/>
          <w:szCs w:val="24"/>
        </w:rPr>
        <w:t xml:space="preserve">Data collection will be for </w:t>
      </w:r>
      <w:r w:rsidR="000C2DC2">
        <w:rPr>
          <w:sz w:val="24"/>
          <w:szCs w:val="24"/>
        </w:rPr>
        <w:t xml:space="preserve">eligible </w:t>
      </w:r>
      <w:r w:rsidRPr="00420A8F">
        <w:rPr>
          <w:sz w:val="24"/>
          <w:szCs w:val="24"/>
        </w:rPr>
        <w:t xml:space="preserve">adults (aged 18 and over).  Web completion will be the main mode with paper offered to those with barriers to internet access.  </w:t>
      </w:r>
      <w:r w:rsidR="007A27ED">
        <w:rPr>
          <w:sz w:val="24"/>
          <w:szCs w:val="24"/>
        </w:rPr>
        <w:t xml:space="preserve"> </w:t>
      </w:r>
    </w:p>
    <w:p w:rsidR="00201C1E" w:rsidP="00A5243C" w:rsidRDefault="00201C1E" w14:paraId="17C9513F" w14:textId="77777777">
      <w:pPr>
        <w:tabs>
          <w:tab w:val="left" w:pos="360"/>
        </w:tabs>
        <w:rPr>
          <w:sz w:val="24"/>
          <w:szCs w:val="24"/>
        </w:rPr>
      </w:pPr>
    </w:p>
    <w:p w:rsidR="00165E85" w:rsidP="00D027EA" w:rsidRDefault="00201C1E" w14:paraId="5F666B2A" w14:textId="21CB8164">
      <w:pPr>
        <w:tabs>
          <w:tab w:val="left" w:pos="360"/>
        </w:tabs>
        <w:rPr>
          <w:sz w:val="24"/>
          <w:szCs w:val="24"/>
        </w:rPr>
      </w:pPr>
      <w:r w:rsidRPr="00165E85">
        <w:rPr>
          <w:sz w:val="24"/>
          <w:szCs w:val="24"/>
          <w:highlight w:val="yellow"/>
        </w:rPr>
        <w:t xml:space="preserve">Since many provider and payer groups are now fielding surveys of social determinants in order to improve health or risk adjust payments, some questions were taken from these tools (CMS, IOM) so that </w:t>
      </w:r>
      <w:r w:rsidRPr="00165E85" w:rsidR="00165E85">
        <w:rPr>
          <w:sz w:val="24"/>
          <w:szCs w:val="24"/>
          <w:highlight w:val="yellow"/>
        </w:rPr>
        <w:t>data users</w:t>
      </w:r>
      <w:r w:rsidRPr="00165E85">
        <w:rPr>
          <w:sz w:val="24"/>
          <w:szCs w:val="24"/>
          <w:highlight w:val="yellow"/>
        </w:rPr>
        <w:t xml:space="preserve"> will be able to analyze the correlation between the questions used and measures of the use of </w:t>
      </w:r>
      <w:r w:rsidRPr="00F76AD1">
        <w:rPr>
          <w:sz w:val="24"/>
          <w:szCs w:val="24"/>
          <w:highlight w:val="yellow"/>
        </w:rPr>
        <w:t xml:space="preserve">health care services, health expenditures, and health </w:t>
      </w:r>
      <w:r w:rsidRPr="00F76AD1" w:rsidR="00165E85">
        <w:rPr>
          <w:sz w:val="24"/>
          <w:szCs w:val="24"/>
          <w:highlight w:val="yellow"/>
        </w:rPr>
        <w:t xml:space="preserve">status </w:t>
      </w:r>
      <w:r w:rsidRPr="00F76AD1">
        <w:rPr>
          <w:sz w:val="24"/>
          <w:szCs w:val="24"/>
          <w:highlight w:val="yellow"/>
        </w:rPr>
        <w:t>in the MEPS.  All other questions</w:t>
      </w:r>
      <w:r w:rsidRPr="00F76AD1" w:rsidR="007A27ED">
        <w:rPr>
          <w:sz w:val="24"/>
          <w:szCs w:val="24"/>
          <w:highlight w:val="yellow"/>
        </w:rPr>
        <w:t xml:space="preserve"> were taken from well-established surveys</w:t>
      </w:r>
      <w:r w:rsidRPr="00F76AD1" w:rsidR="00C567DB">
        <w:rPr>
          <w:sz w:val="24"/>
          <w:szCs w:val="24"/>
          <w:highlight w:val="yellow"/>
        </w:rPr>
        <w:t xml:space="preserve"> such</w:t>
      </w:r>
      <w:r w:rsidRPr="00F76AD1" w:rsidR="00386011">
        <w:rPr>
          <w:sz w:val="24"/>
          <w:szCs w:val="24"/>
          <w:highlight w:val="yellow"/>
        </w:rPr>
        <w:t xml:space="preserve"> as CDC’s Behavioral Risk Factor Surveillance System</w:t>
      </w:r>
      <w:r w:rsidRPr="00F76AD1" w:rsidR="007A27ED">
        <w:rPr>
          <w:sz w:val="24"/>
          <w:szCs w:val="24"/>
          <w:highlight w:val="yellow"/>
        </w:rPr>
        <w:t xml:space="preserve"> (see </w:t>
      </w:r>
      <w:r w:rsidRPr="00F76AD1" w:rsidR="00126516">
        <w:rPr>
          <w:sz w:val="24"/>
          <w:szCs w:val="24"/>
          <w:highlight w:val="yellow"/>
        </w:rPr>
        <w:t>Attachment</w:t>
      </w:r>
      <w:r w:rsidRPr="00F76AD1" w:rsidR="007A27ED">
        <w:rPr>
          <w:sz w:val="24"/>
          <w:szCs w:val="24"/>
          <w:highlight w:val="yellow"/>
        </w:rPr>
        <w:t xml:space="preserve"> </w:t>
      </w:r>
      <w:r w:rsidRPr="00F76AD1" w:rsidR="00126516">
        <w:rPr>
          <w:sz w:val="24"/>
          <w:szCs w:val="24"/>
          <w:highlight w:val="yellow"/>
        </w:rPr>
        <w:t>D</w:t>
      </w:r>
      <w:r w:rsidRPr="00F76AD1" w:rsidR="00196A27">
        <w:rPr>
          <w:sz w:val="24"/>
          <w:szCs w:val="24"/>
          <w:highlight w:val="yellow"/>
        </w:rPr>
        <w:t xml:space="preserve"> MEPS Ne</w:t>
      </w:r>
      <w:r w:rsidRPr="005A2897" w:rsidR="00196A27">
        <w:rPr>
          <w:sz w:val="24"/>
          <w:szCs w:val="24"/>
          <w:highlight w:val="yellow"/>
        </w:rPr>
        <w:t xml:space="preserve">w </w:t>
      </w:r>
      <w:r w:rsidRPr="005A2897" w:rsidR="005A2897">
        <w:rPr>
          <w:sz w:val="24"/>
          <w:szCs w:val="24"/>
          <w:highlight w:val="yellow"/>
        </w:rPr>
        <w:t xml:space="preserve">Social and Health Experiences </w:t>
      </w:r>
      <w:r w:rsidRPr="005A2897" w:rsidR="00196A27">
        <w:rPr>
          <w:sz w:val="24"/>
          <w:szCs w:val="24"/>
          <w:highlight w:val="yellow"/>
        </w:rPr>
        <w:t>SAQ</w:t>
      </w:r>
      <w:r w:rsidRPr="005A2897" w:rsidR="00196A27">
        <w:rPr>
          <w:sz w:val="24"/>
          <w:szCs w:val="24"/>
        </w:rPr>
        <w:t xml:space="preserve"> </w:t>
      </w:r>
      <w:r w:rsidRPr="00F76AD1" w:rsidR="00196A27">
        <w:rPr>
          <w:sz w:val="24"/>
          <w:szCs w:val="24"/>
          <w:highlight w:val="yellow"/>
        </w:rPr>
        <w:t>Items Crosswalk</w:t>
      </w:r>
      <w:r w:rsidRPr="00F76AD1" w:rsidR="007A27ED">
        <w:rPr>
          <w:sz w:val="24"/>
          <w:szCs w:val="24"/>
          <w:highlight w:val="yellow"/>
        </w:rPr>
        <w:t>).   Since the SAQ asks about many different domains</w:t>
      </w:r>
      <w:r w:rsidRPr="00F76AD1" w:rsidR="00C567DB">
        <w:rPr>
          <w:sz w:val="24"/>
          <w:szCs w:val="24"/>
          <w:highlight w:val="yellow"/>
        </w:rPr>
        <w:t xml:space="preserve"> with only a handful of questions </w:t>
      </w:r>
      <w:r w:rsidRPr="00165E85" w:rsidR="00C567DB">
        <w:rPr>
          <w:sz w:val="24"/>
          <w:szCs w:val="24"/>
          <w:highlight w:val="yellow"/>
        </w:rPr>
        <w:t>for each, source surveys were generally those asking a broad array of questions rather than those focusing only on one area (such as surveys about housing from the Department of Housing and Urban Development)</w:t>
      </w:r>
      <w:r w:rsidR="00165E85">
        <w:rPr>
          <w:sz w:val="24"/>
          <w:szCs w:val="24"/>
          <w:highlight w:val="yellow"/>
        </w:rPr>
        <w:t xml:space="preserve">.  </w:t>
      </w:r>
      <w:r w:rsidR="00D3626A">
        <w:rPr>
          <w:sz w:val="24"/>
          <w:szCs w:val="24"/>
          <w:highlight w:val="yellow"/>
        </w:rPr>
        <w:t xml:space="preserve">The </w:t>
      </w:r>
      <w:r w:rsidRPr="00165E85" w:rsidR="00D3626A">
        <w:rPr>
          <w:sz w:val="24"/>
          <w:szCs w:val="24"/>
          <w:highlight w:val="yellow"/>
        </w:rPr>
        <w:t>latter</w:t>
      </w:r>
      <w:r w:rsidRPr="00165E85" w:rsidR="00C567DB">
        <w:rPr>
          <w:sz w:val="24"/>
          <w:szCs w:val="24"/>
          <w:highlight w:val="yellow"/>
        </w:rPr>
        <w:t xml:space="preserve"> generally have longer and more specific blocks of questions for each topic than we can accommodate in the MEPS while minimizing respondent</w:t>
      </w:r>
      <w:r w:rsidRPr="00165E85" w:rsidR="00386011">
        <w:rPr>
          <w:sz w:val="24"/>
          <w:szCs w:val="24"/>
          <w:highlight w:val="yellow"/>
        </w:rPr>
        <w:t xml:space="preserve"> burden.  </w:t>
      </w:r>
      <w:r w:rsidRPr="00165E85" w:rsidR="00165E85">
        <w:rPr>
          <w:sz w:val="24"/>
          <w:szCs w:val="24"/>
          <w:highlight w:val="yellow"/>
        </w:rPr>
        <w:t xml:space="preserve">Given </w:t>
      </w:r>
      <w:r w:rsidRPr="00165E85">
        <w:rPr>
          <w:sz w:val="24"/>
          <w:szCs w:val="24"/>
          <w:highlight w:val="yellow"/>
        </w:rPr>
        <w:t>the SAQ will be fielded among adults, some questions focusing on experiences of children (such as in the Nation</w:t>
      </w:r>
      <w:r w:rsidRPr="00165E85" w:rsidR="00075353">
        <w:rPr>
          <w:sz w:val="24"/>
          <w:szCs w:val="24"/>
          <w:highlight w:val="yellow"/>
        </w:rPr>
        <w:t>al Survey of Children</w:t>
      </w:r>
      <w:r w:rsidRPr="00165E85" w:rsidR="00500456">
        <w:rPr>
          <w:sz w:val="24"/>
          <w:szCs w:val="24"/>
          <w:highlight w:val="yellow"/>
        </w:rPr>
        <w:t>’s Health</w:t>
      </w:r>
      <w:r w:rsidRPr="00165E85" w:rsidR="00075353">
        <w:rPr>
          <w:sz w:val="24"/>
          <w:szCs w:val="24"/>
          <w:highlight w:val="yellow"/>
        </w:rPr>
        <w:t xml:space="preserve">) were also </w:t>
      </w:r>
      <w:r w:rsidRPr="00165E85" w:rsidR="00961DA7">
        <w:rPr>
          <w:sz w:val="24"/>
          <w:szCs w:val="24"/>
          <w:highlight w:val="yellow"/>
        </w:rPr>
        <w:t xml:space="preserve">generally </w:t>
      </w:r>
      <w:r w:rsidRPr="00165E85" w:rsidR="00075353">
        <w:rPr>
          <w:sz w:val="24"/>
          <w:szCs w:val="24"/>
          <w:highlight w:val="yellow"/>
        </w:rPr>
        <w:t>not</w:t>
      </w:r>
      <w:r w:rsidRPr="00165E85">
        <w:rPr>
          <w:sz w:val="24"/>
          <w:szCs w:val="24"/>
          <w:highlight w:val="yellow"/>
        </w:rPr>
        <w:t xml:space="preserve"> appropriate</w:t>
      </w:r>
      <w:r w:rsidRPr="00165E85" w:rsidR="00075353">
        <w:rPr>
          <w:sz w:val="24"/>
          <w:szCs w:val="24"/>
          <w:highlight w:val="yellow"/>
        </w:rPr>
        <w:t xml:space="preserve"> for our purpose</w:t>
      </w:r>
      <w:r w:rsidRPr="00165E85">
        <w:rPr>
          <w:sz w:val="24"/>
          <w:szCs w:val="24"/>
          <w:highlight w:val="yellow"/>
        </w:rPr>
        <w:t>.</w:t>
      </w:r>
      <w:r>
        <w:rPr>
          <w:sz w:val="24"/>
          <w:szCs w:val="24"/>
        </w:rPr>
        <w:t xml:space="preserve">   </w:t>
      </w:r>
    </w:p>
    <w:p w:rsidR="00165E85" w:rsidP="00D027EA" w:rsidRDefault="00165E85" w14:paraId="1A96C9D1" w14:textId="77777777">
      <w:pPr>
        <w:tabs>
          <w:tab w:val="left" w:pos="360"/>
        </w:tabs>
        <w:rPr>
          <w:sz w:val="24"/>
          <w:szCs w:val="24"/>
        </w:rPr>
      </w:pPr>
    </w:p>
    <w:p w:rsidRPr="00C43666" w:rsidR="00A63B83" w:rsidP="00A63B83" w:rsidRDefault="003824AD" w14:paraId="1522D0E6" w14:textId="2DBF8898">
      <w:pPr>
        <w:pStyle w:val="Heading2"/>
        <w:rPr>
          <w:sz w:val="24"/>
        </w:rPr>
      </w:pPr>
      <w:bookmarkStart w:name="_Toc151782178" w:id="4"/>
      <w:bookmarkStart w:name="_Toc158526218" w:id="5"/>
      <w:bookmarkStart w:name="_Toc290559156" w:id="6"/>
      <w:r w:rsidRPr="00C43666">
        <w:rPr>
          <w:rFonts w:ascii="Times New Roman" w:hAnsi="Times New Roman" w:eastAsia="Times New Roman" w:cs="Times New Roman"/>
          <w:bCs w:val="0"/>
          <w:color w:val="auto"/>
          <w:sz w:val="24"/>
          <w:szCs w:val="24"/>
        </w:rPr>
        <w:t xml:space="preserve">3. </w:t>
      </w:r>
      <w:r w:rsidRPr="00C43666">
        <w:rPr>
          <w:rFonts w:ascii="Times New Roman" w:hAnsi="Times New Roman" w:eastAsia="Times New Roman" w:cs="Times New Roman"/>
          <w:bCs w:val="0"/>
          <w:color w:val="auto"/>
          <w:sz w:val="24"/>
          <w:szCs w:val="24"/>
          <w:u w:val="single"/>
        </w:rPr>
        <w:t>Use of Improved Information Technology</w:t>
      </w:r>
      <w:bookmarkEnd w:id="4"/>
      <w:bookmarkEnd w:id="5"/>
      <w:bookmarkEnd w:id="6"/>
    </w:p>
    <w:p w:rsidRPr="00C43666" w:rsidR="00A63B83" w:rsidP="00D027EA" w:rsidRDefault="00A63B83" w14:paraId="73B4B3C2" w14:textId="77777777">
      <w:pPr>
        <w:tabs>
          <w:tab w:val="left" w:pos="360"/>
        </w:tabs>
        <w:rPr>
          <w:sz w:val="24"/>
          <w:szCs w:val="24"/>
        </w:rPr>
      </w:pPr>
    </w:p>
    <w:p w:rsidR="00A63B83" w:rsidP="00D027EA" w:rsidRDefault="006E55FB" w14:paraId="7661201F" w14:textId="77777777">
      <w:pPr>
        <w:tabs>
          <w:tab w:val="left" w:pos="360"/>
        </w:tabs>
        <w:rPr>
          <w:sz w:val="24"/>
          <w:szCs w:val="24"/>
        </w:rPr>
      </w:pPr>
      <w:r w:rsidRPr="00ED6419">
        <w:rPr>
          <w:sz w:val="24"/>
          <w:szCs w:val="24"/>
        </w:rPr>
        <w:t xml:space="preserve">Web completion will be the main mode </w:t>
      </w:r>
      <w:r>
        <w:rPr>
          <w:sz w:val="24"/>
          <w:szCs w:val="24"/>
        </w:rPr>
        <w:t xml:space="preserve">for this SAQ </w:t>
      </w:r>
      <w:r w:rsidRPr="00ED6419">
        <w:rPr>
          <w:sz w:val="24"/>
          <w:szCs w:val="24"/>
        </w:rPr>
        <w:t xml:space="preserve">with paper </w:t>
      </w:r>
      <w:r>
        <w:rPr>
          <w:sz w:val="24"/>
          <w:szCs w:val="24"/>
        </w:rPr>
        <w:t xml:space="preserve">being </w:t>
      </w:r>
      <w:r w:rsidRPr="00ED6419">
        <w:rPr>
          <w:sz w:val="24"/>
          <w:szCs w:val="24"/>
        </w:rPr>
        <w:t>offered to those with barriers to internet access.</w:t>
      </w:r>
      <w:r>
        <w:rPr>
          <w:sz w:val="24"/>
          <w:szCs w:val="24"/>
        </w:rPr>
        <w:t xml:space="preserve">  </w:t>
      </w:r>
    </w:p>
    <w:p w:rsidR="00D027EA" w:rsidP="00D027EA" w:rsidRDefault="00D027EA" w14:paraId="071A2ED7" w14:textId="77777777">
      <w:pPr>
        <w:tabs>
          <w:tab w:val="left" w:pos="360"/>
        </w:tabs>
        <w:rPr>
          <w:sz w:val="24"/>
          <w:szCs w:val="24"/>
        </w:rPr>
      </w:pPr>
    </w:p>
    <w:p w:rsidRPr="009902DB" w:rsidR="00A63B83" w:rsidP="00A63B83" w:rsidRDefault="00425494" w14:paraId="12839F09" w14:textId="77777777">
      <w:pPr>
        <w:pStyle w:val="Heading2"/>
        <w:rPr>
          <w:rFonts w:ascii="Times New Roman" w:hAnsi="Times New Roman" w:eastAsia="Times New Roman" w:cs="Times New Roman"/>
          <w:bCs w:val="0"/>
          <w:color w:val="auto"/>
          <w:sz w:val="24"/>
          <w:szCs w:val="24"/>
        </w:rPr>
      </w:pPr>
      <w:bookmarkStart w:name="_Toc151782179" w:id="7"/>
      <w:bookmarkStart w:name="_Toc158526219" w:id="8"/>
      <w:bookmarkStart w:name="_Toc290559157" w:id="9"/>
      <w:r w:rsidRPr="00425494">
        <w:rPr>
          <w:rFonts w:ascii="Times New Roman" w:hAnsi="Times New Roman" w:eastAsia="Times New Roman" w:cs="Times New Roman"/>
          <w:bCs w:val="0"/>
          <w:color w:val="auto"/>
          <w:sz w:val="24"/>
          <w:szCs w:val="24"/>
        </w:rPr>
        <w:t xml:space="preserve">4. </w:t>
      </w:r>
      <w:r w:rsidRPr="00425494">
        <w:rPr>
          <w:rFonts w:ascii="Times New Roman" w:hAnsi="Times New Roman" w:eastAsia="Times New Roman" w:cs="Times New Roman"/>
          <w:bCs w:val="0"/>
          <w:color w:val="auto"/>
          <w:sz w:val="24"/>
          <w:szCs w:val="24"/>
          <w:u w:val="single"/>
        </w:rPr>
        <w:t>Efforts to Identify Duplication</w:t>
      </w:r>
      <w:bookmarkEnd w:id="7"/>
      <w:bookmarkEnd w:id="8"/>
      <w:bookmarkEnd w:id="9"/>
    </w:p>
    <w:p w:rsidR="00A63B83" w:rsidP="00D027EA" w:rsidRDefault="00A63B83" w14:paraId="5E78E732" w14:textId="77777777">
      <w:pPr>
        <w:tabs>
          <w:tab w:val="left" w:pos="360"/>
        </w:tabs>
        <w:rPr>
          <w:sz w:val="24"/>
          <w:szCs w:val="24"/>
        </w:rPr>
      </w:pPr>
    </w:p>
    <w:p w:rsidR="00073430" w:rsidP="00073430" w:rsidRDefault="00073430" w14:paraId="5F4A5B94" w14:textId="77777777">
      <w:pPr>
        <w:rPr>
          <w:color w:val="221E1F"/>
          <w:sz w:val="24"/>
          <w:szCs w:val="24"/>
        </w:rPr>
      </w:pPr>
      <w:r w:rsidRPr="00E55E4B">
        <w:rPr>
          <w:sz w:val="24"/>
          <w:szCs w:val="24"/>
        </w:rPr>
        <w:t xml:space="preserve">There is no other survey that is now or has been recently conducted that meet all of the objectives of the MEPS.  </w:t>
      </w:r>
      <w:r w:rsidRPr="00F76AD1">
        <w:rPr>
          <w:sz w:val="24"/>
          <w:szCs w:val="24"/>
        </w:rPr>
        <w:t xml:space="preserve">Collecting data related to COVID-19 and the increased use of </w:t>
      </w:r>
      <w:r w:rsidRPr="00F76AD1" w:rsidR="00E03E27">
        <w:rPr>
          <w:sz w:val="24"/>
          <w:szCs w:val="24"/>
        </w:rPr>
        <w:t xml:space="preserve">telehealth (telemedicine) </w:t>
      </w:r>
      <w:r w:rsidRPr="00F76AD1">
        <w:rPr>
          <w:sz w:val="24"/>
          <w:szCs w:val="24"/>
        </w:rPr>
        <w:t>is new</w:t>
      </w:r>
      <w:r w:rsidRPr="00F76AD1" w:rsidR="004055D5">
        <w:rPr>
          <w:sz w:val="24"/>
          <w:szCs w:val="24"/>
        </w:rPr>
        <w:t xml:space="preserve"> due to the 2019/2020 pandemic. The questions related to COVID-19 </w:t>
      </w:r>
      <w:r w:rsidRPr="00F76AD1" w:rsidR="00897CC0">
        <w:rPr>
          <w:sz w:val="24"/>
          <w:szCs w:val="24"/>
        </w:rPr>
        <w:t xml:space="preserve">including </w:t>
      </w:r>
      <w:r w:rsidRPr="00F76AD1" w:rsidR="004055D5">
        <w:rPr>
          <w:sz w:val="24"/>
          <w:szCs w:val="24"/>
        </w:rPr>
        <w:t xml:space="preserve">telehealth </w:t>
      </w:r>
      <w:r w:rsidRPr="00F76AD1" w:rsidR="00897CC0">
        <w:rPr>
          <w:sz w:val="24"/>
          <w:szCs w:val="24"/>
        </w:rPr>
        <w:t xml:space="preserve">(telemedicine) questions are </w:t>
      </w:r>
      <w:r w:rsidRPr="00F76AD1" w:rsidR="004055D5">
        <w:rPr>
          <w:sz w:val="24"/>
          <w:szCs w:val="24"/>
        </w:rPr>
        <w:t>deriv</w:t>
      </w:r>
      <w:r w:rsidRPr="00F76AD1" w:rsidR="00897CC0">
        <w:rPr>
          <w:sz w:val="24"/>
          <w:szCs w:val="24"/>
        </w:rPr>
        <w:t xml:space="preserve">atives of </w:t>
      </w:r>
      <w:r w:rsidRPr="00F76AD1" w:rsidR="004C76E8">
        <w:rPr>
          <w:sz w:val="24"/>
          <w:szCs w:val="24"/>
        </w:rPr>
        <w:t xml:space="preserve">OMB </w:t>
      </w:r>
      <w:r w:rsidRPr="00F76AD1" w:rsidR="00897CC0">
        <w:rPr>
          <w:sz w:val="24"/>
          <w:szCs w:val="24"/>
        </w:rPr>
        <w:t>approved MEPS questions when possible.</w:t>
      </w:r>
      <w:r w:rsidR="00897CC0">
        <w:rPr>
          <w:sz w:val="24"/>
          <w:szCs w:val="24"/>
        </w:rPr>
        <w:t xml:space="preserve">  </w:t>
      </w:r>
      <w:r w:rsidR="004055D5">
        <w:rPr>
          <w:sz w:val="24"/>
          <w:szCs w:val="24"/>
        </w:rPr>
        <w:t xml:space="preserve">  </w:t>
      </w:r>
      <w:r>
        <w:rPr>
          <w:sz w:val="24"/>
          <w:szCs w:val="24"/>
        </w:rPr>
        <w:t xml:space="preserve"> </w:t>
      </w:r>
      <w:r w:rsidRPr="00E63DAD">
        <w:rPr>
          <w:sz w:val="24"/>
          <w:szCs w:val="24"/>
        </w:rPr>
        <w:t>While th</w:t>
      </w:r>
      <w:r>
        <w:rPr>
          <w:sz w:val="24"/>
          <w:szCs w:val="24"/>
        </w:rPr>
        <w:t>e</w:t>
      </w:r>
      <w:r w:rsidRPr="00E63DAD">
        <w:rPr>
          <w:sz w:val="24"/>
          <w:szCs w:val="24"/>
        </w:rPr>
        <w:t xml:space="preserve"> SAQ does include survey questions from other surveys, none of those </w:t>
      </w:r>
      <w:r w:rsidRPr="001204B7">
        <w:rPr>
          <w:sz w:val="24"/>
          <w:szCs w:val="24"/>
        </w:rPr>
        <w:t>surveys</w:t>
      </w:r>
      <w:r w:rsidRPr="00E63DAD">
        <w:rPr>
          <w:sz w:val="24"/>
          <w:szCs w:val="24"/>
        </w:rPr>
        <w:t xml:space="preserve"> collect the depth of information on health care use and expenses available in the MEPS</w:t>
      </w:r>
      <w:r>
        <w:rPr>
          <w:sz w:val="24"/>
          <w:szCs w:val="24"/>
        </w:rPr>
        <w:t xml:space="preserve"> which uniquely positions MEPS to </w:t>
      </w:r>
      <w:r w:rsidRPr="00ED6419">
        <w:rPr>
          <w:sz w:val="24"/>
          <w:szCs w:val="24"/>
        </w:rPr>
        <w:t xml:space="preserve">examine </w:t>
      </w:r>
      <w:r w:rsidRPr="00ED6419">
        <w:rPr>
          <w:color w:val="221E1F"/>
          <w:sz w:val="24"/>
          <w:szCs w:val="24"/>
        </w:rPr>
        <w:t xml:space="preserve">the relationship between measures of the social determinants of health and measures of health status and the use </w:t>
      </w:r>
      <w:r>
        <w:rPr>
          <w:color w:val="221E1F"/>
          <w:sz w:val="24"/>
          <w:szCs w:val="24"/>
        </w:rPr>
        <w:t xml:space="preserve">and expense </w:t>
      </w:r>
      <w:r w:rsidRPr="00ED6419">
        <w:rPr>
          <w:color w:val="221E1F"/>
          <w:sz w:val="24"/>
          <w:szCs w:val="24"/>
        </w:rPr>
        <w:t>of health care services.</w:t>
      </w:r>
    </w:p>
    <w:p w:rsidR="00073430" w:rsidP="00D027EA" w:rsidRDefault="00073430" w14:paraId="42A8249E" w14:textId="77777777">
      <w:pPr>
        <w:tabs>
          <w:tab w:val="left" w:pos="360"/>
        </w:tabs>
        <w:rPr>
          <w:sz w:val="24"/>
          <w:szCs w:val="24"/>
        </w:rPr>
      </w:pPr>
    </w:p>
    <w:p w:rsidR="00A63B83" w:rsidP="00D027EA" w:rsidRDefault="00A63B83" w14:paraId="479191CC" w14:textId="77777777">
      <w:pPr>
        <w:tabs>
          <w:tab w:val="left" w:pos="360"/>
        </w:tabs>
        <w:rPr>
          <w:b/>
          <w:sz w:val="24"/>
          <w:szCs w:val="24"/>
        </w:rPr>
      </w:pPr>
      <w:bookmarkStart w:name="_Toc151782180" w:id="10"/>
      <w:bookmarkStart w:name="_Toc158526220" w:id="11"/>
      <w:r w:rsidRPr="00A63B83">
        <w:rPr>
          <w:b/>
          <w:sz w:val="24"/>
          <w:szCs w:val="24"/>
        </w:rPr>
        <w:t xml:space="preserve">5. </w:t>
      </w:r>
      <w:r w:rsidRPr="00425494" w:rsidR="00425494">
        <w:rPr>
          <w:b/>
          <w:sz w:val="24"/>
          <w:szCs w:val="24"/>
          <w:u w:val="single"/>
        </w:rPr>
        <w:t>Involvement of Small Entities</w:t>
      </w:r>
      <w:bookmarkEnd w:id="10"/>
      <w:bookmarkEnd w:id="11"/>
    </w:p>
    <w:p w:rsidR="00A63B83" w:rsidP="00D027EA" w:rsidRDefault="00A63B83" w14:paraId="36931521" w14:textId="77777777">
      <w:pPr>
        <w:tabs>
          <w:tab w:val="left" w:pos="360"/>
        </w:tabs>
        <w:rPr>
          <w:b/>
          <w:sz w:val="24"/>
          <w:szCs w:val="24"/>
        </w:rPr>
      </w:pPr>
    </w:p>
    <w:p w:rsidRPr="00A63B83" w:rsidR="00A63B83" w:rsidP="00D027EA" w:rsidRDefault="00281B88" w14:paraId="439E5A8B" w14:textId="77777777">
      <w:pPr>
        <w:tabs>
          <w:tab w:val="left" w:pos="360"/>
        </w:tabs>
        <w:rPr>
          <w:sz w:val="24"/>
          <w:szCs w:val="24"/>
        </w:rPr>
      </w:pPr>
      <w:r w:rsidRPr="00420A8F">
        <w:rPr>
          <w:sz w:val="24"/>
          <w:szCs w:val="24"/>
        </w:rPr>
        <w:t xml:space="preserve">The MEPS-HC collects information only from households. </w:t>
      </w:r>
    </w:p>
    <w:p w:rsidR="002D262B" w:rsidP="002D262B" w:rsidRDefault="00A63B83" w14:paraId="2D04723F" w14:textId="77777777">
      <w:pPr>
        <w:pStyle w:val="Heading2"/>
        <w:rPr>
          <w:color w:val="auto"/>
          <w:sz w:val="24"/>
          <w:szCs w:val="24"/>
          <w:u w:val="single"/>
        </w:rPr>
      </w:pPr>
      <w:bookmarkStart w:name="_Toc290559158" w:id="12"/>
      <w:r>
        <w:rPr>
          <w:color w:val="auto"/>
          <w:sz w:val="24"/>
          <w:szCs w:val="24"/>
        </w:rPr>
        <w:t>6</w:t>
      </w:r>
      <w:r w:rsidRPr="008C5826" w:rsidR="0057087C">
        <w:rPr>
          <w:color w:val="auto"/>
          <w:sz w:val="24"/>
          <w:szCs w:val="24"/>
        </w:rPr>
        <w:t xml:space="preserve">.  </w:t>
      </w:r>
      <w:r w:rsidRPr="008C5826" w:rsidR="002D262B">
        <w:rPr>
          <w:color w:val="auto"/>
          <w:sz w:val="24"/>
          <w:szCs w:val="24"/>
          <w:u w:val="single"/>
        </w:rPr>
        <w:t xml:space="preserve">Consequences </w:t>
      </w:r>
      <w:r w:rsidRPr="001936AB" w:rsidR="002D262B">
        <w:rPr>
          <w:color w:val="auto"/>
          <w:sz w:val="24"/>
          <w:szCs w:val="24"/>
          <w:u w:val="single"/>
        </w:rPr>
        <w:t>if Information Collected Less Frequently</w:t>
      </w:r>
      <w:bookmarkEnd w:id="12"/>
    </w:p>
    <w:p w:rsidR="00073430" w:rsidP="004B22BA" w:rsidRDefault="00073430" w14:paraId="1E9F9602" w14:textId="77777777"/>
    <w:p w:rsidRPr="001F0F9D" w:rsidR="00073430" w:rsidP="00073430" w:rsidRDefault="00073430" w14:paraId="6B4A8A43" w14:textId="77777777">
      <w:pPr>
        <w:rPr>
          <w:sz w:val="24"/>
          <w:szCs w:val="24"/>
        </w:rPr>
      </w:pPr>
      <w:r w:rsidRPr="00F76AD1">
        <w:rPr>
          <w:bCs/>
          <w:sz w:val="24"/>
          <w:szCs w:val="24"/>
        </w:rPr>
        <w:t xml:space="preserve">The CAPI questions on COVID-19 and </w:t>
      </w:r>
      <w:r w:rsidRPr="00F76AD1" w:rsidR="00E03E27">
        <w:rPr>
          <w:bCs/>
          <w:sz w:val="24"/>
          <w:szCs w:val="24"/>
        </w:rPr>
        <w:t xml:space="preserve">telehealth (telemedicine) </w:t>
      </w:r>
      <w:r w:rsidRPr="00F76AD1">
        <w:rPr>
          <w:bCs/>
          <w:sz w:val="24"/>
          <w:szCs w:val="24"/>
        </w:rPr>
        <w:t>will become part of the core MEPS interview that is administered with all panels and rounds beginning with Panel 25 Round 5, Panel 24 Round 3, and Panel 26 Round 1 in January 2021.</w:t>
      </w:r>
      <w:r w:rsidRPr="00E63DAD">
        <w:rPr>
          <w:bCs/>
          <w:sz w:val="24"/>
          <w:szCs w:val="24"/>
        </w:rPr>
        <w:t xml:space="preserve">  </w:t>
      </w:r>
    </w:p>
    <w:p w:rsidRPr="00CB177A" w:rsidR="002D262B" w:rsidP="002D262B" w:rsidRDefault="002D262B" w14:paraId="25A72DBE" w14:textId="77777777">
      <w:pPr>
        <w:rPr>
          <w:sz w:val="24"/>
          <w:szCs w:val="24"/>
        </w:rPr>
      </w:pPr>
    </w:p>
    <w:p w:rsidRPr="00F46D67" w:rsidR="002D262B" w:rsidP="002D262B" w:rsidRDefault="00F042C7" w14:paraId="1992A02D" w14:textId="77777777">
      <w:pPr>
        <w:rPr>
          <w:sz w:val="24"/>
          <w:szCs w:val="24"/>
        </w:rPr>
      </w:pPr>
      <w:r w:rsidRPr="00420A8F">
        <w:rPr>
          <w:bCs/>
          <w:sz w:val="24"/>
          <w:szCs w:val="24"/>
        </w:rPr>
        <w:t xml:space="preserve">The Social </w:t>
      </w:r>
      <w:r w:rsidRPr="00420A8F" w:rsidR="00C8297F">
        <w:rPr>
          <w:bCs/>
          <w:sz w:val="24"/>
          <w:szCs w:val="24"/>
        </w:rPr>
        <w:t xml:space="preserve">and </w:t>
      </w:r>
      <w:r w:rsidRPr="00420A8F">
        <w:rPr>
          <w:bCs/>
          <w:sz w:val="24"/>
          <w:szCs w:val="24"/>
        </w:rPr>
        <w:t xml:space="preserve">Health Experiences SAQ will be completed during Round 1, Panel 26, Round 3, Panel 25, and Round 5, Panel 24 </w:t>
      </w:r>
      <w:r w:rsidR="00DA394A">
        <w:rPr>
          <w:bCs/>
          <w:sz w:val="24"/>
          <w:szCs w:val="24"/>
        </w:rPr>
        <w:t xml:space="preserve">(January 2021-July 2021) </w:t>
      </w:r>
      <w:r w:rsidRPr="00420A8F">
        <w:rPr>
          <w:bCs/>
          <w:sz w:val="24"/>
          <w:szCs w:val="24"/>
        </w:rPr>
        <w:t xml:space="preserve">by each person in the RU that is 18 years old and older. </w:t>
      </w:r>
      <w:r w:rsidR="00DA394A">
        <w:rPr>
          <w:bCs/>
          <w:sz w:val="24"/>
          <w:szCs w:val="24"/>
        </w:rPr>
        <w:t>It is a one-time SAQ.</w:t>
      </w:r>
    </w:p>
    <w:p w:rsidRPr="008C5826" w:rsidR="002D262B" w:rsidP="002D262B" w:rsidRDefault="00A63B83" w14:paraId="2917A322" w14:textId="77777777">
      <w:pPr>
        <w:pStyle w:val="Heading2"/>
        <w:rPr>
          <w:color w:val="auto"/>
          <w:sz w:val="24"/>
          <w:szCs w:val="24"/>
        </w:rPr>
      </w:pPr>
      <w:bookmarkStart w:name="_Toc290559159" w:id="13"/>
      <w:r>
        <w:rPr>
          <w:color w:val="auto"/>
          <w:sz w:val="24"/>
          <w:szCs w:val="24"/>
        </w:rPr>
        <w:t>7</w:t>
      </w:r>
      <w:r w:rsidRPr="008C5826" w:rsidR="0057087C">
        <w:rPr>
          <w:color w:val="auto"/>
          <w:sz w:val="24"/>
          <w:szCs w:val="24"/>
        </w:rPr>
        <w:t xml:space="preserve">.  </w:t>
      </w:r>
      <w:r w:rsidRPr="001936AB" w:rsidR="002D262B">
        <w:rPr>
          <w:color w:val="auto"/>
          <w:sz w:val="24"/>
          <w:szCs w:val="24"/>
          <w:u w:val="single"/>
        </w:rPr>
        <w:t>Special Circumstances</w:t>
      </w:r>
      <w:bookmarkEnd w:id="13"/>
    </w:p>
    <w:p w:rsidRPr="00CB177A" w:rsidR="002D262B" w:rsidP="002D262B" w:rsidRDefault="002D262B" w14:paraId="0ADA1F74" w14:textId="77777777">
      <w:pPr>
        <w:rPr>
          <w:sz w:val="24"/>
          <w:szCs w:val="24"/>
        </w:rPr>
      </w:pPr>
    </w:p>
    <w:p w:rsidR="002D262B" w:rsidP="002D262B" w:rsidRDefault="00F042C7" w14:paraId="6CF55F48" w14:textId="77777777">
      <w:pPr>
        <w:rPr>
          <w:sz w:val="24"/>
          <w:szCs w:val="24"/>
        </w:rPr>
      </w:pPr>
      <w:r w:rsidRPr="00420A8F">
        <w:rPr>
          <w:sz w:val="24"/>
          <w:szCs w:val="24"/>
        </w:rPr>
        <w:t xml:space="preserve">Aside from offering compensation to </w:t>
      </w:r>
      <w:r w:rsidR="00C8297F">
        <w:rPr>
          <w:sz w:val="24"/>
          <w:szCs w:val="24"/>
        </w:rPr>
        <w:t xml:space="preserve">the SAQ </w:t>
      </w:r>
      <w:r w:rsidRPr="00420A8F">
        <w:rPr>
          <w:sz w:val="24"/>
          <w:szCs w:val="24"/>
        </w:rPr>
        <w:t>respondents, the MEPS-HC will fully comply with 5 CFR 1320.6.</w:t>
      </w:r>
    </w:p>
    <w:p w:rsidR="009167C4" w:rsidP="002D262B" w:rsidRDefault="009167C4" w14:paraId="1C554B90" w14:textId="77777777">
      <w:pPr>
        <w:rPr>
          <w:sz w:val="24"/>
          <w:szCs w:val="24"/>
        </w:rPr>
      </w:pPr>
    </w:p>
    <w:p w:rsidRPr="009167C4" w:rsidR="009167C4" w:rsidP="009167C4" w:rsidRDefault="009167C4" w14:paraId="0F409747" w14:textId="77777777">
      <w:pPr>
        <w:rPr>
          <w:b/>
          <w:bCs/>
          <w:i/>
          <w:iCs/>
          <w:sz w:val="24"/>
          <w:szCs w:val="24"/>
        </w:rPr>
      </w:pPr>
      <w:bookmarkStart w:name="_Toc151782183" w:id="14"/>
      <w:bookmarkStart w:name="_Toc158526223" w:id="15"/>
      <w:r w:rsidRPr="009167C4">
        <w:rPr>
          <w:b/>
          <w:bCs/>
          <w:i/>
          <w:iCs/>
          <w:sz w:val="24"/>
          <w:szCs w:val="24"/>
        </w:rPr>
        <w:t xml:space="preserve">8. </w:t>
      </w:r>
      <w:bookmarkEnd w:id="14"/>
      <w:bookmarkEnd w:id="15"/>
      <w:r w:rsidRPr="00425494" w:rsidR="00425494">
        <w:rPr>
          <w:b/>
          <w:bCs/>
          <w:i/>
          <w:iCs/>
          <w:sz w:val="24"/>
          <w:szCs w:val="24"/>
          <w:u w:val="single"/>
        </w:rPr>
        <w:t>Federal Register Notice and Outside Consultations</w:t>
      </w:r>
    </w:p>
    <w:p w:rsidRPr="009167C4" w:rsidR="009167C4" w:rsidP="009167C4" w:rsidRDefault="009167C4" w14:paraId="3BF8289B" w14:textId="77777777">
      <w:pPr>
        <w:rPr>
          <w:sz w:val="24"/>
          <w:szCs w:val="24"/>
        </w:rPr>
      </w:pPr>
    </w:p>
    <w:p w:rsidR="009167C4" w:rsidP="009167C4" w:rsidRDefault="009167C4" w14:paraId="3A3A836C" w14:textId="77777777">
      <w:pPr>
        <w:rPr>
          <w:b/>
          <w:bCs/>
          <w:i/>
          <w:iCs/>
          <w:sz w:val="24"/>
          <w:szCs w:val="24"/>
        </w:rPr>
      </w:pPr>
      <w:r w:rsidRPr="009167C4">
        <w:rPr>
          <w:b/>
          <w:i/>
          <w:sz w:val="24"/>
          <w:szCs w:val="24"/>
        </w:rPr>
        <w:t>8.a.</w:t>
      </w:r>
      <w:r w:rsidRPr="009167C4">
        <w:rPr>
          <w:sz w:val="24"/>
          <w:szCs w:val="24"/>
        </w:rPr>
        <w:t xml:space="preserve"> </w:t>
      </w:r>
      <w:r w:rsidRPr="009167C4">
        <w:rPr>
          <w:b/>
          <w:bCs/>
          <w:i/>
          <w:iCs/>
          <w:sz w:val="24"/>
          <w:szCs w:val="24"/>
        </w:rPr>
        <w:t>Federal Register Notice</w:t>
      </w:r>
    </w:p>
    <w:p w:rsidR="00DA394A" w:rsidP="009167C4" w:rsidRDefault="00DA394A" w14:paraId="71D09A27" w14:textId="77777777">
      <w:pPr>
        <w:rPr>
          <w:b/>
          <w:bCs/>
          <w:i/>
          <w:iCs/>
          <w:sz w:val="24"/>
          <w:szCs w:val="24"/>
        </w:rPr>
      </w:pPr>
    </w:p>
    <w:p w:rsidR="0043762C" w:rsidRDefault="0043762C" w14:paraId="6AB6B4CA" w14:textId="1A3C768A">
      <w:pPr>
        <w:rPr>
          <w:sz w:val="24"/>
          <w:szCs w:val="24"/>
        </w:rPr>
      </w:pPr>
      <w:r w:rsidRPr="0043762C">
        <w:rPr>
          <w:sz w:val="24"/>
          <w:szCs w:val="24"/>
        </w:rPr>
        <w:t>In accordance with the Paperwork Reduction Act of 1995 (Pub. L. 104-13) and Office of Management and Budget (OMB) regulations at 5 CFR Part 1320 (60 FR 44978, August 29, 1995), A</w:t>
      </w:r>
      <w:r>
        <w:rPr>
          <w:sz w:val="24"/>
          <w:szCs w:val="24"/>
        </w:rPr>
        <w:t>HRQ</w:t>
      </w:r>
      <w:r w:rsidRPr="0043762C">
        <w:rPr>
          <w:sz w:val="24"/>
          <w:szCs w:val="24"/>
        </w:rPr>
        <w:t xml:space="preserve"> published a notice in the Federal Register announcing the agency’s intention to request an OMB review of this information collection activity. This notice was published on </w:t>
      </w:r>
      <w:r w:rsidR="00DD41DB">
        <w:rPr>
          <w:sz w:val="24"/>
          <w:szCs w:val="24"/>
        </w:rPr>
        <w:t>May 7, 2020, p</w:t>
      </w:r>
      <w:r w:rsidRPr="0043762C">
        <w:rPr>
          <w:sz w:val="24"/>
          <w:szCs w:val="24"/>
        </w:rPr>
        <w:t>age 27225</w:t>
      </w:r>
      <w:r w:rsidR="00DD41DB">
        <w:rPr>
          <w:sz w:val="24"/>
          <w:szCs w:val="24"/>
        </w:rPr>
        <w:t>,</w:t>
      </w:r>
      <w:r>
        <w:rPr>
          <w:sz w:val="24"/>
          <w:szCs w:val="24"/>
        </w:rPr>
        <w:t xml:space="preserve"> Volume 85</w:t>
      </w:r>
      <w:r w:rsidRPr="0043762C">
        <w:rPr>
          <w:sz w:val="24"/>
          <w:szCs w:val="24"/>
        </w:rPr>
        <w:t xml:space="preserve">, Number </w:t>
      </w:r>
      <w:r>
        <w:rPr>
          <w:sz w:val="24"/>
          <w:szCs w:val="24"/>
        </w:rPr>
        <w:t>89</w:t>
      </w:r>
      <w:r w:rsidR="00DD41DB">
        <w:rPr>
          <w:sz w:val="24"/>
          <w:szCs w:val="24"/>
        </w:rPr>
        <w:t xml:space="preserve">, </w:t>
      </w:r>
      <w:r w:rsidRPr="0043762C">
        <w:rPr>
          <w:sz w:val="24"/>
          <w:szCs w:val="24"/>
        </w:rPr>
        <w:t>and provided a sixty-day period for public comment</w:t>
      </w:r>
      <w:r w:rsidR="00DD41DB">
        <w:rPr>
          <w:sz w:val="24"/>
          <w:szCs w:val="24"/>
        </w:rPr>
        <w:t>s</w:t>
      </w:r>
      <w:r w:rsidRPr="0043762C">
        <w:rPr>
          <w:sz w:val="24"/>
          <w:szCs w:val="24"/>
        </w:rPr>
        <w:t xml:space="preserve">. </w:t>
      </w:r>
      <w:r w:rsidR="00DD41DB">
        <w:rPr>
          <w:sz w:val="24"/>
          <w:szCs w:val="24"/>
        </w:rPr>
        <w:t xml:space="preserve">AHRQ received two </w:t>
      </w:r>
      <w:r>
        <w:rPr>
          <w:sz w:val="24"/>
          <w:szCs w:val="24"/>
        </w:rPr>
        <w:t>substantive comment</w:t>
      </w:r>
      <w:r w:rsidR="00DD41DB">
        <w:rPr>
          <w:sz w:val="24"/>
          <w:szCs w:val="24"/>
        </w:rPr>
        <w:t>s</w:t>
      </w:r>
      <w:r w:rsidRPr="0043762C">
        <w:rPr>
          <w:sz w:val="24"/>
          <w:szCs w:val="24"/>
        </w:rPr>
        <w:t xml:space="preserve"> from the public</w:t>
      </w:r>
      <w:r w:rsidR="002C52BB">
        <w:rPr>
          <w:sz w:val="24"/>
          <w:szCs w:val="24"/>
        </w:rPr>
        <w:t xml:space="preserve">. </w:t>
      </w:r>
      <w:r w:rsidRPr="00BD3B1F" w:rsidR="00BD3B1F">
        <w:rPr>
          <w:sz w:val="24"/>
          <w:szCs w:val="24"/>
        </w:rPr>
        <w:t xml:space="preserve">See Attachment </w:t>
      </w:r>
      <w:r w:rsidR="00126516">
        <w:rPr>
          <w:sz w:val="24"/>
          <w:szCs w:val="24"/>
        </w:rPr>
        <w:t>E</w:t>
      </w:r>
      <w:r w:rsidRPr="00BD3B1F" w:rsidR="00BD3B1F">
        <w:rPr>
          <w:sz w:val="24"/>
          <w:szCs w:val="24"/>
        </w:rPr>
        <w:t xml:space="preserve"> for the Notice, Attachment </w:t>
      </w:r>
      <w:r w:rsidR="00126516">
        <w:rPr>
          <w:sz w:val="24"/>
          <w:szCs w:val="24"/>
        </w:rPr>
        <w:t>F</w:t>
      </w:r>
      <w:r w:rsidRPr="00BD3B1F" w:rsidR="00BD3B1F">
        <w:rPr>
          <w:sz w:val="24"/>
          <w:szCs w:val="24"/>
        </w:rPr>
        <w:t xml:space="preserve"> </w:t>
      </w:r>
      <w:r w:rsidR="00126516">
        <w:rPr>
          <w:sz w:val="24"/>
          <w:szCs w:val="24"/>
        </w:rPr>
        <w:t>and G</w:t>
      </w:r>
      <w:r w:rsidR="002C52BB">
        <w:rPr>
          <w:sz w:val="24"/>
          <w:szCs w:val="24"/>
        </w:rPr>
        <w:t xml:space="preserve"> </w:t>
      </w:r>
      <w:r w:rsidR="00BD3B1F">
        <w:rPr>
          <w:sz w:val="24"/>
          <w:szCs w:val="24"/>
        </w:rPr>
        <w:t>for the public comment</w:t>
      </w:r>
      <w:r w:rsidR="00C47354">
        <w:rPr>
          <w:sz w:val="24"/>
          <w:szCs w:val="24"/>
        </w:rPr>
        <w:t>,</w:t>
      </w:r>
      <w:r w:rsidR="00BD3B1F">
        <w:rPr>
          <w:sz w:val="24"/>
          <w:szCs w:val="24"/>
        </w:rPr>
        <w:t xml:space="preserve"> </w:t>
      </w:r>
      <w:r w:rsidRPr="00BD3B1F" w:rsidR="00BD3B1F">
        <w:rPr>
          <w:sz w:val="24"/>
          <w:szCs w:val="24"/>
        </w:rPr>
        <w:t xml:space="preserve">and Attachment </w:t>
      </w:r>
      <w:r w:rsidR="00126516">
        <w:rPr>
          <w:sz w:val="24"/>
          <w:szCs w:val="24"/>
        </w:rPr>
        <w:t>F</w:t>
      </w:r>
      <w:r w:rsidR="002C52BB">
        <w:rPr>
          <w:sz w:val="24"/>
          <w:szCs w:val="24"/>
        </w:rPr>
        <w:t xml:space="preserve">1 and </w:t>
      </w:r>
      <w:r w:rsidR="00126516">
        <w:rPr>
          <w:sz w:val="24"/>
          <w:szCs w:val="24"/>
        </w:rPr>
        <w:t>G</w:t>
      </w:r>
      <w:r w:rsidRPr="00BD3B1F" w:rsidR="00BD3B1F">
        <w:rPr>
          <w:sz w:val="24"/>
          <w:szCs w:val="24"/>
        </w:rPr>
        <w:t xml:space="preserve"> </w:t>
      </w:r>
      <w:r w:rsidR="002C52BB">
        <w:rPr>
          <w:sz w:val="24"/>
          <w:szCs w:val="24"/>
        </w:rPr>
        <w:t>1</w:t>
      </w:r>
      <w:r w:rsidRPr="00BD3B1F" w:rsidR="00BD3B1F">
        <w:rPr>
          <w:sz w:val="24"/>
          <w:szCs w:val="24"/>
        </w:rPr>
        <w:t>for AHRQ’s response</w:t>
      </w:r>
      <w:r w:rsidR="002C52BB">
        <w:rPr>
          <w:sz w:val="24"/>
          <w:szCs w:val="24"/>
        </w:rPr>
        <w:t>s</w:t>
      </w:r>
      <w:r w:rsidRPr="00BD3B1F" w:rsidR="00BD3B1F">
        <w:rPr>
          <w:sz w:val="24"/>
          <w:szCs w:val="24"/>
        </w:rPr>
        <w:t xml:space="preserve">.  </w:t>
      </w:r>
    </w:p>
    <w:p w:rsidR="0043762C" w:rsidRDefault="0043762C" w14:paraId="7E429580" w14:textId="77777777">
      <w:pPr>
        <w:rPr>
          <w:sz w:val="24"/>
          <w:szCs w:val="24"/>
        </w:rPr>
      </w:pPr>
    </w:p>
    <w:p w:rsidR="0043762C" w:rsidRDefault="0043762C" w14:paraId="5B6E53D2" w14:textId="77777777">
      <w:pPr>
        <w:rPr>
          <w:sz w:val="24"/>
          <w:szCs w:val="24"/>
        </w:rPr>
      </w:pPr>
    </w:p>
    <w:p w:rsidR="0043762C" w:rsidRDefault="0043762C" w14:paraId="3292971A" w14:textId="77777777">
      <w:pPr>
        <w:rPr>
          <w:sz w:val="24"/>
          <w:szCs w:val="24"/>
        </w:rPr>
      </w:pPr>
    </w:p>
    <w:p w:rsidRPr="009167C4" w:rsidR="009167C4" w:rsidP="009167C4" w:rsidRDefault="009167C4" w14:paraId="3CBB84EE" w14:textId="77777777">
      <w:pPr>
        <w:rPr>
          <w:bCs/>
          <w:iCs/>
          <w:sz w:val="24"/>
          <w:szCs w:val="24"/>
        </w:rPr>
      </w:pPr>
    </w:p>
    <w:p w:rsidR="009167C4" w:rsidP="009167C4" w:rsidRDefault="009167C4" w14:paraId="00E7790E" w14:textId="77777777">
      <w:pPr>
        <w:rPr>
          <w:b/>
          <w:bCs/>
          <w:i/>
          <w:iCs/>
          <w:sz w:val="24"/>
          <w:szCs w:val="24"/>
        </w:rPr>
      </w:pPr>
      <w:r w:rsidRPr="009167C4">
        <w:rPr>
          <w:b/>
          <w:bCs/>
          <w:i/>
          <w:iCs/>
          <w:sz w:val="24"/>
          <w:szCs w:val="24"/>
        </w:rPr>
        <w:t>8.b.  Outside Consultations</w:t>
      </w:r>
    </w:p>
    <w:p w:rsidR="009902DB" w:rsidP="009167C4" w:rsidRDefault="009902DB" w14:paraId="4B1BB25A" w14:textId="77777777">
      <w:pPr>
        <w:rPr>
          <w:b/>
          <w:bCs/>
          <w:i/>
          <w:iCs/>
          <w:sz w:val="24"/>
          <w:szCs w:val="24"/>
        </w:rPr>
      </w:pPr>
    </w:p>
    <w:p w:rsidR="006E55FB" w:rsidP="009167C4" w:rsidRDefault="006E55FB" w14:paraId="0095FD3E" w14:textId="77777777">
      <w:pPr>
        <w:rPr>
          <w:b/>
          <w:sz w:val="24"/>
          <w:szCs w:val="24"/>
        </w:rPr>
      </w:pPr>
      <w:r w:rsidRPr="00ED6419">
        <w:rPr>
          <w:sz w:val="24"/>
          <w:szCs w:val="24"/>
        </w:rPr>
        <w:t>In developing the SAQ, AHRQ consulted with several experts in the area and used their expertise to identify questions that have already been tested and widely accepted.  All items are either from Federal surveys or from instruments that have been carefully validated.</w:t>
      </w:r>
      <w:r w:rsidRPr="00ED6419">
        <w:rPr>
          <w:b/>
          <w:sz w:val="24"/>
          <w:szCs w:val="24"/>
        </w:rPr>
        <w:t xml:space="preserve">  </w:t>
      </w:r>
    </w:p>
    <w:p w:rsidR="006E55FB" w:rsidP="009167C4" w:rsidRDefault="006E55FB" w14:paraId="1520EA99" w14:textId="77777777">
      <w:pPr>
        <w:rPr>
          <w:b/>
          <w:bCs/>
          <w:i/>
          <w:iCs/>
          <w:sz w:val="24"/>
          <w:szCs w:val="24"/>
        </w:rPr>
      </w:pPr>
    </w:p>
    <w:p w:rsidRPr="00420A8F" w:rsidR="00FE0070" w:rsidP="00420A8F" w:rsidRDefault="00FE0070" w14:paraId="2AD4B678" w14:textId="77777777">
      <w:pPr>
        <w:rPr>
          <w:b/>
          <w:sz w:val="24"/>
          <w:szCs w:val="24"/>
        </w:rPr>
      </w:pPr>
      <w:r w:rsidRPr="00420A8F">
        <w:rPr>
          <w:b/>
          <w:sz w:val="24"/>
          <w:szCs w:val="24"/>
        </w:rPr>
        <w:t>Social and Health Experiences SAQ Consultants</w:t>
      </w:r>
    </w:p>
    <w:p w:rsidRPr="00420A8F" w:rsidR="00FE0070" w:rsidP="00FE0070" w:rsidRDefault="00FE0070" w14:paraId="3D68D221" w14:textId="77777777">
      <w:pPr>
        <w:ind w:firstLine="360"/>
        <w:rPr>
          <w:b/>
          <w:sz w:val="24"/>
          <w:szCs w:val="24"/>
        </w:rPr>
      </w:pPr>
    </w:p>
    <w:tbl>
      <w:tblPr>
        <w:tblW w:w="8244" w:type="dxa"/>
        <w:tblLook w:val="04A0" w:firstRow="1" w:lastRow="0" w:firstColumn="1" w:lastColumn="0" w:noHBand="0" w:noVBand="1"/>
      </w:tblPr>
      <w:tblGrid>
        <w:gridCol w:w="2748"/>
        <w:gridCol w:w="2748"/>
        <w:gridCol w:w="2748"/>
      </w:tblGrid>
      <w:tr w:rsidRPr="00F34008" w:rsidR="00FE0070" w:rsidTr="00ED6419" w14:paraId="50EB8CDB" w14:textId="77777777">
        <w:trPr>
          <w:trHeight w:val="269"/>
        </w:trPr>
        <w:tc>
          <w:tcPr>
            <w:tcW w:w="2748" w:type="dxa"/>
            <w:tcBorders>
              <w:top w:val="single" w:color="4F81BD" w:sz="8" w:space="0"/>
              <w:left w:val="nil"/>
              <w:bottom w:val="single" w:color="4F81BD" w:sz="8" w:space="0"/>
              <w:right w:val="nil"/>
            </w:tcBorders>
            <w:vAlign w:val="center"/>
            <w:hideMark/>
          </w:tcPr>
          <w:p w:rsidRPr="00420A8F" w:rsidR="00FE0070" w:rsidP="00ED6419" w:rsidRDefault="00FE0070" w14:paraId="7952047A" w14:textId="77777777">
            <w:pPr>
              <w:rPr>
                <w:b/>
                <w:bCs/>
                <w:sz w:val="24"/>
                <w:szCs w:val="24"/>
              </w:rPr>
            </w:pPr>
            <w:r w:rsidRPr="00420A8F">
              <w:rPr>
                <w:b/>
                <w:bCs/>
                <w:sz w:val="24"/>
                <w:szCs w:val="24"/>
              </w:rPr>
              <w:t>LAST NAME</w:t>
            </w:r>
          </w:p>
        </w:tc>
        <w:tc>
          <w:tcPr>
            <w:tcW w:w="2748" w:type="dxa"/>
            <w:tcBorders>
              <w:top w:val="single" w:color="4F81BD" w:sz="8" w:space="0"/>
              <w:left w:val="nil"/>
              <w:bottom w:val="single" w:color="4F81BD" w:sz="8" w:space="0"/>
              <w:right w:val="nil"/>
            </w:tcBorders>
            <w:vAlign w:val="center"/>
            <w:hideMark/>
          </w:tcPr>
          <w:p w:rsidRPr="00420A8F" w:rsidR="00FE0070" w:rsidP="00ED6419" w:rsidRDefault="00FE0070" w14:paraId="5A82C596" w14:textId="77777777">
            <w:pPr>
              <w:rPr>
                <w:b/>
                <w:bCs/>
                <w:sz w:val="24"/>
                <w:szCs w:val="24"/>
              </w:rPr>
            </w:pPr>
            <w:r w:rsidRPr="00420A8F">
              <w:rPr>
                <w:b/>
                <w:bCs/>
                <w:sz w:val="24"/>
                <w:szCs w:val="24"/>
              </w:rPr>
              <w:t>FIRST NAME</w:t>
            </w:r>
          </w:p>
        </w:tc>
        <w:tc>
          <w:tcPr>
            <w:tcW w:w="2748" w:type="dxa"/>
            <w:tcBorders>
              <w:top w:val="single" w:color="4F81BD" w:sz="8" w:space="0"/>
              <w:left w:val="nil"/>
              <w:bottom w:val="single" w:color="4F81BD" w:sz="8" w:space="0"/>
              <w:right w:val="nil"/>
            </w:tcBorders>
            <w:vAlign w:val="center"/>
            <w:hideMark/>
          </w:tcPr>
          <w:p w:rsidRPr="00420A8F" w:rsidR="00FE0070" w:rsidP="00ED6419" w:rsidRDefault="00FE0070" w14:paraId="65E302B3" w14:textId="77777777">
            <w:pPr>
              <w:rPr>
                <w:b/>
                <w:bCs/>
                <w:sz w:val="24"/>
                <w:szCs w:val="24"/>
              </w:rPr>
            </w:pPr>
            <w:r w:rsidRPr="00420A8F">
              <w:rPr>
                <w:b/>
                <w:bCs/>
                <w:sz w:val="24"/>
                <w:szCs w:val="24"/>
              </w:rPr>
              <w:t>AFFILIATION</w:t>
            </w:r>
          </w:p>
        </w:tc>
      </w:tr>
      <w:tr w:rsidRPr="00F34008" w:rsidR="00FE0070" w:rsidTr="00ED6419" w14:paraId="22312406" w14:textId="77777777">
        <w:trPr>
          <w:trHeight w:val="382"/>
        </w:trPr>
        <w:tc>
          <w:tcPr>
            <w:tcW w:w="2748" w:type="dxa"/>
            <w:shd w:val="clear" w:color="auto" w:fill="D3DFEE"/>
            <w:vAlign w:val="center"/>
            <w:hideMark/>
          </w:tcPr>
          <w:p w:rsidRPr="00420A8F" w:rsidR="00FE0070" w:rsidP="00ED6419" w:rsidRDefault="00FE0070" w14:paraId="778782C0" w14:textId="77777777">
            <w:pPr>
              <w:rPr>
                <w:b/>
                <w:bCs/>
                <w:sz w:val="24"/>
                <w:szCs w:val="24"/>
              </w:rPr>
            </w:pPr>
            <w:r w:rsidRPr="00420A8F">
              <w:rPr>
                <w:b/>
                <w:bCs/>
                <w:sz w:val="24"/>
                <w:szCs w:val="24"/>
              </w:rPr>
              <w:t>Carlier</w:t>
            </w:r>
          </w:p>
        </w:tc>
        <w:tc>
          <w:tcPr>
            <w:tcW w:w="2748" w:type="dxa"/>
            <w:shd w:val="clear" w:color="auto" w:fill="D3DFEE"/>
            <w:vAlign w:val="center"/>
            <w:hideMark/>
          </w:tcPr>
          <w:p w:rsidRPr="00420A8F" w:rsidR="00FE0070" w:rsidP="00ED6419" w:rsidRDefault="00FE0070" w14:paraId="24AFEDBF" w14:textId="77777777">
            <w:pPr>
              <w:rPr>
                <w:sz w:val="24"/>
                <w:szCs w:val="24"/>
              </w:rPr>
            </w:pPr>
            <w:r w:rsidRPr="00420A8F">
              <w:rPr>
                <w:sz w:val="24"/>
                <w:szCs w:val="24"/>
              </w:rPr>
              <w:t>Melissa</w:t>
            </w:r>
          </w:p>
        </w:tc>
        <w:tc>
          <w:tcPr>
            <w:tcW w:w="2748" w:type="dxa"/>
            <w:shd w:val="clear" w:color="auto" w:fill="D3DFEE"/>
            <w:vAlign w:val="center"/>
            <w:hideMark/>
          </w:tcPr>
          <w:p w:rsidRPr="00420A8F" w:rsidR="00FE0070" w:rsidP="00ED6419" w:rsidRDefault="00FE0070" w14:paraId="0C4084BE" w14:textId="77777777">
            <w:pPr>
              <w:rPr>
                <w:sz w:val="24"/>
                <w:szCs w:val="24"/>
              </w:rPr>
            </w:pPr>
            <w:r w:rsidRPr="00420A8F">
              <w:rPr>
                <w:sz w:val="24"/>
                <w:szCs w:val="24"/>
              </w:rPr>
              <w:t>Office of the Assistant Secretary for Planning and Evaluation</w:t>
            </w:r>
          </w:p>
        </w:tc>
      </w:tr>
      <w:tr w:rsidRPr="00F34008" w:rsidR="00FE0070" w:rsidTr="00ED6419" w14:paraId="560AE19D" w14:textId="77777777">
        <w:trPr>
          <w:trHeight w:val="269"/>
        </w:trPr>
        <w:tc>
          <w:tcPr>
            <w:tcW w:w="2748" w:type="dxa"/>
            <w:vAlign w:val="center"/>
            <w:hideMark/>
          </w:tcPr>
          <w:p w:rsidRPr="00420A8F" w:rsidR="00FE0070" w:rsidP="00ED6419" w:rsidRDefault="00FE0070" w14:paraId="523FBA18" w14:textId="77777777">
            <w:pPr>
              <w:rPr>
                <w:b/>
                <w:bCs/>
                <w:sz w:val="24"/>
                <w:szCs w:val="24"/>
              </w:rPr>
            </w:pPr>
            <w:r w:rsidRPr="00420A8F">
              <w:rPr>
                <w:b/>
                <w:bCs/>
                <w:sz w:val="24"/>
                <w:szCs w:val="24"/>
              </w:rPr>
              <w:t>Carr</w:t>
            </w:r>
          </w:p>
        </w:tc>
        <w:tc>
          <w:tcPr>
            <w:tcW w:w="2748" w:type="dxa"/>
            <w:vAlign w:val="center"/>
            <w:hideMark/>
          </w:tcPr>
          <w:p w:rsidRPr="00420A8F" w:rsidR="00FE0070" w:rsidP="00ED6419" w:rsidRDefault="00FE0070" w14:paraId="71D3023B" w14:textId="77777777">
            <w:pPr>
              <w:rPr>
                <w:sz w:val="24"/>
                <w:szCs w:val="24"/>
              </w:rPr>
            </w:pPr>
            <w:r w:rsidRPr="00420A8F">
              <w:rPr>
                <w:sz w:val="24"/>
                <w:szCs w:val="24"/>
              </w:rPr>
              <w:t>Debby</w:t>
            </w:r>
          </w:p>
        </w:tc>
        <w:tc>
          <w:tcPr>
            <w:tcW w:w="2748" w:type="dxa"/>
            <w:vAlign w:val="center"/>
            <w:hideMark/>
          </w:tcPr>
          <w:p w:rsidRPr="00420A8F" w:rsidR="00FE0070" w:rsidP="00ED6419" w:rsidRDefault="00FE0070" w14:paraId="470997A1" w14:textId="77777777">
            <w:pPr>
              <w:rPr>
                <w:sz w:val="24"/>
                <w:szCs w:val="24"/>
              </w:rPr>
            </w:pPr>
            <w:r w:rsidRPr="00420A8F">
              <w:rPr>
                <w:sz w:val="24"/>
                <w:szCs w:val="24"/>
              </w:rPr>
              <w:t>Boston University</w:t>
            </w:r>
          </w:p>
        </w:tc>
      </w:tr>
      <w:tr w:rsidRPr="00F34008" w:rsidR="00FE0070" w:rsidTr="00ED6419" w14:paraId="2E8E1CAA" w14:textId="77777777">
        <w:trPr>
          <w:trHeight w:val="423"/>
        </w:trPr>
        <w:tc>
          <w:tcPr>
            <w:tcW w:w="2748" w:type="dxa"/>
            <w:vAlign w:val="center"/>
            <w:hideMark/>
          </w:tcPr>
          <w:p w:rsidRPr="00420A8F" w:rsidR="00FE0070" w:rsidP="00ED6419" w:rsidRDefault="00FE0070" w14:paraId="7A7E33FA" w14:textId="77777777">
            <w:pPr>
              <w:rPr>
                <w:b/>
                <w:bCs/>
                <w:sz w:val="24"/>
                <w:szCs w:val="24"/>
              </w:rPr>
            </w:pPr>
            <w:r w:rsidRPr="00420A8F">
              <w:rPr>
                <w:b/>
                <w:bCs/>
                <w:sz w:val="24"/>
                <w:szCs w:val="24"/>
              </w:rPr>
              <w:lastRenderedPageBreak/>
              <w:t>Fields </w:t>
            </w:r>
          </w:p>
        </w:tc>
        <w:tc>
          <w:tcPr>
            <w:tcW w:w="2748" w:type="dxa"/>
            <w:vAlign w:val="center"/>
            <w:hideMark/>
          </w:tcPr>
          <w:p w:rsidRPr="00420A8F" w:rsidR="00FE0070" w:rsidP="00ED6419" w:rsidRDefault="00FE0070" w14:paraId="569CE5E5" w14:textId="77777777">
            <w:pPr>
              <w:rPr>
                <w:sz w:val="24"/>
                <w:szCs w:val="24"/>
              </w:rPr>
            </w:pPr>
            <w:r w:rsidRPr="00420A8F">
              <w:rPr>
                <w:sz w:val="24"/>
                <w:szCs w:val="24"/>
              </w:rPr>
              <w:t>Jason</w:t>
            </w:r>
          </w:p>
        </w:tc>
        <w:tc>
          <w:tcPr>
            <w:tcW w:w="2748" w:type="dxa"/>
            <w:vAlign w:val="center"/>
            <w:hideMark/>
          </w:tcPr>
          <w:p w:rsidRPr="00420A8F" w:rsidR="00FE0070" w:rsidP="00ED6419" w:rsidRDefault="00FE0070" w14:paraId="5C2C6791" w14:textId="77777777">
            <w:pPr>
              <w:rPr>
                <w:sz w:val="24"/>
                <w:szCs w:val="24"/>
              </w:rPr>
            </w:pPr>
            <w:r w:rsidRPr="00420A8F">
              <w:rPr>
                <w:sz w:val="24"/>
                <w:szCs w:val="24"/>
              </w:rPr>
              <w:t xml:space="preserve">Census Bureau (Survey of Income and Program Participation) </w:t>
            </w:r>
          </w:p>
        </w:tc>
      </w:tr>
      <w:tr w:rsidRPr="00F34008" w:rsidR="00FE0070" w:rsidTr="00ED6419" w14:paraId="68F74800" w14:textId="77777777">
        <w:trPr>
          <w:trHeight w:val="269"/>
        </w:trPr>
        <w:tc>
          <w:tcPr>
            <w:tcW w:w="2748" w:type="dxa"/>
            <w:shd w:val="clear" w:color="auto" w:fill="D3DFEE"/>
            <w:vAlign w:val="center"/>
            <w:hideMark/>
          </w:tcPr>
          <w:p w:rsidRPr="00420A8F" w:rsidR="00FE0070" w:rsidP="00ED6419" w:rsidRDefault="00FE0070" w14:paraId="1CEE6A52" w14:textId="77777777">
            <w:pPr>
              <w:rPr>
                <w:b/>
                <w:bCs/>
                <w:sz w:val="24"/>
                <w:szCs w:val="24"/>
              </w:rPr>
            </w:pPr>
            <w:r w:rsidRPr="00420A8F">
              <w:rPr>
                <w:b/>
                <w:bCs/>
                <w:sz w:val="24"/>
                <w:szCs w:val="24"/>
              </w:rPr>
              <w:t>Hempstead</w:t>
            </w:r>
          </w:p>
        </w:tc>
        <w:tc>
          <w:tcPr>
            <w:tcW w:w="2748" w:type="dxa"/>
            <w:shd w:val="clear" w:color="auto" w:fill="D3DFEE"/>
            <w:vAlign w:val="center"/>
            <w:hideMark/>
          </w:tcPr>
          <w:p w:rsidRPr="00420A8F" w:rsidR="00FE0070" w:rsidP="00ED6419" w:rsidRDefault="00FE0070" w14:paraId="017186FD" w14:textId="77777777">
            <w:pPr>
              <w:rPr>
                <w:sz w:val="24"/>
                <w:szCs w:val="24"/>
              </w:rPr>
            </w:pPr>
            <w:r w:rsidRPr="00420A8F">
              <w:rPr>
                <w:sz w:val="24"/>
                <w:szCs w:val="24"/>
              </w:rPr>
              <w:t>Katherine</w:t>
            </w:r>
          </w:p>
        </w:tc>
        <w:tc>
          <w:tcPr>
            <w:tcW w:w="2748" w:type="dxa"/>
            <w:shd w:val="clear" w:color="auto" w:fill="D3DFEE"/>
            <w:vAlign w:val="center"/>
            <w:hideMark/>
          </w:tcPr>
          <w:p w:rsidRPr="00420A8F" w:rsidR="00FE0070" w:rsidP="00ED6419" w:rsidRDefault="00FE0070" w14:paraId="7B54380D" w14:textId="77777777">
            <w:pPr>
              <w:rPr>
                <w:sz w:val="24"/>
                <w:szCs w:val="24"/>
              </w:rPr>
            </w:pPr>
            <w:r w:rsidRPr="00420A8F">
              <w:rPr>
                <w:sz w:val="24"/>
                <w:szCs w:val="24"/>
              </w:rPr>
              <w:t>Robert Wood Johnson Foundation</w:t>
            </w:r>
          </w:p>
        </w:tc>
      </w:tr>
      <w:tr w:rsidRPr="00F34008" w:rsidR="00FE0070" w:rsidTr="00ED6419" w14:paraId="56E54505" w14:textId="77777777">
        <w:trPr>
          <w:trHeight w:val="269"/>
        </w:trPr>
        <w:tc>
          <w:tcPr>
            <w:tcW w:w="2748" w:type="dxa"/>
            <w:vAlign w:val="center"/>
            <w:hideMark/>
          </w:tcPr>
          <w:p w:rsidRPr="00420A8F" w:rsidR="00FE0070" w:rsidP="00ED6419" w:rsidRDefault="00FE0070" w14:paraId="71922859" w14:textId="77777777">
            <w:pPr>
              <w:rPr>
                <w:b/>
                <w:bCs/>
                <w:sz w:val="24"/>
                <w:szCs w:val="24"/>
              </w:rPr>
            </w:pPr>
            <w:r w:rsidRPr="00420A8F">
              <w:rPr>
                <w:b/>
                <w:bCs/>
                <w:sz w:val="24"/>
                <w:szCs w:val="24"/>
              </w:rPr>
              <w:t>Karpman</w:t>
            </w:r>
          </w:p>
        </w:tc>
        <w:tc>
          <w:tcPr>
            <w:tcW w:w="2748" w:type="dxa"/>
            <w:vAlign w:val="center"/>
            <w:hideMark/>
          </w:tcPr>
          <w:p w:rsidRPr="00420A8F" w:rsidR="00FE0070" w:rsidP="00ED6419" w:rsidRDefault="00FE0070" w14:paraId="0F22E44F" w14:textId="77777777">
            <w:pPr>
              <w:rPr>
                <w:sz w:val="24"/>
                <w:szCs w:val="24"/>
              </w:rPr>
            </w:pPr>
            <w:r w:rsidRPr="00420A8F">
              <w:rPr>
                <w:sz w:val="24"/>
                <w:szCs w:val="24"/>
              </w:rPr>
              <w:t>Michael</w:t>
            </w:r>
          </w:p>
        </w:tc>
        <w:tc>
          <w:tcPr>
            <w:tcW w:w="2748" w:type="dxa"/>
            <w:vAlign w:val="center"/>
            <w:hideMark/>
          </w:tcPr>
          <w:p w:rsidRPr="00420A8F" w:rsidR="00FE0070" w:rsidP="00ED6419" w:rsidRDefault="00FE0070" w14:paraId="489D557C" w14:textId="77777777">
            <w:pPr>
              <w:rPr>
                <w:sz w:val="24"/>
                <w:szCs w:val="24"/>
              </w:rPr>
            </w:pPr>
            <w:r w:rsidRPr="00420A8F">
              <w:rPr>
                <w:sz w:val="24"/>
                <w:szCs w:val="24"/>
              </w:rPr>
              <w:t>Urban Institute</w:t>
            </w:r>
          </w:p>
        </w:tc>
      </w:tr>
      <w:tr w:rsidRPr="00F34008" w:rsidR="00FE0070" w:rsidTr="00ED6419" w14:paraId="4974DF98" w14:textId="77777777">
        <w:trPr>
          <w:trHeight w:val="269"/>
        </w:trPr>
        <w:tc>
          <w:tcPr>
            <w:tcW w:w="2748" w:type="dxa"/>
            <w:shd w:val="clear" w:color="auto" w:fill="D3DFEE"/>
            <w:vAlign w:val="center"/>
            <w:hideMark/>
          </w:tcPr>
          <w:p w:rsidRPr="00420A8F" w:rsidR="00FE0070" w:rsidP="00ED6419" w:rsidRDefault="00FE0070" w14:paraId="3495BBE4" w14:textId="77777777">
            <w:pPr>
              <w:rPr>
                <w:b/>
                <w:bCs/>
                <w:sz w:val="24"/>
                <w:szCs w:val="24"/>
              </w:rPr>
            </w:pPr>
            <w:r w:rsidRPr="00420A8F">
              <w:rPr>
                <w:b/>
                <w:bCs/>
                <w:sz w:val="24"/>
                <w:szCs w:val="24"/>
              </w:rPr>
              <w:t>Kenney</w:t>
            </w:r>
          </w:p>
        </w:tc>
        <w:tc>
          <w:tcPr>
            <w:tcW w:w="2748" w:type="dxa"/>
            <w:shd w:val="clear" w:color="auto" w:fill="D3DFEE"/>
            <w:vAlign w:val="center"/>
            <w:hideMark/>
          </w:tcPr>
          <w:p w:rsidRPr="00420A8F" w:rsidR="00FE0070" w:rsidP="00ED6419" w:rsidRDefault="00FE0070" w14:paraId="6F55E2F5" w14:textId="77777777">
            <w:pPr>
              <w:rPr>
                <w:sz w:val="24"/>
                <w:szCs w:val="24"/>
              </w:rPr>
            </w:pPr>
            <w:r w:rsidRPr="00420A8F">
              <w:rPr>
                <w:sz w:val="24"/>
                <w:szCs w:val="24"/>
              </w:rPr>
              <w:t>Genevieve</w:t>
            </w:r>
          </w:p>
        </w:tc>
        <w:tc>
          <w:tcPr>
            <w:tcW w:w="2748" w:type="dxa"/>
            <w:shd w:val="clear" w:color="auto" w:fill="D3DFEE"/>
            <w:vAlign w:val="center"/>
            <w:hideMark/>
          </w:tcPr>
          <w:p w:rsidRPr="00420A8F" w:rsidR="00FE0070" w:rsidP="00ED6419" w:rsidRDefault="00FE0070" w14:paraId="4CF0B5A2" w14:textId="77777777">
            <w:pPr>
              <w:rPr>
                <w:sz w:val="24"/>
                <w:szCs w:val="24"/>
              </w:rPr>
            </w:pPr>
            <w:r w:rsidRPr="00420A8F">
              <w:rPr>
                <w:sz w:val="24"/>
                <w:szCs w:val="24"/>
              </w:rPr>
              <w:t>Urban Institute</w:t>
            </w:r>
          </w:p>
        </w:tc>
      </w:tr>
      <w:tr w:rsidRPr="00F34008" w:rsidR="00FE0070" w:rsidTr="00ED6419" w14:paraId="0C9738E0" w14:textId="77777777">
        <w:trPr>
          <w:trHeight w:val="269"/>
        </w:trPr>
        <w:tc>
          <w:tcPr>
            <w:tcW w:w="2748" w:type="dxa"/>
            <w:vAlign w:val="center"/>
            <w:hideMark/>
          </w:tcPr>
          <w:p w:rsidRPr="00420A8F" w:rsidR="00FE0070" w:rsidP="00ED6419" w:rsidRDefault="00FE0070" w14:paraId="23B29899" w14:textId="77777777">
            <w:pPr>
              <w:rPr>
                <w:b/>
                <w:bCs/>
                <w:sz w:val="24"/>
                <w:szCs w:val="24"/>
              </w:rPr>
            </w:pPr>
            <w:r w:rsidRPr="00420A8F">
              <w:rPr>
                <w:b/>
                <w:bCs/>
                <w:sz w:val="24"/>
                <w:szCs w:val="24"/>
              </w:rPr>
              <w:t>Ponce</w:t>
            </w:r>
          </w:p>
        </w:tc>
        <w:tc>
          <w:tcPr>
            <w:tcW w:w="2748" w:type="dxa"/>
            <w:vAlign w:val="center"/>
            <w:hideMark/>
          </w:tcPr>
          <w:p w:rsidRPr="00420A8F" w:rsidR="00FE0070" w:rsidP="00ED6419" w:rsidRDefault="00FE0070" w14:paraId="1594D8E9" w14:textId="77777777">
            <w:pPr>
              <w:rPr>
                <w:sz w:val="24"/>
                <w:szCs w:val="24"/>
              </w:rPr>
            </w:pPr>
            <w:r w:rsidRPr="00420A8F">
              <w:rPr>
                <w:sz w:val="24"/>
                <w:szCs w:val="24"/>
              </w:rPr>
              <w:t>Ninez</w:t>
            </w:r>
          </w:p>
        </w:tc>
        <w:tc>
          <w:tcPr>
            <w:tcW w:w="2748" w:type="dxa"/>
            <w:vAlign w:val="center"/>
            <w:hideMark/>
          </w:tcPr>
          <w:p w:rsidRPr="00420A8F" w:rsidR="00FE0070" w:rsidP="00ED6419" w:rsidRDefault="00FE0070" w14:paraId="0A522662" w14:textId="77777777">
            <w:pPr>
              <w:rPr>
                <w:sz w:val="24"/>
                <w:szCs w:val="24"/>
              </w:rPr>
            </w:pPr>
            <w:r w:rsidRPr="00420A8F">
              <w:rPr>
                <w:sz w:val="24"/>
                <w:szCs w:val="24"/>
              </w:rPr>
              <w:t>University of California, Los Angeles</w:t>
            </w:r>
          </w:p>
        </w:tc>
      </w:tr>
      <w:tr w:rsidRPr="00F34008" w:rsidR="00FE0070" w:rsidTr="00ED6419" w14:paraId="7A59EA66" w14:textId="77777777">
        <w:trPr>
          <w:trHeight w:val="372"/>
        </w:trPr>
        <w:tc>
          <w:tcPr>
            <w:tcW w:w="2748" w:type="dxa"/>
            <w:shd w:val="clear" w:color="auto" w:fill="D3DFEE"/>
            <w:vAlign w:val="center"/>
            <w:hideMark/>
          </w:tcPr>
          <w:p w:rsidRPr="00420A8F" w:rsidR="00FE0070" w:rsidP="00ED6419" w:rsidRDefault="00FE0070" w14:paraId="206D907D" w14:textId="77777777">
            <w:pPr>
              <w:rPr>
                <w:b/>
                <w:bCs/>
                <w:sz w:val="24"/>
                <w:szCs w:val="24"/>
              </w:rPr>
            </w:pPr>
            <w:r w:rsidRPr="00420A8F">
              <w:rPr>
                <w:b/>
                <w:bCs/>
                <w:sz w:val="24"/>
                <w:szCs w:val="24"/>
              </w:rPr>
              <w:t>Smith</w:t>
            </w:r>
          </w:p>
        </w:tc>
        <w:tc>
          <w:tcPr>
            <w:tcW w:w="2748" w:type="dxa"/>
            <w:shd w:val="clear" w:color="auto" w:fill="D3DFEE"/>
            <w:vAlign w:val="center"/>
            <w:hideMark/>
          </w:tcPr>
          <w:p w:rsidRPr="00420A8F" w:rsidR="00FE0070" w:rsidP="00ED6419" w:rsidRDefault="00FE0070" w14:paraId="264CDE35" w14:textId="77777777">
            <w:pPr>
              <w:rPr>
                <w:sz w:val="24"/>
                <w:szCs w:val="24"/>
              </w:rPr>
            </w:pPr>
            <w:r w:rsidRPr="00420A8F">
              <w:rPr>
                <w:sz w:val="24"/>
                <w:szCs w:val="24"/>
              </w:rPr>
              <w:t>Scott</w:t>
            </w:r>
          </w:p>
        </w:tc>
        <w:tc>
          <w:tcPr>
            <w:tcW w:w="2748" w:type="dxa"/>
            <w:shd w:val="clear" w:color="auto" w:fill="D3DFEE"/>
            <w:vAlign w:val="center"/>
            <w:hideMark/>
          </w:tcPr>
          <w:p w:rsidRPr="00420A8F" w:rsidR="00FE0070" w:rsidP="00ED6419" w:rsidRDefault="00FE0070" w14:paraId="6DF56613" w14:textId="77777777">
            <w:pPr>
              <w:rPr>
                <w:sz w:val="24"/>
                <w:szCs w:val="24"/>
              </w:rPr>
            </w:pPr>
            <w:r w:rsidRPr="00420A8F">
              <w:rPr>
                <w:sz w:val="24"/>
                <w:szCs w:val="24"/>
              </w:rPr>
              <w:t>Office of the Assistant Secretary for Planning and Evaluation</w:t>
            </w:r>
          </w:p>
        </w:tc>
      </w:tr>
      <w:tr w:rsidRPr="00F34008" w:rsidR="00FE0070" w:rsidTr="00ED6419" w14:paraId="3DCD9712" w14:textId="77777777">
        <w:trPr>
          <w:trHeight w:val="269"/>
        </w:trPr>
        <w:tc>
          <w:tcPr>
            <w:tcW w:w="2748" w:type="dxa"/>
            <w:shd w:val="clear" w:color="auto" w:fill="D3DFEE"/>
            <w:vAlign w:val="center"/>
            <w:hideMark/>
          </w:tcPr>
          <w:p w:rsidRPr="00420A8F" w:rsidR="00FE0070" w:rsidP="00ED6419" w:rsidRDefault="00FE0070" w14:paraId="668242DD" w14:textId="77777777">
            <w:pPr>
              <w:rPr>
                <w:b/>
                <w:bCs/>
                <w:sz w:val="24"/>
                <w:szCs w:val="24"/>
              </w:rPr>
            </w:pPr>
            <w:r w:rsidRPr="00420A8F">
              <w:rPr>
                <w:b/>
                <w:bCs/>
                <w:sz w:val="24"/>
                <w:szCs w:val="24"/>
              </w:rPr>
              <w:t>Tucker-Seeley</w:t>
            </w:r>
          </w:p>
        </w:tc>
        <w:tc>
          <w:tcPr>
            <w:tcW w:w="2748" w:type="dxa"/>
            <w:shd w:val="clear" w:color="auto" w:fill="D3DFEE"/>
            <w:vAlign w:val="center"/>
            <w:hideMark/>
          </w:tcPr>
          <w:p w:rsidRPr="00420A8F" w:rsidR="00FE0070" w:rsidP="00ED6419" w:rsidRDefault="00FE0070" w14:paraId="2E4C0336" w14:textId="77777777">
            <w:pPr>
              <w:rPr>
                <w:sz w:val="24"/>
                <w:szCs w:val="24"/>
              </w:rPr>
            </w:pPr>
            <w:r w:rsidRPr="00420A8F">
              <w:rPr>
                <w:sz w:val="24"/>
                <w:szCs w:val="24"/>
              </w:rPr>
              <w:t>Reginald</w:t>
            </w:r>
          </w:p>
        </w:tc>
        <w:tc>
          <w:tcPr>
            <w:tcW w:w="2748" w:type="dxa"/>
            <w:shd w:val="clear" w:color="auto" w:fill="D3DFEE"/>
            <w:vAlign w:val="center"/>
            <w:hideMark/>
          </w:tcPr>
          <w:p w:rsidRPr="00420A8F" w:rsidR="00FE0070" w:rsidP="00ED6419" w:rsidRDefault="00FE0070" w14:paraId="3523E9D0" w14:textId="77777777">
            <w:pPr>
              <w:rPr>
                <w:sz w:val="24"/>
                <w:szCs w:val="24"/>
              </w:rPr>
            </w:pPr>
            <w:r w:rsidRPr="00420A8F">
              <w:rPr>
                <w:sz w:val="24"/>
                <w:szCs w:val="24"/>
              </w:rPr>
              <w:t>University of Southern California</w:t>
            </w:r>
          </w:p>
        </w:tc>
      </w:tr>
      <w:tr w:rsidRPr="00F34008" w:rsidR="00FE0070" w:rsidTr="00ED6419" w14:paraId="4F12D096" w14:textId="77777777">
        <w:trPr>
          <w:trHeight w:val="269"/>
        </w:trPr>
        <w:tc>
          <w:tcPr>
            <w:tcW w:w="2748" w:type="dxa"/>
            <w:tcBorders>
              <w:top w:val="nil"/>
              <w:left w:val="nil"/>
              <w:bottom w:val="single" w:color="4F81BD" w:sz="8" w:space="0"/>
              <w:right w:val="nil"/>
            </w:tcBorders>
            <w:vAlign w:val="center"/>
            <w:hideMark/>
          </w:tcPr>
          <w:p w:rsidRPr="00420A8F" w:rsidR="00FE0070" w:rsidP="00ED6419" w:rsidRDefault="00FE0070" w14:paraId="13296475" w14:textId="77777777">
            <w:pPr>
              <w:rPr>
                <w:b/>
                <w:bCs/>
                <w:sz w:val="24"/>
                <w:szCs w:val="24"/>
              </w:rPr>
            </w:pPr>
            <w:r w:rsidRPr="00420A8F">
              <w:rPr>
                <w:b/>
                <w:bCs/>
                <w:sz w:val="24"/>
                <w:szCs w:val="24"/>
              </w:rPr>
              <w:t>Yabroff</w:t>
            </w:r>
          </w:p>
        </w:tc>
        <w:tc>
          <w:tcPr>
            <w:tcW w:w="2748" w:type="dxa"/>
            <w:tcBorders>
              <w:top w:val="nil"/>
              <w:left w:val="nil"/>
              <w:bottom w:val="single" w:color="4F81BD" w:sz="8" w:space="0"/>
              <w:right w:val="nil"/>
            </w:tcBorders>
            <w:vAlign w:val="center"/>
            <w:hideMark/>
          </w:tcPr>
          <w:p w:rsidRPr="00420A8F" w:rsidR="00FE0070" w:rsidP="00ED6419" w:rsidRDefault="00FE0070" w14:paraId="35FFAAF4" w14:textId="77777777">
            <w:pPr>
              <w:rPr>
                <w:sz w:val="24"/>
                <w:szCs w:val="24"/>
              </w:rPr>
            </w:pPr>
            <w:r w:rsidRPr="00420A8F">
              <w:rPr>
                <w:sz w:val="24"/>
                <w:szCs w:val="24"/>
              </w:rPr>
              <w:t>Robin</w:t>
            </w:r>
          </w:p>
        </w:tc>
        <w:tc>
          <w:tcPr>
            <w:tcW w:w="2748" w:type="dxa"/>
            <w:tcBorders>
              <w:top w:val="nil"/>
              <w:left w:val="nil"/>
              <w:bottom w:val="single" w:color="4F81BD" w:sz="8" w:space="0"/>
              <w:right w:val="nil"/>
            </w:tcBorders>
            <w:vAlign w:val="center"/>
            <w:hideMark/>
          </w:tcPr>
          <w:p w:rsidRPr="00420A8F" w:rsidR="00FE0070" w:rsidP="00ED6419" w:rsidRDefault="00FE0070" w14:paraId="2C4E334D" w14:textId="77777777">
            <w:pPr>
              <w:rPr>
                <w:sz w:val="24"/>
                <w:szCs w:val="24"/>
              </w:rPr>
            </w:pPr>
            <w:r w:rsidRPr="00420A8F">
              <w:rPr>
                <w:sz w:val="24"/>
                <w:szCs w:val="24"/>
              </w:rPr>
              <w:t>American Cancer Society</w:t>
            </w:r>
          </w:p>
        </w:tc>
      </w:tr>
    </w:tbl>
    <w:p w:rsidR="00FE0070" w:rsidP="009902DB" w:rsidRDefault="00FE0070" w14:paraId="1FD8EC80" w14:textId="77777777">
      <w:pPr>
        <w:rPr>
          <w:sz w:val="24"/>
          <w:szCs w:val="24"/>
        </w:rPr>
      </w:pPr>
    </w:p>
    <w:p w:rsidRPr="000137E3" w:rsidR="002D262B" w:rsidP="002D262B" w:rsidRDefault="009167C4" w14:paraId="5FF5B474" w14:textId="77777777">
      <w:pPr>
        <w:pStyle w:val="Heading2"/>
        <w:rPr>
          <w:color w:val="auto"/>
          <w:sz w:val="24"/>
          <w:szCs w:val="24"/>
        </w:rPr>
      </w:pPr>
      <w:bookmarkStart w:name="_Toc290559160" w:id="16"/>
      <w:r>
        <w:rPr>
          <w:color w:val="auto"/>
          <w:sz w:val="24"/>
          <w:szCs w:val="24"/>
        </w:rPr>
        <w:t>9</w:t>
      </w:r>
      <w:r w:rsidRPr="002F0C82" w:rsidR="0057087C">
        <w:rPr>
          <w:color w:val="auto"/>
          <w:sz w:val="24"/>
          <w:szCs w:val="24"/>
        </w:rPr>
        <w:t xml:space="preserve">.  </w:t>
      </w:r>
      <w:r w:rsidRPr="002D262B" w:rsidR="002D262B">
        <w:rPr>
          <w:color w:val="auto"/>
          <w:sz w:val="24"/>
          <w:szCs w:val="24"/>
          <w:u w:val="single"/>
        </w:rPr>
        <w:t>Payments/Gifts to Respondents</w:t>
      </w:r>
      <w:bookmarkEnd w:id="16"/>
    </w:p>
    <w:p w:rsidRPr="00420A8F" w:rsidR="002D262B" w:rsidP="002D262B" w:rsidRDefault="002D262B" w14:paraId="7018AAB1" w14:textId="77777777">
      <w:pPr>
        <w:rPr>
          <w:sz w:val="24"/>
          <w:szCs w:val="24"/>
        </w:rPr>
      </w:pPr>
    </w:p>
    <w:p w:rsidRPr="00D53BC6" w:rsidR="00F300DA" w:rsidP="00F300DA" w:rsidRDefault="00D75EB1" w14:paraId="7D593F5C" w14:textId="77777777">
      <w:pPr>
        <w:rPr>
          <w:sz w:val="24"/>
          <w:szCs w:val="24"/>
        </w:rPr>
      </w:pPr>
      <w:r>
        <w:rPr>
          <w:sz w:val="24"/>
          <w:szCs w:val="24"/>
        </w:rPr>
        <w:t xml:space="preserve">For completing the Social and Health Experiences SAQ, </w:t>
      </w:r>
      <w:r w:rsidRPr="00420A8F" w:rsidR="00FE0070">
        <w:rPr>
          <w:sz w:val="24"/>
          <w:szCs w:val="24"/>
        </w:rPr>
        <w:t>AHRQ proposes to provide respondents with a $20 per person, post-collection incentive to improve response rates, especially in Round 1, and mitigate perceived additional burden with a new data collection mode (web).</w:t>
      </w:r>
      <w:r w:rsidRPr="00BF3DDD" w:rsidR="00F300DA">
        <w:rPr>
          <w:sz w:val="24"/>
          <w:szCs w:val="24"/>
        </w:rPr>
        <w:t xml:space="preserve">  </w:t>
      </w:r>
    </w:p>
    <w:p w:rsidRPr="008C5826" w:rsidR="002D262B" w:rsidP="002D262B" w:rsidRDefault="009167C4" w14:paraId="63E09E63" w14:textId="77777777">
      <w:pPr>
        <w:pStyle w:val="Heading2"/>
        <w:rPr>
          <w:color w:val="auto"/>
          <w:sz w:val="24"/>
          <w:szCs w:val="24"/>
        </w:rPr>
      </w:pPr>
      <w:bookmarkStart w:name="_Toc290559161" w:id="17"/>
      <w:r>
        <w:rPr>
          <w:color w:val="auto"/>
          <w:sz w:val="24"/>
          <w:szCs w:val="24"/>
        </w:rPr>
        <w:t>10</w:t>
      </w:r>
      <w:r w:rsidRPr="008C5826" w:rsidR="0057087C">
        <w:rPr>
          <w:color w:val="auto"/>
          <w:sz w:val="24"/>
          <w:szCs w:val="24"/>
        </w:rPr>
        <w:t xml:space="preserve">.  </w:t>
      </w:r>
      <w:r w:rsidRPr="008C5826" w:rsidR="002D262B">
        <w:rPr>
          <w:color w:val="auto"/>
          <w:sz w:val="24"/>
          <w:szCs w:val="24"/>
          <w:u w:val="single"/>
        </w:rPr>
        <w:t>Assurance of Confidentiality</w:t>
      </w:r>
      <w:bookmarkEnd w:id="17"/>
    </w:p>
    <w:p w:rsidRPr="00CB177A" w:rsidR="002D262B" w:rsidP="002D262B" w:rsidRDefault="002D262B" w14:paraId="3B292072" w14:textId="77777777">
      <w:pPr>
        <w:rPr>
          <w:sz w:val="24"/>
          <w:szCs w:val="24"/>
        </w:rPr>
      </w:pPr>
    </w:p>
    <w:p w:rsidRPr="00420A8F" w:rsidR="00A5243C" w:rsidP="00A5243C" w:rsidRDefault="00A5243C" w14:paraId="33CE7F25" w14:textId="77777777">
      <w:pPr>
        <w:autoSpaceDE w:val="0"/>
        <w:autoSpaceDN w:val="0"/>
        <w:rPr>
          <w:sz w:val="24"/>
          <w:szCs w:val="24"/>
        </w:rPr>
      </w:pPr>
      <w:r w:rsidRPr="00420A8F">
        <w:rPr>
          <w:sz w:val="24"/>
          <w:szCs w:val="24"/>
        </w:rPr>
        <w:t>Confidentiality is protected by Sections 944(c) and 308(d) of the Public Health Service Act (42 U.S.C. 299c-3(c) and 42 U.S.C. 242m(d)).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2D262B" w:rsidP="002D262B" w:rsidRDefault="009167C4" w14:paraId="13F07E18" w14:textId="77777777">
      <w:pPr>
        <w:pStyle w:val="Heading2"/>
        <w:rPr>
          <w:color w:val="auto"/>
          <w:sz w:val="24"/>
          <w:szCs w:val="24"/>
          <w:u w:val="single"/>
        </w:rPr>
      </w:pPr>
      <w:bookmarkStart w:name="_Toc290559162" w:id="18"/>
      <w:r>
        <w:rPr>
          <w:color w:val="auto"/>
          <w:sz w:val="24"/>
          <w:szCs w:val="24"/>
        </w:rPr>
        <w:t>11</w:t>
      </w:r>
      <w:r w:rsidRPr="008C5826" w:rsidR="0057087C">
        <w:rPr>
          <w:color w:val="auto"/>
          <w:sz w:val="24"/>
          <w:szCs w:val="24"/>
        </w:rPr>
        <w:t xml:space="preserve">.  </w:t>
      </w:r>
      <w:r w:rsidRPr="008C5826" w:rsidR="002D262B">
        <w:rPr>
          <w:color w:val="auto"/>
          <w:sz w:val="24"/>
          <w:szCs w:val="24"/>
          <w:u w:val="single"/>
        </w:rPr>
        <w:t>Questions of a Sensitive Nature</w:t>
      </w:r>
      <w:bookmarkEnd w:id="18"/>
    </w:p>
    <w:p w:rsidR="00876064" w:rsidP="00876064" w:rsidRDefault="00876064" w14:paraId="0C22156B" w14:textId="77777777"/>
    <w:p w:rsidRPr="00F76AD1" w:rsidR="00AE4DC7" w:rsidP="00876064" w:rsidRDefault="00AE4DC7" w14:paraId="129C7447" w14:textId="77777777">
      <w:pPr>
        <w:rPr>
          <w:sz w:val="24"/>
          <w:szCs w:val="24"/>
        </w:rPr>
      </w:pPr>
      <w:r w:rsidRPr="00F76AD1">
        <w:rPr>
          <w:sz w:val="24"/>
          <w:szCs w:val="24"/>
        </w:rPr>
        <w:t xml:space="preserve">As additions to the MEPS core CAPI questionnaire, the sensitivity of questions related to COVID-19 and telehealth </w:t>
      </w:r>
      <w:r w:rsidRPr="00F76AD1" w:rsidR="00954654">
        <w:rPr>
          <w:sz w:val="24"/>
          <w:szCs w:val="24"/>
        </w:rPr>
        <w:t xml:space="preserve">(telemedicine) </w:t>
      </w:r>
      <w:r w:rsidRPr="00F76AD1">
        <w:rPr>
          <w:sz w:val="24"/>
          <w:szCs w:val="24"/>
        </w:rPr>
        <w:t>are comparable to the rest of the MEPS interview.</w:t>
      </w:r>
    </w:p>
    <w:p w:rsidRPr="00F76AD1" w:rsidR="00AE4DC7" w:rsidP="00876064" w:rsidRDefault="00AE4DC7" w14:paraId="1725896F" w14:textId="77777777">
      <w:pPr>
        <w:rPr>
          <w:sz w:val="24"/>
          <w:szCs w:val="24"/>
        </w:rPr>
      </w:pPr>
    </w:p>
    <w:p w:rsidRPr="00F76AD1" w:rsidR="00876064" w:rsidP="00876064" w:rsidRDefault="00CC5FE7" w14:paraId="16161F4C" w14:textId="77777777">
      <w:pPr>
        <w:rPr>
          <w:sz w:val="24"/>
          <w:szCs w:val="24"/>
        </w:rPr>
      </w:pPr>
      <w:r w:rsidRPr="00F76AD1">
        <w:rPr>
          <w:sz w:val="24"/>
          <w:szCs w:val="24"/>
        </w:rPr>
        <w:t xml:space="preserve">All questions </w:t>
      </w:r>
      <w:r w:rsidRPr="00F76AD1" w:rsidR="00AE4DC7">
        <w:rPr>
          <w:sz w:val="24"/>
          <w:szCs w:val="24"/>
        </w:rPr>
        <w:t xml:space="preserve">in the Social and Health Experiences SAQ </w:t>
      </w:r>
      <w:r w:rsidRPr="00F76AD1" w:rsidR="00876064">
        <w:rPr>
          <w:sz w:val="24"/>
          <w:szCs w:val="24"/>
        </w:rPr>
        <w:t>pertain to</w:t>
      </w:r>
      <w:r w:rsidRPr="00F76AD1" w:rsidR="00876064">
        <w:rPr>
          <w:bCs/>
          <w:sz w:val="24"/>
          <w:szCs w:val="24"/>
        </w:rPr>
        <w:t xml:space="preserve"> </w:t>
      </w:r>
      <w:r w:rsidRPr="00F76AD1" w:rsidR="00A5243C">
        <w:rPr>
          <w:sz w:val="24"/>
          <w:szCs w:val="24"/>
        </w:rPr>
        <w:t xml:space="preserve">social and behavioral </w:t>
      </w:r>
      <w:r w:rsidRPr="00593E09" w:rsidR="00A5243C">
        <w:rPr>
          <w:sz w:val="24"/>
          <w:szCs w:val="24"/>
        </w:rPr>
        <w:t>determina</w:t>
      </w:r>
      <w:r w:rsidRPr="00F76AD1" w:rsidR="00A5243C">
        <w:rPr>
          <w:sz w:val="24"/>
          <w:szCs w:val="24"/>
        </w:rPr>
        <w:t>nts of health</w:t>
      </w:r>
      <w:r w:rsidRPr="00F76AD1" w:rsidR="00DA394A">
        <w:rPr>
          <w:sz w:val="24"/>
          <w:szCs w:val="24"/>
        </w:rPr>
        <w:t xml:space="preserve">.  The SAQ includes </w:t>
      </w:r>
      <w:r w:rsidRPr="00F76AD1" w:rsidR="00A5243C">
        <w:rPr>
          <w:sz w:val="24"/>
          <w:szCs w:val="24"/>
        </w:rPr>
        <w:t>questions about housing affordability and quality, neighborhood characteristics, food security, transportation needs, financial strain, smoking and physical activity, and experiences with discrimination, social support, general well-being, personal safety, and adverse circumstances in childhood</w:t>
      </w:r>
      <w:r w:rsidRPr="00F76AD1" w:rsidR="00DA394A">
        <w:rPr>
          <w:sz w:val="24"/>
          <w:szCs w:val="24"/>
        </w:rPr>
        <w:t>.  Some of the</w:t>
      </w:r>
      <w:r w:rsidRPr="00F76AD1" w:rsidR="003034B8">
        <w:rPr>
          <w:sz w:val="24"/>
          <w:szCs w:val="24"/>
        </w:rPr>
        <w:t>se t</w:t>
      </w:r>
      <w:r w:rsidRPr="00F76AD1" w:rsidR="00DA394A">
        <w:rPr>
          <w:sz w:val="24"/>
          <w:szCs w:val="24"/>
        </w:rPr>
        <w:t xml:space="preserve">opics may </w:t>
      </w:r>
      <w:r w:rsidRPr="00F76AD1" w:rsidR="00A5243C">
        <w:rPr>
          <w:sz w:val="24"/>
          <w:szCs w:val="24"/>
        </w:rPr>
        <w:t xml:space="preserve">be deemed sensitive by some respondents.  </w:t>
      </w:r>
    </w:p>
    <w:p w:rsidRPr="00F76AD1" w:rsidR="002D262B" w:rsidP="002D262B" w:rsidRDefault="009167C4" w14:paraId="69BB7462" w14:textId="47F687C5">
      <w:pPr>
        <w:pStyle w:val="Heading2"/>
        <w:rPr>
          <w:color w:val="auto"/>
          <w:sz w:val="24"/>
          <w:szCs w:val="24"/>
          <w:u w:val="single"/>
        </w:rPr>
      </w:pPr>
      <w:bookmarkStart w:name="_Toc290559163" w:id="19"/>
      <w:r w:rsidRPr="00F76AD1">
        <w:rPr>
          <w:color w:val="auto"/>
          <w:sz w:val="24"/>
          <w:szCs w:val="24"/>
        </w:rPr>
        <w:t>12</w:t>
      </w:r>
      <w:r w:rsidRPr="00F76AD1" w:rsidR="0057087C">
        <w:rPr>
          <w:color w:val="auto"/>
          <w:sz w:val="24"/>
          <w:szCs w:val="24"/>
        </w:rPr>
        <w:t xml:space="preserve">.  </w:t>
      </w:r>
      <w:r w:rsidRPr="00F76AD1" w:rsidR="002D262B">
        <w:rPr>
          <w:color w:val="auto"/>
          <w:sz w:val="24"/>
          <w:szCs w:val="24"/>
          <w:u w:val="single"/>
        </w:rPr>
        <w:t xml:space="preserve">Estimates of </w:t>
      </w:r>
      <w:r w:rsidRPr="00F76AD1" w:rsidR="00D3626A">
        <w:rPr>
          <w:color w:val="auto"/>
          <w:sz w:val="24"/>
          <w:szCs w:val="24"/>
          <w:u w:val="single"/>
        </w:rPr>
        <w:t>Annualized</w:t>
      </w:r>
      <w:r w:rsidRPr="00F76AD1" w:rsidR="002D262B">
        <w:rPr>
          <w:color w:val="auto"/>
          <w:sz w:val="24"/>
          <w:szCs w:val="24"/>
          <w:u w:val="single"/>
        </w:rPr>
        <w:t xml:space="preserve"> Burden Hours and Costs</w:t>
      </w:r>
      <w:bookmarkEnd w:id="19"/>
    </w:p>
    <w:p w:rsidRPr="00F76AD1" w:rsidR="00AE4DC7" w:rsidP="00E55E4B" w:rsidRDefault="00AE4DC7" w14:paraId="576CC245" w14:textId="77777777"/>
    <w:p w:rsidRPr="0097228B" w:rsidR="00336855" w:rsidP="00336855" w:rsidRDefault="00FC57AB" w14:paraId="0265B5C6" w14:textId="77777777">
      <w:pPr>
        <w:rPr>
          <w:sz w:val="24"/>
          <w:szCs w:val="24"/>
        </w:rPr>
      </w:pPr>
      <w:r w:rsidRPr="00F76AD1">
        <w:rPr>
          <w:sz w:val="24"/>
          <w:szCs w:val="24"/>
        </w:rPr>
        <w:t xml:space="preserve">Exhibit 1 shows the estimated annualized burden hours for respondent’s time to participate in this research.  </w:t>
      </w:r>
      <w:r w:rsidRPr="00F76AD1" w:rsidR="00AE4DC7">
        <w:rPr>
          <w:sz w:val="24"/>
          <w:szCs w:val="24"/>
        </w:rPr>
        <w:t>The addition of several question</w:t>
      </w:r>
      <w:r w:rsidRPr="00F76AD1" w:rsidR="00D75EB1">
        <w:rPr>
          <w:sz w:val="24"/>
          <w:szCs w:val="24"/>
        </w:rPr>
        <w:t xml:space="preserve">s related to COVID-19 and </w:t>
      </w:r>
      <w:r w:rsidRPr="00F76AD1" w:rsidR="00E03E27">
        <w:rPr>
          <w:sz w:val="24"/>
          <w:szCs w:val="24"/>
        </w:rPr>
        <w:t xml:space="preserve">telehealth </w:t>
      </w:r>
      <w:r w:rsidRPr="00F76AD1" w:rsidR="00E03E27">
        <w:rPr>
          <w:sz w:val="24"/>
          <w:szCs w:val="24"/>
        </w:rPr>
        <w:lastRenderedPageBreak/>
        <w:t xml:space="preserve">(telemedicine) </w:t>
      </w:r>
      <w:r w:rsidRPr="00F76AD1">
        <w:rPr>
          <w:sz w:val="24"/>
          <w:szCs w:val="24"/>
        </w:rPr>
        <w:t>adds minimal burden in hours and costs to the core CAPI interview, estimated to add 1 minute per interview</w:t>
      </w:r>
      <w:r w:rsidRPr="00F76AD1" w:rsidR="002340CB">
        <w:rPr>
          <w:sz w:val="24"/>
          <w:szCs w:val="24"/>
        </w:rPr>
        <w:t xml:space="preserve"> and a total of 222 </w:t>
      </w:r>
      <w:r w:rsidRPr="00F76AD1" w:rsidR="00336855">
        <w:rPr>
          <w:sz w:val="24"/>
          <w:szCs w:val="24"/>
        </w:rPr>
        <w:t>burden hours</w:t>
      </w:r>
      <w:r w:rsidRPr="00F76AD1">
        <w:rPr>
          <w:sz w:val="24"/>
          <w:szCs w:val="24"/>
        </w:rPr>
        <w:t xml:space="preserve">. </w:t>
      </w:r>
      <w:r w:rsidRPr="00F76AD1" w:rsidR="00336855">
        <w:rPr>
          <w:sz w:val="24"/>
          <w:szCs w:val="24"/>
        </w:rPr>
        <w:t xml:space="preserve">The </w:t>
      </w:r>
      <w:r w:rsidRPr="00F76AD1" w:rsidR="00336855">
        <w:rPr>
          <w:bCs/>
          <w:sz w:val="24"/>
          <w:szCs w:val="24"/>
        </w:rPr>
        <w:t>Social</w:t>
      </w:r>
      <w:r w:rsidRPr="00420A8F" w:rsidR="00336855">
        <w:rPr>
          <w:bCs/>
          <w:sz w:val="24"/>
          <w:szCs w:val="24"/>
        </w:rPr>
        <w:t xml:space="preserve"> and Health Experiences SAQ will be completed during Round 1, Panel 26, Round 3, Panel 25, and Round 5, Panel 24 by each person in the RU that is 18 years old and older, an estimated 27,059 persons, and takes about 7 minutes to complete.</w:t>
      </w:r>
      <w:r w:rsidRPr="0097228B" w:rsidR="00336855">
        <w:rPr>
          <w:sz w:val="24"/>
          <w:szCs w:val="24"/>
        </w:rPr>
        <w:t xml:space="preserve"> The total annualized burden </w:t>
      </w:r>
      <w:r w:rsidR="008D0B3B">
        <w:rPr>
          <w:sz w:val="24"/>
          <w:szCs w:val="24"/>
        </w:rPr>
        <w:t xml:space="preserve">for this SAQ </w:t>
      </w:r>
      <w:r w:rsidRPr="0097228B" w:rsidR="00336855">
        <w:rPr>
          <w:sz w:val="24"/>
          <w:szCs w:val="24"/>
        </w:rPr>
        <w:t>is estimated to be 3,157</w:t>
      </w:r>
      <w:r w:rsidR="00336855">
        <w:rPr>
          <w:sz w:val="24"/>
          <w:szCs w:val="24"/>
        </w:rPr>
        <w:t xml:space="preserve"> </w:t>
      </w:r>
      <w:r w:rsidRPr="0097228B" w:rsidR="00336855">
        <w:rPr>
          <w:sz w:val="24"/>
          <w:szCs w:val="24"/>
        </w:rPr>
        <w:t>hours.</w:t>
      </w:r>
    </w:p>
    <w:p w:rsidR="002D262B" w:rsidP="002D262B" w:rsidRDefault="00FC57AB" w14:paraId="12FB2534" w14:textId="77777777">
      <w:r>
        <w:rPr>
          <w:sz w:val="24"/>
          <w:szCs w:val="24"/>
          <w:highlight w:val="yellow"/>
        </w:rPr>
        <w:t xml:space="preserve"> </w:t>
      </w:r>
    </w:p>
    <w:p w:rsidRPr="00E11C70" w:rsidR="002D262B" w:rsidP="002D262B" w:rsidRDefault="002D262B" w14:paraId="47CEFF2E" w14:textId="77777777">
      <w:pPr>
        <w:rPr>
          <w:sz w:val="24"/>
          <w:szCs w:val="24"/>
        </w:rPr>
      </w:pPr>
      <w:r>
        <w:rPr>
          <w:sz w:val="24"/>
          <w:szCs w:val="24"/>
        </w:rPr>
        <w:t xml:space="preserve">Exhibit 2 shows the estimated </w:t>
      </w:r>
      <w:r w:rsidRPr="00E11C70">
        <w:rPr>
          <w:sz w:val="24"/>
          <w:szCs w:val="24"/>
        </w:rPr>
        <w:t>annualized cost burden associated with respondents’ time to participate in this research.  The total cost burden is estimated to be $</w:t>
      </w:r>
      <w:r w:rsidRPr="00E11C70" w:rsidR="00336855">
        <w:rPr>
          <w:sz w:val="24"/>
          <w:szCs w:val="24"/>
        </w:rPr>
        <w:t>8</w:t>
      </w:r>
      <w:r w:rsidRPr="00E11C70" w:rsidR="008D0B3B">
        <w:rPr>
          <w:sz w:val="24"/>
          <w:szCs w:val="24"/>
        </w:rPr>
        <w:t>2</w:t>
      </w:r>
      <w:r w:rsidRPr="00E11C70" w:rsidR="00336855">
        <w:rPr>
          <w:sz w:val="24"/>
          <w:szCs w:val="24"/>
        </w:rPr>
        <w:t>,</w:t>
      </w:r>
      <w:r w:rsidRPr="00E11C70" w:rsidR="008D0B3B">
        <w:rPr>
          <w:sz w:val="24"/>
          <w:szCs w:val="24"/>
        </w:rPr>
        <w:t>244</w:t>
      </w:r>
      <w:r w:rsidRPr="00E11C70">
        <w:rPr>
          <w:sz w:val="24"/>
          <w:szCs w:val="24"/>
        </w:rPr>
        <w:t xml:space="preserve"> annually</w:t>
      </w:r>
      <w:r w:rsidRPr="00E11C70" w:rsidR="008D0B3B">
        <w:rPr>
          <w:sz w:val="24"/>
          <w:szCs w:val="24"/>
        </w:rPr>
        <w:t xml:space="preserve"> ($5,403 for COVID-19 related research including telemedicine questions and the $76,841 for the Social and Health Experiences SAQ).</w:t>
      </w:r>
    </w:p>
    <w:p w:rsidRPr="00E11C70" w:rsidR="002D262B" w:rsidP="005F1211" w:rsidRDefault="005F1211" w14:paraId="6B205688" w14:textId="77777777">
      <w:pPr>
        <w:rPr>
          <w:sz w:val="24"/>
          <w:szCs w:val="24"/>
        </w:rPr>
      </w:pPr>
      <w:r w:rsidRPr="00E11C70">
        <w:rPr>
          <w:sz w:val="24"/>
          <w:szCs w:val="24"/>
        </w:rPr>
        <w:tab/>
      </w:r>
    </w:p>
    <w:p w:rsidRPr="00E11C70" w:rsidR="002D262B" w:rsidP="002D262B" w:rsidRDefault="002D262B" w14:paraId="52A4A2E8" w14:textId="77777777">
      <w:pPr>
        <w:rPr>
          <w:b/>
          <w:bCs/>
          <w:sz w:val="24"/>
          <w:szCs w:val="24"/>
        </w:rPr>
      </w:pPr>
      <w:r w:rsidRPr="00E11C70">
        <w:rPr>
          <w:b/>
          <w:bCs/>
          <w:sz w:val="24"/>
          <w:szCs w:val="24"/>
        </w:rPr>
        <w:t>Exhibit 1</w:t>
      </w:r>
      <w:r w:rsidRPr="00E11C70" w:rsidR="009902DB">
        <w:rPr>
          <w:b/>
          <w:bCs/>
          <w:sz w:val="24"/>
          <w:szCs w:val="24"/>
        </w:rPr>
        <w:t>:</w:t>
      </w:r>
      <w:r w:rsidRPr="00E11C70">
        <w:rPr>
          <w:b/>
          <w:bCs/>
          <w:sz w:val="24"/>
          <w:szCs w:val="24"/>
        </w:rPr>
        <w:t>  Estimated annualized burden hours</w:t>
      </w:r>
    </w:p>
    <w:tbl>
      <w:tblPr>
        <w:tblW w:w="0" w:type="auto"/>
        <w:tblInd w:w="108" w:type="dxa"/>
        <w:tblCellMar>
          <w:left w:w="0" w:type="dxa"/>
          <w:right w:w="0" w:type="dxa"/>
        </w:tblCellMar>
        <w:tblLook w:val="0000" w:firstRow="0" w:lastRow="0" w:firstColumn="0" w:lastColumn="0" w:noHBand="0" w:noVBand="0"/>
      </w:tblPr>
      <w:tblGrid>
        <w:gridCol w:w="3870"/>
        <w:gridCol w:w="1440"/>
        <w:gridCol w:w="1530"/>
        <w:gridCol w:w="1080"/>
        <w:gridCol w:w="990"/>
      </w:tblGrid>
      <w:tr w:rsidRPr="00E11C70" w:rsidR="002D262B" w:rsidTr="00441938" w14:paraId="2B98A82F" w14:textId="77777777">
        <w:tc>
          <w:tcPr>
            <w:tcW w:w="3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2D262B" w:rsidRDefault="002D262B" w14:paraId="110A6FBB" w14:textId="77777777">
            <w:pPr>
              <w:rPr>
                <w:sz w:val="24"/>
                <w:szCs w:val="24"/>
              </w:rPr>
            </w:pPr>
            <w:r w:rsidRPr="00E11C70">
              <w:rPr>
                <w:sz w:val="24"/>
                <w:szCs w:val="24"/>
              </w:rPr>
              <w:t>Activity</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2D262B" w:rsidRDefault="002D262B" w14:paraId="586D1D6B" w14:textId="77777777">
            <w:pPr>
              <w:jc w:val="center"/>
              <w:rPr>
                <w:sz w:val="24"/>
                <w:szCs w:val="24"/>
              </w:rPr>
            </w:pPr>
            <w:r w:rsidRPr="00E11C70">
              <w:rPr>
                <w:sz w:val="24"/>
                <w:szCs w:val="24"/>
              </w:rPr>
              <w:t>Number of respondents</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2D262B" w:rsidRDefault="002D262B" w14:paraId="6D0E6C75" w14:textId="77777777">
            <w:pPr>
              <w:jc w:val="center"/>
              <w:rPr>
                <w:sz w:val="24"/>
                <w:szCs w:val="24"/>
              </w:rPr>
            </w:pPr>
            <w:r w:rsidRPr="00E11C70">
              <w:rPr>
                <w:sz w:val="24"/>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E11C70" w:rsidR="002D262B" w:rsidP="002D262B" w:rsidRDefault="002D262B" w14:paraId="5D63B57F" w14:textId="77777777">
            <w:pPr>
              <w:jc w:val="center"/>
              <w:rPr>
                <w:sz w:val="24"/>
                <w:szCs w:val="24"/>
              </w:rPr>
            </w:pPr>
            <w:r w:rsidRPr="00E11C70">
              <w:rPr>
                <w:sz w:val="24"/>
                <w:szCs w:val="24"/>
              </w:rPr>
              <w:t>Hours per response</w:t>
            </w:r>
          </w:p>
        </w:tc>
        <w:tc>
          <w:tcPr>
            <w:tcW w:w="9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2D262B" w:rsidRDefault="002D262B" w14:paraId="55369FAE" w14:textId="77777777">
            <w:pPr>
              <w:jc w:val="center"/>
              <w:rPr>
                <w:sz w:val="24"/>
                <w:szCs w:val="24"/>
              </w:rPr>
            </w:pPr>
            <w:r w:rsidRPr="00E11C70">
              <w:rPr>
                <w:sz w:val="24"/>
                <w:szCs w:val="24"/>
              </w:rPr>
              <w:t>Total burden hours</w:t>
            </w:r>
          </w:p>
        </w:tc>
      </w:tr>
      <w:tr w:rsidRPr="00E11C70" w:rsidR="00ED28F1" w:rsidTr="00441938" w14:paraId="5404F94C" w14:textId="77777777">
        <w:tc>
          <w:tcPr>
            <w:tcW w:w="3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ED28F1" w:rsidP="004D2857" w:rsidRDefault="00ED28F1" w14:paraId="1A78E1FA" w14:textId="77777777">
            <w:pPr>
              <w:rPr>
                <w:bCs/>
                <w:sz w:val="24"/>
                <w:szCs w:val="24"/>
              </w:rPr>
            </w:pPr>
            <w:r w:rsidRPr="00E11C70">
              <w:rPr>
                <w:bCs/>
                <w:sz w:val="24"/>
                <w:szCs w:val="24"/>
              </w:rPr>
              <w:t xml:space="preserve">COVID-19 </w:t>
            </w:r>
            <w:r w:rsidRPr="00E11C70" w:rsidR="000F0D09">
              <w:rPr>
                <w:bCs/>
                <w:sz w:val="24"/>
                <w:szCs w:val="24"/>
              </w:rPr>
              <w:t xml:space="preserve">and </w:t>
            </w:r>
            <w:r w:rsidRPr="00E11C70">
              <w:rPr>
                <w:bCs/>
                <w:sz w:val="24"/>
                <w:szCs w:val="24"/>
              </w:rPr>
              <w:t>Telehealth</w:t>
            </w:r>
            <w:r w:rsidRPr="00E11C70" w:rsidR="00BE68D6">
              <w:rPr>
                <w:bCs/>
                <w:sz w:val="24"/>
                <w:szCs w:val="24"/>
              </w:rPr>
              <w:t xml:space="preserve"> (telemedicine)</w:t>
            </w:r>
            <w:r w:rsidRPr="00E11C70" w:rsidR="000F0D09">
              <w:rPr>
                <w:bCs/>
                <w:sz w:val="24"/>
                <w:szCs w:val="24"/>
              </w:rPr>
              <w:t xml:space="preserve"> questions included in the MEPS questionnaire</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ED28F1" w:rsidP="0097228B" w:rsidRDefault="00ED28F1" w14:paraId="2A81F190" w14:textId="77777777">
            <w:pPr>
              <w:jc w:val="center"/>
              <w:rPr>
                <w:bCs/>
                <w:sz w:val="24"/>
                <w:szCs w:val="24"/>
              </w:rPr>
            </w:pPr>
            <w:r w:rsidRPr="00E11C70">
              <w:rPr>
                <w:bCs/>
                <w:sz w:val="24"/>
                <w:szCs w:val="24"/>
              </w:rPr>
              <w:t>13,338</w:t>
            </w:r>
            <w:r w:rsidRPr="00E11C70" w:rsidR="00B91A21">
              <w:rPr>
                <w:bCs/>
                <w:sz w:val="24"/>
                <w:szCs w:val="24"/>
              </w:rPr>
              <w:t>*</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ED28F1" w:rsidP="002D262B" w:rsidRDefault="00E164B9" w14:paraId="561CEE90" w14:textId="77777777">
            <w:pPr>
              <w:jc w:val="center"/>
              <w:rPr>
                <w:sz w:val="24"/>
                <w:szCs w:val="24"/>
              </w:rPr>
            </w:pPr>
            <w:r w:rsidRPr="00E11C70">
              <w:rPr>
                <w:sz w:val="24"/>
                <w:szCs w:val="24"/>
              </w:rPr>
              <w:t>1</w:t>
            </w:r>
          </w:p>
        </w:tc>
        <w:tc>
          <w:tcPr>
            <w:tcW w:w="1080" w:type="dxa"/>
            <w:tcBorders>
              <w:top w:val="single" w:color="auto" w:sz="8" w:space="0"/>
              <w:left w:val="nil"/>
              <w:bottom w:val="single" w:color="auto" w:sz="8" w:space="0"/>
              <w:right w:val="single" w:color="auto" w:sz="8" w:space="0"/>
            </w:tcBorders>
            <w:vAlign w:val="center"/>
          </w:tcPr>
          <w:p w:rsidRPr="00E11C70" w:rsidR="00ED28F1" w:rsidP="0097228B" w:rsidRDefault="00860F68" w14:paraId="2EF8EE91" w14:textId="77777777">
            <w:pPr>
              <w:jc w:val="center"/>
              <w:rPr>
                <w:sz w:val="24"/>
                <w:szCs w:val="24"/>
              </w:rPr>
            </w:pPr>
            <w:r w:rsidRPr="00E11C70">
              <w:rPr>
                <w:sz w:val="24"/>
                <w:szCs w:val="24"/>
              </w:rPr>
              <w:t>1</w:t>
            </w:r>
            <w:r w:rsidRPr="00E11C70" w:rsidR="00ED28F1">
              <w:rPr>
                <w:sz w:val="24"/>
                <w:szCs w:val="24"/>
              </w:rPr>
              <w:t>/60</w:t>
            </w:r>
          </w:p>
        </w:tc>
        <w:tc>
          <w:tcPr>
            <w:tcW w:w="9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ED28F1" w:rsidP="0097228B" w:rsidRDefault="002340CB" w14:paraId="1EE50BDE" w14:textId="77777777">
            <w:pPr>
              <w:jc w:val="center"/>
              <w:rPr>
                <w:sz w:val="24"/>
                <w:szCs w:val="24"/>
              </w:rPr>
            </w:pPr>
            <w:r w:rsidRPr="00E11C70">
              <w:rPr>
                <w:sz w:val="24"/>
                <w:szCs w:val="24"/>
              </w:rPr>
              <w:t>222</w:t>
            </w:r>
          </w:p>
        </w:tc>
      </w:tr>
      <w:tr w:rsidRPr="00E11C70" w:rsidR="00F41AD4" w:rsidTr="00441938" w14:paraId="2C5958BE" w14:textId="77777777">
        <w:tc>
          <w:tcPr>
            <w:tcW w:w="3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7228B" w:rsidRDefault="0097228B" w14:paraId="5DDCB48B" w14:textId="77777777">
            <w:pPr>
              <w:rPr>
                <w:sz w:val="24"/>
                <w:szCs w:val="24"/>
              </w:rPr>
            </w:pPr>
            <w:r w:rsidRPr="00E11C70">
              <w:rPr>
                <w:bCs/>
                <w:sz w:val="24"/>
                <w:szCs w:val="24"/>
              </w:rPr>
              <w:t>Social and Health Experiences SAQ ; Adult SAQ – Year 2021</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7228B" w:rsidRDefault="0097228B" w14:paraId="770733D3" w14:textId="77777777">
            <w:pPr>
              <w:jc w:val="center"/>
              <w:rPr>
                <w:sz w:val="24"/>
                <w:szCs w:val="24"/>
              </w:rPr>
            </w:pPr>
            <w:r w:rsidRPr="00E11C70">
              <w:rPr>
                <w:bCs/>
                <w:sz w:val="24"/>
                <w:szCs w:val="24"/>
              </w:rPr>
              <w:t>27,059</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2D262B" w:rsidRDefault="00F41AD4" w14:paraId="6A5C251A" w14:textId="77777777">
            <w:pPr>
              <w:jc w:val="center"/>
              <w:rPr>
                <w:sz w:val="24"/>
                <w:szCs w:val="24"/>
              </w:rPr>
            </w:pPr>
            <w:r w:rsidRPr="00E11C70">
              <w:rPr>
                <w:sz w:val="24"/>
                <w:szCs w:val="24"/>
              </w:rPr>
              <w:t>1</w:t>
            </w:r>
          </w:p>
        </w:tc>
        <w:tc>
          <w:tcPr>
            <w:tcW w:w="1080" w:type="dxa"/>
            <w:tcBorders>
              <w:top w:val="single" w:color="auto" w:sz="8" w:space="0"/>
              <w:left w:val="nil"/>
              <w:bottom w:val="single" w:color="auto" w:sz="8" w:space="0"/>
              <w:right w:val="single" w:color="auto" w:sz="8" w:space="0"/>
            </w:tcBorders>
            <w:vAlign w:val="center"/>
          </w:tcPr>
          <w:p w:rsidRPr="00E11C70" w:rsidR="00F41AD4" w:rsidP="0097228B" w:rsidRDefault="0097228B" w14:paraId="6C085599" w14:textId="77777777">
            <w:pPr>
              <w:jc w:val="center"/>
              <w:rPr>
                <w:sz w:val="24"/>
                <w:szCs w:val="24"/>
              </w:rPr>
            </w:pPr>
            <w:r w:rsidRPr="00E11C70">
              <w:rPr>
                <w:sz w:val="24"/>
                <w:szCs w:val="24"/>
              </w:rPr>
              <w:t>7/</w:t>
            </w:r>
            <w:r w:rsidRPr="00E11C70" w:rsidR="00F41AD4">
              <w:rPr>
                <w:sz w:val="24"/>
                <w:szCs w:val="24"/>
              </w:rPr>
              <w:t>60</w:t>
            </w:r>
          </w:p>
        </w:tc>
        <w:tc>
          <w:tcPr>
            <w:tcW w:w="9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7228B" w:rsidRDefault="0097228B" w14:paraId="16C8B1CA" w14:textId="77777777">
            <w:pPr>
              <w:jc w:val="center"/>
              <w:rPr>
                <w:sz w:val="24"/>
                <w:szCs w:val="24"/>
              </w:rPr>
            </w:pPr>
            <w:r w:rsidRPr="00E11C70">
              <w:rPr>
                <w:sz w:val="24"/>
                <w:szCs w:val="24"/>
              </w:rPr>
              <w:t>3,157</w:t>
            </w:r>
          </w:p>
        </w:tc>
      </w:tr>
      <w:tr w:rsidRPr="00E11C70" w:rsidR="002D262B" w:rsidTr="00441938" w14:paraId="505311DB" w14:textId="77777777">
        <w:tc>
          <w:tcPr>
            <w:tcW w:w="3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2D262B" w:rsidRDefault="002D262B" w14:paraId="7AAE3A00" w14:textId="77777777">
            <w:pPr>
              <w:rPr>
                <w:sz w:val="24"/>
                <w:szCs w:val="24"/>
              </w:rPr>
            </w:pPr>
            <w:r w:rsidRPr="00E11C70">
              <w:rPr>
                <w:sz w:val="24"/>
                <w:szCs w:val="24"/>
              </w:rPr>
              <w:t>Total</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4D2857" w:rsidRDefault="00383D96" w14:paraId="08F40F0F" w14:textId="77777777">
            <w:pPr>
              <w:jc w:val="center"/>
              <w:rPr>
                <w:sz w:val="24"/>
                <w:szCs w:val="24"/>
              </w:rPr>
            </w:pPr>
            <w:r w:rsidRPr="00E11C70">
              <w:rPr>
                <w:bCs/>
                <w:sz w:val="24"/>
                <w:szCs w:val="24"/>
              </w:rPr>
              <w:t>40,397</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2D262B" w:rsidRDefault="002D262B" w14:paraId="15F26C12" w14:textId="77777777">
            <w:pPr>
              <w:jc w:val="center"/>
              <w:rPr>
                <w:sz w:val="24"/>
                <w:szCs w:val="24"/>
              </w:rPr>
            </w:pPr>
            <w:r w:rsidRPr="00E11C70">
              <w:rPr>
                <w:sz w:val="24"/>
                <w:szCs w:val="24"/>
              </w:rPr>
              <w:t>n</w:t>
            </w:r>
            <w:r w:rsidRPr="00E11C70" w:rsidR="009902DB">
              <w:rPr>
                <w:sz w:val="24"/>
                <w:szCs w:val="24"/>
              </w:rPr>
              <w:t>/</w:t>
            </w:r>
            <w:r w:rsidRPr="00E11C70">
              <w:rPr>
                <w:sz w:val="24"/>
                <w:szCs w:val="24"/>
              </w:rPr>
              <w:t>a</w:t>
            </w:r>
          </w:p>
        </w:tc>
        <w:tc>
          <w:tcPr>
            <w:tcW w:w="1080" w:type="dxa"/>
            <w:tcBorders>
              <w:top w:val="single" w:color="auto" w:sz="8" w:space="0"/>
              <w:left w:val="nil"/>
              <w:bottom w:val="single" w:color="auto" w:sz="8" w:space="0"/>
              <w:right w:val="single" w:color="auto" w:sz="8" w:space="0"/>
            </w:tcBorders>
            <w:vAlign w:val="center"/>
          </w:tcPr>
          <w:p w:rsidRPr="00E11C70" w:rsidR="002D262B" w:rsidP="002D262B" w:rsidRDefault="002D262B" w14:paraId="1028BC2B" w14:textId="77777777">
            <w:pPr>
              <w:jc w:val="center"/>
              <w:rPr>
                <w:sz w:val="24"/>
                <w:szCs w:val="24"/>
              </w:rPr>
            </w:pPr>
            <w:r w:rsidRPr="00E11C70">
              <w:rPr>
                <w:sz w:val="24"/>
                <w:szCs w:val="24"/>
              </w:rPr>
              <w:t>n</w:t>
            </w:r>
            <w:r w:rsidRPr="00E11C70" w:rsidR="009902DB">
              <w:rPr>
                <w:sz w:val="24"/>
                <w:szCs w:val="24"/>
              </w:rPr>
              <w:t>/</w:t>
            </w:r>
            <w:r w:rsidRPr="00E11C70">
              <w:rPr>
                <w:sz w:val="24"/>
                <w:szCs w:val="24"/>
              </w:rPr>
              <w:t>a</w:t>
            </w:r>
          </w:p>
        </w:tc>
        <w:tc>
          <w:tcPr>
            <w:tcW w:w="9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2D262B" w:rsidP="0097228B" w:rsidRDefault="0097228B" w14:paraId="05C777FE" w14:textId="77777777">
            <w:pPr>
              <w:jc w:val="center"/>
              <w:rPr>
                <w:sz w:val="24"/>
                <w:szCs w:val="24"/>
              </w:rPr>
            </w:pPr>
            <w:r w:rsidRPr="00E11C70">
              <w:rPr>
                <w:sz w:val="24"/>
                <w:szCs w:val="24"/>
              </w:rPr>
              <w:t>3,</w:t>
            </w:r>
            <w:r w:rsidRPr="00E11C70" w:rsidR="002340CB">
              <w:rPr>
                <w:sz w:val="24"/>
                <w:szCs w:val="24"/>
              </w:rPr>
              <w:t>379</w:t>
            </w:r>
          </w:p>
        </w:tc>
      </w:tr>
    </w:tbl>
    <w:p w:rsidRPr="005E5935" w:rsidR="002D262B" w:rsidP="00B91A21" w:rsidRDefault="00B91A21" w14:paraId="1DE0DC72" w14:textId="77777777">
      <w:pPr>
        <w:rPr>
          <w:sz w:val="24"/>
          <w:szCs w:val="24"/>
        </w:rPr>
      </w:pPr>
      <w:r w:rsidRPr="00E11C70">
        <w:rPr>
          <w:sz w:val="24"/>
          <w:szCs w:val="24"/>
        </w:rPr>
        <w:t>*While the expected number of responding units for the annual estimates is 12,804, it is necessary to adjust for survey attrition of initial respondents by a fac</w:t>
      </w:r>
      <w:r w:rsidRPr="00E11C70" w:rsidR="00075673">
        <w:rPr>
          <w:sz w:val="24"/>
          <w:szCs w:val="24"/>
        </w:rPr>
        <w:t>tor of 0.96</w:t>
      </w:r>
      <w:r w:rsidR="00075673">
        <w:rPr>
          <w:sz w:val="24"/>
          <w:szCs w:val="24"/>
        </w:rPr>
        <w:t xml:space="preserve"> (13.338=12/804/0.96) </w:t>
      </w:r>
      <w:r>
        <w:rPr>
          <w:sz w:val="24"/>
          <w:szCs w:val="24"/>
        </w:rPr>
        <w:t xml:space="preserve"> </w:t>
      </w:r>
    </w:p>
    <w:p w:rsidR="003675FA" w:rsidP="002D262B" w:rsidRDefault="003675FA" w14:paraId="5675CBBE" w14:textId="77777777">
      <w:pPr>
        <w:rPr>
          <w:b/>
          <w:sz w:val="24"/>
          <w:szCs w:val="24"/>
        </w:rPr>
      </w:pPr>
    </w:p>
    <w:p w:rsidR="002D262B" w:rsidP="002D262B" w:rsidRDefault="002D262B" w14:paraId="0016190F" w14:textId="77777777">
      <w:pPr>
        <w:rPr>
          <w:b/>
          <w:sz w:val="24"/>
          <w:szCs w:val="24"/>
        </w:rPr>
      </w:pPr>
      <w:r>
        <w:rPr>
          <w:b/>
          <w:sz w:val="24"/>
          <w:szCs w:val="24"/>
        </w:rPr>
        <w:t>E</w:t>
      </w:r>
      <w:r w:rsidRPr="009921DC">
        <w:rPr>
          <w:b/>
          <w:sz w:val="24"/>
          <w:szCs w:val="24"/>
        </w:rPr>
        <w:t>xhibit 2</w:t>
      </w:r>
      <w:r w:rsidR="009902DB">
        <w:rPr>
          <w:b/>
          <w:sz w:val="24"/>
          <w:szCs w:val="24"/>
        </w:rPr>
        <w:t>:</w:t>
      </w:r>
      <w:r w:rsidRPr="009921DC">
        <w:rPr>
          <w:b/>
          <w:sz w:val="24"/>
          <w:szCs w:val="24"/>
        </w:rPr>
        <w:t xml:space="preserve">  Estimated annualized cost burden</w:t>
      </w:r>
    </w:p>
    <w:tbl>
      <w:tblPr>
        <w:tblW w:w="0" w:type="auto"/>
        <w:tblInd w:w="108" w:type="dxa"/>
        <w:tblCellMar>
          <w:left w:w="0" w:type="dxa"/>
          <w:right w:w="0" w:type="dxa"/>
        </w:tblCellMar>
        <w:tblLook w:val="0000" w:firstRow="0" w:lastRow="0" w:firstColumn="0" w:lastColumn="0" w:noHBand="0" w:noVBand="0"/>
      </w:tblPr>
      <w:tblGrid>
        <w:gridCol w:w="3780"/>
        <w:gridCol w:w="1440"/>
        <w:gridCol w:w="900"/>
        <w:gridCol w:w="1440"/>
        <w:gridCol w:w="1350"/>
      </w:tblGrid>
      <w:tr w:rsidR="002D262B" w:rsidTr="00441938" w14:paraId="03A4BAD7" w14:textId="77777777">
        <w:tc>
          <w:tcPr>
            <w:tcW w:w="37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6ACC108A" w14:textId="77777777">
            <w:pPr>
              <w:rPr>
                <w:sz w:val="24"/>
                <w:szCs w:val="24"/>
              </w:rPr>
            </w:pPr>
            <w:r w:rsidRPr="00426D1D">
              <w:rPr>
                <w:sz w:val="24"/>
                <w:szCs w:val="24"/>
              </w:rPr>
              <w:t>Activity</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31A371E6" w14:textId="77777777">
            <w:pPr>
              <w:jc w:val="center"/>
              <w:rPr>
                <w:sz w:val="24"/>
                <w:szCs w:val="24"/>
              </w:rPr>
            </w:pPr>
            <w:r w:rsidRPr="00426D1D">
              <w:rPr>
                <w:sz w:val="24"/>
                <w:szCs w:val="24"/>
              </w:rPr>
              <w:t>Number of respondents</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66555E18" w14:textId="77777777">
            <w:pPr>
              <w:jc w:val="center"/>
              <w:rPr>
                <w:sz w:val="24"/>
                <w:szCs w:val="24"/>
              </w:rPr>
            </w:pPr>
            <w:r w:rsidRPr="00426D1D">
              <w:rPr>
                <w:sz w:val="24"/>
                <w:szCs w:val="24"/>
              </w:rPr>
              <w:t>Total burden hours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74079AE1" w14:textId="77777777">
            <w:pPr>
              <w:jc w:val="center"/>
              <w:rPr>
                <w:sz w:val="24"/>
                <w:szCs w:val="24"/>
              </w:rPr>
            </w:pPr>
            <w:r w:rsidRPr="00426D1D">
              <w:rPr>
                <w:sz w:val="24"/>
                <w:szCs w:val="24"/>
              </w:rPr>
              <w:t>Average hourly wage rate*</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62CD939C" w14:textId="77777777">
            <w:pPr>
              <w:jc w:val="center"/>
              <w:rPr>
                <w:sz w:val="24"/>
                <w:szCs w:val="24"/>
              </w:rPr>
            </w:pPr>
            <w:r w:rsidRPr="00426D1D">
              <w:rPr>
                <w:sz w:val="24"/>
                <w:szCs w:val="24"/>
              </w:rPr>
              <w:t xml:space="preserve">Total cost burden </w:t>
            </w:r>
          </w:p>
        </w:tc>
      </w:tr>
      <w:tr w:rsidRPr="00E11C70" w:rsidR="001430E0" w:rsidTr="00441938" w14:paraId="1895F23F" w14:textId="77777777">
        <w:tc>
          <w:tcPr>
            <w:tcW w:w="37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1430E0" w:rsidP="004D2857" w:rsidRDefault="000F0D09" w14:paraId="61A0848C" w14:textId="77777777">
            <w:pPr>
              <w:rPr>
                <w:bCs/>
                <w:sz w:val="24"/>
                <w:szCs w:val="24"/>
              </w:rPr>
            </w:pPr>
            <w:r w:rsidRPr="00E11C70">
              <w:rPr>
                <w:bCs/>
                <w:sz w:val="24"/>
                <w:szCs w:val="24"/>
              </w:rPr>
              <w:t>COVID-19 and Telehealth (telemedicine) questions included in the MEPS questionnaire</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1430E0" w:rsidP="009F1E8C" w:rsidRDefault="00E164B9" w14:paraId="6609E2C5" w14:textId="77777777">
            <w:pPr>
              <w:jc w:val="center"/>
              <w:rPr>
                <w:sz w:val="24"/>
                <w:szCs w:val="24"/>
              </w:rPr>
            </w:pPr>
            <w:r w:rsidRPr="00E11C70">
              <w:rPr>
                <w:sz w:val="24"/>
                <w:szCs w:val="24"/>
              </w:rPr>
              <w:t>13,338</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1430E0" w:rsidP="009F1E8C" w:rsidRDefault="002340CB" w14:paraId="244D9FB2" w14:textId="77777777">
            <w:pPr>
              <w:jc w:val="center"/>
              <w:rPr>
                <w:sz w:val="24"/>
                <w:szCs w:val="24"/>
              </w:rPr>
            </w:pPr>
            <w:r w:rsidRPr="00E11C70">
              <w:rPr>
                <w:sz w:val="24"/>
                <w:szCs w:val="24"/>
              </w:rPr>
              <w:t>222</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1430E0" w:rsidP="009F1E8C" w:rsidRDefault="00E164B9" w14:paraId="50F43A5E" w14:textId="77777777">
            <w:pPr>
              <w:jc w:val="center"/>
              <w:rPr>
                <w:sz w:val="24"/>
                <w:szCs w:val="24"/>
              </w:rPr>
            </w:pPr>
            <w:r w:rsidRPr="00E11C70">
              <w:rPr>
                <w:sz w:val="24"/>
                <w:szCs w:val="24"/>
              </w:rPr>
              <w:t>$24.34</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1430E0" w:rsidP="00E164B9" w:rsidRDefault="002340CB" w14:paraId="447005A9" w14:textId="77777777">
            <w:pPr>
              <w:jc w:val="right"/>
              <w:rPr>
                <w:sz w:val="24"/>
                <w:szCs w:val="24"/>
              </w:rPr>
            </w:pPr>
            <w:r w:rsidRPr="00E11C70">
              <w:rPr>
                <w:sz w:val="24"/>
                <w:szCs w:val="24"/>
              </w:rPr>
              <w:t>$5</w:t>
            </w:r>
            <w:r w:rsidRPr="00E11C70" w:rsidR="00BD16D7">
              <w:rPr>
                <w:sz w:val="24"/>
                <w:szCs w:val="24"/>
              </w:rPr>
              <w:t>,</w:t>
            </w:r>
            <w:r w:rsidRPr="00E11C70">
              <w:rPr>
                <w:sz w:val="24"/>
                <w:szCs w:val="24"/>
              </w:rPr>
              <w:t>403</w:t>
            </w:r>
          </w:p>
        </w:tc>
      </w:tr>
      <w:tr w:rsidRPr="00E11C70" w:rsidR="00F41AD4" w:rsidTr="00441938" w14:paraId="693D838A" w14:textId="77777777">
        <w:tc>
          <w:tcPr>
            <w:tcW w:w="37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F1E8C" w:rsidRDefault="009F1E8C" w14:paraId="4B7B2A29" w14:textId="77777777">
            <w:pPr>
              <w:rPr>
                <w:sz w:val="24"/>
                <w:szCs w:val="24"/>
              </w:rPr>
            </w:pPr>
            <w:r w:rsidRPr="00E11C70">
              <w:rPr>
                <w:bCs/>
                <w:sz w:val="24"/>
                <w:szCs w:val="24"/>
              </w:rPr>
              <w:t>Social and Health Experiences SAQ (SDOH); Adult SAQ – Year 2021</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F1E8C" w:rsidRDefault="00F300DA" w14:paraId="4F0D477A" w14:textId="77777777">
            <w:pPr>
              <w:jc w:val="center"/>
              <w:rPr>
                <w:sz w:val="24"/>
                <w:szCs w:val="24"/>
              </w:rPr>
            </w:pPr>
            <w:r w:rsidRPr="00E11C70">
              <w:rPr>
                <w:sz w:val="24"/>
                <w:szCs w:val="24"/>
              </w:rPr>
              <w:t>2</w:t>
            </w:r>
            <w:r w:rsidRPr="00E11C70" w:rsidR="009F1E8C">
              <w:rPr>
                <w:sz w:val="24"/>
                <w:szCs w:val="24"/>
              </w:rPr>
              <w:t>7</w:t>
            </w:r>
            <w:r w:rsidRPr="00E11C70" w:rsidR="00385052">
              <w:rPr>
                <w:sz w:val="24"/>
                <w:szCs w:val="24"/>
              </w:rPr>
              <w:t>,</w:t>
            </w:r>
            <w:r w:rsidRPr="00E11C70" w:rsidR="009F1E8C">
              <w:rPr>
                <w:sz w:val="24"/>
                <w:szCs w:val="24"/>
              </w:rPr>
              <w:t>059</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F1E8C" w:rsidRDefault="009F1E8C" w14:paraId="4B7BF254" w14:textId="77777777">
            <w:pPr>
              <w:jc w:val="center"/>
              <w:rPr>
                <w:sz w:val="24"/>
                <w:szCs w:val="24"/>
              </w:rPr>
            </w:pPr>
            <w:r w:rsidRPr="00E11C70">
              <w:rPr>
                <w:sz w:val="24"/>
                <w:szCs w:val="24"/>
              </w:rPr>
              <w:t>3,157</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F1E8C" w:rsidRDefault="00F41AD4" w14:paraId="6D0C66A4" w14:textId="77777777">
            <w:pPr>
              <w:jc w:val="center"/>
              <w:rPr>
                <w:sz w:val="24"/>
                <w:szCs w:val="24"/>
              </w:rPr>
            </w:pPr>
            <w:r w:rsidRPr="00E11C70">
              <w:rPr>
                <w:sz w:val="24"/>
                <w:szCs w:val="24"/>
              </w:rPr>
              <w:t>$</w:t>
            </w:r>
            <w:r w:rsidRPr="00E11C70" w:rsidR="00441938">
              <w:rPr>
                <w:sz w:val="24"/>
                <w:szCs w:val="24"/>
              </w:rPr>
              <w:t>2</w:t>
            </w:r>
            <w:r w:rsidRPr="00E11C70" w:rsidR="009F1E8C">
              <w:rPr>
                <w:sz w:val="24"/>
                <w:szCs w:val="24"/>
              </w:rPr>
              <w:t>4</w:t>
            </w:r>
            <w:r w:rsidRPr="00E11C70" w:rsidR="00441938">
              <w:rPr>
                <w:sz w:val="24"/>
                <w:szCs w:val="24"/>
              </w:rPr>
              <w:t>.3</w:t>
            </w:r>
            <w:r w:rsidRPr="00E11C70" w:rsidR="009F1E8C">
              <w:rPr>
                <w:sz w:val="24"/>
                <w:szCs w:val="24"/>
              </w:rPr>
              <w:t>4</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9F1E8C" w:rsidRDefault="004809EC" w14:paraId="0FCA9186" w14:textId="77777777">
            <w:pPr>
              <w:jc w:val="right"/>
              <w:rPr>
                <w:sz w:val="24"/>
                <w:szCs w:val="24"/>
              </w:rPr>
            </w:pPr>
            <w:r w:rsidRPr="00E11C70">
              <w:rPr>
                <w:sz w:val="24"/>
                <w:szCs w:val="24"/>
              </w:rPr>
              <w:t>$</w:t>
            </w:r>
            <w:r w:rsidRPr="00E11C70" w:rsidR="009F1E8C">
              <w:rPr>
                <w:sz w:val="24"/>
                <w:szCs w:val="24"/>
              </w:rPr>
              <w:t>76,841</w:t>
            </w:r>
          </w:p>
        </w:tc>
      </w:tr>
      <w:tr w:rsidRPr="00E11C70" w:rsidR="00F41AD4" w:rsidTr="00441938" w14:paraId="72A86702" w14:textId="77777777">
        <w:tc>
          <w:tcPr>
            <w:tcW w:w="37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2D262B" w:rsidRDefault="00F41AD4" w14:paraId="77EC385F" w14:textId="77777777">
            <w:pPr>
              <w:rPr>
                <w:sz w:val="24"/>
                <w:szCs w:val="24"/>
              </w:rPr>
            </w:pPr>
            <w:r w:rsidRPr="00E11C70">
              <w:rPr>
                <w:sz w:val="24"/>
                <w:szCs w:val="24"/>
              </w:rPr>
              <w:t>Total</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4D2857" w:rsidRDefault="00383D96" w14:paraId="3C3B7C4A" w14:textId="77777777">
            <w:pPr>
              <w:jc w:val="center"/>
              <w:rPr>
                <w:sz w:val="24"/>
                <w:szCs w:val="24"/>
              </w:rPr>
            </w:pPr>
            <w:r w:rsidRPr="00E11C70">
              <w:rPr>
                <w:sz w:val="24"/>
                <w:szCs w:val="24"/>
              </w:rPr>
              <w:t>40,397</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4D2857" w:rsidRDefault="009F1E8C" w14:paraId="511BEC63" w14:textId="77777777">
            <w:pPr>
              <w:jc w:val="center"/>
              <w:rPr>
                <w:sz w:val="24"/>
                <w:szCs w:val="24"/>
              </w:rPr>
            </w:pPr>
            <w:r w:rsidRPr="00E11C70">
              <w:rPr>
                <w:sz w:val="24"/>
                <w:szCs w:val="24"/>
              </w:rPr>
              <w:t>3,</w:t>
            </w:r>
            <w:r w:rsidRPr="00E11C70" w:rsidR="00954654">
              <w:rPr>
                <w:sz w:val="24"/>
                <w:szCs w:val="24"/>
              </w:rPr>
              <w:t>379</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2D262B" w:rsidRDefault="00F41AD4" w14:paraId="37487313" w14:textId="77777777">
            <w:pPr>
              <w:jc w:val="center"/>
              <w:rPr>
                <w:sz w:val="24"/>
                <w:szCs w:val="24"/>
              </w:rPr>
            </w:pPr>
            <w:r w:rsidRPr="00E11C70">
              <w:rPr>
                <w:sz w:val="24"/>
                <w:szCs w:val="24"/>
              </w:rPr>
              <w:t>n/a</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11C70" w:rsidR="00F41AD4" w:rsidP="004D2857" w:rsidRDefault="00F41AD4" w14:paraId="717362F6" w14:textId="77777777">
            <w:pPr>
              <w:jc w:val="right"/>
              <w:rPr>
                <w:sz w:val="24"/>
                <w:szCs w:val="24"/>
              </w:rPr>
            </w:pPr>
            <w:r w:rsidRPr="00E11C70">
              <w:rPr>
                <w:sz w:val="24"/>
                <w:szCs w:val="24"/>
              </w:rPr>
              <w:t>$</w:t>
            </w:r>
            <w:r w:rsidRPr="00E11C70" w:rsidR="002340CB">
              <w:rPr>
                <w:sz w:val="24"/>
                <w:szCs w:val="24"/>
              </w:rPr>
              <w:t>82,244</w:t>
            </w:r>
          </w:p>
        </w:tc>
      </w:tr>
    </w:tbl>
    <w:p w:rsidR="009F1E8C" w:rsidP="002D262B" w:rsidRDefault="002D262B" w14:paraId="4184AA71" w14:textId="77777777">
      <w:pPr>
        <w:rPr>
          <w:bCs/>
        </w:rPr>
      </w:pPr>
      <w:r w:rsidRPr="00E11C70">
        <w:t>*</w:t>
      </w:r>
      <w:r w:rsidRPr="00E11C70" w:rsidR="009F1E8C">
        <w:rPr>
          <w:bCs/>
        </w:rPr>
        <w:t xml:space="preserve"> Mean hourly wage for All Occupations (00-0000)</w:t>
      </w:r>
    </w:p>
    <w:p w:rsidR="002D262B" w:rsidP="002D262B" w:rsidRDefault="009F1E8C" w14:paraId="198B8E7D" w14:textId="77777777">
      <w:r w:rsidRPr="005622E0">
        <w:rPr>
          <w:sz w:val="24"/>
          <w:szCs w:val="24"/>
        </w:rPr>
        <w:t>Occupational Employment Statistics, May 2017 National Occupational Employment and Wage Estimates United States, U.S. Department of Labor, Bureau of Labor Statistics.</w:t>
      </w:r>
    </w:p>
    <w:p w:rsidR="00FD1E6F" w:rsidP="002D262B" w:rsidRDefault="00FD1E6F" w14:paraId="19E6184C" w14:textId="77777777"/>
    <w:p w:rsidRPr="00C15767" w:rsidR="002D262B" w:rsidP="002D262B" w:rsidRDefault="00C15767" w14:paraId="2B3EC8A5" w14:textId="77777777">
      <w:pPr>
        <w:pStyle w:val="Heading2"/>
        <w:rPr>
          <w:color w:val="auto"/>
          <w:sz w:val="24"/>
          <w:szCs w:val="24"/>
        </w:rPr>
      </w:pPr>
      <w:bookmarkStart w:name="_Toc290559164" w:id="20"/>
      <w:r>
        <w:rPr>
          <w:color w:val="auto"/>
          <w:sz w:val="24"/>
          <w:szCs w:val="24"/>
        </w:rPr>
        <w:t>13</w:t>
      </w:r>
      <w:r w:rsidRPr="008C5826" w:rsidR="002D262B">
        <w:rPr>
          <w:color w:val="auto"/>
          <w:sz w:val="24"/>
          <w:szCs w:val="24"/>
        </w:rPr>
        <w:t xml:space="preserve">.   </w:t>
      </w:r>
      <w:r w:rsidRPr="008F00D1" w:rsidR="008F00D1">
        <w:rPr>
          <w:color w:val="auto"/>
          <w:sz w:val="24"/>
          <w:szCs w:val="24"/>
          <w:u w:val="single"/>
        </w:rPr>
        <w:t>Estimates of Annualized Respondent Capital and Maintenance Costs</w:t>
      </w:r>
      <w:bookmarkEnd w:id="20"/>
    </w:p>
    <w:p w:rsidRPr="00C15767" w:rsidR="002D262B" w:rsidP="002D262B" w:rsidRDefault="002D262B" w14:paraId="22A41BCA" w14:textId="77777777">
      <w:pPr>
        <w:rPr>
          <w:sz w:val="24"/>
          <w:szCs w:val="24"/>
        </w:rPr>
      </w:pPr>
    </w:p>
    <w:p w:rsidR="00A5243C" w:rsidP="00A5243C" w:rsidRDefault="00A5243C" w14:paraId="0CCAD08E" w14:textId="77777777">
      <w:pPr>
        <w:spacing w:before="120"/>
        <w:rPr>
          <w:sz w:val="24"/>
          <w:szCs w:val="24"/>
        </w:rPr>
      </w:pPr>
      <w:r w:rsidRPr="00420A8F">
        <w:rPr>
          <w:sz w:val="24"/>
          <w:szCs w:val="24"/>
        </w:rPr>
        <w:t xml:space="preserve">Capital and maintenance costs include the purchase of equipment, computers or computer software or services, or storage facilities for records, as a result of complying with this data </w:t>
      </w:r>
      <w:r w:rsidRPr="00420A8F">
        <w:rPr>
          <w:sz w:val="24"/>
          <w:szCs w:val="24"/>
        </w:rPr>
        <w:lastRenderedPageBreak/>
        <w:t>collection.  There are no direct costs to respondents other than their time to participate in the study.</w:t>
      </w:r>
    </w:p>
    <w:p w:rsidRPr="00420A8F" w:rsidR="00322EE4" w:rsidP="00A5243C" w:rsidRDefault="00322EE4" w14:paraId="5BAF8597" w14:textId="77777777">
      <w:pPr>
        <w:spacing w:before="120"/>
        <w:rPr>
          <w:sz w:val="24"/>
          <w:szCs w:val="24"/>
        </w:rPr>
      </w:pPr>
    </w:p>
    <w:p w:rsidRPr="00645B1A" w:rsidR="002D262B" w:rsidP="002D262B" w:rsidRDefault="00C15767" w14:paraId="77A4DFEC" w14:textId="77777777">
      <w:pPr>
        <w:pStyle w:val="Heading2"/>
        <w:rPr>
          <w:color w:val="auto"/>
          <w:sz w:val="24"/>
          <w:szCs w:val="24"/>
        </w:rPr>
      </w:pPr>
      <w:bookmarkStart w:name="_Toc290559165" w:id="21"/>
      <w:r w:rsidRPr="00645B1A">
        <w:rPr>
          <w:color w:val="auto"/>
          <w:sz w:val="24"/>
          <w:szCs w:val="24"/>
        </w:rPr>
        <w:t>14</w:t>
      </w:r>
      <w:r w:rsidRPr="00645B1A" w:rsidR="002D262B">
        <w:rPr>
          <w:color w:val="auto"/>
          <w:sz w:val="24"/>
          <w:szCs w:val="24"/>
        </w:rPr>
        <w:t xml:space="preserve">.  </w:t>
      </w:r>
      <w:r w:rsidRPr="006E3499" w:rsidR="002D262B">
        <w:rPr>
          <w:color w:val="auto"/>
          <w:sz w:val="24"/>
          <w:szCs w:val="24"/>
          <w:u w:val="single"/>
        </w:rPr>
        <w:t>Estimates of Annualized Cost to the Government</w:t>
      </w:r>
      <w:bookmarkEnd w:id="21"/>
    </w:p>
    <w:p w:rsidRPr="00645B1A" w:rsidR="002D262B" w:rsidP="002D262B" w:rsidRDefault="002D262B" w14:paraId="0B2F5A6C" w14:textId="77777777">
      <w:pPr>
        <w:rPr>
          <w:sz w:val="24"/>
          <w:szCs w:val="24"/>
        </w:rPr>
      </w:pPr>
    </w:p>
    <w:p w:rsidR="002D262B" w:rsidP="002D262B" w:rsidRDefault="002D262B" w14:paraId="32AC941D" w14:textId="77777777">
      <w:pPr>
        <w:rPr>
          <w:sz w:val="24"/>
          <w:szCs w:val="24"/>
        </w:rPr>
      </w:pPr>
      <w:bookmarkStart w:name="OLE_LINK6" w:id="22"/>
      <w:r w:rsidRPr="00645B1A">
        <w:rPr>
          <w:sz w:val="24"/>
          <w:szCs w:val="24"/>
        </w:rPr>
        <w:t xml:space="preserve">Exhibit 3 shows the estimated total cost for </w:t>
      </w:r>
      <w:r w:rsidRPr="00E11C70" w:rsidR="00336855">
        <w:rPr>
          <w:sz w:val="24"/>
          <w:szCs w:val="24"/>
        </w:rPr>
        <w:t xml:space="preserve">the COVID-19 </w:t>
      </w:r>
      <w:r w:rsidRPr="00E11C70" w:rsidR="00954654">
        <w:rPr>
          <w:sz w:val="24"/>
          <w:szCs w:val="24"/>
        </w:rPr>
        <w:t xml:space="preserve">questions that include </w:t>
      </w:r>
      <w:r w:rsidRPr="00E11C70" w:rsidR="00336855">
        <w:rPr>
          <w:sz w:val="24"/>
          <w:szCs w:val="24"/>
        </w:rPr>
        <w:t>telehealth</w:t>
      </w:r>
      <w:r w:rsidRPr="00E11C70" w:rsidR="00954654">
        <w:rPr>
          <w:sz w:val="24"/>
          <w:szCs w:val="24"/>
        </w:rPr>
        <w:t xml:space="preserve"> (telemedicine)</w:t>
      </w:r>
      <w:r w:rsidRPr="00E11C70" w:rsidR="00336855">
        <w:rPr>
          <w:sz w:val="24"/>
          <w:szCs w:val="24"/>
        </w:rPr>
        <w:t xml:space="preserve"> questions.  Since the COVID-19 and telehealth </w:t>
      </w:r>
      <w:r w:rsidRPr="00E11C70" w:rsidR="00954654">
        <w:rPr>
          <w:sz w:val="24"/>
          <w:szCs w:val="24"/>
        </w:rPr>
        <w:t xml:space="preserve">(telemedicine) </w:t>
      </w:r>
      <w:r w:rsidRPr="00E11C70" w:rsidR="00336855">
        <w:rPr>
          <w:sz w:val="24"/>
          <w:szCs w:val="24"/>
        </w:rPr>
        <w:t xml:space="preserve">questions are part of the core questionnaire there is no additional cost.  </w:t>
      </w:r>
      <w:r w:rsidRPr="00E11C70" w:rsidR="00E1076D">
        <w:rPr>
          <w:sz w:val="24"/>
          <w:szCs w:val="24"/>
        </w:rPr>
        <w:t xml:space="preserve"> </w:t>
      </w:r>
      <w:r w:rsidRPr="00E11C70" w:rsidR="006075C5">
        <w:rPr>
          <w:sz w:val="24"/>
          <w:szCs w:val="24"/>
        </w:rPr>
        <w:t xml:space="preserve"> </w:t>
      </w:r>
      <w:r w:rsidRPr="00E11C70" w:rsidR="00D51955">
        <w:rPr>
          <w:sz w:val="24"/>
          <w:szCs w:val="24"/>
        </w:rPr>
        <w:t>The</w:t>
      </w:r>
      <w:r w:rsidRPr="00E11C70" w:rsidR="006075C5">
        <w:rPr>
          <w:sz w:val="24"/>
          <w:szCs w:val="24"/>
        </w:rPr>
        <w:t xml:space="preserve"> SAQ will only be used once in </w:t>
      </w:r>
      <w:r w:rsidRPr="00E11C70" w:rsidR="00E555D1">
        <w:rPr>
          <w:sz w:val="24"/>
          <w:szCs w:val="24"/>
        </w:rPr>
        <w:t xml:space="preserve">2021 </w:t>
      </w:r>
      <w:r w:rsidRPr="00E11C70" w:rsidR="00D51955">
        <w:rPr>
          <w:sz w:val="24"/>
          <w:szCs w:val="24"/>
        </w:rPr>
        <w:t>so that the</w:t>
      </w:r>
      <w:r w:rsidRPr="00E11C70" w:rsidR="006075C5">
        <w:rPr>
          <w:sz w:val="24"/>
          <w:szCs w:val="24"/>
        </w:rPr>
        <w:t xml:space="preserve"> total and annual costs are identical.  The total cost is approximately $1,</w:t>
      </w:r>
      <w:r w:rsidRPr="00E11C70" w:rsidR="00E7447A">
        <w:rPr>
          <w:sz w:val="24"/>
          <w:szCs w:val="24"/>
        </w:rPr>
        <w:t>182</w:t>
      </w:r>
      <w:r w:rsidRPr="00E11C70" w:rsidR="006075C5">
        <w:rPr>
          <w:sz w:val="24"/>
          <w:szCs w:val="24"/>
        </w:rPr>
        <w:t>,</w:t>
      </w:r>
      <w:r w:rsidRPr="00E11C70" w:rsidR="00E7447A">
        <w:rPr>
          <w:sz w:val="24"/>
          <w:szCs w:val="24"/>
        </w:rPr>
        <w:t>5</w:t>
      </w:r>
      <w:r w:rsidRPr="00E11C70" w:rsidR="006075C5">
        <w:rPr>
          <w:sz w:val="24"/>
          <w:szCs w:val="24"/>
        </w:rPr>
        <w:t>00</w:t>
      </w:r>
      <w:r w:rsidRPr="00E11C70">
        <w:rPr>
          <w:sz w:val="24"/>
          <w:szCs w:val="24"/>
        </w:rPr>
        <w:t>.</w:t>
      </w:r>
      <w:r w:rsidRPr="00645B1A">
        <w:rPr>
          <w:sz w:val="24"/>
          <w:szCs w:val="24"/>
        </w:rPr>
        <w:t xml:space="preserve"> </w:t>
      </w:r>
    </w:p>
    <w:p w:rsidR="00E1076D" w:rsidP="002D262B" w:rsidRDefault="00E1076D" w14:paraId="21BADCD3" w14:textId="77777777">
      <w:pPr>
        <w:rPr>
          <w:sz w:val="24"/>
          <w:szCs w:val="24"/>
        </w:rPr>
      </w:pPr>
    </w:p>
    <w:p w:rsidRPr="00385052" w:rsidR="00E1076D" w:rsidP="00E1076D" w:rsidRDefault="006075C5" w14:paraId="18B65EA6" w14:textId="77777777">
      <w:pPr>
        <w:rPr>
          <w:sz w:val="24"/>
          <w:szCs w:val="24"/>
        </w:rPr>
      </w:pPr>
      <w:r w:rsidRPr="006075C5">
        <w:rPr>
          <w:b/>
          <w:bCs/>
          <w:color w:val="000000"/>
          <w:sz w:val="24"/>
          <w:szCs w:val="24"/>
        </w:rPr>
        <w:t>Exhibit 3.  Estimated Total and Annualized Cost</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3108"/>
        <w:gridCol w:w="1752"/>
        <w:gridCol w:w="1620"/>
      </w:tblGrid>
      <w:tr w:rsidRPr="00385052" w:rsidR="00E1076D" w:rsidTr="00D51955" w14:paraId="49696CC8" w14:textId="77777777">
        <w:tc>
          <w:tcPr>
            <w:tcW w:w="31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85052" w:rsidR="00E1076D" w:rsidP="00D51955" w:rsidRDefault="006075C5" w14:paraId="2759D189" w14:textId="77777777">
            <w:pPr>
              <w:rPr>
                <w:b/>
                <w:sz w:val="24"/>
                <w:szCs w:val="24"/>
              </w:rPr>
            </w:pPr>
            <w:r w:rsidRPr="006075C5">
              <w:rPr>
                <w:b/>
                <w:color w:val="000000"/>
                <w:sz w:val="24"/>
                <w:szCs w:val="24"/>
              </w:rPr>
              <w:t xml:space="preserve">Cost Component </w:t>
            </w:r>
          </w:p>
        </w:tc>
        <w:tc>
          <w:tcPr>
            <w:tcW w:w="17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3BC83655" w14:textId="77777777">
            <w:pPr>
              <w:jc w:val="center"/>
              <w:rPr>
                <w:b/>
                <w:sz w:val="24"/>
                <w:szCs w:val="24"/>
              </w:rPr>
            </w:pPr>
            <w:r w:rsidRPr="006075C5">
              <w:rPr>
                <w:b/>
                <w:sz w:val="24"/>
                <w:szCs w:val="24"/>
              </w:rPr>
              <w:t>Total Cost</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0AD93240" w14:textId="77777777">
            <w:pPr>
              <w:jc w:val="center"/>
              <w:rPr>
                <w:b/>
                <w:sz w:val="24"/>
                <w:szCs w:val="24"/>
              </w:rPr>
            </w:pPr>
            <w:r w:rsidRPr="006075C5">
              <w:rPr>
                <w:b/>
                <w:sz w:val="24"/>
                <w:szCs w:val="24"/>
              </w:rPr>
              <w:t>Annualized Cost</w:t>
            </w:r>
          </w:p>
        </w:tc>
      </w:tr>
      <w:tr w:rsidRPr="00385052" w:rsidR="00E1076D" w:rsidTr="00D51955" w14:paraId="230D234F"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6C7F22F3" w14:textId="77777777">
            <w:pPr>
              <w:rPr>
                <w:sz w:val="24"/>
                <w:szCs w:val="24"/>
              </w:rPr>
            </w:pPr>
            <w:r w:rsidRPr="006075C5">
              <w:rPr>
                <w:sz w:val="24"/>
                <w:szCs w:val="24"/>
              </w:rPr>
              <w:t>Sampling Activities</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646CAC80" w14:textId="77777777">
            <w:pPr>
              <w:jc w:val="right"/>
              <w:rPr>
                <w:sz w:val="24"/>
                <w:szCs w:val="24"/>
              </w:rPr>
            </w:pPr>
            <w:r w:rsidRPr="006075C5">
              <w:rPr>
                <w:sz w:val="24"/>
                <w:szCs w:val="24"/>
              </w:rPr>
              <w:t>2</w:t>
            </w:r>
            <w:r w:rsidR="00E7447A">
              <w:rPr>
                <w:sz w:val="24"/>
                <w:szCs w:val="24"/>
              </w:rPr>
              <w:t>2,500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38229DD1" w14:textId="77777777">
            <w:pPr>
              <w:jc w:val="right"/>
              <w:rPr>
                <w:sz w:val="24"/>
                <w:szCs w:val="24"/>
              </w:rPr>
            </w:pPr>
            <w:r w:rsidRPr="006075C5">
              <w:rPr>
                <w:sz w:val="24"/>
                <w:szCs w:val="24"/>
              </w:rPr>
              <w:t>2</w:t>
            </w:r>
            <w:r w:rsidR="00E7447A">
              <w:rPr>
                <w:sz w:val="24"/>
                <w:szCs w:val="24"/>
              </w:rPr>
              <w:t>2,500</w:t>
            </w:r>
          </w:p>
        </w:tc>
      </w:tr>
      <w:tr w:rsidRPr="00385052" w:rsidR="00E1076D" w:rsidTr="00D51955" w14:paraId="607339D0"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4A105302" w14:textId="77777777">
            <w:pPr>
              <w:rPr>
                <w:sz w:val="24"/>
                <w:szCs w:val="24"/>
              </w:rPr>
            </w:pPr>
            <w:r w:rsidRPr="006075C5">
              <w:rPr>
                <w:sz w:val="24"/>
                <w:szCs w:val="24"/>
              </w:rPr>
              <w:t>Interviewer Recruitment and Training</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6F4D4E3D" w14:textId="77777777">
            <w:pPr>
              <w:jc w:val="right"/>
              <w:rPr>
                <w:sz w:val="24"/>
                <w:szCs w:val="24"/>
              </w:rPr>
            </w:pPr>
            <w:r w:rsidRPr="006075C5">
              <w:rPr>
                <w:sz w:val="24"/>
                <w:szCs w:val="24"/>
              </w:rPr>
              <w:t>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03BF6430" w14:textId="77777777">
            <w:pPr>
              <w:jc w:val="right"/>
              <w:rPr>
                <w:sz w:val="24"/>
                <w:szCs w:val="24"/>
              </w:rPr>
            </w:pPr>
            <w:r w:rsidRPr="006075C5">
              <w:rPr>
                <w:sz w:val="24"/>
                <w:szCs w:val="24"/>
              </w:rPr>
              <w:t>0</w:t>
            </w:r>
          </w:p>
        </w:tc>
      </w:tr>
      <w:tr w:rsidRPr="00385052" w:rsidR="00E1076D" w:rsidTr="00D51955" w14:paraId="0C16042B"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3F7DB921" w14:textId="77777777">
            <w:pPr>
              <w:rPr>
                <w:sz w:val="24"/>
                <w:szCs w:val="24"/>
              </w:rPr>
            </w:pPr>
            <w:r w:rsidRPr="006075C5">
              <w:rPr>
                <w:sz w:val="24"/>
                <w:szCs w:val="24"/>
              </w:rPr>
              <w:t>Data Collection Activities</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5533F54A" w14:textId="77777777">
            <w:pPr>
              <w:jc w:val="right"/>
              <w:rPr>
                <w:sz w:val="24"/>
                <w:szCs w:val="24"/>
              </w:rPr>
            </w:pPr>
            <w:r w:rsidRPr="006075C5">
              <w:rPr>
                <w:sz w:val="24"/>
                <w:szCs w:val="24"/>
              </w:rPr>
              <w:t>3</w:t>
            </w:r>
            <w:r w:rsidR="00E7447A">
              <w:rPr>
                <w:sz w:val="24"/>
                <w:szCs w:val="24"/>
              </w:rPr>
              <w:t>40</w:t>
            </w:r>
            <w:r w:rsidRPr="006075C5">
              <w:rPr>
                <w:sz w:val="24"/>
                <w:szCs w:val="24"/>
              </w:rPr>
              <w:t>,000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4555EA9B" w14:textId="77777777">
            <w:pPr>
              <w:jc w:val="right"/>
              <w:rPr>
                <w:sz w:val="24"/>
                <w:szCs w:val="24"/>
              </w:rPr>
            </w:pPr>
            <w:r w:rsidRPr="006075C5">
              <w:rPr>
                <w:sz w:val="24"/>
                <w:szCs w:val="24"/>
              </w:rPr>
              <w:t>3</w:t>
            </w:r>
            <w:r w:rsidR="00E7447A">
              <w:rPr>
                <w:sz w:val="24"/>
                <w:szCs w:val="24"/>
              </w:rPr>
              <w:t>40</w:t>
            </w:r>
            <w:r w:rsidRPr="006075C5">
              <w:rPr>
                <w:sz w:val="24"/>
                <w:szCs w:val="24"/>
              </w:rPr>
              <w:t>,000</w:t>
            </w:r>
          </w:p>
        </w:tc>
      </w:tr>
      <w:tr w:rsidRPr="00385052" w:rsidR="00E1076D" w:rsidTr="00D51955" w14:paraId="123BC52A"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43AAA084" w14:textId="77777777">
            <w:pPr>
              <w:rPr>
                <w:sz w:val="24"/>
                <w:szCs w:val="24"/>
              </w:rPr>
            </w:pPr>
            <w:r w:rsidRPr="006075C5">
              <w:rPr>
                <w:sz w:val="24"/>
                <w:szCs w:val="24"/>
              </w:rPr>
              <w:t>Data Processing</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03DCB8F4" w14:textId="77777777">
            <w:pPr>
              <w:jc w:val="right"/>
              <w:rPr>
                <w:sz w:val="24"/>
                <w:szCs w:val="24"/>
              </w:rPr>
            </w:pPr>
            <w:r w:rsidRPr="006075C5">
              <w:rPr>
                <w:sz w:val="24"/>
                <w:szCs w:val="24"/>
              </w:rPr>
              <w:t>6</w:t>
            </w:r>
            <w:r w:rsidR="00E7447A">
              <w:rPr>
                <w:sz w:val="24"/>
                <w:szCs w:val="24"/>
              </w:rPr>
              <w:t>75</w:t>
            </w:r>
            <w:r w:rsidRPr="006075C5">
              <w:rPr>
                <w:sz w:val="24"/>
                <w:szCs w:val="24"/>
              </w:rPr>
              <w:t>,000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45B029AE" w14:textId="77777777">
            <w:pPr>
              <w:keepNext/>
              <w:spacing w:before="100" w:after="100"/>
              <w:jc w:val="right"/>
              <w:outlineLvl w:val="3"/>
              <w:rPr>
                <w:sz w:val="24"/>
                <w:szCs w:val="24"/>
              </w:rPr>
            </w:pPr>
            <w:r w:rsidRPr="006075C5">
              <w:rPr>
                <w:sz w:val="24"/>
                <w:szCs w:val="24"/>
              </w:rPr>
              <w:t>6</w:t>
            </w:r>
            <w:r w:rsidR="00E7447A">
              <w:rPr>
                <w:sz w:val="24"/>
                <w:szCs w:val="24"/>
              </w:rPr>
              <w:t>75</w:t>
            </w:r>
            <w:r w:rsidRPr="006075C5">
              <w:rPr>
                <w:sz w:val="24"/>
                <w:szCs w:val="24"/>
              </w:rPr>
              <w:t>,000</w:t>
            </w:r>
          </w:p>
        </w:tc>
      </w:tr>
      <w:tr w:rsidRPr="00385052" w:rsidR="00E1076D" w:rsidTr="00D51955" w14:paraId="20BD52D9"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1A07A4A4" w14:textId="77777777">
            <w:pPr>
              <w:keepNext/>
              <w:spacing w:before="100" w:after="100"/>
              <w:outlineLvl w:val="3"/>
              <w:rPr>
                <w:sz w:val="24"/>
                <w:szCs w:val="24"/>
              </w:rPr>
            </w:pPr>
            <w:r w:rsidRPr="006075C5">
              <w:rPr>
                <w:sz w:val="24"/>
                <w:szCs w:val="24"/>
              </w:rPr>
              <w:t>Production of Public Use Data Files</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E7447A" w14:paraId="3243ECE3" w14:textId="77777777">
            <w:pPr>
              <w:keepNext/>
              <w:spacing w:before="100" w:after="100"/>
              <w:jc w:val="right"/>
              <w:outlineLvl w:val="3"/>
              <w:rPr>
                <w:sz w:val="24"/>
                <w:szCs w:val="24"/>
              </w:rPr>
            </w:pPr>
            <w:r>
              <w:rPr>
                <w:sz w:val="24"/>
                <w:szCs w:val="24"/>
              </w:rPr>
              <w:t>9</w:t>
            </w:r>
            <w:r w:rsidRPr="006075C5" w:rsidR="006075C5">
              <w:rPr>
                <w:sz w:val="24"/>
                <w:szCs w:val="24"/>
              </w:rPr>
              <w:t>0,000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E7447A" w14:paraId="72E39AFA" w14:textId="77777777">
            <w:pPr>
              <w:keepNext/>
              <w:spacing w:before="100" w:after="100"/>
              <w:jc w:val="right"/>
              <w:outlineLvl w:val="3"/>
              <w:rPr>
                <w:sz w:val="24"/>
                <w:szCs w:val="24"/>
              </w:rPr>
            </w:pPr>
            <w:r>
              <w:rPr>
                <w:sz w:val="24"/>
                <w:szCs w:val="24"/>
              </w:rPr>
              <w:t>9</w:t>
            </w:r>
            <w:r w:rsidRPr="006075C5" w:rsidR="006075C5">
              <w:rPr>
                <w:sz w:val="24"/>
                <w:szCs w:val="24"/>
              </w:rPr>
              <w:t>0,000</w:t>
            </w:r>
          </w:p>
        </w:tc>
      </w:tr>
      <w:tr w:rsidRPr="00385052" w:rsidR="00E1076D" w:rsidTr="00D51955" w14:paraId="1D4BC194"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1A200336" w14:textId="77777777">
            <w:pPr>
              <w:keepNext/>
              <w:spacing w:before="100" w:after="100"/>
              <w:outlineLvl w:val="3"/>
              <w:rPr>
                <w:sz w:val="24"/>
                <w:szCs w:val="24"/>
              </w:rPr>
            </w:pPr>
            <w:r w:rsidRPr="006075C5">
              <w:rPr>
                <w:sz w:val="24"/>
                <w:szCs w:val="24"/>
              </w:rPr>
              <w:t>Project Management</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5927E0D1" w14:textId="77777777">
            <w:pPr>
              <w:keepNext/>
              <w:spacing w:before="100" w:after="100"/>
              <w:jc w:val="right"/>
              <w:outlineLvl w:val="3"/>
              <w:rPr>
                <w:sz w:val="24"/>
                <w:szCs w:val="24"/>
              </w:rPr>
            </w:pPr>
            <w:r w:rsidRPr="006075C5">
              <w:rPr>
                <w:sz w:val="24"/>
                <w:szCs w:val="24"/>
              </w:rPr>
              <w:t>5</w:t>
            </w:r>
            <w:r w:rsidR="00E7447A">
              <w:rPr>
                <w:sz w:val="24"/>
                <w:szCs w:val="24"/>
              </w:rPr>
              <w:t>5</w:t>
            </w:r>
            <w:r w:rsidRPr="006075C5">
              <w:rPr>
                <w:sz w:val="24"/>
                <w:szCs w:val="24"/>
              </w:rPr>
              <w:t>,000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69E8A696" w14:textId="77777777">
            <w:pPr>
              <w:keepNext/>
              <w:spacing w:before="100" w:after="100"/>
              <w:jc w:val="right"/>
              <w:outlineLvl w:val="3"/>
              <w:rPr>
                <w:sz w:val="24"/>
                <w:szCs w:val="24"/>
              </w:rPr>
            </w:pPr>
            <w:r w:rsidRPr="006075C5">
              <w:rPr>
                <w:sz w:val="24"/>
                <w:szCs w:val="24"/>
              </w:rPr>
              <w:t>5</w:t>
            </w:r>
            <w:r w:rsidR="00E7447A">
              <w:rPr>
                <w:sz w:val="24"/>
                <w:szCs w:val="24"/>
              </w:rPr>
              <w:t>5</w:t>
            </w:r>
            <w:r w:rsidRPr="006075C5">
              <w:rPr>
                <w:sz w:val="24"/>
                <w:szCs w:val="24"/>
              </w:rPr>
              <w:t>,000</w:t>
            </w:r>
          </w:p>
        </w:tc>
      </w:tr>
      <w:tr w:rsidRPr="00385052" w:rsidR="00E1076D" w:rsidTr="00D51955" w14:paraId="328899B5" w14:textId="77777777">
        <w:tc>
          <w:tcPr>
            <w:tcW w:w="31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85052" w:rsidR="00E1076D" w:rsidP="00D51955" w:rsidRDefault="006075C5" w14:paraId="7E4E129E" w14:textId="77777777">
            <w:pPr>
              <w:keepNext/>
              <w:spacing w:before="100" w:after="100"/>
              <w:outlineLvl w:val="3"/>
              <w:rPr>
                <w:sz w:val="24"/>
                <w:szCs w:val="24"/>
              </w:rPr>
            </w:pPr>
            <w:r w:rsidRPr="006075C5">
              <w:rPr>
                <w:b/>
                <w:bCs/>
                <w:color w:val="000000"/>
                <w:sz w:val="24"/>
                <w:szCs w:val="24"/>
              </w:rPr>
              <w:t>Total</w:t>
            </w:r>
          </w:p>
        </w:tc>
        <w:tc>
          <w:tcPr>
            <w:tcW w:w="1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142D3F06" w14:textId="77777777">
            <w:pPr>
              <w:keepNext/>
              <w:spacing w:before="100" w:after="100"/>
              <w:jc w:val="right"/>
              <w:outlineLvl w:val="3"/>
              <w:rPr>
                <w:sz w:val="24"/>
                <w:szCs w:val="24"/>
              </w:rPr>
            </w:pPr>
            <w:r w:rsidRPr="006075C5">
              <w:rPr>
                <w:sz w:val="24"/>
                <w:szCs w:val="24"/>
              </w:rPr>
              <w:t>1,</w:t>
            </w:r>
            <w:r w:rsidR="00E7447A">
              <w:rPr>
                <w:sz w:val="24"/>
                <w:szCs w:val="24"/>
              </w:rPr>
              <w:t>182</w:t>
            </w:r>
            <w:r w:rsidRPr="006075C5">
              <w:rPr>
                <w:sz w:val="24"/>
                <w:szCs w:val="24"/>
              </w:rPr>
              <w:t>,</w:t>
            </w:r>
            <w:r w:rsidR="00E7447A">
              <w:rPr>
                <w:sz w:val="24"/>
                <w:szCs w:val="24"/>
              </w:rPr>
              <w:t>5</w:t>
            </w:r>
            <w:r w:rsidRPr="006075C5">
              <w:rPr>
                <w:sz w:val="24"/>
                <w:szCs w:val="24"/>
              </w:rPr>
              <w:t>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85052" w:rsidR="00E1076D" w:rsidP="00D51955" w:rsidRDefault="006075C5" w14:paraId="26D773F7" w14:textId="77777777">
            <w:pPr>
              <w:keepNext/>
              <w:spacing w:before="100" w:after="100"/>
              <w:jc w:val="right"/>
              <w:outlineLvl w:val="3"/>
              <w:rPr>
                <w:sz w:val="24"/>
                <w:szCs w:val="24"/>
              </w:rPr>
            </w:pPr>
            <w:r w:rsidRPr="006075C5">
              <w:rPr>
                <w:sz w:val="24"/>
                <w:szCs w:val="24"/>
              </w:rPr>
              <w:t>1,</w:t>
            </w:r>
            <w:r w:rsidR="00E7447A">
              <w:rPr>
                <w:sz w:val="24"/>
                <w:szCs w:val="24"/>
              </w:rPr>
              <w:t>182</w:t>
            </w:r>
            <w:r w:rsidRPr="006075C5">
              <w:rPr>
                <w:sz w:val="24"/>
                <w:szCs w:val="24"/>
              </w:rPr>
              <w:t>,</w:t>
            </w:r>
            <w:r w:rsidR="00E7447A">
              <w:rPr>
                <w:sz w:val="24"/>
                <w:szCs w:val="24"/>
              </w:rPr>
              <w:t>5</w:t>
            </w:r>
            <w:r w:rsidRPr="006075C5">
              <w:rPr>
                <w:sz w:val="24"/>
                <w:szCs w:val="24"/>
              </w:rPr>
              <w:t>00</w:t>
            </w:r>
          </w:p>
        </w:tc>
      </w:tr>
    </w:tbl>
    <w:p w:rsidRPr="00645B1A" w:rsidR="00E1076D" w:rsidP="002D262B" w:rsidRDefault="00D51955" w14:paraId="3D7D7977" w14:textId="77777777">
      <w:pPr>
        <w:rPr>
          <w:sz w:val="24"/>
          <w:szCs w:val="24"/>
        </w:rPr>
      </w:pPr>
      <w:r>
        <w:rPr>
          <w:sz w:val="24"/>
          <w:szCs w:val="24"/>
        </w:rPr>
        <w:br w:type="textWrapping" w:clear="all"/>
      </w:r>
    </w:p>
    <w:p w:rsidRPr="008C5826" w:rsidR="002D262B" w:rsidP="002D262B" w:rsidRDefault="002D262B" w14:paraId="11A9935D" w14:textId="77777777">
      <w:pPr>
        <w:pStyle w:val="Heading2"/>
        <w:rPr>
          <w:color w:val="auto"/>
          <w:sz w:val="24"/>
          <w:szCs w:val="24"/>
        </w:rPr>
      </w:pPr>
      <w:bookmarkStart w:name="_Toc290559166" w:id="23"/>
      <w:bookmarkEnd w:id="22"/>
      <w:r w:rsidRPr="008C5826">
        <w:rPr>
          <w:color w:val="auto"/>
          <w:sz w:val="24"/>
          <w:szCs w:val="24"/>
        </w:rPr>
        <w:t>1</w:t>
      </w:r>
      <w:r w:rsidR="00C15767">
        <w:rPr>
          <w:color w:val="auto"/>
          <w:sz w:val="24"/>
          <w:szCs w:val="24"/>
        </w:rPr>
        <w:t>5</w:t>
      </w:r>
      <w:r w:rsidRPr="008C5826">
        <w:rPr>
          <w:color w:val="auto"/>
          <w:sz w:val="24"/>
          <w:szCs w:val="24"/>
        </w:rPr>
        <w:t xml:space="preserve">.  </w:t>
      </w:r>
      <w:r w:rsidRPr="008C5826">
        <w:rPr>
          <w:color w:val="auto"/>
          <w:sz w:val="24"/>
          <w:szCs w:val="24"/>
          <w:u w:val="single"/>
        </w:rPr>
        <w:t>Change in Burden</w:t>
      </w:r>
      <w:bookmarkEnd w:id="23"/>
    </w:p>
    <w:p w:rsidRPr="00CB177A" w:rsidR="00C8297F" w:rsidP="002D262B" w:rsidRDefault="00C8297F" w14:paraId="3187150D" w14:textId="77777777">
      <w:pPr>
        <w:rPr>
          <w:sz w:val="24"/>
          <w:szCs w:val="24"/>
        </w:rPr>
      </w:pPr>
    </w:p>
    <w:p w:rsidRPr="00E11C70" w:rsidR="002D262B" w:rsidP="002D262B" w:rsidRDefault="00C8297F" w14:paraId="263F6B64" w14:textId="77777777">
      <w:pPr>
        <w:rPr>
          <w:sz w:val="24"/>
          <w:szCs w:val="24"/>
        </w:rPr>
      </w:pPr>
      <w:r w:rsidRPr="00E11C70">
        <w:rPr>
          <w:sz w:val="24"/>
          <w:szCs w:val="24"/>
        </w:rPr>
        <w:t>The total estimated annual burden hours for the MEPS increased 3,</w:t>
      </w:r>
      <w:r w:rsidRPr="00E11C70" w:rsidR="00D51955">
        <w:rPr>
          <w:sz w:val="24"/>
          <w:szCs w:val="24"/>
        </w:rPr>
        <w:t>379</w:t>
      </w:r>
      <w:r w:rsidRPr="00E11C70">
        <w:rPr>
          <w:sz w:val="24"/>
          <w:szCs w:val="24"/>
        </w:rPr>
        <w:t xml:space="preserve"> hours is due to the addition </w:t>
      </w:r>
      <w:r w:rsidRPr="00E11C70" w:rsidR="00336855">
        <w:rPr>
          <w:sz w:val="24"/>
          <w:szCs w:val="24"/>
        </w:rPr>
        <w:t xml:space="preserve">of the COVID-19 </w:t>
      </w:r>
      <w:r w:rsidRPr="00E11C70" w:rsidR="00954654">
        <w:rPr>
          <w:sz w:val="24"/>
          <w:szCs w:val="24"/>
        </w:rPr>
        <w:t xml:space="preserve">related questions, including </w:t>
      </w:r>
      <w:r w:rsidRPr="00E11C70" w:rsidR="00336855">
        <w:rPr>
          <w:sz w:val="24"/>
          <w:szCs w:val="24"/>
        </w:rPr>
        <w:t xml:space="preserve">telehealth </w:t>
      </w:r>
      <w:r w:rsidRPr="00E11C70" w:rsidR="00954654">
        <w:rPr>
          <w:sz w:val="24"/>
          <w:szCs w:val="24"/>
        </w:rPr>
        <w:t xml:space="preserve">(telemedicine) </w:t>
      </w:r>
      <w:r w:rsidRPr="00E11C70" w:rsidR="00336855">
        <w:rPr>
          <w:sz w:val="24"/>
          <w:szCs w:val="24"/>
        </w:rPr>
        <w:t>questions</w:t>
      </w:r>
      <w:r w:rsidRPr="00E11C70" w:rsidR="00954654">
        <w:rPr>
          <w:sz w:val="24"/>
          <w:szCs w:val="24"/>
        </w:rPr>
        <w:t>,</w:t>
      </w:r>
      <w:r w:rsidRPr="00E11C70" w:rsidR="00336855">
        <w:rPr>
          <w:sz w:val="24"/>
          <w:szCs w:val="24"/>
        </w:rPr>
        <w:t xml:space="preserve"> and the </w:t>
      </w:r>
      <w:r w:rsidRPr="00E11C70">
        <w:rPr>
          <w:sz w:val="24"/>
          <w:szCs w:val="24"/>
        </w:rPr>
        <w:t xml:space="preserve">Social and Health Experiences Adult SAQ.  </w:t>
      </w:r>
      <w:r w:rsidRPr="00E11C70" w:rsidR="00F96D6C">
        <w:rPr>
          <w:sz w:val="24"/>
          <w:szCs w:val="24"/>
        </w:rPr>
        <w:t>This is a one-time increase for 20</w:t>
      </w:r>
      <w:r w:rsidRPr="00E11C70">
        <w:rPr>
          <w:sz w:val="24"/>
          <w:szCs w:val="24"/>
        </w:rPr>
        <w:t>21</w:t>
      </w:r>
      <w:r w:rsidRPr="00E11C70" w:rsidR="00F96D6C">
        <w:rPr>
          <w:sz w:val="24"/>
          <w:szCs w:val="24"/>
        </w:rPr>
        <w:t xml:space="preserve"> only.</w:t>
      </w:r>
    </w:p>
    <w:p w:rsidRPr="00E11C70" w:rsidR="00F97A06" w:rsidP="002D262B" w:rsidRDefault="00F97A06" w14:paraId="6A07A2BC" w14:textId="77777777">
      <w:pPr>
        <w:pStyle w:val="Heading2"/>
        <w:rPr>
          <w:color w:val="auto"/>
          <w:sz w:val="24"/>
          <w:szCs w:val="24"/>
        </w:rPr>
      </w:pPr>
      <w:bookmarkStart w:name="_Toc290559167" w:id="24"/>
    </w:p>
    <w:p w:rsidRPr="00E11C70" w:rsidR="002D262B" w:rsidP="002D262B" w:rsidRDefault="0057087C" w14:paraId="41FAE41B" w14:textId="77777777">
      <w:pPr>
        <w:pStyle w:val="Heading2"/>
        <w:rPr>
          <w:b w:val="0"/>
          <w:color w:val="auto"/>
          <w:sz w:val="24"/>
          <w:szCs w:val="24"/>
        </w:rPr>
      </w:pPr>
      <w:r w:rsidRPr="00E11C70">
        <w:rPr>
          <w:color w:val="auto"/>
          <w:sz w:val="24"/>
          <w:szCs w:val="24"/>
        </w:rPr>
        <w:t>1</w:t>
      </w:r>
      <w:r w:rsidRPr="00E11C70" w:rsidR="00C15767">
        <w:rPr>
          <w:color w:val="auto"/>
          <w:sz w:val="24"/>
          <w:szCs w:val="24"/>
        </w:rPr>
        <w:t>6</w:t>
      </w:r>
      <w:r w:rsidRPr="00E11C70">
        <w:rPr>
          <w:color w:val="auto"/>
          <w:sz w:val="24"/>
          <w:szCs w:val="24"/>
        </w:rPr>
        <w:t xml:space="preserve">.  </w:t>
      </w:r>
      <w:r w:rsidRPr="00E11C70" w:rsidR="002D262B">
        <w:rPr>
          <w:color w:val="auto"/>
          <w:sz w:val="24"/>
          <w:u w:val="single"/>
        </w:rPr>
        <w:t>Time Schedule, Publication and Analysis Plans</w:t>
      </w:r>
      <w:bookmarkEnd w:id="24"/>
    </w:p>
    <w:p w:rsidRPr="00E11C70" w:rsidR="002D262B" w:rsidP="002D262B" w:rsidRDefault="002D262B" w14:paraId="510DC988" w14:textId="77777777">
      <w:pPr>
        <w:rPr>
          <w:sz w:val="24"/>
          <w:szCs w:val="24"/>
        </w:rPr>
      </w:pPr>
    </w:p>
    <w:p w:rsidRPr="00E11C70" w:rsidR="00AE4DC7" w:rsidP="00AE4DC7" w:rsidRDefault="00AE4DC7" w14:paraId="18F94B90" w14:textId="77777777">
      <w:pPr>
        <w:rPr>
          <w:bCs/>
          <w:sz w:val="24"/>
          <w:szCs w:val="24"/>
        </w:rPr>
      </w:pPr>
      <w:r w:rsidRPr="00E11C70">
        <w:rPr>
          <w:bCs/>
          <w:sz w:val="24"/>
          <w:szCs w:val="24"/>
        </w:rPr>
        <w:t xml:space="preserve">The questions related to COVID-19 </w:t>
      </w:r>
      <w:r w:rsidRPr="00E11C70" w:rsidR="00954654">
        <w:rPr>
          <w:bCs/>
          <w:sz w:val="24"/>
          <w:szCs w:val="24"/>
        </w:rPr>
        <w:t xml:space="preserve">including </w:t>
      </w:r>
      <w:r w:rsidRPr="00E11C70" w:rsidR="00E03E27">
        <w:rPr>
          <w:bCs/>
          <w:sz w:val="24"/>
          <w:szCs w:val="24"/>
        </w:rPr>
        <w:t>telehealth (telemedicine)</w:t>
      </w:r>
      <w:r w:rsidRPr="00E11C70">
        <w:rPr>
          <w:bCs/>
          <w:sz w:val="24"/>
          <w:szCs w:val="24"/>
        </w:rPr>
        <w:t xml:space="preserve"> </w:t>
      </w:r>
      <w:r w:rsidRPr="00E11C70" w:rsidR="00954654">
        <w:rPr>
          <w:bCs/>
          <w:sz w:val="24"/>
          <w:szCs w:val="24"/>
        </w:rPr>
        <w:t xml:space="preserve">questions </w:t>
      </w:r>
      <w:r w:rsidRPr="00E11C70">
        <w:rPr>
          <w:bCs/>
          <w:sz w:val="24"/>
          <w:szCs w:val="24"/>
        </w:rPr>
        <w:t xml:space="preserve">will become part of the core MEPS interview that is administered with all panels and rounds beginning with Panel 25 Round 5, Panel 24 Round 3, and Panel 26 Round 1 in January 2021.  </w:t>
      </w:r>
    </w:p>
    <w:p w:rsidRPr="00775D82" w:rsidR="00CB4633" w:rsidP="00420A8F" w:rsidRDefault="000432D9" w14:paraId="2ED48F08" w14:textId="77777777">
      <w:pPr>
        <w:spacing w:before="120"/>
        <w:rPr>
          <w:sz w:val="24"/>
          <w:szCs w:val="24"/>
        </w:rPr>
      </w:pPr>
      <w:r w:rsidRPr="00E11C70">
        <w:rPr>
          <w:bCs/>
          <w:sz w:val="24"/>
          <w:szCs w:val="24"/>
        </w:rPr>
        <w:t xml:space="preserve">The Social and Health Experiences </w:t>
      </w:r>
      <w:r w:rsidRPr="00E11C70" w:rsidR="00C8297F">
        <w:rPr>
          <w:bCs/>
          <w:sz w:val="24"/>
          <w:szCs w:val="24"/>
        </w:rPr>
        <w:t xml:space="preserve">SAQ data collection will </w:t>
      </w:r>
      <w:r w:rsidRPr="00E11C70">
        <w:rPr>
          <w:bCs/>
          <w:sz w:val="24"/>
          <w:szCs w:val="24"/>
        </w:rPr>
        <w:t>begin in January 2021</w:t>
      </w:r>
      <w:r w:rsidRPr="00420A8F">
        <w:rPr>
          <w:bCs/>
          <w:sz w:val="24"/>
          <w:szCs w:val="24"/>
        </w:rPr>
        <w:t xml:space="preserve"> and </w:t>
      </w:r>
      <w:r w:rsidR="00C8297F">
        <w:rPr>
          <w:bCs/>
          <w:sz w:val="24"/>
          <w:szCs w:val="24"/>
        </w:rPr>
        <w:t xml:space="preserve">continue </w:t>
      </w:r>
      <w:r w:rsidRPr="00420A8F">
        <w:rPr>
          <w:bCs/>
          <w:sz w:val="24"/>
          <w:szCs w:val="24"/>
        </w:rPr>
        <w:t xml:space="preserve">through </w:t>
      </w:r>
      <w:r w:rsidR="00C8297F">
        <w:rPr>
          <w:bCs/>
          <w:sz w:val="24"/>
          <w:szCs w:val="24"/>
        </w:rPr>
        <w:t xml:space="preserve">mid-July </w:t>
      </w:r>
      <w:r w:rsidRPr="00420A8F">
        <w:rPr>
          <w:bCs/>
          <w:sz w:val="24"/>
          <w:szCs w:val="24"/>
        </w:rPr>
        <w:t xml:space="preserve">2021.  </w:t>
      </w:r>
      <w:r w:rsidRPr="00420A8F" w:rsidR="00CB4633">
        <w:rPr>
          <w:sz w:val="24"/>
          <w:szCs w:val="24"/>
        </w:rPr>
        <w:t xml:space="preserve">Data collected from the </w:t>
      </w:r>
      <w:r w:rsidRPr="00896D53">
        <w:rPr>
          <w:sz w:val="24"/>
          <w:szCs w:val="24"/>
        </w:rPr>
        <w:t>SAQ w</w:t>
      </w:r>
      <w:r w:rsidRPr="00420A8F" w:rsidR="00CB4633">
        <w:rPr>
          <w:sz w:val="24"/>
          <w:szCs w:val="24"/>
        </w:rPr>
        <w:t xml:space="preserve">ill be used in a variety of descriptive analyses.  Our website </w:t>
      </w:r>
      <w:hyperlink w:history="1" r:id="rId8">
        <w:r w:rsidRPr="00775D82" w:rsidR="00CB4633">
          <w:rPr>
            <w:rStyle w:val="Hyperlink"/>
            <w:sz w:val="24"/>
            <w:szCs w:val="24"/>
          </w:rPr>
          <w:t>www.meps.ahrq.gov</w:t>
        </w:r>
      </w:hyperlink>
      <w:r w:rsidRPr="00775D82" w:rsidR="00CB4633">
        <w:rPr>
          <w:sz w:val="24"/>
          <w:szCs w:val="24"/>
        </w:rPr>
        <w:t xml:space="preserve"> contains examples of</w:t>
      </w:r>
      <w:r w:rsidRPr="00896D53">
        <w:rPr>
          <w:sz w:val="24"/>
          <w:szCs w:val="24"/>
        </w:rPr>
        <w:t xml:space="preserve"> such</w:t>
      </w:r>
      <w:r w:rsidRPr="00775D82" w:rsidR="00CB4633">
        <w:rPr>
          <w:sz w:val="24"/>
          <w:szCs w:val="24"/>
        </w:rPr>
        <w:t xml:space="preserve"> publications.  Those publications include statistical briefs, research findings, chart</w:t>
      </w:r>
      <w:r w:rsidR="00D75EB1">
        <w:rPr>
          <w:sz w:val="24"/>
          <w:szCs w:val="24"/>
        </w:rPr>
        <w:t xml:space="preserve"> </w:t>
      </w:r>
      <w:r w:rsidRPr="00775D82" w:rsidR="00CB4633">
        <w:rPr>
          <w:sz w:val="24"/>
          <w:szCs w:val="24"/>
        </w:rPr>
        <w:t xml:space="preserve">books, and journal articles.  </w:t>
      </w:r>
      <w:r w:rsidRPr="00896D53">
        <w:rPr>
          <w:sz w:val="24"/>
          <w:szCs w:val="24"/>
        </w:rPr>
        <w:lastRenderedPageBreak/>
        <w:t xml:space="preserve">Additional </w:t>
      </w:r>
      <w:r w:rsidRPr="00775D82" w:rsidR="00CB4633">
        <w:rPr>
          <w:sz w:val="24"/>
          <w:szCs w:val="24"/>
        </w:rPr>
        <w:t>analyses will be presented at annual meetings of professional associations and in professional journals.</w:t>
      </w:r>
    </w:p>
    <w:p w:rsidRPr="00775D82" w:rsidR="00CB4633" w:rsidP="00CB4633" w:rsidRDefault="00CB4633" w14:paraId="2B7FF6D5" w14:textId="77777777">
      <w:pPr>
        <w:rPr>
          <w:sz w:val="24"/>
          <w:szCs w:val="24"/>
        </w:rPr>
      </w:pPr>
    </w:p>
    <w:p w:rsidRPr="00232A98" w:rsidR="00232A98" w:rsidP="00232A98" w:rsidRDefault="00CB4633" w14:paraId="672D0372" w14:textId="77777777">
      <w:pPr>
        <w:rPr>
          <w:rFonts w:cs="Arial"/>
          <w:sz w:val="24"/>
          <w:szCs w:val="24"/>
        </w:rPr>
      </w:pPr>
      <w:r w:rsidRPr="00775D82">
        <w:rPr>
          <w:sz w:val="24"/>
          <w:szCs w:val="24"/>
        </w:rPr>
        <w:t>To the extent possible</w:t>
      </w:r>
      <w:r w:rsidRPr="00775D82" w:rsidR="00896D53">
        <w:rPr>
          <w:sz w:val="24"/>
          <w:szCs w:val="24"/>
        </w:rPr>
        <w:t>,</w:t>
      </w:r>
      <w:r w:rsidRPr="00775D82">
        <w:rPr>
          <w:sz w:val="24"/>
          <w:szCs w:val="24"/>
        </w:rPr>
        <w:t xml:space="preserve"> we release public use </w:t>
      </w:r>
      <w:r w:rsidRPr="00775D82" w:rsidR="00896D53">
        <w:rPr>
          <w:sz w:val="24"/>
          <w:szCs w:val="24"/>
        </w:rPr>
        <w:t xml:space="preserve">data </w:t>
      </w:r>
      <w:r w:rsidRPr="00775D82">
        <w:rPr>
          <w:sz w:val="24"/>
          <w:szCs w:val="24"/>
        </w:rPr>
        <w:t>files from this project as soon as possible.</w:t>
      </w:r>
    </w:p>
    <w:p w:rsidR="00A27C34" w:rsidRDefault="00A27C34" w14:paraId="44EA23DA" w14:textId="77777777">
      <w:pPr>
        <w:rPr>
          <w:sz w:val="24"/>
          <w:szCs w:val="24"/>
        </w:rPr>
      </w:pPr>
    </w:p>
    <w:p w:rsidRPr="008C5826" w:rsidR="0057087C" w:rsidP="008C5826" w:rsidRDefault="0057087C" w14:paraId="656E2A33" w14:textId="77777777">
      <w:pPr>
        <w:pStyle w:val="Heading2"/>
        <w:rPr>
          <w:color w:val="auto"/>
          <w:sz w:val="24"/>
          <w:szCs w:val="24"/>
        </w:rPr>
      </w:pPr>
      <w:bookmarkStart w:name="_Toc290559168" w:id="25"/>
      <w:r w:rsidRPr="008C5826">
        <w:rPr>
          <w:color w:val="auto"/>
          <w:sz w:val="24"/>
          <w:szCs w:val="24"/>
        </w:rPr>
        <w:t>1</w:t>
      </w:r>
      <w:r w:rsidR="00C15767">
        <w:rPr>
          <w:color w:val="auto"/>
          <w:sz w:val="24"/>
          <w:szCs w:val="24"/>
        </w:rPr>
        <w:t>7</w:t>
      </w:r>
      <w:r w:rsidRPr="008C5826">
        <w:rPr>
          <w:color w:val="auto"/>
          <w:sz w:val="24"/>
          <w:szCs w:val="24"/>
        </w:rPr>
        <w:t xml:space="preserve">.  </w:t>
      </w:r>
      <w:r w:rsidRPr="008C5826">
        <w:rPr>
          <w:color w:val="auto"/>
          <w:sz w:val="24"/>
          <w:szCs w:val="24"/>
          <w:u w:val="single"/>
        </w:rPr>
        <w:t>Exemption for Display of Expiration Date</w:t>
      </w:r>
      <w:bookmarkEnd w:id="25"/>
    </w:p>
    <w:p w:rsidRPr="00CB177A" w:rsidR="0057087C" w:rsidRDefault="0057087C" w14:paraId="4E55D5B8" w14:textId="77777777">
      <w:pPr>
        <w:rPr>
          <w:sz w:val="24"/>
          <w:szCs w:val="24"/>
        </w:rPr>
      </w:pPr>
    </w:p>
    <w:p w:rsidRPr="00775D82" w:rsidR="00FE0070" w:rsidP="00FE0070" w:rsidRDefault="00FE0070" w14:paraId="4DF4E2F6" w14:textId="77777777">
      <w:pPr>
        <w:rPr>
          <w:rFonts w:ascii="Arial" w:hAnsi="Arial" w:cs="Arial"/>
          <w:b/>
          <w:sz w:val="24"/>
          <w:szCs w:val="24"/>
        </w:rPr>
      </w:pPr>
      <w:r w:rsidRPr="00775D82">
        <w:rPr>
          <w:sz w:val="24"/>
          <w:szCs w:val="24"/>
        </w:rPr>
        <w:t>AHRQ does not seek this exemption.</w:t>
      </w:r>
    </w:p>
    <w:p w:rsidRPr="00CB177A" w:rsidR="0057087C" w:rsidRDefault="0057087C" w14:paraId="46B3DF84" w14:textId="77777777">
      <w:pPr>
        <w:rPr>
          <w:sz w:val="24"/>
          <w:szCs w:val="24"/>
        </w:rPr>
      </w:pPr>
    </w:p>
    <w:p w:rsidR="00ED3641" w:rsidRDefault="00ED3641" w14:paraId="7D92B739" w14:textId="77777777">
      <w:pPr>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rsidR="00C00276" w:rsidP="00C00276" w:rsidRDefault="00C00276" w14:paraId="008BF19C" w14:textId="77777777">
      <w:bookmarkStart w:name="_Toc277862455" w:id="26"/>
    </w:p>
    <w:p w:rsidRPr="00E11C70" w:rsidR="00A1240B" w:rsidP="00246072" w:rsidRDefault="00A1240B" w14:paraId="6D9ADD73" w14:textId="77777777">
      <w:pPr>
        <w:rPr>
          <w:sz w:val="24"/>
          <w:szCs w:val="24"/>
        </w:rPr>
      </w:pPr>
      <w:r w:rsidRPr="00E11C70">
        <w:rPr>
          <w:sz w:val="24"/>
          <w:szCs w:val="24"/>
        </w:rPr>
        <w:t>Attachment A – COVID-19 Questions</w:t>
      </w:r>
    </w:p>
    <w:p w:rsidRPr="002B4AA8" w:rsidR="00A1240B" w:rsidP="00246072" w:rsidRDefault="00A1240B" w14:paraId="7419DED4" w14:textId="77777777">
      <w:pPr>
        <w:rPr>
          <w:sz w:val="24"/>
          <w:szCs w:val="24"/>
          <w:highlight w:val="yellow"/>
        </w:rPr>
      </w:pPr>
    </w:p>
    <w:p w:rsidRPr="002B4AA8" w:rsidR="00246072" w:rsidP="00246072" w:rsidRDefault="00246072" w14:paraId="736BCA29" w14:textId="291A1DC2">
      <w:pPr>
        <w:rPr>
          <w:sz w:val="24"/>
          <w:szCs w:val="24"/>
          <w:highlight w:val="yellow"/>
        </w:rPr>
      </w:pPr>
      <w:r w:rsidRPr="002B4AA8">
        <w:rPr>
          <w:sz w:val="24"/>
          <w:szCs w:val="24"/>
          <w:highlight w:val="yellow"/>
        </w:rPr>
        <w:t>Attachment A</w:t>
      </w:r>
      <w:r w:rsidRPr="002B4AA8" w:rsidR="00A1240B">
        <w:rPr>
          <w:sz w:val="24"/>
          <w:szCs w:val="24"/>
          <w:highlight w:val="yellow"/>
        </w:rPr>
        <w:t>1</w:t>
      </w:r>
      <w:r w:rsidRPr="002B4AA8">
        <w:rPr>
          <w:sz w:val="24"/>
          <w:szCs w:val="24"/>
          <w:highlight w:val="yellow"/>
        </w:rPr>
        <w:t xml:space="preserve"> - MEPS New COVID-19 Delays in Receiving Care Items</w:t>
      </w:r>
      <w:r w:rsidRPr="002B4AA8" w:rsidR="00A1240B">
        <w:rPr>
          <w:sz w:val="24"/>
          <w:szCs w:val="24"/>
          <w:highlight w:val="yellow"/>
        </w:rPr>
        <w:t xml:space="preserve"> Crosswalk</w:t>
      </w:r>
    </w:p>
    <w:p w:rsidRPr="002B4AA8" w:rsidR="00CC1282" w:rsidP="00FE0070" w:rsidRDefault="00CC1282" w14:paraId="5D6F1D72" w14:textId="77777777">
      <w:pPr>
        <w:rPr>
          <w:sz w:val="24"/>
          <w:szCs w:val="24"/>
          <w:highlight w:val="yellow"/>
        </w:rPr>
      </w:pPr>
    </w:p>
    <w:p w:rsidR="00CC1282" w:rsidP="00FE0070" w:rsidRDefault="00292A27" w14:paraId="0AC985B5" w14:textId="77777777">
      <w:pPr>
        <w:rPr>
          <w:sz w:val="24"/>
          <w:szCs w:val="24"/>
        </w:rPr>
      </w:pPr>
      <w:r w:rsidRPr="00E11C70">
        <w:rPr>
          <w:sz w:val="24"/>
          <w:szCs w:val="24"/>
        </w:rPr>
        <w:t>Attachment B</w:t>
      </w:r>
      <w:r w:rsidRPr="00E11C70" w:rsidR="00CC1282">
        <w:rPr>
          <w:sz w:val="24"/>
          <w:szCs w:val="24"/>
        </w:rPr>
        <w:t xml:space="preserve"> – </w:t>
      </w:r>
      <w:r w:rsidRPr="00E11C70" w:rsidR="00E03E27">
        <w:rPr>
          <w:sz w:val="24"/>
          <w:szCs w:val="24"/>
        </w:rPr>
        <w:t xml:space="preserve">Telehealth (telemedicine) </w:t>
      </w:r>
      <w:r w:rsidRPr="00E11C70" w:rsidR="00CC1282">
        <w:rPr>
          <w:sz w:val="24"/>
          <w:szCs w:val="24"/>
        </w:rPr>
        <w:t>Questions</w:t>
      </w:r>
    </w:p>
    <w:p w:rsidR="00CC1282" w:rsidP="00FE0070" w:rsidRDefault="00CC1282" w14:paraId="701B201B" w14:textId="77777777">
      <w:pPr>
        <w:rPr>
          <w:sz w:val="24"/>
          <w:szCs w:val="24"/>
        </w:rPr>
      </w:pPr>
    </w:p>
    <w:p w:rsidR="00FE0070" w:rsidP="00FE0070" w:rsidRDefault="00FE0070" w14:paraId="5BABA438" w14:textId="47AD2A5A">
      <w:pPr>
        <w:rPr>
          <w:sz w:val="24"/>
          <w:szCs w:val="24"/>
        </w:rPr>
      </w:pPr>
      <w:r w:rsidRPr="00775D82">
        <w:rPr>
          <w:sz w:val="24"/>
          <w:szCs w:val="24"/>
        </w:rPr>
        <w:t xml:space="preserve">Attachment </w:t>
      </w:r>
      <w:r w:rsidR="00292A27">
        <w:rPr>
          <w:sz w:val="24"/>
          <w:szCs w:val="24"/>
        </w:rPr>
        <w:t>C</w:t>
      </w:r>
      <w:r w:rsidRPr="00775D82">
        <w:rPr>
          <w:sz w:val="24"/>
          <w:szCs w:val="24"/>
        </w:rPr>
        <w:t xml:space="preserve"> – Social and Health Experiences Self-Administered Questionnaire </w:t>
      </w:r>
    </w:p>
    <w:p w:rsidR="003B1BA2" w:rsidP="00FE0070" w:rsidRDefault="003B1BA2" w14:paraId="593E95B0" w14:textId="3910BDB2">
      <w:pPr>
        <w:rPr>
          <w:sz w:val="24"/>
          <w:szCs w:val="24"/>
        </w:rPr>
      </w:pPr>
    </w:p>
    <w:p w:rsidRPr="003B1BA2" w:rsidR="003B1BA2" w:rsidP="003B1BA2" w:rsidRDefault="003B1BA2" w14:paraId="0D77A4A9" w14:textId="79F95AF8">
      <w:pPr>
        <w:rPr>
          <w:sz w:val="24"/>
          <w:szCs w:val="24"/>
        </w:rPr>
      </w:pPr>
      <w:r w:rsidRPr="002B4AA8">
        <w:rPr>
          <w:sz w:val="24"/>
          <w:szCs w:val="24"/>
          <w:highlight w:val="yellow"/>
        </w:rPr>
        <w:t>Attachment D - MEPS New So</w:t>
      </w:r>
      <w:r w:rsidRPr="005A2897">
        <w:rPr>
          <w:sz w:val="24"/>
          <w:szCs w:val="24"/>
          <w:highlight w:val="yellow"/>
        </w:rPr>
        <w:t>cial</w:t>
      </w:r>
      <w:r w:rsidRPr="005A2897" w:rsidR="005A2897">
        <w:rPr>
          <w:sz w:val="24"/>
          <w:szCs w:val="24"/>
          <w:highlight w:val="yellow"/>
        </w:rPr>
        <w:t xml:space="preserve"> and Health Experiences </w:t>
      </w:r>
      <w:r w:rsidRPr="005A2897">
        <w:rPr>
          <w:sz w:val="24"/>
          <w:szCs w:val="24"/>
          <w:highlight w:val="yellow"/>
        </w:rPr>
        <w:t>S</w:t>
      </w:r>
      <w:r w:rsidRPr="002B4AA8">
        <w:rPr>
          <w:sz w:val="24"/>
          <w:szCs w:val="24"/>
          <w:highlight w:val="yellow"/>
        </w:rPr>
        <w:t>AQ Items</w:t>
      </w:r>
      <w:r w:rsidRPr="002B4AA8" w:rsidR="00196A27">
        <w:rPr>
          <w:sz w:val="24"/>
          <w:szCs w:val="24"/>
          <w:highlight w:val="yellow"/>
        </w:rPr>
        <w:t xml:space="preserve"> Crosswalk</w:t>
      </w:r>
    </w:p>
    <w:p w:rsidR="00C931C4" w:rsidP="00FE0070" w:rsidRDefault="00C931C4" w14:paraId="62C7CE49" w14:textId="77777777">
      <w:pPr>
        <w:rPr>
          <w:sz w:val="24"/>
          <w:szCs w:val="24"/>
        </w:rPr>
      </w:pPr>
    </w:p>
    <w:p w:rsidR="00C931C4" w:rsidP="00FE0070" w:rsidRDefault="00C931C4" w14:paraId="2641AD79" w14:textId="41598D36">
      <w:pPr>
        <w:rPr>
          <w:sz w:val="24"/>
          <w:szCs w:val="24"/>
        </w:rPr>
      </w:pPr>
      <w:r>
        <w:rPr>
          <w:sz w:val="24"/>
          <w:szCs w:val="24"/>
        </w:rPr>
        <w:t xml:space="preserve">Attachment </w:t>
      </w:r>
      <w:r w:rsidR="003B1BA2">
        <w:rPr>
          <w:sz w:val="24"/>
          <w:szCs w:val="24"/>
        </w:rPr>
        <w:t>E</w:t>
      </w:r>
      <w:r>
        <w:rPr>
          <w:sz w:val="24"/>
          <w:szCs w:val="24"/>
        </w:rPr>
        <w:t xml:space="preserve"> – 60 Day FRN</w:t>
      </w:r>
    </w:p>
    <w:p w:rsidR="00DD51C3" w:rsidP="00FE0070" w:rsidRDefault="00DD51C3" w14:paraId="40A8C476" w14:textId="77777777">
      <w:pPr>
        <w:rPr>
          <w:sz w:val="24"/>
          <w:szCs w:val="24"/>
        </w:rPr>
      </w:pPr>
    </w:p>
    <w:p w:rsidRPr="00E11C70" w:rsidR="00F17E4C" w:rsidP="00FE0070" w:rsidRDefault="00DD51C3" w14:paraId="2585C3FA" w14:textId="290C12EA">
      <w:pPr>
        <w:rPr>
          <w:sz w:val="24"/>
          <w:szCs w:val="24"/>
        </w:rPr>
      </w:pPr>
      <w:r w:rsidRPr="00E11C70">
        <w:rPr>
          <w:sz w:val="24"/>
          <w:szCs w:val="24"/>
        </w:rPr>
        <w:t xml:space="preserve">Attachment </w:t>
      </w:r>
      <w:r w:rsidRPr="00E11C70" w:rsidR="00246072">
        <w:rPr>
          <w:sz w:val="24"/>
          <w:szCs w:val="24"/>
        </w:rPr>
        <w:t>F</w:t>
      </w:r>
      <w:r w:rsidRPr="00E11C70">
        <w:rPr>
          <w:sz w:val="24"/>
          <w:szCs w:val="24"/>
        </w:rPr>
        <w:t xml:space="preserve"> – </w:t>
      </w:r>
      <w:r w:rsidRPr="00E11C70" w:rsidR="00F17E4C">
        <w:rPr>
          <w:sz w:val="24"/>
          <w:szCs w:val="24"/>
        </w:rPr>
        <w:t xml:space="preserve">Public Comments:  Academy of Nutrition and Dietetics    </w:t>
      </w:r>
    </w:p>
    <w:p w:rsidRPr="00E11C70" w:rsidR="00DD51C3" w:rsidP="00FE0070" w:rsidRDefault="00F17E4C" w14:paraId="17BC10E2" w14:textId="7BB7B011">
      <w:pPr>
        <w:rPr>
          <w:sz w:val="24"/>
          <w:szCs w:val="24"/>
        </w:rPr>
      </w:pPr>
      <w:r w:rsidRPr="00E11C70">
        <w:rPr>
          <w:sz w:val="24"/>
          <w:szCs w:val="24"/>
        </w:rPr>
        <w:t xml:space="preserve">Attachment </w:t>
      </w:r>
      <w:r w:rsidRPr="00E11C70" w:rsidR="00246072">
        <w:rPr>
          <w:sz w:val="24"/>
          <w:szCs w:val="24"/>
        </w:rPr>
        <w:t>F</w:t>
      </w:r>
      <w:r w:rsidRPr="00E11C70">
        <w:rPr>
          <w:sz w:val="24"/>
          <w:szCs w:val="24"/>
        </w:rPr>
        <w:t xml:space="preserve">1 – AHRQ </w:t>
      </w:r>
      <w:r w:rsidRPr="00E11C70" w:rsidR="00DD51C3">
        <w:rPr>
          <w:sz w:val="24"/>
          <w:szCs w:val="24"/>
        </w:rPr>
        <w:t>Response</w:t>
      </w:r>
      <w:r w:rsidRPr="00E11C70">
        <w:rPr>
          <w:sz w:val="24"/>
          <w:szCs w:val="24"/>
        </w:rPr>
        <w:t xml:space="preserve"> to Academy of </w:t>
      </w:r>
      <w:r w:rsidRPr="00E11C70" w:rsidR="00E250DF">
        <w:rPr>
          <w:sz w:val="24"/>
          <w:szCs w:val="24"/>
        </w:rPr>
        <w:t>Nutrition and Dietetics</w:t>
      </w:r>
    </w:p>
    <w:p w:rsidRPr="00E11C70" w:rsidR="00DD51C3" w:rsidP="00FE0070" w:rsidRDefault="00DD51C3" w14:paraId="24E07762" w14:textId="77777777">
      <w:pPr>
        <w:rPr>
          <w:sz w:val="24"/>
          <w:szCs w:val="24"/>
        </w:rPr>
      </w:pPr>
    </w:p>
    <w:p w:rsidRPr="00E11C70" w:rsidR="00710C59" w:rsidP="00710C59" w:rsidRDefault="00DD51C3" w14:paraId="5250B6CE" w14:textId="14412A53">
      <w:pPr>
        <w:rPr>
          <w:sz w:val="24"/>
          <w:szCs w:val="24"/>
        </w:rPr>
      </w:pPr>
      <w:r w:rsidRPr="00E11C70">
        <w:rPr>
          <w:sz w:val="24"/>
          <w:szCs w:val="24"/>
        </w:rPr>
        <w:t xml:space="preserve">Attachment </w:t>
      </w:r>
      <w:r w:rsidRPr="00E11C70" w:rsidR="00246072">
        <w:rPr>
          <w:sz w:val="24"/>
          <w:szCs w:val="24"/>
        </w:rPr>
        <w:t>G</w:t>
      </w:r>
      <w:r w:rsidRPr="00E11C70">
        <w:rPr>
          <w:sz w:val="24"/>
          <w:szCs w:val="24"/>
        </w:rPr>
        <w:t xml:space="preserve"> – </w:t>
      </w:r>
      <w:r w:rsidRPr="00E11C70" w:rsidR="00710C59">
        <w:rPr>
          <w:sz w:val="24"/>
          <w:szCs w:val="24"/>
        </w:rPr>
        <w:t>Public Comments:  Brookings</w:t>
      </w:r>
    </w:p>
    <w:p w:rsidR="00710C59" w:rsidP="00710C59" w:rsidRDefault="00710C59" w14:paraId="7D81CC42" w14:textId="5F347F3A">
      <w:pPr>
        <w:rPr>
          <w:sz w:val="24"/>
          <w:szCs w:val="24"/>
        </w:rPr>
      </w:pPr>
      <w:r w:rsidRPr="00E11C70">
        <w:rPr>
          <w:sz w:val="24"/>
          <w:szCs w:val="24"/>
        </w:rPr>
        <w:t xml:space="preserve">Attachment </w:t>
      </w:r>
      <w:r w:rsidRPr="00E11C70" w:rsidR="00246072">
        <w:rPr>
          <w:sz w:val="24"/>
          <w:szCs w:val="24"/>
        </w:rPr>
        <w:t>G</w:t>
      </w:r>
      <w:r w:rsidRPr="00E11C70">
        <w:rPr>
          <w:sz w:val="24"/>
          <w:szCs w:val="24"/>
        </w:rPr>
        <w:t>1 - AHRQ Response to Brookings</w:t>
      </w:r>
    </w:p>
    <w:p w:rsidR="00DD51C3" w:rsidP="00FE0070" w:rsidRDefault="00DD51C3" w14:paraId="7785EE7E" w14:textId="77777777">
      <w:pPr>
        <w:rPr>
          <w:sz w:val="24"/>
          <w:szCs w:val="24"/>
        </w:rPr>
      </w:pPr>
    </w:p>
    <w:p w:rsidR="00710C59" w:rsidP="00FE0070" w:rsidRDefault="00710C59" w14:paraId="681B54FA" w14:textId="77777777">
      <w:pPr>
        <w:rPr>
          <w:sz w:val="24"/>
          <w:szCs w:val="24"/>
        </w:rPr>
      </w:pPr>
    </w:p>
    <w:p w:rsidRPr="00775D82" w:rsidR="00DD51C3" w:rsidP="00FE0070" w:rsidRDefault="00DD51C3" w14:paraId="7B97E8BD" w14:textId="77777777">
      <w:pPr>
        <w:rPr>
          <w:sz w:val="24"/>
          <w:szCs w:val="24"/>
        </w:rPr>
      </w:pPr>
    </w:p>
    <w:p w:rsidRPr="00775D82" w:rsidR="00FE0070" w:rsidP="00FE0070" w:rsidRDefault="00FE0070" w14:paraId="0DC88669" w14:textId="77777777">
      <w:pPr>
        <w:rPr>
          <w:sz w:val="24"/>
          <w:szCs w:val="24"/>
        </w:rPr>
      </w:pPr>
    </w:p>
    <w:p w:rsidRPr="00775D82" w:rsidR="00FE0070" w:rsidP="00FE0070" w:rsidRDefault="00FE0070" w14:paraId="60D92569" w14:textId="77777777">
      <w:pPr>
        <w:rPr>
          <w:sz w:val="24"/>
          <w:szCs w:val="24"/>
        </w:rPr>
      </w:pPr>
    </w:p>
    <w:bookmarkEnd w:id="26"/>
    <w:p w:rsidRPr="005F628B" w:rsidR="00C00276" w:rsidP="00DA394A" w:rsidRDefault="00C00276" w14:paraId="057D20FD" w14:textId="77777777">
      <w:pPr>
        <w:rPr>
          <w:sz w:val="24"/>
          <w:szCs w:val="24"/>
        </w:rPr>
      </w:pPr>
    </w:p>
    <w:sectPr w:rsidRPr="005F628B" w:rsidR="00C00276" w:rsidSect="00FA3B9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DADD" w14:textId="77777777" w:rsidR="0068129B" w:rsidRDefault="0068129B">
      <w:r>
        <w:separator/>
      </w:r>
    </w:p>
  </w:endnote>
  <w:endnote w:type="continuationSeparator" w:id="0">
    <w:p w14:paraId="665AA970" w14:textId="77777777" w:rsidR="0068129B" w:rsidRDefault="0068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203E" w14:textId="77777777" w:rsidR="00823E4E" w:rsidRDefault="004A024B">
    <w:pPr>
      <w:pStyle w:val="Footer"/>
      <w:framePr w:w="576" w:wrap="around" w:vAnchor="page" w:hAnchor="page" w:x="5545" w:y="15121"/>
      <w:jc w:val="right"/>
      <w:rPr>
        <w:rStyle w:val="PageNumber"/>
      </w:rPr>
    </w:pPr>
    <w:r>
      <w:rPr>
        <w:rStyle w:val="PageNumber"/>
      </w:rPr>
      <w:fldChar w:fldCharType="begin"/>
    </w:r>
    <w:r w:rsidR="00823E4E">
      <w:rPr>
        <w:rStyle w:val="PageNumber"/>
      </w:rPr>
      <w:instrText xml:space="preserve">PAGE  </w:instrText>
    </w:r>
    <w:r>
      <w:rPr>
        <w:rStyle w:val="PageNumber"/>
      </w:rPr>
      <w:fldChar w:fldCharType="separate"/>
    </w:r>
    <w:r w:rsidR="00823E4E">
      <w:rPr>
        <w:rStyle w:val="PageNumber"/>
        <w:noProof/>
      </w:rPr>
      <w:t>2</w:t>
    </w:r>
    <w:r>
      <w:rPr>
        <w:rStyle w:val="PageNumber"/>
      </w:rPr>
      <w:fldChar w:fldCharType="end"/>
    </w:r>
  </w:p>
  <w:p w14:paraId="540BBE5E" w14:textId="77777777" w:rsidR="00823E4E" w:rsidRDefault="00823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4BA4" w14:textId="451AB537" w:rsidR="00823E4E" w:rsidRDefault="004A024B">
    <w:pPr>
      <w:pStyle w:val="Footer"/>
      <w:framePr w:w="576" w:wrap="around" w:vAnchor="page" w:hAnchor="page" w:x="5545" w:y="15121"/>
      <w:jc w:val="right"/>
      <w:rPr>
        <w:rStyle w:val="PageNumber"/>
      </w:rPr>
    </w:pPr>
    <w:r>
      <w:rPr>
        <w:rStyle w:val="PageNumber"/>
      </w:rPr>
      <w:fldChar w:fldCharType="begin"/>
    </w:r>
    <w:r w:rsidR="00823E4E">
      <w:rPr>
        <w:rStyle w:val="PageNumber"/>
      </w:rPr>
      <w:instrText xml:space="preserve">PAGE  </w:instrText>
    </w:r>
    <w:r>
      <w:rPr>
        <w:rStyle w:val="PageNumber"/>
      </w:rPr>
      <w:fldChar w:fldCharType="separate"/>
    </w:r>
    <w:r w:rsidR="005B3E91">
      <w:rPr>
        <w:rStyle w:val="PageNumber"/>
        <w:noProof/>
      </w:rPr>
      <w:t>2</w:t>
    </w:r>
    <w:r>
      <w:rPr>
        <w:rStyle w:val="PageNumber"/>
      </w:rPr>
      <w:fldChar w:fldCharType="end"/>
    </w:r>
  </w:p>
  <w:p w14:paraId="589EA932" w14:textId="77777777" w:rsidR="00823E4E" w:rsidRDefault="0082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783D" w14:textId="77777777" w:rsidR="0068129B" w:rsidRDefault="0068129B">
      <w:r>
        <w:separator/>
      </w:r>
    </w:p>
  </w:footnote>
  <w:footnote w:type="continuationSeparator" w:id="0">
    <w:p w14:paraId="1A5A223A" w14:textId="77777777" w:rsidR="0068129B" w:rsidRDefault="0068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15:restartNumberingAfterBreak="0">
    <w:nsid w:val="04571D98"/>
    <w:multiLevelType w:val="hybridMultilevel"/>
    <w:tmpl w:val="DE96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15:restartNumberingAfterBreak="0">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15:restartNumberingAfterBreak="0">
    <w:nsid w:val="0B1D1B62"/>
    <w:multiLevelType w:val="hybridMultilevel"/>
    <w:tmpl w:val="FB28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15:restartNumberingAfterBreak="0">
    <w:nsid w:val="10CA4DEF"/>
    <w:multiLevelType w:val="hybridMultilevel"/>
    <w:tmpl w:val="452A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15:restartNumberingAfterBreak="0">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15:restartNumberingAfterBreak="0">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1" w15:restartNumberingAfterBreak="0">
    <w:nsid w:val="16F6000E"/>
    <w:multiLevelType w:val="hybridMultilevel"/>
    <w:tmpl w:val="99F4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4" w15:restartNumberingAfterBreak="0">
    <w:nsid w:val="27180C3C"/>
    <w:multiLevelType w:val="hybridMultilevel"/>
    <w:tmpl w:val="3D48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A1096"/>
    <w:multiLevelType w:val="hybridMultilevel"/>
    <w:tmpl w:val="62EA499E"/>
    <w:lvl w:ilvl="0" w:tplc="168E82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8482A"/>
    <w:multiLevelType w:val="hybridMultilevel"/>
    <w:tmpl w:val="7E02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8" w15:restartNumberingAfterBreak="0">
    <w:nsid w:val="308F2B70"/>
    <w:multiLevelType w:val="hybridMultilevel"/>
    <w:tmpl w:val="7794F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0" w15:restartNumberingAfterBreak="0">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15:restartNumberingAfterBreak="0">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2" w15:restartNumberingAfterBreak="0">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3" w15:restartNumberingAfterBreak="0">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15:restartNumberingAfterBreak="0">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15:restartNumberingAfterBreak="0">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15:restartNumberingAfterBreak="0">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15:restartNumberingAfterBreak="0">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8" w15:restartNumberingAfterBreak="0">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9" w15:restartNumberingAfterBreak="0">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0" w15:restartNumberingAfterBreak="0">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1"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32" w15:restartNumberingAfterBreak="0">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3" w15:restartNumberingAfterBreak="0">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5" w15:restartNumberingAfterBreak="0">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6" w15:restartNumberingAfterBreak="0">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7" w15:restartNumberingAfterBreak="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9" w15:restartNumberingAfterBreak="0">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0" w15:restartNumberingAfterBreak="0">
    <w:nsid w:val="6D6D2F94"/>
    <w:multiLevelType w:val="hybridMultilevel"/>
    <w:tmpl w:val="F0F6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33C14"/>
    <w:multiLevelType w:val="hybridMultilevel"/>
    <w:tmpl w:val="3BA8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4" w15:restartNumberingAfterBreak="0">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5" w15:restartNumberingAfterBreak="0">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6" w15:restartNumberingAfterBreak="0">
    <w:nsid w:val="7E7E73CB"/>
    <w:multiLevelType w:val="hybridMultilevel"/>
    <w:tmpl w:val="0D2C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4"/>
  </w:num>
  <w:num w:numId="3">
    <w:abstractNumId w:val="1"/>
  </w:num>
  <w:num w:numId="4">
    <w:abstractNumId w:val="36"/>
  </w:num>
  <w:num w:numId="5">
    <w:abstractNumId w:val="21"/>
  </w:num>
  <w:num w:numId="6">
    <w:abstractNumId w:val="25"/>
  </w:num>
  <w:num w:numId="7">
    <w:abstractNumId w:val="19"/>
  </w:num>
  <w:num w:numId="8">
    <w:abstractNumId w:val="13"/>
  </w:num>
  <w:num w:numId="9">
    <w:abstractNumId w:val="39"/>
  </w:num>
  <w:num w:numId="10">
    <w:abstractNumId w:val="3"/>
  </w:num>
  <w:num w:numId="11">
    <w:abstractNumId w:val="26"/>
  </w:num>
  <w:num w:numId="12">
    <w:abstractNumId w:val="44"/>
  </w:num>
  <w:num w:numId="13">
    <w:abstractNumId w:val="23"/>
  </w:num>
  <w:num w:numId="14">
    <w:abstractNumId w:val="29"/>
  </w:num>
  <w:num w:numId="15">
    <w:abstractNumId w:val="9"/>
  </w:num>
  <w:num w:numId="16">
    <w:abstractNumId w:val="43"/>
  </w:num>
  <w:num w:numId="17">
    <w:abstractNumId w:val="30"/>
  </w:num>
  <w:num w:numId="18">
    <w:abstractNumId w:val="45"/>
  </w:num>
  <w:num w:numId="19">
    <w:abstractNumId w:val="27"/>
  </w:num>
  <w:num w:numId="20">
    <w:abstractNumId w:val="4"/>
  </w:num>
  <w:num w:numId="21">
    <w:abstractNumId w:val="17"/>
  </w:num>
  <w:num w:numId="22">
    <w:abstractNumId w:val="24"/>
  </w:num>
  <w:num w:numId="23">
    <w:abstractNumId w:val="38"/>
  </w:num>
  <w:num w:numId="24">
    <w:abstractNumId w:val="6"/>
  </w:num>
  <w:num w:numId="25">
    <w:abstractNumId w:val="20"/>
  </w:num>
  <w:num w:numId="26">
    <w:abstractNumId w:val="28"/>
  </w:num>
  <w:num w:numId="27">
    <w:abstractNumId w:val="10"/>
  </w:num>
  <w:num w:numId="28">
    <w:abstractNumId w:val="35"/>
  </w:num>
  <w:num w:numId="29">
    <w:abstractNumId w:val="12"/>
  </w:num>
  <w:num w:numId="30">
    <w:abstractNumId w:val="0"/>
  </w:num>
  <w:num w:numId="31">
    <w:abstractNumId w:val="32"/>
  </w:num>
  <w:num w:numId="32">
    <w:abstractNumId w:val="22"/>
  </w:num>
  <w:num w:numId="33">
    <w:abstractNumId w:val="46"/>
  </w:num>
  <w:num w:numId="34">
    <w:abstractNumId w:val="2"/>
  </w:num>
  <w:num w:numId="35">
    <w:abstractNumId w:val="31"/>
  </w:num>
  <w:num w:numId="36">
    <w:abstractNumId w:val="16"/>
  </w:num>
  <w:num w:numId="37">
    <w:abstractNumId w:val="47"/>
  </w:num>
  <w:num w:numId="38">
    <w:abstractNumId w:val="14"/>
  </w:num>
  <w:num w:numId="39">
    <w:abstractNumId w:val="15"/>
  </w:num>
  <w:num w:numId="40">
    <w:abstractNumId w:val="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1"/>
  </w:num>
  <w:num w:numId="44">
    <w:abstractNumId w:val="42"/>
  </w:num>
  <w:num w:numId="45">
    <w:abstractNumId w:val="18"/>
  </w:num>
  <w:num w:numId="46">
    <w:abstractNumId w:val="7"/>
  </w:num>
  <w:num w:numId="47">
    <w:abstractNumId w:val="3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61"/>
    <w:rsid w:val="00000E24"/>
    <w:rsid w:val="00002ED1"/>
    <w:rsid w:val="00004F18"/>
    <w:rsid w:val="00012C91"/>
    <w:rsid w:val="00012DB6"/>
    <w:rsid w:val="000137E3"/>
    <w:rsid w:val="00015CA7"/>
    <w:rsid w:val="00017360"/>
    <w:rsid w:val="00017B9E"/>
    <w:rsid w:val="000200F6"/>
    <w:rsid w:val="000263CD"/>
    <w:rsid w:val="00026470"/>
    <w:rsid w:val="0003322A"/>
    <w:rsid w:val="00033751"/>
    <w:rsid w:val="00034BAC"/>
    <w:rsid w:val="00036409"/>
    <w:rsid w:val="000366AC"/>
    <w:rsid w:val="000432D9"/>
    <w:rsid w:val="00043753"/>
    <w:rsid w:val="00044EB2"/>
    <w:rsid w:val="00050A98"/>
    <w:rsid w:val="00050FE6"/>
    <w:rsid w:val="000511AC"/>
    <w:rsid w:val="0005180E"/>
    <w:rsid w:val="00052A3F"/>
    <w:rsid w:val="00060E80"/>
    <w:rsid w:val="00063BBF"/>
    <w:rsid w:val="000642AB"/>
    <w:rsid w:val="00065B5E"/>
    <w:rsid w:val="00067206"/>
    <w:rsid w:val="00067354"/>
    <w:rsid w:val="00067AF0"/>
    <w:rsid w:val="00073430"/>
    <w:rsid w:val="000748C8"/>
    <w:rsid w:val="00075353"/>
    <w:rsid w:val="00075673"/>
    <w:rsid w:val="000761E1"/>
    <w:rsid w:val="000804BF"/>
    <w:rsid w:val="00081C1F"/>
    <w:rsid w:val="00082B7B"/>
    <w:rsid w:val="00085CF8"/>
    <w:rsid w:val="00086453"/>
    <w:rsid w:val="00090F13"/>
    <w:rsid w:val="0009249F"/>
    <w:rsid w:val="00092EF4"/>
    <w:rsid w:val="00095106"/>
    <w:rsid w:val="00095C35"/>
    <w:rsid w:val="00095C91"/>
    <w:rsid w:val="00097889"/>
    <w:rsid w:val="000A1346"/>
    <w:rsid w:val="000A3475"/>
    <w:rsid w:val="000A34EB"/>
    <w:rsid w:val="000A37B3"/>
    <w:rsid w:val="000A4B34"/>
    <w:rsid w:val="000A5379"/>
    <w:rsid w:val="000B0490"/>
    <w:rsid w:val="000B48BF"/>
    <w:rsid w:val="000C16CC"/>
    <w:rsid w:val="000C17F8"/>
    <w:rsid w:val="000C2DC2"/>
    <w:rsid w:val="000C2EC4"/>
    <w:rsid w:val="000C5819"/>
    <w:rsid w:val="000C6BD8"/>
    <w:rsid w:val="000C74A1"/>
    <w:rsid w:val="000E21BA"/>
    <w:rsid w:val="000E2EEF"/>
    <w:rsid w:val="000E51C1"/>
    <w:rsid w:val="000E7227"/>
    <w:rsid w:val="000E7EA0"/>
    <w:rsid w:val="000F0D09"/>
    <w:rsid w:val="000F0D3E"/>
    <w:rsid w:val="000F47D4"/>
    <w:rsid w:val="000F4EDF"/>
    <w:rsid w:val="000F7251"/>
    <w:rsid w:val="00101D28"/>
    <w:rsid w:val="00107DEC"/>
    <w:rsid w:val="0011206C"/>
    <w:rsid w:val="001152BB"/>
    <w:rsid w:val="001204B7"/>
    <w:rsid w:val="00120AA8"/>
    <w:rsid w:val="0012407C"/>
    <w:rsid w:val="00124293"/>
    <w:rsid w:val="00126516"/>
    <w:rsid w:val="00127E95"/>
    <w:rsid w:val="001302F5"/>
    <w:rsid w:val="0013058C"/>
    <w:rsid w:val="00131093"/>
    <w:rsid w:val="00132CA3"/>
    <w:rsid w:val="00136179"/>
    <w:rsid w:val="001430E0"/>
    <w:rsid w:val="00143B6B"/>
    <w:rsid w:val="00144ECD"/>
    <w:rsid w:val="00150BD2"/>
    <w:rsid w:val="00151BCD"/>
    <w:rsid w:val="00157544"/>
    <w:rsid w:val="00164D22"/>
    <w:rsid w:val="00165E85"/>
    <w:rsid w:val="00167858"/>
    <w:rsid w:val="001704FF"/>
    <w:rsid w:val="001711B9"/>
    <w:rsid w:val="00171DDF"/>
    <w:rsid w:val="0017401B"/>
    <w:rsid w:val="00177B44"/>
    <w:rsid w:val="00180BDC"/>
    <w:rsid w:val="00185B21"/>
    <w:rsid w:val="00190033"/>
    <w:rsid w:val="0019245F"/>
    <w:rsid w:val="001928C4"/>
    <w:rsid w:val="001936AB"/>
    <w:rsid w:val="00193B15"/>
    <w:rsid w:val="00195BA0"/>
    <w:rsid w:val="00196A27"/>
    <w:rsid w:val="00196D72"/>
    <w:rsid w:val="001A16CF"/>
    <w:rsid w:val="001A3607"/>
    <w:rsid w:val="001B13E5"/>
    <w:rsid w:val="001B1921"/>
    <w:rsid w:val="001B4100"/>
    <w:rsid w:val="001B4AA9"/>
    <w:rsid w:val="001B5FDD"/>
    <w:rsid w:val="001C0EE7"/>
    <w:rsid w:val="001C2BF0"/>
    <w:rsid w:val="001C513A"/>
    <w:rsid w:val="001C5583"/>
    <w:rsid w:val="001D16FA"/>
    <w:rsid w:val="001D6B6C"/>
    <w:rsid w:val="001E18B9"/>
    <w:rsid w:val="001E452E"/>
    <w:rsid w:val="001F008C"/>
    <w:rsid w:val="001F0FC0"/>
    <w:rsid w:val="002003A0"/>
    <w:rsid w:val="00201C1E"/>
    <w:rsid w:val="002038FD"/>
    <w:rsid w:val="00207BF6"/>
    <w:rsid w:val="002112A0"/>
    <w:rsid w:val="0021252A"/>
    <w:rsid w:val="0021366F"/>
    <w:rsid w:val="002148C5"/>
    <w:rsid w:val="00216DFA"/>
    <w:rsid w:val="00217C22"/>
    <w:rsid w:val="00220446"/>
    <w:rsid w:val="00223D7B"/>
    <w:rsid w:val="00224B00"/>
    <w:rsid w:val="002250C6"/>
    <w:rsid w:val="00232A98"/>
    <w:rsid w:val="002340CB"/>
    <w:rsid w:val="00234933"/>
    <w:rsid w:val="00236C09"/>
    <w:rsid w:val="00237FD9"/>
    <w:rsid w:val="0024077A"/>
    <w:rsid w:val="00243694"/>
    <w:rsid w:val="00246072"/>
    <w:rsid w:val="00252307"/>
    <w:rsid w:val="0025398D"/>
    <w:rsid w:val="00262784"/>
    <w:rsid w:val="002630DD"/>
    <w:rsid w:val="00266286"/>
    <w:rsid w:val="002667F9"/>
    <w:rsid w:val="00266D8B"/>
    <w:rsid w:val="00271DB0"/>
    <w:rsid w:val="00272355"/>
    <w:rsid w:val="0027562C"/>
    <w:rsid w:val="00281B88"/>
    <w:rsid w:val="00281C87"/>
    <w:rsid w:val="00284A5F"/>
    <w:rsid w:val="0028792E"/>
    <w:rsid w:val="00287B42"/>
    <w:rsid w:val="00290CF8"/>
    <w:rsid w:val="00291087"/>
    <w:rsid w:val="00291686"/>
    <w:rsid w:val="00292A27"/>
    <w:rsid w:val="002931EC"/>
    <w:rsid w:val="00294E96"/>
    <w:rsid w:val="00295441"/>
    <w:rsid w:val="00297A54"/>
    <w:rsid w:val="002A14D6"/>
    <w:rsid w:val="002A1E79"/>
    <w:rsid w:val="002A2F0B"/>
    <w:rsid w:val="002A31A1"/>
    <w:rsid w:val="002A3BA3"/>
    <w:rsid w:val="002A481E"/>
    <w:rsid w:val="002A4963"/>
    <w:rsid w:val="002A6974"/>
    <w:rsid w:val="002A712B"/>
    <w:rsid w:val="002A71E1"/>
    <w:rsid w:val="002B10C0"/>
    <w:rsid w:val="002B1BD8"/>
    <w:rsid w:val="002B312B"/>
    <w:rsid w:val="002B3F36"/>
    <w:rsid w:val="002B4AA8"/>
    <w:rsid w:val="002B4F2E"/>
    <w:rsid w:val="002B609D"/>
    <w:rsid w:val="002C0B1B"/>
    <w:rsid w:val="002C4500"/>
    <w:rsid w:val="002C5116"/>
    <w:rsid w:val="002C52BB"/>
    <w:rsid w:val="002C626E"/>
    <w:rsid w:val="002C6699"/>
    <w:rsid w:val="002C74A9"/>
    <w:rsid w:val="002D262B"/>
    <w:rsid w:val="002D3B00"/>
    <w:rsid w:val="002D4122"/>
    <w:rsid w:val="002D52C2"/>
    <w:rsid w:val="002D6431"/>
    <w:rsid w:val="002D7D44"/>
    <w:rsid w:val="002E0179"/>
    <w:rsid w:val="002E094D"/>
    <w:rsid w:val="002E0FA4"/>
    <w:rsid w:val="002E1720"/>
    <w:rsid w:val="002E59CE"/>
    <w:rsid w:val="002E5FED"/>
    <w:rsid w:val="002E67CA"/>
    <w:rsid w:val="002F019C"/>
    <w:rsid w:val="002F0C82"/>
    <w:rsid w:val="003034B8"/>
    <w:rsid w:val="00303B74"/>
    <w:rsid w:val="00304BDC"/>
    <w:rsid w:val="003066AE"/>
    <w:rsid w:val="00310717"/>
    <w:rsid w:val="00312519"/>
    <w:rsid w:val="00313B23"/>
    <w:rsid w:val="00313F4B"/>
    <w:rsid w:val="00322EE4"/>
    <w:rsid w:val="003251E0"/>
    <w:rsid w:val="003321EC"/>
    <w:rsid w:val="00334CC3"/>
    <w:rsid w:val="0033654A"/>
    <w:rsid w:val="00336855"/>
    <w:rsid w:val="0034083A"/>
    <w:rsid w:val="00342E5C"/>
    <w:rsid w:val="003442B1"/>
    <w:rsid w:val="00344CF4"/>
    <w:rsid w:val="0034684E"/>
    <w:rsid w:val="0035373D"/>
    <w:rsid w:val="0035405B"/>
    <w:rsid w:val="00354DC9"/>
    <w:rsid w:val="003561B0"/>
    <w:rsid w:val="00356BBB"/>
    <w:rsid w:val="003675FA"/>
    <w:rsid w:val="003746CE"/>
    <w:rsid w:val="003756C7"/>
    <w:rsid w:val="00376292"/>
    <w:rsid w:val="003765FA"/>
    <w:rsid w:val="00380D0C"/>
    <w:rsid w:val="003824AD"/>
    <w:rsid w:val="00383D96"/>
    <w:rsid w:val="00385052"/>
    <w:rsid w:val="003859F2"/>
    <w:rsid w:val="00386011"/>
    <w:rsid w:val="003902D0"/>
    <w:rsid w:val="003908A6"/>
    <w:rsid w:val="00393EE3"/>
    <w:rsid w:val="00395DB1"/>
    <w:rsid w:val="003A28C6"/>
    <w:rsid w:val="003A35B6"/>
    <w:rsid w:val="003A5074"/>
    <w:rsid w:val="003B020A"/>
    <w:rsid w:val="003B1A4B"/>
    <w:rsid w:val="003B1BA2"/>
    <w:rsid w:val="003B1C64"/>
    <w:rsid w:val="003B2FF6"/>
    <w:rsid w:val="003B31B8"/>
    <w:rsid w:val="003B3E67"/>
    <w:rsid w:val="003B6B5D"/>
    <w:rsid w:val="003B729B"/>
    <w:rsid w:val="003C0686"/>
    <w:rsid w:val="003C24EF"/>
    <w:rsid w:val="003C6555"/>
    <w:rsid w:val="003D0095"/>
    <w:rsid w:val="003D1394"/>
    <w:rsid w:val="003D3D00"/>
    <w:rsid w:val="003D5983"/>
    <w:rsid w:val="003E406D"/>
    <w:rsid w:val="003E6A62"/>
    <w:rsid w:val="003F1422"/>
    <w:rsid w:val="003F4206"/>
    <w:rsid w:val="003F4788"/>
    <w:rsid w:val="003F47FA"/>
    <w:rsid w:val="003F738E"/>
    <w:rsid w:val="00400D38"/>
    <w:rsid w:val="004049B1"/>
    <w:rsid w:val="004055D5"/>
    <w:rsid w:val="004151F8"/>
    <w:rsid w:val="00420A8F"/>
    <w:rsid w:val="0042302B"/>
    <w:rsid w:val="00424EEA"/>
    <w:rsid w:val="00425494"/>
    <w:rsid w:val="00426150"/>
    <w:rsid w:val="0043398E"/>
    <w:rsid w:val="004351D7"/>
    <w:rsid w:val="00435ADA"/>
    <w:rsid w:val="0043662E"/>
    <w:rsid w:val="0043762C"/>
    <w:rsid w:val="00437F79"/>
    <w:rsid w:val="00441938"/>
    <w:rsid w:val="004420BA"/>
    <w:rsid w:val="004445CB"/>
    <w:rsid w:val="00447A17"/>
    <w:rsid w:val="004504F7"/>
    <w:rsid w:val="00456342"/>
    <w:rsid w:val="004621B2"/>
    <w:rsid w:val="00467352"/>
    <w:rsid w:val="0047429C"/>
    <w:rsid w:val="00474935"/>
    <w:rsid w:val="00474B31"/>
    <w:rsid w:val="00476766"/>
    <w:rsid w:val="00476C50"/>
    <w:rsid w:val="004809EC"/>
    <w:rsid w:val="00480D19"/>
    <w:rsid w:val="004818C7"/>
    <w:rsid w:val="00485763"/>
    <w:rsid w:val="00492371"/>
    <w:rsid w:val="004932C3"/>
    <w:rsid w:val="00495A6C"/>
    <w:rsid w:val="00496A66"/>
    <w:rsid w:val="00496F64"/>
    <w:rsid w:val="004A024B"/>
    <w:rsid w:val="004A1CFD"/>
    <w:rsid w:val="004A1E47"/>
    <w:rsid w:val="004A273E"/>
    <w:rsid w:val="004A611A"/>
    <w:rsid w:val="004B22BA"/>
    <w:rsid w:val="004B45AC"/>
    <w:rsid w:val="004B611E"/>
    <w:rsid w:val="004C1E37"/>
    <w:rsid w:val="004C2187"/>
    <w:rsid w:val="004C76B3"/>
    <w:rsid w:val="004C76E8"/>
    <w:rsid w:val="004D09CC"/>
    <w:rsid w:val="004D0EB7"/>
    <w:rsid w:val="004D2857"/>
    <w:rsid w:val="004D4BAC"/>
    <w:rsid w:val="004D4ECD"/>
    <w:rsid w:val="004D574C"/>
    <w:rsid w:val="00500456"/>
    <w:rsid w:val="00501E20"/>
    <w:rsid w:val="00502A66"/>
    <w:rsid w:val="00503B44"/>
    <w:rsid w:val="00504919"/>
    <w:rsid w:val="00505819"/>
    <w:rsid w:val="00505A66"/>
    <w:rsid w:val="00512104"/>
    <w:rsid w:val="005125A7"/>
    <w:rsid w:val="00514D9F"/>
    <w:rsid w:val="00521983"/>
    <w:rsid w:val="00521E6B"/>
    <w:rsid w:val="00523B5C"/>
    <w:rsid w:val="005258E9"/>
    <w:rsid w:val="0052643D"/>
    <w:rsid w:val="00531077"/>
    <w:rsid w:val="005319BF"/>
    <w:rsid w:val="00531CAB"/>
    <w:rsid w:val="005409BD"/>
    <w:rsid w:val="005416A6"/>
    <w:rsid w:val="005432BA"/>
    <w:rsid w:val="00543C65"/>
    <w:rsid w:val="00545588"/>
    <w:rsid w:val="00545ADE"/>
    <w:rsid w:val="005540E9"/>
    <w:rsid w:val="005549A4"/>
    <w:rsid w:val="0055505C"/>
    <w:rsid w:val="00555F00"/>
    <w:rsid w:val="0055755B"/>
    <w:rsid w:val="005615AD"/>
    <w:rsid w:val="0056316F"/>
    <w:rsid w:val="00565937"/>
    <w:rsid w:val="00565A75"/>
    <w:rsid w:val="0056703D"/>
    <w:rsid w:val="0057087C"/>
    <w:rsid w:val="00571FC1"/>
    <w:rsid w:val="00575BB6"/>
    <w:rsid w:val="00577626"/>
    <w:rsid w:val="00580E7E"/>
    <w:rsid w:val="00581770"/>
    <w:rsid w:val="00581C43"/>
    <w:rsid w:val="00581E66"/>
    <w:rsid w:val="005837F0"/>
    <w:rsid w:val="00593E09"/>
    <w:rsid w:val="005A01F6"/>
    <w:rsid w:val="005A2564"/>
    <w:rsid w:val="005A2897"/>
    <w:rsid w:val="005A43EA"/>
    <w:rsid w:val="005A4F9B"/>
    <w:rsid w:val="005B3296"/>
    <w:rsid w:val="005B3E91"/>
    <w:rsid w:val="005C40AF"/>
    <w:rsid w:val="005C589F"/>
    <w:rsid w:val="005E5935"/>
    <w:rsid w:val="005E634F"/>
    <w:rsid w:val="005F1211"/>
    <w:rsid w:val="005F2D9B"/>
    <w:rsid w:val="005F628B"/>
    <w:rsid w:val="005F79B9"/>
    <w:rsid w:val="006056F1"/>
    <w:rsid w:val="006075C5"/>
    <w:rsid w:val="00607AC2"/>
    <w:rsid w:val="00611158"/>
    <w:rsid w:val="00611EAA"/>
    <w:rsid w:val="00616008"/>
    <w:rsid w:val="00627DEE"/>
    <w:rsid w:val="00634D9E"/>
    <w:rsid w:val="00634DCA"/>
    <w:rsid w:val="00634EF0"/>
    <w:rsid w:val="00641780"/>
    <w:rsid w:val="006450DA"/>
    <w:rsid w:val="0064510B"/>
    <w:rsid w:val="00645A56"/>
    <w:rsid w:val="00645B1A"/>
    <w:rsid w:val="00645F14"/>
    <w:rsid w:val="00656B74"/>
    <w:rsid w:val="00661146"/>
    <w:rsid w:val="00661756"/>
    <w:rsid w:val="0066333F"/>
    <w:rsid w:val="00663504"/>
    <w:rsid w:val="006635C4"/>
    <w:rsid w:val="00670774"/>
    <w:rsid w:val="006715F4"/>
    <w:rsid w:val="00671A01"/>
    <w:rsid w:val="00675B28"/>
    <w:rsid w:val="0068129B"/>
    <w:rsid w:val="0068314B"/>
    <w:rsid w:val="006831FE"/>
    <w:rsid w:val="0068447E"/>
    <w:rsid w:val="00685981"/>
    <w:rsid w:val="00687C77"/>
    <w:rsid w:val="00687D73"/>
    <w:rsid w:val="00691EDB"/>
    <w:rsid w:val="00692247"/>
    <w:rsid w:val="00692368"/>
    <w:rsid w:val="0069626B"/>
    <w:rsid w:val="00697397"/>
    <w:rsid w:val="006A00E2"/>
    <w:rsid w:val="006A1341"/>
    <w:rsid w:val="006A56C5"/>
    <w:rsid w:val="006A6058"/>
    <w:rsid w:val="006A7FFD"/>
    <w:rsid w:val="006B00CE"/>
    <w:rsid w:val="006B03F6"/>
    <w:rsid w:val="006B0624"/>
    <w:rsid w:val="006B0C7C"/>
    <w:rsid w:val="006B56AA"/>
    <w:rsid w:val="006B6655"/>
    <w:rsid w:val="006C131A"/>
    <w:rsid w:val="006C1F1C"/>
    <w:rsid w:val="006C2838"/>
    <w:rsid w:val="006C73F1"/>
    <w:rsid w:val="006C769D"/>
    <w:rsid w:val="006D1D07"/>
    <w:rsid w:val="006D2082"/>
    <w:rsid w:val="006D4818"/>
    <w:rsid w:val="006D6CBD"/>
    <w:rsid w:val="006E11A5"/>
    <w:rsid w:val="006E3134"/>
    <w:rsid w:val="006E3499"/>
    <w:rsid w:val="006E50AC"/>
    <w:rsid w:val="006E55FB"/>
    <w:rsid w:val="006E56BE"/>
    <w:rsid w:val="006E7313"/>
    <w:rsid w:val="006E7551"/>
    <w:rsid w:val="006F3C73"/>
    <w:rsid w:val="0070013C"/>
    <w:rsid w:val="0070123B"/>
    <w:rsid w:val="0070244E"/>
    <w:rsid w:val="0070407B"/>
    <w:rsid w:val="00704FF1"/>
    <w:rsid w:val="007056FA"/>
    <w:rsid w:val="00705D68"/>
    <w:rsid w:val="0070607F"/>
    <w:rsid w:val="00706735"/>
    <w:rsid w:val="0070750C"/>
    <w:rsid w:val="00710C59"/>
    <w:rsid w:val="007136B3"/>
    <w:rsid w:val="0071504C"/>
    <w:rsid w:val="00716493"/>
    <w:rsid w:val="007174E0"/>
    <w:rsid w:val="0071781D"/>
    <w:rsid w:val="00717C13"/>
    <w:rsid w:val="007201ED"/>
    <w:rsid w:val="007202A6"/>
    <w:rsid w:val="00722B9A"/>
    <w:rsid w:val="007256CB"/>
    <w:rsid w:val="00726493"/>
    <w:rsid w:val="007322C4"/>
    <w:rsid w:val="007324AF"/>
    <w:rsid w:val="007325D7"/>
    <w:rsid w:val="00733EA7"/>
    <w:rsid w:val="00740DCD"/>
    <w:rsid w:val="007439B6"/>
    <w:rsid w:val="00743E46"/>
    <w:rsid w:val="00747121"/>
    <w:rsid w:val="0074731F"/>
    <w:rsid w:val="0075020F"/>
    <w:rsid w:val="00752416"/>
    <w:rsid w:val="00754F13"/>
    <w:rsid w:val="00760494"/>
    <w:rsid w:val="00761E6E"/>
    <w:rsid w:val="0076612D"/>
    <w:rsid w:val="007674A8"/>
    <w:rsid w:val="00767BD6"/>
    <w:rsid w:val="00767C9B"/>
    <w:rsid w:val="00770D38"/>
    <w:rsid w:val="0077196C"/>
    <w:rsid w:val="007737F8"/>
    <w:rsid w:val="007743BC"/>
    <w:rsid w:val="00774431"/>
    <w:rsid w:val="00775D82"/>
    <w:rsid w:val="007779A1"/>
    <w:rsid w:val="007801FE"/>
    <w:rsid w:val="007817CC"/>
    <w:rsid w:val="00783B2C"/>
    <w:rsid w:val="007847E9"/>
    <w:rsid w:val="00784D93"/>
    <w:rsid w:val="00786060"/>
    <w:rsid w:val="007908D9"/>
    <w:rsid w:val="007932AB"/>
    <w:rsid w:val="00795947"/>
    <w:rsid w:val="00796865"/>
    <w:rsid w:val="0079770B"/>
    <w:rsid w:val="007A27ED"/>
    <w:rsid w:val="007A2B3D"/>
    <w:rsid w:val="007A35CD"/>
    <w:rsid w:val="007B6019"/>
    <w:rsid w:val="007B6379"/>
    <w:rsid w:val="007C08AB"/>
    <w:rsid w:val="007C5E94"/>
    <w:rsid w:val="007C6307"/>
    <w:rsid w:val="007D4805"/>
    <w:rsid w:val="007D53F8"/>
    <w:rsid w:val="007D6028"/>
    <w:rsid w:val="007D7D61"/>
    <w:rsid w:val="007E2449"/>
    <w:rsid w:val="007E7063"/>
    <w:rsid w:val="007F0536"/>
    <w:rsid w:val="007F0E22"/>
    <w:rsid w:val="00801D71"/>
    <w:rsid w:val="00802AA0"/>
    <w:rsid w:val="0080568B"/>
    <w:rsid w:val="00810325"/>
    <w:rsid w:val="0081084E"/>
    <w:rsid w:val="00811272"/>
    <w:rsid w:val="00811992"/>
    <w:rsid w:val="0081432A"/>
    <w:rsid w:val="00821B7C"/>
    <w:rsid w:val="00823E4E"/>
    <w:rsid w:val="00827FA6"/>
    <w:rsid w:val="00834E1F"/>
    <w:rsid w:val="008376AF"/>
    <w:rsid w:val="00841FA9"/>
    <w:rsid w:val="00844A74"/>
    <w:rsid w:val="00845D99"/>
    <w:rsid w:val="0084643A"/>
    <w:rsid w:val="008516D6"/>
    <w:rsid w:val="00851729"/>
    <w:rsid w:val="008530B0"/>
    <w:rsid w:val="00854C19"/>
    <w:rsid w:val="00855A83"/>
    <w:rsid w:val="00857420"/>
    <w:rsid w:val="00857B73"/>
    <w:rsid w:val="00857DB8"/>
    <w:rsid w:val="00860CD5"/>
    <w:rsid w:val="00860F68"/>
    <w:rsid w:val="00861D59"/>
    <w:rsid w:val="00863732"/>
    <w:rsid w:val="00865BD9"/>
    <w:rsid w:val="00865E38"/>
    <w:rsid w:val="0086634F"/>
    <w:rsid w:val="008700A6"/>
    <w:rsid w:val="00871B7A"/>
    <w:rsid w:val="008732C2"/>
    <w:rsid w:val="0087428B"/>
    <w:rsid w:val="00876064"/>
    <w:rsid w:val="00876E02"/>
    <w:rsid w:val="00877B4F"/>
    <w:rsid w:val="00890B8A"/>
    <w:rsid w:val="008915B2"/>
    <w:rsid w:val="00896C0D"/>
    <w:rsid w:val="00896D53"/>
    <w:rsid w:val="008971D1"/>
    <w:rsid w:val="008974AF"/>
    <w:rsid w:val="00897CC0"/>
    <w:rsid w:val="008A20BC"/>
    <w:rsid w:val="008A22DD"/>
    <w:rsid w:val="008A2745"/>
    <w:rsid w:val="008A2DF5"/>
    <w:rsid w:val="008A5CB6"/>
    <w:rsid w:val="008B1271"/>
    <w:rsid w:val="008B5136"/>
    <w:rsid w:val="008B5819"/>
    <w:rsid w:val="008B5EBB"/>
    <w:rsid w:val="008B64FF"/>
    <w:rsid w:val="008C054A"/>
    <w:rsid w:val="008C2434"/>
    <w:rsid w:val="008C2816"/>
    <w:rsid w:val="008C2C12"/>
    <w:rsid w:val="008C5826"/>
    <w:rsid w:val="008C5AE1"/>
    <w:rsid w:val="008C79AB"/>
    <w:rsid w:val="008D0B3B"/>
    <w:rsid w:val="008D2620"/>
    <w:rsid w:val="008D7061"/>
    <w:rsid w:val="008E1187"/>
    <w:rsid w:val="008E228A"/>
    <w:rsid w:val="008E2AB0"/>
    <w:rsid w:val="008E793E"/>
    <w:rsid w:val="008F00D1"/>
    <w:rsid w:val="008F0E75"/>
    <w:rsid w:val="008F17A0"/>
    <w:rsid w:val="008F3918"/>
    <w:rsid w:val="008F68B7"/>
    <w:rsid w:val="00902AEB"/>
    <w:rsid w:val="00904D8B"/>
    <w:rsid w:val="0090733D"/>
    <w:rsid w:val="00907576"/>
    <w:rsid w:val="00907F46"/>
    <w:rsid w:val="009105AD"/>
    <w:rsid w:val="00913E41"/>
    <w:rsid w:val="009167C4"/>
    <w:rsid w:val="009213AF"/>
    <w:rsid w:val="009222D0"/>
    <w:rsid w:val="00923466"/>
    <w:rsid w:val="00925214"/>
    <w:rsid w:val="00925A4F"/>
    <w:rsid w:val="00930F8D"/>
    <w:rsid w:val="009331E5"/>
    <w:rsid w:val="00933C5D"/>
    <w:rsid w:val="00934440"/>
    <w:rsid w:val="00937FEA"/>
    <w:rsid w:val="0094006E"/>
    <w:rsid w:val="00942D36"/>
    <w:rsid w:val="00946397"/>
    <w:rsid w:val="009465D6"/>
    <w:rsid w:val="0094723D"/>
    <w:rsid w:val="00950800"/>
    <w:rsid w:val="00953D3B"/>
    <w:rsid w:val="00954654"/>
    <w:rsid w:val="00957D0D"/>
    <w:rsid w:val="00960092"/>
    <w:rsid w:val="00960C47"/>
    <w:rsid w:val="00961DA7"/>
    <w:rsid w:val="00965706"/>
    <w:rsid w:val="00965A17"/>
    <w:rsid w:val="009669DE"/>
    <w:rsid w:val="00966BA9"/>
    <w:rsid w:val="0097228B"/>
    <w:rsid w:val="00974CC7"/>
    <w:rsid w:val="00976550"/>
    <w:rsid w:val="009902DB"/>
    <w:rsid w:val="009916E1"/>
    <w:rsid w:val="009921DC"/>
    <w:rsid w:val="009927E2"/>
    <w:rsid w:val="00995175"/>
    <w:rsid w:val="00995C3C"/>
    <w:rsid w:val="009A2E6E"/>
    <w:rsid w:val="009A7432"/>
    <w:rsid w:val="009A7F25"/>
    <w:rsid w:val="009B18AC"/>
    <w:rsid w:val="009B3269"/>
    <w:rsid w:val="009B33AD"/>
    <w:rsid w:val="009C0399"/>
    <w:rsid w:val="009C0552"/>
    <w:rsid w:val="009C0B1A"/>
    <w:rsid w:val="009C4DBA"/>
    <w:rsid w:val="009C7611"/>
    <w:rsid w:val="009D2473"/>
    <w:rsid w:val="009D5BA9"/>
    <w:rsid w:val="009D7665"/>
    <w:rsid w:val="009E0D66"/>
    <w:rsid w:val="009E1B23"/>
    <w:rsid w:val="009E6F2C"/>
    <w:rsid w:val="009F10AC"/>
    <w:rsid w:val="009F1E8C"/>
    <w:rsid w:val="009F205E"/>
    <w:rsid w:val="009F2587"/>
    <w:rsid w:val="009F3A5C"/>
    <w:rsid w:val="009F3BFB"/>
    <w:rsid w:val="009F6642"/>
    <w:rsid w:val="00A007D4"/>
    <w:rsid w:val="00A01DCD"/>
    <w:rsid w:val="00A0280F"/>
    <w:rsid w:val="00A03C13"/>
    <w:rsid w:val="00A04F7A"/>
    <w:rsid w:val="00A05E23"/>
    <w:rsid w:val="00A1240B"/>
    <w:rsid w:val="00A13BEE"/>
    <w:rsid w:val="00A2134F"/>
    <w:rsid w:val="00A27784"/>
    <w:rsid w:val="00A27C34"/>
    <w:rsid w:val="00A308A7"/>
    <w:rsid w:val="00A31138"/>
    <w:rsid w:val="00A33BF1"/>
    <w:rsid w:val="00A3537D"/>
    <w:rsid w:val="00A360C3"/>
    <w:rsid w:val="00A40AB5"/>
    <w:rsid w:val="00A418CF"/>
    <w:rsid w:val="00A44794"/>
    <w:rsid w:val="00A5243C"/>
    <w:rsid w:val="00A63B83"/>
    <w:rsid w:val="00A641C0"/>
    <w:rsid w:val="00A648D7"/>
    <w:rsid w:val="00A65355"/>
    <w:rsid w:val="00A65BFF"/>
    <w:rsid w:val="00A74773"/>
    <w:rsid w:val="00A82717"/>
    <w:rsid w:val="00A853EA"/>
    <w:rsid w:val="00A87A6C"/>
    <w:rsid w:val="00A91B46"/>
    <w:rsid w:val="00A91BC4"/>
    <w:rsid w:val="00A9229F"/>
    <w:rsid w:val="00A93ECD"/>
    <w:rsid w:val="00A94523"/>
    <w:rsid w:val="00A95693"/>
    <w:rsid w:val="00A97A52"/>
    <w:rsid w:val="00AA1E9A"/>
    <w:rsid w:val="00AA2277"/>
    <w:rsid w:val="00AB5F81"/>
    <w:rsid w:val="00AB73D9"/>
    <w:rsid w:val="00AC12D9"/>
    <w:rsid w:val="00AC38AD"/>
    <w:rsid w:val="00AC7BBC"/>
    <w:rsid w:val="00AD0F19"/>
    <w:rsid w:val="00AD217E"/>
    <w:rsid w:val="00AD4E91"/>
    <w:rsid w:val="00AE45F6"/>
    <w:rsid w:val="00AE4DC7"/>
    <w:rsid w:val="00AE5F5B"/>
    <w:rsid w:val="00AF15FE"/>
    <w:rsid w:val="00AF2595"/>
    <w:rsid w:val="00AF2BEB"/>
    <w:rsid w:val="00AF338D"/>
    <w:rsid w:val="00AF6CD6"/>
    <w:rsid w:val="00B0121B"/>
    <w:rsid w:val="00B025C5"/>
    <w:rsid w:val="00B040CA"/>
    <w:rsid w:val="00B044C0"/>
    <w:rsid w:val="00B05670"/>
    <w:rsid w:val="00B07E46"/>
    <w:rsid w:val="00B1494E"/>
    <w:rsid w:val="00B20693"/>
    <w:rsid w:val="00B32183"/>
    <w:rsid w:val="00B32FCF"/>
    <w:rsid w:val="00B55759"/>
    <w:rsid w:val="00B55BD5"/>
    <w:rsid w:val="00B57628"/>
    <w:rsid w:val="00B60C68"/>
    <w:rsid w:val="00B6138E"/>
    <w:rsid w:val="00B636EF"/>
    <w:rsid w:val="00B65495"/>
    <w:rsid w:val="00B662C1"/>
    <w:rsid w:val="00B6693D"/>
    <w:rsid w:val="00B7348F"/>
    <w:rsid w:val="00B771D0"/>
    <w:rsid w:val="00B77823"/>
    <w:rsid w:val="00B80683"/>
    <w:rsid w:val="00B81537"/>
    <w:rsid w:val="00B826B5"/>
    <w:rsid w:val="00B84EB0"/>
    <w:rsid w:val="00B85D30"/>
    <w:rsid w:val="00B85F8B"/>
    <w:rsid w:val="00B86872"/>
    <w:rsid w:val="00B86DAD"/>
    <w:rsid w:val="00B916CE"/>
    <w:rsid w:val="00B91A21"/>
    <w:rsid w:val="00B927F7"/>
    <w:rsid w:val="00B93EB3"/>
    <w:rsid w:val="00B974BE"/>
    <w:rsid w:val="00B9763E"/>
    <w:rsid w:val="00BA06C9"/>
    <w:rsid w:val="00BA274E"/>
    <w:rsid w:val="00BA3895"/>
    <w:rsid w:val="00BA4973"/>
    <w:rsid w:val="00BA6A7F"/>
    <w:rsid w:val="00BB1520"/>
    <w:rsid w:val="00BB1FA2"/>
    <w:rsid w:val="00BB58AE"/>
    <w:rsid w:val="00BB77CE"/>
    <w:rsid w:val="00BC2805"/>
    <w:rsid w:val="00BC3A1E"/>
    <w:rsid w:val="00BC5AC3"/>
    <w:rsid w:val="00BC713E"/>
    <w:rsid w:val="00BD0745"/>
    <w:rsid w:val="00BD16D7"/>
    <w:rsid w:val="00BD1BE6"/>
    <w:rsid w:val="00BD3B1F"/>
    <w:rsid w:val="00BD4B65"/>
    <w:rsid w:val="00BD56D2"/>
    <w:rsid w:val="00BD71D7"/>
    <w:rsid w:val="00BE1A77"/>
    <w:rsid w:val="00BE3251"/>
    <w:rsid w:val="00BE3FEE"/>
    <w:rsid w:val="00BE68D6"/>
    <w:rsid w:val="00BE6BB4"/>
    <w:rsid w:val="00BF0C54"/>
    <w:rsid w:val="00C00276"/>
    <w:rsid w:val="00C0267A"/>
    <w:rsid w:val="00C03E00"/>
    <w:rsid w:val="00C052D2"/>
    <w:rsid w:val="00C05851"/>
    <w:rsid w:val="00C11001"/>
    <w:rsid w:val="00C12559"/>
    <w:rsid w:val="00C12A80"/>
    <w:rsid w:val="00C12FC2"/>
    <w:rsid w:val="00C15767"/>
    <w:rsid w:val="00C16A6A"/>
    <w:rsid w:val="00C2445A"/>
    <w:rsid w:val="00C260A9"/>
    <w:rsid w:val="00C30D44"/>
    <w:rsid w:val="00C30F81"/>
    <w:rsid w:val="00C35D50"/>
    <w:rsid w:val="00C43666"/>
    <w:rsid w:val="00C44919"/>
    <w:rsid w:val="00C456ED"/>
    <w:rsid w:val="00C4670E"/>
    <w:rsid w:val="00C47354"/>
    <w:rsid w:val="00C50303"/>
    <w:rsid w:val="00C53759"/>
    <w:rsid w:val="00C563A5"/>
    <w:rsid w:val="00C567DB"/>
    <w:rsid w:val="00C605C5"/>
    <w:rsid w:val="00C623B8"/>
    <w:rsid w:val="00C62900"/>
    <w:rsid w:val="00C65831"/>
    <w:rsid w:val="00C74AD0"/>
    <w:rsid w:val="00C8297F"/>
    <w:rsid w:val="00C83AB2"/>
    <w:rsid w:val="00C864CC"/>
    <w:rsid w:val="00C86735"/>
    <w:rsid w:val="00C92AE6"/>
    <w:rsid w:val="00C92C5D"/>
    <w:rsid w:val="00C931C4"/>
    <w:rsid w:val="00C97BAD"/>
    <w:rsid w:val="00CA17C4"/>
    <w:rsid w:val="00CA4E0A"/>
    <w:rsid w:val="00CA552F"/>
    <w:rsid w:val="00CB0B27"/>
    <w:rsid w:val="00CB177A"/>
    <w:rsid w:val="00CB18D5"/>
    <w:rsid w:val="00CB325B"/>
    <w:rsid w:val="00CB442E"/>
    <w:rsid w:val="00CB4633"/>
    <w:rsid w:val="00CB7234"/>
    <w:rsid w:val="00CC1282"/>
    <w:rsid w:val="00CC3F0F"/>
    <w:rsid w:val="00CC5F75"/>
    <w:rsid w:val="00CC5FE7"/>
    <w:rsid w:val="00CD41D5"/>
    <w:rsid w:val="00CD49BE"/>
    <w:rsid w:val="00CD689B"/>
    <w:rsid w:val="00CD737E"/>
    <w:rsid w:val="00CE3C46"/>
    <w:rsid w:val="00CE53F1"/>
    <w:rsid w:val="00CE7F0B"/>
    <w:rsid w:val="00CF2230"/>
    <w:rsid w:val="00CF2524"/>
    <w:rsid w:val="00CF3065"/>
    <w:rsid w:val="00CF3B31"/>
    <w:rsid w:val="00CF3BCC"/>
    <w:rsid w:val="00CF4E26"/>
    <w:rsid w:val="00D00076"/>
    <w:rsid w:val="00D00FD7"/>
    <w:rsid w:val="00D01066"/>
    <w:rsid w:val="00D027EA"/>
    <w:rsid w:val="00D02BEE"/>
    <w:rsid w:val="00D036F2"/>
    <w:rsid w:val="00D04744"/>
    <w:rsid w:val="00D04A7E"/>
    <w:rsid w:val="00D07533"/>
    <w:rsid w:val="00D079ED"/>
    <w:rsid w:val="00D136AE"/>
    <w:rsid w:val="00D16036"/>
    <w:rsid w:val="00D17C7A"/>
    <w:rsid w:val="00D20104"/>
    <w:rsid w:val="00D216F6"/>
    <w:rsid w:val="00D25494"/>
    <w:rsid w:val="00D26193"/>
    <w:rsid w:val="00D32803"/>
    <w:rsid w:val="00D3626A"/>
    <w:rsid w:val="00D370CB"/>
    <w:rsid w:val="00D4238C"/>
    <w:rsid w:val="00D4306F"/>
    <w:rsid w:val="00D51955"/>
    <w:rsid w:val="00D52BD4"/>
    <w:rsid w:val="00D530DB"/>
    <w:rsid w:val="00D55542"/>
    <w:rsid w:val="00D55E55"/>
    <w:rsid w:val="00D63CB8"/>
    <w:rsid w:val="00D666EC"/>
    <w:rsid w:val="00D72058"/>
    <w:rsid w:val="00D72350"/>
    <w:rsid w:val="00D7384D"/>
    <w:rsid w:val="00D741A0"/>
    <w:rsid w:val="00D75EB1"/>
    <w:rsid w:val="00D801BF"/>
    <w:rsid w:val="00D80746"/>
    <w:rsid w:val="00D8296F"/>
    <w:rsid w:val="00D84393"/>
    <w:rsid w:val="00D86D7F"/>
    <w:rsid w:val="00D937E7"/>
    <w:rsid w:val="00D9385D"/>
    <w:rsid w:val="00D97FAF"/>
    <w:rsid w:val="00DA050A"/>
    <w:rsid w:val="00DA394A"/>
    <w:rsid w:val="00DA5221"/>
    <w:rsid w:val="00DC53CD"/>
    <w:rsid w:val="00DC70EA"/>
    <w:rsid w:val="00DD3D69"/>
    <w:rsid w:val="00DD41DB"/>
    <w:rsid w:val="00DD51C3"/>
    <w:rsid w:val="00DE1161"/>
    <w:rsid w:val="00DE1E45"/>
    <w:rsid w:val="00DE2574"/>
    <w:rsid w:val="00DE580F"/>
    <w:rsid w:val="00DE5F61"/>
    <w:rsid w:val="00DF4DC7"/>
    <w:rsid w:val="00DF7EE6"/>
    <w:rsid w:val="00E004CF"/>
    <w:rsid w:val="00E03E27"/>
    <w:rsid w:val="00E0665C"/>
    <w:rsid w:val="00E1076D"/>
    <w:rsid w:val="00E11C70"/>
    <w:rsid w:val="00E16002"/>
    <w:rsid w:val="00E164B9"/>
    <w:rsid w:val="00E209C2"/>
    <w:rsid w:val="00E250DF"/>
    <w:rsid w:val="00E25D6F"/>
    <w:rsid w:val="00E26B60"/>
    <w:rsid w:val="00E27378"/>
    <w:rsid w:val="00E34199"/>
    <w:rsid w:val="00E3791D"/>
    <w:rsid w:val="00E416F0"/>
    <w:rsid w:val="00E42BB9"/>
    <w:rsid w:val="00E461AA"/>
    <w:rsid w:val="00E47DAA"/>
    <w:rsid w:val="00E53CA4"/>
    <w:rsid w:val="00E53E4C"/>
    <w:rsid w:val="00E53FCE"/>
    <w:rsid w:val="00E555D1"/>
    <w:rsid w:val="00E55E4B"/>
    <w:rsid w:val="00E65E1F"/>
    <w:rsid w:val="00E73281"/>
    <w:rsid w:val="00E73E80"/>
    <w:rsid w:val="00E7447A"/>
    <w:rsid w:val="00E74CD6"/>
    <w:rsid w:val="00E755BB"/>
    <w:rsid w:val="00E76705"/>
    <w:rsid w:val="00E80587"/>
    <w:rsid w:val="00E862D9"/>
    <w:rsid w:val="00E86E2F"/>
    <w:rsid w:val="00E90A2D"/>
    <w:rsid w:val="00E90C88"/>
    <w:rsid w:val="00E90D86"/>
    <w:rsid w:val="00E93F1A"/>
    <w:rsid w:val="00E94659"/>
    <w:rsid w:val="00E955CD"/>
    <w:rsid w:val="00E95AAF"/>
    <w:rsid w:val="00EA00E4"/>
    <w:rsid w:val="00EA6FA6"/>
    <w:rsid w:val="00EA7F44"/>
    <w:rsid w:val="00EB13DF"/>
    <w:rsid w:val="00EB1ED9"/>
    <w:rsid w:val="00EB3E8D"/>
    <w:rsid w:val="00EC2238"/>
    <w:rsid w:val="00EC3137"/>
    <w:rsid w:val="00EC51ED"/>
    <w:rsid w:val="00EC6281"/>
    <w:rsid w:val="00EC7774"/>
    <w:rsid w:val="00ED28F1"/>
    <w:rsid w:val="00ED3641"/>
    <w:rsid w:val="00EE469C"/>
    <w:rsid w:val="00EE55A8"/>
    <w:rsid w:val="00EF0400"/>
    <w:rsid w:val="00EF1DFB"/>
    <w:rsid w:val="00EF791C"/>
    <w:rsid w:val="00F01696"/>
    <w:rsid w:val="00F01FF1"/>
    <w:rsid w:val="00F042C7"/>
    <w:rsid w:val="00F063D1"/>
    <w:rsid w:val="00F0644F"/>
    <w:rsid w:val="00F154FB"/>
    <w:rsid w:val="00F15C89"/>
    <w:rsid w:val="00F17E4C"/>
    <w:rsid w:val="00F204F5"/>
    <w:rsid w:val="00F219C3"/>
    <w:rsid w:val="00F22740"/>
    <w:rsid w:val="00F25685"/>
    <w:rsid w:val="00F300DA"/>
    <w:rsid w:val="00F32125"/>
    <w:rsid w:val="00F33497"/>
    <w:rsid w:val="00F33E0C"/>
    <w:rsid w:val="00F34008"/>
    <w:rsid w:val="00F370A3"/>
    <w:rsid w:val="00F41AD4"/>
    <w:rsid w:val="00F41D05"/>
    <w:rsid w:val="00F42B97"/>
    <w:rsid w:val="00F46D67"/>
    <w:rsid w:val="00F47EF7"/>
    <w:rsid w:val="00F5357F"/>
    <w:rsid w:val="00F53E98"/>
    <w:rsid w:val="00F56E07"/>
    <w:rsid w:val="00F60538"/>
    <w:rsid w:val="00F6067B"/>
    <w:rsid w:val="00F7182A"/>
    <w:rsid w:val="00F72129"/>
    <w:rsid w:val="00F752AD"/>
    <w:rsid w:val="00F76AD1"/>
    <w:rsid w:val="00F77591"/>
    <w:rsid w:val="00F805FC"/>
    <w:rsid w:val="00F811C6"/>
    <w:rsid w:val="00F827E9"/>
    <w:rsid w:val="00F863A4"/>
    <w:rsid w:val="00F86551"/>
    <w:rsid w:val="00F9100C"/>
    <w:rsid w:val="00F91745"/>
    <w:rsid w:val="00F92565"/>
    <w:rsid w:val="00F96D6C"/>
    <w:rsid w:val="00F97106"/>
    <w:rsid w:val="00F97A06"/>
    <w:rsid w:val="00FA0563"/>
    <w:rsid w:val="00FA3320"/>
    <w:rsid w:val="00FA3B94"/>
    <w:rsid w:val="00FA5B12"/>
    <w:rsid w:val="00FB2226"/>
    <w:rsid w:val="00FB3821"/>
    <w:rsid w:val="00FC1327"/>
    <w:rsid w:val="00FC1924"/>
    <w:rsid w:val="00FC4966"/>
    <w:rsid w:val="00FC57AB"/>
    <w:rsid w:val="00FC7D48"/>
    <w:rsid w:val="00FD0579"/>
    <w:rsid w:val="00FD1E6F"/>
    <w:rsid w:val="00FD234D"/>
    <w:rsid w:val="00FD3F67"/>
    <w:rsid w:val="00FD6422"/>
    <w:rsid w:val="00FD6872"/>
    <w:rsid w:val="00FD7930"/>
    <w:rsid w:val="00FE0070"/>
    <w:rsid w:val="00FE09B1"/>
    <w:rsid w:val="00FE1284"/>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9F22F"/>
  <w15:docId w15:val="{EC50100F-F438-4D8C-ACFA-ED41C8A2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855"/>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9F2587"/>
  </w:style>
  <w:style w:type="paragraph" w:styleId="Revision">
    <w:name w:val="Revision"/>
    <w:hidden/>
    <w:uiPriority w:val="99"/>
    <w:semiHidden/>
    <w:rsid w:val="00DA3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4739660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21431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ps.ahrq.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5AB7-C9F4-47D1-AE64-B8B10C71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20687</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AHCPR</dc:creator>
  <cp:keywords/>
  <dc:description/>
  <cp:lastModifiedBy>Rhoades, Jeffrey A. (AHRQ/CFACT)</cp:lastModifiedBy>
  <cp:revision>2</cp:revision>
  <cp:lastPrinted>2020-10-07T18:47:00Z</cp:lastPrinted>
  <dcterms:created xsi:type="dcterms:W3CDTF">2020-10-08T17:47:00Z</dcterms:created>
  <dcterms:modified xsi:type="dcterms:W3CDTF">2020-10-08T17:47:00Z</dcterms:modified>
</cp:coreProperties>
</file>