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7" w:rightFromText="187" w:vertAnchor="page" w:tblpY="2881"/>
        <w:tblOverlap w:val="never"/>
        <w:tblW w:w="0" w:type="auto"/>
        <w:tblLayout w:type="fixed"/>
        <w:tblCellMar>
          <w:left w:w="115" w:type="dxa"/>
          <w:right w:w="115" w:type="dxa"/>
        </w:tblCellMar>
        <w:tblLook w:val="04A0" w:firstRow="1" w:lastRow="0" w:firstColumn="1" w:lastColumn="0" w:noHBand="0" w:noVBand="1"/>
      </w:tblPr>
      <w:tblGrid>
        <w:gridCol w:w="3618"/>
        <w:gridCol w:w="4057"/>
      </w:tblGrid>
      <w:tr w:rsidRPr="00CA661C" w:rsidR="00AE2906" w:rsidTr="00336B67" w14:paraId="24058984" w14:textId="77777777">
        <w:tc>
          <w:tcPr>
            <w:tcW w:w="3618" w:type="dxa"/>
          </w:tcPr>
          <w:p w:rsidRPr="00CA661C" w:rsidR="00AE2906" w:rsidP="00336B67" w:rsidRDefault="00AE2906" w14:paraId="5135463F" w14:textId="52DED818">
            <w:pPr>
              <w:spacing w:line="240" w:lineRule="exact"/>
              <w:ind w:firstLine="0"/>
              <w:jc w:val="left"/>
              <w:rPr>
                <w:rFonts w:ascii="Arial" w:hAnsi="Arial" w:cs="Arial"/>
                <w:sz w:val="17"/>
                <w:szCs w:val="16"/>
              </w:rPr>
            </w:pPr>
            <w:bookmarkStart w:name="RepType" w:id="0"/>
            <w:bookmarkStart w:name="_Toc320887149" w:id="1"/>
            <w:bookmarkStart w:name="_Toc326752777" w:id="2"/>
            <w:bookmarkStart w:name="_GoBack" w:id="3"/>
            <w:bookmarkEnd w:id="0"/>
            <w:bookmarkEnd w:id="3"/>
            <w:r>
              <w:rPr>
                <w:rFonts w:ascii="Arial" w:hAnsi="Arial" w:cs="Arial"/>
                <w:sz w:val="17"/>
                <w:szCs w:val="16"/>
              </w:rPr>
              <w:t xml:space="preserve">U.S. Department of Health and Human Services Office of Population Affairs </w:t>
            </w:r>
            <w:r>
              <w:rPr>
                <w:rFonts w:ascii="Arial" w:hAnsi="Arial" w:cs="Arial"/>
                <w:sz w:val="17"/>
                <w:szCs w:val="16"/>
              </w:rPr>
              <w:br/>
              <w:t xml:space="preserve">Office of the Director Department </w:t>
            </w:r>
            <w:r>
              <w:rPr>
                <w:rFonts w:ascii="Arial" w:hAnsi="Arial" w:cs="Arial"/>
                <w:sz w:val="17"/>
                <w:szCs w:val="16"/>
              </w:rPr>
              <w:br/>
              <w:t>of Health and Human Services</w:t>
            </w:r>
          </w:p>
          <w:p w:rsidRPr="00CA661C" w:rsidR="00AE2906" w:rsidP="00336B67" w:rsidRDefault="00AE2906" w14:paraId="03D4D068" w14:textId="77777777">
            <w:pPr>
              <w:spacing w:line="240" w:lineRule="exact"/>
              <w:ind w:firstLine="0"/>
              <w:jc w:val="left"/>
              <w:rPr>
                <w:rFonts w:ascii="Arial" w:hAnsi="Arial" w:cs="Arial"/>
                <w:sz w:val="17"/>
                <w:szCs w:val="16"/>
              </w:rPr>
            </w:pPr>
            <w:bookmarkStart w:name="Address" w:id="4"/>
            <w:bookmarkEnd w:id="4"/>
            <w:r>
              <w:rPr>
                <w:rFonts w:ascii="Arial" w:hAnsi="Arial" w:cs="Arial"/>
                <w:sz w:val="17"/>
                <w:szCs w:val="16"/>
              </w:rPr>
              <w:t>1101 Wootton Parkway, Suite 700</w:t>
            </w:r>
          </w:p>
          <w:p w:rsidRPr="00CA661C" w:rsidR="00AE2906" w:rsidP="00336B67" w:rsidRDefault="00AE2906" w14:paraId="164BE061" w14:textId="77777777">
            <w:pPr>
              <w:spacing w:line="240" w:lineRule="exact"/>
              <w:ind w:firstLine="0"/>
              <w:jc w:val="left"/>
              <w:rPr>
                <w:rFonts w:ascii="Arial" w:hAnsi="Arial" w:cs="Arial"/>
                <w:sz w:val="17"/>
                <w:szCs w:val="16"/>
              </w:rPr>
            </w:pPr>
            <w:bookmarkStart w:name="Address2" w:id="5"/>
            <w:bookmarkEnd w:id="5"/>
            <w:r>
              <w:rPr>
                <w:rFonts w:ascii="Arial" w:hAnsi="Arial" w:cs="Arial"/>
                <w:sz w:val="17"/>
                <w:szCs w:val="16"/>
              </w:rPr>
              <w:t>Rockville, MD 20852</w:t>
            </w:r>
          </w:p>
          <w:p w:rsidR="00AE2906" w:rsidP="00336B67" w:rsidRDefault="00AE2906" w14:paraId="77EB9E5C" w14:textId="5DA2158A">
            <w:pPr>
              <w:spacing w:after="180" w:line="240" w:lineRule="exact"/>
              <w:ind w:firstLine="0"/>
              <w:jc w:val="left"/>
              <w:rPr>
                <w:rFonts w:ascii="Arial" w:hAnsi="Arial" w:cs="Arial"/>
                <w:sz w:val="17"/>
                <w:szCs w:val="16"/>
              </w:rPr>
            </w:pPr>
            <w:r w:rsidRPr="00CA661C">
              <w:rPr>
                <w:rFonts w:ascii="Arial" w:hAnsi="Arial" w:cs="Arial"/>
                <w:sz w:val="17"/>
                <w:szCs w:val="16"/>
              </w:rPr>
              <w:t xml:space="preserve">Project Officer: </w:t>
            </w:r>
            <w:bookmarkStart w:name="ProjOff" w:id="6"/>
            <w:bookmarkEnd w:id="6"/>
            <w:r>
              <w:rPr>
                <w:rFonts w:ascii="Arial" w:hAnsi="Arial" w:cs="Arial"/>
                <w:sz w:val="17"/>
                <w:szCs w:val="16"/>
              </w:rPr>
              <w:t>Amy Farb</w:t>
            </w:r>
          </w:p>
          <w:p w:rsidRPr="000A1BB4" w:rsidR="00AE2906" w:rsidP="00336B67" w:rsidRDefault="00AE2906" w14:paraId="2527274F" w14:textId="7C0B4135">
            <w:pPr>
              <w:spacing w:after="180" w:line="240" w:lineRule="exact"/>
              <w:ind w:firstLine="0"/>
              <w:jc w:val="left"/>
              <w:rPr>
                <w:rFonts w:ascii="Arial" w:hAnsi="Arial" w:cs="Arial"/>
                <w:sz w:val="17"/>
                <w:szCs w:val="16"/>
              </w:rPr>
            </w:pPr>
            <w:r>
              <w:rPr>
                <w:rFonts w:ascii="Arial" w:hAnsi="Arial" w:cs="Arial"/>
                <w:sz w:val="17"/>
                <w:szCs w:val="16"/>
              </w:rPr>
              <w:t xml:space="preserve">Point of Contact: Tara Rice, </w:t>
            </w:r>
            <w:hyperlink w:history="1" r:id="rId11">
              <w:r w:rsidRPr="003C19D6">
                <w:rPr>
                  <w:rStyle w:val="Hyperlink"/>
                  <w:rFonts w:ascii="Arial" w:hAnsi="Arial" w:cs="Arial"/>
                  <w:sz w:val="17"/>
                  <w:szCs w:val="16"/>
                </w:rPr>
                <w:t>tara.rice@hhs.gov</w:t>
              </w:r>
            </w:hyperlink>
            <w:r>
              <w:rPr>
                <w:rFonts w:ascii="Arial" w:hAnsi="Arial" w:cs="Arial"/>
                <w:sz w:val="17"/>
                <w:szCs w:val="16"/>
              </w:rPr>
              <w:t>. 240-453-8123</w:t>
            </w:r>
          </w:p>
        </w:tc>
        <w:tc>
          <w:tcPr>
            <w:tcW w:w="4057" w:type="dxa"/>
          </w:tcPr>
          <w:p w:rsidRPr="00D46217" w:rsidR="00AE2906" w:rsidP="00336B67" w:rsidRDefault="00AE2906" w14:paraId="6A1BCD26" w14:textId="53E9943C">
            <w:pPr>
              <w:spacing w:after="144" w:line="312" w:lineRule="auto"/>
              <w:ind w:left="58" w:firstLine="0"/>
              <w:jc w:val="left"/>
              <w:rPr>
                <w:rFonts w:ascii="Arial" w:hAnsi="Arial" w:cs="Arial"/>
                <w:b/>
              </w:rPr>
            </w:pPr>
            <w:bookmarkStart w:name="RepTitle2" w:id="7"/>
            <w:bookmarkEnd w:id="7"/>
            <w:r w:rsidRPr="00D46217">
              <w:rPr>
                <w:rFonts w:ascii="Arial" w:hAnsi="Arial" w:cs="Arial"/>
                <w:b/>
              </w:rPr>
              <w:t>Part B:</w:t>
            </w:r>
            <w:r w:rsidR="000A1BB4">
              <w:rPr>
                <w:rFonts w:ascii="Arial" w:hAnsi="Arial" w:cs="Arial"/>
                <w:b/>
              </w:rPr>
              <w:t xml:space="preserve"> </w:t>
            </w:r>
            <w:r w:rsidRPr="00406AC8">
              <w:rPr>
                <w:rFonts w:ascii="Arial" w:hAnsi="Arial" w:cs="Arial"/>
                <w:b/>
              </w:rPr>
              <w:t>Statistical Methods for the</w:t>
            </w:r>
            <w:r w:rsidR="000A1BB4">
              <w:rPr>
                <w:rFonts w:ascii="Arial" w:hAnsi="Arial" w:cs="Arial"/>
                <w:b/>
              </w:rPr>
              <w:t xml:space="preserve"> </w:t>
            </w:r>
            <w:r>
              <w:rPr>
                <w:rFonts w:ascii="Arial" w:hAnsi="Arial" w:cs="Arial"/>
                <w:b/>
              </w:rPr>
              <w:t>Extension and Revision of OMB Clearance of the</w:t>
            </w:r>
            <w:r w:rsidRPr="00406AC8">
              <w:rPr>
                <w:rFonts w:ascii="Arial" w:hAnsi="Arial" w:cs="Arial"/>
                <w:b/>
              </w:rPr>
              <w:t xml:space="preserve"> Collection of Follow-up Survey Data - Federal Evaluation of </w:t>
            </w:r>
            <w:r w:rsidRPr="00BA1813">
              <w:rPr>
                <w:rFonts w:ascii="Arial" w:hAnsi="Arial" w:cs="Arial"/>
                <w:b/>
                <w:i/>
              </w:rPr>
              <w:t>Making Proud Choices!</w:t>
            </w:r>
            <w:r>
              <w:rPr>
                <w:rFonts w:ascii="Arial" w:hAnsi="Arial" w:cs="Arial"/>
                <w:b/>
              </w:rPr>
              <w:t xml:space="preserve"> </w:t>
            </w:r>
          </w:p>
          <w:p w:rsidR="00AE2906" w:rsidP="00336B67" w:rsidRDefault="00AE2906" w14:paraId="479A27A3" w14:textId="77777777">
            <w:pPr>
              <w:spacing w:before="144" w:after="288" w:line="360" w:lineRule="exact"/>
              <w:ind w:left="58" w:firstLine="0"/>
              <w:jc w:val="left"/>
              <w:rPr>
                <w:rFonts w:ascii="Arial" w:hAnsi="Arial" w:cs="Arial"/>
                <w:b/>
              </w:rPr>
            </w:pPr>
            <w:bookmarkStart w:name="RepType2" w:id="8"/>
            <w:bookmarkStart w:name="DateMark2" w:id="9"/>
            <w:bookmarkEnd w:id="8"/>
            <w:bookmarkEnd w:id="9"/>
            <w:r>
              <w:rPr>
                <w:rFonts w:ascii="Arial" w:hAnsi="Arial" w:cs="Arial"/>
                <w:b/>
              </w:rPr>
              <w:t xml:space="preserve">OMB Control </w:t>
            </w:r>
            <w:r w:rsidRPr="00B36D0A">
              <w:rPr>
                <w:rFonts w:ascii="Arial" w:hAnsi="Arial" w:cs="Arial"/>
                <w:b/>
              </w:rPr>
              <w:t xml:space="preserve">Number </w:t>
            </w:r>
            <w:r>
              <w:rPr>
                <w:rFonts w:ascii="Arial" w:hAnsi="Arial" w:cs="Arial"/>
                <w:b/>
              </w:rPr>
              <w:t>0990-0452</w:t>
            </w:r>
          </w:p>
          <w:p w:rsidRPr="000A1BB4" w:rsidR="00AE2906" w:rsidP="000A1BB4" w:rsidRDefault="008B39F0" w14:paraId="1DBE2E5E" w14:textId="3A69E298">
            <w:pPr>
              <w:spacing w:before="144" w:after="288" w:line="360" w:lineRule="exact"/>
              <w:ind w:left="58" w:firstLine="0"/>
              <w:jc w:val="left"/>
              <w:rPr>
                <w:rFonts w:ascii="Arial" w:hAnsi="Arial" w:cs="Arial"/>
              </w:rPr>
            </w:pPr>
            <w:r>
              <w:rPr>
                <w:rFonts w:ascii="Arial" w:hAnsi="Arial" w:cs="Arial"/>
              </w:rPr>
              <w:t>February 2020</w:t>
            </w:r>
          </w:p>
        </w:tc>
      </w:tr>
    </w:tbl>
    <w:p w:rsidRPr="00CA661C" w:rsidR="00436B9F" w:rsidP="00436B9F" w:rsidRDefault="00436B9F" w14:paraId="1F23ECFA" w14:textId="77777777">
      <w:pPr>
        <w:tabs>
          <w:tab w:val="left" w:pos="8625"/>
        </w:tabs>
        <w:spacing w:line="264" w:lineRule="auto"/>
        <w:ind w:left="5040" w:firstLine="0"/>
        <w:rPr>
          <w:rFonts w:ascii="Arial" w:hAnsi="Arial" w:cs="Arial"/>
          <w:sz w:val="20"/>
          <w:szCs w:val="20"/>
        </w:rPr>
        <w:sectPr w:rsidRPr="00CA661C" w:rsidR="00436B9F" w:rsidSect="00AB1363">
          <w:endnotePr>
            <w:numFmt w:val="decimal"/>
          </w:endnotePr>
          <w:pgSz w:w="12240" w:h="15840" w:code="1"/>
          <w:pgMar w:top="2880" w:right="965" w:bottom="1195" w:left="3629" w:header="720" w:footer="576" w:gutter="0"/>
          <w:pgNumType w:fmt="lowerRoman" w:start="1"/>
          <w:cols w:space="720"/>
          <w:docGrid w:linePitch="326"/>
        </w:sectPr>
      </w:pPr>
      <w:bookmarkStart w:name="DateMark" w:id="10"/>
      <w:bookmarkStart w:name="StartingPoint" w:id="11"/>
      <w:bookmarkEnd w:id="10"/>
      <w:bookmarkEnd w:id="11"/>
    </w:p>
    <w:p w:rsidRPr="00CA661C" w:rsidR="00436B9F" w:rsidP="00436B9F" w:rsidRDefault="00436B9F" w14:paraId="1F23ED0C" w14:textId="77777777">
      <w:pPr>
        <w:tabs>
          <w:tab w:val="clear" w:pos="432"/>
          <w:tab w:val="left" w:pos="8255"/>
        </w:tabs>
        <w:spacing w:line="264" w:lineRule="auto"/>
        <w:ind w:firstLine="0"/>
        <w:rPr>
          <w:rFonts w:ascii="Arial" w:hAnsi="Arial" w:cs="Arial"/>
          <w:sz w:val="22"/>
          <w:szCs w:val="22"/>
        </w:rPr>
      </w:pPr>
      <w:bookmarkStart w:name="MPRRef" w:id="12"/>
      <w:bookmarkStart w:name="Agency" w:id="13"/>
      <w:bookmarkStart w:name="MPRAddress2" w:id="14"/>
      <w:bookmarkStart w:name="ProjDir" w:id="15"/>
      <w:bookmarkEnd w:id="12"/>
      <w:bookmarkEnd w:id="13"/>
      <w:bookmarkEnd w:id="14"/>
      <w:bookmarkEnd w:id="15"/>
    </w:p>
    <w:p w:rsidRPr="00CA661C" w:rsidR="00436B9F" w:rsidP="00436B9F" w:rsidRDefault="00436B9F" w14:paraId="1F23ED0D" w14:textId="77777777">
      <w:pPr>
        <w:spacing w:line="264" w:lineRule="auto"/>
        <w:ind w:firstLine="0"/>
        <w:rPr>
          <w:rFonts w:ascii="Arial" w:hAnsi="Arial" w:cs="Arial"/>
          <w:sz w:val="22"/>
          <w:szCs w:val="22"/>
        </w:rPr>
      </w:pPr>
    </w:p>
    <w:p w:rsidRPr="00CA661C" w:rsidR="00436B9F" w:rsidP="00436B9F" w:rsidRDefault="00436B9F" w14:paraId="1F23ED0E" w14:textId="77777777">
      <w:pPr>
        <w:spacing w:line="264" w:lineRule="auto"/>
        <w:ind w:firstLine="0"/>
        <w:rPr>
          <w:rFonts w:ascii="Arial" w:hAnsi="Arial" w:cs="Arial"/>
          <w:sz w:val="22"/>
          <w:szCs w:val="22"/>
        </w:rPr>
        <w:sectPr w:rsidRPr="00CA661C" w:rsidR="00436B9F" w:rsidSect="00AB1363">
          <w:footerReference w:type="default" r:id="rId12"/>
          <w:endnotePr>
            <w:numFmt w:val="decimal"/>
          </w:endnotePr>
          <w:pgSz w:w="12240" w:h="15840" w:code="1"/>
          <w:pgMar w:top="4320" w:right="965" w:bottom="1195" w:left="3629" w:header="720" w:footer="576" w:gutter="0"/>
          <w:pgNumType w:fmt="lowerRoman"/>
          <w:cols w:space="720"/>
          <w:docGrid w:linePitch="150"/>
        </w:sectPr>
      </w:pPr>
    </w:p>
    <w:p w:rsidR="00436B9F" w:rsidP="00436B9F" w:rsidRDefault="00436B9F" w14:paraId="1F23ED0F" w14:textId="77777777">
      <w:pPr>
        <w:pStyle w:val="Heading1Black"/>
      </w:pPr>
      <w:bookmarkStart w:name="RepTitle" w:id="16"/>
      <w:bookmarkStart w:name="_Toc383429896" w:id="17"/>
      <w:bookmarkStart w:name="_Toc448728852" w:id="18"/>
      <w:bookmarkStart w:name="_Toc448730394" w:id="19"/>
      <w:bookmarkStart w:name="_Toc448731860" w:id="20"/>
      <w:bookmarkStart w:name="_Toc32309416" w:id="21"/>
      <w:bookmarkEnd w:id="16"/>
      <w:r>
        <w:lastRenderedPageBreak/>
        <w:t>CONTENTS</w:t>
      </w:r>
      <w:bookmarkEnd w:id="17"/>
      <w:bookmarkEnd w:id="18"/>
      <w:bookmarkEnd w:id="19"/>
      <w:bookmarkEnd w:id="20"/>
      <w:bookmarkEnd w:id="21"/>
    </w:p>
    <w:p w:rsidR="000A1BB4" w:rsidRDefault="00436B9F" w14:paraId="74447749" w14:textId="40802831">
      <w:pPr>
        <w:pStyle w:val="TOC1"/>
        <w:rPr>
          <w:rFonts w:asciiTheme="minorHAnsi" w:hAnsiTheme="minorHAnsi" w:eastAsiaTheme="minorEastAsia" w:cstheme="minorBidi"/>
          <w:caps w:val="0"/>
          <w:noProof/>
          <w:sz w:val="22"/>
          <w:szCs w:val="22"/>
        </w:rPr>
      </w:pPr>
      <w:r>
        <w:rPr>
          <w:rFonts w:ascii="Lucida Sans" w:hAnsi="Lucida Sans" w:cs="Lucida Sans"/>
          <w:b/>
          <w:sz w:val="22"/>
        </w:rPr>
        <w:fldChar w:fldCharType="begin"/>
      </w:r>
      <w:r>
        <w:rPr>
          <w:rFonts w:cs="Lucida Sans"/>
          <w:b/>
        </w:rPr>
        <w:instrText xml:space="preserve"> TOC \o "1-3" \z \t "Heading 1_Black,1,Heading 1_Red,1,Heading 1_Blue,1,Heading 2_Black,2,Heading 2_Red,2,Heading 2_Blue,2,Mark for Appendix Heading_Black,8,Mark for Appendix Heading_Blue,8,Mark for Appendix Heading_Red,8" </w:instrText>
      </w:r>
      <w:r>
        <w:rPr>
          <w:rFonts w:ascii="Lucida Sans" w:hAnsi="Lucida Sans" w:cs="Lucida Sans"/>
          <w:b/>
          <w:sz w:val="22"/>
        </w:rPr>
        <w:fldChar w:fldCharType="separate"/>
      </w:r>
      <w:r w:rsidR="000A1BB4">
        <w:rPr>
          <w:noProof/>
        </w:rPr>
        <w:t>CONTENTS</w:t>
      </w:r>
      <w:r w:rsidR="000A1BB4">
        <w:rPr>
          <w:noProof/>
          <w:webHidden/>
        </w:rPr>
        <w:tab/>
      </w:r>
      <w:r w:rsidR="000A1BB4">
        <w:rPr>
          <w:noProof/>
          <w:webHidden/>
        </w:rPr>
        <w:fldChar w:fldCharType="begin"/>
      </w:r>
      <w:r w:rsidR="000A1BB4">
        <w:rPr>
          <w:noProof/>
          <w:webHidden/>
        </w:rPr>
        <w:instrText xml:space="preserve"> PAGEREF _Toc32309416 \h </w:instrText>
      </w:r>
      <w:r w:rsidR="000A1BB4">
        <w:rPr>
          <w:noProof/>
          <w:webHidden/>
        </w:rPr>
      </w:r>
      <w:r w:rsidR="000A1BB4">
        <w:rPr>
          <w:noProof/>
          <w:webHidden/>
        </w:rPr>
        <w:fldChar w:fldCharType="separate"/>
      </w:r>
      <w:r w:rsidR="000A1BB4">
        <w:rPr>
          <w:noProof/>
          <w:webHidden/>
        </w:rPr>
        <w:t>iii</w:t>
      </w:r>
      <w:r w:rsidR="000A1BB4">
        <w:rPr>
          <w:noProof/>
          <w:webHidden/>
        </w:rPr>
        <w:fldChar w:fldCharType="end"/>
      </w:r>
    </w:p>
    <w:p w:rsidR="000A1BB4" w:rsidRDefault="000A1BB4" w14:paraId="01A114DF" w14:textId="0AC4CEE0">
      <w:pPr>
        <w:pStyle w:val="TOC1"/>
        <w:rPr>
          <w:rFonts w:asciiTheme="minorHAnsi" w:hAnsiTheme="minorHAnsi" w:eastAsiaTheme="minorEastAsia" w:cstheme="minorBidi"/>
          <w:caps w:val="0"/>
          <w:noProof/>
          <w:sz w:val="22"/>
          <w:szCs w:val="22"/>
        </w:rPr>
      </w:pPr>
      <w:r>
        <w:rPr>
          <w:noProof/>
        </w:rPr>
        <w:t>TABLES</w:t>
      </w:r>
      <w:r>
        <w:rPr>
          <w:noProof/>
          <w:webHidden/>
        </w:rPr>
        <w:tab/>
      </w:r>
      <w:r>
        <w:rPr>
          <w:noProof/>
          <w:webHidden/>
        </w:rPr>
        <w:fldChar w:fldCharType="begin"/>
      </w:r>
      <w:r>
        <w:rPr>
          <w:noProof/>
          <w:webHidden/>
        </w:rPr>
        <w:instrText xml:space="preserve"> PAGEREF _Toc32309417 \h </w:instrText>
      </w:r>
      <w:r>
        <w:rPr>
          <w:noProof/>
          <w:webHidden/>
        </w:rPr>
      </w:r>
      <w:r>
        <w:rPr>
          <w:noProof/>
          <w:webHidden/>
        </w:rPr>
        <w:fldChar w:fldCharType="separate"/>
      </w:r>
      <w:r>
        <w:rPr>
          <w:noProof/>
          <w:webHidden/>
        </w:rPr>
        <w:t>iii</w:t>
      </w:r>
      <w:r>
        <w:rPr>
          <w:noProof/>
          <w:webHidden/>
        </w:rPr>
        <w:fldChar w:fldCharType="end"/>
      </w:r>
    </w:p>
    <w:p w:rsidR="000A1BB4" w:rsidRDefault="000A1BB4" w14:paraId="1BAA717A" w14:textId="3B395C2B">
      <w:pPr>
        <w:pStyle w:val="TOC1"/>
        <w:rPr>
          <w:rFonts w:asciiTheme="minorHAnsi" w:hAnsiTheme="minorHAnsi" w:eastAsiaTheme="minorEastAsia" w:cstheme="minorBidi"/>
          <w:caps w:val="0"/>
          <w:noProof/>
          <w:sz w:val="22"/>
          <w:szCs w:val="22"/>
        </w:rPr>
      </w:pPr>
      <w:r>
        <w:rPr>
          <w:noProof/>
        </w:rPr>
        <w:t>ATTACHMENTS</w:t>
      </w:r>
      <w:r>
        <w:rPr>
          <w:noProof/>
          <w:webHidden/>
        </w:rPr>
        <w:tab/>
      </w:r>
      <w:r>
        <w:rPr>
          <w:noProof/>
          <w:webHidden/>
        </w:rPr>
        <w:fldChar w:fldCharType="begin"/>
      </w:r>
      <w:r>
        <w:rPr>
          <w:noProof/>
          <w:webHidden/>
        </w:rPr>
        <w:instrText xml:space="preserve"> PAGEREF _Toc32309418 \h </w:instrText>
      </w:r>
      <w:r>
        <w:rPr>
          <w:noProof/>
          <w:webHidden/>
        </w:rPr>
      </w:r>
      <w:r>
        <w:rPr>
          <w:noProof/>
          <w:webHidden/>
        </w:rPr>
        <w:fldChar w:fldCharType="separate"/>
      </w:r>
      <w:r>
        <w:rPr>
          <w:noProof/>
          <w:webHidden/>
        </w:rPr>
        <w:t>iv</w:t>
      </w:r>
      <w:r>
        <w:rPr>
          <w:noProof/>
          <w:webHidden/>
        </w:rPr>
        <w:fldChar w:fldCharType="end"/>
      </w:r>
    </w:p>
    <w:p w:rsidR="000A1BB4" w:rsidP="000A1BB4" w:rsidRDefault="000A1BB4" w14:paraId="74D00D37" w14:textId="7F48BA16">
      <w:pPr>
        <w:pStyle w:val="TOC2"/>
        <w:rPr>
          <w:rFonts w:asciiTheme="minorHAnsi" w:hAnsiTheme="minorHAnsi" w:eastAsiaTheme="minorEastAsia" w:cstheme="minorBidi"/>
          <w:sz w:val="22"/>
          <w:szCs w:val="22"/>
        </w:rPr>
      </w:pPr>
      <w:r>
        <w:t>B1.</w:t>
      </w:r>
      <w:r>
        <w:rPr>
          <w:rFonts w:asciiTheme="minorHAnsi" w:hAnsiTheme="minorHAnsi" w:eastAsiaTheme="minorEastAsia" w:cstheme="minorBidi"/>
          <w:sz w:val="22"/>
          <w:szCs w:val="22"/>
        </w:rPr>
        <w:tab/>
      </w:r>
      <w:r>
        <w:t>Respondent Universe and Sampling Methods</w:t>
      </w:r>
      <w:r>
        <w:rPr>
          <w:webHidden/>
        </w:rPr>
        <w:tab/>
      </w:r>
      <w:r>
        <w:rPr>
          <w:webHidden/>
        </w:rPr>
        <w:fldChar w:fldCharType="begin"/>
      </w:r>
      <w:r>
        <w:rPr>
          <w:webHidden/>
        </w:rPr>
        <w:instrText xml:space="preserve"> PAGEREF _Toc32309419 \h </w:instrText>
      </w:r>
      <w:r>
        <w:rPr>
          <w:webHidden/>
        </w:rPr>
      </w:r>
      <w:r>
        <w:rPr>
          <w:webHidden/>
        </w:rPr>
        <w:fldChar w:fldCharType="separate"/>
      </w:r>
      <w:r>
        <w:rPr>
          <w:webHidden/>
        </w:rPr>
        <w:t>1</w:t>
      </w:r>
      <w:r>
        <w:rPr>
          <w:webHidden/>
        </w:rPr>
        <w:fldChar w:fldCharType="end"/>
      </w:r>
    </w:p>
    <w:p w:rsidR="000A1BB4" w:rsidP="000A1BB4" w:rsidRDefault="000A1BB4" w14:paraId="6C97EFA6" w14:textId="369218D7">
      <w:pPr>
        <w:pStyle w:val="TOC2"/>
        <w:rPr>
          <w:rFonts w:asciiTheme="minorHAnsi" w:hAnsiTheme="minorHAnsi" w:eastAsiaTheme="minorEastAsia" w:cstheme="minorBidi"/>
          <w:sz w:val="22"/>
          <w:szCs w:val="22"/>
        </w:rPr>
      </w:pPr>
      <w:r>
        <w:t>B2.</w:t>
      </w:r>
      <w:r>
        <w:rPr>
          <w:rFonts w:asciiTheme="minorHAnsi" w:hAnsiTheme="minorHAnsi" w:eastAsiaTheme="minorEastAsia" w:cstheme="minorBidi"/>
          <w:sz w:val="22"/>
          <w:szCs w:val="22"/>
        </w:rPr>
        <w:tab/>
      </w:r>
      <w:r>
        <w:t>Procedures for Collection of Information</w:t>
      </w:r>
      <w:r>
        <w:rPr>
          <w:webHidden/>
        </w:rPr>
        <w:tab/>
      </w:r>
      <w:r>
        <w:rPr>
          <w:webHidden/>
        </w:rPr>
        <w:fldChar w:fldCharType="begin"/>
      </w:r>
      <w:r>
        <w:rPr>
          <w:webHidden/>
        </w:rPr>
        <w:instrText xml:space="preserve"> PAGEREF _Toc32309420 \h </w:instrText>
      </w:r>
      <w:r>
        <w:rPr>
          <w:webHidden/>
        </w:rPr>
      </w:r>
      <w:r>
        <w:rPr>
          <w:webHidden/>
        </w:rPr>
        <w:fldChar w:fldCharType="separate"/>
      </w:r>
      <w:r>
        <w:rPr>
          <w:webHidden/>
        </w:rPr>
        <w:t>2</w:t>
      </w:r>
      <w:r>
        <w:rPr>
          <w:webHidden/>
        </w:rPr>
        <w:fldChar w:fldCharType="end"/>
      </w:r>
    </w:p>
    <w:p w:rsidR="000A1BB4" w:rsidP="000A1BB4" w:rsidRDefault="000A1BB4" w14:paraId="1BD1B4DC" w14:textId="7FB9F911">
      <w:pPr>
        <w:pStyle w:val="TOC2"/>
        <w:rPr>
          <w:rFonts w:asciiTheme="minorHAnsi" w:hAnsiTheme="minorHAnsi" w:eastAsiaTheme="minorEastAsia" w:cstheme="minorBidi"/>
          <w:sz w:val="22"/>
          <w:szCs w:val="22"/>
        </w:rPr>
      </w:pPr>
      <w:r>
        <w:t>B3.</w:t>
      </w:r>
      <w:r>
        <w:rPr>
          <w:rFonts w:asciiTheme="minorHAnsi" w:hAnsiTheme="minorHAnsi" w:eastAsiaTheme="minorEastAsia" w:cstheme="minorBidi"/>
          <w:sz w:val="22"/>
          <w:szCs w:val="22"/>
        </w:rPr>
        <w:tab/>
      </w:r>
      <w:r>
        <w:t>Methods to Maximize Response Rates and Deal with Non-Response</w:t>
      </w:r>
      <w:r>
        <w:rPr>
          <w:webHidden/>
        </w:rPr>
        <w:tab/>
      </w:r>
      <w:r>
        <w:rPr>
          <w:webHidden/>
        </w:rPr>
        <w:fldChar w:fldCharType="begin"/>
      </w:r>
      <w:r>
        <w:rPr>
          <w:webHidden/>
        </w:rPr>
        <w:instrText xml:space="preserve"> PAGEREF _Toc32309421 \h </w:instrText>
      </w:r>
      <w:r>
        <w:rPr>
          <w:webHidden/>
        </w:rPr>
      </w:r>
      <w:r>
        <w:rPr>
          <w:webHidden/>
        </w:rPr>
        <w:fldChar w:fldCharType="separate"/>
      </w:r>
      <w:r>
        <w:rPr>
          <w:webHidden/>
        </w:rPr>
        <w:t>3</w:t>
      </w:r>
      <w:r>
        <w:rPr>
          <w:webHidden/>
        </w:rPr>
        <w:fldChar w:fldCharType="end"/>
      </w:r>
    </w:p>
    <w:p w:rsidR="000A1BB4" w:rsidP="000A1BB4" w:rsidRDefault="000A1BB4" w14:paraId="571411A5" w14:textId="351721EE">
      <w:pPr>
        <w:pStyle w:val="TOC2"/>
        <w:rPr>
          <w:rFonts w:asciiTheme="minorHAnsi" w:hAnsiTheme="minorHAnsi" w:eastAsiaTheme="minorEastAsia" w:cstheme="minorBidi"/>
          <w:sz w:val="22"/>
          <w:szCs w:val="22"/>
        </w:rPr>
      </w:pPr>
      <w:r>
        <w:t>B4.</w:t>
      </w:r>
      <w:r>
        <w:rPr>
          <w:rFonts w:asciiTheme="minorHAnsi" w:hAnsiTheme="minorHAnsi" w:eastAsiaTheme="minorEastAsia" w:cstheme="minorBidi"/>
          <w:sz w:val="22"/>
          <w:szCs w:val="22"/>
        </w:rPr>
        <w:tab/>
      </w:r>
      <w:r>
        <w:t>Test of Procedures or Methods to be Undertaken</w:t>
      </w:r>
      <w:r>
        <w:rPr>
          <w:webHidden/>
        </w:rPr>
        <w:tab/>
      </w:r>
      <w:r>
        <w:rPr>
          <w:webHidden/>
        </w:rPr>
        <w:fldChar w:fldCharType="begin"/>
      </w:r>
      <w:r>
        <w:rPr>
          <w:webHidden/>
        </w:rPr>
        <w:instrText xml:space="preserve"> PAGEREF _Toc32309422 \h </w:instrText>
      </w:r>
      <w:r>
        <w:rPr>
          <w:webHidden/>
        </w:rPr>
      </w:r>
      <w:r>
        <w:rPr>
          <w:webHidden/>
        </w:rPr>
        <w:fldChar w:fldCharType="separate"/>
      </w:r>
      <w:r>
        <w:rPr>
          <w:webHidden/>
        </w:rPr>
        <w:t>3</w:t>
      </w:r>
      <w:r>
        <w:rPr>
          <w:webHidden/>
        </w:rPr>
        <w:fldChar w:fldCharType="end"/>
      </w:r>
    </w:p>
    <w:p w:rsidR="000A1BB4" w:rsidP="000A1BB4" w:rsidRDefault="000A1BB4" w14:paraId="37F5C9D9" w14:textId="333674BA">
      <w:pPr>
        <w:pStyle w:val="TOC2"/>
        <w:rPr>
          <w:rFonts w:asciiTheme="minorHAnsi" w:hAnsiTheme="minorHAnsi" w:eastAsiaTheme="minorEastAsia" w:cstheme="minorBidi"/>
          <w:sz w:val="22"/>
          <w:szCs w:val="22"/>
        </w:rPr>
      </w:pPr>
      <w:r>
        <w:t>B5.</w:t>
      </w:r>
      <w:r>
        <w:rPr>
          <w:rFonts w:asciiTheme="minorHAnsi" w:hAnsiTheme="minorHAnsi" w:eastAsiaTheme="minorEastAsia" w:cstheme="minorBidi"/>
          <w:sz w:val="22"/>
          <w:szCs w:val="22"/>
        </w:rPr>
        <w:tab/>
      </w:r>
      <w:r>
        <w:t>Individuals Consulted on Statistical Aspects and Individuals Collecting and/or Analyzing Data</w:t>
      </w:r>
      <w:r>
        <w:rPr>
          <w:webHidden/>
        </w:rPr>
        <w:tab/>
      </w:r>
      <w:r>
        <w:rPr>
          <w:webHidden/>
        </w:rPr>
        <w:fldChar w:fldCharType="begin"/>
      </w:r>
      <w:r>
        <w:rPr>
          <w:webHidden/>
        </w:rPr>
        <w:instrText xml:space="preserve"> PAGEREF _Toc32309423 \h </w:instrText>
      </w:r>
      <w:r>
        <w:rPr>
          <w:webHidden/>
        </w:rPr>
      </w:r>
      <w:r>
        <w:rPr>
          <w:webHidden/>
        </w:rPr>
        <w:fldChar w:fldCharType="separate"/>
      </w:r>
      <w:r>
        <w:rPr>
          <w:webHidden/>
        </w:rPr>
        <w:t>4</w:t>
      </w:r>
      <w:r>
        <w:rPr>
          <w:webHidden/>
        </w:rPr>
        <w:fldChar w:fldCharType="end"/>
      </w:r>
    </w:p>
    <w:p w:rsidRPr="00FC1F32" w:rsidR="00436B9F" w:rsidP="00436B9F" w:rsidRDefault="00436B9F" w14:paraId="1F23ED16" w14:textId="241C7F18">
      <w:pPr>
        <w:pStyle w:val="Heading1Black"/>
      </w:pPr>
      <w:r>
        <w:fldChar w:fldCharType="end"/>
      </w:r>
      <w:bookmarkStart w:name="_Toc383429897" w:id="22"/>
      <w:bookmarkStart w:name="_Toc448728853" w:id="23"/>
      <w:bookmarkStart w:name="_Toc448730395" w:id="24"/>
      <w:bookmarkStart w:name="_Toc448731861" w:id="25"/>
      <w:bookmarkStart w:name="_Toc32309417" w:id="26"/>
      <w:r w:rsidRPr="00FC1F32">
        <w:t>TABLES</w:t>
      </w:r>
      <w:bookmarkEnd w:id="22"/>
      <w:bookmarkEnd w:id="23"/>
      <w:bookmarkEnd w:id="24"/>
      <w:bookmarkEnd w:id="25"/>
      <w:bookmarkEnd w:id="26"/>
    </w:p>
    <w:p w:rsidR="0051675D" w:rsidRDefault="00436B9F" w14:paraId="1F23ED17" w14:textId="00462143">
      <w:pPr>
        <w:pStyle w:val="TableofFigures"/>
        <w:rPr>
          <w:rFonts w:asciiTheme="minorHAnsi" w:hAnsiTheme="minorHAnsi" w:eastAsiaTheme="minorEastAsia" w:cstheme="minorBidi"/>
          <w:noProof/>
          <w:sz w:val="22"/>
          <w:szCs w:val="22"/>
        </w:rPr>
      </w:pPr>
      <w:r>
        <w:rPr>
          <w:rFonts w:cs="Arial"/>
        </w:rPr>
        <w:fldChar w:fldCharType="begin"/>
      </w:r>
      <w:r>
        <w:rPr>
          <w:rFonts w:cs="Arial"/>
        </w:rPr>
        <w:instrText xml:space="preserve"> TOC \z \t "Mark for Table Title,1" \c "Figure" </w:instrText>
      </w:r>
      <w:r>
        <w:rPr>
          <w:rFonts w:cs="Arial"/>
        </w:rPr>
        <w:fldChar w:fldCharType="separate"/>
      </w:r>
      <w:r w:rsidR="0051675D">
        <w:rPr>
          <w:noProof/>
        </w:rPr>
        <w:t>B1.1. Minimum Detectible Impacts for The Federal Evaluation of MPC!</w:t>
      </w:r>
      <w:r w:rsidR="0051675D">
        <w:rPr>
          <w:noProof/>
          <w:webHidden/>
        </w:rPr>
        <w:tab/>
      </w:r>
      <w:r w:rsidR="0051675D">
        <w:rPr>
          <w:noProof/>
          <w:webHidden/>
        </w:rPr>
        <w:fldChar w:fldCharType="begin"/>
      </w:r>
      <w:r w:rsidR="0051675D">
        <w:rPr>
          <w:noProof/>
          <w:webHidden/>
        </w:rPr>
        <w:instrText xml:space="preserve"> PAGEREF _Toc448731872 \h </w:instrText>
      </w:r>
      <w:r w:rsidR="0051675D">
        <w:rPr>
          <w:noProof/>
          <w:webHidden/>
        </w:rPr>
      </w:r>
      <w:r w:rsidR="0051675D">
        <w:rPr>
          <w:noProof/>
          <w:webHidden/>
        </w:rPr>
        <w:fldChar w:fldCharType="separate"/>
      </w:r>
      <w:r w:rsidR="00BE2BC6">
        <w:rPr>
          <w:noProof/>
          <w:webHidden/>
        </w:rPr>
        <w:t>3</w:t>
      </w:r>
      <w:r w:rsidR="0051675D">
        <w:rPr>
          <w:noProof/>
          <w:webHidden/>
        </w:rPr>
        <w:fldChar w:fldCharType="end"/>
      </w:r>
    </w:p>
    <w:p w:rsidR="00436B9F" w:rsidP="00436B9F" w:rsidRDefault="00436B9F" w14:paraId="1F23ED18" w14:textId="4E0EE6C3">
      <w:pPr>
        <w:spacing w:before="240" w:after="240" w:line="240" w:lineRule="auto"/>
        <w:ind w:firstLine="0"/>
        <w:rPr>
          <w:rFonts w:ascii="Arial" w:hAnsi="Arial" w:cs="Arial"/>
          <w:sz w:val="20"/>
        </w:rPr>
      </w:pPr>
      <w:r>
        <w:rPr>
          <w:rFonts w:ascii="Arial" w:hAnsi="Arial" w:cs="Arial"/>
          <w:sz w:val="20"/>
        </w:rPr>
        <w:fldChar w:fldCharType="end"/>
      </w:r>
    </w:p>
    <w:p w:rsidR="00436B9F" w:rsidRDefault="00436B9F" w14:paraId="1F23ED19" w14:textId="77777777">
      <w:pPr>
        <w:tabs>
          <w:tab w:val="clear" w:pos="432"/>
        </w:tabs>
        <w:spacing w:after="240" w:line="240" w:lineRule="auto"/>
        <w:ind w:firstLine="0"/>
        <w:jc w:val="left"/>
        <w:rPr>
          <w:rFonts w:ascii="Arial" w:hAnsi="Arial" w:cs="Arial"/>
          <w:sz w:val="20"/>
        </w:rPr>
      </w:pPr>
      <w:r>
        <w:rPr>
          <w:rFonts w:ascii="Arial" w:hAnsi="Arial" w:cs="Arial"/>
          <w:sz w:val="20"/>
        </w:rPr>
        <w:br w:type="page"/>
      </w:r>
    </w:p>
    <w:p w:rsidRPr="002A6036" w:rsidR="00436B9F" w:rsidP="00436B9F" w:rsidRDefault="00436B9F" w14:paraId="1F23ED1A" w14:textId="77777777">
      <w:pPr>
        <w:pStyle w:val="Heading1Black"/>
      </w:pPr>
      <w:bookmarkStart w:name="_Toc385322232" w:id="27"/>
      <w:bookmarkStart w:name="_Toc396921845" w:id="28"/>
      <w:bookmarkStart w:name="_Toc448728854" w:id="29"/>
      <w:bookmarkStart w:name="_Toc448730396" w:id="30"/>
      <w:bookmarkStart w:name="_Toc448731862" w:id="31"/>
      <w:bookmarkStart w:name="_Toc32309418" w:id="32"/>
      <w:bookmarkStart w:name="_Toc383429898" w:id="33"/>
      <w:r w:rsidRPr="002A6036">
        <w:t>ATTACHMENTS</w:t>
      </w:r>
      <w:bookmarkEnd w:id="27"/>
      <w:bookmarkEnd w:id="28"/>
      <w:bookmarkEnd w:id="29"/>
      <w:bookmarkEnd w:id="30"/>
      <w:bookmarkEnd w:id="31"/>
      <w:bookmarkEnd w:id="32"/>
    </w:p>
    <w:p w:rsidRPr="002A6036" w:rsidR="00436B9F" w:rsidP="00436B9F" w:rsidRDefault="00436B9F" w14:paraId="1F23ED1B" w14:textId="5F908761">
      <w:pPr>
        <w:pStyle w:val="TOC8"/>
        <w:tabs>
          <w:tab w:val="left" w:pos="1980"/>
        </w:tabs>
        <w:spacing w:after="120"/>
        <w:ind w:left="1980" w:hanging="1962"/>
        <w:rPr>
          <w:sz w:val="22"/>
          <w:szCs w:val="22"/>
        </w:rPr>
      </w:pPr>
      <w:r w:rsidRPr="002A6036">
        <w:rPr>
          <w:sz w:val="22"/>
          <w:szCs w:val="22"/>
        </w:rPr>
        <w:t>ATTAC</w:t>
      </w:r>
      <w:r>
        <w:rPr>
          <w:sz w:val="22"/>
          <w:szCs w:val="22"/>
        </w:rPr>
        <w:t>HMENT A</w:t>
      </w:r>
      <w:r w:rsidRPr="002A6036">
        <w:rPr>
          <w:sz w:val="22"/>
          <w:szCs w:val="22"/>
        </w:rPr>
        <w:t>:</w:t>
      </w:r>
      <w:r w:rsidRPr="002A6036">
        <w:rPr>
          <w:sz w:val="22"/>
          <w:szCs w:val="22"/>
        </w:rPr>
        <w:tab/>
        <w:t xml:space="preserve">QUESTION BY QUESTION SOURCE LIST FOR THE </w:t>
      </w:r>
      <w:r w:rsidR="00AB1363">
        <w:rPr>
          <w:sz w:val="22"/>
          <w:szCs w:val="22"/>
        </w:rPr>
        <w:t xml:space="preserve">FOLLOW-UP </w:t>
      </w:r>
      <w:r>
        <w:rPr>
          <w:sz w:val="22"/>
          <w:szCs w:val="22"/>
        </w:rPr>
        <w:t>survey</w:t>
      </w:r>
      <w:r w:rsidR="000A1BB4">
        <w:rPr>
          <w:sz w:val="22"/>
          <w:szCs w:val="22"/>
        </w:rPr>
        <w:t xml:space="preserve"> </w:t>
      </w:r>
    </w:p>
    <w:p w:rsidRPr="002A6036" w:rsidR="00436B9F" w:rsidP="00436B9F" w:rsidRDefault="00436B9F" w14:paraId="1F23ED1C" w14:textId="2DB20540">
      <w:pPr>
        <w:pStyle w:val="TOC8"/>
        <w:tabs>
          <w:tab w:val="left" w:pos="1980"/>
        </w:tabs>
        <w:spacing w:after="120"/>
        <w:ind w:left="1980" w:hanging="1962"/>
        <w:rPr>
          <w:sz w:val="22"/>
          <w:szCs w:val="22"/>
        </w:rPr>
      </w:pPr>
      <w:r>
        <w:rPr>
          <w:sz w:val="22"/>
          <w:szCs w:val="22"/>
        </w:rPr>
        <w:t>ATTACHMENT b</w:t>
      </w:r>
      <w:r w:rsidRPr="002A6036">
        <w:rPr>
          <w:sz w:val="22"/>
          <w:szCs w:val="22"/>
        </w:rPr>
        <w:t>:</w:t>
      </w:r>
      <w:r w:rsidRPr="002A6036">
        <w:rPr>
          <w:sz w:val="22"/>
          <w:szCs w:val="22"/>
        </w:rPr>
        <w:tab/>
        <w:t xml:space="preserve">SOURCES REFERENCED FOR THE </w:t>
      </w:r>
      <w:r w:rsidR="00AB1363">
        <w:rPr>
          <w:sz w:val="22"/>
          <w:szCs w:val="22"/>
        </w:rPr>
        <w:t xml:space="preserve">FOLLOW-UP </w:t>
      </w:r>
      <w:r>
        <w:rPr>
          <w:sz w:val="22"/>
          <w:szCs w:val="22"/>
        </w:rPr>
        <w:t>survey</w:t>
      </w:r>
      <w:r w:rsidRPr="002A6036">
        <w:rPr>
          <w:sz w:val="22"/>
          <w:szCs w:val="22"/>
        </w:rPr>
        <w:t xml:space="preserve"> </w:t>
      </w:r>
    </w:p>
    <w:p w:rsidRPr="002A6036" w:rsidR="00436B9F" w:rsidP="00436B9F" w:rsidRDefault="00436B9F" w14:paraId="1F23ED1D" w14:textId="4FEF503B">
      <w:pPr>
        <w:pStyle w:val="TOC8"/>
        <w:tabs>
          <w:tab w:val="left" w:pos="1980"/>
        </w:tabs>
        <w:spacing w:after="120"/>
        <w:ind w:left="1980" w:hanging="1962"/>
        <w:rPr>
          <w:sz w:val="22"/>
          <w:szCs w:val="22"/>
        </w:rPr>
      </w:pPr>
      <w:r>
        <w:rPr>
          <w:sz w:val="22"/>
          <w:szCs w:val="22"/>
        </w:rPr>
        <w:t>ATTACHMENT c</w:t>
      </w:r>
      <w:r w:rsidRPr="002A6036">
        <w:rPr>
          <w:sz w:val="22"/>
          <w:szCs w:val="22"/>
        </w:rPr>
        <w:t>:</w:t>
      </w:r>
      <w:r w:rsidRPr="002A6036">
        <w:rPr>
          <w:sz w:val="22"/>
          <w:szCs w:val="22"/>
        </w:rPr>
        <w:tab/>
        <w:t xml:space="preserve">PERSONS CONSULTED ON INSTRUMENT DEVELOPMENT AND/OR ANALYSIS OF THE </w:t>
      </w:r>
      <w:r w:rsidR="001E583B">
        <w:rPr>
          <w:sz w:val="22"/>
          <w:szCs w:val="22"/>
        </w:rPr>
        <w:t>MPC!</w:t>
      </w:r>
      <w:r w:rsidRPr="002A6036" w:rsidR="001E583B">
        <w:rPr>
          <w:sz w:val="22"/>
          <w:szCs w:val="22"/>
        </w:rPr>
        <w:t xml:space="preserve"> </w:t>
      </w:r>
      <w:r w:rsidR="00AB1363">
        <w:rPr>
          <w:sz w:val="22"/>
          <w:szCs w:val="22"/>
        </w:rPr>
        <w:t xml:space="preserve">FOLLOW-UP </w:t>
      </w:r>
      <w:r>
        <w:rPr>
          <w:sz w:val="22"/>
          <w:szCs w:val="22"/>
        </w:rPr>
        <w:t>survey</w:t>
      </w:r>
      <w:r w:rsidRPr="002A6036">
        <w:rPr>
          <w:sz w:val="22"/>
          <w:szCs w:val="22"/>
        </w:rPr>
        <w:t xml:space="preserve"> </w:t>
      </w:r>
    </w:p>
    <w:p w:rsidRPr="007F3E18" w:rsidR="00436B9F" w:rsidP="00436B9F" w:rsidRDefault="00436B9F" w14:paraId="1F23ED20" w14:textId="6C8289D0">
      <w:pPr>
        <w:pStyle w:val="TOC8"/>
        <w:tabs>
          <w:tab w:val="left" w:pos="1980"/>
        </w:tabs>
        <w:spacing w:after="120"/>
        <w:ind w:left="1980" w:hanging="1962"/>
        <w:rPr>
          <w:sz w:val="22"/>
          <w:szCs w:val="22"/>
        </w:rPr>
      </w:pPr>
      <w:r w:rsidRPr="00DC5FFD">
        <w:rPr>
          <w:sz w:val="22"/>
          <w:szCs w:val="22"/>
        </w:rPr>
        <w:t xml:space="preserve">ATTACHMENT </w:t>
      </w:r>
      <w:r w:rsidR="0050712A">
        <w:rPr>
          <w:sz w:val="22"/>
          <w:szCs w:val="22"/>
        </w:rPr>
        <w:t>D</w:t>
      </w:r>
      <w:r w:rsidRPr="00DC5FFD">
        <w:rPr>
          <w:sz w:val="22"/>
          <w:szCs w:val="22"/>
        </w:rPr>
        <w:t>:</w:t>
      </w:r>
      <w:r w:rsidRPr="00DC5FFD">
        <w:rPr>
          <w:sz w:val="22"/>
          <w:szCs w:val="22"/>
        </w:rPr>
        <w:tab/>
      </w:r>
      <w:r w:rsidRPr="007F3E18">
        <w:rPr>
          <w:sz w:val="22"/>
          <w:szCs w:val="22"/>
        </w:rPr>
        <w:t xml:space="preserve">CONFIDENTIALITY PLEDGE </w:t>
      </w:r>
    </w:p>
    <w:p w:rsidRPr="00356F70" w:rsidR="00356F70" w:rsidP="00356F70" w:rsidRDefault="00436B9F" w14:paraId="6A271B8D" w14:textId="66EDDF9B">
      <w:pPr>
        <w:pStyle w:val="TOC8"/>
        <w:tabs>
          <w:tab w:val="left" w:pos="1980"/>
        </w:tabs>
        <w:spacing w:after="120"/>
        <w:ind w:left="1980" w:hanging="1962"/>
        <w:rPr>
          <w:rFonts w:cs="Arial"/>
          <w:sz w:val="22"/>
          <w:szCs w:val="22"/>
        </w:rPr>
      </w:pPr>
      <w:r w:rsidRPr="004B1D46">
        <w:rPr>
          <w:rFonts w:cs="Arial"/>
          <w:sz w:val="22"/>
          <w:szCs w:val="22"/>
        </w:rPr>
        <w:t>ATTACHMENT</w:t>
      </w:r>
      <w:r>
        <w:rPr>
          <w:rFonts w:cs="Arial"/>
          <w:sz w:val="22"/>
          <w:szCs w:val="22"/>
        </w:rPr>
        <w:t xml:space="preserve"> </w:t>
      </w:r>
      <w:r w:rsidR="0050712A">
        <w:rPr>
          <w:rFonts w:cs="Arial"/>
          <w:sz w:val="22"/>
          <w:szCs w:val="22"/>
        </w:rPr>
        <w:t>E</w:t>
      </w:r>
      <w:r w:rsidRPr="004B1D46">
        <w:rPr>
          <w:rFonts w:cs="Arial"/>
          <w:sz w:val="22"/>
          <w:szCs w:val="22"/>
        </w:rPr>
        <w:t>:</w:t>
      </w:r>
      <w:r w:rsidRPr="004B1D46">
        <w:rPr>
          <w:rFonts w:cs="Arial"/>
          <w:sz w:val="22"/>
          <w:szCs w:val="22"/>
        </w:rPr>
        <w:tab/>
        <w:t>ANALYSIS PLAN</w:t>
      </w:r>
    </w:p>
    <w:p w:rsidR="003C208A" w:rsidP="003C208A" w:rsidRDefault="003C208A" w14:paraId="7C1E9BDD" w14:textId="0DC074AE">
      <w:pPr>
        <w:pStyle w:val="TOC8"/>
        <w:tabs>
          <w:tab w:val="left" w:pos="1980"/>
        </w:tabs>
        <w:spacing w:after="120"/>
        <w:ind w:left="1980" w:hanging="1962"/>
        <w:rPr>
          <w:rFonts w:cs="Arial"/>
          <w:sz w:val="22"/>
          <w:szCs w:val="22"/>
        </w:rPr>
      </w:pPr>
      <w:r w:rsidRPr="004B1D46">
        <w:rPr>
          <w:rFonts w:cs="Arial"/>
          <w:sz w:val="22"/>
          <w:szCs w:val="22"/>
        </w:rPr>
        <w:t>ATTACHMENT</w:t>
      </w:r>
      <w:r>
        <w:rPr>
          <w:rFonts w:cs="Arial"/>
          <w:sz w:val="22"/>
          <w:szCs w:val="22"/>
        </w:rPr>
        <w:t xml:space="preserve"> f:</w:t>
      </w:r>
      <w:r>
        <w:rPr>
          <w:rFonts w:cs="Arial"/>
          <w:sz w:val="22"/>
          <w:szCs w:val="22"/>
        </w:rPr>
        <w:tab/>
      </w:r>
      <w:r w:rsidR="001D41C6">
        <w:rPr>
          <w:rFonts w:cs="Arial"/>
          <w:sz w:val="22"/>
          <w:szCs w:val="22"/>
        </w:rPr>
        <w:t>Section 301 Public Health service act</w:t>
      </w:r>
    </w:p>
    <w:p w:rsidRPr="00356F70" w:rsidR="008B39F0" w:rsidP="008B39F0" w:rsidRDefault="008B39F0" w14:paraId="25ED644B" w14:textId="208B9C56">
      <w:pPr>
        <w:pStyle w:val="TOC8"/>
        <w:tabs>
          <w:tab w:val="left" w:pos="1980"/>
        </w:tabs>
        <w:spacing w:after="120"/>
        <w:ind w:left="1980" w:hanging="1962"/>
        <w:rPr>
          <w:rFonts w:cs="Arial"/>
          <w:sz w:val="22"/>
          <w:szCs w:val="22"/>
        </w:rPr>
      </w:pPr>
      <w:r w:rsidRPr="004B1D46">
        <w:rPr>
          <w:rFonts w:cs="Arial"/>
          <w:sz w:val="22"/>
          <w:szCs w:val="22"/>
        </w:rPr>
        <w:t>ATTACHMENT</w:t>
      </w:r>
      <w:r>
        <w:rPr>
          <w:rFonts w:cs="Arial"/>
          <w:sz w:val="22"/>
          <w:szCs w:val="22"/>
        </w:rPr>
        <w:t xml:space="preserve"> G:</w:t>
      </w:r>
      <w:r>
        <w:rPr>
          <w:rFonts w:cs="Arial"/>
          <w:sz w:val="22"/>
          <w:szCs w:val="22"/>
        </w:rPr>
        <w:tab/>
        <w:t>60 DAY FEDERAL REGISTER NOTICE</w:t>
      </w:r>
    </w:p>
    <w:p w:rsidRPr="008B39F0" w:rsidR="008B39F0" w:rsidP="008B39F0" w:rsidRDefault="008B39F0" w14:paraId="2B48E106" w14:textId="77777777"/>
    <w:p w:rsidRPr="001E583B" w:rsidR="00356F70" w:rsidP="001E583B" w:rsidRDefault="00356F70" w14:paraId="530C0DBC" w14:textId="5AD6EEB0"/>
    <w:p w:rsidRPr="00994024" w:rsidR="00436B9F" w:rsidP="00436B9F" w:rsidRDefault="00436B9F" w14:paraId="1F23ED23" w14:textId="77777777">
      <w:pPr>
        <w:spacing w:after="240" w:line="240" w:lineRule="auto"/>
        <w:ind w:firstLine="0"/>
        <w:jc w:val="center"/>
        <w:rPr>
          <w:rFonts w:ascii="Arial" w:hAnsi="Arial" w:cs="Arial"/>
          <w:b/>
        </w:rPr>
      </w:pPr>
      <w:r>
        <w:rPr>
          <w:rFonts w:ascii="Arial" w:hAnsi="Arial" w:cs="Arial"/>
          <w:b/>
        </w:rPr>
        <w:t>INSTRUMENTS</w:t>
      </w:r>
    </w:p>
    <w:p w:rsidR="00436B9F" w:rsidP="00436B9F" w:rsidRDefault="00436B9F" w14:paraId="1F23ED24" w14:textId="7B4AB4E9">
      <w:pPr>
        <w:spacing w:after="120" w:line="240" w:lineRule="auto"/>
        <w:ind w:firstLine="0"/>
        <w:jc w:val="left"/>
        <w:rPr>
          <w:rFonts w:ascii="Arial" w:hAnsi="Arial" w:cs="Arial"/>
          <w:caps/>
          <w:sz w:val="22"/>
          <w:szCs w:val="22"/>
        </w:rPr>
      </w:pPr>
      <w:r w:rsidRPr="00994024">
        <w:rPr>
          <w:rFonts w:ascii="Arial" w:hAnsi="Arial" w:cs="Arial"/>
          <w:caps/>
          <w:sz w:val="22"/>
          <w:szCs w:val="22"/>
        </w:rPr>
        <w:t>Instrument 1:</w:t>
      </w:r>
      <w:r w:rsidRPr="00994024">
        <w:rPr>
          <w:rFonts w:ascii="Arial" w:hAnsi="Arial" w:cs="Arial"/>
          <w:caps/>
          <w:sz w:val="22"/>
          <w:szCs w:val="22"/>
        </w:rPr>
        <w:tab/>
      </w:r>
      <w:r w:rsidR="000A1BB4">
        <w:rPr>
          <w:rFonts w:ascii="Arial" w:hAnsi="Arial" w:cs="Arial"/>
          <w:caps/>
          <w:sz w:val="22"/>
          <w:szCs w:val="22"/>
        </w:rPr>
        <w:t xml:space="preserve"> </w:t>
      </w:r>
      <w:r w:rsidR="00AB1363">
        <w:rPr>
          <w:rFonts w:ascii="Arial" w:hAnsi="Arial" w:cs="Arial"/>
          <w:caps/>
          <w:sz w:val="22"/>
          <w:szCs w:val="22"/>
        </w:rPr>
        <w:t>FOLLOW-UP</w:t>
      </w:r>
      <w:r w:rsidR="00B13A9A">
        <w:rPr>
          <w:rFonts w:ascii="Arial" w:hAnsi="Arial" w:cs="Arial"/>
          <w:caps/>
          <w:sz w:val="22"/>
          <w:szCs w:val="22"/>
        </w:rPr>
        <w:t xml:space="preserve"> </w:t>
      </w:r>
      <w:r>
        <w:rPr>
          <w:rFonts w:ascii="Arial" w:hAnsi="Arial" w:cs="Arial"/>
          <w:caps/>
          <w:sz w:val="22"/>
          <w:szCs w:val="22"/>
        </w:rPr>
        <w:t>survey</w:t>
      </w:r>
      <w:r w:rsidR="000A1BB4">
        <w:rPr>
          <w:rFonts w:ascii="Arial" w:hAnsi="Arial" w:cs="Arial"/>
          <w:caps/>
          <w:sz w:val="22"/>
          <w:szCs w:val="22"/>
        </w:rPr>
        <w:t xml:space="preserve"> </w:t>
      </w:r>
    </w:p>
    <w:p w:rsidRPr="00994024" w:rsidR="00436B9F" w:rsidP="00436B9F" w:rsidRDefault="00436B9F" w14:paraId="1F23ED2A" w14:textId="77777777">
      <w:pPr>
        <w:spacing w:after="120" w:line="240" w:lineRule="auto"/>
        <w:ind w:firstLine="0"/>
        <w:jc w:val="left"/>
        <w:rPr>
          <w:rFonts w:ascii="Arial" w:hAnsi="Arial" w:cs="Arial"/>
          <w:caps/>
          <w:sz w:val="22"/>
          <w:szCs w:val="22"/>
        </w:rPr>
      </w:pPr>
    </w:p>
    <w:p w:rsidR="00436B9F" w:rsidP="00436B9F" w:rsidRDefault="00436B9F" w14:paraId="1F23ED2B" w14:textId="77777777">
      <w:pPr>
        <w:tabs>
          <w:tab w:val="clear" w:pos="432"/>
        </w:tabs>
        <w:spacing w:line="240" w:lineRule="auto"/>
        <w:ind w:firstLine="0"/>
        <w:jc w:val="left"/>
        <w:sectPr w:rsidR="00436B9F" w:rsidSect="00AB1363">
          <w:headerReference w:type="default" r:id="rId13"/>
          <w:footerReference w:type="default" r:id="rId14"/>
          <w:endnotePr>
            <w:numFmt w:val="decimal"/>
          </w:endnotePr>
          <w:pgSz w:w="12240" w:h="15840" w:code="1"/>
          <w:pgMar w:top="1440" w:right="1440" w:bottom="1440" w:left="1440" w:header="720" w:footer="576" w:gutter="0"/>
          <w:pgNumType w:fmt="lowerRoman"/>
          <w:cols w:space="720"/>
          <w:docGrid w:linePitch="150"/>
        </w:sectPr>
      </w:pPr>
    </w:p>
    <w:p w:rsidR="00AC0487" w:rsidP="00AC0487" w:rsidRDefault="00AC0487" w14:paraId="1F23ED2F" w14:textId="77777777">
      <w:pPr>
        <w:pStyle w:val="Heading2Black"/>
      </w:pPr>
      <w:bookmarkStart w:name="_Toc320884919" w:id="34"/>
      <w:bookmarkStart w:name="_Toc324845910" w:id="35"/>
      <w:bookmarkStart w:name="_Toc396921847" w:id="36"/>
      <w:bookmarkStart w:name="_Toc437596008" w:id="37"/>
      <w:bookmarkStart w:name="_Toc32309419" w:id="38"/>
      <w:bookmarkEnd w:id="1"/>
      <w:bookmarkEnd w:id="2"/>
      <w:bookmarkEnd w:id="33"/>
      <w:r w:rsidRPr="002A6036">
        <w:t>B1.</w:t>
      </w:r>
      <w:r w:rsidRPr="002A6036">
        <w:tab/>
        <w:t>Respondent Universe and Sampling Methods</w:t>
      </w:r>
      <w:bookmarkEnd w:id="34"/>
      <w:bookmarkEnd w:id="35"/>
      <w:bookmarkEnd w:id="36"/>
      <w:bookmarkEnd w:id="37"/>
      <w:bookmarkEnd w:id="38"/>
    </w:p>
    <w:p w:rsidR="003F3E5C" w:rsidP="000A1BB4" w:rsidRDefault="00064B98" w14:paraId="35DDB28A" w14:textId="4A57D03A">
      <w:pPr>
        <w:pStyle w:val="NormalSS"/>
        <w:jc w:val="left"/>
      </w:pPr>
      <w:r w:rsidRPr="00C6253E">
        <w:t xml:space="preserve">The </w:t>
      </w:r>
      <w:r>
        <w:t>evaluation</w:t>
      </w:r>
      <w:r w:rsidRPr="00C6253E">
        <w:t xml:space="preserve"> </w:t>
      </w:r>
      <w:r w:rsidR="00C219D0">
        <w:t>is</w:t>
      </w:r>
      <w:r w:rsidR="00531E08">
        <w:t xml:space="preserve"> being conducted</w:t>
      </w:r>
      <w:r w:rsidRPr="00C6253E">
        <w:t xml:space="preserve"> in </w:t>
      </w:r>
      <w:r w:rsidR="006D2F95">
        <w:t>15</w:t>
      </w:r>
      <w:r w:rsidR="000A1BB4">
        <w:t xml:space="preserve"> </w:t>
      </w:r>
      <w:r w:rsidRPr="00C6253E">
        <w:t>high schools</w:t>
      </w:r>
      <w:r w:rsidR="006D2F95">
        <w:t xml:space="preserve"> across four school districts</w:t>
      </w:r>
      <w:r w:rsidRPr="00C6253E">
        <w:t>, and in required health classes.</w:t>
      </w:r>
    </w:p>
    <w:p w:rsidR="00C90382" w:rsidP="003C52DF" w:rsidRDefault="005D4213" w14:paraId="57361549" w14:textId="70605DEC">
      <w:pPr>
        <w:pStyle w:val="NormalSS"/>
        <w:jc w:val="left"/>
      </w:pPr>
      <w:r>
        <w:t>At the start of the each enrollment period, m</w:t>
      </w:r>
      <w:r w:rsidR="006D2F95">
        <w:t>ost</w:t>
      </w:r>
      <w:r w:rsidRPr="00C6253E" w:rsidR="003F3E5C">
        <w:t xml:space="preserve"> youth in the study </w:t>
      </w:r>
      <w:r w:rsidR="006D2F95">
        <w:t>are in</w:t>
      </w:r>
      <w:r w:rsidRPr="00C6253E" w:rsidR="003F3E5C">
        <w:t xml:space="preserve"> </w:t>
      </w:r>
      <w:r w:rsidR="003F3E5C">
        <w:t xml:space="preserve">9th </w:t>
      </w:r>
      <w:r w:rsidR="00116655">
        <w:t xml:space="preserve">or 10th </w:t>
      </w:r>
      <w:r>
        <w:t>grade and</w:t>
      </w:r>
      <w:r w:rsidR="006D2F95">
        <w:t xml:space="preserve"> </w:t>
      </w:r>
      <w:r w:rsidR="003F3E5C">
        <w:t>enrolled in a school’s required health class</w:t>
      </w:r>
      <w:r w:rsidRPr="00492E6D" w:rsidR="00492E6D">
        <w:t xml:space="preserve"> </w:t>
      </w:r>
      <w:r w:rsidR="00492E6D">
        <w:t>or the school’s equivalent when health is not offered</w:t>
      </w:r>
      <w:r w:rsidRPr="00C6253E" w:rsidR="003F3E5C">
        <w:t xml:space="preserve">. </w:t>
      </w:r>
      <w:r w:rsidR="003F3E5C">
        <w:t>S</w:t>
      </w:r>
      <w:r w:rsidRPr="00C219EE" w:rsidR="003F3E5C">
        <w:t xml:space="preserve">chools </w:t>
      </w:r>
      <w:r w:rsidR="00B6401F">
        <w:t>are</w:t>
      </w:r>
      <w:r w:rsidRPr="00C219EE" w:rsidR="003F3E5C">
        <w:t xml:space="preserve"> randomized to one of two conditions</w:t>
      </w:r>
      <w:r w:rsidR="003F3E5C">
        <w:t>:</w:t>
      </w:r>
      <w:r w:rsidRPr="00C219EE" w:rsidR="003F3E5C">
        <w:t xml:space="preserve"> (1) </w:t>
      </w:r>
      <w:r w:rsidR="003F3E5C">
        <w:t xml:space="preserve">a treatment group </w:t>
      </w:r>
      <w:r w:rsidRPr="00C219EE" w:rsidR="003F3E5C">
        <w:t>taught</w:t>
      </w:r>
      <w:r w:rsidRPr="00964596" w:rsidR="003F3E5C">
        <w:rPr>
          <w:i/>
        </w:rPr>
        <w:t xml:space="preserve"> </w:t>
      </w:r>
      <w:r w:rsidRPr="00066FCC" w:rsidR="003F3E5C">
        <w:rPr>
          <w:i/>
        </w:rPr>
        <w:t>MPC!</w:t>
      </w:r>
      <w:r w:rsidRPr="00C219EE" w:rsidR="003F3E5C">
        <w:t xml:space="preserve"> by an outside health educator </w:t>
      </w:r>
      <w:r w:rsidR="003F3E5C">
        <w:t>from</w:t>
      </w:r>
      <w:r w:rsidRPr="00C219EE" w:rsidR="003F3E5C">
        <w:t xml:space="preserve"> a local health department or community</w:t>
      </w:r>
      <w:r w:rsidR="003F3E5C">
        <w:t>-</w:t>
      </w:r>
      <w:r w:rsidRPr="00C219EE" w:rsidR="003F3E5C">
        <w:t>based organization, or (2) a control group that receives the health curriculum the school’s health teacher normally provides</w:t>
      </w:r>
      <w:r w:rsidR="003F3E5C">
        <w:t xml:space="preserve"> (i.e., a business-as-usual control condition)</w:t>
      </w:r>
      <w:r w:rsidRPr="00C219EE" w:rsidR="003F3E5C">
        <w:t xml:space="preserve">. </w:t>
      </w:r>
      <w:r w:rsidR="00B6401F">
        <w:t xml:space="preserve">School participating in the evaluation for multiple years are re-randomized each year, for a total of 39 randomized schools across the four years of enrollment. </w:t>
      </w:r>
    </w:p>
    <w:p w:rsidR="00C34457" w:rsidP="008B39F0" w:rsidRDefault="00537A47" w14:paraId="7A0CF2F4" w14:textId="07C1F12A">
      <w:pPr>
        <w:pStyle w:val="NormalSS"/>
        <w:jc w:val="left"/>
      </w:pPr>
      <w:r>
        <w:t xml:space="preserve">As of Fall 2019, there are 2,868 students </w:t>
      </w:r>
      <w:r w:rsidR="000A1BB4">
        <w:t>eligible</w:t>
      </w:r>
      <w:r>
        <w:t xml:space="preserve"> to participate in the study. We consented 76 percent of these </w:t>
      </w:r>
      <w:r w:rsidR="000A1BB4">
        <w:t>eligible</w:t>
      </w:r>
      <w:r>
        <w:t xml:space="preserve"> youth for a total sample of 2,180 students. Follow up surveys have been completed with 86 percent of the sample, in cohorts where follow up administrations are complete.</w:t>
      </w:r>
      <w:r w:rsidRPr="00537A47">
        <w:t xml:space="preserve"> </w:t>
      </w:r>
      <w:r>
        <w:t>The extended data collection will occur in 7 of the 15 participating schools. We expect the consent and follow up response rates to remain the same during this extension period.</w:t>
      </w:r>
      <w:r w:rsidR="000A1BB4">
        <w:t xml:space="preserve"> </w:t>
      </w:r>
    </w:p>
    <w:p w:rsidRPr="009F4DF4" w:rsidR="00AC0487" w:rsidP="00A23527" w:rsidRDefault="00AC0487" w14:paraId="1F23ED30" w14:textId="5DD1724D">
      <w:pPr>
        <w:pStyle w:val="NormalSS"/>
        <w:jc w:val="left"/>
      </w:pPr>
      <w:r>
        <w:t xml:space="preserve">The evaluation sample is expected to be equally male and female, primarily African American or Hispanic (at least 50 percent of the sample), and low-income (with more than 50 percent of the sample qualifying for free and reduced price lunch). </w:t>
      </w:r>
    </w:p>
    <w:p w:rsidR="00AC0487" w:rsidP="00C53BAC" w:rsidRDefault="00AC0487" w14:paraId="1F23ED31" w14:textId="6AA284CE">
      <w:pPr>
        <w:spacing w:after="240" w:line="240" w:lineRule="auto"/>
      </w:pPr>
      <w:r>
        <w:rPr>
          <w:b/>
          <w:i/>
        </w:rPr>
        <w:t xml:space="preserve">Statistical Power. </w:t>
      </w:r>
    </w:p>
    <w:p w:rsidR="00AC0487" w:rsidP="001B2D5A" w:rsidRDefault="000F0992" w14:paraId="1F23ED32" w14:textId="186B097A">
      <w:pPr>
        <w:spacing w:after="240" w:line="240" w:lineRule="auto"/>
        <w:rPr>
          <w:color w:val="000000" w:themeColor="text1"/>
        </w:rPr>
      </w:pPr>
      <w:r w:rsidRPr="000F0992">
        <w:t xml:space="preserve">The primary impact analysis will focus on </w:t>
      </w:r>
      <w:r w:rsidR="00901A33">
        <w:t xml:space="preserve">those </w:t>
      </w:r>
      <w:r w:rsidRPr="000F0992">
        <w:t>who provide follow-up survey data, regardless of their level of participation in the program, or whether they complete the baseline survey</w:t>
      </w:r>
      <w:r w:rsidR="00901A33">
        <w:t xml:space="preserve">. This will enable the </w:t>
      </w:r>
      <w:r w:rsidRPr="000F0992">
        <w:t xml:space="preserve">team to conduct a rigorous, intent-to-treat impact analysis that meets the standards of the HHS Evidence Review. </w:t>
      </w:r>
      <w:r w:rsidR="00E273C6">
        <w:t>As stated above, we have some</w:t>
      </w:r>
      <w:r w:rsidR="00901A33">
        <w:t xml:space="preserve"> non-response to the surveys</w:t>
      </w:r>
      <w:r w:rsidR="00E273C6">
        <w:t>, with a current follow up response rate of 86% across all study sites</w:t>
      </w:r>
      <w:r w:rsidR="00901A33">
        <w:t xml:space="preserve">. </w:t>
      </w:r>
      <w:r w:rsidR="00DF71A3">
        <w:t xml:space="preserve">At the follow-up (9 months after baseline), </w:t>
      </w:r>
      <w:r w:rsidR="00DF71A3">
        <w:rPr>
          <w:color w:val="000000" w:themeColor="text1"/>
        </w:rPr>
        <w:t>f</w:t>
      </w:r>
      <w:r w:rsidRPr="006434F5" w:rsidR="00DF71A3">
        <w:rPr>
          <w:color w:val="000000" w:themeColor="text1"/>
        </w:rPr>
        <w:t xml:space="preserve">or </w:t>
      </w:r>
      <w:r w:rsidRPr="006434F5" w:rsidR="00AC0487">
        <w:rPr>
          <w:color w:val="000000" w:themeColor="text1"/>
        </w:rPr>
        <w:t xml:space="preserve">a prevalence rate of 25 percent (such as a </w:t>
      </w:r>
      <w:r w:rsidR="00AC0487">
        <w:rPr>
          <w:color w:val="000000" w:themeColor="text1"/>
        </w:rPr>
        <w:t>sexual initiation</w:t>
      </w:r>
      <w:r w:rsidRPr="006434F5" w:rsidR="00AC0487">
        <w:rPr>
          <w:color w:val="000000" w:themeColor="text1"/>
        </w:rPr>
        <w:t xml:space="preserve">), we can </w:t>
      </w:r>
      <w:r w:rsidR="001C06D5">
        <w:rPr>
          <w:color w:val="000000" w:themeColor="text1"/>
        </w:rPr>
        <w:t xml:space="preserve">estimate that we can </w:t>
      </w:r>
      <w:r w:rsidRPr="006434F5" w:rsidR="00AC0487">
        <w:rPr>
          <w:color w:val="000000" w:themeColor="text1"/>
        </w:rPr>
        <w:t xml:space="preserve">detect a </w:t>
      </w:r>
      <w:r w:rsidR="00BF514C">
        <w:rPr>
          <w:color w:val="000000" w:themeColor="text1"/>
        </w:rPr>
        <w:t>5.5</w:t>
      </w:r>
      <w:r w:rsidR="00AC0487">
        <w:rPr>
          <w:color w:val="000000" w:themeColor="text1"/>
        </w:rPr>
        <w:t xml:space="preserve"> percentage</w:t>
      </w:r>
      <w:r w:rsidRPr="006434F5" w:rsidR="00AC0487">
        <w:rPr>
          <w:color w:val="000000" w:themeColor="text1"/>
        </w:rPr>
        <w:t xml:space="preserve"> point differ</w:t>
      </w:r>
      <w:r w:rsidR="00965BCA">
        <w:rPr>
          <w:color w:val="000000" w:themeColor="text1"/>
        </w:rPr>
        <w:t xml:space="preserve">ence between the two groups; </w:t>
      </w:r>
      <w:r w:rsidRPr="006434F5" w:rsidR="00AC0487">
        <w:rPr>
          <w:color w:val="000000" w:themeColor="text1"/>
        </w:rPr>
        <w:t xml:space="preserve">for a prevalence rate of 50 percent (such as </w:t>
      </w:r>
      <w:r w:rsidR="00AC0487">
        <w:rPr>
          <w:color w:val="000000" w:themeColor="text1"/>
        </w:rPr>
        <w:t>contraception use</w:t>
      </w:r>
      <w:r w:rsidRPr="006434F5" w:rsidR="00AC0487">
        <w:rPr>
          <w:color w:val="000000" w:themeColor="text1"/>
        </w:rPr>
        <w:t xml:space="preserve">), we </w:t>
      </w:r>
      <w:r w:rsidR="001C06D5">
        <w:rPr>
          <w:color w:val="000000" w:themeColor="text1"/>
        </w:rPr>
        <w:t xml:space="preserve">estimate that we </w:t>
      </w:r>
      <w:r w:rsidRPr="006434F5" w:rsidR="00AC0487">
        <w:rPr>
          <w:color w:val="000000" w:themeColor="text1"/>
        </w:rPr>
        <w:t>can detect a</w:t>
      </w:r>
      <w:r w:rsidR="00C56C82">
        <w:rPr>
          <w:color w:val="000000" w:themeColor="text1"/>
        </w:rPr>
        <w:t>n</w:t>
      </w:r>
      <w:r w:rsidRPr="006434F5" w:rsidR="00AC0487">
        <w:rPr>
          <w:color w:val="000000" w:themeColor="text1"/>
        </w:rPr>
        <w:t xml:space="preserve"> </w:t>
      </w:r>
      <w:r w:rsidR="00BF514C">
        <w:rPr>
          <w:color w:val="000000" w:themeColor="text1"/>
        </w:rPr>
        <w:t>6.4</w:t>
      </w:r>
      <w:r w:rsidRPr="006434F5" w:rsidR="00AC0487">
        <w:rPr>
          <w:color w:val="000000" w:themeColor="text1"/>
        </w:rPr>
        <w:t xml:space="preserve"> percentage point difference between the two groups</w:t>
      </w:r>
      <w:r w:rsidR="00E078D9">
        <w:rPr>
          <w:color w:val="000000" w:themeColor="text1"/>
        </w:rPr>
        <w:t xml:space="preserve"> (Table B1.1)</w:t>
      </w:r>
      <w:r w:rsidRPr="006434F5" w:rsidR="00AC0487">
        <w:rPr>
          <w:color w:val="000000" w:themeColor="text1"/>
        </w:rPr>
        <w:t>.</w:t>
      </w:r>
      <w:r w:rsidR="0051675D">
        <w:rPr>
          <w:color w:val="000000" w:themeColor="text1"/>
        </w:rPr>
        <w:t xml:space="preserve"> </w:t>
      </w:r>
    </w:p>
    <w:p w:rsidRPr="00CE2E6C" w:rsidR="00AC0487" w:rsidP="001B2D5A" w:rsidRDefault="00AC0487" w14:paraId="1F23ED33" w14:textId="77777777">
      <w:pPr>
        <w:pStyle w:val="MarkforTableHeading"/>
      </w:pPr>
      <w:bookmarkStart w:name="_Toc396896776" w:id="39"/>
      <w:bookmarkStart w:name="_Toc448731872" w:id="40"/>
      <w:r w:rsidRPr="002A6036">
        <w:t xml:space="preserve">Table B1.1. Minimum Detectible Impacts for </w:t>
      </w:r>
      <w:bookmarkEnd w:id="39"/>
      <w:r>
        <w:t>The Federal Evaluation of MPC!</w:t>
      </w:r>
      <w:bookmarkEnd w:id="40"/>
    </w:p>
    <w:tbl>
      <w:tblPr>
        <w:tblStyle w:val="MPRBaseTable"/>
        <w:tblW w:w="5000" w:type="pct"/>
        <w:tblLook w:val="04A0" w:firstRow="1" w:lastRow="0" w:firstColumn="1" w:lastColumn="0" w:noHBand="0" w:noVBand="1"/>
      </w:tblPr>
      <w:tblGrid>
        <w:gridCol w:w="5305"/>
        <w:gridCol w:w="4055"/>
      </w:tblGrid>
      <w:tr w:rsidRPr="00D31680" w:rsidR="008B39F0" w:rsidTr="000A1BB4" w14:paraId="1F23ED37" w14:textId="77777777">
        <w:trPr>
          <w:cnfStyle w:val="100000000000" w:firstRow="1" w:lastRow="0" w:firstColumn="0" w:lastColumn="0" w:oddVBand="0" w:evenVBand="0" w:oddHBand="0" w:evenHBand="0" w:firstRowFirstColumn="0" w:firstRowLastColumn="0" w:lastRowFirstColumn="0" w:lastRowLastColumn="0"/>
          <w:trHeight w:val="621"/>
        </w:trPr>
        <w:tc>
          <w:tcPr>
            <w:cnfStyle w:val="001000000100" w:firstRow="0" w:lastRow="0" w:firstColumn="1" w:lastColumn="0" w:oddVBand="0" w:evenVBand="0" w:oddHBand="0" w:evenHBand="0" w:firstRowFirstColumn="1" w:firstRowLastColumn="0" w:lastRowFirstColumn="0" w:lastRowLastColumn="0"/>
            <w:tcW w:w="2834" w:type="pct"/>
            <w:noWrap/>
            <w:hideMark/>
          </w:tcPr>
          <w:p w:rsidRPr="00AC0487" w:rsidR="008B39F0" w:rsidP="00AB1363" w:rsidRDefault="008B39F0" w14:paraId="1F23ED34" w14:textId="77777777">
            <w:pPr>
              <w:spacing w:line="240" w:lineRule="auto"/>
              <w:ind w:firstLine="0"/>
              <w:rPr>
                <w:rFonts w:cs="Arial"/>
                <w:szCs w:val="18"/>
                <w:highlight w:val="lightGray"/>
              </w:rPr>
            </w:pPr>
          </w:p>
        </w:tc>
        <w:tc>
          <w:tcPr>
            <w:tcW w:w="2166" w:type="pct"/>
            <w:hideMark/>
          </w:tcPr>
          <w:p w:rsidRPr="00C53BAC" w:rsidR="008B39F0" w:rsidP="00C53BAC" w:rsidRDefault="008B39F0" w14:paraId="1F23ED35" w14:textId="5D574B6F">
            <w:pPr>
              <w:pStyle w:val="TableHeaderCenter"/>
              <w:cnfStyle w:val="100000000000" w:firstRow="1" w:lastRow="0" w:firstColumn="0" w:lastColumn="0" w:oddVBand="0" w:evenVBand="0" w:oddHBand="0" w:evenHBand="0" w:firstRowFirstColumn="0" w:firstRowLastColumn="0" w:lastRowFirstColumn="0" w:lastRowLastColumn="0"/>
              <w:rPr>
                <w:b/>
              </w:rPr>
            </w:pPr>
            <w:r>
              <w:rPr>
                <w:b/>
              </w:rPr>
              <w:t>F</w:t>
            </w:r>
            <w:r w:rsidRPr="00C53BAC">
              <w:rPr>
                <w:b/>
              </w:rPr>
              <w:t xml:space="preserve">ollow-up </w:t>
            </w:r>
            <w:r w:rsidRPr="00C53BAC">
              <w:rPr>
                <w:b/>
              </w:rPr>
              <w:br/>
              <w:t>(90% response rate)</w:t>
            </w:r>
          </w:p>
        </w:tc>
      </w:tr>
      <w:tr w:rsidRPr="00D31680" w:rsidR="008B39F0" w:rsidTr="000A1BB4" w14:paraId="1F23ED3B"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834" w:type="pct"/>
            <w:tcBorders>
              <w:top w:val="nil"/>
            </w:tcBorders>
            <w:noWrap/>
            <w:hideMark/>
          </w:tcPr>
          <w:p w:rsidRPr="00CE2E6C" w:rsidR="008B39F0" w:rsidP="00C53BAC" w:rsidRDefault="008B39F0" w14:paraId="1F23ED38" w14:textId="77777777">
            <w:pPr>
              <w:pStyle w:val="TableText"/>
              <w:spacing w:before="60" w:after="60"/>
              <w:contextualSpacing w:val="0"/>
            </w:pPr>
            <w:r w:rsidRPr="00CE2E6C">
              <w:t>MDES</w:t>
            </w:r>
          </w:p>
        </w:tc>
        <w:tc>
          <w:tcPr>
            <w:tcW w:w="2166" w:type="pct"/>
            <w:tcBorders>
              <w:top w:val="nil"/>
            </w:tcBorders>
            <w:noWrap/>
            <w:hideMark/>
          </w:tcPr>
          <w:p w:rsidRPr="00CE2E6C" w:rsidR="008B39F0" w:rsidP="00BF514C" w:rsidRDefault="008B39F0" w14:paraId="1F23ED39" w14:textId="77D8CFDD">
            <w:pPr>
              <w:pStyle w:val="TableText"/>
              <w:spacing w:before="60" w:after="60"/>
              <w:contextualSpacing w:val="0"/>
              <w:jc w:val="center"/>
              <w:cnfStyle w:val="000000100000" w:firstRow="0" w:lastRow="0" w:firstColumn="0" w:lastColumn="0" w:oddVBand="0" w:evenVBand="0" w:oddHBand="1" w:evenHBand="0" w:firstRowFirstColumn="0" w:firstRowLastColumn="0" w:lastRowFirstColumn="0" w:lastRowLastColumn="0"/>
            </w:pPr>
            <w:r w:rsidRPr="00CE2E6C">
              <w:t>0.</w:t>
            </w:r>
            <w:r>
              <w:t>128</w:t>
            </w:r>
          </w:p>
        </w:tc>
      </w:tr>
      <w:tr w:rsidRPr="00D31680" w:rsidR="008B39F0" w:rsidTr="008B39F0" w14:paraId="1F23ED3F" w14:textId="77777777">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834" w:type="pct"/>
            <w:noWrap/>
            <w:hideMark/>
          </w:tcPr>
          <w:p w:rsidRPr="00CE2E6C" w:rsidR="008B39F0" w:rsidP="00C53BAC" w:rsidRDefault="008B39F0" w14:paraId="1F23ED3C" w14:textId="77777777">
            <w:pPr>
              <w:pStyle w:val="TableText"/>
              <w:spacing w:before="60" w:after="60"/>
              <w:contextualSpacing w:val="0"/>
            </w:pPr>
            <w:r w:rsidRPr="00CE2E6C">
              <w:t>MDI (50% prevalence rate in control group)</w:t>
            </w:r>
          </w:p>
        </w:tc>
        <w:tc>
          <w:tcPr>
            <w:tcW w:w="2166" w:type="pct"/>
            <w:noWrap/>
            <w:hideMark/>
          </w:tcPr>
          <w:p w:rsidRPr="00CE2E6C" w:rsidR="008B39F0" w:rsidP="00C53BAC" w:rsidRDefault="008B39F0" w14:paraId="1F23ED3D" w14:textId="6E2D5F41">
            <w:pPr>
              <w:pStyle w:val="TableText"/>
              <w:spacing w:before="60" w:after="60"/>
              <w:contextualSpacing w:val="0"/>
              <w:jc w:val="center"/>
              <w:cnfStyle w:val="000000010000" w:firstRow="0" w:lastRow="0" w:firstColumn="0" w:lastColumn="0" w:oddVBand="0" w:evenVBand="0" w:oddHBand="0" w:evenHBand="1" w:firstRowFirstColumn="0" w:firstRowLastColumn="0" w:lastRowFirstColumn="0" w:lastRowLastColumn="0"/>
            </w:pPr>
            <w:r>
              <w:t>6.4 percentage points</w:t>
            </w:r>
          </w:p>
        </w:tc>
      </w:tr>
      <w:tr w:rsidRPr="00D31680" w:rsidR="008B39F0" w:rsidTr="008B39F0" w14:paraId="1F23ED43"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834" w:type="pct"/>
            <w:noWrap/>
            <w:hideMark/>
          </w:tcPr>
          <w:p w:rsidRPr="00CE2E6C" w:rsidR="008B39F0" w:rsidP="00C53BAC" w:rsidRDefault="008B39F0" w14:paraId="1F23ED40" w14:textId="77777777">
            <w:pPr>
              <w:pStyle w:val="TableText"/>
              <w:spacing w:before="60" w:after="60"/>
              <w:contextualSpacing w:val="0"/>
            </w:pPr>
            <w:r w:rsidRPr="00CE2E6C">
              <w:t>MDI (25% prevalence rate in control group)</w:t>
            </w:r>
          </w:p>
        </w:tc>
        <w:tc>
          <w:tcPr>
            <w:tcW w:w="2166" w:type="pct"/>
            <w:noWrap/>
            <w:hideMark/>
          </w:tcPr>
          <w:p w:rsidRPr="00CE2E6C" w:rsidR="008B39F0" w:rsidP="00997B9C" w:rsidRDefault="008B39F0" w14:paraId="1F23ED41" w14:textId="70E407A9">
            <w:pPr>
              <w:pStyle w:val="TableText"/>
              <w:spacing w:before="60" w:after="60"/>
              <w:contextualSpacing w:val="0"/>
              <w:jc w:val="center"/>
              <w:cnfStyle w:val="000000100000" w:firstRow="0" w:lastRow="0" w:firstColumn="0" w:lastColumn="0" w:oddVBand="0" w:evenVBand="0" w:oddHBand="1" w:evenHBand="0" w:firstRowFirstColumn="0" w:firstRowLastColumn="0" w:lastRowFirstColumn="0" w:lastRowLastColumn="0"/>
            </w:pPr>
            <w:r>
              <w:t xml:space="preserve">5.5 </w:t>
            </w:r>
            <w:r w:rsidRPr="00997B9C">
              <w:t>percentage points</w:t>
            </w:r>
          </w:p>
        </w:tc>
      </w:tr>
    </w:tbl>
    <w:p w:rsidRPr="00CE2E6C" w:rsidR="00C53BAC" w:rsidP="00C53BAC" w:rsidRDefault="00C53BAC" w14:paraId="1F23ED44" w14:textId="31203CE4">
      <w:pPr>
        <w:pStyle w:val="TableSourceCaption"/>
      </w:pPr>
      <w:r>
        <w:t>Note:</w:t>
      </w:r>
      <w:r>
        <w:tab/>
      </w:r>
      <w:r w:rsidRPr="00CE2E6C">
        <w:t>These calculations assume an intra-class correlation coefficient of .</w:t>
      </w:r>
      <w:r w:rsidRPr="00CE2E6C" w:rsidR="00CB5308">
        <w:t>0</w:t>
      </w:r>
      <w:r w:rsidR="00CB5308">
        <w:t>1</w:t>
      </w:r>
      <w:r w:rsidRPr="00CE2E6C">
        <w:t xml:space="preserve">; 25 percent of individual-level variance in the outcome explained; and </w:t>
      </w:r>
      <w:r w:rsidR="00CB5308">
        <w:t>7</w:t>
      </w:r>
      <w:r w:rsidRPr="00CE2E6C" w:rsidR="00CB5308">
        <w:t xml:space="preserve">0 </w:t>
      </w:r>
      <w:r w:rsidRPr="00CE2E6C">
        <w:t>percent of the cluster variance explained, due to baseline measures of the outcome of interest, baseline assessment of other risk behaviors, and demographics.</w:t>
      </w:r>
    </w:p>
    <w:p w:rsidRPr="00CE2E6C" w:rsidR="00C53BAC" w:rsidP="001B2D5A" w:rsidRDefault="00A71F96" w14:paraId="1F23ED45" w14:textId="163E2F2E">
      <w:pPr>
        <w:pStyle w:val="TableFootnoteCaption"/>
        <w:spacing w:after="240"/>
        <w:rPr>
          <w:sz w:val="24"/>
        </w:rPr>
      </w:pPr>
      <w:r>
        <w:t>MDES = Minimum Detecti</w:t>
      </w:r>
      <w:r w:rsidRPr="00CE2E6C" w:rsidR="00C53BAC">
        <w:t>ble Effect Size</w:t>
      </w:r>
    </w:p>
    <w:p w:rsidRPr="00886088" w:rsidR="00387D9A" w:rsidP="001B2D5A" w:rsidRDefault="00387D9A" w14:paraId="6F092983" w14:textId="2D3C6403">
      <w:pPr>
        <w:pStyle w:val="NormalSS"/>
      </w:pPr>
      <w:r w:rsidRPr="00886088">
        <w:rPr>
          <w:rStyle w:val="NormalSSChar"/>
          <w:szCs w:val="24"/>
        </w:rPr>
        <w:t xml:space="preserve">We also plan </w:t>
      </w:r>
      <w:r w:rsidR="00A71F96">
        <w:rPr>
          <w:rStyle w:val="NormalSSChar"/>
          <w:szCs w:val="24"/>
        </w:rPr>
        <w:t>to conduct</w:t>
      </w:r>
      <w:r w:rsidRPr="00886088">
        <w:rPr>
          <w:rStyle w:val="NormalSSChar"/>
          <w:szCs w:val="24"/>
        </w:rPr>
        <w:t xml:space="preserve"> analyses on subgroups defined by baseline measures. These analyses will be considered exploratory, and </w:t>
      </w:r>
      <w:r w:rsidR="00A71F96">
        <w:rPr>
          <w:rStyle w:val="NormalSSChar"/>
          <w:szCs w:val="24"/>
        </w:rPr>
        <w:t xml:space="preserve">will </w:t>
      </w:r>
      <w:r w:rsidRPr="00886088">
        <w:rPr>
          <w:rStyle w:val="NormalSSChar"/>
          <w:szCs w:val="24"/>
        </w:rPr>
        <w:t xml:space="preserve">not </w:t>
      </w:r>
      <w:r w:rsidR="00A71F96">
        <w:rPr>
          <w:rStyle w:val="NormalSSChar"/>
          <w:szCs w:val="24"/>
        </w:rPr>
        <w:t xml:space="preserve">be </w:t>
      </w:r>
      <w:r w:rsidRPr="00886088">
        <w:rPr>
          <w:rStyle w:val="NormalSSChar"/>
          <w:szCs w:val="24"/>
        </w:rPr>
        <w:t>used as a primary</w:t>
      </w:r>
      <w:r w:rsidRPr="00886088">
        <w:t xml:space="preserve"> test of the effectiveness of the intervention. Instead, they are intended to help program providers and practitioners understand </w:t>
      </w:r>
      <w:r w:rsidR="00A71F96">
        <w:t xml:space="preserve">whether </w:t>
      </w:r>
      <w:r w:rsidRPr="00886088">
        <w:t xml:space="preserve">the pattern of the findings for the full sample is similar </w:t>
      </w:r>
      <w:r w:rsidR="00A71F96">
        <w:t xml:space="preserve">to </w:t>
      </w:r>
      <w:r w:rsidRPr="00886088">
        <w:t xml:space="preserve">or different </w:t>
      </w:r>
      <w:r w:rsidR="00A71F96">
        <w:t xml:space="preserve">from </w:t>
      </w:r>
      <w:r w:rsidRPr="00886088">
        <w:t>trends obse</w:t>
      </w:r>
      <w:r w:rsidR="0019132F">
        <w:t xml:space="preserve">rved for particular subgroups. </w:t>
      </w:r>
      <w:r w:rsidRPr="00886088">
        <w:t xml:space="preserve">We will observe trends for subgroups defined by (1) gender, and (2) sexual experience at baseline. </w:t>
      </w:r>
    </w:p>
    <w:p w:rsidRPr="00CE2E6C" w:rsidR="00387D9A" w:rsidP="00C53BAC" w:rsidRDefault="00387D9A" w14:paraId="350A3BC3" w14:textId="59FBE5B0">
      <w:pPr>
        <w:pStyle w:val="NormalSS"/>
      </w:pPr>
      <w:r w:rsidRPr="00886088">
        <w:t>We acknowledge that statistical power for these exploratory analyses may be insufficient due to smaller sample sizes within the s</w:t>
      </w:r>
      <w:r w:rsidR="00A71F96">
        <w:t>ubgroups. For that reason, the</w:t>
      </w:r>
      <w:r w:rsidRPr="00886088">
        <w:t xml:space="preserve"> analyses are intended </w:t>
      </w:r>
      <w:r w:rsidR="00A71F96">
        <w:t xml:space="preserve">not </w:t>
      </w:r>
      <w:r w:rsidRPr="00886088">
        <w:t xml:space="preserve">as a primary test of the intervention’s effectiveness, but instead </w:t>
      </w:r>
      <w:r w:rsidR="00A71F96">
        <w:t xml:space="preserve">as a means </w:t>
      </w:r>
      <w:r w:rsidRPr="00886088">
        <w:t>to understand whether the overall pattern of findings are similar to trends observed within and across particular subgroups.</w:t>
      </w:r>
      <w:r w:rsidR="000A1BB4">
        <w:t xml:space="preserve"> </w:t>
      </w:r>
    </w:p>
    <w:p w:rsidRPr="002A6036" w:rsidR="00AC0487" w:rsidP="00AC0487" w:rsidRDefault="00AC0487" w14:paraId="1F23ED47" w14:textId="77777777">
      <w:pPr>
        <w:pStyle w:val="Heading2Black"/>
      </w:pPr>
      <w:bookmarkStart w:name="_Toc320884920" w:id="41"/>
      <w:bookmarkStart w:name="_Toc324845911" w:id="42"/>
      <w:bookmarkStart w:name="_Toc396921848" w:id="43"/>
      <w:bookmarkStart w:name="_Toc437596009" w:id="44"/>
      <w:bookmarkStart w:name="_Toc32309420" w:id="45"/>
      <w:r w:rsidRPr="002A6036">
        <w:t>B2.</w:t>
      </w:r>
      <w:r w:rsidRPr="002A6036">
        <w:tab/>
        <w:t>Procedures for Collection of Information</w:t>
      </w:r>
      <w:bookmarkEnd w:id="41"/>
      <w:bookmarkEnd w:id="42"/>
      <w:bookmarkEnd w:id="43"/>
      <w:bookmarkEnd w:id="44"/>
      <w:bookmarkEnd w:id="45"/>
      <w:r>
        <w:t xml:space="preserve"> </w:t>
      </w:r>
    </w:p>
    <w:p w:rsidRPr="002A6036" w:rsidR="00AC0487" w:rsidP="001424BC" w:rsidRDefault="00AC0487" w14:paraId="1F23ED49" w14:textId="2B9F48D1">
      <w:pPr>
        <w:pStyle w:val="NormalSS"/>
        <w:shd w:val="clear" w:color="auto" w:fill="FFFFFF" w:themeFill="background1"/>
      </w:pPr>
      <w:r>
        <w:t xml:space="preserve">In each of the schools, </w:t>
      </w:r>
      <w:r w:rsidRPr="002A6036">
        <w:t xml:space="preserve">all youth </w:t>
      </w:r>
      <w:r w:rsidR="000E3DCE">
        <w:t xml:space="preserve">with parental consent </w:t>
      </w:r>
      <w:r w:rsidRPr="002A6036">
        <w:t xml:space="preserve">will be considered for </w:t>
      </w:r>
      <w:r w:rsidR="000E3DCE">
        <w:t>follow-up data collection</w:t>
      </w:r>
      <w:r w:rsidRPr="002A6036">
        <w:t xml:space="preserve">. </w:t>
      </w:r>
      <w:r>
        <w:t xml:space="preserve">Mathematica staff </w:t>
      </w:r>
      <w:r w:rsidRPr="002A6036">
        <w:t xml:space="preserve">will work with </w:t>
      </w:r>
      <w:r>
        <w:t xml:space="preserve">the schools </w:t>
      </w:r>
      <w:r w:rsidR="004F79F1">
        <w:t xml:space="preserve">prior to follow-up data collection </w:t>
      </w:r>
      <w:r w:rsidRPr="002A6036">
        <w:t>to</w:t>
      </w:r>
      <w:r w:rsidRPr="00B22E8A">
        <w:t xml:space="preserve"> </w:t>
      </w:r>
      <w:r w:rsidR="004F79F1">
        <w:t xml:space="preserve">identify which study participants are still enrolled and </w:t>
      </w:r>
      <w:r w:rsidR="000806E2">
        <w:t xml:space="preserve">which have </w:t>
      </w:r>
      <w:r w:rsidR="004F79F1">
        <w:t xml:space="preserve">moved or transferred to another school. </w:t>
      </w:r>
    </w:p>
    <w:p w:rsidR="00AC0487" w:rsidP="00AC0487" w:rsidRDefault="00AC0487" w14:paraId="1F23ED4A" w14:textId="73F515AF">
      <w:pPr>
        <w:pStyle w:val="NormalSS"/>
        <w:rPr>
          <w:rFonts w:cs="Calibri"/>
        </w:rPr>
      </w:pPr>
      <w:r w:rsidRPr="00254CCF">
        <w:t xml:space="preserve">The data collection plan for the </w:t>
      </w:r>
      <w:r w:rsidR="000E3DCE">
        <w:t xml:space="preserve">follow-up </w:t>
      </w:r>
      <w:r w:rsidRPr="00254CCF">
        <w:t xml:space="preserve">survey </w:t>
      </w:r>
      <w:r>
        <w:t xml:space="preserve">is the same across </w:t>
      </w:r>
      <w:r w:rsidR="009F6772">
        <w:t>all participating</w:t>
      </w:r>
      <w:r w:rsidR="004018DC">
        <w:t xml:space="preserve"> </w:t>
      </w:r>
      <w:r>
        <w:t xml:space="preserve">schools and </w:t>
      </w:r>
      <w:r w:rsidRPr="00254CCF">
        <w:t xml:space="preserve">reflects sensitivity to issues of efficiency, accuracy, and respondent burden. </w:t>
      </w:r>
      <w:r>
        <w:t xml:space="preserve">The </w:t>
      </w:r>
      <w:r w:rsidR="000E3DCE">
        <w:t xml:space="preserve">follow-up </w:t>
      </w:r>
      <w:r>
        <w:t xml:space="preserve">survey will be administered to consented youth </w:t>
      </w:r>
      <w:r w:rsidR="000E3DCE">
        <w:t xml:space="preserve">approximately </w:t>
      </w:r>
      <w:r w:rsidR="000806E2">
        <w:t xml:space="preserve">9 </w:t>
      </w:r>
      <w:r w:rsidR="000E3DCE">
        <w:t>months after completing the baseline survey</w:t>
      </w:r>
      <w:r>
        <w:t xml:space="preserve">. </w:t>
      </w:r>
      <w:r w:rsidR="000806E2">
        <w:t xml:space="preserve">As with </w:t>
      </w:r>
      <w:r w:rsidR="000E3DCE">
        <w:t xml:space="preserve">the baseline survey, the follow-up </w:t>
      </w:r>
      <w:r w:rsidRPr="00460E29">
        <w:t xml:space="preserve">survey </w:t>
      </w:r>
      <w:r>
        <w:t xml:space="preserve">will be </w:t>
      </w:r>
      <w:r w:rsidRPr="00460E29">
        <w:t xml:space="preserve">web-based </w:t>
      </w:r>
      <w:r>
        <w:t>and</w:t>
      </w:r>
      <w:r w:rsidRPr="00460E29">
        <w:t xml:space="preserve"> administered in </w:t>
      </w:r>
      <w:r>
        <w:t xml:space="preserve">a group setting at each </w:t>
      </w:r>
      <w:r w:rsidRPr="00460E29">
        <w:t>school</w:t>
      </w:r>
      <w:r w:rsidRPr="00254CCF">
        <w:t xml:space="preserve">. </w:t>
      </w:r>
      <w:r w:rsidRPr="00254CCF">
        <w:rPr>
          <w:rFonts w:cs="Calibri"/>
        </w:rPr>
        <w:t xml:space="preserve">The </w:t>
      </w:r>
      <w:r w:rsidR="00BF0E5A">
        <w:rPr>
          <w:rFonts w:cs="Calibri"/>
        </w:rPr>
        <w:t xml:space="preserve">web </w:t>
      </w:r>
      <w:r>
        <w:rPr>
          <w:rFonts w:cs="Calibri"/>
        </w:rPr>
        <w:t xml:space="preserve">survey </w:t>
      </w:r>
      <w:r w:rsidR="0019132F">
        <w:t xml:space="preserve">will be </w:t>
      </w:r>
      <w:r>
        <w:rPr>
          <w:rFonts w:cs="Calibri"/>
        </w:rPr>
        <w:t xml:space="preserve">smartphone-compatible; Mathematica will </w:t>
      </w:r>
      <w:r w:rsidRPr="00460E29">
        <w:rPr>
          <w:rFonts w:cs="Calibri"/>
        </w:rPr>
        <w:t xml:space="preserve">provide participants with smartphones, along with a unique </w:t>
      </w:r>
      <w:r w:rsidR="006E33F2">
        <w:rPr>
          <w:rFonts w:cs="Calibri"/>
        </w:rPr>
        <w:t>login</w:t>
      </w:r>
      <w:r w:rsidRPr="00460E29">
        <w:rPr>
          <w:rFonts w:cs="Calibri"/>
        </w:rPr>
        <w:t xml:space="preserve"> to access the survey from the device</w:t>
      </w:r>
      <w:r>
        <w:rPr>
          <w:rFonts w:cs="Calibri"/>
        </w:rPr>
        <w:t xml:space="preserve">. </w:t>
      </w:r>
    </w:p>
    <w:p w:rsidR="00AC0487" w:rsidP="00AC0487" w:rsidRDefault="00A1729F" w14:paraId="1F23ED4B" w14:textId="655CA46D">
      <w:pPr>
        <w:pStyle w:val="NormalSS"/>
      </w:pPr>
      <w:r>
        <w:rPr>
          <w:rFonts w:cs="Garamond"/>
        </w:rPr>
        <w:t xml:space="preserve">Mathematica will </w:t>
      </w:r>
      <w:r w:rsidRPr="002A6036">
        <w:rPr>
          <w:rFonts w:cs="Garamond"/>
        </w:rPr>
        <w:t xml:space="preserve">train staff on answering questions about the study, </w:t>
      </w:r>
      <w:r>
        <w:rPr>
          <w:rFonts w:cs="Garamond"/>
        </w:rPr>
        <w:t>collecting student assent,</w:t>
      </w:r>
      <w:r w:rsidRPr="002A6036">
        <w:rPr>
          <w:rFonts w:cs="Garamond"/>
        </w:rPr>
        <w:t xml:space="preserve"> </w:t>
      </w:r>
      <w:r>
        <w:rPr>
          <w:rFonts w:cs="Garamond"/>
        </w:rPr>
        <w:t xml:space="preserve">and </w:t>
      </w:r>
      <w:r w:rsidRPr="002A6036">
        <w:rPr>
          <w:rFonts w:cs="Garamond"/>
        </w:rPr>
        <w:t xml:space="preserve">administering </w:t>
      </w:r>
      <w:r>
        <w:rPr>
          <w:rFonts w:cs="Garamond"/>
        </w:rPr>
        <w:t>the follow-up survey to youth.</w:t>
      </w:r>
      <w:r>
        <w:t xml:space="preserve"> </w:t>
      </w:r>
      <w:r w:rsidR="00AC0487">
        <w:t xml:space="preserve">The evaluation team will work with sites to determine the best day, time, and location for the group </w:t>
      </w:r>
      <w:r w:rsidRPr="008A7ABE" w:rsidR="00AC0487">
        <w:t xml:space="preserve">survey </w:t>
      </w:r>
      <w:r w:rsidR="00AC0487">
        <w:t>administration. The team will begin the administration by reviewing the details of the study and obtaining youth assent.</w:t>
      </w:r>
      <w:r w:rsidRPr="00560301" w:rsidR="00560301">
        <w:rPr>
          <w:rStyle w:val="FootnoteReference"/>
        </w:rPr>
        <w:t xml:space="preserve"> </w:t>
      </w:r>
      <w:r w:rsidR="00560301">
        <w:rPr>
          <w:rStyle w:val="FootnoteReference"/>
        </w:rPr>
        <w:footnoteReference w:id="1"/>
      </w:r>
      <w:r w:rsidR="00AC0487">
        <w:t xml:space="preserve"> </w:t>
      </w:r>
      <w:r w:rsidR="00560301">
        <w:t xml:space="preserve">Any </w:t>
      </w:r>
      <w:r w:rsidR="00AC0487">
        <w:t xml:space="preserve">student </w:t>
      </w:r>
      <w:r w:rsidR="00560301">
        <w:t xml:space="preserve">who </w:t>
      </w:r>
      <w:r w:rsidR="00AC0487">
        <w:t>chooses to opt out</w:t>
      </w:r>
      <w:r w:rsidR="00560301">
        <w:t xml:space="preserve"> of the survey </w:t>
      </w:r>
      <w:r w:rsidR="00AC0487">
        <w:t xml:space="preserve">will be led to another room with students who do not have permission to participate in the study. Youth who agree to take the survey will be provided with a unique </w:t>
      </w:r>
      <w:r w:rsidR="006E33F2">
        <w:t>login</w:t>
      </w:r>
      <w:r w:rsidR="00AC0487">
        <w:t xml:space="preserve"> to access the web application</w:t>
      </w:r>
      <w:r w:rsidR="006E33F2">
        <w:t xml:space="preserve"> and will be prompted to enter a verification code, such as their </w:t>
      </w:r>
      <w:r w:rsidR="002E1A2B">
        <w:t>date of birth</w:t>
      </w:r>
      <w:r w:rsidR="006E33F2">
        <w:t>, to begin</w:t>
      </w:r>
      <w:r w:rsidR="001424BC">
        <w:t>.</w:t>
      </w:r>
      <w:r w:rsidR="00AC0487">
        <w:t xml:space="preserve"> The survey will be self-administered. Students will be instructed to begin the survey and work through </w:t>
      </w:r>
      <w:r w:rsidR="0075563B">
        <w:t>at their own pace.</w:t>
      </w:r>
      <w:r w:rsidR="00936482">
        <w:t xml:space="preserve"> </w:t>
      </w:r>
    </w:p>
    <w:p w:rsidR="002E1A2B" w:rsidP="00AC0487" w:rsidRDefault="00AC0487" w14:paraId="567FC4F3" w14:textId="46554FC7">
      <w:pPr>
        <w:pStyle w:val="NormalSS"/>
      </w:pPr>
      <w:r>
        <w:t xml:space="preserve">The survey </w:t>
      </w:r>
      <w:r w:rsidRPr="00A84C70">
        <w:t>ask</w:t>
      </w:r>
      <w:r w:rsidR="00B27E84">
        <w:t>s</w:t>
      </w:r>
      <w:r w:rsidRPr="00A84C70">
        <w:t xml:space="preserve"> all youth for </w:t>
      </w:r>
      <w:r w:rsidR="00B27E84">
        <w:t xml:space="preserve">some </w:t>
      </w:r>
      <w:r w:rsidRPr="00A84C70">
        <w:t>background information and include</w:t>
      </w:r>
      <w:r w:rsidR="00B27E84">
        <w:t>s</w:t>
      </w:r>
      <w:r w:rsidRPr="00A84C70">
        <w:t xml:space="preserve"> a screening question about sexual experience. The survey </w:t>
      </w:r>
      <w:r>
        <w:t xml:space="preserve">then </w:t>
      </w:r>
      <w:r w:rsidRPr="00A84C70">
        <w:t>route</w:t>
      </w:r>
      <w:r w:rsidR="00B27E84">
        <w:t>s</w:t>
      </w:r>
      <w:r w:rsidRPr="00A84C70">
        <w:t xml:space="preserve"> youth who report ever having sex to additional questions about sexual behavior and their use of contraceptives; those who report never having sex will be routed to other questions.</w:t>
      </w:r>
      <w:r>
        <w:t xml:space="preserve"> No personally </w:t>
      </w:r>
      <w:r w:rsidRPr="00A84C70">
        <w:t>identifying information will appear with</w:t>
      </w:r>
      <w:r>
        <w:t xml:space="preserve"> the survey. </w:t>
      </w:r>
      <w:r w:rsidRPr="002A6036">
        <w:t xml:space="preserve">A question by question list of sources for the </w:t>
      </w:r>
      <w:r w:rsidR="000E3DCE">
        <w:t xml:space="preserve">follow-up </w:t>
      </w:r>
      <w:r w:rsidRPr="002A6036">
        <w:t xml:space="preserve">survey is </w:t>
      </w:r>
      <w:r w:rsidRPr="009B309B">
        <w:t>in Attachment A, and a description of the sources refere</w:t>
      </w:r>
      <w:r w:rsidR="0075563B">
        <w:t>nced is in Attachment B</w:t>
      </w:r>
      <w:r w:rsidR="002E1A2B">
        <w:t xml:space="preserve">. </w:t>
      </w:r>
      <w:r>
        <w:t xml:space="preserve">Once they have completed the survey, </w:t>
      </w:r>
      <w:r w:rsidRPr="00A84C70">
        <w:t>youth will close the web survey application and return the smartphone to a member of the evaluation team.</w:t>
      </w:r>
      <w:r>
        <w:t xml:space="preserve"> When the survey administration is complete, Mathematica field staff will work with school staff to arrange make-up administrations </w:t>
      </w:r>
      <w:r w:rsidR="000137E8">
        <w:t xml:space="preserve">for </w:t>
      </w:r>
      <w:r>
        <w:t xml:space="preserve">any students who </w:t>
      </w:r>
      <w:r w:rsidR="000137E8">
        <w:t xml:space="preserve">were </w:t>
      </w:r>
      <w:r>
        <w:t xml:space="preserve">absent. </w:t>
      </w:r>
    </w:p>
    <w:p w:rsidR="00AC0487" w:rsidP="00AC0487" w:rsidRDefault="00A91DCC" w14:paraId="1F23ED4D" w14:textId="323ED6AC">
      <w:pPr>
        <w:pStyle w:val="NormalSS"/>
      </w:pPr>
      <w:r>
        <w:t>Students who have moved out of the area,</w:t>
      </w:r>
      <w:r w:rsidR="009E4B67">
        <w:t xml:space="preserve"> have</w:t>
      </w:r>
      <w:r>
        <w:t xml:space="preserve"> transferred to a non-study school</w:t>
      </w:r>
      <w:r w:rsidR="009E4B67">
        <w:t>,</w:t>
      </w:r>
      <w:r>
        <w:t xml:space="preserve"> or are otherwise unable to complete the survey through the in-school data collection will be sent advance letters </w:t>
      </w:r>
      <w:r w:rsidRPr="00CE717B">
        <w:t>with the information necessary to log on to the web survey and complete it on their own time</w:t>
      </w:r>
      <w:r>
        <w:t>. For those that do not respond, we will follow up with postcards, emails and texts (with permission) and phone calls. These participants will also be given the option to complete the survey over the phone with a trained Mathematica interviewer.</w:t>
      </w:r>
      <w:r w:rsidR="000A1BB4">
        <w:t xml:space="preserve"> </w:t>
      </w:r>
    </w:p>
    <w:p w:rsidRPr="002A6036" w:rsidR="00AC0487" w:rsidP="00AC0487" w:rsidRDefault="00AC0487" w14:paraId="1F23ED56" w14:textId="77777777">
      <w:pPr>
        <w:pStyle w:val="Heading2Black"/>
      </w:pPr>
      <w:bookmarkStart w:name="_Toc320884921" w:id="46"/>
      <w:bookmarkStart w:name="_Toc324845912" w:id="47"/>
      <w:bookmarkStart w:name="_Toc396921849" w:id="48"/>
      <w:bookmarkStart w:name="_Toc437596010" w:id="49"/>
      <w:bookmarkStart w:name="_Toc32309421" w:id="50"/>
      <w:r w:rsidRPr="002A6036">
        <w:t>B3.</w:t>
      </w:r>
      <w:r w:rsidRPr="002A6036">
        <w:tab/>
        <w:t>Methods to Maximize Response Rates and Deal with Non-Response</w:t>
      </w:r>
      <w:bookmarkEnd w:id="46"/>
      <w:bookmarkEnd w:id="47"/>
      <w:bookmarkEnd w:id="48"/>
      <w:bookmarkEnd w:id="49"/>
      <w:bookmarkEnd w:id="50"/>
      <w:r>
        <w:t xml:space="preserve"> </w:t>
      </w:r>
    </w:p>
    <w:p w:rsidR="006174A1" w:rsidP="009A3178" w:rsidRDefault="005477BF" w14:paraId="2D8D7A15" w14:textId="31DFAE3C">
      <w:pPr>
        <w:pStyle w:val="NormalSS"/>
        <w:rPr>
          <w:rFonts w:cs="Garamond"/>
        </w:rPr>
      </w:pPr>
      <w:r>
        <w:rPr>
          <w:rFonts w:cs="Garamond-Bold"/>
          <w:bCs/>
        </w:rPr>
        <w:t xml:space="preserve">To date, </w:t>
      </w:r>
      <w:r w:rsidR="001D41C6">
        <w:rPr>
          <w:rFonts w:cs="Garamond-Bold"/>
          <w:bCs/>
        </w:rPr>
        <w:t xml:space="preserve">follow up survey </w:t>
      </w:r>
      <w:r>
        <w:rPr>
          <w:rFonts w:cs="Garamond-Bold"/>
          <w:bCs/>
        </w:rPr>
        <w:t xml:space="preserve">response rates </w:t>
      </w:r>
      <w:r w:rsidR="001D41C6">
        <w:rPr>
          <w:rFonts w:cs="Garamond-Bold"/>
          <w:bCs/>
        </w:rPr>
        <w:t>are</w:t>
      </w:r>
      <w:r w:rsidR="00B55736">
        <w:rPr>
          <w:rFonts w:cs="Garamond-Bold"/>
          <w:bCs/>
        </w:rPr>
        <w:t xml:space="preserve"> </w:t>
      </w:r>
      <w:r w:rsidR="001C06D5">
        <w:rPr>
          <w:rFonts w:cs="Garamond-Bold"/>
          <w:bCs/>
        </w:rPr>
        <w:t xml:space="preserve">86 percent, which is aligned with similar </w:t>
      </w:r>
      <w:r w:rsidR="000A1BB4">
        <w:rPr>
          <w:rFonts w:cs="Garamond-Bold"/>
          <w:bCs/>
        </w:rPr>
        <w:t>evaluations</w:t>
      </w:r>
      <w:r w:rsidR="001C06D5">
        <w:rPr>
          <w:rFonts w:cs="Garamond-Bold"/>
          <w:bCs/>
        </w:rPr>
        <w:t xml:space="preserve"> with mobile populations in urban areas. We expect that our response rates during the extension period, where we are working in 7 of our 15 schools, will remain the same.</w:t>
      </w:r>
      <w:r w:rsidR="000A1BB4">
        <w:rPr>
          <w:rFonts w:cs="Garamond-Bold"/>
          <w:bCs/>
        </w:rPr>
        <w:t xml:space="preserve"> </w:t>
      </w:r>
      <w:r w:rsidR="00E273C6">
        <w:rPr>
          <w:rFonts w:cs="Garamond"/>
        </w:rPr>
        <w:t>(see Section B.1)</w:t>
      </w:r>
      <w:r w:rsidR="00AC0487">
        <w:rPr>
          <w:rFonts w:cs="Garamond"/>
        </w:rPr>
        <w:t xml:space="preserve">. </w:t>
      </w:r>
    </w:p>
    <w:p w:rsidR="00660F62" w:rsidP="00660F62" w:rsidRDefault="00660F62" w14:paraId="08079468" w14:textId="77777777">
      <w:pPr>
        <w:pStyle w:val="NormalSS"/>
        <w:jc w:val="left"/>
      </w:pPr>
      <w:r>
        <w:t xml:space="preserve">Mathematica </w:t>
      </w:r>
      <w:r>
        <w:rPr>
          <w:rFonts w:cs="Garamond"/>
        </w:rPr>
        <w:t xml:space="preserve">staff will work with the school to schedule the date and time of the follow-up survey, and to ensure that it does not conflict with any activities that are required or that students might find more desirable (i.e., lunch, field trip). </w:t>
      </w:r>
      <w:r>
        <w:t xml:space="preserve">Prior to administration, the evaluation team will work closely with school contacts to locate respondents in their new classrooms. To maximize attendance, team members will ask schools to post reminders and make announcements prior to and on the day of the survey. Before beginning the administration, Mathematica staff will take attendance and follow up immediately with the school contact regarding any unexpected absentees. </w:t>
      </w:r>
    </w:p>
    <w:p w:rsidR="003103CD" w:rsidP="003103CD" w:rsidRDefault="00660F62" w14:paraId="6936A7A6" w14:textId="15FD5F42">
      <w:pPr>
        <w:pStyle w:val="NormalSS"/>
      </w:pPr>
      <w:r>
        <w:t xml:space="preserve">As in the baseline process, </w:t>
      </w:r>
      <w:r>
        <w:rPr>
          <w:rFonts w:cs="Garamond"/>
        </w:rPr>
        <w:t>to help attain high response rates,</w:t>
      </w:r>
      <w:r>
        <w:t xml:space="preserve"> f</w:t>
      </w:r>
      <w:r w:rsidRPr="00B73312">
        <w:rPr>
          <w:rFonts w:cs="Garamond"/>
        </w:rPr>
        <w:t>ield staff will collaborate with each site to arrange additional make-up sessions for students who are absent on the initial day of the survey.</w:t>
      </w:r>
      <w:r>
        <w:rPr>
          <w:rFonts w:cs="Garamond"/>
        </w:rPr>
        <w:t xml:space="preserve"> In addition, </w:t>
      </w:r>
      <w:r>
        <w:t xml:space="preserve">participants who were unable to complete the survey during the in-school data collection will be sent advance letters, postcards, </w:t>
      </w:r>
      <w:r w:rsidR="003103CD">
        <w:t>emails</w:t>
      </w:r>
      <w:r>
        <w:t>,</w:t>
      </w:r>
      <w:r w:rsidR="003103CD">
        <w:t xml:space="preserve"> and texts (with permission) </w:t>
      </w:r>
      <w:r>
        <w:t>that include</w:t>
      </w:r>
      <w:r w:rsidR="003103CD">
        <w:t xml:space="preserve"> instructions for logging on to the web survey and completing it online, at a time convenient for them. These participants will also be given the option to complete the survey over the phone with a trained Mathematica interviewer. </w:t>
      </w:r>
    </w:p>
    <w:p w:rsidR="00904057" w:rsidP="006A5550" w:rsidRDefault="00904057" w14:paraId="32CB42A0" w14:textId="4CC87540">
      <w:pPr>
        <w:pStyle w:val="NormalSS"/>
      </w:pPr>
      <w:r>
        <w:t xml:space="preserve">When students complete the follow-up survey, they will receive a small gift of </w:t>
      </w:r>
      <w:r w:rsidRPr="00A84C70">
        <w:t>appr</w:t>
      </w:r>
      <w:r w:rsidR="00660F62">
        <w:t>eciation (</w:t>
      </w:r>
      <w:r w:rsidR="00E2107E">
        <w:t>f</w:t>
      </w:r>
      <w:r w:rsidR="003459EC">
        <w:t>or in school group administrations, a non-monetary in</w:t>
      </w:r>
      <w:r w:rsidR="00CF61B9">
        <w:t>centive valued at $5 and for out</w:t>
      </w:r>
      <w:r w:rsidR="003459EC">
        <w:t xml:space="preserve">-of school administrations, a </w:t>
      </w:r>
      <w:r w:rsidR="00660F62">
        <w:t>$</w:t>
      </w:r>
      <w:r w:rsidR="003459EC">
        <w:t xml:space="preserve">10 </w:t>
      </w:r>
      <w:r w:rsidR="00660F62">
        <w:t>gift card</w:t>
      </w:r>
      <w:r w:rsidR="0019132F">
        <w:t xml:space="preserve">). </w:t>
      </w:r>
    </w:p>
    <w:p w:rsidRPr="00F1135C" w:rsidR="009A3178" w:rsidP="006A5550" w:rsidRDefault="00AC0487" w14:paraId="1146E35F" w14:textId="382D0CF7">
      <w:pPr>
        <w:pStyle w:val="NormalSS"/>
      </w:pPr>
      <w:r w:rsidRPr="00666AF9">
        <w:t xml:space="preserve">In addition, we expect that the site’s </w:t>
      </w:r>
      <w:r w:rsidR="00861D60">
        <w:t xml:space="preserve">continued </w:t>
      </w:r>
      <w:r w:rsidRPr="00666AF9">
        <w:t>willing assistance will be very important to maximizing the response rate</w:t>
      </w:r>
      <w:r w:rsidR="008F466B">
        <w:t>s</w:t>
      </w:r>
      <w:r w:rsidRPr="00666AF9">
        <w:t xml:space="preserve">; we will therefore invest significant effort in </w:t>
      </w:r>
      <w:r w:rsidR="009811BF">
        <w:t xml:space="preserve">maintaining </w:t>
      </w:r>
      <w:r w:rsidR="00861D60">
        <w:t xml:space="preserve">positive relationships </w:t>
      </w:r>
      <w:r w:rsidR="009811BF">
        <w:t xml:space="preserve">to </w:t>
      </w:r>
      <w:r w:rsidRPr="00666AF9">
        <w:t>minimiz</w:t>
      </w:r>
      <w:r w:rsidR="009811BF">
        <w:t>e</w:t>
      </w:r>
      <w:r w:rsidRPr="00666AF9">
        <w:t xml:space="preserve"> burden on </w:t>
      </w:r>
      <w:r w:rsidR="00861D60">
        <w:t xml:space="preserve">the </w:t>
      </w:r>
      <w:r w:rsidRPr="00666AF9">
        <w:t>sites</w:t>
      </w:r>
      <w:r w:rsidR="00D315DF">
        <w:t xml:space="preserve"> and assure</w:t>
      </w:r>
      <w:r w:rsidRPr="00666AF9">
        <w:t xml:space="preserve"> privacy to the youth participants.</w:t>
      </w:r>
      <w:r w:rsidR="00904057">
        <w:t xml:space="preserve"> By applying identical methods for maximizing the response rates of the treatment and control groups, the evaluation team does not anticipate differences in response rates across research groups.</w:t>
      </w:r>
      <w:r w:rsidRPr="00666AF9">
        <w:t xml:space="preserve"> </w:t>
      </w:r>
    </w:p>
    <w:p w:rsidRPr="00AB4B33" w:rsidR="00AC0487" w:rsidP="000A1BB4" w:rsidRDefault="009A3178" w14:paraId="1F23ED59" w14:textId="556E36CE">
      <w:pPr>
        <w:pStyle w:val="NormalSS"/>
        <w:rPr>
          <w:rFonts w:cs="Garamond"/>
        </w:rPr>
      </w:pPr>
      <w:r>
        <w:t xml:space="preserve">The evaluation team anticipates high response rates to follow-up surveys. Even so, the team will take steps to understand the nature of any non-response and to account for the threat it may pose </w:t>
      </w:r>
      <w:r w:rsidR="00D315DF">
        <w:t xml:space="preserve">to </w:t>
      </w:r>
      <w:r>
        <w:t>the validity of the study’s impact estimates</w:t>
      </w:r>
      <w:r w:rsidRPr="00381FE6">
        <w:t>.</w:t>
      </w:r>
      <w:r>
        <w:t xml:space="preserve"> Using data from the baseline survey, evaluation team members will first test for statistically significant differences across demographic and baseline outcome variables between </w:t>
      </w:r>
      <w:r w:rsidR="009F6772">
        <w:t xml:space="preserve">the treatment and control group members who are follow-up </w:t>
      </w:r>
      <w:r>
        <w:t>respondents and control for these differences using covariates when estimating program impacts</w:t>
      </w:r>
      <w:r w:rsidRPr="00843898">
        <w:t xml:space="preserve"> (</w:t>
      </w:r>
      <w:r w:rsidR="005E33E4">
        <w:t>see Attachment E</w:t>
      </w:r>
      <w:r w:rsidRPr="00843898">
        <w:t xml:space="preserve">). </w:t>
      </w:r>
    </w:p>
    <w:p w:rsidRPr="002A6036" w:rsidR="00AC0487" w:rsidP="00AC0487" w:rsidRDefault="00AC0487" w14:paraId="1F23ED5A" w14:textId="2DBCC257">
      <w:pPr>
        <w:pStyle w:val="Heading2Black"/>
      </w:pPr>
      <w:bookmarkStart w:name="_Toc320884922" w:id="51"/>
      <w:bookmarkStart w:name="_Toc324845913" w:id="52"/>
      <w:bookmarkStart w:name="_Toc396921850" w:id="53"/>
      <w:bookmarkStart w:name="_Toc437596011" w:id="54"/>
      <w:bookmarkStart w:name="_Toc32309422" w:id="55"/>
      <w:r w:rsidRPr="002A6036">
        <w:t>B4.</w:t>
      </w:r>
      <w:r w:rsidRPr="002A6036">
        <w:tab/>
        <w:t>Test of Procedures or Methods to be Undertaken</w:t>
      </w:r>
      <w:bookmarkEnd w:id="51"/>
      <w:bookmarkEnd w:id="52"/>
      <w:bookmarkEnd w:id="53"/>
      <w:bookmarkEnd w:id="54"/>
      <w:bookmarkEnd w:id="55"/>
    </w:p>
    <w:p w:rsidR="00AC0487" w:rsidP="00F278F7" w:rsidRDefault="00AC0487" w14:paraId="1F23ED5B" w14:textId="44120506">
      <w:pPr>
        <w:pStyle w:val="NormalSS"/>
      </w:pPr>
      <w:r>
        <w:t>O</w:t>
      </w:r>
      <w:r w:rsidR="00A05FC2">
        <w:t>P</w:t>
      </w:r>
      <w:r>
        <w:t xml:space="preserve">A and other offices within HHS (OPRE, ASPE) have made it a priority to align measures in the </w:t>
      </w:r>
      <w:r w:rsidR="00904057">
        <w:t xml:space="preserve">follow-up </w:t>
      </w:r>
      <w:r>
        <w:t xml:space="preserve">survey across evaluations of similar programs and populations. </w:t>
      </w:r>
      <w:r w:rsidRPr="00254CCF" w:rsidR="00925E6C">
        <w:t xml:space="preserve">Many of the items on the </w:t>
      </w:r>
      <w:r w:rsidR="00925E6C">
        <w:t>follow-up</w:t>
      </w:r>
      <w:r w:rsidRPr="00254CCF" w:rsidR="00925E6C">
        <w:t xml:space="preserve"> survey</w:t>
      </w:r>
      <w:r w:rsidR="00925E6C">
        <w:rPr>
          <w:rStyle w:val="FootnoteReference"/>
        </w:rPr>
        <w:footnoteReference w:id="2"/>
      </w:r>
      <w:r w:rsidR="00925E6C">
        <w:t xml:space="preserve"> are identi</w:t>
      </w:r>
      <w:r w:rsidR="00D315DF">
        <w:t>cal to the items in the already-</w:t>
      </w:r>
      <w:r w:rsidR="00925E6C">
        <w:t xml:space="preserve">approved baseline survey instrument (OMB Control Number </w:t>
      </w:r>
      <w:r w:rsidR="006A5550">
        <w:t>0990-0452</w:t>
      </w:r>
      <w:r w:rsidR="00DA4B2C">
        <w:t xml:space="preserve">). </w:t>
      </w:r>
      <w:r w:rsidR="00925E6C">
        <w:t>These items are similar to</w:t>
      </w:r>
      <w:r w:rsidR="00D315DF">
        <w:t xml:space="preserve"> those in </w:t>
      </w:r>
      <w:r w:rsidRPr="00254CCF" w:rsidR="00925E6C">
        <w:t xml:space="preserve">surveys OMB has already approved for use </w:t>
      </w:r>
      <w:r w:rsidR="00925E6C">
        <w:t xml:space="preserve">in comparable evaluations, including </w:t>
      </w:r>
      <w:r w:rsidR="00F43968">
        <w:t>t</w:t>
      </w:r>
      <w:r w:rsidRPr="00254CCF" w:rsidR="00925E6C">
        <w:t>he ongoing Evaluation of Adolescent Pregnancy Prevention Approaches (PPA</w:t>
      </w:r>
      <w:r w:rsidR="00A7666E">
        <w:t xml:space="preserve">-OMB Control Number </w:t>
      </w:r>
      <w:r w:rsidRPr="00903ABB" w:rsidR="00A7666E">
        <w:t>0990-0382</w:t>
      </w:r>
      <w:r w:rsidRPr="00254CCF" w:rsidR="00925E6C">
        <w:t>), the Teen Pregnan</w:t>
      </w:r>
      <w:r w:rsidR="00925E6C">
        <w:t>cy Prevention Replication Study</w:t>
      </w:r>
      <w:r w:rsidR="00672E94">
        <w:t xml:space="preserve"> (OMB Control Number 0990-0397)</w:t>
      </w:r>
      <w:r w:rsidR="00925E6C">
        <w:t xml:space="preserve">, </w:t>
      </w:r>
      <w:r w:rsidRPr="00254CCF" w:rsidR="00925E6C">
        <w:t>the Personal Responsibility Education Program (PREP</w:t>
      </w:r>
      <w:r w:rsidR="00D315DF">
        <w:t xml:space="preserve">) </w:t>
      </w:r>
      <w:r w:rsidRPr="00254CCF" w:rsidR="00925E6C">
        <w:t>Multi-Component Evaluation</w:t>
      </w:r>
      <w:r w:rsidR="00D315DF">
        <w:t xml:space="preserve"> (OMB Control Number 0970-0398</w:t>
      </w:r>
      <w:r w:rsidRPr="00254CCF" w:rsidR="00D315DF">
        <w:t>)</w:t>
      </w:r>
      <w:r w:rsidR="00925E6C">
        <w:t xml:space="preserve">, and the Pregnancy Assistance Fund </w:t>
      </w:r>
      <w:r w:rsidR="00A955F8">
        <w:t xml:space="preserve">Study </w:t>
      </w:r>
      <w:r w:rsidR="00925E6C">
        <w:t>(PAF - OMB Control Number 0990-0424 for baseline survey)</w:t>
      </w:r>
      <w:r w:rsidR="00F43968">
        <w:t>.</w:t>
      </w:r>
    </w:p>
    <w:p w:rsidR="00AC0487" w:rsidP="00AC0487" w:rsidRDefault="00AC0487" w14:paraId="1F23ED5C" w14:textId="6A4CC89E">
      <w:pPr>
        <w:pStyle w:val="NormalSS"/>
      </w:pPr>
      <w:r>
        <w:t xml:space="preserve">Mathematica </w:t>
      </w:r>
      <w:r w:rsidR="0091006B">
        <w:t xml:space="preserve">has </w:t>
      </w:r>
      <w:r w:rsidR="001508EF">
        <w:t>conduct</w:t>
      </w:r>
      <w:r w:rsidR="0091006B">
        <w:t>ed</w:t>
      </w:r>
      <w:r w:rsidR="001508EF">
        <w:t xml:space="preserve"> pretests of the follow-up survey with up to nine youth. The pretests </w:t>
      </w:r>
      <w:r w:rsidR="0091006B">
        <w:t>focused</w:t>
      </w:r>
      <w:r w:rsidR="001508EF">
        <w:t xml:space="preserve"> </w:t>
      </w:r>
      <w:r w:rsidR="00AE15EA">
        <w:t xml:space="preserve">primarily </w:t>
      </w:r>
      <w:r w:rsidR="001508EF">
        <w:t>on new items</w:t>
      </w:r>
      <w:r w:rsidR="00A7666E">
        <w:t xml:space="preserve"> not included on the baseline</w:t>
      </w:r>
      <w:r w:rsidR="001508EF">
        <w:t xml:space="preserve">, and are designed to </w:t>
      </w:r>
      <w:r w:rsidRPr="000D126C">
        <w:t xml:space="preserve">ensure that questions are understandable, use language </w:t>
      </w:r>
      <w:r>
        <w:t xml:space="preserve">and terms </w:t>
      </w:r>
      <w:r w:rsidRPr="000D126C">
        <w:t>familiar to respondents, and are consistent with the concepts they aim to measure</w:t>
      </w:r>
      <w:r w:rsidR="004603C8">
        <w:t xml:space="preserve">. The pretest </w:t>
      </w:r>
      <w:r w:rsidR="0091006B">
        <w:t xml:space="preserve">was designed to </w:t>
      </w:r>
      <w:r w:rsidR="004603C8">
        <w:t xml:space="preserve">help us (1) </w:t>
      </w:r>
      <w:r w:rsidRPr="000D126C">
        <w:t xml:space="preserve">identify typical instrumentation problems such as question wording and incomplete or inappropriate response categories; </w:t>
      </w:r>
      <w:r w:rsidR="004603C8">
        <w:t xml:space="preserve">(2) </w:t>
      </w:r>
      <w:r w:rsidRPr="000D126C">
        <w:t xml:space="preserve">measure the response burden; and </w:t>
      </w:r>
      <w:r w:rsidR="004603C8">
        <w:t xml:space="preserve">(3) </w:t>
      </w:r>
      <w:r w:rsidRPr="000D126C">
        <w:t>confirm that there are no unforeseen difficulties in administering the instrument</w:t>
      </w:r>
      <w:r>
        <w:t xml:space="preserve">. Youth </w:t>
      </w:r>
      <w:r w:rsidR="0091006B">
        <w:t>were</w:t>
      </w:r>
      <w:r w:rsidR="00AE15EA">
        <w:t xml:space="preserve"> selected who are </w:t>
      </w:r>
      <w:r>
        <w:t xml:space="preserve">similar to those in the expected study population (early high school). </w:t>
      </w:r>
      <w:r w:rsidR="005F1D43">
        <w:t xml:space="preserve">Mathematica </w:t>
      </w:r>
      <w:r w:rsidR="00AE15EA">
        <w:t>collect</w:t>
      </w:r>
      <w:r w:rsidR="0091006B">
        <w:t>ed</w:t>
      </w:r>
      <w:r w:rsidR="00AE15EA">
        <w:t xml:space="preserve"> </w:t>
      </w:r>
      <w:r>
        <w:t xml:space="preserve">parental </w:t>
      </w:r>
      <w:r w:rsidR="005F1D43">
        <w:t xml:space="preserve">consent and child assent </w:t>
      </w:r>
      <w:r>
        <w:t xml:space="preserve">for </w:t>
      </w:r>
      <w:r w:rsidR="00AE15EA">
        <w:t xml:space="preserve">youth </w:t>
      </w:r>
      <w:r w:rsidR="005F1D43">
        <w:t xml:space="preserve">who </w:t>
      </w:r>
      <w:r>
        <w:t>participate</w:t>
      </w:r>
      <w:r w:rsidR="0091006B">
        <w:t>d</w:t>
      </w:r>
      <w:r>
        <w:t xml:space="preserve"> in the pretest</w:t>
      </w:r>
      <w:r w:rsidR="00AE15EA">
        <w:t xml:space="preserve">. The pretest </w:t>
      </w:r>
      <w:r w:rsidR="0091006B">
        <w:t>was</w:t>
      </w:r>
      <w:r w:rsidR="00AE15EA">
        <w:t xml:space="preserve"> </w:t>
      </w:r>
      <w:r>
        <w:t>administer</w:t>
      </w:r>
      <w:r w:rsidR="005F1D43">
        <w:t>ed</w:t>
      </w:r>
      <w:r>
        <w:t xml:space="preserve"> using a hard</w:t>
      </w:r>
      <w:r w:rsidR="005F1D43">
        <w:t>-</w:t>
      </w:r>
      <w:r>
        <w:t xml:space="preserve">copy, paper version of the survey, </w:t>
      </w:r>
      <w:r w:rsidR="00AE15EA">
        <w:t xml:space="preserve">and trained staff </w:t>
      </w:r>
      <w:r w:rsidR="00F1135C">
        <w:t>debrief</w:t>
      </w:r>
      <w:r w:rsidR="0091006B">
        <w:t>ed</w:t>
      </w:r>
      <w:r w:rsidR="00F1135C">
        <w:t xml:space="preserve"> with respondents</w:t>
      </w:r>
      <w:r>
        <w:t xml:space="preserve">. </w:t>
      </w:r>
    </w:p>
    <w:p w:rsidR="00AC0487" w:rsidP="00AC0487" w:rsidRDefault="00A05FC2" w14:paraId="1F23ED5D" w14:textId="08EE43D8">
      <w:pPr>
        <w:pStyle w:val="NormalSS"/>
      </w:pPr>
      <w:r>
        <w:t xml:space="preserve">Prior to launching follow up data collection, </w:t>
      </w:r>
      <w:r w:rsidR="00AC0487">
        <w:t xml:space="preserve">Mathematica staff </w:t>
      </w:r>
      <w:r>
        <w:t>tested</w:t>
      </w:r>
      <w:r w:rsidR="00AC0487">
        <w:t xml:space="preserve"> the web survey </w:t>
      </w:r>
      <w:r w:rsidR="00185D22">
        <w:t xml:space="preserve">thoroughly </w:t>
      </w:r>
      <w:r w:rsidR="00AC0487">
        <w:t xml:space="preserve">to ensure that all paths are working correctly and </w:t>
      </w:r>
      <w:r w:rsidR="00185D22">
        <w:t xml:space="preserve">that </w:t>
      </w:r>
      <w:r w:rsidR="00AC0487">
        <w:t xml:space="preserve">respondents </w:t>
      </w:r>
      <w:r w:rsidR="00185D22">
        <w:t xml:space="preserve">are </w:t>
      </w:r>
      <w:r w:rsidR="00AC0487">
        <w:t>routed only to those questions that are appropr</w:t>
      </w:r>
      <w:r w:rsidR="00B86658">
        <w:t>iate, based on their responses.</w:t>
      </w:r>
    </w:p>
    <w:p w:rsidR="00AC0487" w:rsidP="00AC0487" w:rsidRDefault="00AC0487" w14:paraId="1F23ED5F" w14:textId="77777777">
      <w:pPr>
        <w:pStyle w:val="Heading2Black"/>
      </w:pPr>
      <w:bookmarkStart w:name="_Toc320884923" w:id="56"/>
      <w:bookmarkStart w:name="_Toc324845914" w:id="57"/>
      <w:bookmarkStart w:name="_Toc352328731" w:id="58"/>
      <w:bookmarkStart w:name="_Toc353957900" w:id="59"/>
      <w:bookmarkStart w:name="_Toc355704764" w:id="60"/>
      <w:bookmarkStart w:name="_Toc437596012" w:id="61"/>
      <w:bookmarkStart w:name="_Toc32309423" w:id="62"/>
      <w:r>
        <w:t>B5.</w:t>
      </w:r>
      <w:r>
        <w:tab/>
      </w:r>
      <w:r w:rsidRPr="000C3568">
        <w:t>Individuals Consulted on Statistical Aspects and Individuals Collecting and/or Analyzing Data</w:t>
      </w:r>
      <w:bookmarkEnd w:id="56"/>
      <w:bookmarkEnd w:id="57"/>
      <w:bookmarkEnd w:id="58"/>
      <w:bookmarkEnd w:id="59"/>
      <w:bookmarkEnd w:id="60"/>
      <w:bookmarkEnd w:id="61"/>
      <w:bookmarkEnd w:id="62"/>
      <w:r>
        <w:t xml:space="preserve"> </w:t>
      </w:r>
    </w:p>
    <w:p w:rsidR="00BE3720" w:rsidP="008B39F0" w:rsidRDefault="00AE15EA" w14:paraId="790B5B9A" w14:textId="5ED341B1">
      <w:pPr>
        <w:pStyle w:val="NormalSS"/>
        <w:rPr>
          <w:rFonts w:eastAsia="Lucida Sans"/>
        </w:rPr>
      </w:pPr>
      <w:r>
        <w:t>F</w:t>
      </w:r>
      <w:r w:rsidRPr="00AC0487" w:rsidR="00AC0487">
        <w:t>ollow-up survey data for the impact study will be collected and analyzed by O</w:t>
      </w:r>
      <w:r w:rsidR="00A05FC2">
        <w:t>P</w:t>
      </w:r>
      <w:r w:rsidRPr="00AC0487" w:rsidR="00AC0487">
        <w:t>A’s prime contracting organization, Mathematica.</w:t>
      </w:r>
      <w:r w:rsidRPr="003A241E" w:rsidR="00AC0487">
        <w:t xml:space="preserve"> </w:t>
      </w:r>
      <w:r w:rsidR="005D3DDA">
        <w:t>O</w:t>
      </w:r>
      <w:r w:rsidR="00A05FC2">
        <w:t>P</w:t>
      </w:r>
      <w:r w:rsidR="005D3DDA">
        <w:t>A consulted with the following</w:t>
      </w:r>
      <w:r w:rsidR="00AC0487">
        <w:t xml:space="preserve"> individuals on </w:t>
      </w:r>
      <w:r>
        <w:t xml:space="preserve">follow-up </w:t>
      </w:r>
      <w:r w:rsidR="00AC0487">
        <w:t xml:space="preserve">instrument development, and </w:t>
      </w:r>
      <w:r w:rsidR="00AE7F2B">
        <w:t xml:space="preserve">on </w:t>
      </w:r>
      <w:r w:rsidR="00AC0487">
        <w:t>the data collection and analysis plan.</w:t>
      </w:r>
      <w:r w:rsidR="00BE3720">
        <w:rPr>
          <w:rFonts w:eastAsia="Lucida Sans"/>
        </w:rPr>
        <w:br w:type="page"/>
      </w:r>
    </w:p>
    <w:p w:rsidRPr="00BE3720" w:rsidR="005D3DDA" w:rsidP="00BE3720" w:rsidRDefault="005D3DDA" w14:paraId="3FB99F96" w14:textId="2BD081AC">
      <w:pPr>
        <w:pStyle w:val="NormalSScontinued"/>
        <w:rPr>
          <w:rFonts w:eastAsia="Lucida Sans"/>
          <w:b/>
        </w:rPr>
      </w:pPr>
      <w:r w:rsidRPr="00BE3720">
        <w:rPr>
          <w:rFonts w:eastAsia="Lucida Sans"/>
          <w:b/>
        </w:rPr>
        <w:t>For follow-up survey development and impact analysis:</w:t>
      </w: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15" w:type="dxa"/>
          <w:bottom w:w="115" w:type="dxa"/>
          <w:right w:w="115" w:type="dxa"/>
        </w:tblCellMar>
        <w:tblLook w:val="04A0" w:firstRow="1" w:lastRow="0" w:firstColumn="1" w:lastColumn="0" w:noHBand="0" w:noVBand="1"/>
      </w:tblPr>
      <w:tblGrid>
        <w:gridCol w:w="4680"/>
        <w:gridCol w:w="4680"/>
      </w:tblGrid>
      <w:tr w:rsidRPr="004B62F8" w:rsidR="00EA1BE6" w:rsidTr="004B62F8" w14:paraId="063F1A6A" w14:textId="77777777">
        <w:tc>
          <w:tcPr>
            <w:tcW w:w="2500" w:type="pct"/>
          </w:tcPr>
          <w:p w:rsidRPr="004B62F8" w:rsidR="00EA1BE6" w:rsidP="004B62F8" w:rsidRDefault="00EA1BE6" w14:paraId="55D021D5" w14:textId="77777777">
            <w:pPr>
              <w:pStyle w:val="TableText"/>
              <w:numPr>
                <w:ilvl w:val="0"/>
                <w:numId w:val="16"/>
              </w:numPr>
              <w:rPr>
                <w:rFonts w:ascii="Garamond" w:hAnsi="Garamond" w:eastAsia="Lucida Sans"/>
                <w:sz w:val="22"/>
                <w:szCs w:val="22"/>
              </w:rPr>
            </w:pPr>
            <w:r w:rsidRPr="004B62F8">
              <w:rPr>
                <w:rFonts w:ascii="Garamond" w:hAnsi="Garamond" w:eastAsia="Lucida Sans"/>
                <w:sz w:val="22"/>
                <w:szCs w:val="22"/>
              </w:rPr>
              <w:t>Russ Cole</w:t>
            </w:r>
          </w:p>
          <w:p w:rsidRPr="004B62F8" w:rsidR="00EA1BE6" w:rsidP="004B62F8" w:rsidRDefault="00EA1BE6" w14:paraId="2CAEBABA" w14:textId="77777777">
            <w:pPr>
              <w:pStyle w:val="TableText"/>
              <w:ind w:left="360"/>
              <w:rPr>
                <w:rFonts w:ascii="Garamond" w:hAnsi="Garamond" w:eastAsia="Lucida Sans"/>
                <w:sz w:val="22"/>
                <w:szCs w:val="22"/>
              </w:rPr>
            </w:pPr>
            <w:r w:rsidRPr="004B62F8">
              <w:rPr>
                <w:rFonts w:ascii="Garamond" w:hAnsi="Garamond" w:eastAsia="Lucida Sans"/>
                <w:sz w:val="22"/>
                <w:szCs w:val="22"/>
              </w:rPr>
              <w:t xml:space="preserve">Mathematica </w:t>
            </w:r>
          </w:p>
          <w:p w:rsidRPr="004B62F8" w:rsidR="00EA1BE6" w:rsidP="004B62F8" w:rsidRDefault="00EA1BE6" w14:paraId="463E3CF3" w14:textId="77777777">
            <w:pPr>
              <w:pStyle w:val="TableText"/>
              <w:ind w:left="360"/>
              <w:rPr>
                <w:rFonts w:ascii="Garamond" w:hAnsi="Garamond" w:eastAsia="Lucida Sans"/>
                <w:sz w:val="22"/>
                <w:szCs w:val="22"/>
              </w:rPr>
            </w:pPr>
            <w:r w:rsidRPr="004B62F8">
              <w:rPr>
                <w:rFonts w:ascii="Garamond" w:hAnsi="Garamond" w:eastAsia="Lucida Sans"/>
                <w:sz w:val="22"/>
                <w:szCs w:val="22"/>
              </w:rPr>
              <w:t>P.O. Box 2393</w:t>
            </w:r>
          </w:p>
          <w:p w:rsidRPr="004B62F8" w:rsidR="00EA1BE6" w:rsidP="004B62F8" w:rsidRDefault="00EA1BE6" w14:paraId="5CB505C6" w14:textId="77777777">
            <w:pPr>
              <w:pStyle w:val="TableText"/>
              <w:ind w:left="360"/>
              <w:rPr>
                <w:rFonts w:ascii="Garamond" w:hAnsi="Garamond" w:eastAsia="Lucida Sans"/>
                <w:sz w:val="22"/>
                <w:szCs w:val="22"/>
              </w:rPr>
            </w:pPr>
            <w:r w:rsidRPr="004B62F8">
              <w:rPr>
                <w:rFonts w:ascii="Garamond" w:hAnsi="Garamond" w:eastAsia="Lucida Sans"/>
                <w:sz w:val="22"/>
                <w:szCs w:val="22"/>
              </w:rPr>
              <w:t>Princeton, NJ 084543-2393</w:t>
            </w:r>
          </w:p>
          <w:p w:rsidRPr="004B62F8" w:rsidR="00EA1BE6" w:rsidP="00EA1BE6" w:rsidRDefault="00EA1BE6" w14:paraId="79084B5C" w14:textId="27AB726B">
            <w:pPr>
              <w:pStyle w:val="TableText"/>
              <w:ind w:firstLine="330"/>
              <w:rPr>
                <w:rFonts w:ascii="Garamond" w:hAnsi="Garamond" w:eastAsia="Lucida Sans"/>
                <w:sz w:val="22"/>
                <w:szCs w:val="22"/>
              </w:rPr>
            </w:pPr>
            <w:r w:rsidRPr="004B62F8">
              <w:rPr>
                <w:rFonts w:ascii="Garamond" w:hAnsi="Garamond" w:eastAsia="Lucida Sans"/>
                <w:sz w:val="22"/>
                <w:szCs w:val="22"/>
              </w:rPr>
              <w:t>(609) 716-4549</w:t>
            </w:r>
          </w:p>
        </w:tc>
        <w:tc>
          <w:tcPr>
            <w:tcW w:w="2500" w:type="pct"/>
          </w:tcPr>
          <w:p w:rsidRPr="004B62F8" w:rsidR="00EA1BE6" w:rsidP="004B62F8" w:rsidRDefault="00EA1BE6" w14:paraId="283DB2CB" w14:textId="77777777">
            <w:pPr>
              <w:pStyle w:val="TableText"/>
              <w:numPr>
                <w:ilvl w:val="0"/>
                <w:numId w:val="16"/>
              </w:numPr>
              <w:rPr>
                <w:rFonts w:ascii="Garamond" w:hAnsi="Garamond" w:eastAsia="Lucida Sans"/>
                <w:sz w:val="22"/>
                <w:szCs w:val="22"/>
              </w:rPr>
            </w:pPr>
            <w:r w:rsidRPr="004B62F8">
              <w:rPr>
                <w:rFonts w:ascii="Garamond" w:hAnsi="Garamond" w:eastAsia="Lucida Sans"/>
                <w:sz w:val="22"/>
                <w:szCs w:val="22"/>
              </w:rPr>
              <w:t>Matthew Stagner</w:t>
            </w:r>
          </w:p>
          <w:p w:rsidRPr="004B62F8" w:rsidR="00EA1BE6" w:rsidP="004B62F8" w:rsidRDefault="00EA1BE6" w14:paraId="6200EE16" w14:textId="77777777">
            <w:pPr>
              <w:pStyle w:val="TableText"/>
              <w:ind w:left="360"/>
              <w:rPr>
                <w:rFonts w:ascii="Garamond" w:hAnsi="Garamond" w:eastAsia="Lucida Sans"/>
                <w:sz w:val="22"/>
                <w:szCs w:val="22"/>
              </w:rPr>
            </w:pPr>
            <w:r w:rsidRPr="004B62F8">
              <w:rPr>
                <w:rFonts w:ascii="Garamond" w:hAnsi="Garamond" w:eastAsia="Lucida Sans"/>
                <w:sz w:val="22"/>
                <w:szCs w:val="22"/>
              </w:rPr>
              <w:t xml:space="preserve">Mathematica </w:t>
            </w:r>
          </w:p>
          <w:p w:rsidRPr="004B62F8" w:rsidR="00EA1BE6" w:rsidP="004B62F8" w:rsidRDefault="00EA1BE6" w14:paraId="58BAA1C0" w14:textId="77777777">
            <w:pPr>
              <w:pStyle w:val="TableText"/>
              <w:ind w:left="360"/>
              <w:rPr>
                <w:rFonts w:ascii="Garamond" w:hAnsi="Garamond" w:eastAsia="Lucida Sans"/>
                <w:sz w:val="22"/>
                <w:szCs w:val="22"/>
              </w:rPr>
            </w:pPr>
            <w:r w:rsidRPr="004B62F8">
              <w:rPr>
                <w:rFonts w:ascii="Garamond" w:hAnsi="Garamond" w:eastAsia="Lucida Sans"/>
                <w:sz w:val="22"/>
                <w:szCs w:val="22"/>
              </w:rPr>
              <w:t xml:space="preserve">111 East Wacker Dr., Suite </w:t>
            </w:r>
            <w:r>
              <w:rPr>
                <w:rFonts w:ascii="Garamond" w:hAnsi="Garamond" w:eastAsia="Lucida Sans"/>
                <w:sz w:val="22"/>
                <w:szCs w:val="22"/>
              </w:rPr>
              <w:t>3000</w:t>
            </w:r>
          </w:p>
          <w:p w:rsidRPr="004B62F8" w:rsidR="00EA1BE6" w:rsidP="004B62F8" w:rsidRDefault="00EA1BE6" w14:paraId="0ADC21D6" w14:textId="77777777">
            <w:pPr>
              <w:pStyle w:val="TableText"/>
              <w:ind w:left="360"/>
              <w:rPr>
                <w:rFonts w:ascii="Garamond" w:hAnsi="Garamond" w:eastAsia="Lucida Sans"/>
                <w:sz w:val="22"/>
                <w:szCs w:val="22"/>
              </w:rPr>
            </w:pPr>
            <w:r w:rsidRPr="004B62F8">
              <w:rPr>
                <w:rFonts w:ascii="Garamond" w:hAnsi="Garamond" w:eastAsia="Lucida Sans"/>
                <w:sz w:val="22"/>
                <w:szCs w:val="22"/>
              </w:rPr>
              <w:t>Chicago, IL 60601</w:t>
            </w:r>
          </w:p>
          <w:p w:rsidRPr="004B62F8" w:rsidR="00EA1BE6" w:rsidP="004B62F8" w:rsidRDefault="00EA1BE6" w14:paraId="4E3FF24C" w14:textId="3A0AD57A">
            <w:pPr>
              <w:pStyle w:val="TableText"/>
              <w:ind w:left="360"/>
              <w:rPr>
                <w:rFonts w:ascii="Garamond" w:hAnsi="Garamond" w:eastAsia="Lucida Sans"/>
                <w:sz w:val="22"/>
                <w:szCs w:val="22"/>
              </w:rPr>
            </w:pPr>
            <w:r w:rsidRPr="004B62F8">
              <w:rPr>
                <w:rFonts w:ascii="Garamond" w:hAnsi="Garamond" w:eastAsia="Lucida Sans"/>
                <w:sz w:val="22"/>
                <w:szCs w:val="22"/>
              </w:rPr>
              <w:t>(312) 994-1044</w:t>
            </w:r>
          </w:p>
        </w:tc>
      </w:tr>
      <w:tr w:rsidRPr="004B62F8" w:rsidR="00EA1BE6" w:rsidTr="004B62F8" w14:paraId="76255590" w14:textId="77777777">
        <w:tc>
          <w:tcPr>
            <w:tcW w:w="2500" w:type="pct"/>
          </w:tcPr>
          <w:p w:rsidRPr="004B62F8" w:rsidR="00EA1BE6" w:rsidP="004B62F8" w:rsidRDefault="00EA1BE6" w14:paraId="03E4C035" w14:textId="77777777">
            <w:pPr>
              <w:pStyle w:val="TableText"/>
              <w:numPr>
                <w:ilvl w:val="0"/>
                <w:numId w:val="16"/>
              </w:numPr>
              <w:rPr>
                <w:rFonts w:ascii="Garamond" w:hAnsi="Garamond" w:eastAsia="Lucida Sans"/>
                <w:sz w:val="22"/>
                <w:szCs w:val="22"/>
              </w:rPr>
            </w:pPr>
            <w:r w:rsidRPr="004B62F8">
              <w:rPr>
                <w:rFonts w:ascii="Garamond" w:hAnsi="Garamond" w:eastAsia="Lucida Sans"/>
                <w:sz w:val="22"/>
                <w:szCs w:val="22"/>
              </w:rPr>
              <w:t xml:space="preserve">John Deke </w:t>
            </w:r>
          </w:p>
          <w:p w:rsidRPr="004B62F8" w:rsidR="00EA1BE6" w:rsidP="004B62F8" w:rsidRDefault="00EA1BE6" w14:paraId="79AE706A" w14:textId="77777777">
            <w:pPr>
              <w:pStyle w:val="TableText"/>
              <w:ind w:left="360"/>
              <w:rPr>
                <w:rFonts w:ascii="Garamond" w:hAnsi="Garamond" w:eastAsia="Lucida Sans"/>
                <w:sz w:val="22"/>
                <w:szCs w:val="22"/>
              </w:rPr>
            </w:pPr>
            <w:r w:rsidRPr="004B62F8">
              <w:rPr>
                <w:rFonts w:ascii="Garamond" w:hAnsi="Garamond" w:eastAsia="Lucida Sans"/>
                <w:sz w:val="22"/>
                <w:szCs w:val="22"/>
              </w:rPr>
              <w:t xml:space="preserve">Mathematica </w:t>
            </w:r>
          </w:p>
          <w:p w:rsidRPr="004B62F8" w:rsidR="00EA1BE6" w:rsidP="004B62F8" w:rsidRDefault="00EA1BE6" w14:paraId="341B976F" w14:textId="77777777">
            <w:pPr>
              <w:pStyle w:val="TableText"/>
              <w:ind w:left="360"/>
              <w:rPr>
                <w:rFonts w:ascii="Garamond" w:hAnsi="Garamond" w:eastAsia="Lucida Sans"/>
                <w:sz w:val="22"/>
                <w:szCs w:val="22"/>
              </w:rPr>
            </w:pPr>
            <w:r w:rsidRPr="004B62F8">
              <w:rPr>
                <w:rFonts w:ascii="Garamond" w:hAnsi="Garamond" w:eastAsia="Lucida Sans"/>
                <w:sz w:val="22"/>
                <w:szCs w:val="22"/>
              </w:rPr>
              <w:t>P.O. Box 2393</w:t>
            </w:r>
          </w:p>
          <w:p w:rsidRPr="004B62F8" w:rsidR="00EA1BE6" w:rsidP="004B62F8" w:rsidRDefault="00EA1BE6" w14:paraId="218D39CB" w14:textId="77777777">
            <w:pPr>
              <w:pStyle w:val="TableText"/>
              <w:ind w:left="360"/>
              <w:rPr>
                <w:rFonts w:ascii="Garamond" w:hAnsi="Garamond" w:eastAsia="Lucida Sans"/>
                <w:sz w:val="22"/>
                <w:szCs w:val="22"/>
              </w:rPr>
            </w:pPr>
            <w:r w:rsidRPr="004B62F8">
              <w:rPr>
                <w:rFonts w:ascii="Garamond" w:hAnsi="Garamond" w:eastAsia="Lucida Sans"/>
                <w:sz w:val="22"/>
                <w:szCs w:val="22"/>
              </w:rPr>
              <w:t>Princeton, NJ 084543-2393</w:t>
            </w:r>
          </w:p>
          <w:p w:rsidRPr="004B62F8" w:rsidR="00EA1BE6" w:rsidP="004B62F8" w:rsidRDefault="00EA1BE6" w14:paraId="3DE50EF4" w14:textId="41EEEAA0">
            <w:pPr>
              <w:pStyle w:val="TableText"/>
              <w:ind w:left="360"/>
              <w:rPr>
                <w:rFonts w:ascii="Garamond" w:hAnsi="Garamond" w:eastAsia="Lucida Sans"/>
                <w:sz w:val="22"/>
                <w:szCs w:val="22"/>
              </w:rPr>
            </w:pPr>
            <w:r w:rsidRPr="004B62F8">
              <w:rPr>
                <w:rFonts w:ascii="Garamond" w:hAnsi="Garamond" w:eastAsia="Lucida Sans"/>
                <w:sz w:val="22"/>
                <w:szCs w:val="22"/>
              </w:rPr>
              <w:t>(609) 275-2230</w:t>
            </w:r>
          </w:p>
        </w:tc>
        <w:tc>
          <w:tcPr>
            <w:tcW w:w="2500" w:type="pct"/>
          </w:tcPr>
          <w:p w:rsidRPr="004B62F8" w:rsidR="00EA1BE6" w:rsidP="004B62F8" w:rsidRDefault="00EA1BE6" w14:paraId="0E22B0BF" w14:textId="77777777">
            <w:pPr>
              <w:pStyle w:val="TableText"/>
              <w:numPr>
                <w:ilvl w:val="0"/>
                <w:numId w:val="16"/>
              </w:numPr>
              <w:rPr>
                <w:rFonts w:ascii="Garamond" w:hAnsi="Garamond" w:eastAsia="Lucida Sans"/>
                <w:sz w:val="22"/>
                <w:szCs w:val="22"/>
              </w:rPr>
            </w:pPr>
            <w:r w:rsidRPr="004B62F8">
              <w:rPr>
                <w:rFonts w:ascii="Garamond" w:hAnsi="Garamond" w:eastAsia="Lucida Sans"/>
                <w:sz w:val="22"/>
                <w:szCs w:val="22"/>
              </w:rPr>
              <w:t>Melissa Thomas</w:t>
            </w:r>
          </w:p>
          <w:p w:rsidRPr="004B62F8" w:rsidR="00EA1BE6" w:rsidP="004B62F8" w:rsidRDefault="00EA1BE6" w14:paraId="63E34ACE" w14:textId="77777777">
            <w:pPr>
              <w:pStyle w:val="TableText"/>
              <w:ind w:left="360"/>
              <w:rPr>
                <w:rFonts w:ascii="Garamond" w:hAnsi="Garamond" w:eastAsia="Lucida Sans"/>
                <w:sz w:val="22"/>
                <w:szCs w:val="22"/>
              </w:rPr>
            </w:pPr>
            <w:r w:rsidRPr="004B62F8">
              <w:rPr>
                <w:rFonts w:ascii="Garamond" w:hAnsi="Garamond" w:eastAsia="Lucida Sans"/>
                <w:sz w:val="22"/>
                <w:szCs w:val="22"/>
              </w:rPr>
              <w:t xml:space="preserve">Mathematica </w:t>
            </w:r>
          </w:p>
          <w:p w:rsidRPr="004B62F8" w:rsidR="00EA1BE6" w:rsidP="004B62F8" w:rsidRDefault="00EA1BE6" w14:paraId="21B99C40" w14:textId="77777777">
            <w:pPr>
              <w:pStyle w:val="TableText"/>
              <w:ind w:left="360"/>
              <w:rPr>
                <w:rFonts w:ascii="Garamond" w:hAnsi="Garamond" w:eastAsia="Lucida Sans"/>
                <w:sz w:val="22"/>
                <w:szCs w:val="22"/>
              </w:rPr>
            </w:pPr>
            <w:r w:rsidRPr="004B62F8">
              <w:rPr>
                <w:rFonts w:ascii="Garamond" w:hAnsi="Garamond" w:eastAsia="Lucida Sans"/>
                <w:sz w:val="22"/>
                <w:szCs w:val="22"/>
              </w:rPr>
              <w:t>P.O. Box 2393</w:t>
            </w:r>
          </w:p>
          <w:p w:rsidRPr="004B62F8" w:rsidR="00EA1BE6" w:rsidP="004B62F8" w:rsidRDefault="00EA1BE6" w14:paraId="68AC0DCD" w14:textId="77777777">
            <w:pPr>
              <w:pStyle w:val="TableText"/>
              <w:ind w:left="360"/>
              <w:rPr>
                <w:rFonts w:ascii="Garamond" w:hAnsi="Garamond" w:eastAsia="Lucida Sans"/>
                <w:sz w:val="22"/>
                <w:szCs w:val="22"/>
              </w:rPr>
            </w:pPr>
            <w:r w:rsidRPr="004B62F8">
              <w:rPr>
                <w:rFonts w:ascii="Garamond" w:hAnsi="Garamond" w:eastAsia="Lucida Sans"/>
                <w:sz w:val="22"/>
                <w:szCs w:val="22"/>
              </w:rPr>
              <w:t>Princeton, NJ 084543-2393</w:t>
            </w:r>
          </w:p>
          <w:p w:rsidRPr="004B62F8" w:rsidR="00EA1BE6" w:rsidP="004B62F8" w:rsidRDefault="00EA1BE6" w14:paraId="177B7432" w14:textId="2B9A6769">
            <w:pPr>
              <w:pStyle w:val="TableText"/>
              <w:ind w:left="360"/>
              <w:rPr>
                <w:rFonts w:ascii="Garamond" w:hAnsi="Garamond" w:eastAsia="Lucida Sans"/>
                <w:sz w:val="22"/>
                <w:szCs w:val="22"/>
              </w:rPr>
            </w:pPr>
            <w:r w:rsidRPr="004B62F8">
              <w:rPr>
                <w:rFonts w:ascii="Garamond" w:hAnsi="Garamond" w:eastAsia="Lucida Sans"/>
                <w:sz w:val="22"/>
                <w:szCs w:val="22"/>
              </w:rPr>
              <w:t>(609) 275-2231</w:t>
            </w:r>
          </w:p>
        </w:tc>
      </w:tr>
      <w:tr w:rsidRPr="004B62F8" w:rsidR="00EA1BE6" w:rsidTr="004B62F8" w14:paraId="12B29779" w14:textId="77777777">
        <w:tc>
          <w:tcPr>
            <w:tcW w:w="2500" w:type="pct"/>
          </w:tcPr>
          <w:p w:rsidRPr="004B62F8" w:rsidR="00EA1BE6" w:rsidP="004B62F8" w:rsidRDefault="00EA1BE6" w14:paraId="2CCBEFF0" w14:textId="77777777">
            <w:pPr>
              <w:pStyle w:val="TableText"/>
              <w:numPr>
                <w:ilvl w:val="0"/>
                <w:numId w:val="16"/>
              </w:numPr>
              <w:rPr>
                <w:rFonts w:ascii="Garamond" w:hAnsi="Garamond" w:eastAsia="Lucida Sans"/>
                <w:sz w:val="22"/>
                <w:szCs w:val="22"/>
              </w:rPr>
            </w:pPr>
            <w:r w:rsidRPr="004B62F8">
              <w:rPr>
                <w:rFonts w:ascii="Garamond" w:hAnsi="Garamond" w:eastAsia="Lucida Sans"/>
                <w:sz w:val="22"/>
                <w:szCs w:val="22"/>
              </w:rPr>
              <w:t>Sarah Forrestal</w:t>
            </w:r>
          </w:p>
          <w:p w:rsidRPr="004B62F8" w:rsidR="00EA1BE6" w:rsidP="004B62F8" w:rsidRDefault="00EA1BE6" w14:paraId="26C09558" w14:textId="77777777">
            <w:pPr>
              <w:pStyle w:val="TableText"/>
              <w:ind w:left="360"/>
              <w:rPr>
                <w:rFonts w:ascii="Garamond" w:hAnsi="Garamond" w:eastAsia="Lucida Sans"/>
                <w:sz w:val="22"/>
                <w:szCs w:val="22"/>
              </w:rPr>
            </w:pPr>
            <w:r w:rsidRPr="004B62F8">
              <w:rPr>
                <w:rFonts w:ascii="Garamond" w:hAnsi="Garamond" w:eastAsia="Lucida Sans"/>
                <w:sz w:val="22"/>
                <w:szCs w:val="22"/>
              </w:rPr>
              <w:t xml:space="preserve">Mathematica </w:t>
            </w:r>
          </w:p>
          <w:p w:rsidRPr="004B62F8" w:rsidR="00EA1BE6" w:rsidP="004B62F8" w:rsidRDefault="00EA1BE6" w14:paraId="452E0B90" w14:textId="77777777">
            <w:pPr>
              <w:pStyle w:val="TableText"/>
              <w:ind w:left="360"/>
              <w:rPr>
                <w:rFonts w:ascii="Garamond" w:hAnsi="Garamond" w:eastAsia="Lucida Sans"/>
                <w:sz w:val="22"/>
                <w:szCs w:val="22"/>
              </w:rPr>
            </w:pPr>
            <w:r w:rsidRPr="004B62F8">
              <w:rPr>
                <w:rFonts w:ascii="Garamond" w:hAnsi="Garamond" w:eastAsia="Lucida Sans"/>
                <w:sz w:val="22"/>
                <w:szCs w:val="22"/>
              </w:rPr>
              <w:t xml:space="preserve">111 East Wacker Drive, Suite </w:t>
            </w:r>
            <w:r>
              <w:rPr>
                <w:rFonts w:ascii="Garamond" w:hAnsi="Garamond" w:eastAsia="Lucida Sans"/>
                <w:sz w:val="22"/>
                <w:szCs w:val="22"/>
              </w:rPr>
              <w:t>3000</w:t>
            </w:r>
          </w:p>
          <w:p w:rsidRPr="004B62F8" w:rsidR="00EA1BE6" w:rsidP="004B62F8" w:rsidRDefault="00EA1BE6" w14:paraId="127E6ECE" w14:textId="77777777">
            <w:pPr>
              <w:pStyle w:val="TableText"/>
              <w:ind w:left="360"/>
              <w:rPr>
                <w:rFonts w:ascii="Garamond" w:hAnsi="Garamond" w:eastAsia="Lucida Sans"/>
                <w:sz w:val="22"/>
                <w:szCs w:val="22"/>
              </w:rPr>
            </w:pPr>
            <w:r w:rsidRPr="004B62F8">
              <w:rPr>
                <w:rFonts w:ascii="Garamond" w:hAnsi="Garamond" w:eastAsia="Lucida Sans"/>
                <w:sz w:val="22"/>
                <w:szCs w:val="22"/>
              </w:rPr>
              <w:t>Chicago, IL 60601</w:t>
            </w:r>
          </w:p>
          <w:p w:rsidRPr="004B62F8" w:rsidR="00EA1BE6" w:rsidP="004B62F8" w:rsidRDefault="00EA1BE6" w14:paraId="11506662" w14:textId="176D7FFF">
            <w:pPr>
              <w:pStyle w:val="TableText"/>
              <w:ind w:left="360"/>
              <w:rPr>
                <w:rFonts w:ascii="Garamond" w:hAnsi="Garamond" w:eastAsia="Lucida Sans"/>
                <w:sz w:val="22"/>
                <w:szCs w:val="22"/>
              </w:rPr>
            </w:pPr>
            <w:r w:rsidRPr="004B62F8">
              <w:rPr>
                <w:rFonts w:ascii="Garamond" w:hAnsi="Garamond" w:eastAsia="Lucida Sans"/>
                <w:sz w:val="22"/>
                <w:szCs w:val="22"/>
              </w:rPr>
              <w:t>(312) 994-1017</w:t>
            </w:r>
          </w:p>
        </w:tc>
        <w:tc>
          <w:tcPr>
            <w:tcW w:w="2500" w:type="pct"/>
          </w:tcPr>
          <w:p w:rsidRPr="004B62F8" w:rsidR="00EA1BE6" w:rsidP="004B62F8" w:rsidRDefault="00EA1BE6" w14:paraId="4568DBAF" w14:textId="77777777">
            <w:pPr>
              <w:pStyle w:val="TableText"/>
              <w:numPr>
                <w:ilvl w:val="0"/>
                <w:numId w:val="16"/>
              </w:numPr>
              <w:rPr>
                <w:rFonts w:ascii="Garamond" w:hAnsi="Garamond" w:eastAsia="Lucida Sans"/>
                <w:sz w:val="22"/>
                <w:szCs w:val="22"/>
              </w:rPr>
            </w:pPr>
            <w:r w:rsidRPr="004B62F8">
              <w:rPr>
                <w:rFonts w:ascii="Garamond" w:hAnsi="Garamond" w:eastAsia="Lucida Sans"/>
                <w:sz w:val="22"/>
                <w:szCs w:val="22"/>
              </w:rPr>
              <w:t>Jennifer Walzer</w:t>
            </w:r>
          </w:p>
          <w:p w:rsidRPr="004B62F8" w:rsidR="00EA1BE6" w:rsidP="004B62F8" w:rsidRDefault="00EA1BE6" w14:paraId="62C0B033" w14:textId="77777777">
            <w:pPr>
              <w:pStyle w:val="TableText"/>
              <w:ind w:left="360"/>
              <w:rPr>
                <w:rFonts w:ascii="Garamond" w:hAnsi="Garamond" w:eastAsia="Lucida Sans"/>
                <w:sz w:val="22"/>
                <w:szCs w:val="22"/>
              </w:rPr>
            </w:pPr>
            <w:r w:rsidRPr="004B62F8">
              <w:rPr>
                <w:rFonts w:ascii="Garamond" w:hAnsi="Garamond" w:eastAsia="Lucida Sans"/>
                <w:sz w:val="22"/>
                <w:szCs w:val="22"/>
              </w:rPr>
              <w:t xml:space="preserve">Mathematica </w:t>
            </w:r>
          </w:p>
          <w:p w:rsidRPr="004B62F8" w:rsidR="00EA1BE6" w:rsidP="004B62F8" w:rsidRDefault="00EA1BE6" w14:paraId="15347663" w14:textId="77777777">
            <w:pPr>
              <w:pStyle w:val="TableText"/>
              <w:ind w:left="360"/>
              <w:rPr>
                <w:rFonts w:ascii="Garamond" w:hAnsi="Garamond" w:eastAsia="Lucida Sans"/>
                <w:sz w:val="22"/>
                <w:szCs w:val="22"/>
              </w:rPr>
            </w:pPr>
            <w:r w:rsidRPr="004B62F8">
              <w:rPr>
                <w:rFonts w:ascii="Garamond" w:hAnsi="Garamond" w:eastAsia="Lucida Sans"/>
                <w:sz w:val="22"/>
                <w:szCs w:val="22"/>
              </w:rPr>
              <w:t xml:space="preserve">111 East Wacker Drive, Suite </w:t>
            </w:r>
            <w:r>
              <w:rPr>
                <w:rFonts w:ascii="Garamond" w:hAnsi="Garamond" w:eastAsia="Lucida Sans"/>
                <w:sz w:val="22"/>
                <w:szCs w:val="22"/>
              </w:rPr>
              <w:t>3000</w:t>
            </w:r>
          </w:p>
          <w:p w:rsidRPr="004B62F8" w:rsidR="00EA1BE6" w:rsidP="004B62F8" w:rsidRDefault="00EA1BE6" w14:paraId="18AE6FFC" w14:textId="77777777">
            <w:pPr>
              <w:pStyle w:val="TableText"/>
              <w:ind w:left="360"/>
              <w:rPr>
                <w:rFonts w:ascii="Garamond" w:hAnsi="Garamond" w:eastAsia="Lucida Sans"/>
                <w:sz w:val="22"/>
                <w:szCs w:val="22"/>
              </w:rPr>
            </w:pPr>
            <w:r w:rsidRPr="004B62F8">
              <w:rPr>
                <w:rFonts w:ascii="Garamond" w:hAnsi="Garamond" w:eastAsia="Lucida Sans"/>
                <w:sz w:val="22"/>
                <w:szCs w:val="22"/>
              </w:rPr>
              <w:t>Chicago, IL 60601</w:t>
            </w:r>
          </w:p>
          <w:p w:rsidRPr="004B62F8" w:rsidR="00EA1BE6" w:rsidP="004B62F8" w:rsidRDefault="00EA1BE6" w14:paraId="547474D3" w14:textId="770ADCFA">
            <w:pPr>
              <w:pStyle w:val="TableText"/>
              <w:ind w:left="360"/>
              <w:rPr>
                <w:rFonts w:ascii="Garamond" w:hAnsi="Garamond" w:eastAsia="Lucida Sans"/>
                <w:sz w:val="22"/>
                <w:szCs w:val="22"/>
              </w:rPr>
            </w:pPr>
            <w:r w:rsidRPr="004B62F8">
              <w:rPr>
                <w:rFonts w:ascii="Garamond" w:hAnsi="Garamond" w:eastAsia="Lucida Sans"/>
                <w:sz w:val="22"/>
                <w:szCs w:val="22"/>
              </w:rPr>
              <w:t>(312) 994-1042</w:t>
            </w:r>
          </w:p>
        </w:tc>
      </w:tr>
      <w:tr w:rsidRPr="004B62F8" w:rsidR="00EA1BE6" w:rsidTr="004B62F8" w14:paraId="44CDBC7A" w14:textId="77777777">
        <w:tc>
          <w:tcPr>
            <w:tcW w:w="2500" w:type="pct"/>
          </w:tcPr>
          <w:p w:rsidRPr="004B62F8" w:rsidR="00EA1BE6" w:rsidP="004B62F8" w:rsidRDefault="00EA1BE6" w14:paraId="0B9FB9D4" w14:textId="77777777">
            <w:pPr>
              <w:pStyle w:val="TableText"/>
              <w:numPr>
                <w:ilvl w:val="0"/>
                <w:numId w:val="16"/>
              </w:numPr>
              <w:rPr>
                <w:rFonts w:ascii="Garamond" w:hAnsi="Garamond" w:eastAsia="Lucida Sans"/>
                <w:sz w:val="22"/>
                <w:szCs w:val="22"/>
              </w:rPr>
            </w:pPr>
            <w:r w:rsidRPr="004B62F8">
              <w:rPr>
                <w:rFonts w:ascii="Garamond" w:hAnsi="Garamond" w:eastAsia="Lucida Sans"/>
                <w:sz w:val="22"/>
                <w:szCs w:val="22"/>
              </w:rPr>
              <w:t>Brian Goesling</w:t>
            </w:r>
          </w:p>
          <w:p w:rsidRPr="004B62F8" w:rsidR="00EA1BE6" w:rsidP="004B62F8" w:rsidRDefault="00EA1BE6" w14:paraId="09A89EA9" w14:textId="77777777">
            <w:pPr>
              <w:pStyle w:val="TableText"/>
              <w:ind w:left="360"/>
              <w:rPr>
                <w:rFonts w:ascii="Garamond" w:hAnsi="Garamond" w:eastAsia="Lucida Sans"/>
                <w:sz w:val="22"/>
                <w:szCs w:val="22"/>
              </w:rPr>
            </w:pPr>
            <w:r w:rsidRPr="004B62F8">
              <w:rPr>
                <w:rFonts w:ascii="Garamond" w:hAnsi="Garamond" w:eastAsia="Lucida Sans"/>
                <w:sz w:val="22"/>
                <w:szCs w:val="22"/>
              </w:rPr>
              <w:t xml:space="preserve">Mathematica </w:t>
            </w:r>
          </w:p>
          <w:p w:rsidRPr="004B62F8" w:rsidR="00EA1BE6" w:rsidP="004B62F8" w:rsidRDefault="00EA1BE6" w14:paraId="24DB660E" w14:textId="77777777">
            <w:pPr>
              <w:pStyle w:val="TableText"/>
              <w:ind w:left="360"/>
              <w:rPr>
                <w:rFonts w:ascii="Garamond" w:hAnsi="Garamond" w:eastAsia="Lucida Sans"/>
                <w:sz w:val="22"/>
                <w:szCs w:val="22"/>
              </w:rPr>
            </w:pPr>
            <w:r w:rsidRPr="004B62F8">
              <w:rPr>
                <w:rFonts w:ascii="Garamond" w:hAnsi="Garamond" w:eastAsia="Lucida Sans"/>
                <w:sz w:val="22"/>
                <w:szCs w:val="22"/>
              </w:rPr>
              <w:t>P.O. Box 2393</w:t>
            </w:r>
          </w:p>
          <w:p w:rsidRPr="004B62F8" w:rsidR="00EA1BE6" w:rsidP="004B62F8" w:rsidRDefault="00EA1BE6" w14:paraId="0FE6E475" w14:textId="77777777">
            <w:pPr>
              <w:pStyle w:val="TableText"/>
              <w:ind w:left="360"/>
              <w:rPr>
                <w:rFonts w:ascii="Garamond" w:hAnsi="Garamond" w:eastAsia="Lucida Sans"/>
                <w:sz w:val="22"/>
                <w:szCs w:val="22"/>
              </w:rPr>
            </w:pPr>
            <w:r w:rsidRPr="004B62F8">
              <w:rPr>
                <w:rFonts w:ascii="Garamond" w:hAnsi="Garamond" w:eastAsia="Lucida Sans"/>
                <w:sz w:val="22"/>
                <w:szCs w:val="22"/>
              </w:rPr>
              <w:t>Princeton, NJ 084543-2393</w:t>
            </w:r>
          </w:p>
          <w:p w:rsidRPr="004B62F8" w:rsidR="00EA1BE6" w:rsidP="004B62F8" w:rsidRDefault="00EA1BE6" w14:paraId="6869C81C" w14:textId="27D706EA">
            <w:pPr>
              <w:pStyle w:val="TableText"/>
              <w:ind w:left="360"/>
              <w:rPr>
                <w:rFonts w:ascii="Garamond" w:hAnsi="Garamond" w:eastAsia="Lucida Sans"/>
                <w:sz w:val="22"/>
                <w:szCs w:val="22"/>
              </w:rPr>
            </w:pPr>
            <w:r w:rsidRPr="004B62F8">
              <w:rPr>
                <w:rFonts w:ascii="Garamond" w:hAnsi="Garamond" w:eastAsia="Lucida Sans"/>
                <w:sz w:val="22"/>
                <w:szCs w:val="22"/>
              </w:rPr>
              <w:t>(609) 945-3355</w:t>
            </w:r>
          </w:p>
        </w:tc>
        <w:tc>
          <w:tcPr>
            <w:tcW w:w="2500" w:type="pct"/>
          </w:tcPr>
          <w:p w:rsidRPr="004B62F8" w:rsidR="00EA1BE6" w:rsidP="004B62F8" w:rsidRDefault="00EA1BE6" w14:paraId="18844000" w14:textId="77777777">
            <w:pPr>
              <w:pStyle w:val="TableText"/>
              <w:numPr>
                <w:ilvl w:val="0"/>
                <w:numId w:val="16"/>
              </w:numPr>
              <w:rPr>
                <w:rFonts w:ascii="Garamond" w:hAnsi="Garamond" w:eastAsia="Lucida Sans"/>
                <w:sz w:val="22"/>
                <w:szCs w:val="22"/>
              </w:rPr>
            </w:pPr>
            <w:r w:rsidRPr="004B62F8">
              <w:rPr>
                <w:rFonts w:ascii="Garamond" w:hAnsi="Garamond" w:eastAsia="Lucida Sans"/>
                <w:sz w:val="22"/>
                <w:szCs w:val="22"/>
              </w:rPr>
              <w:t xml:space="preserve">Susan Zief </w:t>
            </w:r>
          </w:p>
          <w:p w:rsidRPr="004B62F8" w:rsidR="00EA1BE6" w:rsidP="004B62F8" w:rsidRDefault="00EA1BE6" w14:paraId="249800F7" w14:textId="77777777">
            <w:pPr>
              <w:pStyle w:val="TableText"/>
              <w:ind w:left="360"/>
              <w:rPr>
                <w:rFonts w:ascii="Garamond" w:hAnsi="Garamond" w:eastAsia="Lucida Sans"/>
                <w:sz w:val="22"/>
                <w:szCs w:val="22"/>
              </w:rPr>
            </w:pPr>
            <w:r w:rsidRPr="004B62F8">
              <w:rPr>
                <w:rFonts w:ascii="Garamond" w:hAnsi="Garamond" w:eastAsia="Lucida Sans"/>
                <w:sz w:val="22"/>
                <w:szCs w:val="22"/>
              </w:rPr>
              <w:t xml:space="preserve">Mathematica </w:t>
            </w:r>
          </w:p>
          <w:p w:rsidRPr="004B62F8" w:rsidR="00EA1BE6" w:rsidP="004B62F8" w:rsidRDefault="00EA1BE6" w14:paraId="7669C9B6" w14:textId="77777777">
            <w:pPr>
              <w:pStyle w:val="TableText"/>
              <w:ind w:left="360"/>
              <w:rPr>
                <w:rFonts w:ascii="Garamond" w:hAnsi="Garamond" w:eastAsia="Lucida Sans"/>
                <w:sz w:val="22"/>
                <w:szCs w:val="22"/>
              </w:rPr>
            </w:pPr>
            <w:r w:rsidRPr="004B62F8">
              <w:rPr>
                <w:rFonts w:ascii="Garamond" w:hAnsi="Garamond" w:eastAsia="Lucida Sans"/>
                <w:sz w:val="22"/>
                <w:szCs w:val="22"/>
              </w:rPr>
              <w:t>P.O. Box 2393</w:t>
            </w:r>
          </w:p>
          <w:p w:rsidRPr="004B62F8" w:rsidR="00EA1BE6" w:rsidP="004B62F8" w:rsidRDefault="00EA1BE6" w14:paraId="536C3DFB" w14:textId="77777777">
            <w:pPr>
              <w:pStyle w:val="TableText"/>
              <w:ind w:left="360"/>
              <w:rPr>
                <w:rFonts w:ascii="Garamond" w:hAnsi="Garamond" w:eastAsia="Lucida Sans"/>
                <w:sz w:val="22"/>
                <w:szCs w:val="22"/>
              </w:rPr>
            </w:pPr>
            <w:r w:rsidRPr="004B62F8">
              <w:rPr>
                <w:rFonts w:ascii="Garamond" w:hAnsi="Garamond" w:eastAsia="Lucida Sans"/>
                <w:sz w:val="22"/>
                <w:szCs w:val="22"/>
              </w:rPr>
              <w:t>Princeton, NJ 084543-2393</w:t>
            </w:r>
          </w:p>
          <w:p w:rsidRPr="004B62F8" w:rsidR="00EA1BE6" w:rsidP="004B62F8" w:rsidRDefault="00EA1BE6" w14:paraId="3D2EBB21" w14:textId="7A92B18D">
            <w:pPr>
              <w:pStyle w:val="TableText"/>
              <w:ind w:left="360"/>
              <w:rPr>
                <w:rFonts w:ascii="Garamond" w:hAnsi="Garamond" w:eastAsia="Lucida Sans"/>
                <w:sz w:val="22"/>
                <w:szCs w:val="22"/>
              </w:rPr>
            </w:pPr>
            <w:r w:rsidRPr="004B62F8">
              <w:rPr>
                <w:rFonts w:ascii="Garamond" w:hAnsi="Garamond" w:eastAsia="Lucida Sans"/>
                <w:sz w:val="22"/>
                <w:szCs w:val="22"/>
              </w:rPr>
              <w:t>(609) 275-2291</w:t>
            </w:r>
          </w:p>
        </w:tc>
      </w:tr>
      <w:tr w:rsidRPr="004B62F8" w:rsidR="00EA1BE6" w:rsidTr="004B62F8" w14:paraId="1D726634" w14:textId="77777777">
        <w:tc>
          <w:tcPr>
            <w:tcW w:w="2500" w:type="pct"/>
          </w:tcPr>
          <w:p w:rsidRPr="004B62F8" w:rsidR="00EA1BE6" w:rsidP="004B62F8" w:rsidRDefault="00EA1BE6" w14:paraId="18795B2E" w14:textId="77777777">
            <w:pPr>
              <w:pStyle w:val="TableText"/>
              <w:numPr>
                <w:ilvl w:val="0"/>
                <w:numId w:val="16"/>
              </w:numPr>
              <w:rPr>
                <w:rFonts w:ascii="Garamond" w:hAnsi="Garamond" w:eastAsia="Lucida Sans"/>
                <w:sz w:val="22"/>
                <w:szCs w:val="22"/>
              </w:rPr>
            </w:pPr>
            <w:r w:rsidRPr="004B62F8">
              <w:rPr>
                <w:rFonts w:ascii="Garamond" w:hAnsi="Garamond" w:eastAsia="Lucida Sans"/>
                <w:sz w:val="22"/>
                <w:szCs w:val="22"/>
              </w:rPr>
              <w:t>John B. Jemmott III, Ph.D.</w:t>
            </w:r>
          </w:p>
          <w:p w:rsidRPr="004B62F8" w:rsidR="00EA1BE6" w:rsidP="004B62F8" w:rsidRDefault="00EA1BE6" w14:paraId="02ABBAF9" w14:textId="77777777">
            <w:pPr>
              <w:pStyle w:val="TableText"/>
              <w:ind w:left="360"/>
              <w:rPr>
                <w:rFonts w:ascii="Garamond" w:hAnsi="Garamond" w:eastAsia="Lucida Sans"/>
                <w:sz w:val="22"/>
                <w:szCs w:val="22"/>
              </w:rPr>
            </w:pPr>
            <w:r w:rsidRPr="004B62F8">
              <w:rPr>
                <w:rFonts w:ascii="Garamond" w:hAnsi="Garamond" w:eastAsia="Lucida Sans"/>
                <w:sz w:val="22"/>
                <w:szCs w:val="22"/>
              </w:rPr>
              <w:t>University of Pennsylvania</w:t>
            </w:r>
          </w:p>
          <w:p w:rsidRPr="004B62F8" w:rsidR="00EA1BE6" w:rsidP="004B62F8" w:rsidRDefault="00EA1BE6" w14:paraId="11308BF8" w14:textId="77777777">
            <w:pPr>
              <w:pStyle w:val="TableText"/>
              <w:ind w:left="360"/>
              <w:rPr>
                <w:rFonts w:ascii="Garamond" w:hAnsi="Garamond" w:eastAsia="Lucida Sans"/>
                <w:sz w:val="22"/>
                <w:szCs w:val="22"/>
              </w:rPr>
            </w:pPr>
            <w:r w:rsidRPr="004B62F8">
              <w:rPr>
                <w:rFonts w:ascii="Garamond" w:hAnsi="Garamond" w:eastAsia="Lucida Sans"/>
                <w:sz w:val="22"/>
                <w:szCs w:val="22"/>
              </w:rPr>
              <w:t>Perelman School of Medicine</w:t>
            </w:r>
          </w:p>
          <w:p w:rsidRPr="004B62F8" w:rsidR="00EA1BE6" w:rsidP="004B62F8" w:rsidRDefault="00EA1BE6" w14:paraId="0E7674B4" w14:textId="77777777">
            <w:pPr>
              <w:pStyle w:val="TableText"/>
              <w:ind w:left="360"/>
              <w:rPr>
                <w:rFonts w:ascii="Garamond" w:hAnsi="Garamond" w:eastAsia="Lucida Sans"/>
                <w:sz w:val="22"/>
                <w:szCs w:val="22"/>
              </w:rPr>
            </w:pPr>
            <w:r w:rsidRPr="004B62F8">
              <w:rPr>
                <w:rFonts w:ascii="Garamond" w:hAnsi="Garamond" w:eastAsia="Lucida Sans"/>
                <w:sz w:val="22"/>
                <w:szCs w:val="22"/>
              </w:rPr>
              <w:t>Department of Psychiatry</w:t>
            </w:r>
          </w:p>
          <w:p w:rsidRPr="004B62F8" w:rsidR="00EA1BE6" w:rsidP="004B62F8" w:rsidRDefault="00EA1BE6" w14:paraId="7167CC11" w14:textId="77777777">
            <w:pPr>
              <w:pStyle w:val="TableText"/>
              <w:ind w:left="360"/>
              <w:rPr>
                <w:rFonts w:ascii="Garamond" w:hAnsi="Garamond" w:eastAsia="Lucida Sans"/>
                <w:sz w:val="22"/>
                <w:szCs w:val="22"/>
              </w:rPr>
            </w:pPr>
            <w:r w:rsidRPr="004B62F8">
              <w:rPr>
                <w:rFonts w:ascii="Garamond" w:hAnsi="Garamond" w:eastAsia="Lucida Sans"/>
                <w:sz w:val="22"/>
                <w:szCs w:val="22"/>
              </w:rPr>
              <w:t>3535 Market Street, Suite 520</w:t>
            </w:r>
          </w:p>
          <w:p w:rsidRPr="004B62F8" w:rsidR="00EA1BE6" w:rsidP="004B62F8" w:rsidRDefault="00EA1BE6" w14:paraId="360CAE99" w14:textId="77777777">
            <w:pPr>
              <w:pStyle w:val="TableText"/>
              <w:ind w:left="360"/>
              <w:rPr>
                <w:rFonts w:ascii="Garamond" w:hAnsi="Garamond" w:eastAsia="Lucida Sans"/>
                <w:sz w:val="22"/>
                <w:szCs w:val="22"/>
              </w:rPr>
            </w:pPr>
            <w:r w:rsidRPr="004B62F8">
              <w:rPr>
                <w:rFonts w:ascii="Garamond" w:hAnsi="Garamond" w:eastAsia="Lucida Sans"/>
                <w:sz w:val="22"/>
                <w:szCs w:val="22"/>
              </w:rPr>
              <w:t>Philadelphia, PA 19104-3309</w:t>
            </w:r>
          </w:p>
          <w:p w:rsidRPr="004B62F8" w:rsidR="00EA1BE6" w:rsidP="004B62F8" w:rsidRDefault="00EA1BE6" w14:paraId="23C465D8" w14:textId="1F92F854">
            <w:pPr>
              <w:pStyle w:val="TableText"/>
              <w:ind w:left="360"/>
              <w:rPr>
                <w:rFonts w:ascii="Garamond" w:hAnsi="Garamond" w:eastAsia="Lucida Sans"/>
                <w:sz w:val="22"/>
                <w:szCs w:val="22"/>
              </w:rPr>
            </w:pPr>
            <w:r w:rsidRPr="004B62F8">
              <w:rPr>
                <w:rFonts w:ascii="Garamond" w:hAnsi="Garamond" w:eastAsia="Lucida Sans"/>
                <w:sz w:val="22"/>
                <w:szCs w:val="22"/>
              </w:rPr>
              <w:t>(215) 573-9366</w:t>
            </w:r>
          </w:p>
        </w:tc>
        <w:tc>
          <w:tcPr>
            <w:tcW w:w="2500" w:type="pct"/>
          </w:tcPr>
          <w:p w:rsidRPr="004B62F8" w:rsidR="00EA1BE6" w:rsidP="004B62F8" w:rsidRDefault="00EA1BE6" w14:paraId="21EF6A01" w14:textId="77777777">
            <w:pPr>
              <w:pStyle w:val="TableText"/>
              <w:numPr>
                <w:ilvl w:val="0"/>
                <w:numId w:val="16"/>
              </w:numPr>
              <w:rPr>
                <w:rFonts w:ascii="Garamond" w:hAnsi="Garamond" w:eastAsia="Lucida Sans"/>
                <w:sz w:val="22"/>
                <w:szCs w:val="22"/>
              </w:rPr>
            </w:pPr>
            <w:r w:rsidRPr="004B62F8">
              <w:rPr>
                <w:rFonts w:ascii="Garamond" w:hAnsi="Garamond" w:eastAsia="Lucida Sans"/>
                <w:sz w:val="22"/>
                <w:szCs w:val="22"/>
              </w:rPr>
              <w:t xml:space="preserve">Amy Farb </w:t>
            </w:r>
          </w:p>
          <w:p w:rsidRPr="004B62F8" w:rsidR="00EA1BE6" w:rsidP="004B62F8" w:rsidRDefault="00EA1BE6" w14:paraId="78C25B29" w14:textId="77777777">
            <w:pPr>
              <w:pStyle w:val="TableText"/>
              <w:ind w:left="360"/>
              <w:rPr>
                <w:rFonts w:ascii="Garamond" w:hAnsi="Garamond" w:eastAsia="Lucida Sans"/>
                <w:sz w:val="22"/>
                <w:szCs w:val="22"/>
              </w:rPr>
            </w:pPr>
            <w:r w:rsidRPr="004B62F8">
              <w:rPr>
                <w:rFonts w:ascii="Garamond" w:hAnsi="Garamond" w:eastAsia="Lucida Sans"/>
                <w:sz w:val="22"/>
                <w:szCs w:val="22"/>
              </w:rPr>
              <w:t>U.S. Department of Health and Human Services</w:t>
            </w:r>
          </w:p>
          <w:p w:rsidRPr="004B62F8" w:rsidR="00EA1BE6" w:rsidP="004B62F8" w:rsidRDefault="00EA1BE6" w14:paraId="533039F1" w14:textId="77777777">
            <w:pPr>
              <w:pStyle w:val="TableText"/>
              <w:ind w:left="360"/>
              <w:rPr>
                <w:rFonts w:ascii="Garamond" w:hAnsi="Garamond" w:eastAsia="Lucida Sans"/>
                <w:sz w:val="22"/>
                <w:szCs w:val="22"/>
              </w:rPr>
            </w:pPr>
            <w:r w:rsidRPr="004B62F8">
              <w:rPr>
                <w:rFonts w:ascii="Garamond" w:hAnsi="Garamond" w:eastAsia="Lucida Sans"/>
                <w:sz w:val="22"/>
                <w:szCs w:val="22"/>
              </w:rPr>
              <w:t xml:space="preserve">Office of </w:t>
            </w:r>
            <w:r>
              <w:rPr>
                <w:rFonts w:ascii="Garamond" w:hAnsi="Garamond" w:eastAsia="Lucida Sans"/>
                <w:sz w:val="22"/>
                <w:szCs w:val="22"/>
              </w:rPr>
              <w:t>Population Affairs</w:t>
            </w:r>
          </w:p>
          <w:p w:rsidRPr="004B62F8" w:rsidR="00EA1BE6" w:rsidP="004B62F8" w:rsidRDefault="00EA1BE6" w14:paraId="7C2BAABD" w14:textId="77777777">
            <w:pPr>
              <w:pStyle w:val="TableText"/>
              <w:ind w:left="360"/>
              <w:rPr>
                <w:rFonts w:ascii="Garamond" w:hAnsi="Garamond" w:eastAsia="Lucida Sans"/>
                <w:sz w:val="22"/>
                <w:szCs w:val="22"/>
              </w:rPr>
            </w:pPr>
            <w:r w:rsidRPr="004B62F8">
              <w:rPr>
                <w:rFonts w:ascii="Garamond" w:hAnsi="Garamond" w:eastAsia="Lucida Sans"/>
                <w:sz w:val="22"/>
                <w:szCs w:val="22"/>
              </w:rPr>
              <w:t xml:space="preserve">1101 Wootton Parkway, Suite 700 </w:t>
            </w:r>
          </w:p>
          <w:p w:rsidRPr="004B62F8" w:rsidR="00EA1BE6" w:rsidP="004B62F8" w:rsidRDefault="00EA1BE6" w14:paraId="32420CD9" w14:textId="77777777">
            <w:pPr>
              <w:pStyle w:val="TableText"/>
              <w:ind w:left="360"/>
              <w:rPr>
                <w:rFonts w:ascii="Garamond" w:hAnsi="Garamond" w:eastAsia="Lucida Sans"/>
                <w:sz w:val="22"/>
                <w:szCs w:val="22"/>
              </w:rPr>
            </w:pPr>
            <w:r w:rsidRPr="004B62F8">
              <w:rPr>
                <w:rFonts w:ascii="Garamond" w:hAnsi="Garamond" w:eastAsia="Lucida Sans"/>
                <w:sz w:val="22"/>
                <w:szCs w:val="22"/>
              </w:rPr>
              <w:t xml:space="preserve">Rockville, MD 20852 </w:t>
            </w:r>
          </w:p>
          <w:p w:rsidRPr="004B62F8" w:rsidR="00EA1BE6" w:rsidP="004B62F8" w:rsidRDefault="00EA1BE6" w14:paraId="4083DAEC" w14:textId="2AF3A1CC">
            <w:pPr>
              <w:pStyle w:val="TableText"/>
              <w:ind w:left="360"/>
              <w:rPr>
                <w:rFonts w:ascii="Garamond" w:hAnsi="Garamond" w:eastAsia="Lucida Sans"/>
                <w:sz w:val="22"/>
                <w:szCs w:val="22"/>
              </w:rPr>
            </w:pPr>
            <w:r w:rsidRPr="004B62F8">
              <w:rPr>
                <w:rFonts w:ascii="Garamond" w:hAnsi="Garamond" w:eastAsia="Lucida Sans"/>
                <w:sz w:val="22"/>
                <w:szCs w:val="22"/>
              </w:rPr>
              <w:t>(240) 453-2836</w:t>
            </w:r>
          </w:p>
        </w:tc>
      </w:tr>
      <w:tr w:rsidRPr="004B62F8" w:rsidR="00EA1BE6" w:rsidTr="004B62F8" w14:paraId="1FA30A59" w14:textId="77777777">
        <w:tc>
          <w:tcPr>
            <w:tcW w:w="2500" w:type="pct"/>
          </w:tcPr>
          <w:p w:rsidRPr="004B62F8" w:rsidR="00EA1BE6" w:rsidP="004B62F8" w:rsidRDefault="00EA1BE6" w14:paraId="0A36221C" w14:textId="77777777">
            <w:pPr>
              <w:pStyle w:val="TableText"/>
              <w:numPr>
                <w:ilvl w:val="0"/>
                <w:numId w:val="16"/>
              </w:numPr>
              <w:rPr>
                <w:rFonts w:ascii="Garamond" w:hAnsi="Garamond" w:eastAsia="Lucida Sans"/>
                <w:sz w:val="22"/>
                <w:szCs w:val="22"/>
              </w:rPr>
            </w:pPr>
            <w:r w:rsidRPr="004B62F8">
              <w:rPr>
                <w:rFonts w:ascii="Garamond" w:hAnsi="Garamond" w:eastAsia="Lucida Sans"/>
                <w:sz w:val="22"/>
                <w:szCs w:val="22"/>
              </w:rPr>
              <w:t xml:space="preserve">Loretta Sweet Jemmott, Ph.D. </w:t>
            </w:r>
          </w:p>
          <w:p w:rsidRPr="004B62F8" w:rsidR="00EA1BE6" w:rsidP="004B62F8" w:rsidRDefault="00EA1BE6" w14:paraId="59C740EC" w14:textId="77777777">
            <w:pPr>
              <w:pStyle w:val="TableText"/>
              <w:ind w:left="360"/>
              <w:rPr>
                <w:rFonts w:ascii="Garamond" w:hAnsi="Garamond" w:eastAsia="Lucida Sans"/>
                <w:sz w:val="22"/>
                <w:szCs w:val="22"/>
              </w:rPr>
            </w:pPr>
            <w:r w:rsidRPr="004B62F8">
              <w:rPr>
                <w:rFonts w:ascii="Garamond" w:hAnsi="Garamond" w:eastAsia="Lucida Sans"/>
                <w:sz w:val="22"/>
                <w:szCs w:val="22"/>
              </w:rPr>
              <w:t xml:space="preserve">Drexel University </w:t>
            </w:r>
          </w:p>
          <w:p w:rsidRPr="004B62F8" w:rsidR="00EA1BE6" w:rsidP="004B62F8" w:rsidRDefault="00EA1BE6" w14:paraId="4C1272C7" w14:textId="77777777">
            <w:pPr>
              <w:pStyle w:val="TableText"/>
              <w:ind w:left="360"/>
              <w:rPr>
                <w:rFonts w:ascii="Garamond" w:hAnsi="Garamond" w:eastAsia="Lucida Sans"/>
                <w:sz w:val="22"/>
                <w:szCs w:val="22"/>
              </w:rPr>
            </w:pPr>
            <w:r w:rsidRPr="004B62F8">
              <w:rPr>
                <w:rFonts w:ascii="Garamond" w:hAnsi="Garamond" w:eastAsia="Lucida Sans"/>
                <w:sz w:val="22"/>
                <w:szCs w:val="22"/>
              </w:rPr>
              <w:t xml:space="preserve">College of Nursing and Health Professions </w:t>
            </w:r>
          </w:p>
          <w:p w:rsidRPr="004B62F8" w:rsidR="00EA1BE6" w:rsidP="004B62F8" w:rsidRDefault="00EA1BE6" w14:paraId="7ACA1C59" w14:textId="77777777">
            <w:pPr>
              <w:pStyle w:val="TableText"/>
              <w:ind w:left="360"/>
              <w:rPr>
                <w:rFonts w:ascii="Garamond" w:hAnsi="Garamond" w:eastAsia="Lucida Sans"/>
                <w:sz w:val="22"/>
                <w:szCs w:val="22"/>
                <w:lang w:val="en"/>
              </w:rPr>
            </w:pPr>
            <w:r w:rsidRPr="004B62F8">
              <w:rPr>
                <w:rFonts w:ascii="Garamond" w:hAnsi="Garamond" w:eastAsia="Lucida Sans"/>
                <w:sz w:val="22"/>
                <w:szCs w:val="22"/>
                <w:lang w:val="en"/>
              </w:rPr>
              <w:t>1601 Cherry Street</w:t>
            </w:r>
          </w:p>
          <w:p w:rsidRPr="004B62F8" w:rsidR="00EA1BE6" w:rsidP="004B62F8" w:rsidRDefault="00EA1BE6" w14:paraId="36AE7D4A" w14:textId="77777777">
            <w:pPr>
              <w:pStyle w:val="TableText"/>
              <w:ind w:left="360"/>
              <w:rPr>
                <w:rFonts w:ascii="Garamond" w:hAnsi="Garamond" w:eastAsia="Lucida Sans"/>
                <w:sz w:val="22"/>
                <w:szCs w:val="22"/>
                <w:lang w:val="en"/>
              </w:rPr>
            </w:pPr>
            <w:r w:rsidRPr="004B62F8">
              <w:rPr>
                <w:rFonts w:ascii="Garamond" w:hAnsi="Garamond" w:eastAsia="Lucida Sans"/>
                <w:sz w:val="22"/>
                <w:szCs w:val="22"/>
                <w:lang w:val="en"/>
              </w:rPr>
              <w:t xml:space="preserve">Philadelphia, PA 19102, </w:t>
            </w:r>
          </w:p>
          <w:p w:rsidRPr="004B62F8" w:rsidR="00EA1BE6" w:rsidP="004B62F8" w:rsidRDefault="00EA1BE6" w14:paraId="48C7A3E5" w14:textId="5F095C91">
            <w:pPr>
              <w:pStyle w:val="TableText"/>
              <w:ind w:left="360"/>
              <w:rPr>
                <w:rFonts w:ascii="Garamond" w:hAnsi="Garamond" w:eastAsia="Lucida Sans"/>
                <w:sz w:val="22"/>
                <w:szCs w:val="22"/>
              </w:rPr>
            </w:pPr>
            <w:r w:rsidRPr="004B62F8">
              <w:rPr>
                <w:rFonts w:ascii="Garamond" w:hAnsi="Garamond" w:eastAsia="Lucida Sans"/>
                <w:sz w:val="22"/>
                <w:szCs w:val="22"/>
                <w:lang w:val="en"/>
              </w:rPr>
              <w:t>(215) 895-2000</w:t>
            </w:r>
          </w:p>
        </w:tc>
        <w:tc>
          <w:tcPr>
            <w:tcW w:w="2500" w:type="pct"/>
          </w:tcPr>
          <w:p w:rsidRPr="004B62F8" w:rsidR="00EA1BE6" w:rsidP="004B62F8" w:rsidRDefault="00EA1BE6" w14:paraId="1F05C639" w14:textId="77777777">
            <w:pPr>
              <w:pStyle w:val="TableText"/>
              <w:numPr>
                <w:ilvl w:val="0"/>
                <w:numId w:val="16"/>
              </w:numPr>
              <w:rPr>
                <w:rFonts w:ascii="Garamond" w:hAnsi="Garamond" w:eastAsia="Lucida Sans"/>
                <w:sz w:val="22"/>
                <w:szCs w:val="22"/>
              </w:rPr>
            </w:pPr>
            <w:r w:rsidRPr="004B62F8">
              <w:rPr>
                <w:rFonts w:ascii="Garamond" w:hAnsi="Garamond" w:eastAsia="Lucida Sans"/>
                <w:sz w:val="22"/>
                <w:szCs w:val="22"/>
              </w:rPr>
              <w:t xml:space="preserve">Tish Hall </w:t>
            </w:r>
          </w:p>
          <w:p w:rsidRPr="004B62F8" w:rsidR="00EA1BE6" w:rsidP="004B62F8" w:rsidRDefault="00EA1BE6" w14:paraId="3B923DA4" w14:textId="77777777">
            <w:pPr>
              <w:pStyle w:val="TableText"/>
              <w:ind w:left="360"/>
              <w:rPr>
                <w:rFonts w:ascii="Garamond" w:hAnsi="Garamond" w:eastAsia="Lucida Sans"/>
                <w:sz w:val="22"/>
                <w:szCs w:val="22"/>
              </w:rPr>
            </w:pPr>
            <w:r w:rsidRPr="004B62F8">
              <w:rPr>
                <w:rFonts w:ascii="Garamond" w:hAnsi="Garamond" w:eastAsia="Lucida Sans"/>
                <w:sz w:val="22"/>
                <w:szCs w:val="22"/>
              </w:rPr>
              <w:t>U.S. Department of Health and Human Services</w:t>
            </w:r>
          </w:p>
          <w:p w:rsidRPr="004B62F8" w:rsidR="00EA1BE6" w:rsidP="004B62F8" w:rsidRDefault="00EA1BE6" w14:paraId="74539A9C" w14:textId="77777777">
            <w:pPr>
              <w:pStyle w:val="TableText"/>
              <w:ind w:left="360"/>
              <w:rPr>
                <w:rFonts w:ascii="Garamond" w:hAnsi="Garamond" w:eastAsia="Lucida Sans"/>
                <w:sz w:val="22"/>
                <w:szCs w:val="22"/>
              </w:rPr>
            </w:pPr>
            <w:r w:rsidRPr="004B62F8">
              <w:rPr>
                <w:rFonts w:ascii="Garamond" w:hAnsi="Garamond" w:eastAsia="Lucida Sans"/>
                <w:sz w:val="22"/>
                <w:szCs w:val="22"/>
              </w:rPr>
              <w:t xml:space="preserve">Office of </w:t>
            </w:r>
            <w:r>
              <w:rPr>
                <w:rFonts w:ascii="Garamond" w:hAnsi="Garamond" w:eastAsia="Lucida Sans"/>
                <w:sz w:val="22"/>
                <w:szCs w:val="22"/>
              </w:rPr>
              <w:t>Population Affairs</w:t>
            </w:r>
          </w:p>
          <w:p w:rsidRPr="004B62F8" w:rsidR="00EA1BE6" w:rsidP="004B62F8" w:rsidRDefault="00EA1BE6" w14:paraId="465F514D" w14:textId="77777777">
            <w:pPr>
              <w:pStyle w:val="TableText"/>
              <w:ind w:left="360"/>
              <w:rPr>
                <w:rFonts w:ascii="Garamond" w:hAnsi="Garamond" w:eastAsia="Lucida Sans"/>
                <w:sz w:val="22"/>
                <w:szCs w:val="22"/>
              </w:rPr>
            </w:pPr>
            <w:r w:rsidRPr="004B62F8">
              <w:rPr>
                <w:rFonts w:ascii="Garamond" w:hAnsi="Garamond" w:eastAsia="Lucida Sans"/>
                <w:sz w:val="22"/>
                <w:szCs w:val="22"/>
              </w:rPr>
              <w:t xml:space="preserve">1101 Wootton Parkway, Suite 700 </w:t>
            </w:r>
          </w:p>
          <w:p w:rsidR="00EA1BE6" w:rsidP="004B62F8" w:rsidRDefault="00EA1BE6" w14:paraId="51BECFE9" w14:textId="77777777">
            <w:pPr>
              <w:pStyle w:val="TableText"/>
              <w:ind w:left="360"/>
              <w:rPr>
                <w:rFonts w:ascii="Garamond" w:hAnsi="Garamond" w:eastAsia="Lucida Sans"/>
                <w:sz w:val="22"/>
                <w:szCs w:val="22"/>
              </w:rPr>
            </w:pPr>
            <w:r w:rsidRPr="004B62F8">
              <w:rPr>
                <w:rFonts w:ascii="Garamond" w:hAnsi="Garamond" w:eastAsia="Lucida Sans"/>
                <w:sz w:val="22"/>
                <w:szCs w:val="22"/>
              </w:rPr>
              <w:t xml:space="preserve">Rockville, MD 20852 </w:t>
            </w:r>
          </w:p>
          <w:p w:rsidRPr="004B62F8" w:rsidR="00EA1BE6" w:rsidP="004B62F8" w:rsidRDefault="00EA1BE6" w14:paraId="2DE75B37" w14:textId="203B0ECA">
            <w:pPr>
              <w:pStyle w:val="TableText"/>
              <w:ind w:left="360"/>
              <w:rPr>
                <w:rFonts w:ascii="Garamond" w:hAnsi="Garamond" w:eastAsia="Lucida Sans"/>
                <w:sz w:val="22"/>
                <w:szCs w:val="22"/>
              </w:rPr>
            </w:pPr>
            <w:r w:rsidRPr="00003681">
              <w:rPr>
                <w:rFonts w:ascii="Garamond" w:hAnsi="Garamond" w:cs="Arial"/>
                <w:color w:val="4C4C4C"/>
                <w:sz w:val="22"/>
                <w:szCs w:val="22"/>
                <w:shd w:val="clear" w:color="auto" w:fill="FFFFFF"/>
              </w:rPr>
              <w:t>(240) 453-2846</w:t>
            </w:r>
          </w:p>
        </w:tc>
      </w:tr>
      <w:tr w:rsidRPr="004B62F8" w:rsidR="00EA1BE6" w:rsidTr="004B62F8" w14:paraId="5C8000A6" w14:textId="77777777">
        <w:tc>
          <w:tcPr>
            <w:tcW w:w="2500" w:type="pct"/>
          </w:tcPr>
          <w:p w:rsidRPr="004B62F8" w:rsidR="00EA1BE6" w:rsidP="004B62F8" w:rsidRDefault="00EA1BE6" w14:paraId="47E44BF9" w14:textId="77777777">
            <w:pPr>
              <w:pStyle w:val="TableText"/>
              <w:numPr>
                <w:ilvl w:val="0"/>
                <w:numId w:val="16"/>
              </w:numPr>
              <w:rPr>
                <w:rFonts w:ascii="Garamond" w:hAnsi="Garamond" w:eastAsia="Lucida Sans"/>
                <w:sz w:val="22"/>
                <w:szCs w:val="22"/>
              </w:rPr>
            </w:pPr>
            <w:r w:rsidRPr="004B62F8">
              <w:rPr>
                <w:rFonts w:ascii="Garamond" w:hAnsi="Garamond" w:eastAsia="Lucida Sans"/>
                <w:sz w:val="22"/>
                <w:szCs w:val="22"/>
              </w:rPr>
              <w:t>Laura Kalb</w:t>
            </w:r>
          </w:p>
          <w:p w:rsidRPr="004B62F8" w:rsidR="00EA1BE6" w:rsidP="004B62F8" w:rsidRDefault="00EA1BE6" w14:paraId="1C436BEC" w14:textId="77777777">
            <w:pPr>
              <w:pStyle w:val="TableText"/>
              <w:ind w:left="360"/>
              <w:rPr>
                <w:rFonts w:ascii="Garamond" w:hAnsi="Garamond" w:eastAsia="Lucida Sans"/>
                <w:sz w:val="22"/>
                <w:szCs w:val="22"/>
              </w:rPr>
            </w:pPr>
            <w:r w:rsidRPr="004B62F8">
              <w:rPr>
                <w:rFonts w:ascii="Garamond" w:hAnsi="Garamond" w:eastAsia="Lucida Sans"/>
                <w:sz w:val="22"/>
                <w:szCs w:val="22"/>
              </w:rPr>
              <w:t xml:space="preserve">Mathematica </w:t>
            </w:r>
          </w:p>
          <w:p w:rsidRPr="004B62F8" w:rsidR="00EA1BE6" w:rsidP="004B62F8" w:rsidRDefault="00EA1BE6" w14:paraId="618FF5C1" w14:textId="77777777">
            <w:pPr>
              <w:pStyle w:val="TableText"/>
              <w:ind w:left="360"/>
              <w:rPr>
                <w:rFonts w:ascii="Garamond" w:hAnsi="Garamond" w:eastAsia="Lucida Sans"/>
                <w:sz w:val="22"/>
                <w:szCs w:val="22"/>
              </w:rPr>
            </w:pPr>
            <w:r w:rsidRPr="004B62F8">
              <w:rPr>
                <w:rFonts w:ascii="Garamond" w:hAnsi="Garamond" w:eastAsia="Lucida Sans"/>
                <w:sz w:val="22"/>
                <w:szCs w:val="22"/>
              </w:rPr>
              <w:t>955 Massachusetts Avenue, Suite 801</w:t>
            </w:r>
          </w:p>
          <w:p w:rsidRPr="004B62F8" w:rsidR="00EA1BE6" w:rsidP="004B62F8" w:rsidRDefault="00EA1BE6" w14:paraId="6AD3CFB7" w14:textId="77777777">
            <w:pPr>
              <w:pStyle w:val="TableText"/>
              <w:ind w:left="360"/>
              <w:rPr>
                <w:rFonts w:ascii="Garamond" w:hAnsi="Garamond" w:eastAsia="Lucida Sans"/>
                <w:sz w:val="22"/>
                <w:szCs w:val="22"/>
              </w:rPr>
            </w:pPr>
            <w:r w:rsidRPr="004B62F8">
              <w:rPr>
                <w:rFonts w:ascii="Garamond" w:hAnsi="Garamond" w:eastAsia="Lucida Sans"/>
                <w:sz w:val="22"/>
                <w:szCs w:val="22"/>
              </w:rPr>
              <w:t>Cambridge, MA 02139</w:t>
            </w:r>
          </w:p>
          <w:p w:rsidRPr="004B62F8" w:rsidR="00EA1BE6" w:rsidP="004B62F8" w:rsidRDefault="00EA1BE6" w14:paraId="4CD0C91B" w14:textId="5AD4A12E">
            <w:pPr>
              <w:pStyle w:val="TableText"/>
              <w:ind w:left="360"/>
              <w:rPr>
                <w:rFonts w:ascii="Garamond" w:hAnsi="Garamond" w:eastAsia="Lucida Sans"/>
                <w:sz w:val="22"/>
                <w:szCs w:val="22"/>
              </w:rPr>
            </w:pPr>
            <w:r w:rsidRPr="004B62F8">
              <w:rPr>
                <w:rFonts w:ascii="Garamond" w:hAnsi="Garamond" w:eastAsia="Lucida Sans"/>
                <w:sz w:val="22"/>
                <w:szCs w:val="22"/>
              </w:rPr>
              <w:t>(617) 301-8989</w:t>
            </w:r>
          </w:p>
        </w:tc>
        <w:tc>
          <w:tcPr>
            <w:tcW w:w="2500" w:type="pct"/>
          </w:tcPr>
          <w:p w:rsidRPr="004B62F8" w:rsidR="00EA1BE6" w:rsidP="004B62F8" w:rsidRDefault="00EA1BE6" w14:paraId="35E60D3B" w14:textId="77777777">
            <w:pPr>
              <w:pStyle w:val="TableText"/>
              <w:numPr>
                <w:ilvl w:val="0"/>
                <w:numId w:val="16"/>
              </w:numPr>
              <w:rPr>
                <w:rFonts w:ascii="Garamond" w:hAnsi="Garamond" w:eastAsia="Lucida Sans"/>
                <w:sz w:val="22"/>
                <w:szCs w:val="22"/>
              </w:rPr>
            </w:pPr>
            <w:r w:rsidRPr="004B62F8">
              <w:rPr>
                <w:rFonts w:ascii="Garamond" w:hAnsi="Garamond" w:eastAsia="Lucida Sans"/>
                <w:sz w:val="22"/>
                <w:szCs w:val="22"/>
              </w:rPr>
              <w:t xml:space="preserve">Tara Rice </w:t>
            </w:r>
          </w:p>
          <w:p w:rsidRPr="004B62F8" w:rsidR="00EA1BE6" w:rsidP="004B62F8" w:rsidRDefault="00EA1BE6" w14:paraId="55966015" w14:textId="77777777">
            <w:pPr>
              <w:pStyle w:val="TableText"/>
              <w:ind w:left="360"/>
              <w:rPr>
                <w:rFonts w:ascii="Garamond" w:hAnsi="Garamond" w:eastAsia="Lucida Sans"/>
                <w:sz w:val="22"/>
                <w:szCs w:val="22"/>
              </w:rPr>
            </w:pPr>
            <w:r w:rsidRPr="004B62F8">
              <w:rPr>
                <w:rFonts w:ascii="Garamond" w:hAnsi="Garamond" w:eastAsia="Lucida Sans"/>
                <w:sz w:val="22"/>
                <w:szCs w:val="22"/>
              </w:rPr>
              <w:t>U.S. Department of Health and Human Services</w:t>
            </w:r>
          </w:p>
          <w:p w:rsidRPr="004B62F8" w:rsidR="00EA1BE6" w:rsidP="004B62F8" w:rsidRDefault="00EA1BE6" w14:paraId="04F0E2B2" w14:textId="77777777">
            <w:pPr>
              <w:pStyle w:val="TableText"/>
              <w:ind w:left="360"/>
              <w:rPr>
                <w:rFonts w:ascii="Garamond" w:hAnsi="Garamond" w:eastAsia="Lucida Sans"/>
                <w:sz w:val="22"/>
                <w:szCs w:val="22"/>
              </w:rPr>
            </w:pPr>
            <w:r w:rsidRPr="004B62F8">
              <w:rPr>
                <w:rFonts w:ascii="Garamond" w:hAnsi="Garamond" w:eastAsia="Lucida Sans"/>
                <w:sz w:val="22"/>
                <w:szCs w:val="22"/>
              </w:rPr>
              <w:t xml:space="preserve">Office of </w:t>
            </w:r>
            <w:r>
              <w:rPr>
                <w:rFonts w:ascii="Garamond" w:hAnsi="Garamond" w:eastAsia="Lucida Sans"/>
                <w:sz w:val="22"/>
                <w:szCs w:val="22"/>
              </w:rPr>
              <w:t>Population Affairs</w:t>
            </w:r>
          </w:p>
          <w:p w:rsidRPr="004B62F8" w:rsidR="00EA1BE6" w:rsidP="004B62F8" w:rsidRDefault="00EA1BE6" w14:paraId="28356AB5" w14:textId="77777777">
            <w:pPr>
              <w:pStyle w:val="TableText"/>
              <w:ind w:left="360"/>
              <w:rPr>
                <w:rFonts w:ascii="Garamond" w:hAnsi="Garamond" w:eastAsia="Lucida Sans"/>
                <w:sz w:val="22"/>
                <w:szCs w:val="22"/>
              </w:rPr>
            </w:pPr>
            <w:r w:rsidRPr="004B62F8">
              <w:rPr>
                <w:rFonts w:ascii="Garamond" w:hAnsi="Garamond" w:eastAsia="Lucida Sans"/>
                <w:sz w:val="22"/>
                <w:szCs w:val="22"/>
              </w:rPr>
              <w:t xml:space="preserve">1101 Wootton Parkway, Suite 700 </w:t>
            </w:r>
          </w:p>
          <w:p w:rsidR="00EA1BE6" w:rsidP="004B62F8" w:rsidRDefault="00EA1BE6" w14:paraId="244B6365" w14:textId="77777777">
            <w:pPr>
              <w:pStyle w:val="TableText"/>
              <w:ind w:left="360"/>
              <w:rPr>
                <w:rFonts w:ascii="Garamond" w:hAnsi="Garamond" w:eastAsia="Lucida Sans"/>
                <w:sz w:val="22"/>
                <w:szCs w:val="22"/>
              </w:rPr>
            </w:pPr>
            <w:r w:rsidRPr="004B62F8">
              <w:rPr>
                <w:rFonts w:ascii="Garamond" w:hAnsi="Garamond" w:eastAsia="Lucida Sans"/>
                <w:sz w:val="22"/>
                <w:szCs w:val="22"/>
              </w:rPr>
              <w:t>Rockville, MD 20852</w:t>
            </w:r>
          </w:p>
          <w:p w:rsidRPr="00003681" w:rsidR="00EA1BE6" w:rsidP="004B62F8" w:rsidRDefault="00EA1BE6" w14:paraId="00BFE34F" w14:textId="7B30D1A9">
            <w:pPr>
              <w:pStyle w:val="TableText"/>
              <w:ind w:left="360"/>
              <w:rPr>
                <w:rFonts w:ascii="Garamond" w:hAnsi="Garamond" w:eastAsia="Lucida Sans"/>
                <w:sz w:val="22"/>
                <w:szCs w:val="22"/>
              </w:rPr>
            </w:pPr>
            <w:r w:rsidRPr="00003681">
              <w:rPr>
                <w:rFonts w:ascii="Garamond" w:hAnsi="Garamond" w:cs="Arial"/>
                <w:color w:val="4C4C4C"/>
                <w:sz w:val="22"/>
                <w:szCs w:val="22"/>
                <w:shd w:val="clear" w:color="auto" w:fill="FFFFFF"/>
              </w:rPr>
              <w:t>(240) 453-2846</w:t>
            </w:r>
            <w:r w:rsidRPr="00003681">
              <w:rPr>
                <w:rFonts w:ascii="Garamond" w:hAnsi="Garamond" w:eastAsia="Lucida Sans"/>
                <w:sz w:val="22"/>
                <w:szCs w:val="22"/>
              </w:rPr>
              <w:t xml:space="preserve"> </w:t>
            </w:r>
          </w:p>
        </w:tc>
      </w:tr>
      <w:tr w:rsidRPr="004B62F8" w:rsidR="00EA1BE6" w:rsidTr="004B62F8" w14:paraId="24510446" w14:textId="77777777">
        <w:tc>
          <w:tcPr>
            <w:tcW w:w="2500" w:type="pct"/>
          </w:tcPr>
          <w:p w:rsidRPr="004B62F8" w:rsidR="00EA1BE6" w:rsidP="00EA1BE6" w:rsidRDefault="00EA1BE6" w14:paraId="61DC243C" w14:textId="77777777">
            <w:pPr>
              <w:pStyle w:val="TableText"/>
              <w:numPr>
                <w:ilvl w:val="0"/>
                <w:numId w:val="16"/>
              </w:numPr>
              <w:rPr>
                <w:rFonts w:ascii="Garamond" w:hAnsi="Garamond" w:eastAsia="Lucida Sans"/>
                <w:sz w:val="22"/>
                <w:szCs w:val="22"/>
              </w:rPr>
            </w:pPr>
            <w:r w:rsidRPr="004B62F8">
              <w:rPr>
                <w:rFonts w:ascii="Garamond" w:hAnsi="Garamond" w:eastAsia="Lucida Sans"/>
                <w:sz w:val="22"/>
                <w:szCs w:val="22"/>
              </w:rPr>
              <w:t>Jean Knab</w:t>
            </w:r>
          </w:p>
          <w:p w:rsidRPr="004B62F8" w:rsidR="00EA1BE6" w:rsidP="00EA1BE6" w:rsidRDefault="00EA1BE6" w14:paraId="5566FEBE" w14:textId="77777777">
            <w:pPr>
              <w:pStyle w:val="TableText"/>
              <w:ind w:left="360"/>
              <w:rPr>
                <w:rFonts w:ascii="Garamond" w:hAnsi="Garamond" w:eastAsia="Lucida Sans"/>
                <w:sz w:val="22"/>
                <w:szCs w:val="22"/>
              </w:rPr>
            </w:pPr>
            <w:r w:rsidRPr="004B62F8">
              <w:rPr>
                <w:rFonts w:ascii="Garamond" w:hAnsi="Garamond" w:eastAsia="Lucida Sans"/>
                <w:sz w:val="22"/>
                <w:szCs w:val="22"/>
              </w:rPr>
              <w:t xml:space="preserve">Mathematica </w:t>
            </w:r>
          </w:p>
          <w:p w:rsidRPr="004B62F8" w:rsidR="00EA1BE6" w:rsidP="00EA1BE6" w:rsidRDefault="00EA1BE6" w14:paraId="6B479CE8" w14:textId="77777777">
            <w:pPr>
              <w:pStyle w:val="TableText"/>
              <w:ind w:left="360"/>
              <w:rPr>
                <w:rFonts w:ascii="Garamond" w:hAnsi="Garamond" w:eastAsia="Lucida Sans"/>
                <w:sz w:val="22"/>
                <w:szCs w:val="22"/>
              </w:rPr>
            </w:pPr>
            <w:r w:rsidRPr="004B62F8">
              <w:rPr>
                <w:rFonts w:ascii="Garamond" w:hAnsi="Garamond" w:eastAsia="Lucida Sans"/>
                <w:sz w:val="22"/>
                <w:szCs w:val="22"/>
              </w:rPr>
              <w:t>P.O. Box 2393</w:t>
            </w:r>
          </w:p>
          <w:p w:rsidRPr="004B62F8" w:rsidR="00EA1BE6" w:rsidP="00EA1BE6" w:rsidRDefault="00EA1BE6" w14:paraId="355B60F9" w14:textId="77777777">
            <w:pPr>
              <w:pStyle w:val="TableText"/>
              <w:ind w:left="360"/>
              <w:rPr>
                <w:rFonts w:ascii="Garamond" w:hAnsi="Garamond" w:eastAsia="Lucida Sans"/>
                <w:sz w:val="22"/>
                <w:szCs w:val="22"/>
              </w:rPr>
            </w:pPr>
            <w:r w:rsidRPr="004B62F8">
              <w:rPr>
                <w:rFonts w:ascii="Garamond" w:hAnsi="Garamond" w:eastAsia="Lucida Sans"/>
                <w:sz w:val="22"/>
                <w:szCs w:val="22"/>
              </w:rPr>
              <w:t>Princeton, NJ 084543-2393</w:t>
            </w:r>
          </w:p>
          <w:p w:rsidRPr="004B62F8" w:rsidR="00EA1BE6" w:rsidP="00EA1BE6" w:rsidRDefault="00EA1BE6" w14:paraId="35A5CDED" w14:textId="0DA4117E">
            <w:pPr>
              <w:pStyle w:val="TableText"/>
              <w:ind w:left="360"/>
              <w:rPr>
                <w:rFonts w:ascii="Garamond" w:hAnsi="Garamond" w:eastAsia="Lucida Sans"/>
                <w:sz w:val="22"/>
                <w:szCs w:val="22"/>
              </w:rPr>
            </w:pPr>
            <w:r w:rsidRPr="004B62F8">
              <w:rPr>
                <w:rFonts w:ascii="Garamond" w:hAnsi="Garamond" w:eastAsia="Lucida Sans"/>
                <w:sz w:val="22"/>
                <w:szCs w:val="22"/>
              </w:rPr>
              <w:t>(609) 945-3367</w:t>
            </w:r>
          </w:p>
        </w:tc>
        <w:tc>
          <w:tcPr>
            <w:tcW w:w="2500" w:type="pct"/>
          </w:tcPr>
          <w:p w:rsidRPr="00003681" w:rsidR="00EA1BE6" w:rsidP="004B62F8" w:rsidRDefault="00EA1BE6" w14:paraId="34D9D870" w14:textId="5A79D87E">
            <w:pPr>
              <w:pStyle w:val="TableText"/>
              <w:ind w:left="360"/>
              <w:rPr>
                <w:rFonts w:ascii="Garamond" w:hAnsi="Garamond" w:eastAsia="Lucida Sans"/>
                <w:sz w:val="22"/>
                <w:szCs w:val="22"/>
              </w:rPr>
            </w:pPr>
          </w:p>
        </w:tc>
      </w:tr>
    </w:tbl>
    <w:p w:rsidRPr="004B62F8" w:rsidR="00AC0487" w:rsidP="004B62F8" w:rsidRDefault="00AC0487" w14:paraId="1F23ED61" w14:textId="364E2B8E">
      <w:pPr>
        <w:pStyle w:val="NormalSS"/>
        <w:rPr>
          <w:sz w:val="2"/>
          <w:szCs w:val="2"/>
        </w:rPr>
      </w:pPr>
    </w:p>
    <w:sectPr w:rsidRPr="004B62F8" w:rsidR="00AC0487" w:rsidSect="00AC0487">
      <w:headerReference w:type="default" r:id="rId15"/>
      <w:footerReference w:type="default" r:id="rId16"/>
      <w:endnotePr>
        <w:numFmt w:val="decimal"/>
      </w:endnotePr>
      <w:pgSz w:w="12240" w:h="15840" w:code="1"/>
      <w:pgMar w:top="1440" w:right="1440" w:bottom="1440" w:left="1440" w:header="720" w:footer="576" w:gutter="0"/>
      <w:pgNumType w:start="1"/>
      <w:cols w:space="720"/>
      <w:docGrid w:linePitch="15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194CA3" w14:textId="77777777" w:rsidR="00D96285" w:rsidRDefault="00D96285" w:rsidP="002E3E35">
      <w:pPr>
        <w:spacing w:line="240" w:lineRule="auto"/>
      </w:pPr>
      <w:r>
        <w:separator/>
      </w:r>
    </w:p>
  </w:endnote>
  <w:endnote w:type="continuationSeparator" w:id="0">
    <w:p w14:paraId="0158EA8E" w14:textId="77777777" w:rsidR="00D96285" w:rsidRDefault="00D96285" w:rsidP="002E3E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Lucida Sans">
    <w:panose1 w:val="020B0602030504020204"/>
    <w:charset w:val="00"/>
    <w:family w:val="swiss"/>
    <w:pitch w:val="variable"/>
    <w:sig w:usb0="00000003" w:usb1="00000000" w:usb2="00000000" w:usb3="00000000" w:csb0="00000001" w:csb1="00000000"/>
  </w:font>
  <w:font w:name="Garamond-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23ED67" w14:textId="77777777" w:rsidR="00292BB5" w:rsidRPr="004B75AD" w:rsidRDefault="00292BB5" w:rsidP="00186002">
    <w:pPr>
      <w:pStyle w:val="Footer"/>
      <w:pBdr>
        <w:bottom w:val="none" w:sz="0" w:space="0" w:color="auto"/>
      </w:pBdr>
      <w:rPr>
        <w:rStyle w:val="PageNumber"/>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23ED69" w14:textId="77777777" w:rsidR="00292BB5" w:rsidRPr="00843124" w:rsidRDefault="00292BB5" w:rsidP="00AB1363">
    <w:pPr>
      <w:pStyle w:val="Footer"/>
      <w:pBdr>
        <w:bottom w:val="single" w:sz="4" w:space="1" w:color="000000" w:themeColor="text1"/>
      </w:pBdr>
      <w:tabs>
        <w:tab w:val="clear" w:pos="4320"/>
        <w:tab w:val="clear" w:pos="9360"/>
      </w:tabs>
      <w:rPr>
        <w:rFonts w:cs="Arial"/>
        <w:snapToGrid w:val="0"/>
      </w:rPr>
    </w:pPr>
  </w:p>
  <w:p w14:paraId="1F23ED6A" w14:textId="77777777" w:rsidR="00292BB5" w:rsidRDefault="00292BB5" w:rsidP="00436B9F">
    <w:pPr>
      <w:pStyle w:val="Footer"/>
      <w:pBdr>
        <w:bottom w:val="none" w:sz="0" w:space="0" w:color="auto"/>
      </w:pBdr>
      <w:jc w:val="left"/>
      <w:rPr>
        <w:rStyle w:val="PageNumber"/>
        <w:rFonts w:cs="Arial"/>
      </w:rPr>
    </w:pPr>
  </w:p>
  <w:p w14:paraId="1F23ED6B" w14:textId="35E89ACD" w:rsidR="00292BB5" w:rsidRPr="004B75AD" w:rsidRDefault="00292BB5" w:rsidP="00436B9F">
    <w:pPr>
      <w:pStyle w:val="Footer"/>
      <w:pBdr>
        <w:bottom w:val="none" w:sz="0" w:space="0" w:color="auto"/>
      </w:pBdr>
      <w:jc w:val="center"/>
      <w:rPr>
        <w:rStyle w:val="PageNumber"/>
      </w:rPr>
    </w:pPr>
    <w:r w:rsidRPr="00843124">
      <w:rPr>
        <w:rStyle w:val="PageNumber"/>
        <w:rFonts w:cs="Arial"/>
      </w:rPr>
      <w:fldChar w:fldCharType="begin"/>
    </w:r>
    <w:r w:rsidRPr="00843124">
      <w:rPr>
        <w:rStyle w:val="PageNumber"/>
        <w:rFonts w:cs="Arial"/>
      </w:rPr>
      <w:instrText xml:space="preserve"> PAGE </w:instrText>
    </w:r>
    <w:r w:rsidRPr="00843124">
      <w:rPr>
        <w:rStyle w:val="PageNumber"/>
        <w:rFonts w:cs="Arial"/>
      </w:rPr>
      <w:fldChar w:fldCharType="separate"/>
    </w:r>
    <w:r w:rsidR="007570B0">
      <w:rPr>
        <w:rStyle w:val="PageNumber"/>
        <w:rFonts w:cs="Arial"/>
        <w:noProof/>
      </w:rPr>
      <w:t>iv</w:t>
    </w:r>
    <w:r w:rsidRPr="00843124">
      <w:rPr>
        <w:rStyle w:val="PageNumber"/>
        <w:rFonts w:cs="Ari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23ED6D" w14:textId="77777777" w:rsidR="00292BB5" w:rsidRPr="00A12B64" w:rsidRDefault="00292BB5" w:rsidP="00455D47">
    <w:pPr>
      <w:pStyle w:val="Footer"/>
      <w:pBdr>
        <w:bottom w:val="none" w:sz="0" w:space="0" w:color="auto"/>
      </w:pBdr>
      <w:tabs>
        <w:tab w:val="clear" w:pos="4320"/>
        <w:tab w:val="right" w:leader="underscore" w:pos="8539"/>
      </w:tabs>
      <w:spacing w:line="192" w:lineRule="auto"/>
      <w:rPr>
        <w:rFonts w:cs="Arial"/>
        <w:snapToGrid w:val="0"/>
        <w:szCs w:val="14"/>
      </w:rPr>
    </w:pPr>
  </w:p>
  <w:p w14:paraId="1F23ED6E" w14:textId="77777777" w:rsidR="00292BB5" w:rsidRDefault="00292BB5" w:rsidP="00455D47">
    <w:pPr>
      <w:pStyle w:val="Footer"/>
      <w:pBdr>
        <w:top w:val="single" w:sz="2" w:space="1" w:color="auto"/>
        <w:bottom w:val="none" w:sz="0" w:space="0" w:color="auto"/>
      </w:pBdr>
      <w:spacing w:line="192" w:lineRule="auto"/>
      <w:rPr>
        <w:rStyle w:val="PageNumber"/>
      </w:rPr>
    </w:pPr>
  </w:p>
  <w:bookmarkStart w:id="63" w:name="Draft"/>
  <w:bookmarkEnd w:id="63"/>
  <w:p w14:paraId="1F23ED6F" w14:textId="1D620560" w:rsidR="00292BB5" w:rsidRPr="00964AB7" w:rsidRDefault="00292BB5" w:rsidP="00436B9F">
    <w:pPr>
      <w:pStyle w:val="Footer"/>
      <w:pBdr>
        <w:top w:val="single" w:sz="2" w:space="1" w:color="auto"/>
        <w:bottom w:val="none" w:sz="0" w:space="0" w:color="auto"/>
      </w:pBdr>
      <w:jc w:val="center"/>
      <w:rPr>
        <w:rStyle w:val="PageNumber"/>
      </w:rPr>
    </w:pPr>
    <w:r w:rsidRPr="00964AB7">
      <w:rPr>
        <w:rStyle w:val="PageNumber"/>
      </w:rPr>
      <w:fldChar w:fldCharType="begin"/>
    </w:r>
    <w:r w:rsidRPr="00964AB7">
      <w:rPr>
        <w:rStyle w:val="PageNumber"/>
      </w:rPr>
      <w:instrText xml:space="preserve"> PAGE </w:instrText>
    </w:r>
    <w:r w:rsidRPr="00964AB7">
      <w:rPr>
        <w:rStyle w:val="PageNumber"/>
      </w:rPr>
      <w:fldChar w:fldCharType="separate"/>
    </w:r>
    <w:r w:rsidR="007570B0">
      <w:rPr>
        <w:rStyle w:val="PageNumber"/>
        <w:noProof/>
      </w:rPr>
      <w:t>5</w:t>
    </w:r>
    <w:r w:rsidRPr="00964AB7">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BA7EA1" w14:textId="77777777" w:rsidR="00D96285" w:rsidRDefault="00D96285" w:rsidP="00203E3B">
      <w:pPr>
        <w:spacing w:line="240" w:lineRule="auto"/>
        <w:ind w:firstLine="0"/>
      </w:pPr>
      <w:r>
        <w:separator/>
      </w:r>
    </w:p>
  </w:footnote>
  <w:footnote w:type="continuationSeparator" w:id="0">
    <w:p w14:paraId="06FCF256" w14:textId="77777777" w:rsidR="00D96285" w:rsidRDefault="00D96285" w:rsidP="00203E3B">
      <w:pPr>
        <w:spacing w:line="240" w:lineRule="auto"/>
        <w:ind w:firstLine="0"/>
      </w:pPr>
      <w:r>
        <w:separator/>
      </w:r>
    </w:p>
    <w:p w14:paraId="30E97A5A" w14:textId="77777777" w:rsidR="00D96285" w:rsidRPr="00157CA2" w:rsidRDefault="00D96285" w:rsidP="00203E3B">
      <w:pPr>
        <w:spacing w:after="120" w:line="240" w:lineRule="auto"/>
        <w:ind w:firstLine="0"/>
        <w:rPr>
          <w:sz w:val="20"/>
        </w:rPr>
      </w:pPr>
      <w:r w:rsidRPr="00157CA2">
        <w:rPr>
          <w:i/>
          <w:sz w:val="20"/>
        </w:rPr>
        <w:t>(continued)</w:t>
      </w:r>
    </w:p>
  </w:footnote>
  <w:footnote w:id="1">
    <w:p w14:paraId="4E9D7A0A" w14:textId="66463941" w:rsidR="00292BB5" w:rsidRDefault="00292BB5" w:rsidP="00560301">
      <w:pPr>
        <w:pStyle w:val="FootnoteText"/>
      </w:pPr>
      <w:r>
        <w:rPr>
          <w:rStyle w:val="FootnoteReference"/>
        </w:rPr>
        <w:footnoteRef/>
      </w:r>
      <w:r>
        <w:t xml:space="preserve"> Youth assent is obtained prior to each round of data collection.</w:t>
      </w:r>
      <w:r w:rsidR="000A1BB4">
        <w:t xml:space="preserve"> </w:t>
      </w:r>
    </w:p>
  </w:footnote>
  <w:footnote w:id="2">
    <w:p w14:paraId="6CDFC9F7" w14:textId="726F481B" w:rsidR="00292BB5" w:rsidRDefault="00292BB5" w:rsidP="00925E6C">
      <w:pPr>
        <w:pStyle w:val="FootnoteText"/>
      </w:pPr>
      <w:r>
        <w:rPr>
          <w:rStyle w:val="FootnoteReference"/>
        </w:rPr>
        <w:footnoteRef/>
      </w:r>
      <w:r>
        <w:t xml:space="preserve"> The participant-facing name of the study is the Attitudes, Behaviors, and Choices (or ABC) Study. This name appears on the instrument (Instrument 1).</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23ED68" w14:textId="77777777" w:rsidR="00292BB5" w:rsidRPr="00061AF7" w:rsidRDefault="00292BB5" w:rsidP="00436B9F">
    <w:pPr>
      <w:pStyle w:val="Header"/>
      <w:pBdr>
        <w:bottom w:val="none" w:sz="0" w:space="0" w:color="auto"/>
      </w:pBdr>
      <w:rPr>
        <w:szCs w:val="2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23ED6C" w14:textId="77777777" w:rsidR="00292BB5" w:rsidRPr="00436B9F" w:rsidRDefault="00292BB5" w:rsidP="00436B9F">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C6F67F7A"/>
    <w:lvl w:ilvl="0">
      <w:start w:val="1"/>
      <w:numFmt w:val="bullet"/>
      <w:pStyle w:val="DashLAS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15:restartNumberingAfterBreak="0">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15:restartNumberingAfterBreak="0">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15:restartNumberingAfterBreak="0">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15:restartNumberingAfterBreak="0">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7" w15:restartNumberingAfterBreak="0">
    <w:nsid w:val="3012670A"/>
    <w:multiLevelType w:val="hybridMultilevel"/>
    <w:tmpl w:val="096CDA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9" w15:restartNumberingAfterBreak="0">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F547443"/>
    <w:multiLevelType w:val="hybridMultilevel"/>
    <w:tmpl w:val="E7DEE1F4"/>
    <w:lvl w:ilvl="0" w:tplc="4080ECB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1" w15:restartNumberingAfterBreak="0">
    <w:nsid w:val="640C62C1"/>
    <w:multiLevelType w:val="hybridMultilevel"/>
    <w:tmpl w:val="8AEC0C86"/>
    <w:lvl w:ilvl="0" w:tplc="5FAE32F2">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 w15:restartNumberingAfterBreak="0">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3" w15:restartNumberingAfterBreak="0">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9"/>
  </w:num>
  <w:num w:numId="3">
    <w:abstractNumId w:val="15"/>
  </w:num>
  <w:num w:numId="4">
    <w:abstractNumId w:val="3"/>
  </w:num>
  <w:num w:numId="5">
    <w:abstractNumId w:val="14"/>
  </w:num>
  <w:num w:numId="6">
    <w:abstractNumId w:val="12"/>
  </w:num>
  <w:num w:numId="7">
    <w:abstractNumId w:val="0"/>
  </w:num>
  <w:num w:numId="8">
    <w:abstractNumId w:val="8"/>
  </w:num>
  <w:num w:numId="9">
    <w:abstractNumId w:val="6"/>
  </w:num>
  <w:num w:numId="10">
    <w:abstractNumId w:val="4"/>
  </w:num>
  <w:num w:numId="11">
    <w:abstractNumId w:val="5"/>
  </w:num>
  <w:num w:numId="12">
    <w:abstractNumId w:val="1"/>
  </w:num>
  <w:num w:numId="13">
    <w:abstractNumId w:val="11"/>
  </w:num>
  <w:num w:numId="14">
    <w:abstractNumId w:val="2"/>
  </w:num>
  <w:num w:numId="15">
    <w:abstractNumId w:val="10"/>
  </w:num>
  <w:num w:numId="16">
    <w:abstractNumId w:val="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hideGrammaticalErrors/>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432"/>
  <w:characterSpacingControl w:val="doNotCompress"/>
  <w:hdrShapeDefaults>
    <o:shapedefaults v:ext="edit" spidmax="6145"/>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B9F"/>
    <w:rsid w:val="000030B1"/>
    <w:rsid w:val="00003681"/>
    <w:rsid w:val="000105C9"/>
    <w:rsid w:val="00010CEE"/>
    <w:rsid w:val="00013493"/>
    <w:rsid w:val="000137E8"/>
    <w:rsid w:val="0001587F"/>
    <w:rsid w:val="0001610D"/>
    <w:rsid w:val="00016BE4"/>
    <w:rsid w:val="00016D34"/>
    <w:rsid w:val="000212FC"/>
    <w:rsid w:val="00022A0A"/>
    <w:rsid w:val="0002322B"/>
    <w:rsid w:val="0002460E"/>
    <w:rsid w:val="0002754E"/>
    <w:rsid w:val="0003265D"/>
    <w:rsid w:val="00032E4E"/>
    <w:rsid w:val="00034667"/>
    <w:rsid w:val="00036E7F"/>
    <w:rsid w:val="00040B2C"/>
    <w:rsid w:val="00041A68"/>
    <w:rsid w:val="000423BE"/>
    <w:rsid w:val="00042419"/>
    <w:rsid w:val="00042FA8"/>
    <w:rsid w:val="00043329"/>
    <w:rsid w:val="00043B27"/>
    <w:rsid w:val="00044069"/>
    <w:rsid w:val="00047BDD"/>
    <w:rsid w:val="00056BC1"/>
    <w:rsid w:val="000575D5"/>
    <w:rsid w:val="000578BB"/>
    <w:rsid w:val="00060579"/>
    <w:rsid w:val="000633AA"/>
    <w:rsid w:val="00064B98"/>
    <w:rsid w:val="00065074"/>
    <w:rsid w:val="0007041A"/>
    <w:rsid w:val="00071EBE"/>
    <w:rsid w:val="000777DB"/>
    <w:rsid w:val="000806E2"/>
    <w:rsid w:val="000855BD"/>
    <w:rsid w:val="00086066"/>
    <w:rsid w:val="0009143A"/>
    <w:rsid w:val="00095543"/>
    <w:rsid w:val="000972E1"/>
    <w:rsid w:val="000A1BB4"/>
    <w:rsid w:val="000A2181"/>
    <w:rsid w:val="000A2330"/>
    <w:rsid w:val="000A5A8D"/>
    <w:rsid w:val="000A6591"/>
    <w:rsid w:val="000A7604"/>
    <w:rsid w:val="000A7FB4"/>
    <w:rsid w:val="000B521D"/>
    <w:rsid w:val="000B555A"/>
    <w:rsid w:val="000B764C"/>
    <w:rsid w:val="000C2E3B"/>
    <w:rsid w:val="000C413E"/>
    <w:rsid w:val="000C4233"/>
    <w:rsid w:val="000C7D4D"/>
    <w:rsid w:val="000D1A86"/>
    <w:rsid w:val="000D3BFB"/>
    <w:rsid w:val="000D5B34"/>
    <w:rsid w:val="000D6D88"/>
    <w:rsid w:val="000D751A"/>
    <w:rsid w:val="000E0694"/>
    <w:rsid w:val="000E1C2B"/>
    <w:rsid w:val="000E2169"/>
    <w:rsid w:val="000E3DCE"/>
    <w:rsid w:val="000E4C3F"/>
    <w:rsid w:val="000F0992"/>
    <w:rsid w:val="000F677B"/>
    <w:rsid w:val="001004A7"/>
    <w:rsid w:val="001119F8"/>
    <w:rsid w:val="00112577"/>
    <w:rsid w:val="00112A5E"/>
    <w:rsid w:val="00113CC8"/>
    <w:rsid w:val="00116655"/>
    <w:rsid w:val="00122C2C"/>
    <w:rsid w:val="00130C03"/>
    <w:rsid w:val="001311F7"/>
    <w:rsid w:val="0013184F"/>
    <w:rsid w:val="00131D22"/>
    <w:rsid w:val="00131F00"/>
    <w:rsid w:val="001323C1"/>
    <w:rsid w:val="0013346F"/>
    <w:rsid w:val="00134E28"/>
    <w:rsid w:val="00135EB7"/>
    <w:rsid w:val="0013709C"/>
    <w:rsid w:val="001424BC"/>
    <w:rsid w:val="001429FE"/>
    <w:rsid w:val="00146CE3"/>
    <w:rsid w:val="00147515"/>
    <w:rsid w:val="00147A74"/>
    <w:rsid w:val="001508EF"/>
    <w:rsid w:val="0015328C"/>
    <w:rsid w:val="00153DA4"/>
    <w:rsid w:val="00154DF1"/>
    <w:rsid w:val="00155D06"/>
    <w:rsid w:val="00157CA2"/>
    <w:rsid w:val="001649D5"/>
    <w:rsid w:val="00164BC2"/>
    <w:rsid w:val="00172881"/>
    <w:rsid w:val="001739F1"/>
    <w:rsid w:val="00181AC8"/>
    <w:rsid w:val="00184421"/>
    <w:rsid w:val="00185CEF"/>
    <w:rsid w:val="00185D22"/>
    <w:rsid w:val="00186002"/>
    <w:rsid w:val="001861AD"/>
    <w:rsid w:val="00190103"/>
    <w:rsid w:val="0019132F"/>
    <w:rsid w:val="001921A4"/>
    <w:rsid w:val="00194A0E"/>
    <w:rsid w:val="001969F1"/>
    <w:rsid w:val="00196E5A"/>
    <w:rsid w:val="00197503"/>
    <w:rsid w:val="001A3781"/>
    <w:rsid w:val="001B107D"/>
    <w:rsid w:val="001B2D5A"/>
    <w:rsid w:val="001B4842"/>
    <w:rsid w:val="001B6005"/>
    <w:rsid w:val="001C06D5"/>
    <w:rsid w:val="001C5EB8"/>
    <w:rsid w:val="001C7FBE"/>
    <w:rsid w:val="001D04BD"/>
    <w:rsid w:val="001D3544"/>
    <w:rsid w:val="001D39AA"/>
    <w:rsid w:val="001D39EC"/>
    <w:rsid w:val="001D418D"/>
    <w:rsid w:val="001D41C6"/>
    <w:rsid w:val="001D661F"/>
    <w:rsid w:val="001D7B65"/>
    <w:rsid w:val="001E065D"/>
    <w:rsid w:val="001E583B"/>
    <w:rsid w:val="001E6A60"/>
    <w:rsid w:val="001E6E5A"/>
    <w:rsid w:val="00201E7E"/>
    <w:rsid w:val="00203E3B"/>
    <w:rsid w:val="00204AB9"/>
    <w:rsid w:val="00204B23"/>
    <w:rsid w:val="002050B7"/>
    <w:rsid w:val="002135F6"/>
    <w:rsid w:val="00214E0B"/>
    <w:rsid w:val="00215C5A"/>
    <w:rsid w:val="00215E4D"/>
    <w:rsid w:val="0021652B"/>
    <w:rsid w:val="002166BC"/>
    <w:rsid w:val="00217FA0"/>
    <w:rsid w:val="00220F96"/>
    <w:rsid w:val="00225954"/>
    <w:rsid w:val="0022714B"/>
    <w:rsid w:val="002272CB"/>
    <w:rsid w:val="00231607"/>
    <w:rsid w:val="0023638D"/>
    <w:rsid w:val="00247945"/>
    <w:rsid w:val="00254C89"/>
    <w:rsid w:val="00254E2D"/>
    <w:rsid w:val="00256D04"/>
    <w:rsid w:val="0026025C"/>
    <w:rsid w:val="0026053B"/>
    <w:rsid w:val="0026713B"/>
    <w:rsid w:val="00271C83"/>
    <w:rsid w:val="0027245E"/>
    <w:rsid w:val="00272B66"/>
    <w:rsid w:val="002733A4"/>
    <w:rsid w:val="002774C3"/>
    <w:rsid w:val="002817A6"/>
    <w:rsid w:val="00283304"/>
    <w:rsid w:val="0028360E"/>
    <w:rsid w:val="002869EF"/>
    <w:rsid w:val="0029011D"/>
    <w:rsid w:val="0029042C"/>
    <w:rsid w:val="00292A7F"/>
    <w:rsid w:val="00292BB5"/>
    <w:rsid w:val="00293228"/>
    <w:rsid w:val="00294B21"/>
    <w:rsid w:val="00297266"/>
    <w:rsid w:val="002978AA"/>
    <w:rsid w:val="002A00E4"/>
    <w:rsid w:val="002A2808"/>
    <w:rsid w:val="002A3D5D"/>
    <w:rsid w:val="002A4F27"/>
    <w:rsid w:val="002A64F9"/>
    <w:rsid w:val="002A6552"/>
    <w:rsid w:val="002B0E82"/>
    <w:rsid w:val="002B25CD"/>
    <w:rsid w:val="002B71CD"/>
    <w:rsid w:val="002B72E0"/>
    <w:rsid w:val="002B76AB"/>
    <w:rsid w:val="002B7C37"/>
    <w:rsid w:val="002C1507"/>
    <w:rsid w:val="002C35F2"/>
    <w:rsid w:val="002C3CA5"/>
    <w:rsid w:val="002C40A9"/>
    <w:rsid w:val="002C598D"/>
    <w:rsid w:val="002C71CA"/>
    <w:rsid w:val="002D262A"/>
    <w:rsid w:val="002D6763"/>
    <w:rsid w:val="002D7B94"/>
    <w:rsid w:val="002E06F1"/>
    <w:rsid w:val="002E1A2B"/>
    <w:rsid w:val="002E226E"/>
    <w:rsid w:val="002E3E35"/>
    <w:rsid w:val="002F1CD9"/>
    <w:rsid w:val="002F297B"/>
    <w:rsid w:val="002F6E35"/>
    <w:rsid w:val="0030242C"/>
    <w:rsid w:val="00302890"/>
    <w:rsid w:val="00306F1E"/>
    <w:rsid w:val="003103CD"/>
    <w:rsid w:val="00310CBE"/>
    <w:rsid w:val="00310F11"/>
    <w:rsid w:val="00315DEC"/>
    <w:rsid w:val="0031740A"/>
    <w:rsid w:val="00317FDB"/>
    <w:rsid w:val="00321DAF"/>
    <w:rsid w:val="003250D8"/>
    <w:rsid w:val="00325FF2"/>
    <w:rsid w:val="00326958"/>
    <w:rsid w:val="0033012A"/>
    <w:rsid w:val="003308C3"/>
    <w:rsid w:val="00331ADC"/>
    <w:rsid w:val="0034032A"/>
    <w:rsid w:val="00341682"/>
    <w:rsid w:val="003426BF"/>
    <w:rsid w:val="00345556"/>
    <w:rsid w:val="003459EC"/>
    <w:rsid w:val="00346E5F"/>
    <w:rsid w:val="0035526C"/>
    <w:rsid w:val="003560DB"/>
    <w:rsid w:val="00356F70"/>
    <w:rsid w:val="00357B5C"/>
    <w:rsid w:val="00363410"/>
    <w:rsid w:val="00363A19"/>
    <w:rsid w:val="003656C4"/>
    <w:rsid w:val="00366F93"/>
    <w:rsid w:val="00370490"/>
    <w:rsid w:val="00370BC5"/>
    <w:rsid w:val="00370D5B"/>
    <w:rsid w:val="003743AD"/>
    <w:rsid w:val="00384A00"/>
    <w:rsid w:val="00384E5E"/>
    <w:rsid w:val="00387C3D"/>
    <w:rsid w:val="00387D9A"/>
    <w:rsid w:val="003921CA"/>
    <w:rsid w:val="00392614"/>
    <w:rsid w:val="00394544"/>
    <w:rsid w:val="00394DAA"/>
    <w:rsid w:val="003969F2"/>
    <w:rsid w:val="00396F18"/>
    <w:rsid w:val="00396FD7"/>
    <w:rsid w:val="003A0C7A"/>
    <w:rsid w:val="003A16DA"/>
    <w:rsid w:val="003A3ADA"/>
    <w:rsid w:val="003A501E"/>
    <w:rsid w:val="003A5EFC"/>
    <w:rsid w:val="003A63C1"/>
    <w:rsid w:val="003C208A"/>
    <w:rsid w:val="003C3464"/>
    <w:rsid w:val="003C38EC"/>
    <w:rsid w:val="003C3D79"/>
    <w:rsid w:val="003C52DF"/>
    <w:rsid w:val="003C5C02"/>
    <w:rsid w:val="003E1520"/>
    <w:rsid w:val="003E21DB"/>
    <w:rsid w:val="003E3505"/>
    <w:rsid w:val="003E418E"/>
    <w:rsid w:val="003E7053"/>
    <w:rsid w:val="003E7979"/>
    <w:rsid w:val="003F3E5C"/>
    <w:rsid w:val="003F4ADD"/>
    <w:rsid w:val="003F7027"/>
    <w:rsid w:val="003F7648"/>
    <w:rsid w:val="003F7D6D"/>
    <w:rsid w:val="004018DC"/>
    <w:rsid w:val="00406760"/>
    <w:rsid w:val="00406AC8"/>
    <w:rsid w:val="0041193C"/>
    <w:rsid w:val="00413779"/>
    <w:rsid w:val="00430A83"/>
    <w:rsid w:val="00431084"/>
    <w:rsid w:val="00433E4F"/>
    <w:rsid w:val="00435539"/>
    <w:rsid w:val="00436B58"/>
    <w:rsid w:val="00436B9F"/>
    <w:rsid w:val="00436BEA"/>
    <w:rsid w:val="00436D0A"/>
    <w:rsid w:val="00437868"/>
    <w:rsid w:val="004406E3"/>
    <w:rsid w:val="0044335E"/>
    <w:rsid w:val="004461E4"/>
    <w:rsid w:val="00446C1B"/>
    <w:rsid w:val="004521CE"/>
    <w:rsid w:val="0045260E"/>
    <w:rsid w:val="004533DB"/>
    <w:rsid w:val="00455D47"/>
    <w:rsid w:val="004603C8"/>
    <w:rsid w:val="004620FF"/>
    <w:rsid w:val="00462212"/>
    <w:rsid w:val="00464B7F"/>
    <w:rsid w:val="004655C1"/>
    <w:rsid w:val="00465789"/>
    <w:rsid w:val="004662C5"/>
    <w:rsid w:val="00480779"/>
    <w:rsid w:val="004867C2"/>
    <w:rsid w:val="0049195D"/>
    <w:rsid w:val="00491AB9"/>
    <w:rsid w:val="00492E6D"/>
    <w:rsid w:val="004934BE"/>
    <w:rsid w:val="00495DE3"/>
    <w:rsid w:val="004A4935"/>
    <w:rsid w:val="004B47D3"/>
    <w:rsid w:val="004B62F8"/>
    <w:rsid w:val="004C040C"/>
    <w:rsid w:val="004C3172"/>
    <w:rsid w:val="004C498B"/>
    <w:rsid w:val="004C67B1"/>
    <w:rsid w:val="004D1EAA"/>
    <w:rsid w:val="004D2C35"/>
    <w:rsid w:val="004D6B97"/>
    <w:rsid w:val="004E049B"/>
    <w:rsid w:val="004E4AB7"/>
    <w:rsid w:val="004E69F7"/>
    <w:rsid w:val="004E7409"/>
    <w:rsid w:val="004E74D1"/>
    <w:rsid w:val="004F2BAC"/>
    <w:rsid w:val="004F36C4"/>
    <w:rsid w:val="004F79F1"/>
    <w:rsid w:val="00500104"/>
    <w:rsid w:val="0050038C"/>
    <w:rsid w:val="00505804"/>
    <w:rsid w:val="00506F79"/>
    <w:rsid w:val="0050712A"/>
    <w:rsid w:val="00511D22"/>
    <w:rsid w:val="0051675D"/>
    <w:rsid w:val="00516767"/>
    <w:rsid w:val="005257EC"/>
    <w:rsid w:val="00526576"/>
    <w:rsid w:val="00526D08"/>
    <w:rsid w:val="00531E08"/>
    <w:rsid w:val="00535221"/>
    <w:rsid w:val="0053540D"/>
    <w:rsid w:val="00537A47"/>
    <w:rsid w:val="00537E01"/>
    <w:rsid w:val="005400FC"/>
    <w:rsid w:val="00540352"/>
    <w:rsid w:val="005403E8"/>
    <w:rsid w:val="005477BF"/>
    <w:rsid w:val="00551D48"/>
    <w:rsid w:val="005547CA"/>
    <w:rsid w:val="00555785"/>
    <w:rsid w:val="00555F68"/>
    <w:rsid w:val="005576F8"/>
    <w:rsid w:val="00560301"/>
    <w:rsid w:val="00560D9D"/>
    <w:rsid w:val="00561604"/>
    <w:rsid w:val="005720EB"/>
    <w:rsid w:val="00580A6C"/>
    <w:rsid w:val="005837E2"/>
    <w:rsid w:val="005849EF"/>
    <w:rsid w:val="00585F60"/>
    <w:rsid w:val="005860D2"/>
    <w:rsid w:val="005903AC"/>
    <w:rsid w:val="005975FE"/>
    <w:rsid w:val="005A151B"/>
    <w:rsid w:val="005A7F69"/>
    <w:rsid w:val="005B3BFB"/>
    <w:rsid w:val="005C2E96"/>
    <w:rsid w:val="005C40D5"/>
    <w:rsid w:val="005C40E0"/>
    <w:rsid w:val="005D1DEB"/>
    <w:rsid w:val="005D2823"/>
    <w:rsid w:val="005D3DDA"/>
    <w:rsid w:val="005D4213"/>
    <w:rsid w:val="005D51C5"/>
    <w:rsid w:val="005D5D21"/>
    <w:rsid w:val="005E2B24"/>
    <w:rsid w:val="005E33E4"/>
    <w:rsid w:val="005E454D"/>
    <w:rsid w:val="005F0493"/>
    <w:rsid w:val="005F0AD9"/>
    <w:rsid w:val="005F1D43"/>
    <w:rsid w:val="005F28ED"/>
    <w:rsid w:val="005F5DC1"/>
    <w:rsid w:val="005F6F8C"/>
    <w:rsid w:val="005F7ADD"/>
    <w:rsid w:val="005F7FEA"/>
    <w:rsid w:val="00604551"/>
    <w:rsid w:val="006075CC"/>
    <w:rsid w:val="00615050"/>
    <w:rsid w:val="00616DE6"/>
    <w:rsid w:val="006174A1"/>
    <w:rsid w:val="006222F5"/>
    <w:rsid w:val="00622372"/>
    <w:rsid w:val="00623479"/>
    <w:rsid w:val="00623E13"/>
    <w:rsid w:val="0062545D"/>
    <w:rsid w:val="00633E77"/>
    <w:rsid w:val="0063644E"/>
    <w:rsid w:val="00636D6D"/>
    <w:rsid w:val="006371A1"/>
    <w:rsid w:val="006404FF"/>
    <w:rsid w:val="006420BF"/>
    <w:rsid w:val="0066062F"/>
    <w:rsid w:val="00660F62"/>
    <w:rsid w:val="0066273C"/>
    <w:rsid w:val="00665DF8"/>
    <w:rsid w:val="00671099"/>
    <w:rsid w:val="00672E94"/>
    <w:rsid w:val="0067358F"/>
    <w:rsid w:val="0067395C"/>
    <w:rsid w:val="00676A56"/>
    <w:rsid w:val="0068215C"/>
    <w:rsid w:val="0068230E"/>
    <w:rsid w:val="00692773"/>
    <w:rsid w:val="0069799C"/>
    <w:rsid w:val="00697E5B"/>
    <w:rsid w:val="006A465C"/>
    <w:rsid w:val="006A4FFC"/>
    <w:rsid w:val="006A5550"/>
    <w:rsid w:val="006A6D7D"/>
    <w:rsid w:val="006A73F8"/>
    <w:rsid w:val="006B1180"/>
    <w:rsid w:val="006B2425"/>
    <w:rsid w:val="006B2483"/>
    <w:rsid w:val="006B3AD4"/>
    <w:rsid w:val="006B4E3F"/>
    <w:rsid w:val="006B6D4A"/>
    <w:rsid w:val="006B74EE"/>
    <w:rsid w:val="006C2620"/>
    <w:rsid w:val="006C3304"/>
    <w:rsid w:val="006C7956"/>
    <w:rsid w:val="006D03BB"/>
    <w:rsid w:val="006D21FF"/>
    <w:rsid w:val="006D2F95"/>
    <w:rsid w:val="006D680C"/>
    <w:rsid w:val="006E33F2"/>
    <w:rsid w:val="006E3BD4"/>
    <w:rsid w:val="006E4164"/>
    <w:rsid w:val="006E5B0A"/>
    <w:rsid w:val="006F265F"/>
    <w:rsid w:val="006F3FEB"/>
    <w:rsid w:val="006F4AFC"/>
    <w:rsid w:val="006F730C"/>
    <w:rsid w:val="006F73F3"/>
    <w:rsid w:val="00700DDD"/>
    <w:rsid w:val="00702EB1"/>
    <w:rsid w:val="00702F11"/>
    <w:rsid w:val="007031B1"/>
    <w:rsid w:val="007043FD"/>
    <w:rsid w:val="00705F58"/>
    <w:rsid w:val="00707616"/>
    <w:rsid w:val="00707736"/>
    <w:rsid w:val="00711B96"/>
    <w:rsid w:val="007166C4"/>
    <w:rsid w:val="00716DB7"/>
    <w:rsid w:val="007222A0"/>
    <w:rsid w:val="00723709"/>
    <w:rsid w:val="007323B2"/>
    <w:rsid w:val="00735339"/>
    <w:rsid w:val="007367FC"/>
    <w:rsid w:val="00745FE6"/>
    <w:rsid w:val="0075488B"/>
    <w:rsid w:val="0075563B"/>
    <w:rsid w:val="00756044"/>
    <w:rsid w:val="00756E06"/>
    <w:rsid w:val="007570B0"/>
    <w:rsid w:val="007614D4"/>
    <w:rsid w:val="00761C9D"/>
    <w:rsid w:val="00761DA6"/>
    <w:rsid w:val="00764A19"/>
    <w:rsid w:val="007700B1"/>
    <w:rsid w:val="00780B38"/>
    <w:rsid w:val="0078108F"/>
    <w:rsid w:val="00781F52"/>
    <w:rsid w:val="007825D9"/>
    <w:rsid w:val="00787CE7"/>
    <w:rsid w:val="0079066B"/>
    <w:rsid w:val="00795908"/>
    <w:rsid w:val="007963EB"/>
    <w:rsid w:val="007A1493"/>
    <w:rsid w:val="007A2D95"/>
    <w:rsid w:val="007A2E39"/>
    <w:rsid w:val="007A3B4D"/>
    <w:rsid w:val="007A4FD7"/>
    <w:rsid w:val="007A69E8"/>
    <w:rsid w:val="007B1192"/>
    <w:rsid w:val="007B1305"/>
    <w:rsid w:val="007B1E87"/>
    <w:rsid w:val="007C123A"/>
    <w:rsid w:val="007C5737"/>
    <w:rsid w:val="007C6B92"/>
    <w:rsid w:val="007C7719"/>
    <w:rsid w:val="007D2AD5"/>
    <w:rsid w:val="007D45A5"/>
    <w:rsid w:val="007D6AE7"/>
    <w:rsid w:val="007D6CFB"/>
    <w:rsid w:val="007E1607"/>
    <w:rsid w:val="007E283B"/>
    <w:rsid w:val="007E574B"/>
    <w:rsid w:val="007E5750"/>
    <w:rsid w:val="007E6923"/>
    <w:rsid w:val="007F2352"/>
    <w:rsid w:val="0080264C"/>
    <w:rsid w:val="008059AC"/>
    <w:rsid w:val="008065F4"/>
    <w:rsid w:val="0081138B"/>
    <w:rsid w:val="00811638"/>
    <w:rsid w:val="00814AE7"/>
    <w:rsid w:val="00815382"/>
    <w:rsid w:val="00821341"/>
    <w:rsid w:val="0082228D"/>
    <w:rsid w:val="00825D1E"/>
    <w:rsid w:val="00826504"/>
    <w:rsid w:val="00830296"/>
    <w:rsid w:val="008321D0"/>
    <w:rsid w:val="00833A9C"/>
    <w:rsid w:val="00833B51"/>
    <w:rsid w:val="008403EE"/>
    <w:rsid w:val="008405D8"/>
    <w:rsid w:val="0084085B"/>
    <w:rsid w:val="00841251"/>
    <w:rsid w:val="00841793"/>
    <w:rsid w:val="00844A85"/>
    <w:rsid w:val="008453D2"/>
    <w:rsid w:val="0085028F"/>
    <w:rsid w:val="00850F24"/>
    <w:rsid w:val="00852D7A"/>
    <w:rsid w:val="008540D9"/>
    <w:rsid w:val="00854CC7"/>
    <w:rsid w:val="00854FD1"/>
    <w:rsid w:val="00861D60"/>
    <w:rsid w:val="00865AD4"/>
    <w:rsid w:val="00865E7D"/>
    <w:rsid w:val="00872A9C"/>
    <w:rsid w:val="008735E9"/>
    <w:rsid w:val="00877B02"/>
    <w:rsid w:val="00881073"/>
    <w:rsid w:val="008813AB"/>
    <w:rsid w:val="0088174A"/>
    <w:rsid w:val="00882E5C"/>
    <w:rsid w:val="00886F75"/>
    <w:rsid w:val="008928F0"/>
    <w:rsid w:val="00892D75"/>
    <w:rsid w:val="0089611E"/>
    <w:rsid w:val="00897391"/>
    <w:rsid w:val="008A1353"/>
    <w:rsid w:val="008A180A"/>
    <w:rsid w:val="008A705A"/>
    <w:rsid w:val="008B07B5"/>
    <w:rsid w:val="008B09D6"/>
    <w:rsid w:val="008B2BAC"/>
    <w:rsid w:val="008B39F0"/>
    <w:rsid w:val="008B4482"/>
    <w:rsid w:val="008B4E7B"/>
    <w:rsid w:val="008B5727"/>
    <w:rsid w:val="008B5ADA"/>
    <w:rsid w:val="008C0044"/>
    <w:rsid w:val="008C16FA"/>
    <w:rsid w:val="008C39E1"/>
    <w:rsid w:val="008C42DA"/>
    <w:rsid w:val="008C5D23"/>
    <w:rsid w:val="008C792F"/>
    <w:rsid w:val="008D19C5"/>
    <w:rsid w:val="008D680C"/>
    <w:rsid w:val="008D6AB9"/>
    <w:rsid w:val="008E0151"/>
    <w:rsid w:val="008E2336"/>
    <w:rsid w:val="008E4916"/>
    <w:rsid w:val="008E55C5"/>
    <w:rsid w:val="008E725C"/>
    <w:rsid w:val="008F1D93"/>
    <w:rsid w:val="008F2984"/>
    <w:rsid w:val="008F2D9D"/>
    <w:rsid w:val="008F466B"/>
    <w:rsid w:val="008F7DA8"/>
    <w:rsid w:val="00900ECE"/>
    <w:rsid w:val="0090139A"/>
    <w:rsid w:val="00901A33"/>
    <w:rsid w:val="00901CA4"/>
    <w:rsid w:val="00904057"/>
    <w:rsid w:val="009059B9"/>
    <w:rsid w:val="0091006B"/>
    <w:rsid w:val="00910B00"/>
    <w:rsid w:val="0091313F"/>
    <w:rsid w:val="00914549"/>
    <w:rsid w:val="009147A0"/>
    <w:rsid w:val="009157C5"/>
    <w:rsid w:val="00916365"/>
    <w:rsid w:val="0091711A"/>
    <w:rsid w:val="00917F77"/>
    <w:rsid w:val="0092292E"/>
    <w:rsid w:val="009250ED"/>
    <w:rsid w:val="009259C2"/>
    <w:rsid w:val="00925E6C"/>
    <w:rsid w:val="009311E7"/>
    <w:rsid w:val="00931483"/>
    <w:rsid w:val="009315B2"/>
    <w:rsid w:val="0093204A"/>
    <w:rsid w:val="00932372"/>
    <w:rsid w:val="00932E4E"/>
    <w:rsid w:val="00935598"/>
    <w:rsid w:val="00936482"/>
    <w:rsid w:val="00940BA2"/>
    <w:rsid w:val="00941736"/>
    <w:rsid w:val="00942CAC"/>
    <w:rsid w:val="00944C5E"/>
    <w:rsid w:val="009555B9"/>
    <w:rsid w:val="0095642D"/>
    <w:rsid w:val="009611A8"/>
    <w:rsid w:val="00962492"/>
    <w:rsid w:val="009625E7"/>
    <w:rsid w:val="00964824"/>
    <w:rsid w:val="00964B48"/>
    <w:rsid w:val="00965BCA"/>
    <w:rsid w:val="00970A65"/>
    <w:rsid w:val="00971E45"/>
    <w:rsid w:val="009720DB"/>
    <w:rsid w:val="00972C11"/>
    <w:rsid w:val="009766F4"/>
    <w:rsid w:val="00976BF5"/>
    <w:rsid w:val="009811BF"/>
    <w:rsid w:val="00981FE2"/>
    <w:rsid w:val="00982052"/>
    <w:rsid w:val="00982410"/>
    <w:rsid w:val="00994E80"/>
    <w:rsid w:val="00995D54"/>
    <w:rsid w:val="00997B9C"/>
    <w:rsid w:val="009A3178"/>
    <w:rsid w:val="009A5344"/>
    <w:rsid w:val="009A5B76"/>
    <w:rsid w:val="009B11C3"/>
    <w:rsid w:val="009B2E8C"/>
    <w:rsid w:val="009B69E2"/>
    <w:rsid w:val="009B6CDF"/>
    <w:rsid w:val="009B6D8C"/>
    <w:rsid w:val="009B76DA"/>
    <w:rsid w:val="009C13E5"/>
    <w:rsid w:val="009C17F5"/>
    <w:rsid w:val="009C4062"/>
    <w:rsid w:val="009C40AE"/>
    <w:rsid w:val="009C73FF"/>
    <w:rsid w:val="009D523A"/>
    <w:rsid w:val="009D58E7"/>
    <w:rsid w:val="009E2852"/>
    <w:rsid w:val="009E4B67"/>
    <w:rsid w:val="009E69BF"/>
    <w:rsid w:val="009E6C29"/>
    <w:rsid w:val="009E715C"/>
    <w:rsid w:val="009E756D"/>
    <w:rsid w:val="009E7C89"/>
    <w:rsid w:val="009F0227"/>
    <w:rsid w:val="009F11EC"/>
    <w:rsid w:val="009F33C2"/>
    <w:rsid w:val="009F45A2"/>
    <w:rsid w:val="009F4DF4"/>
    <w:rsid w:val="009F6772"/>
    <w:rsid w:val="00A00454"/>
    <w:rsid w:val="00A01047"/>
    <w:rsid w:val="00A04475"/>
    <w:rsid w:val="00A05FC2"/>
    <w:rsid w:val="00A064A6"/>
    <w:rsid w:val="00A1729F"/>
    <w:rsid w:val="00A20949"/>
    <w:rsid w:val="00A219A4"/>
    <w:rsid w:val="00A23043"/>
    <w:rsid w:val="00A23527"/>
    <w:rsid w:val="00A25844"/>
    <w:rsid w:val="00A26E0C"/>
    <w:rsid w:val="00A270F8"/>
    <w:rsid w:val="00A30C7E"/>
    <w:rsid w:val="00A311C2"/>
    <w:rsid w:val="00A343A5"/>
    <w:rsid w:val="00A3715B"/>
    <w:rsid w:val="00A40FBE"/>
    <w:rsid w:val="00A469D3"/>
    <w:rsid w:val="00A60379"/>
    <w:rsid w:val="00A60516"/>
    <w:rsid w:val="00A606CF"/>
    <w:rsid w:val="00A66515"/>
    <w:rsid w:val="00A66A4E"/>
    <w:rsid w:val="00A70EF5"/>
    <w:rsid w:val="00A71F96"/>
    <w:rsid w:val="00A741F7"/>
    <w:rsid w:val="00A74AFC"/>
    <w:rsid w:val="00A7666E"/>
    <w:rsid w:val="00A81E86"/>
    <w:rsid w:val="00A8684E"/>
    <w:rsid w:val="00A900BC"/>
    <w:rsid w:val="00A91DCC"/>
    <w:rsid w:val="00A92089"/>
    <w:rsid w:val="00A955F8"/>
    <w:rsid w:val="00A960CD"/>
    <w:rsid w:val="00A96CD2"/>
    <w:rsid w:val="00AA1231"/>
    <w:rsid w:val="00AA174B"/>
    <w:rsid w:val="00AA795E"/>
    <w:rsid w:val="00AB1363"/>
    <w:rsid w:val="00AB3DE6"/>
    <w:rsid w:val="00AB496C"/>
    <w:rsid w:val="00AB7AB9"/>
    <w:rsid w:val="00AB7DAD"/>
    <w:rsid w:val="00AC0487"/>
    <w:rsid w:val="00AC5E96"/>
    <w:rsid w:val="00AC603E"/>
    <w:rsid w:val="00AD059A"/>
    <w:rsid w:val="00AD2206"/>
    <w:rsid w:val="00AD24F3"/>
    <w:rsid w:val="00AD2E6C"/>
    <w:rsid w:val="00AE15EA"/>
    <w:rsid w:val="00AE2906"/>
    <w:rsid w:val="00AE3DBB"/>
    <w:rsid w:val="00AE7F2B"/>
    <w:rsid w:val="00AF0545"/>
    <w:rsid w:val="00B000BE"/>
    <w:rsid w:val="00B01117"/>
    <w:rsid w:val="00B01CB5"/>
    <w:rsid w:val="00B023D9"/>
    <w:rsid w:val="00B02C9E"/>
    <w:rsid w:val="00B0454A"/>
    <w:rsid w:val="00B04DDB"/>
    <w:rsid w:val="00B11994"/>
    <w:rsid w:val="00B11C13"/>
    <w:rsid w:val="00B11F80"/>
    <w:rsid w:val="00B13A9A"/>
    <w:rsid w:val="00B176FD"/>
    <w:rsid w:val="00B23CC5"/>
    <w:rsid w:val="00B27E84"/>
    <w:rsid w:val="00B30F06"/>
    <w:rsid w:val="00B331F4"/>
    <w:rsid w:val="00B33BD4"/>
    <w:rsid w:val="00B42423"/>
    <w:rsid w:val="00B43E13"/>
    <w:rsid w:val="00B4475C"/>
    <w:rsid w:val="00B45465"/>
    <w:rsid w:val="00B45B86"/>
    <w:rsid w:val="00B4693F"/>
    <w:rsid w:val="00B518EB"/>
    <w:rsid w:val="00B52D9B"/>
    <w:rsid w:val="00B55736"/>
    <w:rsid w:val="00B57DCF"/>
    <w:rsid w:val="00B6037C"/>
    <w:rsid w:val="00B6401F"/>
    <w:rsid w:val="00B708E1"/>
    <w:rsid w:val="00B72C2C"/>
    <w:rsid w:val="00B73D4C"/>
    <w:rsid w:val="00B80400"/>
    <w:rsid w:val="00B81C12"/>
    <w:rsid w:val="00B83B64"/>
    <w:rsid w:val="00B86658"/>
    <w:rsid w:val="00B86797"/>
    <w:rsid w:val="00B86E7E"/>
    <w:rsid w:val="00B9069A"/>
    <w:rsid w:val="00B90E1D"/>
    <w:rsid w:val="00B949A7"/>
    <w:rsid w:val="00B94D1D"/>
    <w:rsid w:val="00B973C9"/>
    <w:rsid w:val="00BA0343"/>
    <w:rsid w:val="00BA1316"/>
    <w:rsid w:val="00BA1813"/>
    <w:rsid w:val="00BA36B1"/>
    <w:rsid w:val="00BA67AC"/>
    <w:rsid w:val="00BA79D9"/>
    <w:rsid w:val="00BB000E"/>
    <w:rsid w:val="00BB076D"/>
    <w:rsid w:val="00BB4F8E"/>
    <w:rsid w:val="00BB553D"/>
    <w:rsid w:val="00BB5573"/>
    <w:rsid w:val="00BB5649"/>
    <w:rsid w:val="00BB74AC"/>
    <w:rsid w:val="00BC2562"/>
    <w:rsid w:val="00BC3468"/>
    <w:rsid w:val="00BD080E"/>
    <w:rsid w:val="00BE18A5"/>
    <w:rsid w:val="00BE266D"/>
    <w:rsid w:val="00BE2BC6"/>
    <w:rsid w:val="00BE33C8"/>
    <w:rsid w:val="00BE3720"/>
    <w:rsid w:val="00BE6894"/>
    <w:rsid w:val="00BF0E5A"/>
    <w:rsid w:val="00BF1CE7"/>
    <w:rsid w:val="00BF39D4"/>
    <w:rsid w:val="00BF3F82"/>
    <w:rsid w:val="00BF514C"/>
    <w:rsid w:val="00BF5B09"/>
    <w:rsid w:val="00BF7326"/>
    <w:rsid w:val="00C01B00"/>
    <w:rsid w:val="00C03960"/>
    <w:rsid w:val="00C138B9"/>
    <w:rsid w:val="00C14871"/>
    <w:rsid w:val="00C219D0"/>
    <w:rsid w:val="00C22391"/>
    <w:rsid w:val="00C22C89"/>
    <w:rsid w:val="00C247F2"/>
    <w:rsid w:val="00C2798C"/>
    <w:rsid w:val="00C305D6"/>
    <w:rsid w:val="00C30D9B"/>
    <w:rsid w:val="00C339FF"/>
    <w:rsid w:val="00C34457"/>
    <w:rsid w:val="00C3485F"/>
    <w:rsid w:val="00C4142C"/>
    <w:rsid w:val="00C44D41"/>
    <w:rsid w:val="00C45A45"/>
    <w:rsid w:val="00C45D90"/>
    <w:rsid w:val="00C46DC5"/>
    <w:rsid w:val="00C47A9D"/>
    <w:rsid w:val="00C50508"/>
    <w:rsid w:val="00C51094"/>
    <w:rsid w:val="00C536C6"/>
    <w:rsid w:val="00C53BAC"/>
    <w:rsid w:val="00C5662D"/>
    <w:rsid w:val="00C56C82"/>
    <w:rsid w:val="00C622A4"/>
    <w:rsid w:val="00C62485"/>
    <w:rsid w:val="00C6450B"/>
    <w:rsid w:val="00C7488A"/>
    <w:rsid w:val="00C749D7"/>
    <w:rsid w:val="00C81C15"/>
    <w:rsid w:val="00C81CE4"/>
    <w:rsid w:val="00C83353"/>
    <w:rsid w:val="00C86094"/>
    <w:rsid w:val="00C90382"/>
    <w:rsid w:val="00C90FA2"/>
    <w:rsid w:val="00C94B60"/>
    <w:rsid w:val="00C95148"/>
    <w:rsid w:val="00C971DE"/>
    <w:rsid w:val="00CA1FFC"/>
    <w:rsid w:val="00CA6471"/>
    <w:rsid w:val="00CA73BC"/>
    <w:rsid w:val="00CA7F45"/>
    <w:rsid w:val="00CB1CB6"/>
    <w:rsid w:val="00CB3552"/>
    <w:rsid w:val="00CB4AFD"/>
    <w:rsid w:val="00CB5308"/>
    <w:rsid w:val="00CB5665"/>
    <w:rsid w:val="00CB77C1"/>
    <w:rsid w:val="00CC1B89"/>
    <w:rsid w:val="00CC2B56"/>
    <w:rsid w:val="00CD0D49"/>
    <w:rsid w:val="00CD148B"/>
    <w:rsid w:val="00CD30C4"/>
    <w:rsid w:val="00CD3139"/>
    <w:rsid w:val="00CD7BC0"/>
    <w:rsid w:val="00CE347E"/>
    <w:rsid w:val="00CE4264"/>
    <w:rsid w:val="00CE55BF"/>
    <w:rsid w:val="00CE614C"/>
    <w:rsid w:val="00CF429F"/>
    <w:rsid w:val="00CF61B9"/>
    <w:rsid w:val="00CF6E72"/>
    <w:rsid w:val="00CF773F"/>
    <w:rsid w:val="00CF7C68"/>
    <w:rsid w:val="00D04B5A"/>
    <w:rsid w:val="00D05BD4"/>
    <w:rsid w:val="00D10B6E"/>
    <w:rsid w:val="00D13A18"/>
    <w:rsid w:val="00D13D36"/>
    <w:rsid w:val="00D154AE"/>
    <w:rsid w:val="00D15E8A"/>
    <w:rsid w:val="00D170E4"/>
    <w:rsid w:val="00D17530"/>
    <w:rsid w:val="00D17BAD"/>
    <w:rsid w:val="00D206F1"/>
    <w:rsid w:val="00D2381B"/>
    <w:rsid w:val="00D3011C"/>
    <w:rsid w:val="00D315DF"/>
    <w:rsid w:val="00D3206B"/>
    <w:rsid w:val="00D32D01"/>
    <w:rsid w:val="00D3411D"/>
    <w:rsid w:val="00D36A2A"/>
    <w:rsid w:val="00D426AD"/>
    <w:rsid w:val="00D44594"/>
    <w:rsid w:val="00D44A26"/>
    <w:rsid w:val="00D46A39"/>
    <w:rsid w:val="00D46CC5"/>
    <w:rsid w:val="00D50DC3"/>
    <w:rsid w:val="00D541E7"/>
    <w:rsid w:val="00D55CD0"/>
    <w:rsid w:val="00D71B98"/>
    <w:rsid w:val="00D7311E"/>
    <w:rsid w:val="00D849EE"/>
    <w:rsid w:val="00D854D7"/>
    <w:rsid w:val="00D864BC"/>
    <w:rsid w:val="00D8659F"/>
    <w:rsid w:val="00D9439C"/>
    <w:rsid w:val="00D96285"/>
    <w:rsid w:val="00DA37FA"/>
    <w:rsid w:val="00DA4B2C"/>
    <w:rsid w:val="00DA4E74"/>
    <w:rsid w:val="00DB0CFD"/>
    <w:rsid w:val="00DB2324"/>
    <w:rsid w:val="00DC02C5"/>
    <w:rsid w:val="00DC0518"/>
    <w:rsid w:val="00DC1465"/>
    <w:rsid w:val="00DC1F96"/>
    <w:rsid w:val="00DC2044"/>
    <w:rsid w:val="00DC57DB"/>
    <w:rsid w:val="00DD0FE8"/>
    <w:rsid w:val="00DD2ADB"/>
    <w:rsid w:val="00DE061D"/>
    <w:rsid w:val="00DE222B"/>
    <w:rsid w:val="00DE4BDB"/>
    <w:rsid w:val="00DE4FC5"/>
    <w:rsid w:val="00DF3111"/>
    <w:rsid w:val="00DF4330"/>
    <w:rsid w:val="00DF4F75"/>
    <w:rsid w:val="00DF683E"/>
    <w:rsid w:val="00DF7006"/>
    <w:rsid w:val="00DF71A3"/>
    <w:rsid w:val="00E03DB4"/>
    <w:rsid w:val="00E078D9"/>
    <w:rsid w:val="00E10E53"/>
    <w:rsid w:val="00E141D5"/>
    <w:rsid w:val="00E15AD4"/>
    <w:rsid w:val="00E16443"/>
    <w:rsid w:val="00E202FA"/>
    <w:rsid w:val="00E2107E"/>
    <w:rsid w:val="00E218CA"/>
    <w:rsid w:val="00E23370"/>
    <w:rsid w:val="00E2458E"/>
    <w:rsid w:val="00E253D5"/>
    <w:rsid w:val="00E25645"/>
    <w:rsid w:val="00E27030"/>
    <w:rsid w:val="00E273C6"/>
    <w:rsid w:val="00E30B5E"/>
    <w:rsid w:val="00E327F6"/>
    <w:rsid w:val="00E32DB6"/>
    <w:rsid w:val="00E36194"/>
    <w:rsid w:val="00E37223"/>
    <w:rsid w:val="00E4054A"/>
    <w:rsid w:val="00E4096D"/>
    <w:rsid w:val="00E41FF2"/>
    <w:rsid w:val="00E42570"/>
    <w:rsid w:val="00E4482D"/>
    <w:rsid w:val="00E463A9"/>
    <w:rsid w:val="00E50C9B"/>
    <w:rsid w:val="00E52E53"/>
    <w:rsid w:val="00E55240"/>
    <w:rsid w:val="00E55E9E"/>
    <w:rsid w:val="00E56206"/>
    <w:rsid w:val="00E57389"/>
    <w:rsid w:val="00E57A14"/>
    <w:rsid w:val="00E603E9"/>
    <w:rsid w:val="00E60799"/>
    <w:rsid w:val="00E6337E"/>
    <w:rsid w:val="00E64671"/>
    <w:rsid w:val="00E655FB"/>
    <w:rsid w:val="00E67AF9"/>
    <w:rsid w:val="00E71EDC"/>
    <w:rsid w:val="00E728F3"/>
    <w:rsid w:val="00E742E4"/>
    <w:rsid w:val="00E77099"/>
    <w:rsid w:val="00E77EEF"/>
    <w:rsid w:val="00E81DAA"/>
    <w:rsid w:val="00E85F06"/>
    <w:rsid w:val="00E877DB"/>
    <w:rsid w:val="00E91D19"/>
    <w:rsid w:val="00E954CA"/>
    <w:rsid w:val="00E97688"/>
    <w:rsid w:val="00E977C2"/>
    <w:rsid w:val="00EA120E"/>
    <w:rsid w:val="00EA1BE6"/>
    <w:rsid w:val="00EA2F43"/>
    <w:rsid w:val="00EA7592"/>
    <w:rsid w:val="00EB175C"/>
    <w:rsid w:val="00EB7108"/>
    <w:rsid w:val="00EB7A57"/>
    <w:rsid w:val="00EB7B14"/>
    <w:rsid w:val="00EC1999"/>
    <w:rsid w:val="00EC4A25"/>
    <w:rsid w:val="00EE11F8"/>
    <w:rsid w:val="00EE3C1D"/>
    <w:rsid w:val="00EF14AC"/>
    <w:rsid w:val="00EF2082"/>
    <w:rsid w:val="00EF60D4"/>
    <w:rsid w:val="00EF6B9D"/>
    <w:rsid w:val="00F04524"/>
    <w:rsid w:val="00F0490D"/>
    <w:rsid w:val="00F07599"/>
    <w:rsid w:val="00F1029B"/>
    <w:rsid w:val="00F1135C"/>
    <w:rsid w:val="00F12333"/>
    <w:rsid w:val="00F14FDC"/>
    <w:rsid w:val="00F20CF1"/>
    <w:rsid w:val="00F220AC"/>
    <w:rsid w:val="00F2315C"/>
    <w:rsid w:val="00F278F7"/>
    <w:rsid w:val="00F318F6"/>
    <w:rsid w:val="00F326A0"/>
    <w:rsid w:val="00F43593"/>
    <w:rsid w:val="00F43968"/>
    <w:rsid w:val="00F44272"/>
    <w:rsid w:val="00F553C3"/>
    <w:rsid w:val="00F567E2"/>
    <w:rsid w:val="00F6063A"/>
    <w:rsid w:val="00F60738"/>
    <w:rsid w:val="00F61242"/>
    <w:rsid w:val="00F6274E"/>
    <w:rsid w:val="00F70118"/>
    <w:rsid w:val="00F726BB"/>
    <w:rsid w:val="00F756FE"/>
    <w:rsid w:val="00F770B2"/>
    <w:rsid w:val="00F80A85"/>
    <w:rsid w:val="00F81C42"/>
    <w:rsid w:val="00F85145"/>
    <w:rsid w:val="00F85583"/>
    <w:rsid w:val="00F860A4"/>
    <w:rsid w:val="00F878AA"/>
    <w:rsid w:val="00F92064"/>
    <w:rsid w:val="00F9218C"/>
    <w:rsid w:val="00F93A13"/>
    <w:rsid w:val="00F9476D"/>
    <w:rsid w:val="00F957AF"/>
    <w:rsid w:val="00FA03B3"/>
    <w:rsid w:val="00FA73CD"/>
    <w:rsid w:val="00FB0194"/>
    <w:rsid w:val="00FB0524"/>
    <w:rsid w:val="00FB220F"/>
    <w:rsid w:val="00FC1E7E"/>
    <w:rsid w:val="00FC50A5"/>
    <w:rsid w:val="00FC6324"/>
    <w:rsid w:val="00FC7F31"/>
    <w:rsid w:val="00FD327B"/>
    <w:rsid w:val="00FD70FD"/>
    <w:rsid w:val="00FE1900"/>
    <w:rsid w:val="00FE3270"/>
    <w:rsid w:val="00FE5257"/>
    <w:rsid w:val="00FE7DA9"/>
    <w:rsid w:val="00FF374D"/>
    <w:rsid w:val="00FF4446"/>
    <w:rsid w:val="00FF6E3F"/>
    <w:rsid w:val="00FF79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F23ECF7"/>
  <w15:docId w15:val="{DF606903-85D7-4D42-BAB1-86DC009C0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qFormat="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locked="1"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qFormat="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6B9F"/>
    <w:pPr>
      <w:tabs>
        <w:tab w:val="left" w:pos="432"/>
      </w:tabs>
      <w:spacing w:after="0" w:line="480" w:lineRule="auto"/>
      <w:ind w:firstLine="432"/>
      <w:jc w:val="both"/>
    </w:pPr>
    <w:rPr>
      <w:rFonts w:ascii="Garamond" w:eastAsia="Times New Roman" w:hAnsi="Garamond" w:cs="Times New Roman"/>
    </w:rPr>
  </w:style>
  <w:style w:type="paragraph" w:styleId="Heading1">
    <w:name w:val="heading 1"/>
    <w:basedOn w:val="Normal"/>
    <w:next w:val="NormalSS"/>
    <w:link w:val="Heading1Char"/>
    <w:semiHidden/>
    <w:qFormat/>
    <w:rsid w:val="00910B00"/>
    <w:pPr>
      <w:keepNext/>
      <w:pBdr>
        <w:bottom w:val="single" w:sz="2" w:space="1" w:color="auto"/>
      </w:pBdr>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272B66"/>
    <w:pPr>
      <w:keepNext/>
      <w:framePr w:wrap="around" w:vAnchor="text" w:hAnchor="text" w:y="1"/>
      <w:pBdr>
        <w:bottom w:val="single" w:sz="2" w:space="1" w:color="auto"/>
      </w:pBdr>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qFormat/>
    <w:rsid w:val="00436B9F"/>
    <w:pPr>
      <w:keepNext/>
      <w:spacing w:after="120" w:line="240" w:lineRule="auto"/>
      <w:ind w:left="432" w:hanging="432"/>
      <w:outlineLvl w:val="2"/>
    </w:pPr>
    <w:rPr>
      <w:rFonts w:ascii="Arial" w:hAnsi="Arial" w:cs="Arial"/>
      <w:b/>
      <w:sz w:val="22"/>
    </w:rPr>
  </w:style>
  <w:style w:type="paragraph" w:styleId="Heading4">
    <w:name w:val="heading 4"/>
    <w:basedOn w:val="Normal"/>
    <w:next w:val="NormalSS"/>
    <w:link w:val="Heading4Char"/>
    <w:qFormat/>
    <w:rsid w:val="00872A9C"/>
    <w:pPr>
      <w:keepNext/>
      <w:spacing w:after="120" w:line="240" w:lineRule="auto"/>
      <w:ind w:left="432" w:hanging="432"/>
      <w:outlineLvl w:val="3"/>
    </w:pPr>
    <w:rPr>
      <w:b/>
    </w:rPr>
  </w:style>
  <w:style w:type="paragraph" w:styleId="Heading5">
    <w:name w:val="heading 5"/>
    <w:aliases w:val="Heading 5 (business proposal only)"/>
    <w:basedOn w:val="Normal"/>
    <w:next w:val="NormalSS"/>
    <w:link w:val="Heading5Char"/>
    <w:semiHidden/>
    <w:qFormat/>
    <w:rsid w:val="00850F24"/>
    <w:pPr>
      <w:keepNext/>
      <w:framePr w:wrap="around" w:vAnchor="text" w:hAnchor="text" w:y="1"/>
      <w:numPr>
        <w:ilvl w:val="4"/>
        <w:numId w:val="9"/>
      </w:numPr>
      <w:spacing w:after="120" w:line="240" w:lineRule="auto"/>
      <w:ind w:left="432"/>
      <w:outlineLvl w:val="4"/>
    </w:pPr>
    <w:rPr>
      <w:b/>
    </w:rPr>
  </w:style>
  <w:style w:type="paragraph" w:styleId="Heading6">
    <w:name w:val="heading 6"/>
    <w:aliases w:val="Heading 6 (business proposal only)"/>
    <w:basedOn w:val="Normal"/>
    <w:next w:val="Normal"/>
    <w:link w:val="Heading6Char"/>
    <w:semiHidden/>
    <w:qFormat/>
    <w:rsid w:val="002B76AB"/>
    <w:pPr>
      <w:keepNext/>
      <w:numPr>
        <w:ilvl w:val="5"/>
        <w:numId w:val="9"/>
      </w:numPr>
      <w:spacing w:after="120" w:line="240" w:lineRule="auto"/>
      <w:outlineLvl w:val="5"/>
    </w:pPr>
  </w:style>
  <w:style w:type="paragraph" w:styleId="Heading7">
    <w:name w:val="heading 7"/>
    <w:aliases w:val="Heading 7 (business proposal only)"/>
    <w:basedOn w:val="Normal"/>
    <w:next w:val="Normal"/>
    <w:link w:val="Heading7Char"/>
    <w:semiHidden/>
    <w:qFormat/>
    <w:rsid w:val="002B76AB"/>
    <w:pPr>
      <w:keepNext/>
      <w:numPr>
        <w:ilvl w:val="6"/>
        <w:numId w:val="9"/>
      </w:numPr>
      <w:spacing w:after="120" w:line="240" w:lineRule="auto"/>
      <w:outlineLvl w:val="6"/>
    </w:pPr>
  </w:style>
  <w:style w:type="paragraph" w:styleId="Heading8">
    <w:name w:val="heading 8"/>
    <w:aliases w:val="Heading 8 (business proposal only)"/>
    <w:basedOn w:val="Normal"/>
    <w:next w:val="Normal"/>
    <w:link w:val="Heading8Char"/>
    <w:semiHidden/>
    <w:qFormat/>
    <w:rsid w:val="002B76AB"/>
    <w:pPr>
      <w:keepNext/>
      <w:numPr>
        <w:ilvl w:val="7"/>
        <w:numId w:val="9"/>
      </w:numPr>
      <w:spacing w:after="120" w:line="240" w:lineRule="auto"/>
      <w:outlineLvl w:val="7"/>
    </w:pPr>
  </w:style>
  <w:style w:type="paragraph" w:styleId="Heading9">
    <w:name w:val="heading 9"/>
    <w:aliases w:val="Heading 9 (business proposal only)"/>
    <w:basedOn w:val="Normal"/>
    <w:next w:val="Normal"/>
    <w:link w:val="Heading9Char"/>
    <w:semiHidden/>
    <w:qFormat/>
    <w:locked/>
    <w:rsid w:val="002B76AB"/>
    <w:pPr>
      <w:keepNext/>
      <w:numPr>
        <w:ilvl w:val="8"/>
        <w:numId w:val="9"/>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spacing w:after="120" w:line="240" w:lineRule="auto"/>
      <w:ind w:left="432" w:hanging="432"/>
    </w:pPr>
  </w:style>
  <w:style w:type="paragraph" w:customStyle="1" w:styleId="BulletLastSS">
    <w:name w:val="Bullet (Last SS)"/>
    <w:basedOn w:val="Bullet"/>
    <w:next w:val="NormalSS"/>
    <w:qFormat/>
    <w:rsid w:val="009A5B76"/>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ind w:firstLine="0"/>
      <w:jc w:val="center"/>
    </w:pPr>
  </w:style>
  <w:style w:type="paragraph" w:customStyle="1" w:styleId="Dash">
    <w:name w:val="Dash"/>
    <w:basedOn w:val="Normal"/>
    <w:qFormat/>
    <w:rsid w:val="002B76AB"/>
    <w:pPr>
      <w:numPr>
        <w:numId w:val="4"/>
      </w:numPr>
      <w:tabs>
        <w:tab w:val="left" w:pos="288"/>
      </w:tabs>
      <w:spacing w:after="120" w:line="240" w:lineRule="auto"/>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style>
  <w:style w:type="paragraph" w:styleId="Footer">
    <w:name w:val="footer"/>
    <w:basedOn w:val="Normal"/>
    <w:link w:val="FooterChar"/>
    <w:qFormat/>
    <w:rsid w:val="00184421"/>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184421"/>
    <w:rPr>
      <w:rFonts w:ascii="Arial" w:eastAsia="Times New Roman" w:hAnsi="Arial" w:cs="Times New Roman"/>
      <w:sz w:val="20"/>
      <w:szCs w:val="20"/>
    </w:rPr>
  </w:style>
  <w:style w:type="paragraph" w:styleId="DocumentMap">
    <w:name w:val="Document Map"/>
    <w:basedOn w:val="Normal"/>
    <w:link w:val="DocumentMapChar"/>
    <w:uiPriority w:val="99"/>
    <w:semiHidden/>
    <w:unhideWhenUsed/>
    <w:rsid w:val="002E3E35"/>
    <w:pPr>
      <w:spacing w:line="240" w:lineRule="auto"/>
      <w:ind w:firstLine="0"/>
    </w:pPr>
    <w:rPr>
      <w:rFonts w:asciiTheme="majorHAnsi" w:hAnsiTheme="majorHAnsi"/>
    </w:rPr>
  </w:style>
  <w:style w:type="character" w:customStyle="1" w:styleId="DocumentMapChar">
    <w:name w:val="Document Map Char"/>
    <w:basedOn w:val="DefaultParagraphFont"/>
    <w:link w:val="DocumentMap"/>
    <w:uiPriority w:val="99"/>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B2D5A"/>
    <w:rPr>
      <w:rFonts w:ascii="Garamond" w:hAnsi="Garamond"/>
      <w:sz w:val="24"/>
      <w:u w:color="000080"/>
      <w:vertAlign w:val="superscript"/>
    </w:rPr>
  </w:style>
  <w:style w:type="paragraph" w:styleId="FootnoteText">
    <w:name w:val="footnote text"/>
    <w:aliases w:val="F1"/>
    <w:basedOn w:val="Normal"/>
    <w:link w:val="FootnoteTextChar"/>
    <w:qFormat/>
    <w:rsid w:val="00203E3B"/>
    <w:pPr>
      <w:spacing w:after="120" w:line="240" w:lineRule="auto"/>
      <w:ind w:firstLine="0"/>
    </w:pPr>
    <w:rPr>
      <w:sz w:val="20"/>
    </w:rPr>
  </w:style>
  <w:style w:type="character" w:customStyle="1" w:styleId="FootnoteTextChar">
    <w:name w:val="Footnote Text Char"/>
    <w:aliases w:val="F1 Char"/>
    <w:basedOn w:val="DefaultParagraphFont"/>
    <w:link w:val="FootnoteText"/>
    <w:rsid w:val="00203E3B"/>
    <w:rPr>
      <w:rFonts w:eastAsia="Times New Roman" w:cs="Times New Roman"/>
      <w:sz w:val="20"/>
      <w:szCs w:val="20"/>
    </w:rPr>
  </w:style>
  <w:style w:type="paragraph" w:styleId="Header">
    <w:name w:val="header"/>
    <w:basedOn w:val="Normal"/>
    <w:link w:val="HeaderChar"/>
    <w:qFormat/>
    <w:rsid w:val="009C40AE"/>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9C40AE"/>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756E06"/>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756E06"/>
    <w:rPr>
      <w:rFonts w:ascii="Arial Black" w:eastAsia="Times New Roman" w:hAnsi="Arial Black" w:cs="Times New Roman"/>
      <w:caps/>
      <w:sz w:val="22"/>
      <w:szCs w:val="20"/>
    </w:rPr>
  </w:style>
  <w:style w:type="paragraph" w:customStyle="1" w:styleId="Heading3NoTOC">
    <w:name w:val="Heading 3_No TOC"/>
    <w:basedOn w:val="Normal"/>
    <w:next w:val="NormalSS"/>
    <w:qFormat/>
    <w:rsid w:val="00043B2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rsid w:val="00436B9F"/>
    <w:rPr>
      <w:rFonts w:ascii="Arial" w:eastAsia="Times New Roman" w:hAnsi="Arial" w:cs="Arial"/>
      <w:b/>
      <w:sz w:val="22"/>
    </w:rPr>
  </w:style>
  <w:style w:type="paragraph" w:customStyle="1" w:styleId="Heading4NoTOC">
    <w:name w:val="Heading 4_No TOC"/>
    <w:basedOn w:val="Heading4"/>
    <w:next w:val="NormalSS"/>
    <w:semiHidden/>
    <w:qFormat/>
    <w:rsid w:val="00043B27"/>
    <w:pPr>
      <w:outlineLvl w:val="9"/>
    </w:pPr>
  </w:style>
  <w:style w:type="character" w:customStyle="1" w:styleId="Heading4Char">
    <w:name w:val="Heading 4 Char"/>
    <w:basedOn w:val="DefaultParagraphFont"/>
    <w:link w:val="Heading4"/>
    <w:semiHidden/>
    <w:rsid w:val="00756E06"/>
    <w:rPr>
      <w:rFonts w:eastAsia="Times New Roman" w:cs="Times New Roman"/>
      <w:b/>
      <w:szCs w:val="20"/>
    </w:rPr>
  </w:style>
  <w:style w:type="character" w:customStyle="1" w:styleId="Heading5Char">
    <w:name w:val="Heading 5 Char"/>
    <w:aliases w:val="Heading 5 (business proposal only) Char"/>
    <w:basedOn w:val="DefaultParagraphFont"/>
    <w:link w:val="Heading5"/>
    <w:semiHidden/>
    <w:rsid w:val="00756E06"/>
    <w:rPr>
      <w:rFonts w:ascii="Garamond" w:eastAsia="Times New Roman" w:hAnsi="Garamond" w:cs="Times New Roman"/>
      <w:b/>
    </w:rPr>
  </w:style>
  <w:style w:type="character" w:customStyle="1" w:styleId="Heading6Char">
    <w:name w:val="Heading 6 Char"/>
    <w:aliases w:val="Heading 6 (business proposal only) Char"/>
    <w:basedOn w:val="DefaultParagraphFont"/>
    <w:link w:val="Heading6"/>
    <w:semiHidden/>
    <w:rsid w:val="002B76AB"/>
    <w:rPr>
      <w:rFonts w:ascii="Garamond" w:eastAsia="Times New Roman" w:hAnsi="Garamond" w:cs="Times New Roman"/>
    </w:rPr>
  </w:style>
  <w:style w:type="character" w:customStyle="1" w:styleId="Heading7Char">
    <w:name w:val="Heading 7 Char"/>
    <w:aliases w:val="Heading 7 (business proposal only) Char"/>
    <w:basedOn w:val="DefaultParagraphFont"/>
    <w:link w:val="Heading7"/>
    <w:semiHidden/>
    <w:rsid w:val="002B76AB"/>
    <w:rPr>
      <w:rFonts w:ascii="Garamond" w:eastAsia="Times New Roman" w:hAnsi="Garamond" w:cs="Times New Roman"/>
    </w:rPr>
  </w:style>
  <w:style w:type="character" w:customStyle="1" w:styleId="Heading8Char">
    <w:name w:val="Heading 8 Char"/>
    <w:aliases w:val="Heading 8 (business proposal only) Char"/>
    <w:basedOn w:val="DefaultParagraphFont"/>
    <w:link w:val="Heading8"/>
    <w:semiHidden/>
    <w:rsid w:val="002B76AB"/>
    <w:rPr>
      <w:rFonts w:ascii="Garamond" w:eastAsia="Times New Roman" w:hAnsi="Garamond" w:cs="Times New Roman"/>
    </w:rPr>
  </w:style>
  <w:style w:type="character" w:customStyle="1" w:styleId="Heading9Char">
    <w:name w:val="Heading 9 Char"/>
    <w:aliases w:val="Heading 9 (business proposal only) Char"/>
    <w:basedOn w:val="DefaultParagraphFont"/>
    <w:link w:val="Heading9"/>
    <w:semiHidden/>
    <w:rsid w:val="005C40E0"/>
    <w:rPr>
      <w:rFonts w:ascii="Garamond" w:eastAsia="Times New Roman" w:hAnsi="Garamond" w:cs="Times New Roman"/>
    </w:rPr>
  </w:style>
  <w:style w:type="paragraph" w:customStyle="1" w:styleId="MarkforAppendixTitle">
    <w:name w:val="Mark for Appendix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36B9F"/>
    <w:pPr>
      <w:keepNext/>
      <w:spacing w:after="60" w:line="240" w:lineRule="auto"/>
      <w:ind w:firstLine="0"/>
    </w:pPr>
    <w:rPr>
      <w:rFonts w:ascii="Arial" w:hAnsi="Arial" w:cs="Arial"/>
      <w:b/>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6"/>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pPr>
      <w:ind w:firstLine="0"/>
    </w:pPr>
  </w:style>
  <w:style w:type="paragraph" w:customStyle="1" w:styleId="NormalSS">
    <w:name w:val="NormalSS"/>
    <w:basedOn w:val="Normal"/>
    <w:link w:val="NormalSSChar"/>
    <w:qFormat/>
    <w:rsid w:val="000B764C"/>
    <w:pPr>
      <w:spacing w:after="240" w:line="240" w:lineRule="auto"/>
    </w:pPr>
  </w:style>
  <w:style w:type="paragraph" w:customStyle="1" w:styleId="NormalSScontinued">
    <w:name w:val="NormalSS (continued)"/>
    <w:basedOn w:val="NormalSS"/>
    <w:next w:val="NormalSS"/>
    <w:qFormat/>
    <w:rsid w:val="000B764C"/>
    <w:pPr>
      <w:ind w:firstLine="0"/>
    </w:pPr>
  </w:style>
  <w:style w:type="paragraph" w:customStyle="1" w:styleId="NumberedBullet">
    <w:name w:val="Numbered Bullet"/>
    <w:basedOn w:val="Normal"/>
    <w:link w:val="NumberedBulletChar"/>
    <w:qFormat/>
    <w:rsid w:val="00455D47"/>
    <w:pPr>
      <w:numPr>
        <w:numId w:val="8"/>
      </w:numPr>
      <w:tabs>
        <w:tab w:val="clear" w:pos="792"/>
      </w:tabs>
      <w:spacing w:after="120" w:line="240" w:lineRule="auto"/>
      <w:ind w:left="432" w:hanging="432"/>
    </w:pPr>
  </w:style>
  <w:style w:type="paragraph" w:customStyle="1" w:styleId="Outline">
    <w:name w:val="Outline"/>
    <w:basedOn w:val="Normal"/>
    <w:semiHidden/>
    <w:unhideWhenUsed/>
    <w:qFormat/>
    <w:rsid w:val="002E3E35"/>
    <w:pPr>
      <w:spacing w:after="240" w:line="240" w:lineRule="auto"/>
      <w:ind w:left="720" w:hanging="720"/>
    </w:pPr>
  </w:style>
  <w:style w:type="character" w:styleId="PageNumber">
    <w:name w:val="page number"/>
    <w:basedOn w:val="DefaultParagraphFont"/>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5D51C5"/>
    <w:pPr>
      <w:spacing w:before="120" w:after="60"/>
    </w:pPr>
    <w:rPr>
      <w:b/>
      <w:color w:val="FFFFFF" w:themeColor="background1"/>
    </w:rPr>
  </w:style>
  <w:style w:type="paragraph" w:customStyle="1" w:styleId="TableHeaderCenter">
    <w:name w:val="Table Header Center"/>
    <w:basedOn w:val="TableHeaderLeft"/>
    <w:qFormat/>
    <w:rsid w:val="006B2483"/>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pPr>
      <w:spacing w:line="240" w:lineRule="auto"/>
      <w:ind w:firstLine="0"/>
    </w:pPr>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qFormat/>
    <w:rsid w:val="002E3E35"/>
    <w:pPr>
      <w:spacing w:before="0" w:after="160"/>
    </w:pPr>
  </w:style>
  <w:style w:type="paragraph" w:customStyle="1" w:styleId="TitleofDocumentNoPhoto">
    <w:name w:val="Title of Document No Photo"/>
    <w:basedOn w:val="TitleofDocumentHorizontal"/>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0A1BB4"/>
    <w:pPr>
      <w:tabs>
        <w:tab w:val="right" w:leader="dot" w:pos="9360"/>
      </w:tabs>
      <w:spacing w:after="180" w:line="240" w:lineRule="exact"/>
      <w:ind w:left="990" w:right="720" w:hanging="540"/>
    </w:pPr>
    <w:rPr>
      <w:rFonts w:ascii="Arial" w:eastAsia="Times New Roman" w:hAnsi="Arial" w:cs="Times New Roman"/>
      <w:noProof/>
      <w:sz w:val="20"/>
      <w:szCs w:val="20"/>
    </w:rPr>
  </w:style>
  <w:style w:type="paragraph" w:styleId="TOC3">
    <w:name w:val="toc 3"/>
    <w:basedOn w:val="TOC2"/>
    <w:next w:val="Normal"/>
    <w:autoRedefine/>
    <w:uiPriority w:val="39"/>
    <w:qFormat/>
    <w:rsid w:val="005975FE"/>
    <w:pPr>
      <w:tabs>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ascii="Garamond" w:eastAsia="Times New Roman" w:hAnsi="Garamond" w:cs="Times New Roman"/>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styleId="LightList">
    <w:name w:val="Light List"/>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5860D2"/>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11EC"/>
    <w:pPr>
      <w:ind w:left="720"/>
      <w:contextualSpacing/>
    </w:pPr>
  </w:style>
  <w:style w:type="paragraph" w:customStyle="1" w:styleId="H1Title">
    <w:name w:val="H1_Title"/>
    <w:basedOn w:val="Normal"/>
    <w:next w:val="Normal"/>
    <w:link w:val="H1TitleChar"/>
    <w:qFormat/>
    <w:rsid w:val="00BB076D"/>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FB0194"/>
    <w:pPr>
      <w:ind w:left="432" w:hanging="432"/>
      <w:outlineLvl w:val="1"/>
    </w:pPr>
  </w:style>
  <w:style w:type="character" w:customStyle="1" w:styleId="H1TitleChar">
    <w:name w:val="H1_Title Char"/>
    <w:basedOn w:val="DefaultParagraphFont"/>
    <w:link w:val="H1Title"/>
    <w:rsid w:val="00BB076D"/>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FB0194"/>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FB0194"/>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FB0194"/>
    <w:pPr>
      <w:outlineLvl w:val="9"/>
    </w:pPr>
  </w:style>
  <w:style w:type="character" w:customStyle="1" w:styleId="H3AlphaChar">
    <w:name w:val="H3_Alpha Char"/>
    <w:basedOn w:val="Heading2Char"/>
    <w:link w:val="H3Alpha"/>
    <w:rsid w:val="00FB0194"/>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FB0194"/>
    <w:pPr>
      <w:outlineLvl w:val="3"/>
    </w:pPr>
    <w:rPr>
      <w:rFonts w:ascii="Times New Roman" w:hAnsi="Times New Roman"/>
      <w:b w:val="0"/>
      <w:sz w:val="24"/>
    </w:rPr>
  </w:style>
  <w:style w:type="character" w:customStyle="1" w:styleId="H3AlphaNoTOCChar">
    <w:name w:val="H3_Alpha_No TOC Char"/>
    <w:basedOn w:val="H3AlphaChar"/>
    <w:link w:val="H3AlphaNoTOC"/>
    <w:rsid w:val="00FB0194"/>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FB0194"/>
    <w:pPr>
      <w:outlineLvl w:val="9"/>
    </w:pPr>
  </w:style>
  <w:style w:type="character" w:customStyle="1" w:styleId="H4NumberChar">
    <w:name w:val="H4_Number Char"/>
    <w:basedOn w:val="Heading3Char"/>
    <w:link w:val="H4Number"/>
    <w:rsid w:val="00FB0194"/>
    <w:rPr>
      <w:rFonts w:ascii="Arial Black" w:eastAsia="Times New Roman" w:hAnsi="Arial Black" w:cs="Times New Roman"/>
      <w:b w:val="0"/>
      <w:sz w:val="22"/>
      <w:szCs w:val="20"/>
    </w:rPr>
  </w:style>
  <w:style w:type="paragraph" w:customStyle="1" w:styleId="H5Lower">
    <w:name w:val="H5_Lower"/>
    <w:basedOn w:val="Heading4"/>
    <w:next w:val="NormalSS"/>
    <w:link w:val="H5LowerChar"/>
    <w:qFormat/>
    <w:rsid w:val="00FB0194"/>
    <w:pPr>
      <w:outlineLvl w:val="4"/>
    </w:pPr>
  </w:style>
  <w:style w:type="character" w:customStyle="1" w:styleId="H4NumberNoTOCChar">
    <w:name w:val="H4_Number_No TOC Char"/>
    <w:basedOn w:val="H4NumberChar"/>
    <w:link w:val="H4NumberNoTOC"/>
    <w:rsid w:val="00FB0194"/>
    <w:rPr>
      <w:rFonts w:ascii="Arial Black" w:eastAsia="Times New Roman" w:hAnsi="Arial Black" w:cs="Times New Roman"/>
      <w:b w:val="0"/>
      <w:sz w:val="22"/>
      <w:szCs w:val="20"/>
    </w:rPr>
  </w:style>
  <w:style w:type="character" w:customStyle="1" w:styleId="H5LowerChar">
    <w:name w:val="H5_Lower Char"/>
    <w:basedOn w:val="Heading4Char"/>
    <w:link w:val="H5Lower"/>
    <w:rsid w:val="00FB0194"/>
    <w:rPr>
      <w:rFonts w:eastAsia="Times New Roman" w:cs="Times New Roman"/>
      <w:b/>
      <w:szCs w:val="20"/>
    </w:rPr>
  </w:style>
  <w:style w:type="paragraph" w:customStyle="1" w:styleId="Heading1Black">
    <w:name w:val="Heading 1_Black"/>
    <w:basedOn w:val="Normal"/>
    <w:next w:val="Normal"/>
    <w:qFormat/>
    <w:rsid w:val="00436B9F"/>
    <w:pPr>
      <w:spacing w:before="240" w:after="240" w:line="240" w:lineRule="auto"/>
      <w:ind w:firstLine="0"/>
      <w:jc w:val="center"/>
      <w:outlineLvl w:val="0"/>
    </w:pPr>
    <w:rPr>
      <w:rFonts w:ascii="Arial" w:hAnsi="Arial"/>
      <w:b/>
      <w:caps/>
    </w:rPr>
  </w:style>
  <w:style w:type="paragraph" w:customStyle="1" w:styleId="DashLAST">
    <w:name w:val="Dash (LAST)"/>
    <w:basedOn w:val="Dash"/>
    <w:next w:val="Normal"/>
    <w:qFormat/>
    <w:rsid w:val="00436B9F"/>
    <w:pPr>
      <w:numPr>
        <w:numId w:val="7"/>
      </w:numPr>
      <w:tabs>
        <w:tab w:val="clear" w:pos="288"/>
        <w:tab w:val="num" w:pos="1080"/>
      </w:tabs>
      <w:spacing w:after="240"/>
      <w:ind w:left="1080" w:right="720"/>
    </w:pPr>
  </w:style>
  <w:style w:type="paragraph" w:styleId="EndnoteText">
    <w:name w:val="endnote text"/>
    <w:basedOn w:val="Normal"/>
    <w:link w:val="EndnoteTextChar"/>
    <w:semiHidden/>
    <w:rsid w:val="00436B9F"/>
    <w:pPr>
      <w:spacing w:after="240" w:line="240" w:lineRule="auto"/>
    </w:pPr>
  </w:style>
  <w:style w:type="character" w:customStyle="1" w:styleId="EndnoteTextChar">
    <w:name w:val="Endnote Text Char"/>
    <w:basedOn w:val="DefaultParagraphFont"/>
    <w:link w:val="EndnoteText"/>
    <w:semiHidden/>
    <w:rsid w:val="00436B9F"/>
    <w:rPr>
      <w:rFonts w:ascii="Garamond" w:eastAsia="Times New Roman" w:hAnsi="Garamond" w:cs="Times New Roman"/>
    </w:rPr>
  </w:style>
  <w:style w:type="character" w:styleId="EndnoteReference">
    <w:name w:val="endnote reference"/>
    <w:basedOn w:val="DefaultParagraphFont"/>
    <w:semiHidden/>
    <w:rsid w:val="00436B9F"/>
    <w:rPr>
      <w:vertAlign w:val="superscript"/>
    </w:rPr>
  </w:style>
  <w:style w:type="paragraph" w:customStyle="1" w:styleId="MarkforTableHeading">
    <w:name w:val="Mark for Table Heading"/>
    <w:basedOn w:val="Normal"/>
    <w:next w:val="Normal"/>
    <w:qFormat/>
    <w:rsid w:val="00436B9F"/>
    <w:pPr>
      <w:keepNext/>
      <w:spacing w:after="60" w:line="240" w:lineRule="auto"/>
      <w:ind w:firstLine="0"/>
    </w:pPr>
    <w:rPr>
      <w:rFonts w:ascii="Arial" w:hAnsi="Arial"/>
      <w:b/>
      <w:sz w:val="18"/>
    </w:rPr>
  </w:style>
  <w:style w:type="paragraph" w:customStyle="1" w:styleId="MarkforFigureHeading">
    <w:name w:val="Mark for Figure Heading"/>
    <w:basedOn w:val="MarkforTableHeading"/>
    <w:next w:val="Normal"/>
    <w:qFormat/>
    <w:rsid w:val="00436B9F"/>
  </w:style>
  <w:style w:type="paragraph" w:customStyle="1" w:styleId="MarkforExhibitHeading">
    <w:name w:val="Mark for Exhibit Heading"/>
    <w:basedOn w:val="Normal"/>
    <w:next w:val="Normal"/>
    <w:qFormat/>
    <w:rsid w:val="00436B9F"/>
    <w:pPr>
      <w:keepNext/>
      <w:spacing w:after="60" w:line="240" w:lineRule="auto"/>
      <w:ind w:firstLine="0"/>
    </w:pPr>
    <w:rPr>
      <w:rFonts w:ascii="Arial" w:hAnsi="Arial"/>
      <w:b/>
      <w:sz w:val="18"/>
    </w:rPr>
  </w:style>
  <w:style w:type="paragraph" w:customStyle="1" w:styleId="NumberedBulletLASTSS0">
    <w:name w:val="Numbered Bullet (LAST SS)"/>
    <w:basedOn w:val="NumberedBullet"/>
    <w:next w:val="Normal"/>
    <w:qFormat/>
    <w:rsid w:val="00436B9F"/>
    <w:pPr>
      <w:numPr>
        <w:numId w:val="0"/>
      </w:numPr>
      <w:tabs>
        <w:tab w:val="clear" w:pos="432"/>
        <w:tab w:val="left" w:pos="360"/>
      </w:tabs>
      <w:spacing w:after="240"/>
      <w:ind w:left="720" w:right="360" w:hanging="288"/>
    </w:pPr>
  </w:style>
  <w:style w:type="paragraph" w:customStyle="1" w:styleId="AcknowledgmentnoTOCBlack">
    <w:name w:val="Acknowledgment no TOC_Black"/>
    <w:basedOn w:val="Normal"/>
    <w:next w:val="Normal"/>
    <w:qFormat/>
    <w:rsid w:val="00436B9F"/>
    <w:pPr>
      <w:spacing w:before="240" w:after="240" w:line="240" w:lineRule="auto"/>
      <w:ind w:firstLine="0"/>
      <w:jc w:val="center"/>
      <w:outlineLvl w:val="8"/>
    </w:pPr>
    <w:rPr>
      <w:rFonts w:ascii="Arial" w:hAnsi="Arial"/>
      <w:b/>
      <w:caps/>
    </w:rPr>
  </w:style>
  <w:style w:type="paragraph" w:customStyle="1" w:styleId="AcknowledgmentnoTOCRed">
    <w:name w:val="Acknowledgment no TOC_Red"/>
    <w:basedOn w:val="AcknowledgmentnoTOCBlack"/>
    <w:next w:val="Normal"/>
    <w:qFormat/>
    <w:rsid w:val="00436B9F"/>
    <w:rPr>
      <w:color w:val="C00000"/>
    </w:rPr>
  </w:style>
  <w:style w:type="paragraph" w:customStyle="1" w:styleId="AcknowledgmentnoTOCBlue">
    <w:name w:val="Acknowledgment no TOC_Blue"/>
    <w:basedOn w:val="AcknowledgmentnoTOCBlack"/>
    <w:next w:val="Normal"/>
    <w:qFormat/>
    <w:rsid w:val="00436B9F"/>
    <w:rPr>
      <w:color w:val="345294"/>
    </w:rPr>
  </w:style>
  <w:style w:type="paragraph" w:customStyle="1" w:styleId="BulletBlack">
    <w:name w:val="Bullet_Black"/>
    <w:basedOn w:val="Normal"/>
    <w:qFormat/>
    <w:rsid w:val="00436B9F"/>
    <w:pPr>
      <w:numPr>
        <w:numId w:val="10"/>
      </w:numPr>
      <w:tabs>
        <w:tab w:val="clear" w:pos="432"/>
        <w:tab w:val="left" w:pos="360"/>
      </w:tabs>
      <w:spacing w:after="120" w:line="240" w:lineRule="auto"/>
      <w:ind w:left="720" w:right="360" w:hanging="288"/>
    </w:pPr>
  </w:style>
  <w:style w:type="paragraph" w:customStyle="1" w:styleId="BulletRed">
    <w:name w:val="Bullet_Red"/>
    <w:basedOn w:val="BulletBlack"/>
    <w:qFormat/>
    <w:rsid w:val="00436B9F"/>
    <w:pPr>
      <w:numPr>
        <w:numId w:val="13"/>
      </w:numPr>
      <w:ind w:left="720" w:hanging="288"/>
    </w:pPr>
  </w:style>
  <w:style w:type="paragraph" w:customStyle="1" w:styleId="BulletBlue">
    <w:name w:val="Bullet_Blue"/>
    <w:basedOn w:val="BulletBlack"/>
    <w:qFormat/>
    <w:rsid w:val="00436B9F"/>
    <w:pPr>
      <w:numPr>
        <w:numId w:val="11"/>
      </w:numPr>
      <w:ind w:left="720" w:hanging="288"/>
    </w:pPr>
  </w:style>
  <w:style w:type="paragraph" w:customStyle="1" w:styleId="BulletBlackLastSS">
    <w:name w:val="Bullet_Black (Last SS)"/>
    <w:basedOn w:val="BulletBlack"/>
    <w:next w:val="NormalSS"/>
    <w:qFormat/>
    <w:rsid w:val="00436B9F"/>
    <w:pPr>
      <w:spacing w:after="240"/>
    </w:pPr>
  </w:style>
  <w:style w:type="paragraph" w:customStyle="1" w:styleId="BulletRedLastSS">
    <w:name w:val="Bullet_Red (Last SS)"/>
    <w:basedOn w:val="BulletBlackLastSS"/>
    <w:next w:val="NormalSS"/>
    <w:qFormat/>
    <w:rsid w:val="00436B9F"/>
    <w:pPr>
      <w:numPr>
        <w:numId w:val="14"/>
      </w:numPr>
      <w:ind w:left="720" w:hanging="288"/>
    </w:pPr>
  </w:style>
  <w:style w:type="paragraph" w:customStyle="1" w:styleId="BulletBlueLastSS">
    <w:name w:val="Bullet_Blue (Last SS)"/>
    <w:basedOn w:val="BulletBlackLastSS"/>
    <w:next w:val="NormalSS"/>
    <w:qFormat/>
    <w:rsid w:val="00436B9F"/>
    <w:pPr>
      <w:numPr>
        <w:numId w:val="12"/>
      </w:numPr>
      <w:ind w:left="720" w:hanging="288"/>
    </w:pPr>
  </w:style>
  <w:style w:type="paragraph" w:customStyle="1" w:styleId="BulletBlackLastDS">
    <w:name w:val="Bullet_Black (Last DS)"/>
    <w:basedOn w:val="BulletBlackLastSS"/>
    <w:next w:val="Normal"/>
    <w:qFormat/>
    <w:rsid w:val="00436B9F"/>
    <w:pPr>
      <w:spacing w:after="320"/>
    </w:pPr>
  </w:style>
  <w:style w:type="paragraph" w:customStyle="1" w:styleId="BulletRedLastDS">
    <w:name w:val="Bullet_Red (Last DS)"/>
    <w:basedOn w:val="BulletRedLastSS"/>
    <w:next w:val="Normal"/>
    <w:qFormat/>
    <w:rsid w:val="00436B9F"/>
    <w:pPr>
      <w:spacing w:after="320"/>
    </w:pPr>
  </w:style>
  <w:style w:type="paragraph" w:customStyle="1" w:styleId="BulletBlueLastDS">
    <w:name w:val="Bullet_Blue (Last DS)"/>
    <w:basedOn w:val="BulletBlackLastDS"/>
    <w:next w:val="Normal"/>
    <w:qFormat/>
    <w:rsid w:val="00436B9F"/>
    <w:pPr>
      <w:numPr>
        <w:numId w:val="15"/>
      </w:numPr>
      <w:ind w:left="720" w:hanging="288"/>
    </w:pPr>
  </w:style>
  <w:style w:type="paragraph" w:customStyle="1" w:styleId="Heading1Red">
    <w:name w:val="Heading 1_Red"/>
    <w:basedOn w:val="Heading1Black"/>
    <w:next w:val="Normal"/>
    <w:qFormat/>
    <w:rsid w:val="00436B9F"/>
    <w:rPr>
      <w:color w:val="C00000"/>
    </w:rPr>
  </w:style>
  <w:style w:type="paragraph" w:customStyle="1" w:styleId="Heading1Blue">
    <w:name w:val="Heading 1_Blue"/>
    <w:basedOn w:val="Heading1Black"/>
    <w:next w:val="Normal"/>
    <w:qFormat/>
    <w:rsid w:val="00436B9F"/>
    <w:rPr>
      <w:color w:val="345294"/>
    </w:rPr>
  </w:style>
  <w:style w:type="paragraph" w:customStyle="1" w:styleId="Heading2Black">
    <w:name w:val="Heading 2_Black"/>
    <w:basedOn w:val="Normal"/>
    <w:next w:val="Normal"/>
    <w:qFormat/>
    <w:rsid w:val="00436B9F"/>
    <w:pPr>
      <w:keepNext/>
      <w:spacing w:after="240" w:line="240" w:lineRule="auto"/>
      <w:ind w:left="432" w:hanging="432"/>
      <w:outlineLvl w:val="1"/>
    </w:pPr>
    <w:rPr>
      <w:rFonts w:ascii="Arial" w:hAnsi="Arial"/>
      <w:b/>
    </w:rPr>
  </w:style>
  <w:style w:type="paragraph" w:customStyle="1" w:styleId="Heading2Red">
    <w:name w:val="Heading 2_Red"/>
    <w:basedOn w:val="Heading2Black"/>
    <w:next w:val="Normal"/>
    <w:qFormat/>
    <w:rsid w:val="00436B9F"/>
    <w:rPr>
      <w:color w:val="C00000"/>
    </w:rPr>
  </w:style>
  <w:style w:type="paragraph" w:customStyle="1" w:styleId="Heading2Blue">
    <w:name w:val="Heading 2_Blue"/>
    <w:basedOn w:val="Heading2Black"/>
    <w:next w:val="Normal"/>
    <w:qFormat/>
    <w:rsid w:val="00436B9F"/>
    <w:rPr>
      <w:color w:val="345294"/>
    </w:rPr>
  </w:style>
  <w:style w:type="paragraph" w:customStyle="1" w:styleId="Heading2BlackNoTOC">
    <w:name w:val="Heading 2_Black No TOC"/>
    <w:basedOn w:val="Heading2Black"/>
    <w:next w:val="Normal"/>
    <w:qFormat/>
    <w:rsid w:val="00436B9F"/>
    <w:pPr>
      <w:outlineLvl w:val="8"/>
    </w:pPr>
  </w:style>
  <w:style w:type="paragraph" w:customStyle="1" w:styleId="Heading2RedNoTOC">
    <w:name w:val="Heading 2_Red No TOC"/>
    <w:basedOn w:val="Heading2Red"/>
    <w:next w:val="Normal"/>
    <w:qFormat/>
    <w:rsid w:val="00436B9F"/>
    <w:pPr>
      <w:outlineLvl w:val="8"/>
    </w:pPr>
  </w:style>
  <w:style w:type="paragraph" w:customStyle="1" w:styleId="Heading2BlueNoTOC">
    <w:name w:val="Heading 2_Blue No TOC"/>
    <w:basedOn w:val="Heading2Blue"/>
    <w:next w:val="Normal"/>
    <w:qFormat/>
    <w:rsid w:val="00436B9F"/>
    <w:pPr>
      <w:outlineLvl w:val="8"/>
    </w:pPr>
  </w:style>
  <w:style w:type="paragraph" w:customStyle="1" w:styleId="MarkforAttachmentHeadingBlack">
    <w:name w:val="Mark for Attachment Heading_Black"/>
    <w:basedOn w:val="Normal"/>
    <w:next w:val="Normal"/>
    <w:qFormat/>
    <w:rsid w:val="00436B9F"/>
    <w:pPr>
      <w:ind w:firstLine="0"/>
      <w:jc w:val="center"/>
      <w:outlineLvl w:val="0"/>
    </w:pPr>
    <w:rPr>
      <w:rFonts w:ascii="Arial" w:hAnsi="Arial"/>
      <w:b/>
      <w:caps/>
    </w:rPr>
  </w:style>
  <w:style w:type="paragraph" w:customStyle="1" w:styleId="MarkforAttachmentHeadingRed">
    <w:name w:val="Mark for Attachment Heading_Red"/>
    <w:basedOn w:val="MarkforAttachmentHeadingBlack"/>
    <w:next w:val="Normal"/>
    <w:qFormat/>
    <w:rsid w:val="00436B9F"/>
    <w:rPr>
      <w:color w:val="C00000"/>
    </w:rPr>
  </w:style>
  <w:style w:type="paragraph" w:customStyle="1" w:styleId="MarkforAttachmentHeadingBlue">
    <w:name w:val="Mark for Attachment Heading_Blue"/>
    <w:basedOn w:val="MarkforAttachmentHeadingBlack"/>
    <w:next w:val="Normal"/>
    <w:qFormat/>
    <w:rsid w:val="00436B9F"/>
    <w:rPr>
      <w:color w:val="345294"/>
    </w:rPr>
  </w:style>
  <w:style w:type="paragraph" w:customStyle="1" w:styleId="MarkforAppendixHeadingBlack">
    <w:name w:val="Mark for Appendix Heading_Black"/>
    <w:basedOn w:val="Normal"/>
    <w:next w:val="Normal"/>
    <w:qFormat/>
    <w:rsid w:val="00436B9F"/>
    <w:pPr>
      <w:ind w:firstLine="0"/>
      <w:jc w:val="center"/>
      <w:outlineLvl w:val="7"/>
    </w:pPr>
    <w:rPr>
      <w:rFonts w:ascii="Arial" w:hAnsi="Arial"/>
      <w:b/>
      <w:caps/>
    </w:rPr>
  </w:style>
  <w:style w:type="paragraph" w:customStyle="1" w:styleId="MarkforAppendixHeadingRed">
    <w:name w:val="Mark for Appendix Heading_Red"/>
    <w:basedOn w:val="MarkforAppendixHeadingBlack"/>
    <w:next w:val="Normal"/>
    <w:qFormat/>
    <w:rsid w:val="00436B9F"/>
    <w:rPr>
      <w:color w:val="C00000"/>
    </w:rPr>
  </w:style>
  <w:style w:type="paragraph" w:customStyle="1" w:styleId="MarkforAppendixHeadingBlue">
    <w:name w:val="Mark for Appendix Heading_Blue"/>
    <w:basedOn w:val="MarkforAppendixHeadingBlack"/>
    <w:next w:val="Normal"/>
    <w:qFormat/>
    <w:rsid w:val="00436B9F"/>
    <w:rPr>
      <w:color w:val="345294"/>
    </w:rPr>
  </w:style>
  <w:style w:type="table" w:customStyle="1" w:styleId="SMPRTableRed">
    <w:name w:val="SMPR_Table_Red"/>
    <w:basedOn w:val="TableNormal"/>
    <w:uiPriority w:val="99"/>
    <w:rsid w:val="00436B9F"/>
    <w:pPr>
      <w:spacing w:after="0"/>
    </w:pPr>
    <w:rPr>
      <w:rFonts w:ascii="Arial" w:eastAsia="Times New Roman" w:hAnsi="Arial" w:cs="Times New Roman"/>
      <w:sz w:val="20"/>
    </w:rPr>
    <w:tblPr>
      <w:tblInd w:w="115" w:type="dxa"/>
      <w:tblBorders>
        <w:top w:val="single" w:sz="12" w:space="0" w:color="C00000"/>
        <w:bottom w:val="single" w:sz="4" w:space="0" w:color="C00000"/>
      </w:tblBorders>
    </w:tblPr>
    <w:tcPr>
      <w:vAlign w:val="bottom"/>
    </w:tc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436B9F"/>
    <w:tblPr>
      <w:tblBorders>
        <w:top w:val="single" w:sz="12" w:space="0" w:color="345294"/>
        <w:bottom w:val="single" w:sz="4" w:space="0" w:color="345294"/>
      </w:tblBorders>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436B9F"/>
    <w:tblPr>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paragraph" w:styleId="TOC5">
    <w:name w:val="toc 5"/>
    <w:basedOn w:val="Normal"/>
    <w:next w:val="Normal"/>
    <w:autoRedefine/>
    <w:uiPriority w:val="39"/>
    <w:semiHidden/>
    <w:unhideWhenUsed/>
    <w:rsid w:val="00436B9F"/>
    <w:pPr>
      <w:tabs>
        <w:tab w:val="clear" w:pos="432"/>
      </w:tabs>
      <w:spacing w:after="100"/>
      <w:ind w:left="960"/>
    </w:pPr>
  </w:style>
  <w:style w:type="paragraph" w:styleId="TOC6">
    <w:name w:val="toc 6"/>
    <w:basedOn w:val="Normal"/>
    <w:next w:val="Normal"/>
    <w:autoRedefine/>
    <w:uiPriority w:val="39"/>
    <w:semiHidden/>
    <w:unhideWhenUsed/>
    <w:rsid w:val="00436B9F"/>
    <w:pPr>
      <w:tabs>
        <w:tab w:val="clear" w:pos="432"/>
      </w:tabs>
      <w:spacing w:after="100"/>
      <w:ind w:left="1200"/>
    </w:pPr>
  </w:style>
  <w:style w:type="paragraph" w:styleId="TOC7">
    <w:name w:val="toc 7"/>
    <w:basedOn w:val="Normal"/>
    <w:next w:val="Normal"/>
    <w:autoRedefine/>
    <w:uiPriority w:val="39"/>
    <w:semiHidden/>
    <w:unhideWhenUsed/>
    <w:rsid w:val="00436B9F"/>
    <w:pPr>
      <w:tabs>
        <w:tab w:val="clear" w:pos="432"/>
      </w:tabs>
      <w:spacing w:after="100"/>
      <w:ind w:left="1440"/>
    </w:pPr>
  </w:style>
  <w:style w:type="paragraph" w:styleId="TOC9">
    <w:name w:val="toc 9"/>
    <w:basedOn w:val="Normal"/>
    <w:next w:val="Normal"/>
    <w:autoRedefine/>
    <w:uiPriority w:val="39"/>
    <w:semiHidden/>
    <w:unhideWhenUsed/>
    <w:rsid w:val="00436B9F"/>
    <w:pPr>
      <w:tabs>
        <w:tab w:val="clear" w:pos="432"/>
      </w:tabs>
      <w:spacing w:after="100"/>
      <w:ind w:left="1920"/>
    </w:pPr>
  </w:style>
  <w:style w:type="character" w:styleId="Emphasis">
    <w:name w:val="Emphasis"/>
    <w:basedOn w:val="DefaultParagraphFont"/>
    <w:uiPriority w:val="99"/>
    <w:qFormat/>
    <w:rsid w:val="00436B9F"/>
    <w:rPr>
      <w:rFonts w:cs="Times New Roman"/>
      <w:i/>
      <w:iCs/>
    </w:rPr>
  </w:style>
  <w:style w:type="paragraph" w:customStyle="1" w:styleId="NormalSS12">
    <w:name w:val="NormalSS 12"/>
    <w:basedOn w:val="NormalSS"/>
    <w:qFormat/>
    <w:rsid w:val="00436B9F"/>
  </w:style>
  <w:style w:type="paragraph" w:styleId="CommentText">
    <w:name w:val="annotation text"/>
    <w:basedOn w:val="Normal"/>
    <w:link w:val="CommentTextChar"/>
    <w:uiPriority w:val="99"/>
    <w:unhideWhenUsed/>
    <w:rsid w:val="00436B9F"/>
    <w:pPr>
      <w:spacing w:line="240" w:lineRule="auto"/>
    </w:pPr>
    <w:rPr>
      <w:sz w:val="20"/>
      <w:szCs w:val="20"/>
    </w:rPr>
  </w:style>
  <w:style w:type="character" w:customStyle="1" w:styleId="CommentTextChar">
    <w:name w:val="Comment Text Char"/>
    <w:basedOn w:val="DefaultParagraphFont"/>
    <w:link w:val="CommentText"/>
    <w:uiPriority w:val="99"/>
    <w:rsid w:val="00436B9F"/>
    <w:rPr>
      <w:rFonts w:ascii="Garamond" w:eastAsia="Times New Roman" w:hAnsi="Garamond" w:cs="Times New Roman"/>
      <w:sz w:val="20"/>
      <w:szCs w:val="20"/>
    </w:rPr>
  </w:style>
  <w:style w:type="character" w:styleId="Hyperlink">
    <w:name w:val="Hyperlink"/>
    <w:basedOn w:val="DefaultParagraphFont"/>
    <w:uiPriority w:val="99"/>
    <w:unhideWhenUsed/>
    <w:rsid w:val="00436B9F"/>
    <w:rPr>
      <w:color w:val="0000FF" w:themeColor="hyperlink"/>
      <w:u w:val="single"/>
    </w:rPr>
  </w:style>
  <w:style w:type="paragraph" w:customStyle="1" w:styleId="Table">
    <w:name w:val="Table"/>
    <w:basedOn w:val="Normal"/>
    <w:rsid w:val="00436B9F"/>
    <w:pPr>
      <w:tabs>
        <w:tab w:val="clear" w:pos="432"/>
        <w:tab w:val="left" w:pos="720"/>
        <w:tab w:val="left" w:pos="1080"/>
        <w:tab w:val="left" w:pos="1440"/>
        <w:tab w:val="left" w:pos="1800"/>
      </w:tabs>
      <w:spacing w:line="264" w:lineRule="auto"/>
      <w:ind w:firstLine="0"/>
      <w:jc w:val="left"/>
    </w:pPr>
    <w:rPr>
      <w:rFonts w:ascii="Arial" w:hAnsi="Arial"/>
      <w:sz w:val="20"/>
      <w:szCs w:val="20"/>
    </w:rPr>
  </w:style>
  <w:style w:type="paragraph" w:styleId="BodyText">
    <w:name w:val="Body Text"/>
    <w:basedOn w:val="Normal"/>
    <w:link w:val="BodyTextChar"/>
    <w:uiPriority w:val="99"/>
    <w:semiHidden/>
    <w:unhideWhenUsed/>
    <w:rsid w:val="00436B9F"/>
    <w:pPr>
      <w:spacing w:after="120"/>
    </w:pPr>
  </w:style>
  <w:style w:type="character" w:customStyle="1" w:styleId="BodyTextChar">
    <w:name w:val="Body Text Char"/>
    <w:basedOn w:val="DefaultParagraphFont"/>
    <w:link w:val="BodyText"/>
    <w:uiPriority w:val="99"/>
    <w:semiHidden/>
    <w:rsid w:val="00436B9F"/>
    <w:rPr>
      <w:rFonts w:ascii="Garamond" w:eastAsia="Times New Roman" w:hAnsi="Garamond" w:cs="Times New Roman"/>
    </w:rPr>
  </w:style>
  <w:style w:type="character" w:styleId="CommentReference">
    <w:name w:val="annotation reference"/>
    <w:basedOn w:val="DefaultParagraphFont"/>
    <w:uiPriority w:val="99"/>
    <w:semiHidden/>
    <w:unhideWhenUsed/>
    <w:rsid w:val="00436B9F"/>
    <w:rPr>
      <w:sz w:val="16"/>
      <w:szCs w:val="16"/>
    </w:rPr>
  </w:style>
  <w:style w:type="paragraph" w:styleId="CommentSubject">
    <w:name w:val="annotation subject"/>
    <w:basedOn w:val="CommentText"/>
    <w:next w:val="CommentText"/>
    <w:link w:val="CommentSubjectChar"/>
    <w:uiPriority w:val="99"/>
    <w:semiHidden/>
    <w:unhideWhenUsed/>
    <w:rsid w:val="00436B9F"/>
    <w:rPr>
      <w:b/>
      <w:bCs/>
    </w:rPr>
  </w:style>
  <w:style w:type="character" w:customStyle="1" w:styleId="CommentSubjectChar">
    <w:name w:val="Comment Subject Char"/>
    <w:basedOn w:val="CommentTextChar"/>
    <w:link w:val="CommentSubject"/>
    <w:uiPriority w:val="99"/>
    <w:semiHidden/>
    <w:rsid w:val="00436B9F"/>
    <w:rPr>
      <w:rFonts w:ascii="Garamond" w:eastAsia="Times New Roman" w:hAnsi="Garamond" w:cs="Times New Roman"/>
      <w:b/>
      <w:bCs/>
      <w:sz w:val="20"/>
      <w:szCs w:val="20"/>
    </w:rPr>
  </w:style>
  <w:style w:type="character" w:customStyle="1" w:styleId="NormalSSChar">
    <w:name w:val="NormalSS Char"/>
    <w:basedOn w:val="DefaultParagraphFont"/>
    <w:link w:val="NormalSS"/>
    <w:rsid w:val="00436B9F"/>
    <w:rPr>
      <w:rFonts w:eastAsia="Times New Roman" w:cs="Times New Roman"/>
      <w:szCs w:val="20"/>
    </w:rPr>
  </w:style>
  <w:style w:type="paragraph" w:styleId="Revision">
    <w:name w:val="Revision"/>
    <w:hidden/>
    <w:uiPriority w:val="99"/>
    <w:semiHidden/>
    <w:rsid w:val="00436B9F"/>
    <w:pPr>
      <w:spacing w:after="0"/>
    </w:pPr>
    <w:rPr>
      <w:rFonts w:ascii="Garamond" w:eastAsia="Times New Roman" w:hAnsi="Garamond" w:cs="Times New Roman"/>
    </w:rPr>
  </w:style>
  <w:style w:type="character" w:customStyle="1" w:styleId="apple-converted-space">
    <w:name w:val="apple-converted-space"/>
    <w:basedOn w:val="DefaultParagraphFont"/>
    <w:rsid w:val="001125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ara.rice@hhs.gov"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5A61E5E06278A49B27C58F5DB4071CE" ma:contentTypeVersion="0" ma:contentTypeDescription="Create a new document." ma:contentTypeScope="" ma:versionID="2c9bf6ab4fc3249903baee8e6524a6cb">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C327B6F-409E-42A5-8D9A-07D10AA7B23E}">
  <ds:schemaRef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customXml/itemProps2.xml><?xml version="1.0" encoding="utf-8"?>
<ds:datastoreItem xmlns:ds="http://schemas.openxmlformats.org/officeDocument/2006/customXml" ds:itemID="{B7106F89-790A-40E8-82C9-4E5888AABE43}">
  <ds:schemaRefs>
    <ds:schemaRef ds:uri="http://schemas.microsoft.com/sharepoint/v3/contenttype/forms"/>
  </ds:schemaRefs>
</ds:datastoreItem>
</file>

<file path=customXml/itemProps3.xml><?xml version="1.0" encoding="utf-8"?>
<ds:datastoreItem xmlns:ds="http://schemas.openxmlformats.org/officeDocument/2006/customXml" ds:itemID="{A4B382D3-2537-4CA0-9820-689E9EBD28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A7104D2D-20F2-48C2-BB3B-8C8C266DD5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Template>
  <TotalTime>0</TotalTime>
  <Pages>9</Pages>
  <Words>2408</Words>
  <Characters>13726</Characters>
  <Application>Microsoft Office Word</Application>
  <DocSecurity>4</DocSecurity>
  <Lines>114</Lines>
  <Paragraphs>32</Paragraphs>
  <ScaleCrop>false</ScaleCrop>
  <HeadingPairs>
    <vt:vector size="2" baseType="variant">
      <vt:variant>
        <vt:lpstr>Title</vt:lpstr>
      </vt:variant>
      <vt:variant>
        <vt:i4>1</vt:i4>
      </vt:variant>
    </vt:vector>
  </HeadingPairs>
  <TitlesOfParts>
    <vt:vector size="1" baseType="lpstr">
      <vt:lpstr>50164-Statement B</vt:lpstr>
    </vt:vector>
  </TitlesOfParts>
  <Company>Mathematica, Inc</Company>
  <LinksUpToDate>false</LinksUpToDate>
  <CharactersWithSpaces>16102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50164-Statement B</dc:title>
  <dc:creator>Mathematica Staff</dc:creator>
  <cp:lastModifiedBy>Rice, Tara (HHS/OPHS)</cp:lastModifiedBy>
  <cp:revision>2</cp:revision>
  <cp:lastPrinted>2020-01-08T18:47:00Z</cp:lastPrinted>
  <dcterms:created xsi:type="dcterms:W3CDTF">2020-02-19T18:49:00Z</dcterms:created>
  <dcterms:modified xsi:type="dcterms:W3CDTF">2020-02-19T18:49:00Z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0x01010095A61E5E06278A49B27C58F5DB4071CE</vt:lpwstr>
  </property>
</Properties>
</file>