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5103" w:rsidRDefault="00295103" w14:paraId="42A142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w:t>
      </w:r>
      <w:proofErr w:type="gramStart"/>
      <w:r>
        <w:rPr>
          <w:b/>
          <w:bCs/>
          <w:sz w:val="32"/>
          <w:szCs w:val="32"/>
        </w:rPr>
        <w:t>Statement</w:t>
      </w:r>
      <w:proofErr w:type="gramEnd"/>
      <w:r>
        <w:rPr>
          <w:b/>
          <w:bCs/>
          <w:sz w:val="32"/>
          <w:szCs w:val="32"/>
        </w:rPr>
        <w:t xml:space="preserve"> </w:t>
      </w:r>
      <w:r w:rsidR="007851E9">
        <w:rPr>
          <w:b/>
          <w:bCs/>
          <w:sz w:val="32"/>
          <w:szCs w:val="32"/>
        </w:rPr>
        <w:t>A</w:t>
      </w:r>
    </w:p>
    <w:p w:rsidR="009B359F" w:rsidRDefault="009B359F" w14:paraId="3F7743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295103" w:rsidP="00734ABC" w:rsidRDefault="009179D6" w14:paraId="5D77A6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Trib</w:t>
      </w:r>
      <w:r w:rsidR="00077791">
        <w:rPr>
          <w:b/>
          <w:bCs/>
          <w:sz w:val="32"/>
          <w:szCs w:val="32"/>
        </w:rPr>
        <w:t>al Energy Development Capacity Program Grants</w:t>
      </w:r>
    </w:p>
    <w:p w:rsidR="00734ABC" w:rsidP="00734ABC" w:rsidRDefault="00734ABC" w14:paraId="523CB2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295103" w:rsidP="009B359F" w:rsidRDefault="00295103" w14:paraId="7D85C1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215324">
        <w:rPr>
          <w:b/>
          <w:bCs/>
          <w:sz w:val="32"/>
          <w:szCs w:val="32"/>
        </w:rPr>
        <w:t>1076-</w:t>
      </w:r>
      <w:r w:rsidR="00077791">
        <w:rPr>
          <w:b/>
          <w:bCs/>
          <w:sz w:val="32"/>
          <w:szCs w:val="32"/>
        </w:rPr>
        <w:t>0177</w:t>
      </w:r>
    </w:p>
    <w:p w:rsidR="009B359F" w:rsidP="009B359F" w:rsidRDefault="009B359F" w14:paraId="0F51D6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P="000F3AF1" w:rsidRDefault="000F3AF1" w14:paraId="51AC90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2C2DA0">
        <w:rPr>
          <w:sz w:val="32"/>
          <w:szCs w:val="32"/>
        </w:rPr>
        <w:t>None.</w:t>
      </w:r>
    </w:p>
    <w:p w:rsidR="009B359F" w:rsidP="009B359F" w:rsidRDefault="009B359F" w14:paraId="64253C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Default="00295103" w14:paraId="0397DF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Pr="003B5CB7" w:rsidR="00295103" w:rsidRDefault="00295103" w14:paraId="745F43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3B5CB7" w:rsidR="00295103" w:rsidRDefault="00162B02" w14:paraId="05B22E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 xml:space="preserve">A completed </w:t>
      </w:r>
      <w:r w:rsidRPr="003B5CB7" w:rsidR="00295103">
        <w:rPr>
          <w:b/>
          <w:sz w:val="24"/>
          <w:szCs w:val="24"/>
        </w:rPr>
        <w:t>Supporting Statement</w:t>
      </w:r>
      <w:r w:rsidRPr="003B5CB7" w:rsidR="009B359F">
        <w:rPr>
          <w:b/>
          <w:sz w:val="24"/>
          <w:szCs w:val="24"/>
        </w:rPr>
        <w:t xml:space="preserve"> A </w:t>
      </w:r>
      <w:r w:rsidRPr="003B5CB7" w:rsidR="00295103">
        <w:rPr>
          <w:b/>
          <w:sz w:val="24"/>
          <w:szCs w:val="24"/>
        </w:rPr>
        <w:t xml:space="preserve">must accompany each request for approval of a collection of information.  The Supporting Statement must be prepared in the format described </w:t>
      </w:r>
      <w:proofErr w:type="gramStart"/>
      <w:r w:rsidRPr="003B5CB7" w:rsidR="00295103">
        <w:rPr>
          <w:b/>
          <w:sz w:val="24"/>
          <w:szCs w:val="24"/>
        </w:rPr>
        <w:t>below, and</w:t>
      </w:r>
      <w:proofErr w:type="gramEnd"/>
      <w:r w:rsidRPr="003B5CB7" w:rsidR="00295103">
        <w:rPr>
          <w:b/>
          <w:sz w:val="24"/>
          <w:szCs w:val="24"/>
        </w:rPr>
        <w:t xml:space="preserve"> must contain the information </w:t>
      </w:r>
      <w:r w:rsidRPr="003B5CB7" w:rsidR="009B359F">
        <w:rPr>
          <w:b/>
          <w:sz w:val="24"/>
          <w:szCs w:val="24"/>
        </w:rPr>
        <w:t xml:space="preserve">specified </w:t>
      </w:r>
      <w:r w:rsidRPr="003B5CB7" w:rsidR="00295103">
        <w:rPr>
          <w:b/>
          <w:sz w:val="24"/>
          <w:szCs w:val="24"/>
        </w:rPr>
        <w:t xml:space="preserve">below.  If an item is not applicable, provide a brief explanation.  When </w:t>
      </w:r>
      <w:r w:rsidRPr="003B5CB7" w:rsidR="009B359F">
        <w:rPr>
          <w:b/>
          <w:sz w:val="24"/>
          <w:szCs w:val="24"/>
        </w:rPr>
        <w:t>the question “Does this ICR contain surveys, censuses</w:t>
      </w:r>
      <w:r w:rsidRPr="003B5CB7" w:rsidR="007E21B5">
        <w:rPr>
          <w:b/>
          <w:sz w:val="24"/>
          <w:szCs w:val="24"/>
        </w:rPr>
        <w:t>,</w:t>
      </w:r>
      <w:r w:rsidRPr="003B5CB7" w:rsidR="009B359F">
        <w:rPr>
          <w:b/>
          <w:sz w:val="24"/>
          <w:szCs w:val="24"/>
        </w:rPr>
        <w:t xml:space="preserve"> or employ statistical methods?” </w:t>
      </w:r>
      <w:r w:rsidRPr="003B5CB7" w:rsidR="00295103">
        <w:rPr>
          <w:b/>
          <w:sz w:val="24"/>
          <w:szCs w:val="24"/>
        </w:rPr>
        <w:t>is checked "Yes</w:t>
      </w:r>
      <w:r w:rsidRPr="003B5CB7" w:rsidR="009B359F">
        <w:rPr>
          <w:b/>
          <w:sz w:val="24"/>
          <w:szCs w:val="24"/>
        </w:rPr>
        <w:t>,</w:t>
      </w:r>
      <w:r w:rsidRPr="003B5CB7" w:rsidR="00295103">
        <w:rPr>
          <w:b/>
          <w:sz w:val="24"/>
          <w:szCs w:val="24"/>
        </w:rPr>
        <w:t xml:space="preserve">" </w:t>
      </w:r>
      <w:r w:rsidRPr="003B5CB7" w:rsidR="009B359F">
        <w:rPr>
          <w:b/>
          <w:sz w:val="24"/>
          <w:szCs w:val="24"/>
        </w:rPr>
        <w:t xml:space="preserve">then a </w:t>
      </w:r>
      <w:r w:rsidRPr="003B5CB7" w:rsidR="00295103">
        <w:rPr>
          <w:b/>
          <w:sz w:val="24"/>
          <w:szCs w:val="24"/>
        </w:rPr>
        <w:t xml:space="preserve">Supporting Statement </w:t>
      </w:r>
      <w:r w:rsidRPr="003B5CB7" w:rsidR="009B359F">
        <w:rPr>
          <w:b/>
          <w:sz w:val="24"/>
          <w:szCs w:val="24"/>
        </w:rPr>
        <w:t xml:space="preserve">B </w:t>
      </w:r>
      <w:r w:rsidRPr="003B5CB7" w:rsidR="00295103">
        <w:rPr>
          <w:b/>
          <w:sz w:val="24"/>
          <w:szCs w:val="24"/>
        </w:rPr>
        <w:t>must be completed.  OMB reserves the right to require the submission of additional information with respect to any request for approval.</w:t>
      </w:r>
    </w:p>
    <w:p w:rsidR="00295103" w:rsidRDefault="00295103" w14:paraId="1F9FD2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5149E3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RDefault="00295103" w14:paraId="1A999C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122269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14:paraId="4D24F1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B5CB7" w:rsidR="00295103" w:rsidRDefault="00295103" w14:paraId="1D42B3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1.</w:t>
      </w:r>
      <w:r w:rsidRPr="003B5CB7">
        <w:rPr>
          <w:b/>
          <w:sz w:val="24"/>
          <w:szCs w:val="24"/>
        </w:rPr>
        <w:tab/>
        <w:t>Explain the circumstances that make the collection of information necessary.  Identify any legal or administrative requirements that necessitate the collection</w:t>
      </w:r>
      <w:r w:rsidRPr="003B5CB7" w:rsidR="000F3AF1">
        <w:rPr>
          <w:b/>
          <w:sz w:val="24"/>
          <w:szCs w:val="24"/>
        </w:rPr>
        <w:t>.</w:t>
      </w:r>
    </w:p>
    <w:p w:rsidRPr="003D048D" w:rsidR="00295103" w:rsidRDefault="00295103" w14:paraId="22F70B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77791" w:rsidR="00077791" w:rsidP="00077791" w:rsidRDefault="00077791" w14:paraId="7A849231" w14:textId="77777777">
      <w:pPr>
        <w:rPr>
          <w:sz w:val="24"/>
          <w:szCs w:val="24"/>
        </w:rPr>
      </w:pPr>
      <w:r w:rsidRPr="00077791">
        <w:rPr>
          <w:sz w:val="24"/>
          <w:szCs w:val="24"/>
        </w:rPr>
        <w:t xml:space="preserve">The Energy Policy Act of 2005 authorizes the Secretary of the Interior to provide grants to Indian </w:t>
      </w:r>
      <w:r w:rsidR="009179D6">
        <w:rPr>
          <w:sz w:val="24"/>
          <w:szCs w:val="24"/>
        </w:rPr>
        <w:t>Trib</w:t>
      </w:r>
      <w:r w:rsidRPr="00077791">
        <w:rPr>
          <w:sz w:val="24"/>
          <w:szCs w:val="24"/>
        </w:rPr>
        <w:t xml:space="preserve">es </w:t>
      </w:r>
      <w:r w:rsidR="00800A42">
        <w:rPr>
          <w:sz w:val="24"/>
          <w:szCs w:val="24"/>
        </w:rPr>
        <w:t xml:space="preserve">and </w:t>
      </w:r>
      <w:r w:rsidR="009179D6">
        <w:rPr>
          <w:sz w:val="24"/>
          <w:szCs w:val="24"/>
        </w:rPr>
        <w:t>Trib</w:t>
      </w:r>
      <w:r w:rsidR="00800A42">
        <w:rPr>
          <w:sz w:val="24"/>
          <w:szCs w:val="24"/>
        </w:rPr>
        <w:t xml:space="preserve">al energy resource development organizations </w:t>
      </w:r>
      <w:r w:rsidRPr="00077791">
        <w:rPr>
          <w:sz w:val="24"/>
          <w:szCs w:val="24"/>
        </w:rPr>
        <w:t xml:space="preserve">for energy development and appropriates funds for such grants on a year-to-year basis.  </w:t>
      </w:r>
      <w:r w:rsidRPr="009179D6">
        <w:rPr>
          <w:i/>
          <w:sz w:val="24"/>
          <w:szCs w:val="24"/>
        </w:rPr>
        <w:t>See</w:t>
      </w:r>
      <w:r w:rsidRPr="00077791">
        <w:rPr>
          <w:sz w:val="24"/>
          <w:szCs w:val="24"/>
        </w:rPr>
        <w:t xml:space="preserve"> 25 U.S.C. 3502.  When funding is available, the Office of Indian Energy and Economic Development (IEED) may solicit proposals for projects for building capacity for </w:t>
      </w:r>
      <w:r w:rsidR="009179D6">
        <w:rPr>
          <w:sz w:val="24"/>
          <w:szCs w:val="24"/>
        </w:rPr>
        <w:t>Trib</w:t>
      </w:r>
      <w:r w:rsidRPr="00077791">
        <w:rPr>
          <w:sz w:val="24"/>
          <w:szCs w:val="24"/>
        </w:rPr>
        <w:t xml:space="preserve">al energy resource development from </w:t>
      </w:r>
      <w:r w:rsidR="009179D6">
        <w:rPr>
          <w:sz w:val="24"/>
          <w:szCs w:val="24"/>
        </w:rPr>
        <w:t>Trib</w:t>
      </w:r>
      <w:r w:rsidR="00800A42">
        <w:rPr>
          <w:sz w:val="24"/>
          <w:szCs w:val="24"/>
        </w:rPr>
        <w:t xml:space="preserve">al energy resource development organizations and </w:t>
      </w:r>
      <w:r w:rsidRPr="00077791">
        <w:rPr>
          <w:sz w:val="24"/>
          <w:szCs w:val="24"/>
        </w:rPr>
        <w:t xml:space="preserve">Indian </w:t>
      </w:r>
      <w:r w:rsidR="009179D6">
        <w:rPr>
          <w:sz w:val="24"/>
          <w:szCs w:val="24"/>
        </w:rPr>
        <w:t>Trib</w:t>
      </w:r>
      <w:r w:rsidRPr="00077791">
        <w:rPr>
          <w:sz w:val="24"/>
          <w:szCs w:val="24"/>
        </w:rPr>
        <w:t xml:space="preserve">es with Indian lands as defined by 25 U.S.C 3501 under the </w:t>
      </w:r>
      <w:r w:rsidR="009179D6">
        <w:rPr>
          <w:sz w:val="24"/>
          <w:szCs w:val="24"/>
        </w:rPr>
        <w:t>Trib</w:t>
      </w:r>
      <w:r w:rsidRPr="00077791">
        <w:rPr>
          <w:sz w:val="24"/>
          <w:szCs w:val="24"/>
        </w:rPr>
        <w:t xml:space="preserve">al Energy Development Capacity (TEDC) grant program.  </w:t>
      </w:r>
    </w:p>
    <w:p w:rsidRPr="00077791" w:rsidR="00077791" w:rsidP="00077791" w:rsidRDefault="00077791" w14:paraId="4AE9690C" w14:textId="77777777">
      <w:pPr>
        <w:rPr>
          <w:sz w:val="24"/>
          <w:szCs w:val="24"/>
        </w:rPr>
      </w:pPr>
    </w:p>
    <w:p w:rsidRPr="00077791" w:rsidR="00077791" w:rsidP="000A452C" w:rsidRDefault="00800A42" w14:paraId="776FC5F3" w14:textId="77777777">
      <w:pPr>
        <w:rPr>
          <w:sz w:val="24"/>
          <w:szCs w:val="24"/>
        </w:rPr>
      </w:pPr>
      <w:r>
        <w:rPr>
          <w:sz w:val="24"/>
          <w:szCs w:val="24"/>
        </w:rPr>
        <w:t>Those who</w:t>
      </w:r>
      <w:r w:rsidRPr="00077791" w:rsidR="00077791">
        <w:rPr>
          <w:sz w:val="24"/>
          <w:szCs w:val="24"/>
        </w:rPr>
        <w:t xml:space="preserve"> would like to apply for a TEDC grant must submit an application that includes the following information: </w:t>
      </w:r>
      <w:r w:rsidR="009179D6">
        <w:rPr>
          <w:sz w:val="24"/>
          <w:szCs w:val="24"/>
        </w:rPr>
        <w:t xml:space="preserve"> </w:t>
      </w:r>
      <w:r w:rsidRPr="00077791" w:rsidR="00077791">
        <w:rPr>
          <w:sz w:val="24"/>
          <w:szCs w:val="24"/>
        </w:rPr>
        <w:t xml:space="preserve">a formal signed resolution of the governing body of the </w:t>
      </w:r>
      <w:r w:rsidR="009179D6">
        <w:rPr>
          <w:sz w:val="24"/>
          <w:szCs w:val="24"/>
        </w:rPr>
        <w:t>Trib</w:t>
      </w:r>
      <w:r w:rsidRPr="00077791" w:rsidR="00077791">
        <w:rPr>
          <w:sz w:val="24"/>
          <w:szCs w:val="24"/>
        </w:rPr>
        <w:t>e</w:t>
      </w:r>
      <w:r>
        <w:rPr>
          <w:sz w:val="24"/>
          <w:szCs w:val="24"/>
        </w:rPr>
        <w:t xml:space="preserve"> or </w:t>
      </w:r>
      <w:r w:rsidR="009179D6">
        <w:rPr>
          <w:sz w:val="24"/>
          <w:szCs w:val="24"/>
        </w:rPr>
        <w:t>Trib</w:t>
      </w:r>
      <w:r>
        <w:rPr>
          <w:sz w:val="24"/>
          <w:szCs w:val="24"/>
        </w:rPr>
        <w:t>al energy resource development organization</w:t>
      </w:r>
      <w:r w:rsidRPr="00077791" w:rsidR="00077791">
        <w:rPr>
          <w:sz w:val="24"/>
          <w:szCs w:val="24"/>
        </w:rPr>
        <w:t>; a proposal describing the planned activities and deliverable products; and a detailed budget estimate,</w:t>
      </w:r>
      <w:r w:rsidRPr="00077791" w:rsidR="00077791">
        <w:rPr>
          <w:bCs/>
          <w:sz w:val="24"/>
          <w:szCs w:val="24"/>
        </w:rPr>
        <w:t xml:space="preserve"> </w:t>
      </w:r>
      <w:r w:rsidRPr="00077791" w:rsidR="00077791">
        <w:rPr>
          <w:sz w:val="24"/>
          <w:szCs w:val="24"/>
        </w:rPr>
        <w:t xml:space="preserve">and, once the funding is received must submit reports on how they are using the funding. </w:t>
      </w:r>
    </w:p>
    <w:p w:rsidRPr="00077791" w:rsidR="002C2DA0" w:rsidRDefault="00734ABC" w14:paraId="1609FE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sz w:val="24"/>
          <w:szCs w:val="24"/>
        </w:rPr>
        <w:t xml:space="preserve"> </w:t>
      </w:r>
    </w:p>
    <w:p w:rsidRPr="00077791" w:rsidR="00295103" w:rsidRDefault="00295103" w14:paraId="186BCA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77791">
        <w:rPr>
          <w:b/>
          <w:sz w:val="24"/>
          <w:szCs w:val="24"/>
        </w:rPr>
        <w:t>2.</w:t>
      </w:r>
      <w:r w:rsidRPr="00077791">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077791" w:rsidR="00DE1FFE">
        <w:rPr>
          <w:b/>
          <w:sz w:val="24"/>
          <w:szCs w:val="24"/>
        </w:rPr>
        <w:t xml:space="preserve"> </w:t>
      </w:r>
      <w:r w:rsidRPr="00077791">
        <w:rPr>
          <w:b/>
          <w:sz w:val="24"/>
          <w:szCs w:val="24"/>
        </w:rPr>
        <w:t xml:space="preserve">Be specific.  If this collection is a form or a questionnaire, every </w:t>
      </w:r>
      <w:r w:rsidRPr="00077791" w:rsidR="00DE1FFE">
        <w:rPr>
          <w:b/>
          <w:sz w:val="24"/>
          <w:szCs w:val="24"/>
        </w:rPr>
        <w:t>question needs to be justified.</w:t>
      </w:r>
    </w:p>
    <w:p w:rsidRPr="00077791" w:rsidR="00295103" w:rsidRDefault="00295103" w14:paraId="7A471D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77791" w:rsidR="00077791" w:rsidP="00077791" w:rsidRDefault="00077791" w14:paraId="153FD4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bCs/>
          <w:sz w:val="24"/>
          <w:szCs w:val="24"/>
        </w:rPr>
        <w:t xml:space="preserve">IEED solicits the information using a Federal Register notice as its information collection instrument.  IEED uses the information provided by </w:t>
      </w:r>
      <w:r w:rsidR="009179D6">
        <w:rPr>
          <w:bCs/>
          <w:sz w:val="24"/>
          <w:szCs w:val="24"/>
        </w:rPr>
        <w:t>Trib</w:t>
      </w:r>
      <w:r w:rsidRPr="00077791">
        <w:rPr>
          <w:bCs/>
          <w:sz w:val="24"/>
          <w:szCs w:val="24"/>
        </w:rPr>
        <w:t xml:space="preserve">es </w:t>
      </w:r>
      <w:r w:rsidR="00800A42">
        <w:rPr>
          <w:bCs/>
          <w:sz w:val="24"/>
          <w:szCs w:val="24"/>
        </w:rPr>
        <w:t xml:space="preserve">and </w:t>
      </w:r>
      <w:r w:rsidR="009179D6">
        <w:rPr>
          <w:bCs/>
          <w:sz w:val="24"/>
          <w:szCs w:val="24"/>
        </w:rPr>
        <w:t>Trib</w:t>
      </w:r>
      <w:r w:rsidR="00800A42">
        <w:rPr>
          <w:bCs/>
          <w:sz w:val="24"/>
          <w:szCs w:val="24"/>
        </w:rPr>
        <w:t xml:space="preserve">al energy resources development organizations </w:t>
      </w:r>
      <w:r w:rsidRPr="00077791">
        <w:rPr>
          <w:bCs/>
          <w:sz w:val="24"/>
          <w:szCs w:val="24"/>
        </w:rPr>
        <w:t xml:space="preserve">in their application to determine whether they are eligible for TEDC funding.  IEED also uses the application information in conjunction with the information provided in the </w:t>
      </w:r>
      <w:r w:rsidR="009179D6">
        <w:rPr>
          <w:bCs/>
          <w:sz w:val="24"/>
          <w:szCs w:val="24"/>
        </w:rPr>
        <w:t>Trib</w:t>
      </w:r>
      <w:r w:rsidRPr="00077791">
        <w:rPr>
          <w:bCs/>
          <w:sz w:val="24"/>
          <w:szCs w:val="24"/>
        </w:rPr>
        <w:t xml:space="preserve">e’s reports to determine whether the </w:t>
      </w:r>
      <w:r w:rsidR="009179D6">
        <w:rPr>
          <w:bCs/>
          <w:sz w:val="24"/>
          <w:szCs w:val="24"/>
        </w:rPr>
        <w:t>Trib</w:t>
      </w:r>
      <w:r w:rsidRPr="00077791">
        <w:rPr>
          <w:bCs/>
          <w:sz w:val="24"/>
          <w:szCs w:val="24"/>
        </w:rPr>
        <w:t xml:space="preserve">e is using the funding for the stated purpose of </w:t>
      </w:r>
      <w:r w:rsidR="009179D6">
        <w:rPr>
          <w:bCs/>
          <w:sz w:val="24"/>
          <w:szCs w:val="24"/>
        </w:rPr>
        <w:t>Trib</w:t>
      </w:r>
      <w:r w:rsidRPr="00077791">
        <w:rPr>
          <w:bCs/>
          <w:sz w:val="24"/>
          <w:szCs w:val="24"/>
        </w:rPr>
        <w:t xml:space="preserve">al energy development capacity </w:t>
      </w:r>
      <w:r w:rsidRPr="00077791">
        <w:rPr>
          <w:sz w:val="24"/>
          <w:szCs w:val="24"/>
        </w:rPr>
        <w:t xml:space="preserve">studies.  The information is not disseminated to the public or used to support information that will be disseminated to the public.  </w:t>
      </w:r>
    </w:p>
    <w:p w:rsidRPr="00077791" w:rsidR="00077791" w:rsidP="00077791" w:rsidRDefault="00077791" w14:paraId="4CC83B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77791" w:rsidR="00077791" w:rsidP="00077791" w:rsidRDefault="00077791" w14:paraId="38ACA5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sz w:val="24"/>
          <w:szCs w:val="24"/>
        </w:rPr>
        <w:t>A complete application must contain the following elements:</w:t>
      </w:r>
    </w:p>
    <w:p w:rsidRPr="00077791" w:rsidR="00077791" w:rsidP="00077791" w:rsidRDefault="00077791" w14:paraId="524DB6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sz w:val="24"/>
          <w:szCs w:val="24"/>
        </w:rPr>
        <w:t>•</w:t>
      </w:r>
      <w:r w:rsidRPr="00077791">
        <w:rPr>
          <w:sz w:val="24"/>
          <w:szCs w:val="24"/>
        </w:rPr>
        <w:tab/>
        <w:t xml:space="preserve">A formal signed resolution of the governing body of the </w:t>
      </w:r>
      <w:r w:rsidR="009179D6">
        <w:rPr>
          <w:sz w:val="24"/>
          <w:szCs w:val="24"/>
        </w:rPr>
        <w:t>Trib</w:t>
      </w:r>
      <w:r w:rsidRPr="00077791">
        <w:rPr>
          <w:sz w:val="24"/>
          <w:szCs w:val="24"/>
        </w:rPr>
        <w:t>e</w:t>
      </w:r>
      <w:r w:rsidR="00BF4F6B">
        <w:rPr>
          <w:sz w:val="24"/>
          <w:szCs w:val="24"/>
        </w:rPr>
        <w:t xml:space="preserve"> or </w:t>
      </w:r>
      <w:r w:rsidR="009179D6">
        <w:rPr>
          <w:sz w:val="24"/>
          <w:szCs w:val="24"/>
        </w:rPr>
        <w:t>Trib</w:t>
      </w:r>
      <w:r w:rsidR="00BF4F6B">
        <w:rPr>
          <w:sz w:val="24"/>
          <w:szCs w:val="24"/>
        </w:rPr>
        <w:t>al energy resource development organization</w:t>
      </w:r>
      <w:r w:rsidRPr="00077791">
        <w:rPr>
          <w:sz w:val="24"/>
          <w:szCs w:val="24"/>
        </w:rPr>
        <w:t xml:space="preserve">—IEED uses this information to ensure that the </w:t>
      </w:r>
      <w:r w:rsidR="009179D6">
        <w:rPr>
          <w:sz w:val="24"/>
          <w:szCs w:val="24"/>
        </w:rPr>
        <w:t>Trib</w:t>
      </w:r>
      <w:r w:rsidRPr="00077791">
        <w:rPr>
          <w:sz w:val="24"/>
          <w:szCs w:val="24"/>
        </w:rPr>
        <w:t xml:space="preserve">e </w:t>
      </w:r>
      <w:r w:rsidR="00BF4F6B">
        <w:rPr>
          <w:sz w:val="24"/>
          <w:szCs w:val="24"/>
        </w:rPr>
        <w:t xml:space="preserve">or </w:t>
      </w:r>
      <w:r w:rsidR="009179D6">
        <w:rPr>
          <w:sz w:val="24"/>
          <w:szCs w:val="24"/>
        </w:rPr>
        <w:t>Trib</w:t>
      </w:r>
      <w:r w:rsidR="00BF4F6B">
        <w:rPr>
          <w:sz w:val="24"/>
          <w:szCs w:val="24"/>
        </w:rPr>
        <w:t xml:space="preserve">al energy resource development organization </w:t>
      </w:r>
      <w:r w:rsidRPr="00077791">
        <w:rPr>
          <w:sz w:val="24"/>
          <w:szCs w:val="24"/>
        </w:rPr>
        <w:t xml:space="preserve">has authorized the request. </w:t>
      </w:r>
    </w:p>
    <w:p w:rsidRPr="00077791" w:rsidR="00077791" w:rsidP="00077791" w:rsidRDefault="00077791" w14:paraId="0A6D11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sz w:val="24"/>
          <w:szCs w:val="24"/>
        </w:rPr>
        <w:t>•</w:t>
      </w:r>
      <w:r w:rsidRPr="00077791">
        <w:rPr>
          <w:sz w:val="24"/>
          <w:szCs w:val="24"/>
        </w:rPr>
        <w:tab/>
        <w:t xml:space="preserve">A proposal describing the planned activities and deliverable products—IEED uses this information to ensure that the project falls within the scope of what the statute intends the funds to be used for. </w:t>
      </w:r>
    </w:p>
    <w:p w:rsidRPr="00077791" w:rsidR="00077791" w:rsidP="00077791" w:rsidRDefault="00077791" w14:paraId="1552C2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sz w:val="24"/>
          <w:szCs w:val="24"/>
        </w:rPr>
        <w:t>•</w:t>
      </w:r>
      <w:r w:rsidRPr="00077791">
        <w:rPr>
          <w:sz w:val="24"/>
          <w:szCs w:val="24"/>
        </w:rPr>
        <w:tab/>
        <w:t xml:space="preserve">A detailed budget estimate, including contracted personnel costs, travel estimates, data collection and analysis costs, and other expenses—IEED uses this information to ensure that the funds will be used for the statutorily authorized purpose. </w:t>
      </w:r>
    </w:p>
    <w:p w:rsidRPr="00077791" w:rsidR="00077791" w:rsidP="00077791" w:rsidRDefault="00077791" w14:paraId="2302F8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77791" w:rsidR="00077791" w:rsidP="00077791" w:rsidRDefault="00077791" w14:paraId="43F9CE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sz w:val="24"/>
          <w:szCs w:val="24"/>
        </w:rPr>
        <w:t xml:space="preserve">The project proposal must include information about the </w:t>
      </w:r>
      <w:r w:rsidR="00BF4F6B">
        <w:rPr>
          <w:sz w:val="24"/>
          <w:szCs w:val="24"/>
        </w:rPr>
        <w:t>applicant</w:t>
      </w:r>
      <w:r w:rsidRPr="00077791">
        <w:rPr>
          <w:sz w:val="24"/>
          <w:szCs w:val="24"/>
        </w:rPr>
        <w:t xml:space="preserve"> sufficient to allow IEED to evaluate the proposal based on the following criteria:</w:t>
      </w:r>
    </w:p>
    <w:p w:rsidRPr="00077791" w:rsidR="00077791" w:rsidP="00077791" w:rsidRDefault="00077791" w14:paraId="617A4A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sz w:val="24"/>
          <w:szCs w:val="24"/>
        </w:rPr>
        <w:t xml:space="preserve">(a) Energy resource potential; </w:t>
      </w:r>
    </w:p>
    <w:p w:rsidRPr="00077791" w:rsidR="00077791" w:rsidP="00077791" w:rsidRDefault="00077791" w14:paraId="2B940A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sz w:val="24"/>
          <w:szCs w:val="24"/>
        </w:rPr>
        <w:t xml:space="preserve">(b) </w:t>
      </w:r>
      <w:r w:rsidR="00BF4F6B">
        <w:rPr>
          <w:sz w:val="24"/>
          <w:szCs w:val="24"/>
        </w:rPr>
        <w:t>Applicant’s</w:t>
      </w:r>
      <w:r w:rsidRPr="00077791">
        <w:rPr>
          <w:sz w:val="24"/>
          <w:szCs w:val="24"/>
        </w:rPr>
        <w:t xml:space="preserve"> energy resource development history and current status;</w:t>
      </w:r>
    </w:p>
    <w:p w:rsidRPr="00077791" w:rsidR="00077791" w:rsidP="00077791" w:rsidRDefault="00077791" w14:paraId="697568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sz w:val="24"/>
          <w:szCs w:val="24"/>
        </w:rPr>
        <w:t xml:space="preserve">(c) </w:t>
      </w:r>
      <w:r w:rsidR="00BF4F6B">
        <w:rPr>
          <w:sz w:val="24"/>
          <w:szCs w:val="24"/>
        </w:rPr>
        <w:t>Applicant’s</w:t>
      </w:r>
      <w:r w:rsidRPr="00077791">
        <w:rPr>
          <w:sz w:val="24"/>
          <w:szCs w:val="24"/>
        </w:rPr>
        <w:t xml:space="preserve"> existing energy resource development capabilities;</w:t>
      </w:r>
    </w:p>
    <w:p w:rsidRPr="00077791" w:rsidR="00077791" w:rsidP="00077791" w:rsidRDefault="00077791" w14:paraId="58395D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sz w:val="24"/>
          <w:szCs w:val="24"/>
        </w:rPr>
        <w:t xml:space="preserve">(d) Demonstrated willingness of the </w:t>
      </w:r>
      <w:r w:rsidR="00BF4F6B">
        <w:rPr>
          <w:sz w:val="24"/>
          <w:szCs w:val="24"/>
        </w:rPr>
        <w:t>applicant</w:t>
      </w:r>
      <w:r w:rsidRPr="00077791">
        <w:rPr>
          <w:sz w:val="24"/>
          <w:szCs w:val="24"/>
        </w:rPr>
        <w:t xml:space="preserve"> to </w:t>
      </w:r>
      <w:r w:rsidR="00BF4F6B">
        <w:rPr>
          <w:sz w:val="24"/>
          <w:szCs w:val="24"/>
        </w:rPr>
        <w:t>establish and maintain</w:t>
      </w:r>
      <w:r w:rsidRPr="00077791">
        <w:rPr>
          <w:sz w:val="24"/>
          <w:szCs w:val="24"/>
        </w:rPr>
        <w:t xml:space="preserve"> </w:t>
      </w:r>
      <w:r w:rsidR="00253A60">
        <w:rPr>
          <w:sz w:val="24"/>
          <w:szCs w:val="24"/>
        </w:rPr>
        <w:t xml:space="preserve">an </w:t>
      </w:r>
      <w:r w:rsidRPr="00077791">
        <w:rPr>
          <w:sz w:val="24"/>
          <w:szCs w:val="24"/>
        </w:rPr>
        <w:t>independent energy resource development business entity;</w:t>
      </w:r>
    </w:p>
    <w:p w:rsidRPr="00077791" w:rsidR="00077791" w:rsidP="00077791" w:rsidRDefault="00077791" w14:paraId="2BC184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sz w:val="24"/>
          <w:szCs w:val="24"/>
        </w:rPr>
        <w:t xml:space="preserve">(e) Intent to develop and retain energy development capacity within </w:t>
      </w:r>
      <w:r w:rsidR="00BF4F6B">
        <w:rPr>
          <w:sz w:val="24"/>
          <w:szCs w:val="24"/>
        </w:rPr>
        <w:t>the applicant’s</w:t>
      </w:r>
      <w:r w:rsidRPr="00077791">
        <w:rPr>
          <w:sz w:val="24"/>
          <w:szCs w:val="24"/>
        </w:rPr>
        <w:t xml:space="preserve"> government or business entities; and</w:t>
      </w:r>
    </w:p>
    <w:p w:rsidRPr="00077791" w:rsidR="00077791" w:rsidP="00077791" w:rsidRDefault="00077791" w14:paraId="39F49B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sz w:val="24"/>
          <w:szCs w:val="24"/>
        </w:rPr>
        <w:t xml:space="preserve">(f) </w:t>
      </w:r>
      <w:r w:rsidR="00BF4F6B">
        <w:rPr>
          <w:sz w:val="24"/>
          <w:szCs w:val="24"/>
        </w:rPr>
        <w:t>Applicant</w:t>
      </w:r>
      <w:r w:rsidRPr="00077791">
        <w:rPr>
          <w:sz w:val="24"/>
          <w:szCs w:val="24"/>
        </w:rPr>
        <w:t xml:space="preserve"> commitment of staff, training, or monetary resources.</w:t>
      </w:r>
    </w:p>
    <w:p w:rsidRPr="00077791" w:rsidR="00077791" w:rsidP="00077791" w:rsidRDefault="00077791" w14:paraId="77F2EC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77791" w:rsidR="00077791" w:rsidP="00077791" w:rsidRDefault="00077791" w14:paraId="3D6C0A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sz w:val="24"/>
          <w:szCs w:val="24"/>
        </w:rPr>
        <w:t xml:space="preserve">IEED requires this information to ensure that it provides funding only to those projects that meet the goals of the TEDC and the purposes for which Congress provides the appropriations.  </w:t>
      </w:r>
    </w:p>
    <w:p w:rsidRPr="00077791" w:rsidR="00077791" w:rsidP="00077791" w:rsidRDefault="00077791" w14:paraId="74EAAE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77791" w:rsidR="002C2DA0" w:rsidP="00077791" w:rsidRDefault="00077791" w14:paraId="6A2832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sz w:val="24"/>
          <w:szCs w:val="24"/>
        </w:rPr>
        <w:t xml:space="preserve">IEED also requires </w:t>
      </w:r>
      <w:r w:rsidR="00512EC3">
        <w:rPr>
          <w:sz w:val="24"/>
          <w:szCs w:val="24"/>
        </w:rPr>
        <w:t>quarterly reports, which include</w:t>
      </w:r>
      <w:r w:rsidRPr="00077791">
        <w:rPr>
          <w:sz w:val="24"/>
          <w:szCs w:val="24"/>
        </w:rPr>
        <w:t xml:space="preserve"> a final report.  IEED uses the information in these reports to ensure the project is progressing and that funds are being used for appropriate purposes.</w:t>
      </w:r>
    </w:p>
    <w:p w:rsidRPr="00077791" w:rsidR="00077791" w:rsidP="00077791" w:rsidRDefault="00077791" w14:paraId="233405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77791" w:rsidR="00295103" w:rsidRDefault="00295103" w14:paraId="1DBE28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77791">
        <w:rPr>
          <w:b/>
          <w:sz w:val="24"/>
          <w:szCs w:val="24"/>
        </w:rPr>
        <w:t>3.</w:t>
      </w:r>
      <w:r w:rsidRPr="00077791">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077791" w:rsidR="003B5CB7" w:rsidRDefault="003B5CB7" w14:paraId="233621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77791" w:rsidR="00077791" w:rsidP="0007181C" w:rsidRDefault="00077791" w14:paraId="6EC298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sz w:val="24"/>
          <w:szCs w:val="24"/>
        </w:rPr>
        <w:t xml:space="preserve">IEED </w:t>
      </w:r>
      <w:r w:rsidR="00253A60">
        <w:rPr>
          <w:sz w:val="24"/>
          <w:szCs w:val="24"/>
        </w:rPr>
        <w:t>requ</w:t>
      </w:r>
      <w:r w:rsidR="001D37AA">
        <w:rPr>
          <w:sz w:val="24"/>
          <w:szCs w:val="24"/>
        </w:rPr>
        <w:t>ests</w:t>
      </w:r>
      <w:r w:rsidR="00253A60">
        <w:rPr>
          <w:sz w:val="24"/>
          <w:szCs w:val="24"/>
        </w:rPr>
        <w:t xml:space="preserve"> that </w:t>
      </w:r>
      <w:r w:rsidRPr="00077791">
        <w:rPr>
          <w:sz w:val="24"/>
          <w:szCs w:val="24"/>
        </w:rPr>
        <w:t xml:space="preserve">applications and reports </w:t>
      </w:r>
      <w:r w:rsidR="00253A60">
        <w:rPr>
          <w:sz w:val="24"/>
          <w:szCs w:val="24"/>
        </w:rPr>
        <w:t xml:space="preserve">be sent </w:t>
      </w:r>
      <w:r w:rsidRPr="00077791">
        <w:rPr>
          <w:sz w:val="24"/>
          <w:szCs w:val="24"/>
        </w:rPr>
        <w:t>electronically (e</w:t>
      </w:r>
      <w:r w:rsidR="00253A60">
        <w:rPr>
          <w:sz w:val="24"/>
          <w:szCs w:val="24"/>
        </w:rPr>
        <w:t>-</w:t>
      </w:r>
      <w:r w:rsidRPr="0007181C">
        <w:rPr>
          <w:sz w:val="24"/>
          <w:szCs w:val="24"/>
        </w:rPr>
        <w:t>mail)</w:t>
      </w:r>
      <w:r w:rsidRPr="0007181C" w:rsidR="000F1737">
        <w:rPr>
          <w:sz w:val="24"/>
          <w:szCs w:val="24"/>
        </w:rPr>
        <w:t xml:space="preserve">. The 2020 TEDC </w:t>
      </w:r>
      <w:r w:rsidRPr="0007181C" w:rsidR="000F1737">
        <w:rPr>
          <w:sz w:val="24"/>
          <w:szCs w:val="24"/>
        </w:rPr>
        <w:lastRenderedPageBreak/>
        <w:t>solicitation (FOA) required that all applications be submitted via email. Furthermore, all grant reporting is required to be submitted via email. IEED is now in the process of transitioning all grant programs, including the TEDC, to the automated, all electronic</w:t>
      </w:r>
      <w:r w:rsidRPr="0007181C" w:rsidR="00F814ED">
        <w:rPr>
          <w:sz w:val="24"/>
          <w:szCs w:val="24"/>
        </w:rPr>
        <w:t xml:space="preserve"> “</w:t>
      </w:r>
      <w:proofErr w:type="spellStart"/>
      <w:r w:rsidRPr="0007181C" w:rsidR="00F814ED">
        <w:rPr>
          <w:sz w:val="24"/>
          <w:szCs w:val="24"/>
        </w:rPr>
        <w:t>GrantSolutions</w:t>
      </w:r>
      <w:proofErr w:type="spellEnd"/>
      <w:r w:rsidRPr="0007181C" w:rsidR="00F814ED">
        <w:rPr>
          <w:sz w:val="24"/>
          <w:szCs w:val="24"/>
        </w:rPr>
        <w:t xml:space="preserve">” </w:t>
      </w:r>
      <w:r w:rsidRPr="0007181C" w:rsidR="000F1737">
        <w:rPr>
          <w:sz w:val="24"/>
          <w:szCs w:val="24"/>
        </w:rPr>
        <w:t>system. This will further require all information collection to be conducted paperless</w:t>
      </w:r>
      <w:r w:rsidRPr="0007181C" w:rsidR="008A7159">
        <w:rPr>
          <w:sz w:val="24"/>
          <w:szCs w:val="24"/>
        </w:rPr>
        <w:t xml:space="preserve"> and meet the requirements of GPEA</w:t>
      </w:r>
      <w:r w:rsidRPr="0007181C" w:rsidR="000F1737">
        <w:rPr>
          <w:sz w:val="24"/>
          <w:szCs w:val="24"/>
        </w:rPr>
        <w:t>.</w:t>
      </w:r>
      <w:r w:rsidR="000F1737">
        <w:rPr>
          <w:b/>
          <w:color w:val="FF0000"/>
          <w:sz w:val="24"/>
          <w:szCs w:val="24"/>
        </w:rPr>
        <w:t xml:space="preserve"> </w:t>
      </w:r>
    </w:p>
    <w:p w:rsidRPr="00077791" w:rsidR="00734ABC" w:rsidRDefault="00734ABC" w14:paraId="3A5BFD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77791" w:rsidR="00295103" w:rsidRDefault="00295103" w14:paraId="760AB0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77791">
        <w:rPr>
          <w:b/>
          <w:sz w:val="24"/>
          <w:szCs w:val="24"/>
        </w:rPr>
        <w:t>4.</w:t>
      </w:r>
      <w:r w:rsidRPr="00077791">
        <w:rPr>
          <w:b/>
          <w:sz w:val="24"/>
          <w:szCs w:val="24"/>
        </w:rPr>
        <w:tab/>
        <w:t>Describe efforts to identify duplication.  Show specifically why any similar information already available cannot be used or modified for use for the purposes described in Item 2 above.</w:t>
      </w:r>
    </w:p>
    <w:p w:rsidRPr="00077791" w:rsidR="00295103" w:rsidRDefault="00295103" w14:paraId="132701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77791" w:rsidR="00077791" w:rsidP="00077791" w:rsidRDefault="00077791" w14:paraId="5A81E199" w14:textId="77777777">
      <w:pPr>
        <w:rPr>
          <w:sz w:val="24"/>
          <w:szCs w:val="24"/>
        </w:rPr>
      </w:pPr>
      <w:r w:rsidRPr="00077791">
        <w:rPr>
          <w:sz w:val="24"/>
          <w:szCs w:val="24"/>
        </w:rPr>
        <w:t xml:space="preserve">The information IEED collects is not available from any other source.  The information collected is unique to each </w:t>
      </w:r>
      <w:r w:rsidR="009179D6">
        <w:rPr>
          <w:sz w:val="24"/>
          <w:szCs w:val="24"/>
        </w:rPr>
        <w:t>Trib</w:t>
      </w:r>
      <w:r w:rsidRPr="00077791">
        <w:rPr>
          <w:sz w:val="24"/>
          <w:szCs w:val="24"/>
        </w:rPr>
        <w:t xml:space="preserve">e and unique to each </w:t>
      </w:r>
      <w:r w:rsidR="009179D6">
        <w:rPr>
          <w:sz w:val="24"/>
          <w:szCs w:val="24"/>
        </w:rPr>
        <w:t>Trib</w:t>
      </w:r>
      <w:r w:rsidRPr="00077791">
        <w:rPr>
          <w:sz w:val="24"/>
          <w:szCs w:val="24"/>
        </w:rPr>
        <w:t>e’s plans for</w:t>
      </w:r>
      <w:r w:rsidRPr="00077791">
        <w:rPr>
          <w:bCs/>
          <w:sz w:val="24"/>
          <w:szCs w:val="24"/>
        </w:rPr>
        <w:t xml:space="preserve"> </w:t>
      </w:r>
      <w:r w:rsidR="009179D6">
        <w:rPr>
          <w:bCs/>
          <w:sz w:val="24"/>
          <w:szCs w:val="24"/>
        </w:rPr>
        <w:t>Trib</w:t>
      </w:r>
      <w:r w:rsidRPr="00077791">
        <w:rPr>
          <w:bCs/>
          <w:sz w:val="24"/>
          <w:szCs w:val="24"/>
        </w:rPr>
        <w:t>al energy development capacity</w:t>
      </w:r>
      <w:r w:rsidRPr="00077791">
        <w:rPr>
          <w:sz w:val="24"/>
          <w:szCs w:val="24"/>
        </w:rPr>
        <w:t xml:space="preserve">. </w:t>
      </w:r>
    </w:p>
    <w:p w:rsidRPr="00077791" w:rsidR="00215324" w:rsidP="00215324" w:rsidRDefault="00215324" w14:paraId="43B898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77791" w:rsidR="00295103" w:rsidRDefault="00295103" w14:paraId="1BB0F2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77791">
        <w:rPr>
          <w:b/>
          <w:sz w:val="24"/>
          <w:szCs w:val="24"/>
        </w:rPr>
        <w:t>5.</w:t>
      </w:r>
      <w:r w:rsidRPr="00077791">
        <w:rPr>
          <w:b/>
          <w:sz w:val="24"/>
          <w:szCs w:val="24"/>
        </w:rPr>
        <w:tab/>
        <w:t>If the collection of information impacts small bus</w:t>
      </w:r>
      <w:r w:rsidRPr="00077791" w:rsidR="006E339F">
        <w:rPr>
          <w:b/>
          <w:sz w:val="24"/>
          <w:szCs w:val="24"/>
        </w:rPr>
        <w:t>inesses or other small entities</w:t>
      </w:r>
      <w:r w:rsidRPr="00077791">
        <w:rPr>
          <w:b/>
          <w:sz w:val="24"/>
          <w:szCs w:val="24"/>
        </w:rPr>
        <w:t>, describe any methods used to minimize burden.</w:t>
      </w:r>
    </w:p>
    <w:p w:rsidRPr="00077791" w:rsidR="00295103" w:rsidRDefault="00295103" w14:paraId="6E630A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77791" w:rsidR="00077791" w:rsidP="00077791" w:rsidRDefault="00077791" w14:paraId="68A69709" w14:textId="77777777">
      <w:pPr>
        <w:rPr>
          <w:sz w:val="24"/>
          <w:szCs w:val="24"/>
        </w:rPr>
      </w:pPr>
      <w:r w:rsidRPr="00077791">
        <w:rPr>
          <w:sz w:val="24"/>
          <w:szCs w:val="24"/>
        </w:rPr>
        <w:t xml:space="preserve">Indian </w:t>
      </w:r>
      <w:r w:rsidR="009179D6">
        <w:rPr>
          <w:sz w:val="24"/>
          <w:szCs w:val="24"/>
        </w:rPr>
        <w:t>Trib</w:t>
      </w:r>
      <w:r w:rsidRPr="00077791">
        <w:rPr>
          <w:sz w:val="24"/>
          <w:szCs w:val="24"/>
        </w:rPr>
        <w:t xml:space="preserve">es are not considered small entities, but they may finance small businesses that conduct </w:t>
      </w:r>
      <w:r w:rsidR="009179D6">
        <w:rPr>
          <w:bCs/>
          <w:sz w:val="24"/>
          <w:szCs w:val="24"/>
        </w:rPr>
        <w:t>Trib</w:t>
      </w:r>
      <w:r w:rsidRPr="00077791">
        <w:rPr>
          <w:bCs/>
          <w:sz w:val="24"/>
          <w:szCs w:val="24"/>
        </w:rPr>
        <w:t>al energy development capacity</w:t>
      </w:r>
      <w:r w:rsidRPr="00077791">
        <w:rPr>
          <w:sz w:val="24"/>
          <w:szCs w:val="24"/>
        </w:rPr>
        <w:t xml:space="preserve">.  </w:t>
      </w:r>
      <w:r w:rsidR="009179D6">
        <w:rPr>
          <w:sz w:val="24"/>
          <w:szCs w:val="24"/>
        </w:rPr>
        <w:t>Trib</w:t>
      </w:r>
      <w:r w:rsidR="00BF4F6B">
        <w:rPr>
          <w:sz w:val="24"/>
          <w:szCs w:val="24"/>
        </w:rPr>
        <w:t xml:space="preserve">al energy resource development organizations can be small entities.  </w:t>
      </w:r>
      <w:r w:rsidRPr="00077791">
        <w:rPr>
          <w:sz w:val="24"/>
          <w:szCs w:val="24"/>
        </w:rPr>
        <w:t>To ensure the burden of providing information is minimized, IEED collects only information that is necessar</w:t>
      </w:r>
      <w:r w:rsidR="00BF4F6B">
        <w:rPr>
          <w:sz w:val="24"/>
          <w:szCs w:val="24"/>
        </w:rPr>
        <w:t xml:space="preserve">y for it to determine whether an applicant </w:t>
      </w:r>
      <w:r w:rsidRPr="00077791">
        <w:rPr>
          <w:sz w:val="24"/>
          <w:szCs w:val="24"/>
        </w:rPr>
        <w:t xml:space="preserve">is eligible for funding and whether the funding is being appropriately spent.  </w:t>
      </w:r>
    </w:p>
    <w:p w:rsidRPr="00077791" w:rsidR="002C2DA0" w:rsidRDefault="002C2DA0" w14:paraId="59FD20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77791" w:rsidR="00295103" w:rsidRDefault="00295103" w14:paraId="5EE779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77791">
        <w:rPr>
          <w:b/>
          <w:sz w:val="24"/>
          <w:szCs w:val="24"/>
        </w:rPr>
        <w:t>6.</w:t>
      </w:r>
      <w:r w:rsidRPr="00077791">
        <w:rPr>
          <w:b/>
          <w:sz w:val="24"/>
          <w:szCs w:val="24"/>
        </w:rPr>
        <w:tab/>
        <w:t>Describe the consequence to Federal program or policy activities if the collection is not conducted or is conducted less frequently, as well as any technical or legal obstacles to reducing burden.</w:t>
      </w:r>
    </w:p>
    <w:p w:rsidRPr="00077791" w:rsidR="00295103" w:rsidRDefault="00295103" w14:paraId="712389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77791" w:rsidR="00077791" w:rsidP="00077791" w:rsidRDefault="00077791" w14:paraId="7B5755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077791">
        <w:rPr>
          <w:bCs/>
          <w:sz w:val="24"/>
          <w:szCs w:val="24"/>
        </w:rPr>
        <w:t xml:space="preserve">If IEED were unable to conduct this information collection, then </w:t>
      </w:r>
      <w:r w:rsidR="00BF4F6B">
        <w:rPr>
          <w:bCs/>
          <w:sz w:val="24"/>
          <w:szCs w:val="24"/>
        </w:rPr>
        <w:t>applicants</w:t>
      </w:r>
      <w:r w:rsidRPr="00077791">
        <w:rPr>
          <w:bCs/>
          <w:sz w:val="24"/>
          <w:szCs w:val="24"/>
        </w:rPr>
        <w:t xml:space="preserve"> would be deprived of funding that is statutorily authorized and appropriated.  As a consequence, many </w:t>
      </w:r>
      <w:r w:rsidR="009179D6">
        <w:rPr>
          <w:bCs/>
          <w:sz w:val="24"/>
          <w:szCs w:val="24"/>
        </w:rPr>
        <w:t>Trib</w:t>
      </w:r>
      <w:r w:rsidRPr="00077791">
        <w:rPr>
          <w:bCs/>
          <w:sz w:val="24"/>
          <w:szCs w:val="24"/>
        </w:rPr>
        <w:t xml:space="preserve">es </w:t>
      </w:r>
      <w:r w:rsidR="00BF4F6B">
        <w:rPr>
          <w:bCs/>
          <w:sz w:val="24"/>
          <w:szCs w:val="24"/>
        </w:rPr>
        <w:t xml:space="preserve">and </w:t>
      </w:r>
      <w:r w:rsidR="009179D6">
        <w:rPr>
          <w:bCs/>
          <w:sz w:val="24"/>
          <w:szCs w:val="24"/>
        </w:rPr>
        <w:t>Trib</w:t>
      </w:r>
      <w:r w:rsidR="00BF4F6B">
        <w:rPr>
          <w:bCs/>
          <w:sz w:val="24"/>
          <w:szCs w:val="24"/>
        </w:rPr>
        <w:t xml:space="preserve">al energy resource development organizations </w:t>
      </w:r>
      <w:r w:rsidRPr="00077791">
        <w:rPr>
          <w:bCs/>
          <w:sz w:val="24"/>
          <w:szCs w:val="24"/>
        </w:rPr>
        <w:t xml:space="preserve">that otherwise would be recipients of this funding would not be able to </w:t>
      </w:r>
      <w:r w:rsidR="00253A60">
        <w:rPr>
          <w:bCs/>
          <w:sz w:val="24"/>
          <w:szCs w:val="24"/>
        </w:rPr>
        <w:t>increase their</w:t>
      </w:r>
      <w:r w:rsidRPr="00077791">
        <w:rPr>
          <w:bCs/>
          <w:sz w:val="24"/>
          <w:szCs w:val="24"/>
        </w:rPr>
        <w:t xml:space="preserve"> </w:t>
      </w:r>
      <w:r w:rsidR="009179D6">
        <w:rPr>
          <w:bCs/>
          <w:sz w:val="24"/>
          <w:szCs w:val="24"/>
        </w:rPr>
        <w:t>Trib</w:t>
      </w:r>
      <w:r w:rsidRPr="00077791">
        <w:rPr>
          <w:bCs/>
          <w:sz w:val="24"/>
          <w:szCs w:val="24"/>
        </w:rPr>
        <w:t xml:space="preserve">al energy development capacity, depriving them of the opportunity to economically benefit from </w:t>
      </w:r>
      <w:r w:rsidR="00253A60">
        <w:rPr>
          <w:bCs/>
          <w:sz w:val="24"/>
          <w:szCs w:val="24"/>
        </w:rPr>
        <w:t>their energy</w:t>
      </w:r>
      <w:r w:rsidRPr="00077791">
        <w:rPr>
          <w:bCs/>
          <w:sz w:val="24"/>
          <w:szCs w:val="24"/>
        </w:rPr>
        <w:t xml:space="preserve"> resources.</w:t>
      </w:r>
    </w:p>
    <w:p w:rsidRPr="00077791" w:rsidR="002C2DA0" w:rsidRDefault="002C2DA0" w14:paraId="606E18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77791" w:rsidR="00295103" w:rsidRDefault="00295103" w14:paraId="7AB071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77791">
        <w:rPr>
          <w:b/>
          <w:sz w:val="24"/>
          <w:szCs w:val="24"/>
        </w:rPr>
        <w:t>7.</w:t>
      </w:r>
      <w:r w:rsidRPr="00077791">
        <w:rPr>
          <w:b/>
          <w:sz w:val="24"/>
          <w:szCs w:val="24"/>
        </w:rPr>
        <w:tab/>
        <w:t>Explain any special circumstances that would cause an information collection to be conducted in a manner:</w:t>
      </w:r>
    </w:p>
    <w:p w:rsidRPr="00077791" w:rsidR="00295103" w:rsidRDefault="00295103" w14:paraId="5DFC2F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77791">
        <w:rPr>
          <w:b/>
          <w:sz w:val="24"/>
          <w:szCs w:val="24"/>
        </w:rPr>
        <w:tab/>
        <w:t>*</w:t>
      </w:r>
      <w:r w:rsidRPr="00077791">
        <w:rPr>
          <w:b/>
          <w:sz w:val="24"/>
          <w:szCs w:val="24"/>
        </w:rPr>
        <w:tab/>
        <w:t>requiring respondents to report information to the agency more often than quarterly;</w:t>
      </w:r>
    </w:p>
    <w:p w:rsidRPr="00077791" w:rsidR="00295103" w:rsidRDefault="007A471F" w14:paraId="2EC19C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77791">
        <w:rPr>
          <w:sz w:val="24"/>
          <w:szCs w:val="24"/>
        </w:rPr>
        <w:tab/>
      </w:r>
      <w:r w:rsidRPr="00077791" w:rsidR="00295103">
        <w:rPr>
          <w:b/>
          <w:sz w:val="24"/>
          <w:szCs w:val="24"/>
        </w:rPr>
        <w:t>*</w:t>
      </w:r>
      <w:r w:rsidRPr="00077791" w:rsidR="00295103">
        <w:rPr>
          <w:b/>
          <w:sz w:val="24"/>
          <w:szCs w:val="24"/>
        </w:rPr>
        <w:tab/>
        <w:t>requiring respondents to prepare a written response to a collection of information in fewer than 30 days after receipt of it;</w:t>
      </w:r>
    </w:p>
    <w:p w:rsidRPr="00077791" w:rsidR="00295103" w:rsidRDefault="00295103" w14:paraId="549889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77791">
        <w:rPr>
          <w:b/>
          <w:sz w:val="24"/>
          <w:szCs w:val="24"/>
        </w:rPr>
        <w:t>*</w:t>
      </w:r>
      <w:r w:rsidRPr="00077791">
        <w:rPr>
          <w:b/>
          <w:sz w:val="24"/>
          <w:szCs w:val="24"/>
        </w:rPr>
        <w:tab/>
        <w:t>requiring respondents to submit more than an original and two copies of any document;</w:t>
      </w:r>
    </w:p>
    <w:p w:rsidRPr="00077791" w:rsidR="00295103" w:rsidRDefault="00295103" w14:paraId="7ACDCB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77791">
        <w:rPr>
          <w:b/>
          <w:sz w:val="24"/>
          <w:szCs w:val="24"/>
        </w:rPr>
        <w:t>*</w:t>
      </w:r>
      <w:r w:rsidRPr="00077791">
        <w:rPr>
          <w:b/>
          <w:sz w:val="24"/>
          <w:szCs w:val="24"/>
        </w:rPr>
        <w:tab/>
        <w:t>requiring respondents to retain records, other than health, medical, government contract, grant-in-aid, or tax records, for more than three years;</w:t>
      </w:r>
    </w:p>
    <w:p w:rsidRPr="00077791" w:rsidR="00295103" w:rsidRDefault="00295103" w14:paraId="43FD29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77791">
        <w:rPr>
          <w:b/>
          <w:sz w:val="24"/>
          <w:szCs w:val="24"/>
        </w:rPr>
        <w:t>*</w:t>
      </w:r>
      <w:r w:rsidRPr="00077791">
        <w:rPr>
          <w:b/>
          <w:sz w:val="24"/>
          <w:szCs w:val="24"/>
        </w:rPr>
        <w:tab/>
        <w:t>in conne</w:t>
      </w:r>
      <w:r w:rsidRPr="00077791" w:rsidR="00352210">
        <w:rPr>
          <w:b/>
          <w:sz w:val="24"/>
          <w:szCs w:val="24"/>
        </w:rPr>
        <w:t>ction with a statistical survey</w:t>
      </w:r>
      <w:r w:rsidRPr="00077791">
        <w:rPr>
          <w:b/>
          <w:sz w:val="24"/>
          <w:szCs w:val="24"/>
        </w:rPr>
        <w:t xml:space="preserve"> that is not designed to produce valid and reliable results that can be generalized to the universe of study;</w:t>
      </w:r>
    </w:p>
    <w:p w:rsidRPr="00077791" w:rsidR="00295103" w:rsidRDefault="00295103" w14:paraId="6221AC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77791">
        <w:rPr>
          <w:b/>
          <w:sz w:val="24"/>
          <w:szCs w:val="24"/>
        </w:rPr>
        <w:t>*</w:t>
      </w:r>
      <w:r w:rsidRPr="00077791">
        <w:rPr>
          <w:b/>
          <w:sz w:val="24"/>
          <w:szCs w:val="24"/>
        </w:rPr>
        <w:tab/>
        <w:t>requiring the use of a statistical data classification that has not been reviewed and approved by OMB;</w:t>
      </w:r>
    </w:p>
    <w:p w:rsidRPr="00077791" w:rsidR="00295103" w:rsidRDefault="00295103" w14:paraId="40D99A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77791">
        <w:rPr>
          <w:b/>
          <w:sz w:val="24"/>
          <w:szCs w:val="24"/>
        </w:rPr>
        <w:lastRenderedPageBreak/>
        <w:t>*</w:t>
      </w:r>
      <w:r w:rsidRPr="00077791">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77791" w:rsidR="00295103" w:rsidRDefault="00295103" w14:paraId="77180A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77791">
        <w:rPr>
          <w:b/>
          <w:sz w:val="24"/>
          <w:szCs w:val="24"/>
        </w:rPr>
        <w:t>*</w:t>
      </w:r>
      <w:r w:rsidRPr="00077791">
        <w:rPr>
          <w:b/>
          <w:sz w:val="24"/>
          <w:szCs w:val="24"/>
        </w:rPr>
        <w:tab/>
        <w:t>requiring respondents to submit proprietary trade secrets, or other confidential information</w:t>
      </w:r>
      <w:r w:rsidRPr="00077791" w:rsidR="00352210">
        <w:rPr>
          <w:b/>
          <w:sz w:val="24"/>
          <w:szCs w:val="24"/>
        </w:rPr>
        <w:t>,</w:t>
      </w:r>
      <w:r w:rsidRPr="00077791">
        <w:rPr>
          <w:b/>
          <w:sz w:val="24"/>
          <w:szCs w:val="24"/>
        </w:rPr>
        <w:t xml:space="preserve"> unless the agency can demonstrate that it has instituted procedures to protect the information's confidentiality to the extent permitted by law.</w:t>
      </w:r>
    </w:p>
    <w:p w:rsidRPr="00077791" w:rsidR="002C2DA0" w:rsidRDefault="002C2DA0" w14:paraId="7066EC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077791" w:rsidR="00077791" w:rsidP="00077791" w:rsidRDefault="00077791" w14:paraId="379A269E" w14:textId="77777777">
      <w:pPr>
        <w:rPr>
          <w:sz w:val="24"/>
          <w:szCs w:val="24"/>
        </w:rPr>
      </w:pPr>
      <w:r w:rsidRPr="00077791">
        <w:rPr>
          <w:sz w:val="24"/>
          <w:szCs w:val="24"/>
        </w:rPr>
        <w:t>There are no circumstances that require IEED to collect the information in a manner inconsistent with OMB guidelines.</w:t>
      </w:r>
    </w:p>
    <w:p w:rsidRPr="00077791" w:rsidR="00215324" w:rsidP="00215324" w:rsidRDefault="00215324" w14:paraId="2FC83B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77791" w:rsidR="00295103" w:rsidRDefault="00295103" w14:paraId="2FA982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77791">
        <w:rPr>
          <w:b/>
          <w:sz w:val="24"/>
          <w:szCs w:val="24"/>
        </w:rPr>
        <w:t>8.</w:t>
      </w:r>
      <w:r w:rsidRPr="00077791">
        <w:rPr>
          <w:b/>
          <w:sz w:val="24"/>
          <w:szCs w:val="24"/>
        </w:rPr>
        <w:tab/>
        <w:t xml:space="preserve">If applicable, provide a copy and identify the date and page number of </w:t>
      </w:r>
      <w:proofErr w:type="gramStart"/>
      <w:r w:rsidRPr="00077791">
        <w:rPr>
          <w:b/>
          <w:sz w:val="24"/>
          <w:szCs w:val="24"/>
        </w:rPr>
        <w:t>publication</w:t>
      </w:r>
      <w:proofErr w:type="gramEnd"/>
      <w:r w:rsidRPr="00077791">
        <w:rPr>
          <w:b/>
          <w:sz w:val="24"/>
          <w:szCs w:val="24"/>
        </w:rPr>
        <w:t xml:space="preserve"> in the Federal Register of the agency's notice, required by 5 CFR 1320.8(d), soliciting comments on the information collection prior to submission to OMB.  Summarize public comments recei</w:t>
      </w:r>
      <w:r w:rsidRPr="00077791" w:rsidR="00DE1FFE">
        <w:rPr>
          <w:b/>
          <w:sz w:val="24"/>
          <w:szCs w:val="24"/>
        </w:rPr>
        <w:t xml:space="preserve">ved in response to that notice </w:t>
      </w:r>
      <w:r w:rsidRPr="00077791">
        <w:rPr>
          <w:b/>
          <w:sz w:val="24"/>
          <w:szCs w:val="24"/>
        </w:rPr>
        <w:t>and in response to the PRA statement associated with the collec</w:t>
      </w:r>
      <w:r w:rsidRPr="00077791" w:rsidR="00DE1FFE">
        <w:rPr>
          <w:b/>
          <w:sz w:val="24"/>
          <w:szCs w:val="24"/>
        </w:rPr>
        <w:t xml:space="preserve">tion over the past three years, </w:t>
      </w:r>
      <w:r w:rsidRPr="00077791">
        <w:rPr>
          <w:b/>
          <w:sz w:val="24"/>
          <w:szCs w:val="24"/>
        </w:rPr>
        <w:t>and describe actions taken by the agency in response to these comments.  Specifically address comments received on cost and hour burden.</w:t>
      </w:r>
    </w:p>
    <w:p w:rsidRPr="00077791" w:rsidR="002C2DA0" w:rsidP="002C2DA0" w:rsidRDefault="002C2DA0" w14:paraId="150BDF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5E6EE9" w:rsidP="00602796" w:rsidRDefault="005E6EE9" w14:paraId="039B08DB" w14:textId="5025F4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published a notice in the Federal Register on </w:t>
      </w:r>
      <w:r w:rsidR="00A93B9E">
        <w:rPr>
          <w:sz w:val="24"/>
          <w:szCs w:val="24"/>
        </w:rPr>
        <w:t>May 12, 2020 (85</w:t>
      </w:r>
      <w:r w:rsidR="008B10AC">
        <w:rPr>
          <w:sz w:val="24"/>
          <w:szCs w:val="24"/>
        </w:rPr>
        <w:t xml:space="preserve"> FR</w:t>
      </w:r>
      <w:r w:rsidR="00A93B9E">
        <w:rPr>
          <w:sz w:val="24"/>
          <w:szCs w:val="24"/>
        </w:rPr>
        <w:t xml:space="preserve"> 28035</w:t>
      </w:r>
      <w:r w:rsidR="008B10AC">
        <w:rPr>
          <w:sz w:val="24"/>
          <w:szCs w:val="24"/>
        </w:rPr>
        <w:t xml:space="preserve">).  </w:t>
      </w:r>
      <w:r w:rsidR="00E766DA">
        <w:rPr>
          <w:sz w:val="24"/>
          <w:szCs w:val="24"/>
        </w:rPr>
        <w:t>No</w:t>
      </w:r>
      <w:r w:rsidR="00A93B9E">
        <w:rPr>
          <w:sz w:val="24"/>
          <w:szCs w:val="24"/>
        </w:rPr>
        <w:t xml:space="preserve"> comments were received. </w:t>
      </w:r>
      <w:r w:rsidR="00A953F4">
        <w:rPr>
          <w:sz w:val="24"/>
          <w:szCs w:val="24"/>
        </w:rPr>
        <w:t xml:space="preserve">  </w:t>
      </w:r>
    </w:p>
    <w:p w:rsidR="005E6EE9" w:rsidP="00602796" w:rsidRDefault="005E6EE9" w14:paraId="6DAF67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77791" w:rsidR="00295103" w:rsidRDefault="00295103" w14:paraId="7D10CE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77791">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77791" w:rsidR="00352210">
        <w:rPr>
          <w:b/>
          <w:sz w:val="24"/>
          <w:szCs w:val="24"/>
        </w:rPr>
        <w:t>.</w:t>
      </w:r>
    </w:p>
    <w:p w:rsidRPr="00077791" w:rsidR="003B5CB7" w:rsidP="002C2DA0" w:rsidRDefault="003B5CB7" w14:paraId="08C6B6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4A6114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77791">
        <w:rPr>
          <w:b/>
          <w:sz w:val="24"/>
          <w:szCs w:val="24"/>
        </w:rPr>
        <w:t xml:space="preserve">Consultation with representatives of those from whom information is to be obtained or those who must compile records should occur at least once every </w:t>
      </w:r>
      <w:r w:rsidRPr="00077791" w:rsidR="00352210">
        <w:rPr>
          <w:b/>
          <w:sz w:val="24"/>
          <w:szCs w:val="24"/>
        </w:rPr>
        <w:t>three</w:t>
      </w:r>
      <w:r w:rsidRPr="00077791">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Pr="00077791" w:rsidR="00AE310C" w:rsidRDefault="00AE310C" w14:paraId="095758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00295103" w:rsidRDefault="00AE310C" w14:paraId="76DEA4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We contacted several Tribes</w:t>
      </w:r>
      <w:r w:rsidR="002064C2">
        <w:rPr>
          <w:sz w:val="24"/>
          <w:szCs w:val="24"/>
        </w:rPr>
        <w:t xml:space="preserve"> and related entities</w:t>
      </w:r>
      <w:r>
        <w:rPr>
          <w:sz w:val="24"/>
          <w:szCs w:val="24"/>
        </w:rPr>
        <w:t xml:space="preserve"> </w:t>
      </w:r>
      <w:proofErr w:type="gramStart"/>
      <w:r>
        <w:rPr>
          <w:sz w:val="24"/>
          <w:szCs w:val="24"/>
        </w:rPr>
        <w:t>in an effort to</w:t>
      </w:r>
      <w:proofErr w:type="gramEnd"/>
      <w:r>
        <w:rPr>
          <w:sz w:val="24"/>
          <w:szCs w:val="24"/>
        </w:rPr>
        <w:t xml:space="preserve"> obtain feedback on the collection.  Below are the responses we received. </w:t>
      </w:r>
    </w:p>
    <w:p w:rsidR="00BF624D" w:rsidRDefault="00BF624D" w14:paraId="564AF0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B157D" w:rsidR="002D51B2" w:rsidP="007956C4" w:rsidRDefault="002D51B2" w14:paraId="140139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B157D">
        <w:rPr>
          <w:sz w:val="24"/>
          <w:szCs w:val="24"/>
        </w:rPr>
        <w:t xml:space="preserve"> </w:t>
      </w:r>
    </w:p>
    <w:p w:rsidRPr="001925B9" w:rsidR="00A46A6F" w:rsidP="00A46A6F" w:rsidRDefault="00A46A6F" w14:paraId="0E06E27A" w14:textId="77777777">
      <w:pPr>
        <w:shd w:val="clear" w:color="auto" w:fill="FFFFFF"/>
        <w:rPr>
          <w:color w:val="201F1E"/>
          <w:sz w:val="24"/>
          <w:szCs w:val="24"/>
          <w:u w:val="single"/>
        </w:rPr>
      </w:pPr>
      <w:r w:rsidRPr="001925B9">
        <w:rPr>
          <w:color w:val="201F1E"/>
          <w:sz w:val="24"/>
          <w:szCs w:val="24"/>
          <w:u w:val="single"/>
        </w:rPr>
        <w:t>Woven Energy</w:t>
      </w:r>
      <w:r w:rsidR="001925B9">
        <w:rPr>
          <w:color w:val="201F1E"/>
          <w:sz w:val="24"/>
          <w:szCs w:val="24"/>
          <w:u w:val="single"/>
        </w:rPr>
        <w:t xml:space="preserve"> Representative;</w:t>
      </w:r>
      <w:r w:rsidRPr="001925B9" w:rsidR="00EC0808">
        <w:rPr>
          <w:color w:val="201F1E"/>
          <w:sz w:val="24"/>
          <w:szCs w:val="24"/>
          <w:u w:val="single"/>
        </w:rPr>
        <w:t xml:space="preserve"> Chicago Illinois</w:t>
      </w:r>
    </w:p>
    <w:p w:rsidRPr="001925B9" w:rsidR="00A46A6F" w:rsidP="00A46A6F" w:rsidRDefault="00A46A6F" w14:paraId="392B1E0A" w14:textId="77777777">
      <w:pPr>
        <w:shd w:val="clear" w:color="auto" w:fill="FFFFFF"/>
        <w:rPr>
          <w:color w:val="201F1E"/>
          <w:sz w:val="24"/>
          <w:szCs w:val="24"/>
        </w:rPr>
      </w:pPr>
      <w:r w:rsidRPr="001925B9">
        <w:rPr>
          <w:color w:val="201F1E"/>
          <w:sz w:val="24"/>
          <w:szCs w:val="24"/>
        </w:rPr>
        <w:t> </w:t>
      </w:r>
    </w:p>
    <w:p w:rsidRPr="001925B9" w:rsidR="00A46A6F" w:rsidP="001925B9" w:rsidRDefault="00A46A6F" w14:paraId="462C368E" w14:textId="77777777">
      <w:pPr>
        <w:shd w:val="clear" w:color="auto" w:fill="FFFFFF"/>
        <w:rPr>
          <w:i/>
          <w:color w:val="201F1E"/>
          <w:sz w:val="24"/>
          <w:szCs w:val="24"/>
        </w:rPr>
      </w:pPr>
      <w:r w:rsidRPr="001925B9">
        <w:rPr>
          <w:bCs/>
          <w:i/>
          <w:color w:val="201F1E"/>
          <w:sz w:val="24"/>
          <w:szCs w:val="24"/>
        </w:rPr>
        <w:t>I</w:t>
      </w:r>
      <w:r w:rsidRPr="001925B9">
        <w:rPr>
          <w:bCs/>
          <w:i/>
          <w:iCs/>
          <w:color w:val="000000"/>
          <w:sz w:val="24"/>
          <w:szCs w:val="24"/>
          <w:bdr w:val="none" w:color="auto" w:sz="0" w:space="0" w:frame="1"/>
        </w:rPr>
        <w:t>n general, the TEDC grant</w:t>
      </w:r>
      <w:r w:rsidRPr="001925B9" w:rsidR="001925B9">
        <w:rPr>
          <w:bCs/>
          <w:i/>
          <w:iCs/>
          <w:color w:val="000000"/>
          <w:sz w:val="24"/>
          <w:szCs w:val="24"/>
          <w:bdr w:val="none" w:color="auto" w:sz="0" w:space="0" w:frame="1"/>
        </w:rPr>
        <w:t xml:space="preserve"> application</w:t>
      </w:r>
      <w:r w:rsidRPr="001925B9">
        <w:rPr>
          <w:bCs/>
          <w:i/>
          <w:iCs/>
          <w:color w:val="000000"/>
          <w:sz w:val="24"/>
          <w:szCs w:val="24"/>
          <w:bdr w:val="none" w:color="auto" w:sz="0" w:space="0" w:frame="1"/>
        </w:rPr>
        <w:t xml:space="preserve"> is not overly burdensome and the information requested all seems to have practical utility.</w:t>
      </w:r>
      <w:r w:rsidRPr="001925B9" w:rsidR="001925B9">
        <w:rPr>
          <w:i/>
          <w:color w:val="201F1E"/>
          <w:sz w:val="24"/>
          <w:szCs w:val="24"/>
        </w:rPr>
        <w:t xml:space="preserve"> </w:t>
      </w:r>
      <w:r w:rsidRPr="001925B9">
        <w:rPr>
          <w:rFonts w:ascii="inherit" w:hAnsi="inherit" w:cs="Calibri"/>
          <w:i/>
          <w:color w:val="000000"/>
          <w:sz w:val="24"/>
          <w:szCs w:val="24"/>
          <w:bdr w:val="none" w:color="auto" w:sz="0" w:space="0" w:frame="1"/>
        </w:rPr>
        <w:t>The progress reports also have practical utility, but the frequency seems excessive for the overall size of the project. Replacing quarterly reporting requirements with an update report halfway through the project should be considered.</w:t>
      </w:r>
      <w:r w:rsidRPr="001925B9" w:rsidR="001925B9">
        <w:rPr>
          <w:i/>
          <w:color w:val="201F1E"/>
          <w:sz w:val="24"/>
          <w:szCs w:val="24"/>
        </w:rPr>
        <w:t xml:space="preserve"> </w:t>
      </w:r>
      <w:r w:rsidRPr="001925B9">
        <w:rPr>
          <w:rFonts w:ascii="inherit" w:hAnsi="inherit" w:cs="Calibri"/>
          <w:i/>
          <w:color w:val="000000"/>
          <w:sz w:val="24"/>
          <w:szCs w:val="24"/>
          <w:bdr w:val="none" w:color="auto" w:sz="0" w:space="0" w:frame="1"/>
        </w:rPr>
        <w:t xml:space="preserve">The </w:t>
      </w:r>
      <w:r w:rsidRPr="001925B9" w:rsidR="001925B9">
        <w:rPr>
          <w:rFonts w:ascii="inherit" w:hAnsi="inherit" w:cs="Calibri"/>
          <w:i/>
          <w:color w:val="000000"/>
          <w:sz w:val="24"/>
          <w:szCs w:val="24"/>
          <w:bdr w:val="none" w:color="auto" w:sz="0" w:space="0" w:frame="1"/>
        </w:rPr>
        <w:t xml:space="preserve">burden </w:t>
      </w:r>
      <w:r w:rsidRPr="001925B9">
        <w:rPr>
          <w:rFonts w:ascii="inherit" w:hAnsi="inherit" w:cs="Calibri"/>
          <w:i/>
          <w:color w:val="000000"/>
          <w:sz w:val="24"/>
          <w:szCs w:val="24"/>
          <w:bdr w:val="none" w:color="auto" w:sz="0" w:space="0" w:frame="1"/>
        </w:rPr>
        <w:t>assumptions and estimates seem accurate.</w:t>
      </w:r>
      <w:r w:rsidRPr="001925B9" w:rsidR="001925B9">
        <w:rPr>
          <w:i/>
          <w:color w:val="201F1E"/>
          <w:sz w:val="24"/>
          <w:szCs w:val="24"/>
        </w:rPr>
        <w:t xml:space="preserve"> </w:t>
      </w:r>
      <w:r w:rsidRPr="001925B9">
        <w:rPr>
          <w:rFonts w:ascii="inherit" w:hAnsi="inherit" w:cs="Calibri"/>
          <w:i/>
          <w:color w:val="000000"/>
          <w:sz w:val="24"/>
          <w:szCs w:val="24"/>
          <w:bdr w:val="none" w:color="auto" w:sz="0" w:space="0" w:frame="1"/>
        </w:rPr>
        <w:t xml:space="preserve">It may be worth considering a standardized one-page summary of scope, schedule, and budget that would be in the proposal template – for awardees, the required progress reports would simply checking boxes on where the awardee is </w:t>
      </w:r>
      <w:r w:rsidRPr="001925B9">
        <w:rPr>
          <w:rFonts w:ascii="inherit" w:hAnsi="inherit" w:cs="Calibri"/>
          <w:i/>
          <w:color w:val="000000"/>
          <w:sz w:val="24"/>
          <w:szCs w:val="24"/>
          <w:bdr w:val="none" w:color="auto" w:sz="0" w:space="0" w:frame="1"/>
        </w:rPr>
        <w:lastRenderedPageBreak/>
        <w:t>in the project relative to that one-pager.</w:t>
      </w:r>
    </w:p>
    <w:p w:rsidRPr="001925B9" w:rsidR="00A46A6F" w:rsidP="00A46A6F" w:rsidRDefault="00A46A6F" w14:paraId="2935C605" w14:textId="77777777">
      <w:pPr>
        <w:rPr>
          <w:i/>
        </w:rPr>
      </w:pPr>
    </w:p>
    <w:p w:rsidRPr="001925B9" w:rsidR="00A46A6F" w:rsidP="00A46A6F" w:rsidRDefault="00A46A6F" w14:paraId="0EFA7EE4" w14:textId="77777777">
      <w:pPr>
        <w:rPr>
          <w:sz w:val="24"/>
          <w:szCs w:val="24"/>
        </w:rPr>
      </w:pPr>
      <w:r w:rsidRPr="001925B9">
        <w:rPr>
          <w:sz w:val="24"/>
          <w:szCs w:val="24"/>
        </w:rPr>
        <w:t>In response, DEMD is following recommendations outlined in Uniform Guidance</w:t>
      </w:r>
      <w:r w:rsidRPr="001925B9" w:rsidR="004B1CE1">
        <w:rPr>
          <w:sz w:val="24"/>
          <w:szCs w:val="24"/>
        </w:rPr>
        <w:t>,</w:t>
      </w:r>
      <w:r w:rsidRPr="001925B9">
        <w:rPr>
          <w:sz w:val="24"/>
          <w:szCs w:val="24"/>
        </w:rPr>
        <w:t xml:space="preserve"> 2 CFR 200, and best practice grant management which </w:t>
      </w:r>
      <w:r w:rsidR="001925B9">
        <w:rPr>
          <w:sz w:val="24"/>
          <w:szCs w:val="24"/>
        </w:rPr>
        <w:t>recommends</w:t>
      </w:r>
      <w:r w:rsidRPr="001925B9">
        <w:rPr>
          <w:sz w:val="24"/>
          <w:szCs w:val="24"/>
        </w:rPr>
        <w:t xml:space="preserve"> quarterly report</w:t>
      </w:r>
      <w:r w:rsidRPr="001925B9" w:rsidR="004B1CE1">
        <w:rPr>
          <w:sz w:val="24"/>
          <w:szCs w:val="24"/>
        </w:rPr>
        <w:t>ing for federal grant awards. DEMD now provides standardized templates for this quarterly reporting r</w:t>
      </w:r>
      <w:r w:rsidR="001925B9">
        <w:rPr>
          <w:sz w:val="24"/>
          <w:szCs w:val="24"/>
        </w:rPr>
        <w:t>equirement, specifically the SF-</w:t>
      </w:r>
      <w:r w:rsidRPr="001925B9" w:rsidR="004B1CE1">
        <w:rPr>
          <w:sz w:val="24"/>
          <w:szCs w:val="24"/>
        </w:rPr>
        <w:t xml:space="preserve">425 for financial reporting and a narrative report outline. </w:t>
      </w:r>
      <w:proofErr w:type="gramStart"/>
      <w:r w:rsidRPr="001925B9" w:rsidR="004B1CE1">
        <w:rPr>
          <w:sz w:val="24"/>
          <w:szCs w:val="24"/>
        </w:rPr>
        <w:t>All of</w:t>
      </w:r>
      <w:proofErr w:type="gramEnd"/>
      <w:r w:rsidRPr="001925B9" w:rsidR="004B1CE1">
        <w:rPr>
          <w:sz w:val="24"/>
          <w:szCs w:val="24"/>
        </w:rPr>
        <w:t xml:space="preserve"> these reports are submitted via email to the DEMD project officer and the Grant Officer. </w:t>
      </w:r>
    </w:p>
    <w:p w:rsidR="00A46A6F" w:rsidP="00A46A6F" w:rsidRDefault="00A46A6F" w14:paraId="3AE2B8D6" w14:textId="77777777">
      <w:pPr>
        <w:pStyle w:val="NormalWeb"/>
        <w:shd w:val="clear" w:color="auto" w:fill="FFFFFF"/>
        <w:spacing w:before="0" w:beforeAutospacing="0" w:after="0" w:afterAutospacing="0"/>
        <w:rPr>
          <w:rFonts w:ascii="Arial" w:hAnsi="Arial" w:cs="Arial"/>
          <w:b/>
          <w:bCs/>
          <w:color w:val="000000"/>
          <w:sz w:val="20"/>
          <w:szCs w:val="20"/>
          <w:bdr w:val="none" w:color="auto" w:sz="0" w:space="0" w:frame="1"/>
        </w:rPr>
      </w:pPr>
    </w:p>
    <w:p w:rsidRPr="001925B9" w:rsidR="00A46A6F" w:rsidP="00A46A6F" w:rsidRDefault="00A46A6F" w14:paraId="26D9B293" w14:textId="77777777">
      <w:pPr>
        <w:pStyle w:val="NormalWeb"/>
        <w:shd w:val="clear" w:color="auto" w:fill="FFFFFF"/>
        <w:spacing w:before="0" w:beforeAutospacing="0" w:after="0" w:afterAutospacing="0"/>
        <w:rPr>
          <w:bCs/>
          <w:color w:val="000000"/>
          <w:u w:val="single"/>
          <w:bdr w:val="none" w:color="auto" w:sz="0" w:space="0" w:frame="1"/>
        </w:rPr>
      </w:pPr>
      <w:r w:rsidRPr="001925B9">
        <w:rPr>
          <w:bCs/>
          <w:color w:val="000000"/>
          <w:u w:val="single"/>
          <w:bdr w:val="none" w:color="auto" w:sz="0" w:space="0" w:frame="1"/>
        </w:rPr>
        <w:t>Baker</w:t>
      </w:r>
      <w:r w:rsidRPr="001925B9" w:rsidR="001925B9">
        <w:rPr>
          <w:bCs/>
          <w:color w:val="000000"/>
          <w:u w:val="single"/>
          <w:bdr w:val="none" w:color="auto" w:sz="0" w:space="0" w:frame="1"/>
        </w:rPr>
        <w:t xml:space="preserve"> </w:t>
      </w:r>
      <w:r w:rsidRPr="001925B9">
        <w:rPr>
          <w:bCs/>
          <w:color w:val="000000"/>
          <w:u w:val="single"/>
          <w:bdr w:val="none" w:color="auto" w:sz="0" w:space="0" w:frame="1"/>
        </w:rPr>
        <w:t>Tilly, Energy &amp; Utilities Consultant</w:t>
      </w:r>
      <w:r w:rsidRPr="001925B9" w:rsidR="001925B9">
        <w:rPr>
          <w:bCs/>
          <w:color w:val="000000"/>
          <w:u w:val="single"/>
          <w:bdr w:val="none" w:color="auto" w:sz="0" w:space="0" w:frame="1"/>
        </w:rPr>
        <w:t>; Austin, Texas</w:t>
      </w:r>
    </w:p>
    <w:p w:rsidRPr="001925B9" w:rsidR="00A46A6F" w:rsidP="00A46A6F" w:rsidRDefault="00A46A6F" w14:paraId="08A47A29" w14:textId="77777777">
      <w:pPr>
        <w:pStyle w:val="NormalWeb"/>
        <w:shd w:val="clear" w:color="auto" w:fill="FFFFFF"/>
        <w:spacing w:before="0" w:beforeAutospacing="0" w:after="0" w:afterAutospacing="0"/>
        <w:rPr>
          <w:color w:val="000000"/>
        </w:rPr>
      </w:pPr>
    </w:p>
    <w:p w:rsidRPr="001925B9" w:rsidR="004B1CE1" w:rsidP="00A46A6F" w:rsidRDefault="00A46A6F" w14:paraId="28EF38AF" w14:textId="77777777">
      <w:pPr>
        <w:pStyle w:val="NormalWeb"/>
        <w:shd w:val="clear" w:color="auto" w:fill="FFFFFF"/>
        <w:spacing w:before="0" w:beforeAutospacing="0" w:after="0" w:afterAutospacing="0"/>
        <w:rPr>
          <w:i/>
          <w:color w:val="000000"/>
        </w:rPr>
      </w:pPr>
      <w:r w:rsidRPr="001925B9">
        <w:rPr>
          <w:i/>
          <w:color w:val="000000"/>
          <w:bdr w:val="none" w:color="auto" w:sz="0" w:space="0" w:frame="1"/>
        </w:rPr>
        <w:t xml:space="preserve">We believe that the information requested is </w:t>
      </w:r>
      <w:proofErr w:type="gramStart"/>
      <w:r w:rsidRPr="001925B9">
        <w:rPr>
          <w:i/>
          <w:color w:val="000000"/>
          <w:bdr w:val="none" w:color="auto" w:sz="0" w:space="0" w:frame="1"/>
        </w:rPr>
        <w:t>relevant, and</w:t>
      </w:r>
      <w:proofErr w:type="gramEnd"/>
      <w:r w:rsidRPr="001925B9">
        <w:rPr>
          <w:i/>
          <w:color w:val="000000"/>
          <w:bdr w:val="none" w:color="auto" w:sz="0" w:space="0" w:frame="1"/>
        </w:rPr>
        <w:t xml:space="preserve"> has practical utility for oversight functions</w:t>
      </w:r>
      <w:r w:rsidRPr="001925B9" w:rsidR="001925B9">
        <w:rPr>
          <w:i/>
          <w:color w:val="000000"/>
          <w:bdr w:val="none" w:color="auto" w:sz="0" w:space="0" w:frame="1"/>
        </w:rPr>
        <w:t>.</w:t>
      </w:r>
      <w:r w:rsidRPr="001925B9">
        <w:rPr>
          <w:i/>
          <w:color w:val="000000"/>
          <w:bdr w:val="none" w:color="auto" w:sz="0" w:space="0" w:frame="1"/>
        </w:rPr>
        <w:t xml:space="preserve"> In the document provided, it states an assumption of 2 progress reports per year. TEDC program reporting requires quarterly reporting updates, which I would interpret as 3 progress reports per year, plus a final report. </w:t>
      </w:r>
      <w:proofErr w:type="gramStart"/>
      <w:r w:rsidRPr="001925B9">
        <w:rPr>
          <w:i/>
          <w:color w:val="000000"/>
          <w:bdr w:val="none" w:color="auto" w:sz="0" w:space="0" w:frame="1"/>
        </w:rPr>
        <w:t>So</w:t>
      </w:r>
      <w:proofErr w:type="gramEnd"/>
      <w:r w:rsidRPr="001925B9">
        <w:rPr>
          <w:i/>
          <w:color w:val="000000"/>
          <w:bdr w:val="none" w:color="auto" w:sz="0" w:space="0" w:frame="1"/>
        </w:rPr>
        <w:t xml:space="preserve"> to me the assumptions should state either 3 progress reports per year, or potentially 4 if the final report is considered a progress report.</w:t>
      </w:r>
      <w:r w:rsidRPr="001925B9" w:rsidR="001925B9">
        <w:rPr>
          <w:i/>
          <w:color w:val="000000"/>
        </w:rPr>
        <w:t xml:space="preserve"> </w:t>
      </w:r>
      <w:r w:rsidRPr="001925B9">
        <w:rPr>
          <w:i/>
          <w:color w:val="000000"/>
          <w:bdr w:val="none" w:color="auto" w:sz="0" w:space="0" w:frame="1"/>
        </w:rPr>
        <w:t>I</w:t>
      </w:r>
      <w:r w:rsidRPr="001925B9" w:rsidR="001925B9">
        <w:rPr>
          <w:i/>
          <w:color w:val="000000"/>
          <w:bdr w:val="none" w:color="auto" w:sz="0" w:space="0" w:frame="1"/>
        </w:rPr>
        <w:t xml:space="preserve"> </w:t>
      </w:r>
      <w:r w:rsidRPr="001925B9">
        <w:rPr>
          <w:i/>
          <w:color w:val="000000"/>
          <w:bdr w:val="none" w:color="auto" w:sz="0" w:space="0" w:frame="1"/>
        </w:rPr>
        <w:t xml:space="preserve">think that an online portal </w:t>
      </w:r>
      <w:r w:rsidRPr="001925B9" w:rsidR="001925B9">
        <w:rPr>
          <w:i/>
          <w:color w:val="000000"/>
          <w:bdr w:val="none" w:color="auto" w:sz="0" w:space="0" w:frame="1"/>
        </w:rPr>
        <w:t xml:space="preserve">to submit applications and reports </w:t>
      </w:r>
      <w:r w:rsidRPr="001925B9">
        <w:rPr>
          <w:i/>
          <w:color w:val="000000"/>
          <w:bdr w:val="none" w:color="auto" w:sz="0" w:space="0" w:frame="1"/>
        </w:rPr>
        <w:t>would be more efficient. As it is currently, our reports require that we indicate grant number, report number, date of report</w:t>
      </w:r>
      <w:r w:rsidRPr="001925B9" w:rsidR="001925B9">
        <w:rPr>
          <w:i/>
          <w:color w:val="000000"/>
          <w:bdr w:val="none" w:color="auto" w:sz="0" w:space="0" w:frame="1"/>
        </w:rPr>
        <w:t>,</w:t>
      </w:r>
      <w:r w:rsidRPr="001925B9">
        <w:rPr>
          <w:i/>
          <w:color w:val="000000"/>
          <w:bdr w:val="none" w:color="auto" w:sz="0" w:space="0" w:frame="1"/>
        </w:rPr>
        <w:t xml:space="preserve"> etc</w:t>
      </w:r>
      <w:r w:rsidRPr="001925B9" w:rsidR="001925B9">
        <w:rPr>
          <w:i/>
          <w:color w:val="000000"/>
          <w:bdr w:val="none" w:color="auto" w:sz="0" w:space="0" w:frame="1"/>
        </w:rPr>
        <w:t>.</w:t>
      </w:r>
      <w:r w:rsidRPr="001925B9">
        <w:rPr>
          <w:i/>
          <w:color w:val="000000"/>
          <w:bdr w:val="none" w:color="auto" w:sz="0" w:space="0" w:frame="1"/>
        </w:rPr>
        <w:t xml:space="preserve"> as part of the report. </w:t>
      </w:r>
      <w:proofErr w:type="gramStart"/>
      <w:r w:rsidRPr="001925B9">
        <w:rPr>
          <w:i/>
          <w:color w:val="000000"/>
          <w:bdr w:val="none" w:color="auto" w:sz="0" w:space="0" w:frame="1"/>
        </w:rPr>
        <w:t>All of</w:t>
      </w:r>
      <w:proofErr w:type="gramEnd"/>
      <w:r w:rsidRPr="001925B9">
        <w:rPr>
          <w:i/>
          <w:color w:val="000000"/>
          <w:bdr w:val="none" w:color="auto" w:sz="0" w:space="0" w:frame="1"/>
        </w:rPr>
        <w:t xml:space="preserve"> that information could be tracked automatically through an online portal, in which case respondents would only have to input narrative responses, rather than repetitive tracking indicators.</w:t>
      </w:r>
    </w:p>
    <w:p w:rsidRPr="001925B9" w:rsidR="004B1CE1" w:rsidP="00A46A6F" w:rsidRDefault="004B1CE1" w14:paraId="7C5E577B" w14:textId="77777777">
      <w:pPr>
        <w:pStyle w:val="NormalWeb"/>
        <w:shd w:val="clear" w:color="auto" w:fill="FFFFFF"/>
        <w:spacing w:before="0" w:beforeAutospacing="0" w:after="0" w:afterAutospacing="0"/>
        <w:rPr>
          <w:color w:val="000000"/>
          <w:bdr w:val="none" w:color="auto" w:sz="0" w:space="0" w:frame="1"/>
        </w:rPr>
      </w:pPr>
    </w:p>
    <w:p w:rsidRPr="001925B9" w:rsidR="004B1CE1" w:rsidP="00A46A6F" w:rsidRDefault="004B1CE1" w14:paraId="4A4EF594" w14:textId="77777777">
      <w:pPr>
        <w:pStyle w:val="NormalWeb"/>
        <w:shd w:val="clear" w:color="auto" w:fill="FFFFFF"/>
        <w:spacing w:before="0" w:beforeAutospacing="0" w:after="0" w:afterAutospacing="0"/>
        <w:rPr>
          <w:color w:val="000000"/>
          <w:bdr w:val="none" w:color="auto" w:sz="0" w:space="0" w:frame="1"/>
        </w:rPr>
      </w:pPr>
      <w:r w:rsidRPr="001925B9">
        <w:rPr>
          <w:color w:val="000000"/>
          <w:bdr w:val="none" w:color="auto" w:sz="0" w:space="0" w:frame="1"/>
        </w:rPr>
        <w:t>In response, DEMD does require 4 reports per year, on a quarterly basis</w:t>
      </w:r>
      <w:r w:rsidRPr="001925B9" w:rsidR="001925B9">
        <w:rPr>
          <w:color w:val="000000"/>
          <w:bdr w:val="none" w:color="auto" w:sz="0" w:space="0" w:frame="1"/>
        </w:rPr>
        <w:t>, and this has been corrected and justified in this supporting statement</w:t>
      </w:r>
      <w:r w:rsidRPr="001925B9">
        <w:rPr>
          <w:color w:val="000000"/>
          <w:bdr w:val="none" w:color="auto" w:sz="0" w:space="0" w:frame="1"/>
        </w:rPr>
        <w:t>. DEMD is currently switching all grant programs to an online system “Grant</w:t>
      </w:r>
      <w:r w:rsidR="00CA5C8E">
        <w:rPr>
          <w:color w:val="000000"/>
          <w:bdr w:val="none" w:color="auto" w:sz="0" w:space="0" w:frame="1"/>
        </w:rPr>
        <w:t xml:space="preserve"> </w:t>
      </w:r>
      <w:r w:rsidRPr="001925B9">
        <w:rPr>
          <w:color w:val="000000"/>
          <w:bdr w:val="none" w:color="auto" w:sz="0" w:space="0" w:frame="1"/>
        </w:rPr>
        <w:t xml:space="preserve">Solutions” which will provide an online portal for awardees to submit reporting. </w:t>
      </w:r>
    </w:p>
    <w:p w:rsidR="00D80426" w:rsidP="00A46A6F" w:rsidRDefault="00D80426" w14:paraId="52301E2F" w14:textId="77777777">
      <w:pPr>
        <w:pStyle w:val="NormalWeb"/>
        <w:shd w:val="clear" w:color="auto" w:fill="FFFFFF"/>
        <w:spacing w:before="0" w:beforeAutospacing="0" w:after="0" w:afterAutospacing="0"/>
        <w:rPr>
          <w:rFonts w:ascii="Calibri" w:hAnsi="Calibri" w:cs="Calibri"/>
          <w:color w:val="000000"/>
          <w:sz w:val="22"/>
          <w:szCs w:val="22"/>
          <w:bdr w:val="none" w:color="auto" w:sz="0" w:space="0" w:frame="1"/>
        </w:rPr>
      </w:pPr>
    </w:p>
    <w:p w:rsidRPr="001925B9" w:rsidR="00E86C2D" w:rsidP="00E86C2D" w:rsidRDefault="00E86C2D" w14:paraId="1B02CEBD" w14:textId="77777777">
      <w:pPr>
        <w:pStyle w:val="NormalWeb"/>
        <w:shd w:val="clear" w:color="auto" w:fill="FFFFFF"/>
        <w:spacing w:before="0" w:beforeAutospacing="0" w:after="0" w:afterAutospacing="0"/>
        <w:rPr>
          <w:bCs/>
          <w:color w:val="000000"/>
          <w:u w:val="single"/>
          <w:bdr w:val="none" w:color="auto" w:sz="0" w:space="0" w:frame="1"/>
        </w:rPr>
      </w:pPr>
      <w:r w:rsidRPr="001925B9">
        <w:rPr>
          <w:bCs/>
          <w:color w:val="000000"/>
          <w:u w:val="single"/>
          <w:bdr w:val="none" w:color="auto" w:sz="0" w:space="0" w:frame="1"/>
        </w:rPr>
        <w:t xml:space="preserve">Baker Tilly, </w:t>
      </w:r>
      <w:r>
        <w:rPr>
          <w:bCs/>
          <w:color w:val="000000"/>
          <w:u w:val="single"/>
          <w:bdr w:val="none" w:color="auto" w:sz="0" w:space="0" w:frame="1"/>
        </w:rPr>
        <w:t>Senior</w:t>
      </w:r>
      <w:r w:rsidRPr="001925B9">
        <w:rPr>
          <w:bCs/>
          <w:color w:val="000000"/>
          <w:u w:val="single"/>
          <w:bdr w:val="none" w:color="auto" w:sz="0" w:space="0" w:frame="1"/>
        </w:rPr>
        <w:t xml:space="preserve"> Consultant</w:t>
      </w:r>
      <w:r>
        <w:rPr>
          <w:bCs/>
          <w:color w:val="000000"/>
          <w:u w:val="single"/>
          <w:bdr w:val="none" w:color="auto" w:sz="0" w:space="0" w:frame="1"/>
        </w:rPr>
        <w:t xml:space="preserve"> &amp; Tribal Advocate</w:t>
      </w:r>
      <w:r w:rsidRPr="001925B9">
        <w:rPr>
          <w:bCs/>
          <w:color w:val="000000"/>
          <w:u w:val="single"/>
          <w:bdr w:val="none" w:color="auto" w:sz="0" w:space="0" w:frame="1"/>
        </w:rPr>
        <w:t>; Austin, Texas</w:t>
      </w:r>
    </w:p>
    <w:p w:rsidR="002064C2" w:rsidP="002064C2" w:rsidRDefault="002064C2" w14:paraId="55C1DE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80426" w:rsidP="00D80426" w:rsidRDefault="00D80426" w14:paraId="0971B9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80426">
        <w:rPr>
          <w:sz w:val="24"/>
          <w:szCs w:val="24"/>
        </w:rPr>
        <w:t>The information requested seems to be necessary</w:t>
      </w:r>
      <w:r w:rsidR="00E86C2D">
        <w:rPr>
          <w:sz w:val="24"/>
          <w:szCs w:val="24"/>
        </w:rPr>
        <w:t xml:space="preserve"> and to have practical utility. </w:t>
      </w:r>
      <w:r w:rsidRPr="00D80426">
        <w:rPr>
          <w:sz w:val="24"/>
          <w:szCs w:val="24"/>
        </w:rPr>
        <w:t>The estimate of the burden to collect information is reasonable.</w:t>
      </w:r>
      <w:r w:rsidR="00E86C2D">
        <w:rPr>
          <w:sz w:val="24"/>
          <w:szCs w:val="24"/>
        </w:rPr>
        <w:t xml:space="preserve"> </w:t>
      </w:r>
      <w:r w:rsidRPr="00D80426">
        <w:rPr>
          <w:sz w:val="24"/>
          <w:szCs w:val="24"/>
        </w:rPr>
        <w:t xml:space="preserve">Standardizing the types of responses would </w:t>
      </w:r>
      <w:r w:rsidR="00E86C2D">
        <w:rPr>
          <w:sz w:val="24"/>
          <w:szCs w:val="24"/>
        </w:rPr>
        <w:t>increase the quality, utility, and clarity of</w:t>
      </w:r>
      <w:r w:rsidRPr="00D80426">
        <w:rPr>
          <w:sz w:val="24"/>
          <w:szCs w:val="24"/>
        </w:rPr>
        <w:t xml:space="preserve"> the information collected. Additionally, providing clear and simple examples of the information looking t</w:t>
      </w:r>
      <w:r w:rsidR="00CA5C8E">
        <w:rPr>
          <w:sz w:val="24"/>
          <w:szCs w:val="24"/>
        </w:rPr>
        <w:t xml:space="preserve">o be obtained would be helpful. </w:t>
      </w:r>
      <w:r w:rsidRPr="00D80426">
        <w:rPr>
          <w:sz w:val="24"/>
          <w:szCs w:val="24"/>
        </w:rPr>
        <w:t>An electronic submission would be very useful, especially if after signing on, a form would pre-populate with the grantee’s general and grant specific information.</w:t>
      </w:r>
    </w:p>
    <w:p w:rsidR="00D80426" w:rsidP="00D80426" w:rsidRDefault="00D80426" w14:paraId="6AD3FC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80426" w:rsidR="00D80426" w:rsidP="00D80426" w:rsidRDefault="00D80426" w14:paraId="618B05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In response, DEMD does provide standardized quarterly reporting tem</w:t>
      </w:r>
      <w:r w:rsidR="00CA5C8E">
        <w:rPr>
          <w:sz w:val="24"/>
          <w:szCs w:val="24"/>
        </w:rPr>
        <w:t>plates, as well as the SF-425</w:t>
      </w:r>
      <w:r>
        <w:rPr>
          <w:sz w:val="24"/>
          <w:szCs w:val="24"/>
        </w:rPr>
        <w:t xml:space="preserve">. Currently DEMD is switching all grant activities to Grant Solutions. This switch will provide an electronic submission option for all grant information collection. </w:t>
      </w:r>
    </w:p>
    <w:p w:rsidRPr="002064C2" w:rsidR="00D80426" w:rsidP="002064C2" w:rsidRDefault="00D80426" w14:paraId="2D60FC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064C2" w:rsidR="002064C2" w:rsidP="00AE310C" w:rsidRDefault="002064C2" w14:paraId="7CB100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77791" w:rsidR="00295103" w:rsidRDefault="00295103" w14:paraId="2D754F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77791">
        <w:rPr>
          <w:b/>
          <w:sz w:val="24"/>
          <w:szCs w:val="24"/>
        </w:rPr>
        <w:t>9.</w:t>
      </w:r>
      <w:r w:rsidRPr="00077791">
        <w:rPr>
          <w:b/>
          <w:sz w:val="24"/>
          <w:szCs w:val="24"/>
        </w:rPr>
        <w:tab/>
        <w:t>Explain any decision to provide any payment or gift to respondents, other than remuneration of contractors or grantees.</w:t>
      </w:r>
    </w:p>
    <w:p w:rsidRPr="00077791" w:rsidR="00D7712F" w:rsidP="002C2DA0" w:rsidRDefault="00D7712F" w14:paraId="087639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77791" w:rsidR="00DA3736" w:rsidP="00DA3736" w:rsidRDefault="00DA3736" w14:paraId="3A92A3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sz w:val="24"/>
          <w:szCs w:val="24"/>
        </w:rPr>
        <w:t>No payments or gifts are provided to respondents</w:t>
      </w:r>
      <w:r w:rsidRPr="00077791" w:rsidR="009036E9">
        <w:rPr>
          <w:sz w:val="24"/>
          <w:szCs w:val="24"/>
        </w:rPr>
        <w:t>.</w:t>
      </w:r>
    </w:p>
    <w:p w:rsidRPr="00077791" w:rsidR="00295103" w:rsidRDefault="00295103" w14:paraId="26A24D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77791" w:rsidR="004A6DFA" w:rsidRDefault="00295103" w14:paraId="3B90A8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77791">
        <w:rPr>
          <w:b/>
          <w:sz w:val="24"/>
          <w:szCs w:val="24"/>
        </w:rPr>
        <w:t>10.</w:t>
      </w:r>
      <w:r w:rsidRPr="00077791">
        <w:rPr>
          <w:b/>
          <w:sz w:val="24"/>
          <w:szCs w:val="24"/>
        </w:rPr>
        <w:tab/>
        <w:t xml:space="preserve">Describe any assurance of confidentiality provided to respondents and the basis for the </w:t>
      </w:r>
      <w:r w:rsidRPr="00077791">
        <w:rPr>
          <w:b/>
          <w:sz w:val="24"/>
          <w:szCs w:val="24"/>
        </w:rPr>
        <w:lastRenderedPageBreak/>
        <w:t>assurance in statute, regulation, or agency policy.</w:t>
      </w:r>
    </w:p>
    <w:p w:rsidRPr="00077791" w:rsidR="003D048D" w:rsidP="003D048D" w:rsidRDefault="003D048D" w14:paraId="37AB00E0" w14:textId="77777777">
      <w:pPr>
        <w:pStyle w:val="NormalWeb"/>
        <w:spacing w:before="0" w:beforeAutospacing="0" w:after="0" w:afterAutospacing="0"/>
      </w:pPr>
    </w:p>
    <w:p w:rsidRPr="00077791" w:rsidR="00077791" w:rsidP="00077791" w:rsidRDefault="00077791" w14:paraId="364D5C01" w14:textId="77777777">
      <w:pPr>
        <w:pStyle w:val="NormalWeb"/>
      </w:pPr>
      <w:r w:rsidRPr="00077791">
        <w:t>IEED does not provide any assurance of confidentiality.  The information that IEED collects is subject to the requirements of the Privacy Act and the Freedom of Information Act.</w:t>
      </w:r>
    </w:p>
    <w:p w:rsidRPr="00FF3AEE" w:rsidR="003D048D" w:rsidP="003D048D" w:rsidRDefault="003D048D" w14:paraId="50CF68E8" w14:textId="77777777">
      <w:pPr>
        <w:pStyle w:val="NormalWeb"/>
        <w:spacing w:before="0" w:beforeAutospacing="0" w:after="0" w:afterAutospacing="0"/>
        <w:rPr>
          <w:b/>
          <w:sz w:val="28"/>
        </w:rPr>
      </w:pPr>
    </w:p>
    <w:p w:rsidRPr="00FF3AEE" w:rsidR="00295103" w:rsidRDefault="00295103" w14:paraId="3FF85E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F3AEE">
        <w:rPr>
          <w:b/>
          <w:sz w:val="24"/>
          <w:szCs w:val="24"/>
        </w:rPr>
        <w:t>11.</w:t>
      </w:r>
      <w:r w:rsidRPr="00FF3AEE">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F3AEE" w:rsidR="00D7712F" w:rsidP="002C2DA0" w:rsidRDefault="00D7712F" w14:paraId="3644B284"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F3AEE" w:rsidR="00DA3736" w:rsidP="00DA3736" w:rsidRDefault="00DA3736" w14:paraId="04812F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F3AEE">
        <w:rPr>
          <w:sz w:val="24"/>
          <w:szCs w:val="24"/>
        </w:rPr>
        <w:t xml:space="preserve">There are no questions of a sensitive nature included in the information collected.  </w:t>
      </w:r>
    </w:p>
    <w:p w:rsidRPr="00FF3AEE" w:rsidR="00295103" w:rsidRDefault="00295103" w14:paraId="6B0F8C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2C2DA0" w:rsidR="00295103" w:rsidRDefault="00295103" w14:paraId="4E9DD1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F3AEE">
        <w:rPr>
          <w:b/>
          <w:sz w:val="24"/>
          <w:szCs w:val="24"/>
        </w:rPr>
        <w:t>12.</w:t>
      </w:r>
      <w:r w:rsidRPr="00FF3AEE">
        <w:rPr>
          <w:b/>
          <w:sz w:val="24"/>
          <w:szCs w:val="24"/>
        </w:rPr>
        <w:tab/>
        <w:t>Provide estimates of the hour burden of the collection of information.  The statement</w:t>
      </w:r>
      <w:r w:rsidRPr="002C2DA0">
        <w:rPr>
          <w:b/>
          <w:sz w:val="24"/>
          <w:szCs w:val="24"/>
        </w:rPr>
        <w:t xml:space="preserve"> should:</w:t>
      </w:r>
    </w:p>
    <w:p w:rsidRPr="002C2DA0" w:rsidR="00295103" w:rsidRDefault="00295103" w14:paraId="1771D2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2C2DA0" w:rsidR="00295103" w:rsidRDefault="00295103" w14:paraId="04AC20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If this request for approval covers more than one form, provide separate hour burden estimates for each form and aggregate the hour burdens.</w:t>
      </w:r>
    </w:p>
    <w:p w:rsidR="00D7712F" w:rsidP="000179B6" w:rsidRDefault="00295103" w14:paraId="5A7305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2C2DA0">
        <w:rPr>
          <w:b/>
          <w:sz w:val="24"/>
          <w:szCs w:val="24"/>
        </w:rPr>
        <w:tab/>
        <w:t>*</w:t>
      </w:r>
      <w:r w:rsidRPr="002C2DA0">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2C2DA0" w:rsidR="00DE7630">
        <w:rPr>
          <w:b/>
          <w:sz w:val="24"/>
          <w:szCs w:val="24"/>
        </w:rPr>
        <w:t>.</w:t>
      </w:r>
    </w:p>
    <w:p w:rsidRPr="00077791" w:rsidR="00734ABC" w:rsidP="00734ABC" w:rsidRDefault="00734ABC" w14:paraId="09B285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77791" w:rsidP="00077791" w:rsidRDefault="00AA6EBB" w14:paraId="20BA6AA2" w14:textId="77777777">
      <w:pPr>
        <w:rPr>
          <w:sz w:val="24"/>
          <w:szCs w:val="24"/>
        </w:rPr>
      </w:pPr>
      <w:r>
        <w:rPr>
          <w:sz w:val="24"/>
          <w:szCs w:val="24"/>
        </w:rPr>
        <w:t xml:space="preserve">On average, we </w:t>
      </w:r>
      <w:r w:rsidR="009A464C">
        <w:rPr>
          <w:sz w:val="24"/>
          <w:szCs w:val="24"/>
        </w:rPr>
        <w:t>receive</w:t>
      </w:r>
      <w:r>
        <w:rPr>
          <w:sz w:val="24"/>
          <w:szCs w:val="24"/>
        </w:rPr>
        <w:t xml:space="preserve"> approximately</w:t>
      </w:r>
      <w:r w:rsidR="00A93B9E">
        <w:rPr>
          <w:sz w:val="24"/>
          <w:szCs w:val="24"/>
        </w:rPr>
        <w:t xml:space="preserve"> </w:t>
      </w:r>
      <w:r w:rsidR="00DA56F6">
        <w:rPr>
          <w:sz w:val="24"/>
          <w:szCs w:val="24"/>
        </w:rPr>
        <w:t>40</w:t>
      </w:r>
      <w:r w:rsidRPr="00077791" w:rsidR="00077791">
        <w:rPr>
          <w:sz w:val="24"/>
          <w:szCs w:val="24"/>
        </w:rPr>
        <w:t xml:space="preserve"> applications, at </w:t>
      </w:r>
      <w:r w:rsidR="003B063E">
        <w:rPr>
          <w:sz w:val="24"/>
          <w:szCs w:val="24"/>
        </w:rPr>
        <w:t xml:space="preserve">approximately </w:t>
      </w:r>
      <w:r w:rsidR="00DA56F6">
        <w:rPr>
          <w:sz w:val="24"/>
          <w:szCs w:val="24"/>
        </w:rPr>
        <w:t>40</w:t>
      </w:r>
      <w:r w:rsidR="00A67DD8">
        <w:rPr>
          <w:sz w:val="24"/>
          <w:szCs w:val="24"/>
        </w:rPr>
        <w:t xml:space="preserve">hours each, for a total of </w:t>
      </w:r>
      <w:r w:rsidR="00DA56F6">
        <w:rPr>
          <w:sz w:val="24"/>
          <w:szCs w:val="24"/>
        </w:rPr>
        <w:t>1,600</w:t>
      </w:r>
      <w:r w:rsidRPr="00077791" w:rsidR="00DA56F6">
        <w:rPr>
          <w:sz w:val="24"/>
          <w:szCs w:val="24"/>
        </w:rPr>
        <w:t xml:space="preserve"> </w:t>
      </w:r>
      <w:r w:rsidRPr="00077791" w:rsidR="00077791">
        <w:rPr>
          <w:sz w:val="24"/>
          <w:szCs w:val="24"/>
        </w:rPr>
        <w:t>hours.  In addi</w:t>
      </w:r>
      <w:r w:rsidR="00A67DD8">
        <w:rPr>
          <w:sz w:val="24"/>
          <w:szCs w:val="24"/>
        </w:rPr>
        <w:t xml:space="preserve">tion, we </w:t>
      </w:r>
      <w:r w:rsidR="003B063E">
        <w:rPr>
          <w:sz w:val="24"/>
          <w:szCs w:val="24"/>
        </w:rPr>
        <w:t>approved</w:t>
      </w:r>
      <w:r>
        <w:rPr>
          <w:sz w:val="24"/>
          <w:szCs w:val="24"/>
        </w:rPr>
        <w:t xml:space="preserve"> approximately</w:t>
      </w:r>
      <w:r w:rsidR="00A67DD8">
        <w:rPr>
          <w:sz w:val="24"/>
          <w:szCs w:val="24"/>
        </w:rPr>
        <w:t xml:space="preserve"> </w:t>
      </w:r>
      <w:r w:rsidR="00DA56F6">
        <w:rPr>
          <w:sz w:val="24"/>
          <w:szCs w:val="24"/>
        </w:rPr>
        <w:t>11</w:t>
      </w:r>
      <w:r w:rsidRPr="00077791" w:rsidR="00077791">
        <w:rPr>
          <w:sz w:val="24"/>
          <w:szCs w:val="24"/>
        </w:rPr>
        <w:t xml:space="preserve"> applications, and each of those participants will</w:t>
      </w:r>
      <w:r w:rsidR="003B063E">
        <w:rPr>
          <w:sz w:val="24"/>
          <w:szCs w:val="24"/>
        </w:rPr>
        <w:t xml:space="preserve"> have to </w:t>
      </w:r>
      <w:r w:rsidRPr="00077791" w:rsidR="00077791">
        <w:rPr>
          <w:sz w:val="24"/>
          <w:szCs w:val="24"/>
        </w:rPr>
        <w:t xml:space="preserve">submit </w:t>
      </w:r>
      <w:r w:rsidR="00DA56F6">
        <w:rPr>
          <w:sz w:val="24"/>
          <w:szCs w:val="24"/>
        </w:rPr>
        <w:t>four</w:t>
      </w:r>
      <w:r w:rsidRPr="00077791" w:rsidR="00077791">
        <w:rPr>
          <w:sz w:val="24"/>
          <w:szCs w:val="24"/>
        </w:rPr>
        <w:t xml:space="preserve"> progress report</w:t>
      </w:r>
      <w:r w:rsidR="003B063E">
        <w:rPr>
          <w:sz w:val="24"/>
          <w:szCs w:val="24"/>
        </w:rPr>
        <w:t>s</w:t>
      </w:r>
      <w:r w:rsidRPr="00077791" w:rsidR="00077791">
        <w:rPr>
          <w:sz w:val="24"/>
          <w:szCs w:val="24"/>
        </w:rPr>
        <w:t xml:space="preserve"> at </w:t>
      </w:r>
      <w:r w:rsidR="003B063E">
        <w:rPr>
          <w:sz w:val="24"/>
          <w:szCs w:val="24"/>
        </w:rPr>
        <w:t xml:space="preserve">approximately </w:t>
      </w:r>
      <w:r w:rsidR="00DA56F6">
        <w:rPr>
          <w:sz w:val="24"/>
          <w:szCs w:val="24"/>
        </w:rPr>
        <w:t>1.5</w:t>
      </w:r>
      <w:r w:rsidRPr="00077791" w:rsidR="00DA56F6">
        <w:rPr>
          <w:sz w:val="24"/>
          <w:szCs w:val="24"/>
        </w:rPr>
        <w:t xml:space="preserve"> </w:t>
      </w:r>
      <w:r w:rsidRPr="00077791" w:rsidR="00077791">
        <w:rPr>
          <w:sz w:val="24"/>
          <w:szCs w:val="24"/>
        </w:rPr>
        <w:t>hou</w:t>
      </w:r>
      <w:r w:rsidR="00A67DD8">
        <w:rPr>
          <w:sz w:val="24"/>
          <w:szCs w:val="24"/>
        </w:rPr>
        <w:t xml:space="preserve">rs per report, for a total of </w:t>
      </w:r>
      <w:r w:rsidR="00DA56F6">
        <w:rPr>
          <w:sz w:val="24"/>
          <w:szCs w:val="24"/>
        </w:rPr>
        <w:t xml:space="preserve">66 </w:t>
      </w:r>
      <w:r w:rsidR="00A67DD8">
        <w:rPr>
          <w:sz w:val="24"/>
          <w:szCs w:val="24"/>
        </w:rPr>
        <w:t>hours.  Th</w:t>
      </w:r>
      <w:r w:rsidR="003B063E">
        <w:rPr>
          <w:sz w:val="24"/>
          <w:szCs w:val="24"/>
        </w:rPr>
        <w:t>ese submissions total</w:t>
      </w:r>
      <w:r w:rsidR="00A93B9E">
        <w:rPr>
          <w:sz w:val="24"/>
          <w:szCs w:val="24"/>
        </w:rPr>
        <w:t xml:space="preserve"> </w:t>
      </w:r>
      <w:r w:rsidR="00DA56F6">
        <w:rPr>
          <w:sz w:val="24"/>
          <w:szCs w:val="24"/>
        </w:rPr>
        <w:t xml:space="preserve">1,666 </w:t>
      </w:r>
      <w:r w:rsidR="009F6683">
        <w:rPr>
          <w:sz w:val="24"/>
          <w:szCs w:val="24"/>
        </w:rPr>
        <w:t>hours or the amount equivalent to $</w:t>
      </w:r>
      <w:r w:rsidR="00044E72">
        <w:rPr>
          <w:sz w:val="24"/>
          <w:szCs w:val="24"/>
        </w:rPr>
        <w:t>63,641</w:t>
      </w:r>
      <w:r w:rsidR="009F6683">
        <w:rPr>
          <w:sz w:val="24"/>
          <w:szCs w:val="24"/>
        </w:rPr>
        <w:t>.</w:t>
      </w:r>
    </w:p>
    <w:p w:rsidRPr="00077791" w:rsidR="009F6683" w:rsidP="00077791" w:rsidRDefault="009F6683" w14:paraId="2A999EB9" w14:textId="77777777">
      <w:pPr>
        <w:rPr>
          <w:sz w:val="24"/>
          <w:szCs w:val="24"/>
        </w:rPr>
      </w:pPr>
    </w:p>
    <w:p w:rsidRPr="00E06EF1" w:rsidR="00077791" w:rsidP="00077791" w:rsidRDefault="00077791" w14:paraId="626AD8D3" w14:textId="77777777">
      <w:pPr>
        <w:rPr>
          <w:rFonts w:ascii="Arial" w:hAnsi="Arial" w:cs="Arial"/>
          <w:b/>
          <w:sz w:val="22"/>
          <w:szCs w:val="22"/>
        </w:rPr>
      </w:pPr>
    </w:p>
    <w:tbl>
      <w:tblPr>
        <w:tblW w:w="7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01"/>
        <w:gridCol w:w="1625"/>
        <w:gridCol w:w="1307"/>
        <w:gridCol w:w="1732"/>
        <w:gridCol w:w="1281"/>
      </w:tblGrid>
      <w:tr w:rsidRPr="00E06EF1" w:rsidR="00A93B9E" w:rsidTr="00A93B9E" w14:paraId="329587E8" w14:textId="77777777">
        <w:tc>
          <w:tcPr>
            <w:tcW w:w="1601" w:type="dxa"/>
            <w:shd w:val="clear" w:color="auto" w:fill="auto"/>
          </w:tcPr>
          <w:p w:rsidRPr="003D51E1" w:rsidR="00A93B9E" w:rsidP="003D51E1" w:rsidRDefault="00A93B9E" w14:paraId="380D0AA4" w14:textId="77777777">
            <w:pPr>
              <w:rPr>
                <w:rFonts w:ascii="Arial" w:hAnsi="Arial"/>
                <w:b/>
                <w:sz w:val="18"/>
                <w:szCs w:val="24"/>
              </w:rPr>
            </w:pPr>
            <w:r w:rsidRPr="003D51E1">
              <w:rPr>
                <w:rFonts w:ascii="Arial" w:hAnsi="Arial"/>
                <w:b/>
                <w:sz w:val="18"/>
                <w:szCs w:val="24"/>
              </w:rPr>
              <w:t>Regulation/</w:t>
            </w:r>
          </w:p>
          <w:p w:rsidRPr="003D51E1" w:rsidR="00A93B9E" w:rsidP="003D51E1" w:rsidRDefault="00A93B9E" w14:paraId="675E164F" w14:textId="77777777">
            <w:pPr>
              <w:rPr>
                <w:rFonts w:ascii="Arial" w:hAnsi="Arial"/>
                <w:b/>
                <w:sz w:val="18"/>
                <w:szCs w:val="24"/>
              </w:rPr>
            </w:pPr>
            <w:r w:rsidRPr="003D51E1">
              <w:rPr>
                <w:rFonts w:ascii="Arial" w:hAnsi="Arial"/>
                <w:b/>
                <w:sz w:val="18"/>
                <w:szCs w:val="24"/>
              </w:rPr>
              <w:t>Activity</w:t>
            </w:r>
          </w:p>
        </w:tc>
        <w:tc>
          <w:tcPr>
            <w:tcW w:w="1625" w:type="dxa"/>
            <w:shd w:val="clear" w:color="auto" w:fill="auto"/>
          </w:tcPr>
          <w:p w:rsidRPr="003D51E1" w:rsidR="00A93B9E" w:rsidP="003D51E1" w:rsidRDefault="00A93B9E" w14:paraId="1F8AC1A6" w14:textId="77777777">
            <w:pPr>
              <w:rPr>
                <w:rFonts w:ascii="Arial" w:hAnsi="Arial"/>
                <w:b/>
                <w:sz w:val="18"/>
                <w:szCs w:val="24"/>
              </w:rPr>
            </w:pPr>
            <w:r w:rsidRPr="003D51E1">
              <w:rPr>
                <w:rFonts w:ascii="Arial" w:hAnsi="Arial"/>
                <w:b/>
                <w:sz w:val="18"/>
                <w:szCs w:val="24"/>
              </w:rPr>
              <w:t>Annual Number of Responses</w:t>
            </w:r>
          </w:p>
        </w:tc>
        <w:tc>
          <w:tcPr>
            <w:tcW w:w="1307" w:type="dxa"/>
            <w:shd w:val="clear" w:color="auto" w:fill="auto"/>
          </w:tcPr>
          <w:p w:rsidRPr="003D51E1" w:rsidR="00A93B9E" w:rsidP="003D51E1" w:rsidRDefault="00A93B9E" w14:paraId="2933B4D4" w14:textId="77777777">
            <w:pPr>
              <w:rPr>
                <w:rFonts w:ascii="Arial" w:hAnsi="Arial"/>
                <w:b/>
                <w:sz w:val="18"/>
                <w:szCs w:val="24"/>
              </w:rPr>
            </w:pPr>
            <w:r w:rsidRPr="003D51E1">
              <w:rPr>
                <w:rFonts w:ascii="Arial" w:hAnsi="Arial"/>
                <w:b/>
                <w:sz w:val="18"/>
                <w:szCs w:val="24"/>
              </w:rPr>
              <w:t>Completion Time (hours) Per Response</w:t>
            </w:r>
          </w:p>
        </w:tc>
        <w:tc>
          <w:tcPr>
            <w:tcW w:w="1732" w:type="dxa"/>
            <w:shd w:val="clear" w:color="auto" w:fill="auto"/>
          </w:tcPr>
          <w:p w:rsidRPr="003D51E1" w:rsidR="00A93B9E" w:rsidP="003D51E1" w:rsidRDefault="00A93B9E" w14:paraId="3FACF358" w14:textId="77777777">
            <w:pPr>
              <w:rPr>
                <w:rFonts w:ascii="Arial" w:hAnsi="Arial"/>
                <w:b/>
                <w:sz w:val="18"/>
                <w:szCs w:val="24"/>
              </w:rPr>
            </w:pPr>
            <w:r w:rsidRPr="003D51E1">
              <w:rPr>
                <w:rFonts w:ascii="Arial" w:hAnsi="Arial"/>
                <w:b/>
                <w:sz w:val="18"/>
                <w:szCs w:val="24"/>
              </w:rPr>
              <w:t xml:space="preserve">Total </w:t>
            </w:r>
          </w:p>
          <w:p w:rsidRPr="003D51E1" w:rsidR="00A93B9E" w:rsidP="003D51E1" w:rsidRDefault="00A93B9E" w14:paraId="69005800" w14:textId="77777777">
            <w:pPr>
              <w:rPr>
                <w:rFonts w:ascii="Arial" w:hAnsi="Arial"/>
                <w:b/>
                <w:sz w:val="18"/>
                <w:szCs w:val="24"/>
              </w:rPr>
            </w:pPr>
            <w:r w:rsidRPr="003D51E1">
              <w:rPr>
                <w:rFonts w:ascii="Arial" w:hAnsi="Arial"/>
                <w:b/>
                <w:sz w:val="18"/>
                <w:szCs w:val="24"/>
              </w:rPr>
              <w:t>Annual Burden Hours</w:t>
            </w:r>
          </w:p>
        </w:tc>
        <w:tc>
          <w:tcPr>
            <w:tcW w:w="1281" w:type="dxa"/>
            <w:shd w:val="clear" w:color="auto" w:fill="auto"/>
          </w:tcPr>
          <w:p w:rsidRPr="003D51E1" w:rsidR="00A93B9E" w:rsidP="003D51E1" w:rsidRDefault="00A93B9E" w14:paraId="4D3CDA75" w14:textId="77777777">
            <w:pPr>
              <w:rPr>
                <w:rFonts w:ascii="Arial" w:hAnsi="Arial"/>
                <w:b/>
                <w:sz w:val="18"/>
                <w:szCs w:val="24"/>
              </w:rPr>
            </w:pPr>
            <w:r w:rsidRPr="003D51E1">
              <w:rPr>
                <w:rFonts w:ascii="Arial" w:hAnsi="Arial"/>
                <w:b/>
                <w:sz w:val="18"/>
                <w:szCs w:val="24"/>
              </w:rPr>
              <w:t>$ Value of Annual Burden Hours</w:t>
            </w:r>
          </w:p>
        </w:tc>
      </w:tr>
      <w:tr w:rsidRPr="00E06EF1" w:rsidR="00A93B9E" w:rsidTr="00A93B9E" w14:paraId="69A09043" w14:textId="77777777">
        <w:tc>
          <w:tcPr>
            <w:tcW w:w="1601" w:type="dxa"/>
            <w:shd w:val="clear" w:color="auto" w:fill="auto"/>
          </w:tcPr>
          <w:p w:rsidRPr="003D51E1" w:rsidR="00A93B9E" w:rsidP="003D51E1" w:rsidRDefault="00A93B9E" w14:paraId="2D8B9B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color w:val="000000"/>
                <w:sz w:val="18"/>
                <w:szCs w:val="18"/>
              </w:rPr>
            </w:pPr>
            <w:r w:rsidRPr="003D51E1">
              <w:rPr>
                <w:rFonts w:ascii="Arial" w:hAnsi="Arial"/>
                <w:b/>
                <w:color w:val="000000"/>
                <w:sz w:val="18"/>
                <w:szCs w:val="18"/>
              </w:rPr>
              <w:t>Applications</w:t>
            </w:r>
          </w:p>
          <w:p w:rsidRPr="003D51E1" w:rsidR="00A93B9E" w:rsidP="003D51E1" w:rsidRDefault="00A93B9E" w14:paraId="5FCA54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18"/>
                <w:szCs w:val="18"/>
              </w:rPr>
            </w:pPr>
            <w:r w:rsidRPr="003D51E1">
              <w:rPr>
                <w:rFonts w:ascii="Arial" w:hAnsi="Arial"/>
                <w:color w:val="000000"/>
                <w:sz w:val="18"/>
                <w:szCs w:val="18"/>
              </w:rPr>
              <w:t xml:space="preserve">– </w:t>
            </w:r>
            <w:r>
              <w:rPr>
                <w:rFonts w:ascii="Arial" w:hAnsi="Arial"/>
                <w:color w:val="000000"/>
                <w:sz w:val="18"/>
                <w:szCs w:val="18"/>
              </w:rPr>
              <w:t>Trib</w:t>
            </w:r>
            <w:r w:rsidRPr="003D51E1">
              <w:rPr>
                <w:rFonts w:ascii="Arial" w:hAnsi="Arial"/>
                <w:color w:val="000000"/>
                <w:sz w:val="18"/>
                <w:szCs w:val="18"/>
              </w:rPr>
              <w:t>al Govt</w:t>
            </w:r>
          </w:p>
        </w:tc>
        <w:tc>
          <w:tcPr>
            <w:tcW w:w="1625" w:type="dxa"/>
            <w:shd w:val="clear" w:color="auto" w:fill="auto"/>
          </w:tcPr>
          <w:p w:rsidRPr="003D51E1" w:rsidR="00A93B9E" w:rsidP="007956C4" w:rsidRDefault="00A93B9E" w14:paraId="7009DFA8" w14:textId="77777777">
            <w:pPr>
              <w:jc w:val="right"/>
              <w:rPr>
                <w:rFonts w:ascii="Arial" w:hAnsi="Arial"/>
                <w:sz w:val="18"/>
                <w:szCs w:val="18"/>
              </w:rPr>
            </w:pPr>
          </w:p>
          <w:p w:rsidRPr="003D51E1" w:rsidR="00A93B9E" w:rsidP="007956C4" w:rsidRDefault="00A93B9E" w14:paraId="45D62B4A" w14:textId="77777777">
            <w:pPr>
              <w:jc w:val="right"/>
              <w:rPr>
                <w:rFonts w:ascii="Arial" w:hAnsi="Arial"/>
                <w:sz w:val="18"/>
                <w:szCs w:val="18"/>
              </w:rPr>
            </w:pPr>
            <w:r w:rsidRPr="003D51E1">
              <w:rPr>
                <w:rFonts w:ascii="Arial" w:hAnsi="Arial"/>
                <w:sz w:val="18"/>
                <w:szCs w:val="18"/>
              </w:rPr>
              <w:t xml:space="preserve">      </w:t>
            </w:r>
            <w:r w:rsidR="009C71C9">
              <w:rPr>
                <w:rFonts w:ascii="Arial" w:hAnsi="Arial"/>
                <w:sz w:val="18"/>
                <w:szCs w:val="18"/>
              </w:rPr>
              <w:t>40</w:t>
            </w:r>
            <w:r w:rsidRPr="003D51E1">
              <w:rPr>
                <w:rFonts w:ascii="Arial" w:hAnsi="Arial"/>
                <w:sz w:val="18"/>
                <w:szCs w:val="18"/>
              </w:rPr>
              <w:t xml:space="preserve"> </w:t>
            </w:r>
          </w:p>
          <w:p w:rsidRPr="003D51E1" w:rsidR="00A93B9E" w:rsidP="007956C4" w:rsidRDefault="00A93B9E" w14:paraId="44478814" w14:textId="77777777">
            <w:pPr>
              <w:jc w:val="right"/>
              <w:rPr>
                <w:rFonts w:ascii="Arial" w:hAnsi="Arial"/>
                <w:strike/>
                <w:sz w:val="18"/>
                <w:szCs w:val="18"/>
              </w:rPr>
            </w:pPr>
            <w:r w:rsidRPr="003D51E1">
              <w:rPr>
                <w:rFonts w:ascii="Arial" w:hAnsi="Arial"/>
                <w:sz w:val="18"/>
                <w:szCs w:val="18"/>
              </w:rPr>
              <w:t xml:space="preserve">       </w:t>
            </w:r>
          </w:p>
        </w:tc>
        <w:tc>
          <w:tcPr>
            <w:tcW w:w="1307" w:type="dxa"/>
            <w:shd w:val="clear" w:color="auto" w:fill="auto"/>
          </w:tcPr>
          <w:p w:rsidRPr="003D51E1" w:rsidR="00A93B9E" w:rsidP="007956C4" w:rsidRDefault="00A93B9E" w14:paraId="073C4B13" w14:textId="77777777">
            <w:pPr>
              <w:jc w:val="right"/>
              <w:rPr>
                <w:rFonts w:ascii="Arial" w:hAnsi="Arial"/>
                <w:sz w:val="18"/>
                <w:szCs w:val="18"/>
              </w:rPr>
            </w:pPr>
          </w:p>
          <w:p w:rsidRPr="003D51E1" w:rsidR="00A93B9E" w:rsidP="007956C4" w:rsidRDefault="00A93B9E" w14:paraId="2F18C948" w14:textId="77777777">
            <w:pPr>
              <w:jc w:val="right"/>
              <w:rPr>
                <w:rFonts w:ascii="Arial" w:hAnsi="Arial"/>
                <w:sz w:val="18"/>
                <w:szCs w:val="18"/>
              </w:rPr>
            </w:pPr>
            <w:r w:rsidRPr="003D51E1">
              <w:rPr>
                <w:rFonts w:ascii="Arial" w:hAnsi="Arial"/>
                <w:sz w:val="18"/>
                <w:szCs w:val="18"/>
              </w:rPr>
              <w:t xml:space="preserve">     40 </w:t>
            </w:r>
          </w:p>
          <w:p w:rsidRPr="003D51E1" w:rsidR="00A93B9E" w:rsidP="007956C4" w:rsidRDefault="00A93B9E" w14:paraId="64EE9D88" w14:textId="77777777">
            <w:pPr>
              <w:jc w:val="right"/>
              <w:rPr>
                <w:rFonts w:ascii="Arial" w:hAnsi="Arial"/>
                <w:sz w:val="18"/>
                <w:szCs w:val="18"/>
              </w:rPr>
            </w:pPr>
          </w:p>
        </w:tc>
        <w:tc>
          <w:tcPr>
            <w:tcW w:w="1732" w:type="dxa"/>
            <w:shd w:val="clear" w:color="auto" w:fill="auto"/>
          </w:tcPr>
          <w:p w:rsidRPr="003D51E1" w:rsidR="00A93B9E" w:rsidP="007956C4" w:rsidRDefault="00A93B9E" w14:paraId="311E4419" w14:textId="77777777">
            <w:pPr>
              <w:jc w:val="right"/>
              <w:rPr>
                <w:rFonts w:ascii="Arial" w:hAnsi="Arial"/>
                <w:sz w:val="18"/>
                <w:szCs w:val="18"/>
              </w:rPr>
            </w:pPr>
          </w:p>
          <w:p w:rsidRPr="003D51E1" w:rsidR="00A93B9E" w:rsidP="009C71C9" w:rsidRDefault="00A93B9E" w14:paraId="712736D1" w14:textId="77777777">
            <w:pPr>
              <w:jc w:val="right"/>
              <w:rPr>
                <w:rFonts w:ascii="Arial" w:hAnsi="Arial"/>
                <w:sz w:val="18"/>
                <w:szCs w:val="18"/>
              </w:rPr>
            </w:pPr>
            <w:r>
              <w:rPr>
                <w:rFonts w:ascii="Arial" w:hAnsi="Arial"/>
                <w:sz w:val="18"/>
                <w:szCs w:val="18"/>
              </w:rPr>
              <w:t xml:space="preserve">         </w:t>
            </w:r>
            <w:r w:rsidR="009C71C9">
              <w:rPr>
                <w:rFonts w:ascii="Arial" w:hAnsi="Arial"/>
                <w:sz w:val="18"/>
                <w:szCs w:val="18"/>
              </w:rPr>
              <w:t>1,600</w:t>
            </w:r>
          </w:p>
        </w:tc>
        <w:tc>
          <w:tcPr>
            <w:tcW w:w="1281" w:type="dxa"/>
            <w:shd w:val="clear" w:color="auto" w:fill="auto"/>
          </w:tcPr>
          <w:p w:rsidRPr="003D51E1" w:rsidR="00A93B9E" w:rsidP="007956C4" w:rsidRDefault="00A93B9E" w14:paraId="086ED190" w14:textId="77777777">
            <w:pPr>
              <w:jc w:val="right"/>
              <w:rPr>
                <w:rFonts w:ascii="Arial" w:hAnsi="Arial"/>
                <w:sz w:val="18"/>
                <w:szCs w:val="24"/>
              </w:rPr>
            </w:pPr>
          </w:p>
          <w:p w:rsidRPr="003D51E1" w:rsidR="00A93B9E" w:rsidP="009C71C9" w:rsidRDefault="00DA56F6" w14:paraId="1E6A2881" w14:textId="77777777">
            <w:pPr>
              <w:jc w:val="right"/>
              <w:rPr>
                <w:rFonts w:ascii="Arial" w:hAnsi="Arial"/>
                <w:sz w:val="18"/>
                <w:szCs w:val="24"/>
              </w:rPr>
            </w:pPr>
            <w:r>
              <w:rPr>
                <w:rFonts w:ascii="Arial" w:hAnsi="Arial"/>
                <w:sz w:val="18"/>
                <w:szCs w:val="24"/>
              </w:rPr>
              <w:t>$</w:t>
            </w:r>
            <w:r w:rsidR="0007181C">
              <w:rPr>
                <w:rFonts w:ascii="Arial" w:hAnsi="Arial"/>
                <w:sz w:val="18"/>
                <w:szCs w:val="24"/>
              </w:rPr>
              <w:t>61,120</w:t>
            </w:r>
          </w:p>
        </w:tc>
      </w:tr>
      <w:tr w:rsidRPr="00E06EF1" w:rsidR="00A93B9E" w:rsidTr="00A93B9E" w14:paraId="44380223" w14:textId="77777777">
        <w:tc>
          <w:tcPr>
            <w:tcW w:w="1601" w:type="dxa"/>
            <w:shd w:val="clear" w:color="auto" w:fill="auto"/>
          </w:tcPr>
          <w:p w:rsidRPr="003D51E1" w:rsidR="00A93B9E" w:rsidP="003D51E1" w:rsidRDefault="00A93B9E" w14:paraId="4FCB4B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18"/>
                <w:szCs w:val="18"/>
              </w:rPr>
            </w:pPr>
            <w:r w:rsidRPr="003D51E1">
              <w:rPr>
                <w:rFonts w:ascii="Arial" w:hAnsi="Arial"/>
                <w:b/>
                <w:color w:val="000000"/>
                <w:sz w:val="18"/>
                <w:szCs w:val="18"/>
              </w:rPr>
              <w:t>Progress Reports</w:t>
            </w:r>
            <w:r w:rsidRPr="003D51E1">
              <w:rPr>
                <w:rFonts w:ascii="Arial" w:hAnsi="Arial"/>
                <w:color w:val="000000"/>
                <w:sz w:val="18"/>
                <w:szCs w:val="18"/>
              </w:rPr>
              <w:t xml:space="preserve">                                               </w:t>
            </w:r>
            <w:r w:rsidRPr="003D51E1">
              <w:rPr>
                <w:rFonts w:ascii="Arial" w:hAnsi="Arial"/>
                <w:color w:val="000000"/>
                <w:sz w:val="18"/>
                <w:szCs w:val="18"/>
              </w:rPr>
              <w:lastRenderedPageBreak/>
              <w:t xml:space="preserve">- </w:t>
            </w:r>
            <w:r>
              <w:rPr>
                <w:rFonts w:ascii="Arial" w:hAnsi="Arial"/>
                <w:color w:val="000000"/>
                <w:sz w:val="18"/>
                <w:szCs w:val="18"/>
              </w:rPr>
              <w:t>Trib</w:t>
            </w:r>
            <w:r w:rsidRPr="003D51E1">
              <w:rPr>
                <w:rFonts w:ascii="Arial" w:hAnsi="Arial"/>
                <w:color w:val="000000"/>
                <w:sz w:val="18"/>
                <w:szCs w:val="18"/>
              </w:rPr>
              <w:t>al Govt</w:t>
            </w:r>
          </w:p>
        </w:tc>
        <w:tc>
          <w:tcPr>
            <w:tcW w:w="1625" w:type="dxa"/>
            <w:shd w:val="clear" w:color="auto" w:fill="auto"/>
          </w:tcPr>
          <w:p w:rsidRPr="003D51E1" w:rsidR="00A93B9E" w:rsidP="003D51E1" w:rsidRDefault="00A93B9E" w14:paraId="4518B24B" w14:textId="77777777">
            <w:pPr>
              <w:jc w:val="right"/>
              <w:rPr>
                <w:rFonts w:ascii="Arial" w:hAnsi="Arial"/>
                <w:sz w:val="18"/>
                <w:szCs w:val="18"/>
              </w:rPr>
            </w:pPr>
          </w:p>
          <w:p w:rsidR="00A93B9E" w:rsidP="0072008E" w:rsidRDefault="00A93B9E" w14:paraId="5F7CB518" w14:textId="77777777">
            <w:pPr>
              <w:rPr>
                <w:rFonts w:ascii="Arial" w:hAnsi="Arial"/>
                <w:sz w:val="18"/>
                <w:szCs w:val="18"/>
              </w:rPr>
            </w:pPr>
            <w:r w:rsidRPr="003D51E1">
              <w:rPr>
                <w:rFonts w:ascii="Arial" w:hAnsi="Arial"/>
                <w:sz w:val="18"/>
                <w:szCs w:val="18"/>
              </w:rPr>
              <w:t xml:space="preserve">   </w:t>
            </w:r>
            <w:r>
              <w:rPr>
                <w:rFonts w:ascii="Arial" w:hAnsi="Arial"/>
                <w:sz w:val="18"/>
                <w:szCs w:val="18"/>
              </w:rPr>
              <w:t xml:space="preserve">                      </w:t>
            </w:r>
            <w:r w:rsidR="009C71C9">
              <w:rPr>
                <w:rFonts w:ascii="Arial" w:hAnsi="Arial"/>
                <w:sz w:val="18"/>
                <w:szCs w:val="18"/>
              </w:rPr>
              <w:lastRenderedPageBreak/>
              <w:t>44</w:t>
            </w:r>
          </w:p>
          <w:p w:rsidRPr="003D51E1" w:rsidR="00A93B9E" w:rsidP="0072008E" w:rsidRDefault="00A93B9E" w14:paraId="4E3C4F5B" w14:textId="77777777">
            <w:pPr>
              <w:rPr>
                <w:rFonts w:ascii="Arial" w:hAnsi="Arial"/>
                <w:sz w:val="18"/>
                <w:szCs w:val="18"/>
              </w:rPr>
            </w:pPr>
            <w:r w:rsidRPr="003D51E1">
              <w:rPr>
                <w:rFonts w:ascii="Arial" w:hAnsi="Arial"/>
                <w:sz w:val="18"/>
                <w:szCs w:val="18"/>
              </w:rPr>
              <w:t xml:space="preserve"> </w:t>
            </w:r>
            <w:r>
              <w:rPr>
                <w:rFonts w:ascii="Arial" w:hAnsi="Arial"/>
                <w:sz w:val="18"/>
                <w:szCs w:val="18"/>
              </w:rPr>
              <w:t>(</w:t>
            </w:r>
            <w:r w:rsidR="009C71C9">
              <w:rPr>
                <w:rFonts w:ascii="Arial" w:hAnsi="Arial"/>
                <w:sz w:val="18"/>
                <w:szCs w:val="18"/>
              </w:rPr>
              <w:t>11</w:t>
            </w:r>
            <w:r>
              <w:rPr>
                <w:rFonts w:ascii="Arial" w:hAnsi="Arial"/>
                <w:sz w:val="18"/>
                <w:szCs w:val="18"/>
              </w:rPr>
              <w:t xml:space="preserve"> respondents at </w:t>
            </w:r>
            <w:r w:rsidR="009C71C9">
              <w:rPr>
                <w:rFonts w:ascii="Arial" w:hAnsi="Arial"/>
                <w:sz w:val="18"/>
                <w:szCs w:val="18"/>
              </w:rPr>
              <w:t>4</w:t>
            </w:r>
            <w:r w:rsidRPr="003D51E1">
              <w:rPr>
                <w:rFonts w:ascii="Arial" w:hAnsi="Arial"/>
                <w:sz w:val="18"/>
                <w:szCs w:val="18"/>
              </w:rPr>
              <w:t xml:space="preserve"> times/year)</w:t>
            </w:r>
          </w:p>
          <w:p w:rsidRPr="003D51E1" w:rsidR="00A93B9E" w:rsidP="003D51E1" w:rsidRDefault="00A93B9E" w14:paraId="7ABD36A3" w14:textId="77777777">
            <w:pPr>
              <w:jc w:val="right"/>
              <w:rPr>
                <w:rFonts w:ascii="Arial" w:hAnsi="Arial"/>
                <w:sz w:val="18"/>
                <w:szCs w:val="18"/>
              </w:rPr>
            </w:pPr>
          </w:p>
        </w:tc>
        <w:tc>
          <w:tcPr>
            <w:tcW w:w="1307" w:type="dxa"/>
            <w:shd w:val="clear" w:color="auto" w:fill="auto"/>
          </w:tcPr>
          <w:p w:rsidRPr="003D51E1" w:rsidR="00A93B9E" w:rsidP="003D51E1" w:rsidRDefault="00A93B9E" w14:paraId="47E61096" w14:textId="77777777">
            <w:pPr>
              <w:jc w:val="right"/>
              <w:rPr>
                <w:rFonts w:ascii="Arial" w:hAnsi="Arial"/>
                <w:sz w:val="18"/>
                <w:szCs w:val="18"/>
              </w:rPr>
            </w:pPr>
          </w:p>
          <w:p w:rsidRPr="003D51E1" w:rsidR="00A93B9E" w:rsidP="003D51E1" w:rsidRDefault="00A93B9E" w14:paraId="6017309E" w14:textId="77777777">
            <w:pPr>
              <w:jc w:val="right"/>
              <w:rPr>
                <w:rFonts w:ascii="Arial" w:hAnsi="Arial"/>
                <w:sz w:val="18"/>
                <w:szCs w:val="18"/>
              </w:rPr>
            </w:pPr>
            <w:r w:rsidRPr="003D51E1">
              <w:rPr>
                <w:rFonts w:ascii="Arial" w:hAnsi="Arial"/>
                <w:sz w:val="18"/>
                <w:szCs w:val="18"/>
              </w:rPr>
              <w:t xml:space="preserve">     1.5</w:t>
            </w:r>
          </w:p>
          <w:p w:rsidRPr="003D51E1" w:rsidR="00A93B9E" w:rsidP="003D51E1" w:rsidRDefault="00A93B9E" w14:paraId="74B10D57" w14:textId="77777777">
            <w:pPr>
              <w:jc w:val="right"/>
              <w:rPr>
                <w:rFonts w:ascii="Arial" w:hAnsi="Arial"/>
                <w:sz w:val="18"/>
                <w:szCs w:val="18"/>
              </w:rPr>
            </w:pPr>
          </w:p>
        </w:tc>
        <w:tc>
          <w:tcPr>
            <w:tcW w:w="1732" w:type="dxa"/>
            <w:shd w:val="clear" w:color="auto" w:fill="auto"/>
          </w:tcPr>
          <w:p w:rsidRPr="003D51E1" w:rsidR="00A93B9E" w:rsidP="003D51E1" w:rsidRDefault="00A93B9E" w14:paraId="4759AAAE" w14:textId="77777777">
            <w:pPr>
              <w:jc w:val="right"/>
              <w:rPr>
                <w:rFonts w:ascii="Arial" w:hAnsi="Arial"/>
                <w:sz w:val="18"/>
                <w:szCs w:val="18"/>
              </w:rPr>
            </w:pPr>
          </w:p>
          <w:p w:rsidRPr="003D51E1" w:rsidR="00A93B9E" w:rsidP="003D51E1" w:rsidRDefault="009C71C9" w14:paraId="55F5BA97" w14:textId="77777777">
            <w:pPr>
              <w:jc w:val="right"/>
              <w:rPr>
                <w:rFonts w:ascii="Arial" w:hAnsi="Arial"/>
                <w:sz w:val="18"/>
                <w:szCs w:val="18"/>
              </w:rPr>
            </w:pPr>
            <w:r>
              <w:rPr>
                <w:rFonts w:ascii="Arial" w:hAnsi="Arial"/>
                <w:sz w:val="18"/>
                <w:szCs w:val="18"/>
              </w:rPr>
              <w:t>66</w:t>
            </w:r>
          </w:p>
        </w:tc>
        <w:tc>
          <w:tcPr>
            <w:tcW w:w="1281" w:type="dxa"/>
            <w:shd w:val="clear" w:color="auto" w:fill="auto"/>
          </w:tcPr>
          <w:p w:rsidRPr="003D51E1" w:rsidR="00A93B9E" w:rsidP="003D51E1" w:rsidRDefault="00A93B9E" w14:paraId="4F04037A" w14:textId="77777777">
            <w:pPr>
              <w:jc w:val="right"/>
              <w:rPr>
                <w:rFonts w:ascii="Arial" w:hAnsi="Arial"/>
                <w:sz w:val="18"/>
                <w:szCs w:val="24"/>
              </w:rPr>
            </w:pPr>
            <w:r w:rsidRPr="003D51E1">
              <w:rPr>
                <w:rFonts w:ascii="Arial" w:hAnsi="Arial"/>
                <w:sz w:val="18"/>
                <w:szCs w:val="24"/>
              </w:rPr>
              <w:t xml:space="preserve"> </w:t>
            </w:r>
          </w:p>
          <w:p w:rsidRPr="003D51E1" w:rsidR="00A93B9E" w:rsidP="009C71C9" w:rsidRDefault="00A93B9E" w14:paraId="68064A3E" w14:textId="77777777">
            <w:pPr>
              <w:jc w:val="right"/>
              <w:rPr>
                <w:rFonts w:ascii="Arial" w:hAnsi="Arial"/>
                <w:sz w:val="18"/>
                <w:szCs w:val="24"/>
              </w:rPr>
            </w:pPr>
            <w:r w:rsidRPr="003D51E1">
              <w:rPr>
                <w:rFonts w:ascii="Arial" w:hAnsi="Arial"/>
                <w:sz w:val="18"/>
                <w:szCs w:val="24"/>
              </w:rPr>
              <w:t xml:space="preserve">  </w:t>
            </w:r>
            <w:r w:rsidR="009C71C9">
              <w:rPr>
                <w:rFonts w:ascii="Arial" w:hAnsi="Arial"/>
                <w:sz w:val="18"/>
                <w:szCs w:val="24"/>
              </w:rPr>
              <w:t>$2,</w:t>
            </w:r>
            <w:r w:rsidR="0007181C">
              <w:rPr>
                <w:rFonts w:ascii="Arial" w:hAnsi="Arial"/>
                <w:sz w:val="18"/>
                <w:szCs w:val="24"/>
              </w:rPr>
              <w:t>521</w:t>
            </w:r>
            <w:r w:rsidRPr="003D51E1">
              <w:rPr>
                <w:rFonts w:ascii="Arial" w:hAnsi="Arial"/>
                <w:sz w:val="18"/>
                <w:szCs w:val="24"/>
              </w:rPr>
              <w:t xml:space="preserve">  </w:t>
            </w:r>
          </w:p>
          <w:p w:rsidRPr="003D51E1" w:rsidR="00A93B9E" w:rsidP="003D51E1" w:rsidRDefault="00A93B9E" w14:paraId="545B0E14" w14:textId="77777777">
            <w:pPr>
              <w:jc w:val="right"/>
              <w:rPr>
                <w:rFonts w:ascii="Arial" w:hAnsi="Arial"/>
                <w:sz w:val="18"/>
                <w:szCs w:val="24"/>
              </w:rPr>
            </w:pPr>
          </w:p>
        </w:tc>
      </w:tr>
      <w:tr w:rsidRPr="00E06EF1" w:rsidR="00A93B9E" w:rsidTr="00A93B9E" w14:paraId="61F1501E" w14:textId="77777777">
        <w:tc>
          <w:tcPr>
            <w:tcW w:w="1601" w:type="dxa"/>
            <w:shd w:val="clear" w:color="auto" w:fill="auto"/>
          </w:tcPr>
          <w:p w:rsidRPr="003D51E1" w:rsidR="00A93B9E" w:rsidP="003D51E1" w:rsidRDefault="00A93B9E" w14:paraId="33B6CF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color w:val="000000"/>
                <w:sz w:val="24"/>
                <w:szCs w:val="18"/>
              </w:rPr>
            </w:pPr>
          </w:p>
          <w:p w:rsidRPr="003D51E1" w:rsidR="00A93B9E" w:rsidP="003D51E1" w:rsidRDefault="00A93B9E" w14:paraId="074848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color w:val="000000"/>
                <w:sz w:val="24"/>
                <w:szCs w:val="18"/>
              </w:rPr>
            </w:pPr>
            <w:r w:rsidRPr="003D51E1">
              <w:rPr>
                <w:rFonts w:ascii="Arial" w:hAnsi="Arial"/>
                <w:b/>
                <w:color w:val="000000"/>
                <w:sz w:val="24"/>
                <w:szCs w:val="18"/>
              </w:rPr>
              <w:t>Totals</w:t>
            </w:r>
          </w:p>
        </w:tc>
        <w:tc>
          <w:tcPr>
            <w:tcW w:w="1625" w:type="dxa"/>
            <w:shd w:val="clear" w:color="auto" w:fill="auto"/>
          </w:tcPr>
          <w:p w:rsidRPr="003D51E1" w:rsidR="00A93B9E" w:rsidP="003D51E1" w:rsidRDefault="00A93B9E" w14:paraId="7B0A92A0" w14:textId="77777777">
            <w:pPr>
              <w:jc w:val="right"/>
              <w:rPr>
                <w:rFonts w:ascii="Arial" w:hAnsi="Arial"/>
                <w:b/>
                <w:sz w:val="18"/>
                <w:szCs w:val="18"/>
              </w:rPr>
            </w:pPr>
          </w:p>
          <w:p w:rsidRPr="003D51E1" w:rsidR="00A93B9E" w:rsidP="009C71C9" w:rsidRDefault="009C71C9" w14:paraId="5FA81077" w14:textId="77777777">
            <w:pPr>
              <w:jc w:val="right"/>
              <w:rPr>
                <w:rFonts w:ascii="Arial" w:hAnsi="Arial"/>
                <w:b/>
                <w:sz w:val="18"/>
                <w:szCs w:val="18"/>
              </w:rPr>
            </w:pPr>
            <w:r>
              <w:rPr>
                <w:rFonts w:ascii="Arial" w:hAnsi="Arial"/>
                <w:b/>
                <w:sz w:val="18"/>
                <w:szCs w:val="18"/>
              </w:rPr>
              <w:t>84</w:t>
            </w:r>
            <w:r w:rsidRPr="003D51E1" w:rsidR="00A93B9E">
              <w:rPr>
                <w:rFonts w:ascii="Arial" w:hAnsi="Arial"/>
                <w:b/>
                <w:sz w:val="18"/>
                <w:szCs w:val="18"/>
              </w:rPr>
              <w:t xml:space="preserve">  </w:t>
            </w:r>
          </w:p>
        </w:tc>
        <w:tc>
          <w:tcPr>
            <w:tcW w:w="1307" w:type="dxa"/>
            <w:shd w:val="pct25" w:color="auto" w:fill="auto"/>
          </w:tcPr>
          <w:p w:rsidRPr="003D51E1" w:rsidR="00A93B9E" w:rsidP="003D51E1" w:rsidRDefault="00A93B9E" w14:paraId="4D8C8750" w14:textId="77777777">
            <w:pPr>
              <w:jc w:val="right"/>
              <w:rPr>
                <w:rFonts w:ascii="Arial" w:hAnsi="Arial"/>
                <w:b/>
                <w:sz w:val="18"/>
                <w:szCs w:val="18"/>
              </w:rPr>
            </w:pPr>
          </w:p>
        </w:tc>
        <w:tc>
          <w:tcPr>
            <w:tcW w:w="1732" w:type="dxa"/>
            <w:shd w:val="clear" w:color="auto" w:fill="auto"/>
          </w:tcPr>
          <w:p w:rsidRPr="003D51E1" w:rsidR="00A93B9E" w:rsidP="003D51E1" w:rsidRDefault="00A93B9E" w14:paraId="232FD8FD" w14:textId="77777777">
            <w:pPr>
              <w:jc w:val="right"/>
              <w:rPr>
                <w:rFonts w:ascii="Arial" w:hAnsi="Arial"/>
                <w:b/>
                <w:sz w:val="18"/>
                <w:szCs w:val="18"/>
              </w:rPr>
            </w:pPr>
          </w:p>
          <w:p w:rsidRPr="003D51E1" w:rsidR="00A93B9E" w:rsidP="003D51E1" w:rsidRDefault="009C71C9" w14:paraId="7DA41BFA" w14:textId="77777777">
            <w:pPr>
              <w:jc w:val="right"/>
              <w:rPr>
                <w:rFonts w:ascii="Arial" w:hAnsi="Arial"/>
                <w:b/>
                <w:sz w:val="18"/>
                <w:szCs w:val="18"/>
              </w:rPr>
            </w:pPr>
            <w:r>
              <w:rPr>
                <w:rFonts w:ascii="Arial" w:hAnsi="Arial"/>
                <w:b/>
                <w:sz w:val="18"/>
                <w:szCs w:val="18"/>
              </w:rPr>
              <w:t>1,666</w:t>
            </w:r>
          </w:p>
        </w:tc>
        <w:tc>
          <w:tcPr>
            <w:tcW w:w="1281" w:type="dxa"/>
            <w:shd w:val="clear" w:color="auto" w:fill="auto"/>
          </w:tcPr>
          <w:p w:rsidRPr="003D51E1" w:rsidR="00A93B9E" w:rsidP="003D51E1" w:rsidRDefault="00A93B9E" w14:paraId="1BD23D42" w14:textId="77777777">
            <w:pPr>
              <w:jc w:val="right"/>
              <w:rPr>
                <w:rFonts w:ascii="Arial" w:hAnsi="Arial"/>
                <w:b/>
                <w:sz w:val="18"/>
                <w:szCs w:val="24"/>
              </w:rPr>
            </w:pPr>
          </w:p>
          <w:p w:rsidRPr="003D51E1" w:rsidR="00A93B9E" w:rsidP="0097100F" w:rsidRDefault="00DA56F6" w14:paraId="6B84D521" w14:textId="77777777">
            <w:pPr>
              <w:jc w:val="right"/>
              <w:rPr>
                <w:rFonts w:ascii="Arial" w:hAnsi="Arial"/>
                <w:b/>
                <w:sz w:val="18"/>
                <w:szCs w:val="24"/>
              </w:rPr>
            </w:pPr>
            <w:r>
              <w:rPr>
                <w:rFonts w:ascii="Arial" w:hAnsi="Arial"/>
                <w:b/>
                <w:sz w:val="18"/>
                <w:szCs w:val="24"/>
              </w:rPr>
              <w:t>$</w:t>
            </w:r>
            <w:r w:rsidR="0007181C">
              <w:rPr>
                <w:rFonts w:ascii="Arial" w:hAnsi="Arial"/>
                <w:b/>
                <w:sz w:val="18"/>
                <w:szCs w:val="24"/>
              </w:rPr>
              <w:t>63,641</w:t>
            </w:r>
          </w:p>
        </w:tc>
      </w:tr>
    </w:tbl>
    <w:p w:rsidRPr="00E06EF1" w:rsidR="00077791" w:rsidP="00077791" w:rsidRDefault="00077791" w14:paraId="019B75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p>
    <w:p w:rsidR="00DB4284" w:rsidP="00DB4284" w:rsidRDefault="0097100F" w14:paraId="4407D592" w14:textId="77777777">
      <w:pPr>
        <w:rPr>
          <w:sz w:val="22"/>
          <w:szCs w:val="22"/>
        </w:rPr>
      </w:pPr>
      <w:r w:rsidRPr="0097100F">
        <w:rPr>
          <w:sz w:val="22"/>
          <w:szCs w:val="22"/>
        </w:rPr>
        <w:t>To obtain the hourly rate, BIA used $3</w:t>
      </w:r>
      <w:r w:rsidR="0007181C">
        <w:rPr>
          <w:sz w:val="22"/>
          <w:szCs w:val="22"/>
        </w:rPr>
        <w:t>8.20</w:t>
      </w:r>
      <w:r w:rsidRPr="0097100F">
        <w:rPr>
          <w:sz w:val="22"/>
          <w:szCs w:val="22"/>
        </w:rPr>
        <w:t>, the wages and salaries figure for civilian workers from BLS Release USDL-</w:t>
      </w:r>
      <w:r w:rsidR="0007181C">
        <w:rPr>
          <w:sz w:val="22"/>
          <w:szCs w:val="22"/>
        </w:rPr>
        <w:t>20</w:t>
      </w:r>
      <w:r w:rsidRPr="0097100F">
        <w:rPr>
          <w:sz w:val="22"/>
          <w:szCs w:val="22"/>
        </w:rPr>
        <w:t>-</w:t>
      </w:r>
      <w:r w:rsidR="0007181C">
        <w:rPr>
          <w:sz w:val="22"/>
          <w:szCs w:val="22"/>
        </w:rPr>
        <w:t>1736</w:t>
      </w:r>
      <w:r w:rsidRPr="0097100F">
        <w:rPr>
          <w:sz w:val="22"/>
          <w:szCs w:val="22"/>
        </w:rPr>
        <w:t>, Employer Costs for Employee Compensation—</w:t>
      </w:r>
      <w:r w:rsidR="0007181C">
        <w:rPr>
          <w:sz w:val="22"/>
          <w:szCs w:val="22"/>
        </w:rPr>
        <w:t>June 2020</w:t>
      </w:r>
      <w:r w:rsidRPr="0097100F">
        <w:rPr>
          <w:sz w:val="22"/>
          <w:szCs w:val="22"/>
        </w:rPr>
        <w:t xml:space="preserve"> Table </w:t>
      </w:r>
      <w:r w:rsidR="0007181C">
        <w:rPr>
          <w:sz w:val="22"/>
          <w:szCs w:val="22"/>
        </w:rPr>
        <w:t>2</w:t>
      </w:r>
      <w:r w:rsidRPr="0097100F">
        <w:rPr>
          <w:sz w:val="22"/>
          <w:szCs w:val="22"/>
        </w:rPr>
        <w:t xml:space="preserve">, Employer costs per hour worked for employee compensation and costs as a percent of total compensation: Civilian workers, by major occupational and industry group, at https://www.bls.gov/news.release/pdf/ecec.pdf.  This wage includes a multiplier for benefits.  </w:t>
      </w:r>
    </w:p>
    <w:p w:rsidR="0097100F" w:rsidP="00DB4284" w:rsidRDefault="0097100F" w14:paraId="7B991F06" w14:textId="77777777">
      <w:pPr>
        <w:rPr>
          <w:sz w:val="24"/>
          <w:szCs w:val="24"/>
        </w:rPr>
      </w:pPr>
    </w:p>
    <w:p w:rsidRPr="002C2DA0" w:rsidR="00295103" w:rsidRDefault="00295103" w14:paraId="3C481E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13.</w:t>
      </w:r>
      <w:r w:rsidRPr="002C2DA0">
        <w:rPr>
          <w:b/>
          <w:sz w:val="24"/>
          <w:szCs w:val="24"/>
        </w:rPr>
        <w:tab/>
        <w:t xml:space="preserve">Provide an estimate of the total annual </w:t>
      </w:r>
      <w:r w:rsidRPr="002C2DA0" w:rsidR="00DE1FFE">
        <w:rPr>
          <w:b/>
          <w:sz w:val="24"/>
          <w:szCs w:val="24"/>
        </w:rPr>
        <w:t>non-hour</w:t>
      </w:r>
      <w:r w:rsidRPr="002C2DA0">
        <w:rPr>
          <w:b/>
          <w:sz w:val="24"/>
          <w:szCs w:val="24"/>
        </w:rPr>
        <w:t xml:space="preserve"> cost burden to respondents or recordkeepers resulting from the collection of information.  (Do not include the cost of any hour burden </w:t>
      </w:r>
      <w:r w:rsidRPr="002C2DA0" w:rsidR="004A6DFA">
        <w:rPr>
          <w:b/>
          <w:sz w:val="24"/>
          <w:szCs w:val="24"/>
        </w:rPr>
        <w:t xml:space="preserve">already reflected </w:t>
      </w:r>
      <w:r w:rsidRPr="002C2DA0" w:rsidR="00F73931">
        <w:rPr>
          <w:b/>
          <w:sz w:val="24"/>
          <w:szCs w:val="24"/>
        </w:rPr>
        <w:t>in item 12</w:t>
      </w:r>
      <w:r w:rsidRPr="002C2DA0" w:rsidR="004A6DFA">
        <w:rPr>
          <w:b/>
          <w:sz w:val="24"/>
          <w:szCs w:val="24"/>
        </w:rPr>
        <w:t>.)</w:t>
      </w:r>
    </w:p>
    <w:p w:rsidRPr="002C2DA0" w:rsidR="00295103" w:rsidRDefault="00295103" w14:paraId="35C4B9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2C2DA0">
        <w:rPr>
          <w:b/>
          <w:sz w:val="24"/>
          <w:szCs w:val="24"/>
        </w:rPr>
        <w:t>take into account</w:t>
      </w:r>
      <w:proofErr w:type="gramEnd"/>
      <w:r w:rsidRPr="002C2DA0">
        <w:rPr>
          <w:b/>
          <w:sz w:val="24"/>
          <w:szCs w:val="24"/>
        </w:rPr>
        <w:t xml:space="preserve"> costs associated with generating, maintaining, and disclosing or providing the information </w:t>
      </w:r>
      <w:r w:rsidRPr="002C2DA0" w:rsidR="000257C8">
        <w:rPr>
          <w:b/>
          <w:sz w:val="24"/>
          <w:szCs w:val="24"/>
        </w:rPr>
        <w:t>(</w:t>
      </w:r>
      <w:r w:rsidRPr="002C2DA0">
        <w:rPr>
          <w:b/>
          <w:sz w:val="24"/>
          <w:szCs w:val="24"/>
        </w:rPr>
        <w:t>including filing fees paid</w:t>
      </w:r>
      <w:r w:rsidRPr="002C2DA0" w:rsidR="000257C8">
        <w:rPr>
          <w:b/>
          <w:sz w:val="24"/>
          <w:szCs w:val="24"/>
        </w:rPr>
        <w:t xml:space="preserve"> for form processing)</w:t>
      </w:r>
      <w:r w:rsidRPr="002C2DA0">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2C2DA0" w:rsidR="00295103" w:rsidRDefault="00295103" w14:paraId="5702E0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2C2DA0" w:rsidR="00295103" w:rsidRDefault="00295103" w14:paraId="247146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7712F" w:rsidP="002C2DA0" w:rsidRDefault="00D7712F" w14:paraId="28B602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77791" w:rsidR="00077791" w:rsidP="00077791" w:rsidRDefault="00077791" w14:paraId="6978EBC2" w14:textId="77777777">
      <w:pPr>
        <w:pStyle w:val="NormalWeb"/>
      </w:pPr>
      <w:r w:rsidRPr="00077791">
        <w:t>We have not identified any non-hour costs associated with this information collection.</w:t>
      </w:r>
    </w:p>
    <w:p w:rsidRPr="002C2DA0" w:rsidR="00295103" w:rsidRDefault="00295103" w14:paraId="5EF95F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2C2DA0" w:rsidR="0060758B" w:rsidRDefault="00295103" w14:paraId="1FC4F1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14.</w:t>
      </w:r>
      <w:r w:rsidRPr="002C2DA0">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2C2DA0" w:rsidR="0060758B">
        <w:rPr>
          <w:b/>
          <w:sz w:val="24"/>
          <w:szCs w:val="24"/>
        </w:rPr>
        <w:t xml:space="preserve">his collection of </w:t>
      </w:r>
      <w:r w:rsidRPr="002C2DA0" w:rsidR="0060758B">
        <w:rPr>
          <w:b/>
          <w:sz w:val="24"/>
          <w:szCs w:val="24"/>
        </w:rPr>
        <w:lastRenderedPageBreak/>
        <w:t xml:space="preserve">information. </w:t>
      </w:r>
    </w:p>
    <w:p w:rsidR="00A24AAC" w:rsidP="00077791" w:rsidRDefault="00A24AAC" w14:paraId="617E197F"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Pr="00077791" w:rsidR="00077791" w:rsidP="00077791" w:rsidRDefault="00077791" w14:paraId="3DA501EA"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77791">
        <w:rPr>
          <w:bCs/>
          <w:sz w:val="24"/>
          <w:szCs w:val="24"/>
        </w:rPr>
        <w:t xml:space="preserve">We estimate the annual cost to the Federal Government to administer this information collection to be </w:t>
      </w:r>
      <w:r w:rsidR="00E7330A">
        <w:rPr>
          <w:b/>
          <w:bCs/>
          <w:sz w:val="24"/>
          <w:szCs w:val="24"/>
        </w:rPr>
        <w:t>$</w:t>
      </w:r>
      <w:r w:rsidR="00AE310C">
        <w:rPr>
          <w:b/>
          <w:bCs/>
          <w:sz w:val="24"/>
          <w:szCs w:val="24"/>
        </w:rPr>
        <w:t>2</w:t>
      </w:r>
      <w:r w:rsidR="00AE0B4D">
        <w:rPr>
          <w:b/>
          <w:bCs/>
          <w:sz w:val="24"/>
          <w:szCs w:val="24"/>
        </w:rPr>
        <w:t>7,308</w:t>
      </w:r>
      <w:r w:rsidRPr="00077791">
        <w:rPr>
          <w:b/>
          <w:bCs/>
          <w:sz w:val="24"/>
          <w:szCs w:val="24"/>
        </w:rPr>
        <w:t>.</w:t>
      </w:r>
      <w:r w:rsidR="00E7330A">
        <w:rPr>
          <w:bCs/>
          <w:sz w:val="24"/>
          <w:szCs w:val="24"/>
        </w:rPr>
        <w:t xml:space="preserve">  This includes $</w:t>
      </w:r>
      <w:r w:rsidR="00AE310C">
        <w:rPr>
          <w:bCs/>
          <w:sz w:val="24"/>
          <w:szCs w:val="24"/>
        </w:rPr>
        <w:t>2</w:t>
      </w:r>
      <w:r w:rsidR="00AE0B4D">
        <w:rPr>
          <w:bCs/>
          <w:sz w:val="24"/>
          <w:szCs w:val="24"/>
        </w:rPr>
        <w:t>6,608</w:t>
      </w:r>
      <w:r w:rsidRPr="00077791">
        <w:rPr>
          <w:bCs/>
          <w:sz w:val="24"/>
          <w:szCs w:val="24"/>
        </w:rPr>
        <w:t xml:space="preserve"> in salary costs (see table below) and $700 in paper and mailing costs.  </w:t>
      </w:r>
    </w:p>
    <w:p w:rsidRPr="00E06EF1" w:rsidR="00077791" w:rsidP="00077791" w:rsidRDefault="00077791" w14:paraId="7E4753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tbl>
      <w:tblPr>
        <w:tblW w:w="6858"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18"/>
        <w:gridCol w:w="1350"/>
        <w:gridCol w:w="1170"/>
        <w:gridCol w:w="1080"/>
        <w:gridCol w:w="1440"/>
      </w:tblGrid>
      <w:tr w:rsidRPr="00E06EF1" w:rsidR="008B10AC" w:rsidTr="008B10AC" w14:paraId="2AFF9A2F" w14:textId="77777777">
        <w:tc>
          <w:tcPr>
            <w:tcW w:w="1818" w:type="dxa"/>
            <w:shd w:val="clear" w:color="auto" w:fill="auto"/>
          </w:tcPr>
          <w:p w:rsidRPr="003D51E1" w:rsidR="008B10AC" w:rsidP="003D51E1" w:rsidRDefault="008B10AC" w14:paraId="115F6D34" w14:textId="77777777">
            <w:pPr>
              <w:rPr>
                <w:rFonts w:ascii="Arial" w:hAnsi="Arial"/>
                <w:b/>
                <w:sz w:val="18"/>
                <w:szCs w:val="24"/>
              </w:rPr>
            </w:pPr>
            <w:r w:rsidRPr="003D51E1">
              <w:rPr>
                <w:rFonts w:ascii="Arial" w:hAnsi="Arial"/>
                <w:b/>
                <w:sz w:val="18"/>
                <w:szCs w:val="24"/>
              </w:rPr>
              <w:t>Regulation/</w:t>
            </w:r>
          </w:p>
          <w:p w:rsidRPr="003D51E1" w:rsidR="008B10AC" w:rsidP="003D51E1" w:rsidRDefault="008B10AC" w14:paraId="14ED1C2A" w14:textId="77777777">
            <w:pPr>
              <w:rPr>
                <w:rFonts w:ascii="Arial" w:hAnsi="Arial"/>
                <w:b/>
                <w:sz w:val="18"/>
                <w:szCs w:val="24"/>
              </w:rPr>
            </w:pPr>
            <w:r w:rsidRPr="003D51E1">
              <w:rPr>
                <w:rFonts w:ascii="Arial" w:hAnsi="Arial"/>
                <w:b/>
                <w:sz w:val="18"/>
                <w:szCs w:val="24"/>
              </w:rPr>
              <w:t>Activity</w:t>
            </w:r>
          </w:p>
        </w:tc>
        <w:tc>
          <w:tcPr>
            <w:tcW w:w="1350" w:type="dxa"/>
            <w:shd w:val="clear" w:color="auto" w:fill="auto"/>
          </w:tcPr>
          <w:p w:rsidRPr="003D51E1" w:rsidR="008B10AC" w:rsidP="003D51E1" w:rsidRDefault="008B10AC" w14:paraId="675E3A8B" w14:textId="77777777">
            <w:pPr>
              <w:rPr>
                <w:rFonts w:ascii="Arial" w:hAnsi="Arial"/>
                <w:b/>
                <w:sz w:val="18"/>
                <w:szCs w:val="24"/>
              </w:rPr>
            </w:pPr>
            <w:r w:rsidRPr="003D51E1">
              <w:rPr>
                <w:rFonts w:ascii="Arial" w:hAnsi="Arial"/>
                <w:b/>
                <w:sz w:val="18"/>
                <w:szCs w:val="24"/>
              </w:rPr>
              <w:t>Completion Time (hours)</w:t>
            </w:r>
          </w:p>
        </w:tc>
        <w:tc>
          <w:tcPr>
            <w:tcW w:w="1170" w:type="dxa"/>
            <w:shd w:val="clear" w:color="auto" w:fill="auto"/>
          </w:tcPr>
          <w:p w:rsidRPr="003D51E1" w:rsidR="008B10AC" w:rsidP="003D51E1" w:rsidRDefault="008B10AC" w14:paraId="24F8C4AF" w14:textId="77777777">
            <w:pPr>
              <w:rPr>
                <w:rFonts w:ascii="Arial" w:hAnsi="Arial"/>
                <w:b/>
                <w:sz w:val="18"/>
                <w:szCs w:val="24"/>
              </w:rPr>
            </w:pPr>
            <w:r w:rsidRPr="003D51E1">
              <w:rPr>
                <w:rFonts w:ascii="Arial" w:hAnsi="Arial"/>
                <w:b/>
                <w:sz w:val="18"/>
                <w:szCs w:val="24"/>
              </w:rPr>
              <w:t xml:space="preserve">Total </w:t>
            </w:r>
          </w:p>
          <w:p w:rsidRPr="003D51E1" w:rsidR="008B10AC" w:rsidP="003D51E1" w:rsidRDefault="008B10AC" w14:paraId="769E2D69" w14:textId="77777777">
            <w:pPr>
              <w:rPr>
                <w:rFonts w:ascii="Arial" w:hAnsi="Arial"/>
                <w:b/>
                <w:sz w:val="18"/>
                <w:szCs w:val="24"/>
              </w:rPr>
            </w:pPr>
            <w:r w:rsidRPr="003D51E1">
              <w:rPr>
                <w:rFonts w:ascii="Arial" w:hAnsi="Arial"/>
                <w:b/>
                <w:sz w:val="18"/>
                <w:szCs w:val="24"/>
              </w:rPr>
              <w:t>Annual Burden Hours</w:t>
            </w:r>
          </w:p>
        </w:tc>
        <w:tc>
          <w:tcPr>
            <w:tcW w:w="1080" w:type="dxa"/>
            <w:shd w:val="clear" w:color="auto" w:fill="auto"/>
          </w:tcPr>
          <w:p w:rsidRPr="003D51E1" w:rsidR="008B10AC" w:rsidP="003D51E1" w:rsidRDefault="008B10AC" w14:paraId="2D410C0F" w14:textId="77777777">
            <w:pPr>
              <w:rPr>
                <w:rFonts w:ascii="Arial" w:hAnsi="Arial"/>
                <w:b/>
                <w:sz w:val="18"/>
                <w:szCs w:val="24"/>
              </w:rPr>
            </w:pPr>
            <w:r w:rsidRPr="003D51E1">
              <w:rPr>
                <w:rFonts w:ascii="Arial" w:hAnsi="Arial"/>
                <w:b/>
                <w:sz w:val="18"/>
                <w:szCs w:val="24"/>
              </w:rPr>
              <w:t>Hourly Rate*</w:t>
            </w:r>
          </w:p>
        </w:tc>
        <w:tc>
          <w:tcPr>
            <w:tcW w:w="1440" w:type="dxa"/>
            <w:shd w:val="clear" w:color="auto" w:fill="auto"/>
          </w:tcPr>
          <w:p w:rsidRPr="003D51E1" w:rsidR="008B10AC" w:rsidP="003D51E1" w:rsidRDefault="008B10AC" w14:paraId="3378591E" w14:textId="77777777">
            <w:pPr>
              <w:rPr>
                <w:rFonts w:ascii="Arial" w:hAnsi="Arial"/>
                <w:b/>
                <w:sz w:val="18"/>
                <w:szCs w:val="24"/>
              </w:rPr>
            </w:pPr>
            <w:r w:rsidRPr="003D51E1">
              <w:rPr>
                <w:rFonts w:ascii="Arial" w:hAnsi="Arial"/>
                <w:b/>
                <w:sz w:val="18"/>
                <w:szCs w:val="24"/>
              </w:rPr>
              <w:t>$ Value of Annual Burden Hours</w:t>
            </w:r>
          </w:p>
        </w:tc>
      </w:tr>
      <w:tr w:rsidRPr="00E06EF1" w:rsidR="008B10AC" w:rsidTr="008B10AC" w14:paraId="26494F11" w14:textId="77777777">
        <w:tc>
          <w:tcPr>
            <w:tcW w:w="1818" w:type="dxa"/>
            <w:shd w:val="clear" w:color="auto" w:fill="auto"/>
          </w:tcPr>
          <w:p w:rsidRPr="003D51E1" w:rsidR="008B10AC" w:rsidP="003D51E1" w:rsidRDefault="008B10AC" w14:paraId="2ACABF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18"/>
                <w:szCs w:val="18"/>
              </w:rPr>
            </w:pPr>
            <w:r w:rsidRPr="003D51E1">
              <w:rPr>
                <w:rFonts w:ascii="Arial" w:hAnsi="Arial"/>
                <w:b/>
                <w:color w:val="000000"/>
                <w:sz w:val="18"/>
                <w:szCs w:val="18"/>
              </w:rPr>
              <w:t>Registration administration</w:t>
            </w:r>
          </w:p>
        </w:tc>
        <w:tc>
          <w:tcPr>
            <w:tcW w:w="1350" w:type="dxa"/>
            <w:shd w:val="clear" w:color="auto" w:fill="auto"/>
          </w:tcPr>
          <w:p w:rsidRPr="003D51E1" w:rsidR="008B10AC" w:rsidP="00AE310C" w:rsidRDefault="008B10AC" w14:paraId="3F1189CE" w14:textId="77777777">
            <w:pPr>
              <w:jc w:val="center"/>
              <w:rPr>
                <w:rFonts w:ascii="Arial" w:hAnsi="Arial"/>
                <w:sz w:val="18"/>
                <w:szCs w:val="18"/>
              </w:rPr>
            </w:pPr>
          </w:p>
          <w:p w:rsidRPr="003D51E1" w:rsidR="008B10AC" w:rsidP="00AE310C" w:rsidRDefault="008B10AC" w14:paraId="1EE0835F" w14:textId="77777777">
            <w:pPr>
              <w:jc w:val="center"/>
              <w:rPr>
                <w:rFonts w:ascii="Arial" w:hAnsi="Arial"/>
                <w:sz w:val="18"/>
                <w:szCs w:val="18"/>
              </w:rPr>
            </w:pPr>
            <w:r w:rsidRPr="003D51E1">
              <w:rPr>
                <w:rFonts w:ascii="Arial" w:hAnsi="Arial"/>
                <w:sz w:val="18"/>
                <w:szCs w:val="18"/>
              </w:rPr>
              <w:t>150</w:t>
            </w:r>
          </w:p>
          <w:p w:rsidRPr="003D51E1" w:rsidR="008B10AC" w:rsidP="00AE310C" w:rsidRDefault="008B10AC" w14:paraId="261C9DB1" w14:textId="77777777">
            <w:pPr>
              <w:jc w:val="center"/>
              <w:rPr>
                <w:rFonts w:ascii="Arial" w:hAnsi="Arial"/>
                <w:sz w:val="18"/>
                <w:szCs w:val="18"/>
              </w:rPr>
            </w:pPr>
          </w:p>
        </w:tc>
        <w:tc>
          <w:tcPr>
            <w:tcW w:w="1170" w:type="dxa"/>
            <w:shd w:val="clear" w:color="auto" w:fill="auto"/>
          </w:tcPr>
          <w:p w:rsidRPr="003D51E1" w:rsidR="008B10AC" w:rsidP="00AE310C" w:rsidRDefault="008B10AC" w14:paraId="32DA6266" w14:textId="77777777">
            <w:pPr>
              <w:jc w:val="center"/>
              <w:rPr>
                <w:rFonts w:ascii="Arial" w:hAnsi="Arial"/>
                <w:sz w:val="18"/>
                <w:szCs w:val="18"/>
              </w:rPr>
            </w:pPr>
          </w:p>
          <w:p w:rsidRPr="003D51E1" w:rsidR="008B10AC" w:rsidP="00AE310C" w:rsidRDefault="008B10AC" w14:paraId="7EFDA763" w14:textId="77777777">
            <w:pPr>
              <w:jc w:val="center"/>
              <w:rPr>
                <w:rFonts w:ascii="Arial" w:hAnsi="Arial"/>
                <w:sz w:val="18"/>
                <w:szCs w:val="18"/>
              </w:rPr>
            </w:pPr>
            <w:r w:rsidRPr="003D51E1">
              <w:rPr>
                <w:rFonts w:ascii="Arial" w:hAnsi="Arial"/>
                <w:sz w:val="18"/>
                <w:szCs w:val="18"/>
              </w:rPr>
              <w:t>150</w:t>
            </w:r>
          </w:p>
        </w:tc>
        <w:tc>
          <w:tcPr>
            <w:tcW w:w="1080" w:type="dxa"/>
            <w:shd w:val="clear" w:color="auto" w:fill="auto"/>
            <w:vAlign w:val="center"/>
          </w:tcPr>
          <w:p w:rsidRPr="003D51E1" w:rsidR="008B10AC" w:rsidP="00AE310C" w:rsidRDefault="008B10AC" w14:paraId="640B73FA" w14:textId="77777777">
            <w:pPr>
              <w:tabs>
                <w:tab w:val="left" w:pos="360"/>
              </w:tabs>
              <w:jc w:val="center"/>
              <w:rPr>
                <w:rFonts w:ascii="Arial" w:hAnsi="Arial"/>
                <w:sz w:val="18"/>
                <w:szCs w:val="18"/>
              </w:rPr>
            </w:pPr>
            <w:r>
              <w:rPr>
                <w:rFonts w:ascii="Arial" w:hAnsi="Arial"/>
                <w:sz w:val="18"/>
                <w:szCs w:val="18"/>
              </w:rPr>
              <w:t>$</w:t>
            </w:r>
            <w:r w:rsidR="00AE0B4D">
              <w:rPr>
                <w:rFonts w:ascii="Arial" w:hAnsi="Arial"/>
                <w:sz w:val="18"/>
                <w:szCs w:val="18"/>
              </w:rPr>
              <w:t>109.01</w:t>
            </w:r>
          </w:p>
        </w:tc>
        <w:tc>
          <w:tcPr>
            <w:tcW w:w="1440" w:type="dxa"/>
            <w:shd w:val="clear" w:color="auto" w:fill="auto"/>
          </w:tcPr>
          <w:p w:rsidRPr="003D51E1" w:rsidR="008B10AC" w:rsidP="00AE310C" w:rsidRDefault="008B10AC" w14:paraId="266D3722" w14:textId="77777777">
            <w:pPr>
              <w:tabs>
                <w:tab w:val="left" w:pos="360"/>
              </w:tabs>
              <w:jc w:val="right"/>
              <w:rPr>
                <w:rFonts w:ascii="Arial" w:hAnsi="Arial"/>
                <w:sz w:val="18"/>
                <w:szCs w:val="24"/>
              </w:rPr>
            </w:pPr>
          </w:p>
          <w:p w:rsidRPr="003D51E1" w:rsidR="008B10AC" w:rsidP="00AE310C" w:rsidRDefault="008B10AC" w14:paraId="46E8C9C0" w14:textId="77777777">
            <w:pPr>
              <w:tabs>
                <w:tab w:val="left" w:pos="360"/>
              </w:tabs>
              <w:jc w:val="right"/>
              <w:rPr>
                <w:rFonts w:ascii="Arial" w:hAnsi="Arial"/>
                <w:sz w:val="18"/>
                <w:szCs w:val="24"/>
              </w:rPr>
            </w:pPr>
            <w:r>
              <w:rPr>
                <w:rFonts w:ascii="Arial" w:hAnsi="Arial"/>
                <w:sz w:val="18"/>
                <w:szCs w:val="24"/>
              </w:rPr>
              <w:t xml:space="preserve">$ </w:t>
            </w:r>
            <w:r w:rsidR="00AE310C">
              <w:rPr>
                <w:rFonts w:ascii="Arial" w:hAnsi="Arial"/>
                <w:sz w:val="18"/>
                <w:szCs w:val="24"/>
              </w:rPr>
              <w:t>1</w:t>
            </w:r>
            <w:r w:rsidR="00AE0B4D">
              <w:rPr>
                <w:rFonts w:ascii="Arial" w:hAnsi="Arial"/>
                <w:sz w:val="18"/>
                <w:szCs w:val="24"/>
              </w:rPr>
              <w:t>6,352</w:t>
            </w:r>
          </w:p>
          <w:p w:rsidRPr="003D51E1" w:rsidR="008B10AC" w:rsidP="00AE310C" w:rsidRDefault="008B10AC" w14:paraId="6B909FA4" w14:textId="77777777">
            <w:pPr>
              <w:tabs>
                <w:tab w:val="left" w:pos="360"/>
              </w:tabs>
              <w:jc w:val="right"/>
              <w:rPr>
                <w:rFonts w:ascii="Arial" w:hAnsi="Arial"/>
                <w:sz w:val="18"/>
                <w:szCs w:val="24"/>
              </w:rPr>
            </w:pPr>
          </w:p>
        </w:tc>
      </w:tr>
      <w:tr w:rsidRPr="00E06EF1" w:rsidR="008B10AC" w:rsidTr="008B10AC" w14:paraId="55755520" w14:textId="77777777">
        <w:tc>
          <w:tcPr>
            <w:tcW w:w="1818" w:type="dxa"/>
            <w:shd w:val="clear" w:color="auto" w:fill="auto"/>
          </w:tcPr>
          <w:p w:rsidRPr="003D51E1" w:rsidR="008B10AC" w:rsidP="003D51E1" w:rsidRDefault="008B10AC" w14:paraId="656AF5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18"/>
                <w:szCs w:val="18"/>
              </w:rPr>
            </w:pPr>
            <w:r w:rsidRPr="003D51E1">
              <w:rPr>
                <w:rFonts w:ascii="Arial" w:hAnsi="Arial"/>
                <w:b/>
                <w:color w:val="000000"/>
                <w:sz w:val="18"/>
                <w:szCs w:val="18"/>
              </w:rPr>
              <w:t>Collect and Assess Data</w:t>
            </w:r>
          </w:p>
        </w:tc>
        <w:tc>
          <w:tcPr>
            <w:tcW w:w="1350" w:type="dxa"/>
            <w:shd w:val="clear" w:color="auto" w:fill="auto"/>
          </w:tcPr>
          <w:p w:rsidRPr="003D51E1" w:rsidR="008B10AC" w:rsidP="00AE310C" w:rsidRDefault="008B10AC" w14:paraId="535EBD2A" w14:textId="77777777">
            <w:pPr>
              <w:jc w:val="center"/>
              <w:rPr>
                <w:rFonts w:ascii="Arial" w:hAnsi="Arial"/>
                <w:sz w:val="18"/>
                <w:szCs w:val="18"/>
              </w:rPr>
            </w:pPr>
          </w:p>
          <w:p w:rsidRPr="003D51E1" w:rsidR="008B10AC" w:rsidP="00AE310C" w:rsidRDefault="008B10AC" w14:paraId="748BE89E" w14:textId="77777777">
            <w:pPr>
              <w:jc w:val="center"/>
              <w:rPr>
                <w:rFonts w:ascii="Arial" w:hAnsi="Arial"/>
                <w:sz w:val="18"/>
                <w:szCs w:val="18"/>
              </w:rPr>
            </w:pPr>
            <w:r w:rsidRPr="003D51E1">
              <w:rPr>
                <w:rFonts w:ascii="Arial" w:hAnsi="Arial"/>
                <w:sz w:val="18"/>
                <w:szCs w:val="18"/>
              </w:rPr>
              <w:t>150</w:t>
            </w:r>
          </w:p>
          <w:p w:rsidRPr="003D51E1" w:rsidR="008B10AC" w:rsidP="00AE310C" w:rsidRDefault="008B10AC" w14:paraId="3667F8F9" w14:textId="77777777">
            <w:pPr>
              <w:jc w:val="center"/>
              <w:rPr>
                <w:rFonts w:ascii="Arial" w:hAnsi="Arial"/>
                <w:sz w:val="18"/>
                <w:szCs w:val="18"/>
              </w:rPr>
            </w:pPr>
          </w:p>
        </w:tc>
        <w:tc>
          <w:tcPr>
            <w:tcW w:w="1170" w:type="dxa"/>
            <w:shd w:val="clear" w:color="auto" w:fill="auto"/>
            <w:vAlign w:val="center"/>
          </w:tcPr>
          <w:p w:rsidRPr="003D51E1" w:rsidR="008B10AC" w:rsidP="00AE310C" w:rsidRDefault="008B10AC" w14:paraId="4DC740CC" w14:textId="77777777">
            <w:pPr>
              <w:jc w:val="center"/>
              <w:rPr>
                <w:rFonts w:ascii="Arial" w:hAnsi="Arial"/>
                <w:sz w:val="18"/>
                <w:szCs w:val="18"/>
              </w:rPr>
            </w:pPr>
            <w:r w:rsidRPr="003D51E1">
              <w:rPr>
                <w:rFonts w:ascii="Arial" w:hAnsi="Arial"/>
                <w:sz w:val="18"/>
                <w:szCs w:val="18"/>
              </w:rPr>
              <w:t>150</w:t>
            </w:r>
          </w:p>
        </w:tc>
        <w:tc>
          <w:tcPr>
            <w:tcW w:w="1080" w:type="dxa"/>
            <w:shd w:val="clear" w:color="auto" w:fill="auto"/>
            <w:vAlign w:val="center"/>
          </w:tcPr>
          <w:p w:rsidRPr="003D51E1" w:rsidR="008B10AC" w:rsidP="00AE310C" w:rsidRDefault="008B10AC" w14:paraId="700DB1DD" w14:textId="77777777">
            <w:pPr>
              <w:tabs>
                <w:tab w:val="left" w:pos="360"/>
              </w:tabs>
              <w:jc w:val="center"/>
              <w:rPr>
                <w:rFonts w:ascii="Arial" w:hAnsi="Arial"/>
                <w:sz w:val="18"/>
                <w:szCs w:val="18"/>
              </w:rPr>
            </w:pPr>
            <w:r w:rsidRPr="003D51E1">
              <w:rPr>
                <w:rFonts w:ascii="Arial" w:hAnsi="Arial"/>
                <w:sz w:val="18"/>
                <w:szCs w:val="18"/>
              </w:rPr>
              <w:t>$</w:t>
            </w:r>
            <w:r w:rsidR="00AE0B4D">
              <w:rPr>
                <w:rFonts w:ascii="Arial" w:hAnsi="Arial"/>
                <w:sz w:val="18"/>
                <w:szCs w:val="18"/>
              </w:rPr>
              <w:t>68.37</w:t>
            </w:r>
          </w:p>
        </w:tc>
        <w:tc>
          <w:tcPr>
            <w:tcW w:w="1440" w:type="dxa"/>
            <w:shd w:val="clear" w:color="auto" w:fill="auto"/>
          </w:tcPr>
          <w:p w:rsidRPr="003D51E1" w:rsidR="008B10AC" w:rsidP="00AE310C" w:rsidRDefault="008B10AC" w14:paraId="586D70BB" w14:textId="77777777">
            <w:pPr>
              <w:tabs>
                <w:tab w:val="left" w:pos="360"/>
              </w:tabs>
              <w:jc w:val="right"/>
              <w:rPr>
                <w:rFonts w:ascii="Arial" w:hAnsi="Arial"/>
                <w:sz w:val="18"/>
                <w:szCs w:val="24"/>
              </w:rPr>
            </w:pPr>
            <w:r w:rsidRPr="003D51E1">
              <w:rPr>
                <w:rFonts w:ascii="Arial" w:hAnsi="Arial"/>
                <w:sz w:val="18"/>
                <w:szCs w:val="24"/>
              </w:rPr>
              <w:t xml:space="preserve"> </w:t>
            </w:r>
          </w:p>
          <w:p w:rsidRPr="003D51E1" w:rsidR="008B10AC" w:rsidP="00AE310C" w:rsidRDefault="008B10AC" w14:paraId="798AA31A" w14:textId="77777777">
            <w:pPr>
              <w:tabs>
                <w:tab w:val="left" w:pos="360"/>
              </w:tabs>
              <w:jc w:val="right"/>
              <w:rPr>
                <w:rFonts w:ascii="Arial" w:hAnsi="Arial"/>
                <w:sz w:val="18"/>
                <w:szCs w:val="24"/>
              </w:rPr>
            </w:pPr>
            <w:r>
              <w:rPr>
                <w:rFonts w:ascii="Arial" w:hAnsi="Arial"/>
                <w:sz w:val="18"/>
                <w:szCs w:val="24"/>
              </w:rPr>
              <w:t xml:space="preserve">$   </w:t>
            </w:r>
            <w:r w:rsidR="00AE0B4D">
              <w:rPr>
                <w:rFonts w:ascii="Arial" w:hAnsi="Arial"/>
                <w:sz w:val="18"/>
                <w:szCs w:val="24"/>
              </w:rPr>
              <w:t>10,256</w:t>
            </w:r>
          </w:p>
          <w:p w:rsidRPr="003D51E1" w:rsidR="008B10AC" w:rsidP="00AE310C" w:rsidRDefault="008B10AC" w14:paraId="56A00F3C" w14:textId="77777777">
            <w:pPr>
              <w:tabs>
                <w:tab w:val="left" w:pos="360"/>
              </w:tabs>
              <w:jc w:val="right"/>
              <w:rPr>
                <w:rFonts w:ascii="Arial" w:hAnsi="Arial"/>
                <w:sz w:val="18"/>
                <w:szCs w:val="24"/>
              </w:rPr>
            </w:pPr>
          </w:p>
        </w:tc>
      </w:tr>
      <w:tr w:rsidRPr="00E06EF1" w:rsidR="008B10AC" w:rsidTr="008B10AC" w14:paraId="232960D3" w14:textId="77777777">
        <w:tc>
          <w:tcPr>
            <w:tcW w:w="1818" w:type="dxa"/>
            <w:shd w:val="clear" w:color="auto" w:fill="auto"/>
          </w:tcPr>
          <w:p w:rsidRPr="003D51E1" w:rsidR="008B10AC" w:rsidP="003D51E1" w:rsidRDefault="008B10AC" w14:paraId="114F8E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color w:val="000000"/>
                <w:sz w:val="24"/>
                <w:szCs w:val="18"/>
              </w:rPr>
            </w:pPr>
          </w:p>
          <w:p w:rsidRPr="003D51E1" w:rsidR="008B10AC" w:rsidP="003D51E1" w:rsidRDefault="008B10AC" w14:paraId="342566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color w:val="000000"/>
                <w:sz w:val="24"/>
                <w:szCs w:val="18"/>
              </w:rPr>
            </w:pPr>
            <w:r w:rsidRPr="003D51E1">
              <w:rPr>
                <w:rFonts w:ascii="Arial" w:hAnsi="Arial"/>
                <w:b/>
                <w:color w:val="000000"/>
                <w:sz w:val="24"/>
                <w:szCs w:val="18"/>
              </w:rPr>
              <w:t>Totals</w:t>
            </w:r>
          </w:p>
        </w:tc>
        <w:tc>
          <w:tcPr>
            <w:tcW w:w="1350" w:type="dxa"/>
            <w:shd w:val="pct25" w:color="auto" w:fill="auto"/>
          </w:tcPr>
          <w:p w:rsidRPr="003D51E1" w:rsidR="008B10AC" w:rsidP="003D51E1" w:rsidRDefault="008B10AC" w14:paraId="19DBE52C" w14:textId="77777777">
            <w:pPr>
              <w:rPr>
                <w:rFonts w:ascii="Arial" w:hAnsi="Arial"/>
                <w:b/>
                <w:sz w:val="18"/>
                <w:szCs w:val="18"/>
              </w:rPr>
            </w:pPr>
          </w:p>
        </w:tc>
        <w:tc>
          <w:tcPr>
            <w:tcW w:w="1170" w:type="dxa"/>
            <w:shd w:val="clear" w:color="auto" w:fill="auto"/>
          </w:tcPr>
          <w:p w:rsidRPr="003D51E1" w:rsidR="008B10AC" w:rsidP="003D51E1" w:rsidRDefault="008B10AC" w14:paraId="23F39A6F" w14:textId="77777777">
            <w:pPr>
              <w:rPr>
                <w:rFonts w:ascii="Arial" w:hAnsi="Arial"/>
                <w:sz w:val="18"/>
                <w:szCs w:val="18"/>
              </w:rPr>
            </w:pPr>
          </w:p>
          <w:p w:rsidRPr="003D51E1" w:rsidR="008B10AC" w:rsidP="00AE310C" w:rsidRDefault="008B10AC" w14:paraId="537858CF" w14:textId="77777777">
            <w:pPr>
              <w:jc w:val="center"/>
              <w:rPr>
                <w:rFonts w:ascii="Arial" w:hAnsi="Arial"/>
                <w:sz w:val="18"/>
                <w:szCs w:val="18"/>
              </w:rPr>
            </w:pPr>
            <w:r w:rsidRPr="003D51E1">
              <w:rPr>
                <w:rFonts w:ascii="Arial" w:hAnsi="Arial"/>
                <w:sz w:val="18"/>
                <w:szCs w:val="18"/>
              </w:rPr>
              <w:t>300</w:t>
            </w:r>
          </w:p>
        </w:tc>
        <w:tc>
          <w:tcPr>
            <w:tcW w:w="1080" w:type="dxa"/>
            <w:shd w:val="pct25" w:color="auto" w:fill="auto"/>
          </w:tcPr>
          <w:p w:rsidRPr="003D51E1" w:rsidR="008B10AC" w:rsidP="003D51E1" w:rsidRDefault="008B10AC" w14:paraId="4AF3D7CA" w14:textId="77777777">
            <w:pPr>
              <w:rPr>
                <w:rFonts w:ascii="Arial" w:hAnsi="Arial"/>
                <w:sz w:val="18"/>
                <w:szCs w:val="18"/>
              </w:rPr>
            </w:pPr>
          </w:p>
        </w:tc>
        <w:tc>
          <w:tcPr>
            <w:tcW w:w="1440" w:type="dxa"/>
            <w:shd w:val="clear" w:color="auto" w:fill="auto"/>
          </w:tcPr>
          <w:p w:rsidRPr="003D51E1" w:rsidR="008B10AC" w:rsidP="003D51E1" w:rsidRDefault="008B10AC" w14:paraId="07AA2B04" w14:textId="77777777">
            <w:pPr>
              <w:rPr>
                <w:rFonts w:ascii="Arial" w:hAnsi="Arial"/>
                <w:sz w:val="18"/>
                <w:szCs w:val="24"/>
              </w:rPr>
            </w:pPr>
          </w:p>
          <w:p w:rsidRPr="003D51E1" w:rsidR="008B10AC" w:rsidP="00AE310C" w:rsidRDefault="008B10AC" w14:paraId="2640E8A2" w14:textId="77777777">
            <w:pPr>
              <w:jc w:val="right"/>
              <w:rPr>
                <w:rFonts w:ascii="Arial" w:hAnsi="Arial"/>
                <w:sz w:val="18"/>
                <w:szCs w:val="24"/>
              </w:rPr>
            </w:pPr>
            <w:r>
              <w:rPr>
                <w:rFonts w:ascii="Arial" w:hAnsi="Arial"/>
                <w:sz w:val="18"/>
                <w:szCs w:val="24"/>
              </w:rPr>
              <w:t xml:space="preserve">$   </w:t>
            </w:r>
            <w:r w:rsidR="00AE310C">
              <w:rPr>
                <w:rFonts w:ascii="Arial" w:hAnsi="Arial"/>
                <w:sz w:val="18"/>
                <w:szCs w:val="24"/>
              </w:rPr>
              <w:t>2</w:t>
            </w:r>
            <w:r w:rsidR="00AE0B4D">
              <w:rPr>
                <w:rFonts w:ascii="Arial" w:hAnsi="Arial"/>
                <w:sz w:val="18"/>
                <w:szCs w:val="24"/>
              </w:rPr>
              <w:t>6,608</w:t>
            </w:r>
          </w:p>
        </w:tc>
      </w:tr>
    </w:tbl>
    <w:p w:rsidRPr="00E06EF1" w:rsidR="00077791" w:rsidP="00077791" w:rsidRDefault="00077791" w14:paraId="05744D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E06EF1">
        <w:rPr>
          <w:rFonts w:ascii="Arial" w:hAnsi="Arial" w:cs="Arial"/>
          <w:b/>
          <w:bCs/>
          <w:sz w:val="22"/>
          <w:szCs w:val="22"/>
        </w:rPr>
        <w:tab/>
      </w:r>
    </w:p>
    <w:p w:rsidRPr="00581BF3" w:rsidR="00077791" w:rsidP="00077791" w:rsidRDefault="00077791" w14:paraId="59CFFE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2"/>
          <w:szCs w:val="22"/>
        </w:rPr>
      </w:pPr>
      <w:r w:rsidRPr="00E06EF1">
        <w:rPr>
          <w:rFonts w:ascii="Arial" w:hAnsi="Arial" w:cs="Arial"/>
          <w:b/>
          <w:bCs/>
          <w:sz w:val="22"/>
          <w:szCs w:val="22"/>
        </w:rPr>
        <w:tab/>
      </w:r>
      <w:r w:rsidRPr="00581BF3">
        <w:rPr>
          <w:bCs/>
        </w:rPr>
        <w:t>*</w:t>
      </w:r>
      <w:r w:rsidRPr="00581BF3">
        <w:rPr>
          <w:bCs/>
          <w:sz w:val="22"/>
          <w:szCs w:val="22"/>
        </w:rPr>
        <w:t xml:space="preserve"> Using the </w:t>
      </w:r>
      <w:r w:rsidRPr="00581BF3" w:rsidR="009F6683">
        <w:rPr>
          <w:bCs/>
          <w:sz w:val="22"/>
          <w:szCs w:val="22"/>
        </w:rPr>
        <w:t>20</w:t>
      </w:r>
      <w:r w:rsidR="00DA56F6">
        <w:rPr>
          <w:bCs/>
          <w:sz w:val="22"/>
          <w:szCs w:val="22"/>
        </w:rPr>
        <w:t>20</w:t>
      </w:r>
      <w:r w:rsidRPr="00581BF3" w:rsidR="009F6683">
        <w:rPr>
          <w:bCs/>
          <w:sz w:val="22"/>
          <w:szCs w:val="22"/>
        </w:rPr>
        <w:t xml:space="preserve"> General Schedule</w:t>
      </w:r>
      <w:r w:rsidR="001C5B72">
        <w:rPr>
          <w:bCs/>
          <w:sz w:val="22"/>
          <w:szCs w:val="22"/>
        </w:rPr>
        <w:t xml:space="preserve">, </w:t>
      </w:r>
      <w:r w:rsidRPr="00581BF3" w:rsidR="00C7737F">
        <w:rPr>
          <w:bCs/>
          <w:sz w:val="22"/>
          <w:szCs w:val="22"/>
        </w:rPr>
        <w:t xml:space="preserve">the </w:t>
      </w:r>
      <w:r w:rsidRPr="00581BF3" w:rsidR="00BD4A4F">
        <w:rPr>
          <w:bCs/>
          <w:sz w:val="22"/>
          <w:szCs w:val="22"/>
        </w:rPr>
        <w:t xml:space="preserve">hourly </w:t>
      </w:r>
      <w:r w:rsidRPr="00581BF3" w:rsidR="00C7737F">
        <w:rPr>
          <w:bCs/>
          <w:sz w:val="22"/>
          <w:szCs w:val="22"/>
        </w:rPr>
        <w:t>rate for a GS-15</w:t>
      </w:r>
      <w:r w:rsidRPr="00581BF3">
        <w:rPr>
          <w:bCs/>
          <w:sz w:val="22"/>
          <w:szCs w:val="22"/>
        </w:rPr>
        <w:t xml:space="preserve">/step </w:t>
      </w:r>
      <w:r w:rsidR="00DA56F6">
        <w:rPr>
          <w:bCs/>
          <w:sz w:val="22"/>
          <w:szCs w:val="22"/>
        </w:rPr>
        <w:t>10</w:t>
      </w:r>
      <w:r w:rsidRPr="00581BF3">
        <w:rPr>
          <w:bCs/>
          <w:sz w:val="22"/>
          <w:szCs w:val="22"/>
        </w:rPr>
        <w:t xml:space="preserve"> </w:t>
      </w:r>
      <w:r w:rsidRPr="00581BF3" w:rsidR="007804B3">
        <w:rPr>
          <w:bCs/>
          <w:sz w:val="22"/>
          <w:szCs w:val="22"/>
        </w:rPr>
        <w:t>(the person who overs</w:t>
      </w:r>
      <w:r w:rsidR="00AE0B4D">
        <w:rPr>
          <w:bCs/>
          <w:sz w:val="22"/>
          <w:szCs w:val="22"/>
        </w:rPr>
        <w:t>ees</w:t>
      </w:r>
      <w:r w:rsidRPr="00581BF3" w:rsidR="007804B3">
        <w:rPr>
          <w:bCs/>
          <w:sz w:val="22"/>
          <w:szCs w:val="22"/>
        </w:rPr>
        <w:t xml:space="preserve"> </w:t>
      </w:r>
      <w:r w:rsidRPr="00581BF3" w:rsidR="00BD4A4F">
        <w:rPr>
          <w:bCs/>
          <w:sz w:val="22"/>
          <w:szCs w:val="22"/>
        </w:rPr>
        <w:t>preparation</w:t>
      </w:r>
      <w:r w:rsidRPr="00581BF3" w:rsidR="007804B3">
        <w:rPr>
          <w:bCs/>
          <w:sz w:val="22"/>
          <w:szCs w:val="22"/>
        </w:rPr>
        <w:t>, solicitation, questions, record-keeping and review</w:t>
      </w:r>
      <w:r w:rsidRPr="00581BF3" w:rsidR="00BD4A4F">
        <w:rPr>
          <w:bCs/>
          <w:sz w:val="22"/>
          <w:szCs w:val="22"/>
        </w:rPr>
        <w:t xml:space="preserve"> for the latest round of TEDC grants</w:t>
      </w:r>
      <w:r w:rsidRPr="00581BF3" w:rsidR="007804B3">
        <w:rPr>
          <w:bCs/>
          <w:sz w:val="22"/>
          <w:szCs w:val="22"/>
        </w:rPr>
        <w:t xml:space="preserve">) </w:t>
      </w:r>
      <w:r w:rsidRPr="00581BF3">
        <w:rPr>
          <w:bCs/>
          <w:sz w:val="22"/>
          <w:szCs w:val="22"/>
        </w:rPr>
        <w:t>is $</w:t>
      </w:r>
      <w:r w:rsidR="00AE0B4D">
        <w:rPr>
          <w:bCs/>
          <w:sz w:val="22"/>
          <w:szCs w:val="22"/>
        </w:rPr>
        <w:t>109.01</w:t>
      </w:r>
      <w:r w:rsidRPr="00581BF3" w:rsidR="00C7737F">
        <w:rPr>
          <w:bCs/>
          <w:sz w:val="22"/>
          <w:szCs w:val="22"/>
        </w:rPr>
        <w:t xml:space="preserve"> </w:t>
      </w:r>
      <w:r w:rsidRPr="00581BF3">
        <w:rPr>
          <w:bCs/>
          <w:sz w:val="22"/>
          <w:szCs w:val="22"/>
        </w:rPr>
        <w:t>including be</w:t>
      </w:r>
      <w:r w:rsidRPr="00581BF3" w:rsidR="007804B3">
        <w:rPr>
          <w:bCs/>
          <w:sz w:val="22"/>
          <w:szCs w:val="22"/>
        </w:rPr>
        <w:t>nefits ($</w:t>
      </w:r>
      <w:r w:rsidR="00AE0B4D">
        <w:rPr>
          <w:bCs/>
          <w:sz w:val="22"/>
          <w:szCs w:val="22"/>
        </w:rPr>
        <w:t>68.13</w:t>
      </w:r>
      <w:r w:rsidRPr="00581BF3">
        <w:rPr>
          <w:bCs/>
          <w:sz w:val="22"/>
          <w:szCs w:val="22"/>
        </w:rPr>
        <w:t xml:space="preserve"> hourly </w:t>
      </w:r>
      <w:r w:rsidRPr="00581BF3" w:rsidR="00837FF1">
        <w:rPr>
          <w:bCs/>
          <w:sz w:val="22"/>
          <w:szCs w:val="22"/>
        </w:rPr>
        <w:t>salary</w:t>
      </w:r>
      <w:r w:rsidRPr="00581BF3">
        <w:rPr>
          <w:bCs/>
          <w:sz w:val="22"/>
          <w:szCs w:val="22"/>
        </w:rPr>
        <w:t xml:space="preserve"> multiplied by 1.</w:t>
      </w:r>
      <w:r w:rsidR="001C5B72">
        <w:rPr>
          <w:bCs/>
          <w:sz w:val="22"/>
          <w:szCs w:val="22"/>
        </w:rPr>
        <w:t>6</w:t>
      </w:r>
      <w:r w:rsidRPr="00581BF3">
        <w:rPr>
          <w:bCs/>
          <w:sz w:val="22"/>
          <w:szCs w:val="22"/>
        </w:rPr>
        <w:t xml:space="preserve"> to account for benefits).  </w:t>
      </w:r>
      <w:r w:rsidRPr="00581BF3" w:rsidR="007804B3">
        <w:rPr>
          <w:bCs/>
          <w:sz w:val="22"/>
          <w:szCs w:val="22"/>
        </w:rPr>
        <w:t>We expect the person sending out award and rejection letters, coordinating funding and analyzing incoming reports will be a GS-1</w:t>
      </w:r>
      <w:r w:rsidR="00DA56F6">
        <w:rPr>
          <w:bCs/>
          <w:sz w:val="22"/>
          <w:szCs w:val="22"/>
        </w:rPr>
        <w:t>3</w:t>
      </w:r>
      <w:r w:rsidRPr="00581BF3" w:rsidR="007804B3">
        <w:rPr>
          <w:bCs/>
          <w:sz w:val="22"/>
          <w:szCs w:val="22"/>
        </w:rPr>
        <w:t xml:space="preserve">/step5 </w:t>
      </w:r>
      <w:r w:rsidRPr="00581BF3" w:rsidR="00E7330A">
        <w:rPr>
          <w:bCs/>
          <w:sz w:val="22"/>
          <w:szCs w:val="22"/>
        </w:rPr>
        <w:t>resulting</w:t>
      </w:r>
      <w:r w:rsidRPr="00581BF3" w:rsidR="00BD4A4F">
        <w:rPr>
          <w:bCs/>
          <w:sz w:val="22"/>
          <w:szCs w:val="22"/>
        </w:rPr>
        <w:t xml:space="preserve"> with a</w:t>
      </w:r>
      <w:r w:rsidRPr="00581BF3" w:rsidR="00837FF1">
        <w:rPr>
          <w:bCs/>
          <w:sz w:val="22"/>
          <w:szCs w:val="22"/>
        </w:rPr>
        <w:t>n hourly rate of $</w:t>
      </w:r>
      <w:r w:rsidR="00AE0B4D">
        <w:rPr>
          <w:bCs/>
          <w:sz w:val="22"/>
          <w:szCs w:val="22"/>
        </w:rPr>
        <w:t>68.37</w:t>
      </w:r>
      <w:r w:rsidRPr="00581BF3" w:rsidR="00837FF1">
        <w:rPr>
          <w:bCs/>
          <w:sz w:val="22"/>
          <w:szCs w:val="22"/>
        </w:rPr>
        <w:t xml:space="preserve"> including benefits ($</w:t>
      </w:r>
      <w:r w:rsidR="00AE0B4D">
        <w:rPr>
          <w:bCs/>
          <w:sz w:val="22"/>
          <w:szCs w:val="22"/>
        </w:rPr>
        <w:t>42.73</w:t>
      </w:r>
      <w:r w:rsidRPr="00581BF3" w:rsidR="00837FF1">
        <w:rPr>
          <w:bCs/>
          <w:sz w:val="22"/>
          <w:szCs w:val="22"/>
        </w:rPr>
        <w:t xml:space="preserve"> hourly</w:t>
      </w:r>
      <w:r w:rsidRPr="00581BF3" w:rsidR="00BD4A4F">
        <w:rPr>
          <w:bCs/>
          <w:sz w:val="22"/>
          <w:szCs w:val="22"/>
        </w:rPr>
        <w:t xml:space="preserve"> salary </w:t>
      </w:r>
      <w:r w:rsidR="00AE310C">
        <w:rPr>
          <w:bCs/>
          <w:sz w:val="22"/>
          <w:szCs w:val="22"/>
        </w:rPr>
        <w:t>multiplied by 1.6</w:t>
      </w:r>
      <w:r w:rsidRPr="00581BF3" w:rsidR="00837FF1">
        <w:rPr>
          <w:bCs/>
          <w:sz w:val="22"/>
          <w:szCs w:val="22"/>
        </w:rPr>
        <w:t xml:space="preserve"> to account for benefits). </w:t>
      </w:r>
      <w:r w:rsidRPr="00581BF3">
        <w:rPr>
          <w:bCs/>
          <w:sz w:val="22"/>
          <w:szCs w:val="22"/>
        </w:rPr>
        <w:t xml:space="preserve">See </w:t>
      </w:r>
      <w:r w:rsidRPr="00AE0B4D" w:rsidR="00AE0B4D">
        <w:rPr>
          <w:bCs/>
          <w:sz w:val="22"/>
          <w:szCs w:val="22"/>
        </w:rPr>
        <w:t>https://www.opm.gov/policy-data-oversight/pay-leave/salaries-wages/salary-tables/20Tables/html/GS_h.aspx</w:t>
      </w:r>
    </w:p>
    <w:p w:rsidR="00734ABC" w:rsidP="00734ABC" w:rsidRDefault="00734ABC" w14:paraId="1B5CA9C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2C2DA0" w:rsidR="00295103" w:rsidRDefault="00295103" w14:paraId="4CE9A8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15.</w:t>
      </w:r>
      <w:r w:rsidRPr="002C2DA0">
        <w:rPr>
          <w:b/>
          <w:sz w:val="24"/>
          <w:szCs w:val="24"/>
        </w:rPr>
        <w:tab/>
        <w:t xml:space="preserve">Explain the reasons for any program changes or adjustments </w:t>
      </w:r>
      <w:r w:rsidRPr="002C2DA0" w:rsidR="00F73931">
        <w:rPr>
          <w:b/>
          <w:sz w:val="24"/>
          <w:szCs w:val="24"/>
        </w:rPr>
        <w:t>in hour or cost burden</w:t>
      </w:r>
      <w:r w:rsidRPr="002C2DA0" w:rsidR="0060758B">
        <w:rPr>
          <w:b/>
          <w:sz w:val="24"/>
          <w:szCs w:val="24"/>
        </w:rPr>
        <w:t>.</w:t>
      </w:r>
    </w:p>
    <w:p w:rsidR="00D7712F" w:rsidP="002C2DA0" w:rsidRDefault="00D7712F" w14:paraId="3AF06BB1"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974A9" w:rsidP="00DA3736" w:rsidRDefault="00DA56F6" w14:paraId="346041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The program has grown in applications, from 26 to 40 applications per year. Also,</w:t>
      </w:r>
      <w:r w:rsidR="00EC0808">
        <w:rPr>
          <w:bCs/>
          <w:sz w:val="24"/>
          <w:szCs w:val="24"/>
        </w:rPr>
        <w:t xml:space="preserve"> the program has been continuously collecting quarterly reports from respondents; however, the program only submitted semi-annual reporting to OMB for approval. This is a mistake that is now being remedied. Quarterly reporting is allowed under</w:t>
      </w:r>
      <w:r>
        <w:rPr>
          <w:bCs/>
          <w:sz w:val="24"/>
          <w:szCs w:val="24"/>
        </w:rPr>
        <w:t xml:space="preserve"> Uniform Guidance (2</w:t>
      </w:r>
      <w:r w:rsidR="001E5687">
        <w:rPr>
          <w:bCs/>
          <w:sz w:val="24"/>
          <w:szCs w:val="24"/>
        </w:rPr>
        <w:t xml:space="preserve"> </w:t>
      </w:r>
      <w:r>
        <w:rPr>
          <w:bCs/>
          <w:sz w:val="24"/>
          <w:szCs w:val="24"/>
        </w:rPr>
        <w:t>CFR 200). Standardized quarterly report</w:t>
      </w:r>
      <w:r w:rsidR="00EC0808">
        <w:rPr>
          <w:bCs/>
          <w:sz w:val="24"/>
          <w:szCs w:val="24"/>
        </w:rPr>
        <w:t>s</w:t>
      </w:r>
      <w:r>
        <w:rPr>
          <w:bCs/>
          <w:sz w:val="24"/>
          <w:szCs w:val="24"/>
        </w:rPr>
        <w:t xml:space="preserve"> </w:t>
      </w:r>
      <w:r w:rsidR="00EC0808">
        <w:rPr>
          <w:bCs/>
          <w:sz w:val="24"/>
          <w:szCs w:val="24"/>
        </w:rPr>
        <w:t>are collected on</w:t>
      </w:r>
      <w:r>
        <w:rPr>
          <w:bCs/>
          <w:sz w:val="24"/>
          <w:szCs w:val="24"/>
        </w:rPr>
        <w:t xml:space="preserve"> a DEMD provided quarterly reporting narrative template. The use of </w:t>
      </w:r>
      <w:r w:rsidR="00EC0808">
        <w:rPr>
          <w:bCs/>
          <w:sz w:val="24"/>
          <w:szCs w:val="24"/>
        </w:rPr>
        <w:t>templates</w:t>
      </w:r>
      <w:r>
        <w:rPr>
          <w:bCs/>
          <w:sz w:val="24"/>
          <w:szCs w:val="24"/>
        </w:rPr>
        <w:t xml:space="preserve"> helps to reduce all parties</w:t>
      </w:r>
      <w:r w:rsidR="00E12149">
        <w:rPr>
          <w:bCs/>
          <w:sz w:val="24"/>
          <w:szCs w:val="24"/>
        </w:rPr>
        <w:t>’</w:t>
      </w:r>
      <w:r>
        <w:rPr>
          <w:bCs/>
          <w:sz w:val="24"/>
          <w:szCs w:val="24"/>
        </w:rPr>
        <w:t xml:space="preserve"> burdens. </w:t>
      </w:r>
    </w:p>
    <w:p w:rsidRPr="00077791" w:rsidR="00E12149" w:rsidP="00DA3736" w:rsidRDefault="00E12149" w14:paraId="6BB675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77791" w:rsidR="00295103" w:rsidRDefault="00295103" w14:paraId="51D9B2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77791">
        <w:rPr>
          <w:b/>
          <w:sz w:val="24"/>
          <w:szCs w:val="24"/>
        </w:rPr>
        <w:t>16.</w:t>
      </w:r>
      <w:r w:rsidRPr="00077791">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077791" w:rsidR="00D7712F" w:rsidP="002C2DA0" w:rsidRDefault="00D7712F" w14:paraId="27B3AD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77791" w:rsidR="00077791" w:rsidP="00077791" w:rsidRDefault="00077791" w14:paraId="330D7C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sz w:val="24"/>
          <w:szCs w:val="24"/>
        </w:rPr>
        <w:t>We will not publish the results of this information collection</w:t>
      </w:r>
    </w:p>
    <w:p w:rsidRPr="00077791" w:rsidR="00295103" w:rsidRDefault="00295103" w14:paraId="276F41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77791" w:rsidR="00295103" w:rsidRDefault="00295103" w14:paraId="722CD7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77791">
        <w:rPr>
          <w:b/>
          <w:sz w:val="24"/>
          <w:szCs w:val="24"/>
        </w:rPr>
        <w:t>17.</w:t>
      </w:r>
      <w:r w:rsidRPr="00077791">
        <w:rPr>
          <w:b/>
          <w:sz w:val="24"/>
          <w:szCs w:val="24"/>
        </w:rPr>
        <w:tab/>
        <w:t>If seeking approval to not display the expiration date for OMB approval of the information collection, explain the reasons that display would be inappropriate.</w:t>
      </w:r>
    </w:p>
    <w:p w:rsidRPr="00077791" w:rsidR="00D7712F" w:rsidP="002C2DA0" w:rsidRDefault="00D7712F" w14:paraId="3D59BC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77791" w:rsidR="00077791" w:rsidP="00077791" w:rsidRDefault="00077791" w14:paraId="36AF68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7791">
        <w:rPr>
          <w:sz w:val="24"/>
          <w:szCs w:val="24"/>
        </w:rPr>
        <w:t xml:space="preserve">We will display the OMB control number and expiration date on the solicitation for proposals as well as on other appropriate materials.    </w:t>
      </w:r>
    </w:p>
    <w:p w:rsidRPr="00077791" w:rsidR="00295103" w:rsidRDefault="00295103" w14:paraId="023913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77791" w:rsidR="00295103" w:rsidRDefault="00295103" w14:paraId="62A335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77791">
        <w:rPr>
          <w:b/>
          <w:sz w:val="24"/>
          <w:szCs w:val="24"/>
        </w:rPr>
        <w:t>18.</w:t>
      </w:r>
      <w:r w:rsidRPr="00077791">
        <w:rPr>
          <w:b/>
          <w:sz w:val="24"/>
          <w:szCs w:val="24"/>
        </w:rPr>
        <w:tab/>
        <w:t xml:space="preserve">Explain each exception to the </w:t>
      </w:r>
      <w:r w:rsidRPr="00077791" w:rsidR="005D39A7">
        <w:rPr>
          <w:b/>
          <w:sz w:val="24"/>
          <w:szCs w:val="24"/>
        </w:rPr>
        <w:t xml:space="preserve">topics of the </w:t>
      </w:r>
      <w:r w:rsidRPr="00077791">
        <w:rPr>
          <w:b/>
          <w:sz w:val="24"/>
          <w:szCs w:val="24"/>
        </w:rPr>
        <w:t>certification statement identified in "Certification for Paperwork Reduction Act Submissions</w:t>
      </w:r>
      <w:r w:rsidRPr="00077791" w:rsidR="005D39A7">
        <w:rPr>
          <w:b/>
          <w:sz w:val="24"/>
          <w:szCs w:val="24"/>
        </w:rPr>
        <w:t>.</w:t>
      </w:r>
      <w:r w:rsidRPr="00077791">
        <w:rPr>
          <w:b/>
          <w:sz w:val="24"/>
          <w:szCs w:val="24"/>
        </w:rPr>
        <w:t>"</w:t>
      </w:r>
    </w:p>
    <w:p w:rsidRPr="00FF3AEE" w:rsidR="00D7712F" w:rsidRDefault="00D7712F" w14:paraId="2A48F1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97D94" w:rsidR="00077791" w:rsidP="00077791" w:rsidRDefault="00077791" w14:paraId="4B67B4F1" w14:textId="77777777">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77791">
        <w:rPr>
          <w:sz w:val="24"/>
          <w:szCs w:val="24"/>
        </w:rPr>
        <w:t>There are no exceptions to the certification statement</w:t>
      </w:r>
      <w:r w:rsidRPr="00E06EF1">
        <w:rPr>
          <w:rFonts w:ascii="Arial" w:hAnsi="Arial" w:cs="Arial"/>
          <w:sz w:val="22"/>
          <w:szCs w:val="22"/>
        </w:rPr>
        <w:t>.</w:t>
      </w:r>
    </w:p>
    <w:p w:rsidRPr="00FF3AEE" w:rsidR="00295103" w:rsidP="00077791" w:rsidRDefault="00295103" w14:paraId="649572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sectPr w:rsidRPr="00FF3AEE" w:rsidR="00295103" w:rsidSect="00102D52">
      <w:headerReference w:type="default" r:id="rId7"/>
      <w:footerReference w:type="default" r:id="rId8"/>
      <w:type w:val="continuous"/>
      <w:pgSz w:w="12240" w:h="15840"/>
      <w:pgMar w:top="1440" w:right="1440" w:bottom="1440" w:left="1440" w:header="144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C6E40" w14:textId="77777777" w:rsidR="00D977B7" w:rsidRDefault="00D977B7">
      <w:r>
        <w:separator/>
      </w:r>
    </w:p>
  </w:endnote>
  <w:endnote w:type="continuationSeparator" w:id="0">
    <w:p w14:paraId="3FC8CAF6" w14:textId="77777777" w:rsidR="00D977B7" w:rsidRDefault="00D9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30C83" w14:textId="77777777" w:rsidR="00102D52" w:rsidRDefault="00102D52">
    <w:pPr>
      <w:pStyle w:val="Footer"/>
      <w:jc w:val="center"/>
    </w:pPr>
    <w:r>
      <w:fldChar w:fldCharType="begin"/>
    </w:r>
    <w:r>
      <w:instrText xml:space="preserve"> PAGE   \* MERGEFORMAT </w:instrText>
    </w:r>
    <w:r>
      <w:fldChar w:fldCharType="separate"/>
    </w:r>
    <w:r w:rsidR="00A721FA">
      <w:rPr>
        <w:noProof/>
      </w:rPr>
      <w:t>1</w:t>
    </w:r>
    <w:r>
      <w:rPr>
        <w:noProof/>
      </w:rPr>
      <w:fldChar w:fldCharType="end"/>
    </w:r>
  </w:p>
  <w:p w14:paraId="1513D8C8" w14:textId="77777777" w:rsidR="00102D52" w:rsidRDefault="00102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0F392" w14:textId="77777777" w:rsidR="00D977B7" w:rsidRDefault="00D977B7">
      <w:r>
        <w:separator/>
      </w:r>
    </w:p>
  </w:footnote>
  <w:footnote w:type="continuationSeparator" w:id="0">
    <w:p w14:paraId="0A755134" w14:textId="77777777" w:rsidR="00D977B7" w:rsidRDefault="00D97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68C28" w14:textId="77777777" w:rsidR="000C5F61" w:rsidRDefault="000C5F6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86D5B"/>
    <w:multiLevelType w:val="hybridMultilevel"/>
    <w:tmpl w:val="017A0DBC"/>
    <w:lvl w:ilvl="0" w:tplc="6D20DE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1E4CBE"/>
    <w:multiLevelType w:val="hybridMultilevel"/>
    <w:tmpl w:val="CEF88D4A"/>
    <w:lvl w:ilvl="0" w:tplc="43E2994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03B97"/>
    <w:multiLevelType w:val="hybridMultilevel"/>
    <w:tmpl w:val="8694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232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F71DBC"/>
    <w:multiLevelType w:val="hybridMultilevel"/>
    <w:tmpl w:val="CC5EA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63654"/>
    <w:multiLevelType w:val="hybridMultilevel"/>
    <w:tmpl w:val="DCC64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663D6"/>
    <w:multiLevelType w:val="hybridMultilevel"/>
    <w:tmpl w:val="2A3459AA"/>
    <w:lvl w:ilvl="0" w:tplc="057CB9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FE76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164FE7"/>
    <w:multiLevelType w:val="hybridMultilevel"/>
    <w:tmpl w:val="37F0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B1998"/>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2DC785E"/>
    <w:multiLevelType w:val="hybridMultilevel"/>
    <w:tmpl w:val="05247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EC48AA"/>
    <w:multiLevelType w:val="hybridMultilevel"/>
    <w:tmpl w:val="DA64D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416BA6"/>
    <w:multiLevelType w:val="hybridMultilevel"/>
    <w:tmpl w:val="0A666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462FA0"/>
    <w:multiLevelType w:val="hybridMultilevel"/>
    <w:tmpl w:val="B4FC9BD0"/>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7324243"/>
    <w:multiLevelType w:val="hybridMultilevel"/>
    <w:tmpl w:val="8C3EC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6528B1"/>
    <w:multiLevelType w:val="hybridMultilevel"/>
    <w:tmpl w:val="A968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621FC"/>
    <w:multiLevelType w:val="hybridMultilevel"/>
    <w:tmpl w:val="1008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98087F"/>
    <w:multiLevelType w:val="multilevel"/>
    <w:tmpl w:val="5E5A3A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B4322D"/>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2CD62E1"/>
    <w:multiLevelType w:val="hybridMultilevel"/>
    <w:tmpl w:val="9A4C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1F26A8"/>
    <w:multiLevelType w:val="hybridMultilevel"/>
    <w:tmpl w:val="50740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B2864"/>
    <w:multiLevelType w:val="hybridMultilevel"/>
    <w:tmpl w:val="87C0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6E7C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D5F725E"/>
    <w:multiLevelType w:val="hybridMultilevel"/>
    <w:tmpl w:val="8F648CCC"/>
    <w:lvl w:ilvl="0" w:tplc="6D20DE34">
      <w:start w:val="1"/>
      <w:numFmt w:val="lowerLetter"/>
      <w:lvlText w:val="%1)"/>
      <w:lvlJc w:val="left"/>
      <w:pPr>
        <w:ind w:left="25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53112FD"/>
    <w:multiLevelType w:val="multilevel"/>
    <w:tmpl w:val="30F6DA4A"/>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15:restartNumberingAfterBreak="0">
    <w:nsid w:val="60502682"/>
    <w:multiLevelType w:val="hybridMultilevel"/>
    <w:tmpl w:val="ECD8A8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24130AA"/>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36C0287"/>
    <w:multiLevelType w:val="hybridMultilevel"/>
    <w:tmpl w:val="316077D6"/>
    <w:lvl w:ilvl="0" w:tplc="E5D830A4">
      <w:start w:val="1"/>
      <w:numFmt w:val="decimal"/>
      <w:lvlText w:val="%1)"/>
      <w:lvlJc w:val="left"/>
      <w:pPr>
        <w:ind w:left="1080" w:hanging="720"/>
      </w:pPr>
      <w:rPr>
        <w:rFonts w:hint="default"/>
      </w:rPr>
    </w:lvl>
    <w:lvl w:ilvl="1" w:tplc="AA52963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E1FEC"/>
    <w:multiLevelType w:val="hybridMultilevel"/>
    <w:tmpl w:val="C09CAAD8"/>
    <w:lvl w:ilvl="0" w:tplc="E5907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41272A"/>
    <w:multiLevelType w:val="hybridMultilevel"/>
    <w:tmpl w:val="2D42A5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29335C5"/>
    <w:multiLevelType w:val="hybridMultilevel"/>
    <w:tmpl w:val="F42CF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3229D2"/>
    <w:multiLevelType w:val="hybridMultilevel"/>
    <w:tmpl w:val="172C442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2" w15:restartNumberingAfterBreak="0">
    <w:nsid w:val="76BB31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A207F8A"/>
    <w:multiLevelType w:val="hybridMultilevel"/>
    <w:tmpl w:val="5EC2CCD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4" w15:restartNumberingAfterBreak="0">
    <w:nsid w:val="7A3D457D"/>
    <w:multiLevelType w:val="hybridMultilevel"/>
    <w:tmpl w:val="0D54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16"/>
  </w:num>
  <w:num w:numId="4">
    <w:abstractNumId w:val="26"/>
  </w:num>
  <w:num w:numId="5">
    <w:abstractNumId w:val="18"/>
  </w:num>
  <w:num w:numId="6">
    <w:abstractNumId w:val="9"/>
  </w:num>
  <w:num w:numId="7">
    <w:abstractNumId w:val="33"/>
  </w:num>
  <w:num w:numId="8">
    <w:abstractNumId w:val="21"/>
  </w:num>
  <w:num w:numId="9">
    <w:abstractNumId w:val="6"/>
  </w:num>
  <w:num w:numId="10">
    <w:abstractNumId w:val="0"/>
  </w:num>
  <w:num w:numId="11">
    <w:abstractNumId w:val="23"/>
  </w:num>
  <w:num w:numId="12">
    <w:abstractNumId w:val="22"/>
  </w:num>
  <w:num w:numId="13">
    <w:abstractNumId w:val="13"/>
  </w:num>
  <w:num w:numId="14">
    <w:abstractNumId w:val="3"/>
  </w:num>
  <w:num w:numId="15">
    <w:abstractNumId w:val="32"/>
  </w:num>
  <w:num w:numId="16">
    <w:abstractNumId w:val="7"/>
  </w:num>
  <w:num w:numId="17">
    <w:abstractNumId w:val="24"/>
  </w:num>
  <w:num w:numId="18">
    <w:abstractNumId w:val="27"/>
  </w:num>
  <w:num w:numId="19">
    <w:abstractNumId w:val="31"/>
  </w:num>
  <w:num w:numId="20">
    <w:abstractNumId w:val="29"/>
  </w:num>
  <w:num w:numId="21">
    <w:abstractNumId w:val="14"/>
  </w:num>
  <w:num w:numId="22">
    <w:abstractNumId w:val="25"/>
  </w:num>
  <w:num w:numId="23">
    <w:abstractNumId w:val="5"/>
  </w:num>
  <w:num w:numId="24">
    <w:abstractNumId w:val="11"/>
  </w:num>
  <w:num w:numId="25">
    <w:abstractNumId w:val="15"/>
  </w:num>
  <w:num w:numId="26">
    <w:abstractNumId w:val="2"/>
  </w:num>
  <w:num w:numId="27">
    <w:abstractNumId w:val="12"/>
  </w:num>
  <w:num w:numId="28">
    <w:abstractNumId w:val="19"/>
  </w:num>
  <w:num w:numId="29">
    <w:abstractNumId w:val="4"/>
  </w:num>
  <w:num w:numId="30">
    <w:abstractNumId w:val="8"/>
  </w:num>
  <w:num w:numId="31">
    <w:abstractNumId w:val="34"/>
  </w:num>
  <w:num w:numId="32">
    <w:abstractNumId w:val="20"/>
  </w:num>
  <w:num w:numId="33">
    <w:abstractNumId w:val="10"/>
  </w:num>
  <w:num w:numId="34">
    <w:abstractNumId w:val="17"/>
  </w:num>
  <w:num w:numId="35">
    <w:abstractNumId w:val="17"/>
    <w:lvlOverride w:ilvl="0"/>
  </w:num>
  <w:num w:numId="36">
    <w:abstractNumId w:val="17"/>
    <w:lvlOverride w:ilvl="0"/>
  </w:num>
  <w:num w:numId="37">
    <w:abstractNumId w:val="17"/>
    <w:lvlOverride w:ilvl="0"/>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6F55"/>
    <w:rsid w:val="000117E9"/>
    <w:rsid w:val="00017149"/>
    <w:rsid w:val="0001779A"/>
    <w:rsid w:val="000179B6"/>
    <w:rsid w:val="0002222D"/>
    <w:rsid w:val="000257C8"/>
    <w:rsid w:val="00025DF9"/>
    <w:rsid w:val="00026233"/>
    <w:rsid w:val="00044E72"/>
    <w:rsid w:val="00047E37"/>
    <w:rsid w:val="00050390"/>
    <w:rsid w:val="000617A5"/>
    <w:rsid w:val="00065D83"/>
    <w:rsid w:val="0007181C"/>
    <w:rsid w:val="000763CA"/>
    <w:rsid w:val="00077791"/>
    <w:rsid w:val="00086F7E"/>
    <w:rsid w:val="00094C31"/>
    <w:rsid w:val="000A452C"/>
    <w:rsid w:val="000A5BB6"/>
    <w:rsid w:val="000B4B9E"/>
    <w:rsid w:val="000C5F61"/>
    <w:rsid w:val="000D6F6E"/>
    <w:rsid w:val="000E0F90"/>
    <w:rsid w:val="000F1737"/>
    <w:rsid w:val="000F1C17"/>
    <w:rsid w:val="000F2598"/>
    <w:rsid w:val="000F3AF1"/>
    <w:rsid w:val="00102D52"/>
    <w:rsid w:val="001207A4"/>
    <w:rsid w:val="00132E53"/>
    <w:rsid w:val="00133401"/>
    <w:rsid w:val="00150718"/>
    <w:rsid w:val="00156A20"/>
    <w:rsid w:val="00162B02"/>
    <w:rsid w:val="00163D39"/>
    <w:rsid w:val="00176309"/>
    <w:rsid w:val="001925B9"/>
    <w:rsid w:val="001B41F2"/>
    <w:rsid w:val="001B62EC"/>
    <w:rsid w:val="001C40ED"/>
    <w:rsid w:val="001C5B72"/>
    <w:rsid w:val="001D37AA"/>
    <w:rsid w:val="001E5687"/>
    <w:rsid w:val="00201DBB"/>
    <w:rsid w:val="002064C2"/>
    <w:rsid w:val="00215324"/>
    <w:rsid w:val="00241937"/>
    <w:rsid w:val="00253A60"/>
    <w:rsid w:val="00290124"/>
    <w:rsid w:val="00295103"/>
    <w:rsid w:val="00295547"/>
    <w:rsid w:val="0029770D"/>
    <w:rsid w:val="002B6427"/>
    <w:rsid w:val="002C2DA0"/>
    <w:rsid w:val="002C5967"/>
    <w:rsid w:val="002D51B2"/>
    <w:rsid w:val="002F1310"/>
    <w:rsid w:val="002F2409"/>
    <w:rsid w:val="002F2A85"/>
    <w:rsid w:val="002F638F"/>
    <w:rsid w:val="00313465"/>
    <w:rsid w:val="003167C6"/>
    <w:rsid w:val="00327240"/>
    <w:rsid w:val="00336FDB"/>
    <w:rsid w:val="00344570"/>
    <w:rsid w:val="00350757"/>
    <w:rsid w:val="00352210"/>
    <w:rsid w:val="00392FDB"/>
    <w:rsid w:val="00395167"/>
    <w:rsid w:val="003B063E"/>
    <w:rsid w:val="003B157D"/>
    <w:rsid w:val="003B4E52"/>
    <w:rsid w:val="003B5CB7"/>
    <w:rsid w:val="003C3292"/>
    <w:rsid w:val="003D048D"/>
    <w:rsid w:val="003D51E1"/>
    <w:rsid w:val="00402A76"/>
    <w:rsid w:val="00406014"/>
    <w:rsid w:val="004460E2"/>
    <w:rsid w:val="004476EF"/>
    <w:rsid w:val="00457864"/>
    <w:rsid w:val="00465CEA"/>
    <w:rsid w:val="00467068"/>
    <w:rsid w:val="00472293"/>
    <w:rsid w:val="0048343B"/>
    <w:rsid w:val="004A33D4"/>
    <w:rsid w:val="004A6DFA"/>
    <w:rsid w:val="004B1CE1"/>
    <w:rsid w:val="004B74DD"/>
    <w:rsid w:val="004C0E58"/>
    <w:rsid w:val="004D3DC1"/>
    <w:rsid w:val="00512EC3"/>
    <w:rsid w:val="00514DDB"/>
    <w:rsid w:val="005169F6"/>
    <w:rsid w:val="00525467"/>
    <w:rsid w:val="00527C6C"/>
    <w:rsid w:val="005306CF"/>
    <w:rsid w:val="00541B72"/>
    <w:rsid w:val="00547518"/>
    <w:rsid w:val="00563E17"/>
    <w:rsid w:val="00570FD0"/>
    <w:rsid w:val="005747E7"/>
    <w:rsid w:val="00581BF3"/>
    <w:rsid w:val="005A1835"/>
    <w:rsid w:val="005A5417"/>
    <w:rsid w:val="005A6130"/>
    <w:rsid w:val="005B0F1A"/>
    <w:rsid w:val="005C2319"/>
    <w:rsid w:val="005D39A7"/>
    <w:rsid w:val="005E0031"/>
    <w:rsid w:val="005E6EE9"/>
    <w:rsid w:val="00602796"/>
    <w:rsid w:val="0060758B"/>
    <w:rsid w:val="00634C33"/>
    <w:rsid w:val="00656866"/>
    <w:rsid w:val="006605C6"/>
    <w:rsid w:val="00660616"/>
    <w:rsid w:val="006772B8"/>
    <w:rsid w:val="00681309"/>
    <w:rsid w:val="0069366B"/>
    <w:rsid w:val="006A3F63"/>
    <w:rsid w:val="006A4257"/>
    <w:rsid w:val="006B147A"/>
    <w:rsid w:val="006D3207"/>
    <w:rsid w:val="006E339F"/>
    <w:rsid w:val="006E6F0D"/>
    <w:rsid w:val="007003AD"/>
    <w:rsid w:val="00701C0C"/>
    <w:rsid w:val="0072008E"/>
    <w:rsid w:val="007224F5"/>
    <w:rsid w:val="00734ABC"/>
    <w:rsid w:val="00746593"/>
    <w:rsid w:val="00755786"/>
    <w:rsid w:val="007568D2"/>
    <w:rsid w:val="00767140"/>
    <w:rsid w:val="007804B3"/>
    <w:rsid w:val="00783DB5"/>
    <w:rsid w:val="007851E9"/>
    <w:rsid w:val="00787DAD"/>
    <w:rsid w:val="007911C8"/>
    <w:rsid w:val="007956C4"/>
    <w:rsid w:val="007A471F"/>
    <w:rsid w:val="007A4FEA"/>
    <w:rsid w:val="007B4270"/>
    <w:rsid w:val="007C233E"/>
    <w:rsid w:val="007C5F8E"/>
    <w:rsid w:val="007D0A3A"/>
    <w:rsid w:val="007D19F2"/>
    <w:rsid w:val="007D70D8"/>
    <w:rsid w:val="007E21B5"/>
    <w:rsid w:val="007F26FF"/>
    <w:rsid w:val="007F3FF6"/>
    <w:rsid w:val="00800A42"/>
    <w:rsid w:val="0081259F"/>
    <w:rsid w:val="00837FF1"/>
    <w:rsid w:val="00840B66"/>
    <w:rsid w:val="0086114C"/>
    <w:rsid w:val="00863CB9"/>
    <w:rsid w:val="008656CA"/>
    <w:rsid w:val="008809B0"/>
    <w:rsid w:val="008A170C"/>
    <w:rsid w:val="008A7159"/>
    <w:rsid w:val="008B10AC"/>
    <w:rsid w:val="008B1596"/>
    <w:rsid w:val="008C5B40"/>
    <w:rsid w:val="008E1D71"/>
    <w:rsid w:val="008E3FD6"/>
    <w:rsid w:val="009036E9"/>
    <w:rsid w:val="0090598C"/>
    <w:rsid w:val="0090622B"/>
    <w:rsid w:val="009114A7"/>
    <w:rsid w:val="00912562"/>
    <w:rsid w:val="009179D6"/>
    <w:rsid w:val="00944C21"/>
    <w:rsid w:val="00950AF9"/>
    <w:rsid w:val="009518B9"/>
    <w:rsid w:val="00954739"/>
    <w:rsid w:val="00961D8B"/>
    <w:rsid w:val="0097100F"/>
    <w:rsid w:val="00981BB4"/>
    <w:rsid w:val="009974A9"/>
    <w:rsid w:val="009A464C"/>
    <w:rsid w:val="009B359F"/>
    <w:rsid w:val="009B4708"/>
    <w:rsid w:val="009C71C9"/>
    <w:rsid w:val="009D7B3A"/>
    <w:rsid w:val="009F5F4A"/>
    <w:rsid w:val="009F6683"/>
    <w:rsid w:val="00A05765"/>
    <w:rsid w:val="00A05A5C"/>
    <w:rsid w:val="00A24AAC"/>
    <w:rsid w:val="00A44149"/>
    <w:rsid w:val="00A44883"/>
    <w:rsid w:val="00A44E36"/>
    <w:rsid w:val="00A46A6F"/>
    <w:rsid w:val="00A63731"/>
    <w:rsid w:val="00A67DD8"/>
    <w:rsid w:val="00A721FA"/>
    <w:rsid w:val="00A87299"/>
    <w:rsid w:val="00A93B9E"/>
    <w:rsid w:val="00A953F4"/>
    <w:rsid w:val="00AA6EBB"/>
    <w:rsid w:val="00AB22D1"/>
    <w:rsid w:val="00AD15E5"/>
    <w:rsid w:val="00AE0B4D"/>
    <w:rsid w:val="00AE1C42"/>
    <w:rsid w:val="00AE310C"/>
    <w:rsid w:val="00AF568C"/>
    <w:rsid w:val="00B314EC"/>
    <w:rsid w:val="00B50CFC"/>
    <w:rsid w:val="00B743B8"/>
    <w:rsid w:val="00B90B7D"/>
    <w:rsid w:val="00B958F3"/>
    <w:rsid w:val="00B96C99"/>
    <w:rsid w:val="00BB196B"/>
    <w:rsid w:val="00BB2A69"/>
    <w:rsid w:val="00BB41B1"/>
    <w:rsid w:val="00BC2F9D"/>
    <w:rsid w:val="00BC38B5"/>
    <w:rsid w:val="00BC3D3B"/>
    <w:rsid w:val="00BC4376"/>
    <w:rsid w:val="00BD158A"/>
    <w:rsid w:val="00BD2C18"/>
    <w:rsid w:val="00BD4A4F"/>
    <w:rsid w:val="00BF0994"/>
    <w:rsid w:val="00BF4F6B"/>
    <w:rsid w:val="00BF624D"/>
    <w:rsid w:val="00C05E06"/>
    <w:rsid w:val="00C158F9"/>
    <w:rsid w:val="00C30831"/>
    <w:rsid w:val="00C41010"/>
    <w:rsid w:val="00C5659B"/>
    <w:rsid w:val="00C670A9"/>
    <w:rsid w:val="00C7737F"/>
    <w:rsid w:val="00C90253"/>
    <w:rsid w:val="00CA1CBD"/>
    <w:rsid w:val="00CA206C"/>
    <w:rsid w:val="00CA466C"/>
    <w:rsid w:val="00CA5C8E"/>
    <w:rsid w:val="00CD7B9A"/>
    <w:rsid w:val="00D01480"/>
    <w:rsid w:val="00D046CB"/>
    <w:rsid w:val="00D22692"/>
    <w:rsid w:val="00D323A7"/>
    <w:rsid w:val="00D51459"/>
    <w:rsid w:val="00D7712F"/>
    <w:rsid w:val="00D80426"/>
    <w:rsid w:val="00D94273"/>
    <w:rsid w:val="00D977B7"/>
    <w:rsid w:val="00DA23BD"/>
    <w:rsid w:val="00DA3736"/>
    <w:rsid w:val="00DA56F6"/>
    <w:rsid w:val="00DB4284"/>
    <w:rsid w:val="00DD6E96"/>
    <w:rsid w:val="00DE1FFE"/>
    <w:rsid w:val="00DE46B6"/>
    <w:rsid w:val="00DE7099"/>
    <w:rsid w:val="00DE7630"/>
    <w:rsid w:val="00E12149"/>
    <w:rsid w:val="00E12C58"/>
    <w:rsid w:val="00E25988"/>
    <w:rsid w:val="00E3146C"/>
    <w:rsid w:val="00E6013B"/>
    <w:rsid w:val="00E67BC1"/>
    <w:rsid w:val="00E7330A"/>
    <w:rsid w:val="00E74342"/>
    <w:rsid w:val="00E766DA"/>
    <w:rsid w:val="00E86C2D"/>
    <w:rsid w:val="00E86FF7"/>
    <w:rsid w:val="00E87CE3"/>
    <w:rsid w:val="00EA3E98"/>
    <w:rsid w:val="00EB006D"/>
    <w:rsid w:val="00EB65D5"/>
    <w:rsid w:val="00EC0808"/>
    <w:rsid w:val="00EC52EB"/>
    <w:rsid w:val="00EC6760"/>
    <w:rsid w:val="00ED7D28"/>
    <w:rsid w:val="00EF0764"/>
    <w:rsid w:val="00EF0A7B"/>
    <w:rsid w:val="00F03039"/>
    <w:rsid w:val="00F2076D"/>
    <w:rsid w:val="00F20962"/>
    <w:rsid w:val="00F42280"/>
    <w:rsid w:val="00F544E1"/>
    <w:rsid w:val="00F629B6"/>
    <w:rsid w:val="00F73931"/>
    <w:rsid w:val="00F814ED"/>
    <w:rsid w:val="00FA4FC9"/>
    <w:rsid w:val="00FA7250"/>
    <w:rsid w:val="00FB2039"/>
    <w:rsid w:val="00FB4D0B"/>
    <w:rsid w:val="00FB65E0"/>
    <w:rsid w:val="00FB72C3"/>
    <w:rsid w:val="00FD20C6"/>
    <w:rsid w:val="00FD284D"/>
    <w:rsid w:val="00FF3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439625"/>
  <w15:chartTrackingRefBased/>
  <w15:docId w15:val="{35600FF8-CC54-4B69-95F1-2FD2A5FA0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paragraph" w:styleId="Footer">
    <w:name w:val="footer"/>
    <w:basedOn w:val="Normal"/>
    <w:link w:val="FooterChar"/>
    <w:uiPriority w:val="99"/>
    <w:rsid w:val="009036E9"/>
    <w:pPr>
      <w:tabs>
        <w:tab w:val="center" w:pos="4320"/>
        <w:tab w:val="right" w:pos="8640"/>
      </w:tabs>
    </w:pPr>
    <w:rPr>
      <w:lang w:val="x-none" w:eastAsia="x-none"/>
    </w:rPr>
  </w:style>
  <w:style w:type="character" w:customStyle="1" w:styleId="FooterChar">
    <w:name w:val="Footer Char"/>
    <w:link w:val="Footer"/>
    <w:uiPriority w:val="99"/>
    <w:rsid w:val="009036E9"/>
    <w:rPr>
      <w:rFonts w:ascii="Times New Roman" w:hAnsi="Times New Roman"/>
    </w:rPr>
  </w:style>
  <w:style w:type="paragraph" w:styleId="NormalWeb">
    <w:name w:val="Normal (Web)"/>
    <w:basedOn w:val="Normal"/>
    <w:uiPriority w:val="99"/>
    <w:rsid w:val="009036E9"/>
    <w:pPr>
      <w:widowControl/>
      <w:autoSpaceDE/>
      <w:autoSpaceDN/>
      <w:adjustRightInd/>
      <w:spacing w:before="100" w:beforeAutospacing="1" w:after="100" w:afterAutospacing="1"/>
    </w:pPr>
    <w:rPr>
      <w:sz w:val="24"/>
      <w:szCs w:val="24"/>
    </w:rPr>
  </w:style>
  <w:style w:type="character" w:styleId="CommentReference">
    <w:name w:val="annotation reference"/>
    <w:uiPriority w:val="99"/>
    <w:semiHidden/>
    <w:unhideWhenUsed/>
    <w:rsid w:val="002F638F"/>
    <w:rPr>
      <w:sz w:val="16"/>
      <w:szCs w:val="16"/>
    </w:rPr>
  </w:style>
  <w:style w:type="paragraph" w:styleId="CommentText">
    <w:name w:val="annotation text"/>
    <w:basedOn w:val="Normal"/>
    <w:link w:val="CommentTextChar"/>
    <w:uiPriority w:val="99"/>
    <w:semiHidden/>
    <w:unhideWhenUsed/>
    <w:rsid w:val="002F638F"/>
    <w:rPr>
      <w:lang w:val="x-none" w:eastAsia="x-none"/>
    </w:rPr>
  </w:style>
  <w:style w:type="character" w:customStyle="1" w:styleId="CommentTextChar">
    <w:name w:val="Comment Text Char"/>
    <w:link w:val="CommentText"/>
    <w:uiPriority w:val="99"/>
    <w:semiHidden/>
    <w:rsid w:val="002F638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F638F"/>
    <w:rPr>
      <w:b/>
      <w:bCs/>
    </w:rPr>
  </w:style>
  <w:style w:type="character" w:customStyle="1" w:styleId="CommentSubjectChar">
    <w:name w:val="Comment Subject Char"/>
    <w:link w:val="CommentSubject"/>
    <w:uiPriority w:val="99"/>
    <w:semiHidden/>
    <w:rsid w:val="002F638F"/>
    <w:rPr>
      <w:rFonts w:ascii="Times New Roman" w:hAnsi="Times New Roman"/>
      <w:b/>
      <w:bCs/>
    </w:rPr>
  </w:style>
  <w:style w:type="paragraph" w:styleId="NoSpacing">
    <w:name w:val="No Spacing"/>
    <w:uiPriority w:val="1"/>
    <w:qFormat/>
    <w:rsid w:val="001207A4"/>
    <w:rPr>
      <w:rFonts w:eastAsia="Calibri"/>
      <w:sz w:val="22"/>
      <w:szCs w:val="22"/>
    </w:rPr>
  </w:style>
  <w:style w:type="character" w:customStyle="1" w:styleId="Hypertext">
    <w:name w:val="Hypertext"/>
    <w:rsid w:val="00734ABC"/>
    <w:rPr>
      <w:color w:val="0000FF"/>
      <w:u w:val="single"/>
    </w:rPr>
  </w:style>
  <w:style w:type="paragraph" w:styleId="Header">
    <w:name w:val="header"/>
    <w:basedOn w:val="Normal"/>
    <w:link w:val="HeaderChar"/>
    <w:uiPriority w:val="99"/>
    <w:unhideWhenUsed/>
    <w:rsid w:val="00102D52"/>
    <w:pPr>
      <w:tabs>
        <w:tab w:val="center" w:pos="4680"/>
        <w:tab w:val="right" w:pos="9360"/>
      </w:tabs>
    </w:pPr>
    <w:rPr>
      <w:lang w:val="x-none" w:eastAsia="x-none"/>
    </w:rPr>
  </w:style>
  <w:style w:type="character" w:customStyle="1" w:styleId="HeaderChar">
    <w:name w:val="Header Char"/>
    <w:link w:val="Header"/>
    <w:uiPriority w:val="99"/>
    <w:rsid w:val="00102D52"/>
    <w:rPr>
      <w:rFonts w:ascii="Times New Roman" w:hAnsi="Times New Roman"/>
    </w:rPr>
  </w:style>
  <w:style w:type="paragraph" w:styleId="Revision">
    <w:name w:val="Revision"/>
    <w:hidden/>
    <w:uiPriority w:val="99"/>
    <w:semiHidden/>
    <w:rsid w:val="000F173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158837">
      <w:bodyDiv w:val="1"/>
      <w:marLeft w:val="0"/>
      <w:marRight w:val="0"/>
      <w:marTop w:val="0"/>
      <w:marBottom w:val="0"/>
      <w:divBdr>
        <w:top w:val="none" w:sz="0" w:space="0" w:color="auto"/>
        <w:left w:val="none" w:sz="0" w:space="0" w:color="auto"/>
        <w:bottom w:val="none" w:sz="0" w:space="0" w:color="auto"/>
        <w:right w:val="none" w:sz="0" w:space="0" w:color="auto"/>
      </w:divBdr>
      <w:divsChild>
        <w:div w:id="383023893">
          <w:marLeft w:val="0"/>
          <w:marRight w:val="0"/>
          <w:marTop w:val="0"/>
          <w:marBottom w:val="0"/>
          <w:divBdr>
            <w:top w:val="none" w:sz="0" w:space="0" w:color="auto"/>
            <w:left w:val="none" w:sz="0" w:space="0" w:color="auto"/>
            <w:bottom w:val="none" w:sz="0" w:space="0" w:color="auto"/>
            <w:right w:val="none" w:sz="0" w:space="0" w:color="auto"/>
          </w:divBdr>
        </w:div>
        <w:div w:id="454451753">
          <w:marLeft w:val="0"/>
          <w:marRight w:val="0"/>
          <w:marTop w:val="0"/>
          <w:marBottom w:val="0"/>
          <w:divBdr>
            <w:top w:val="none" w:sz="0" w:space="0" w:color="auto"/>
            <w:left w:val="none" w:sz="0" w:space="0" w:color="auto"/>
            <w:bottom w:val="none" w:sz="0" w:space="0" w:color="auto"/>
            <w:right w:val="none" w:sz="0" w:space="0" w:color="auto"/>
          </w:divBdr>
        </w:div>
        <w:div w:id="673993565">
          <w:marLeft w:val="0"/>
          <w:marRight w:val="0"/>
          <w:marTop w:val="0"/>
          <w:marBottom w:val="0"/>
          <w:divBdr>
            <w:top w:val="none" w:sz="0" w:space="0" w:color="auto"/>
            <w:left w:val="none" w:sz="0" w:space="0" w:color="auto"/>
            <w:bottom w:val="none" w:sz="0" w:space="0" w:color="auto"/>
            <w:right w:val="none" w:sz="0" w:space="0" w:color="auto"/>
          </w:divBdr>
        </w:div>
        <w:div w:id="757479197">
          <w:marLeft w:val="0"/>
          <w:marRight w:val="0"/>
          <w:marTop w:val="0"/>
          <w:marBottom w:val="0"/>
          <w:divBdr>
            <w:top w:val="none" w:sz="0" w:space="0" w:color="auto"/>
            <w:left w:val="none" w:sz="0" w:space="0" w:color="auto"/>
            <w:bottom w:val="none" w:sz="0" w:space="0" w:color="auto"/>
            <w:right w:val="none" w:sz="0" w:space="0" w:color="auto"/>
          </w:divBdr>
        </w:div>
        <w:div w:id="1911579399">
          <w:marLeft w:val="0"/>
          <w:marRight w:val="0"/>
          <w:marTop w:val="0"/>
          <w:marBottom w:val="0"/>
          <w:divBdr>
            <w:top w:val="none" w:sz="0" w:space="0" w:color="auto"/>
            <w:left w:val="none" w:sz="0" w:space="0" w:color="auto"/>
            <w:bottom w:val="none" w:sz="0" w:space="0" w:color="auto"/>
            <w:right w:val="none" w:sz="0" w:space="0" w:color="auto"/>
          </w:divBdr>
        </w:div>
        <w:div w:id="2035959920">
          <w:marLeft w:val="0"/>
          <w:marRight w:val="0"/>
          <w:marTop w:val="0"/>
          <w:marBottom w:val="0"/>
          <w:divBdr>
            <w:top w:val="none" w:sz="0" w:space="0" w:color="auto"/>
            <w:left w:val="none" w:sz="0" w:space="0" w:color="auto"/>
            <w:bottom w:val="none" w:sz="0" w:space="0" w:color="auto"/>
            <w:right w:val="none" w:sz="0" w:space="0" w:color="auto"/>
          </w:divBdr>
        </w:div>
        <w:div w:id="2105103793">
          <w:marLeft w:val="0"/>
          <w:marRight w:val="0"/>
          <w:marTop w:val="0"/>
          <w:marBottom w:val="0"/>
          <w:divBdr>
            <w:top w:val="none" w:sz="0" w:space="0" w:color="auto"/>
            <w:left w:val="none" w:sz="0" w:space="0" w:color="auto"/>
            <w:bottom w:val="none" w:sz="0" w:space="0" w:color="auto"/>
            <w:right w:val="none" w:sz="0" w:space="0" w:color="auto"/>
          </w:divBdr>
        </w:div>
        <w:div w:id="2138523256">
          <w:marLeft w:val="0"/>
          <w:marRight w:val="0"/>
          <w:marTop w:val="0"/>
          <w:marBottom w:val="0"/>
          <w:divBdr>
            <w:top w:val="none" w:sz="0" w:space="0" w:color="auto"/>
            <w:left w:val="none" w:sz="0" w:space="0" w:color="auto"/>
            <w:bottom w:val="none" w:sz="0" w:space="0" w:color="auto"/>
            <w:right w:val="none" w:sz="0" w:space="0" w:color="auto"/>
          </w:divBdr>
        </w:div>
      </w:divsChild>
    </w:div>
    <w:div w:id="258686440">
      <w:bodyDiv w:val="1"/>
      <w:marLeft w:val="0"/>
      <w:marRight w:val="0"/>
      <w:marTop w:val="0"/>
      <w:marBottom w:val="0"/>
      <w:divBdr>
        <w:top w:val="none" w:sz="0" w:space="0" w:color="auto"/>
        <w:left w:val="none" w:sz="0" w:space="0" w:color="auto"/>
        <w:bottom w:val="none" w:sz="0" w:space="0" w:color="auto"/>
        <w:right w:val="none" w:sz="0" w:space="0" w:color="auto"/>
      </w:divBdr>
      <w:divsChild>
        <w:div w:id="485754276">
          <w:marLeft w:val="0"/>
          <w:marRight w:val="0"/>
          <w:marTop w:val="0"/>
          <w:marBottom w:val="0"/>
          <w:divBdr>
            <w:top w:val="none" w:sz="0" w:space="0" w:color="auto"/>
            <w:left w:val="none" w:sz="0" w:space="0" w:color="auto"/>
            <w:bottom w:val="none" w:sz="0" w:space="0" w:color="auto"/>
            <w:right w:val="none" w:sz="0" w:space="0" w:color="auto"/>
          </w:divBdr>
        </w:div>
        <w:div w:id="967130055">
          <w:marLeft w:val="0"/>
          <w:marRight w:val="0"/>
          <w:marTop w:val="0"/>
          <w:marBottom w:val="0"/>
          <w:divBdr>
            <w:top w:val="none" w:sz="0" w:space="0" w:color="auto"/>
            <w:left w:val="none" w:sz="0" w:space="0" w:color="auto"/>
            <w:bottom w:val="none" w:sz="0" w:space="0" w:color="auto"/>
            <w:right w:val="none" w:sz="0" w:space="0" w:color="auto"/>
          </w:divBdr>
        </w:div>
        <w:div w:id="1233542149">
          <w:marLeft w:val="0"/>
          <w:marRight w:val="0"/>
          <w:marTop w:val="0"/>
          <w:marBottom w:val="0"/>
          <w:divBdr>
            <w:top w:val="none" w:sz="0" w:space="0" w:color="auto"/>
            <w:left w:val="none" w:sz="0" w:space="0" w:color="auto"/>
            <w:bottom w:val="none" w:sz="0" w:space="0" w:color="auto"/>
            <w:right w:val="none" w:sz="0" w:space="0" w:color="auto"/>
          </w:divBdr>
        </w:div>
        <w:div w:id="1272668676">
          <w:marLeft w:val="0"/>
          <w:marRight w:val="0"/>
          <w:marTop w:val="0"/>
          <w:marBottom w:val="0"/>
          <w:divBdr>
            <w:top w:val="none" w:sz="0" w:space="0" w:color="auto"/>
            <w:left w:val="none" w:sz="0" w:space="0" w:color="auto"/>
            <w:bottom w:val="none" w:sz="0" w:space="0" w:color="auto"/>
            <w:right w:val="none" w:sz="0" w:space="0" w:color="auto"/>
          </w:divBdr>
        </w:div>
        <w:div w:id="1311597340">
          <w:marLeft w:val="0"/>
          <w:marRight w:val="0"/>
          <w:marTop w:val="0"/>
          <w:marBottom w:val="0"/>
          <w:divBdr>
            <w:top w:val="none" w:sz="0" w:space="0" w:color="auto"/>
            <w:left w:val="none" w:sz="0" w:space="0" w:color="auto"/>
            <w:bottom w:val="none" w:sz="0" w:space="0" w:color="auto"/>
            <w:right w:val="none" w:sz="0" w:space="0" w:color="auto"/>
          </w:divBdr>
        </w:div>
        <w:div w:id="1671329621">
          <w:marLeft w:val="0"/>
          <w:marRight w:val="0"/>
          <w:marTop w:val="0"/>
          <w:marBottom w:val="0"/>
          <w:divBdr>
            <w:top w:val="none" w:sz="0" w:space="0" w:color="auto"/>
            <w:left w:val="none" w:sz="0" w:space="0" w:color="auto"/>
            <w:bottom w:val="none" w:sz="0" w:space="0" w:color="auto"/>
            <w:right w:val="none" w:sz="0" w:space="0" w:color="auto"/>
          </w:divBdr>
        </w:div>
        <w:div w:id="1683974297">
          <w:marLeft w:val="0"/>
          <w:marRight w:val="0"/>
          <w:marTop w:val="0"/>
          <w:marBottom w:val="0"/>
          <w:divBdr>
            <w:top w:val="none" w:sz="0" w:space="0" w:color="auto"/>
            <w:left w:val="none" w:sz="0" w:space="0" w:color="auto"/>
            <w:bottom w:val="none" w:sz="0" w:space="0" w:color="auto"/>
            <w:right w:val="none" w:sz="0" w:space="0" w:color="auto"/>
          </w:divBdr>
        </w:div>
        <w:div w:id="2071614030">
          <w:marLeft w:val="0"/>
          <w:marRight w:val="0"/>
          <w:marTop w:val="0"/>
          <w:marBottom w:val="0"/>
          <w:divBdr>
            <w:top w:val="none" w:sz="0" w:space="0" w:color="auto"/>
            <w:left w:val="none" w:sz="0" w:space="0" w:color="auto"/>
            <w:bottom w:val="none" w:sz="0" w:space="0" w:color="auto"/>
            <w:right w:val="none" w:sz="0" w:space="0" w:color="auto"/>
          </w:divBdr>
        </w:div>
      </w:divsChild>
    </w:div>
    <w:div w:id="647514730">
      <w:bodyDiv w:val="1"/>
      <w:marLeft w:val="0"/>
      <w:marRight w:val="0"/>
      <w:marTop w:val="0"/>
      <w:marBottom w:val="0"/>
      <w:divBdr>
        <w:top w:val="none" w:sz="0" w:space="0" w:color="auto"/>
        <w:left w:val="none" w:sz="0" w:space="0" w:color="auto"/>
        <w:bottom w:val="none" w:sz="0" w:space="0" w:color="auto"/>
        <w:right w:val="none" w:sz="0" w:space="0" w:color="auto"/>
      </w:divBdr>
    </w:div>
    <w:div w:id="15294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3323</Words>
  <Characters>18943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Rainer</cp:lastModifiedBy>
  <cp:revision>2</cp:revision>
  <cp:lastPrinted>2014-03-14T20:17:00Z</cp:lastPrinted>
  <dcterms:created xsi:type="dcterms:W3CDTF">2020-10-26T19:03:00Z</dcterms:created>
  <dcterms:modified xsi:type="dcterms:W3CDTF">2020-10-26T19:03:00Z</dcterms:modified>
</cp:coreProperties>
</file>