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A0FC2" w:rsidR="00397DFE" w:rsidP="00C660DC" w:rsidRDefault="003009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 w:rsidRPr="008A0FC2">
        <w:rPr>
          <w:rFonts w:ascii="Times New Roman" w:hAnsi="Times New Roman" w:cs="Times New Roman"/>
          <w:b/>
          <w:sz w:val="24"/>
          <w:szCs w:val="24"/>
        </w:rPr>
        <w:t>B. Statistical Methods</w:t>
      </w:r>
    </w:p>
    <w:p w:rsidR="00C660DC" w:rsidP="00C660DC" w:rsidRDefault="00C66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96CC7" w:rsidR="00696CC7" w:rsidP="00D21942" w:rsidRDefault="00696CC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CC7">
        <w:rPr>
          <w:rFonts w:ascii="Times New Roman" w:hAnsi="Times New Roman" w:cs="Times New Roman"/>
          <w:sz w:val="24"/>
          <w:szCs w:val="24"/>
          <w:u w:val="single"/>
        </w:rPr>
        <w:t>Universe and Respondent Selection</w:t>
      </w:r>
    </w:p>
    <w:p w:rsidRPr="00696CC7" w:rsidR="00696CC7" w:rsidP="00696CC7" w:rsidRDefault="00696CC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C450AC" w:rsidR="00686894" w:rsidP="00D21942" w:rsidRDefault="00C660D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0AC">
        <w:rPr>
          <w:rFonts w:ascii="Times New Roman" w:hAnsi="Times New Roman" w:cs="Times New Roman"/>
          <w:sz w:val="24"/>
          <w:szCs w:val="24"/>
        </w:rPr>
        <w:t>The potent</w:t>
      </w:r>
      <w:r w:rsidR="006559B8">
        <w:rPr>
          <w:rFonts w:ascii="Times New Roman" w:hAnsi="Times New Roman" w:cs="Times New Roman"/>
          <w:sz w:val="24"/>
          <w:szCs w:val="24"/>
        </w:rPr>
        <w:t xml:space="preserve">ial respondent universe for </w:t>
      </w:r>
      <w:r w:rsidRPr="00C450AC">
        <w:rPr>
          <w:rFonts w:ascii="Times New Roman" w:hAnsi="Times New Roman" w:cs="Times New Roman"/>
          <w:sz w:val="24"/>
          <w:szCs w:val="24"/>
        </w:rPr>
        <w:t xml:space="preserve">SHR includes all LEAs </w:t>
      </w:r>
      <w:r w:rsidR="007275D8">
        <w:rPr>
          <w:rFonts w:ascii="Times New Roman" w:hAnsi="Times New Roman" w:cs="Times New Roman"/>
          <w:sz w:val="24"/>
          <w:szCs w:val="24"/>
        </w:rPr>
        <w:t xml:space="preserve">throughout the nation </w:t>
      </w:r>
      <w:r w:rsidRPr="00C450AC">
        <w:rPr>
          <w:rFonts w:ascii="Times New Roman" w:hAnsi="Times New Roman" w:cs="Times New Roman"/>
          <w:sz w:val="24"/>
          <w:szCs w:val="24"/>
        </w:rPr>
        <w:t xml:space="preserve">eligible to </w:t>
      </w:r>
      <w:r w:rsidR="006559B8">
        <w:rPr>
          <w:rFonts w:ascii="Times New Roman" w:hAnsi="Times New Roman" w:cs="Times New Roman"/>
          <w:sz w:val="24"/>
          <w:szCs w:val="24"/>
        </w:rPr>
        <w:t xml:space="preserve">submit crime statistics via </w:t>
      </w:r>
      <w:r w:rsidRPr="00C450AC">
        <w:rPr>
          <w:rFonts w:ascii="Times New Roman" w:hAnsi="Times New Roman" w:cs="Times New Roman"/>
          <w:sz w:val="24"/>
          <w:szCs w:val="24"/>
        </w:rPr>
        <w:t xml:space="preserve">SRS and which experienced a homicide within their jurisdiction.  </w:t>
      </w:r>
      <w:r w:rsidRPr="00C450AC" w:rsidR="008817A3">
        <w:rPr>
          <w:rFonts w:ascii="Times New Roman" w:hAnsi="Times New Roman" w:cs="Times New Roman"/>
          <w:sz w:val="24"/>
          <w:szCs w:val="24"/>
        </w:rPr>
        <w:t>In 2019, the total number of LEAs eligible to submit data to the FBI UCR Program was 18,667.</w:t>
      </w:r>
      <w:r w:rsidRPr="00C450AC">
        <w:rPr>
          <w:rFonts w:ascii="Times New Roman" w:hAnsi="Times New Roman" w:cs="Times New Roman"/>
          <w:sz w:val="24"/>
          <w:szCs w:val="24"/>
        </w:rPr>
        <w:t xml:space="preserve">  H</w:t>
      </w:r>
      <w:r w:rsidRPr="00C450AC" w:rsidR="008817A3">
        <w:rPr>
          <w:rFonts w:ascii="Times New Roman" w:hAnsi="Times New Roman" w:cs="Times New Roman"/>
          <w:sz w:val="24"/>
          <w:szCs w:val="24"/>
        </w:rPr>
        <w:t xml:space="preserve">owever, only 16,554 </w:t>
      </w:r>
      <w:r w:rsidR="00B92643">
        <w:rPr>
          <w:rFonts w:ascii="Times New Roman" w:hAnsi="Times New Roman" w:cs="Times New Roman"/>
          <w:sz w:val="24"/>
          <w:szCs w:val="24"/>
        </w:rPr>
        <w:t xml:space="preserve">agencies </w:t>
      </w:r>
      <w:r w:rsidRPr="00C450AC" w:rsidR="008817A3">
        <w:rPr>
          <w:rFonts w:ascii="Times New Roman" w:hAnsi="Times New Roman" w:cs="Times New Roman"/>
          <w:sz w:val="24"/>
          <w:szCs w:val="24"/>
        </w:rPr>
        <w:t>submitted data.</w:t>
      </w:r>
      <w:r w:rsidRPr="00C450AC">
        <w:rPr>
          <w:rFonts w:ascii="Times New Roman" w:hAnsi="Times New Roman" w:cs="Times New Roman"/>
          <w:sz w:val="24"/>
          <w:szCs w:val="24"/>
        </w:rPr>
        <w:t xml:space="preserve">  </w:t>
      </w:r>
      <w:r w:rsidRPr="00C450AC" w:rsidR="008817A3">
        <w:rPr>
          <w:rFonts w:ascii="Times New Roman" w:hAnsi="Times New Roman" w:cs="Times New Roman"/>
          <w:sz w:val="24"/>
          <w:szCs w:val="24"/>
        </w:rPr>
        <w:t>Of</w:t>
      </w:r>
      <w:r w:rsidRPr="00C450AC">
        <w:rPr>
          <w:rFonts w:ascii="Times New Roman" w:hAnsi="Times New Roman" w:cs="Times New Roman"/>
          <w:sz w:val="24"/>
          <w:szCs w:val="24"/>
        </w:rPr>
        <w:t xml:space="preserve"> </w:t>
      </w:r>
      <w:r w:rsidRPr="00C450AC" w:rsidR="008817A3">
        <w:rPr>
          <w:rFonts w:ascii="Times New Roman" w:hAnsi="Times New Roman" w:cs="Times New Roman"/>
          <w:sz w:val="24"/>
          <w:szCs w:val="24"/>
        </w:rPr>
        <w:t xml:space="preserve">those, nearly half (8,054) reported </w:t>
      </w:r>
      <w:r w:rsidRPr="00C450AC">
        <w:rPr>
          <w:rFonts w:ascii="Times New Roman" w:hAnsi="Times New Roman" w:cs="Times New Roman"/>
          <w:sz w:val="24"/>
          <w:szCs w:val="24"/>
        </w:rPr>
        <w:t xml:space="preserve">1-12 months of crime statistics </w:t>
      </w:r>
      <w:r w:rsidR="006559B8">
        <w:rPr>
          <w:rFonts w:ascii="Times New Roman" w:hAnsi="Times New Roman" w:cs="Times New Roman"/>
          <w:sz w:val="24"/>
          <w:szCs w:val="24"/>
        </w:rPr>
        <w:t xml:space="preserve">via </w:t>
      </w:r>
      <w:r w:rsidRPr="00C450AC" w:rsidR="008817A3">
        <w:rPr>
          <w:rFonts w:ascii="Times New Roman" w:hAnsi="Times New Roman" w:cs="Times New Roman"/>
          <w:sz w:val="24"/>
          <w:szCs w:val="24"/>
        </w:rPr>
        <w:t>SRS.</w:t>
      </w:r>
      <w:r w:rsidRPr="00C450AC">
        <w:rPr>
          <w:rFonts w:ascii="Times New Roman" w:hAnsi="Times New Roman" w:cs="Times New Roman"/>
          <w:sz w:val="24"/>
          <w:szCs w:val="24"/>
        </w:rPr>
        <w:t xml:space="preserve">  The remaining 1,400 LEAs eligible to su</w:t>
      </w:r>
      <w:r w:rsidR="006559B8">
        <w:rPr>
          <w:rFonts w:ascii="Times New Roman" w:hAnsi="Times New Roman" w:cs="Times New Roman"/>
          <w:sz w:val="24"/>
          <w:szCs w:val="24"/>
        </w:rPr>
        <w:t xml:space="preserve">bmit data under </w:t>
      </w:r>
      <w:r w:rsidRPr="00C450AC">
        <w:rPr>
          <w:rFonts w:ascii="Times New Roman" w:hAnsi="Times New Roman" w:cs="Times New Roman"/>
          <w:sz w:val="24"/>
          <w:szCs w:val="24"/>
        </w:rPr>
        <w:t xml:space="preserve">SRS did not report any </w:t>
      </w:r>
      <w:r w:rsidR="00B92643">
        <w:rPr>
          <w:rFonts w:ascii="Times New Roman" w:hAnsi="Times New Roman" w:cs="Times New Roman"/>
          <w:sz w:val="24"/>
          <w:szCs w:val="24"/>
        </w:rPr>
        <w:t xml:space="preserve">data </w:t>
      </w:r>
      <w:r w:rsidRPr="00C450AC">
        <w:rPr>
          <w:rFonts w:ascii="Times New Roman" w:hAnsi="Times New Roman" w:cs="Times New Roman"/>
          <w:sz w:val="24"/>
          <w:szCs w:val="24"/>
        </w:rPr>
        <w:t>to the FBI UCR Program.</w:t>
      </w:r>
      <w:r w:rsidRPr="00C450AC" w:rsidR="00686894">
        <w:rPr>
          <w:rFonts w:ascii="Times New Roman" w:hAnsi="Times New Roman" w:cs="Times New Roman"/>
          <w:sz w:val="24"/>
          <w:szCs w:val="24"/>
        </w:rPr>
        <w:t xml:space="preserve">  The table below shows the number of LEAs eligible to submit data</w:t>
      </w:r>
      <w:r w:rsidR="006559B8">
        <w:rPr>
          <w:rFonts w:ascii="Times New Roman" w:hAnsi="Times New Roman" w:cs="Times New Roman"/>
          <w:sz w:val="24"/>
          <w:szCs w:val="24"/>
        </w:rPr>
        <w:t xml:space="preserve"> via </w:t>
      </w:r>
      <w:r w:rsidR="007275D8">
        <w:rPr>
          <w:rFonts w:ascii="Times New Roman" w:hAnsi="Times New Roman" w:cs="Times New Roman"/>
          <w:sz w:val="24"/>
          <w:szCs w:val="24"/>
        </w:rPr>
        <w:t>SRS</w:t>
      </w:r>
      <w:r w:rsidRPr="00C450AC" w:rsidR="00686894">
        <w:rPr>
          <w:rFonts w:ascii="Times New Roman" w:hAnsi="Times New Roman" w:cs="Times New Roman"/>
          <w:sz w:val="24"/>
          <w:szCs w:val="24"/>
        </w:rPr>
        <w:t xml:space="preserve"> and the number of months submitted.</w:t>
      </w:r>
      <w:r w:rsidRPr="00C450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894" w:rsidP="00C660DC" w:rsidRDefault="00686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50"/>
        <w:tblW w:w="0" w:type="auto"/>
        <w:tblLook w:val="04A0" w:firstRow="1" w:lastRow="0" w:firstColumn="1" w:lastColumn="0" w:noHBand="0" w:noVBand="1"/>
      </w:tblPr>
      <w:tblGrid>
        <w:gridCol w:w="3325"/>
        <w:gridCol w:w="972"/>
      </w:tblGrid>
      <w:tr w:rsidRPr="007275D8" w:rsidR="0050697E" w:rsidTr="0050697E">
        <w:trPr>
          <w:trHeight w:val="350"/>
        </w:trPr>
        <w:tc>
          <w:tcPr>
            <w:tcW w:w="42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Pr="007275D8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7275D8">
              <w:rPr>
                <w:rFonts w:ascii="Times New Roman" w:hAnsi="Times New Roman" w:cs="Times New Roman"/>
                <w:b/>
                <w:sz w:val="20"/>
                <w:szCs w:val="20"/>
              </w:rPr>
              <w:t>Number of Agencies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75D8">
              <w:rPr>
                <w:rFonts w:ascii="Times New Roman" w:hAnsi="Times New Roman" w:cs="Times New Roman"/>
                <w:b/>
                <w:sz w:val="20"/>
                <w:szCs w:val="20"/>
              </w:rPr>
              <w:t>by Number of Months of Data Submitted, 2019</w:t>
            </w:r>
          </w:p>
        </w:tc>
      </w:tr>
      <w:tr w:rsidRPr="00686894" w:rsidR="0050697E" w:rsidTr="0050697E">
        <w:trPr>
          <w:trHeight w:val="602"/>
        </w:trPr>
        <w:tc>
          <w:tcPr>
            <w:tcW w:w="3325" w:type="dxa"/>
            <w:tcBorders>
              <w:left w:val="nil"/>
              <w:right w:val="nil"/>
            </w:tcBorders>
            <w:vAlign w:val="center"/>
          </w:tcPr>
          <w:p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686894">
              <w:rPr>
                <w:rFonts w:ascii="Times New Roman" w:hAnsi="Times New Roman"/>
                <w:b/>
                <w:sz w:val="20"/>
                <w:szCs w:val="20"/>
              </w:rPr>
              <w:t xml:space="preserve">Number </w:t>
            </w:r>
          </w:p>
          <w:p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686894">
              <w:rPr>
                <w:rFonts w:ascii="Times New Roman" w:hAnsi="Times New Roman"/>
                <w:b/>
                <w:sz w:val="20"/>
                <w:szCs w:val="20"/>
              </w:rPr>
              <w:t xml:space="preserve">of </w:t>
            </w:r>
          </w:p>
          <w:p w:rsidRPr="00686894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Months</w:t>
            </w:r>
          </w:p>
        </w:tc>
        <w:tc>
          <w:tcPr>
            <w:tcW w:w="972" w:type="dxa"/>
            <w:tcBorders>
              <w:left w:val="nil"/>
              <w:right w:val="nil"/>
            </w:tcBorders>
            <w:vAlign w:val="center"/>
          </w:tcPr>
          <w:p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86894">
              <w:rPr>
                <w:rFonts w:ascii="Times New Roman" w:hAnsi="Times New Roman"/>
                <w:b/>
                <w:sz w:val="20"/>
                <w:szCs w:val="20"/>
              </w:rPr>
              <w:t xml:space="preserve">Number of </w:t>
            </w:r>
          </w:p>
          <w:p w:rsidRPr="00686894"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86894">
              <w:rPr>
                <w:rFonts w:ascii="Times New Roman" w:hAnsi="Times New Roman"/>
                <w:b/>
                <w:sz w:val="20"/>
                <w:szCs w:val="20"/>
              </w:rPr>
              <w:t>Agencies</w:t>
            </w:r>
          </w:p>
        </w:tc>
      </w:tr>
      <w:tr w:rsidRPr="00686894" w:rsidR="0050697E" w:rsidTr="0050697E">
        <w:trPr>
          <w:trHeight w:val="350"/>
        </w:trPr>
        <w:tc>
          <w:tcPr>
            <w:tcW w:w="3325" w:type="dxa"/>
            <w:tcBorders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months</w:t>
            </w:r>
          </w:p>
        </w:tc>
        <w:tc>
          <w:tcPr>
            <w:tcW w:w="972" w:type="dxa"/>
            <w:tcBorders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1,400</w:t>
            </w:r>
          </w:p>
        </w:tc>
      </w:tr>
      <w:tr w:rsidRPr="00686894" w:rsidR="0050697E" w:rsidTr="0050697E">
        <w:trPr>
          <w:trHeight w:val="35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1 month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</w:tr>
      <w:tr w:rsidRPr="00686894" w:rsidR="0050697E" w:rsidTr="0050697E">
        <w:trPr>
          <w:trHeight w:val="35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2 months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Pr="00686894" w:rsidR="0050697E" w:rsidTr="0050697E">
        <w:trPr>
          <w:trHeight w:val="35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3 months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Pr="00686894" w:rsidR="0050697E" w:rsidTr="0050697E">
        <w:trPr>
          <w:trHeight w:val="35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4 months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</w:tr>
      <w:tr w:rsidRPr="00686894" w:rsidR="0050697E" w:rsidTr="0050697E">
        <w:trPr>
          <w:trHeight w:val="35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5 months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Pr="00686894" w:rsidR="0050697E" w:rsidTr="0050697E">
        <w:trPr>
          <w:trHeight w:val="35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6 months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Pr="00686894" w:rsidR="0050697E" w:rsidTr="0050697E">
        <w:trPr>
          <w:trHeight w:val="35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7 months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</w:tr>
      <w:tr w:rsidRPr="00686894" w:rsidR="0050697E" w:rsidTr="0050697E">
        <w:trPr>
          <w:trHeight w:val="35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8 months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</w:tr>
      <w:tr w:rsidRPr="00686894" w:rsidR="0050697E" w:rsidTr="0050697E">
        <w:trPr>
          <w:trHeight w:val="35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9 months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</w:tr>
      <w:tr w:rsidRPr="00686894" w:rsidR="0050697E" w:rsidTr="0050697E">
        <w:trPr>
          <w:trHeight w:val="35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10 months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</w:tr>
      <w:tr w:rsidRPr="00686894" w:rsidR="0050697E" w:rsidTr="0050697E">
        <w:trPr>
          <w:trHeight w:val="35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11 months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844</w:t>
            </w:r>
          </w:p>
        </w:tc>
      </w:tr>
      <w:tr w:rsidRPr="00686894" w:rsidR="0050697E" w:rsidTr="0050697E">
        <w:trPr>
          <w:trHeight w:val="350"/>
        </w:trPr>
        <w:tc>
          <w:tcPr>
            <w:tcW w:w="3325" w:type="dxa"/>
            <w:tcBorders>
              <w:top w:val="nil"/>
              <w:left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12 months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6894">
              <w:rPr>
                <w:rFonts w:ascii="Times New Roman" w:hAnsi="Times New Roman"/>
                <w:sz w:val="20"/>
                <w:szCs w:val="20"/>
              </w:rPr>
              <w:t>5,791</w:t>
            </w:r>
          </w:p>
        </w:tc>
      </w:tr>
      <w:tr w:rsidRPr="00686894" w:rsidR="0050697E" w:rsidTr="0050697E">
        <w:trPr>
          <w:trHeight w:val="368"/>
        </w:trPr>
        <w:tc>
          <w:tcPr>
            <w:tcW w:w="3325" w:type="dxa"/>
            <w:tcBorders>
              <w:left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686894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72" w:type="dxa"/>
            <w:tcBorders>
              <w:left w:val="nil"/>
              <w:right w:val="nil"/>
            </w:tcBorders>
            <w:vAlign w:val="center"/>
          </w:tcPr>
          <w:p w:rsidRPr="00686894" w:rsidR="0050697E" w:rsidP="0050697E" w:rsidRDefault="0050697E">
            <w:pPr>
              <w:tabs>
                <w:tab w:val="left" w:pos="360"/>
              </w:tabs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86894">
              <w:rPr>
                <w:rFonts w:ascii="Times New Roman" w:hAnsi="Times New Roman"/>
                <w:b/>
                <w:sz w:val="20"/>
                <w:szCs w:val="20"/>
              </w:rPr>
              <w:t>9,454</w:t>
            </w:r>
          </w:p>
        </w:tc>
      </w:tr>
    </w:tbl>
    <w:p w:rsidR="00686894" w:rsidP="00C660DC" w:rsidRDefault="00686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0DC" w:rsidP="00C660DC" w:rsidRDefault="00C66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894" w:rsidP="00C660DC" w:rsidRDefault="00686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0DC" w:rsidP="00C660DC" w:rsidRDefault="00C66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894" w:rsidP="00686894" w:rsidRDefault="00686894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8A0FC2" w:rsidP="00686894" w:rsidRDefault="008A0FC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686894" w:rsidP="00A50842" w:rsidRDefault="00686894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the 8,054 agencies voluntarily reporting SRS data to the FBI UCR Program in 2019, nearly 72 percent (</w:t>
      </w:r>
      <w:r w:rsidR="008A0FC2">
        <w:rPr>
          <w:rFonts w:ascii="Times New Roman" w:hAnsi="Times New Roman"/>
          <w:sz w:val="24"/>
          <w:szCs w:val="24"/>
        </w:rPr>
        <w:t>5,791</w:t>
      </w:r>
      <w:r>
        <w:rPr>
          <w:rFonts w:ascii="Times New Roman" w:hAnsi="Times New Roman"/>
          <w:sz w:val="24"/>
          <w:szCs w:val="24"/>
        </w:rPr>
        <w:t>) submitted 12 months of information.  The remaining participating agencies (2,263) submitted 1-11 months</w:t>
      </w:r>
      <w:r w:rsidR="00B92643">
        <w:rPr>
          <w:rFonts w:ascii="Times New Roman" w:hAnsi="Times New Roman"/>
          <w:sz w:val="24"/>
          <w:szCs w:val="24"/>
        </w:rPr>
        <w:t xml:space="preserve"> of data</w:t>
      </w:r>
      <w:r>
        <w:rPr>
          <w:rFonts w:ascii="Times New Roman" w:hAnsi="Times New Roman"/>
          <w:sz w:val="24"/>
          <w:szCs w:val="24"/>
        </w:rPr>
        <w:t>.</w:t>
      </w:r>
    </w:p>
    <w:p w:rsidR="00686894" w:rsidP="00A50842" w:rsidRDefault="00686894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Pr="004061EF" w:rsidR="00B92643" w:rsidP="00B92643" w:rsidRDefault="00B92643">
      <w:pPr>
        <w:pStyle w:val="ListParagraph"/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 w:rsidRPr="004061EF">
        <w:rPr>
          <w:rFonts w:ascii="Times New Roman" w:hAnsi="Times New Roman" w:cs="Times New Roman"/>
          <w:sz w:val="24"/>
          <w:szCs w:val="24"/>
        </w:rPr>
        <w:t xml:space="preserve">LEAs consist of federal, state, local, and tribal agencies serving all population group sizes having diverse attributes.  The areas served include </w:t>
      </w:r>
      <w:r>
        <w:rPr>
          <w:rFonts w:ascii="Times New Roman" w:hAnsi="Times New Roman" w:cs="Times New Roman"/>
          <w:sz w:val="24"/>
          <w:szCs w:val="24"/>
        </w:rPr>
        <w:t>various characteristics which may impact crime</w:t>
      </w:r>
      <w:r w:rsidR="007145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such as</w:t>
      </w:r>
      <w:r w:rsidRPr="004061EF">
        <w:rPr>
          <w:rFonts w:ascii="Times New Roman" w:hAnsi="Times New Roman" w:cs="Times New Roman"/>
          <w:sz w:val="24"/>
          <w:szCs w:val="24"/>
        </w:rPr>
        <w:t xml:space="preserve"> population dens</w:t>
      </w:r>
      <w:r>
        <w:rPr>
          <w:rFonts w:ascii="Times New Roman" w:hAnsi="Times New Roman" w:cs="Times New Roman"/>
          <w:sz w:val="24"/>
          <w:szCs w:val="24"/>
        </w:rPr>
        <w:t>ity and degree</w:t>
      </w:r>
      <w:r w:rsidRPr="004061EF">
        <w:rPr>
          <w:rFonts w:ascii="Times New Roman" w:hAnsi="Times New Roman" w:cs="Times New Roman"/>
          <w:sz w:val="24"/>
          <w:szCs w:val="24"/>
        </w:rPr>
        <w:t xml:space="preserve"> of urbanization; various compositions of population, particularly youth concentration; population movement with respect to residents’ mobility, commuting patterns, and transient factors; diverse economic conditions including median income, poverty level, and job availability; areas with different modes of </w:t>
      </w:r>
      <w:r w:rsidRPr="004061EF">
        <w:rPr>
          <w:rFonts w:ascii="Times New Roman" w:hAnsi="Times New Roman" w:cs="Times New Roman"/>
          <w:sz w:val="24"/>
          <w:szCs w:val="24"/>
        </w:rPr>
        <w:lastRenderedPageBreak/>
        <w:t>transportation and highway systems; various cultural factors and educational, recreational, and religious characteristics; family conditions with respect to divorce and family cohesiveness; cli</w:t>
      </w:r>
      <w:r>
        <w:rPr>
          <w:rFonts w:ascii="Times New Roman" w:hAnsi="Times New Roman" w:cs="Times New Roman"/>
          <w:sz w:val="24"/>
          <w:szCs w:val="24"/>
        </w:rPr>
        <w:t xml:space="preserve">mate; effective strength of law </w:t>
      </w:r>
      <w:r w:rsidRPr="004061EF">
        <w:rPr>
          <w:rFonts w:ascii="Times New Roman" w:hAnsi="Times New Roman" w:cs="Times New Roman"/>
          <w:sz w:val="24"/>
          <w:szCs w:val="24"/>
        </w:rPr>
        <w:t>enforcement; policies of other components of the criminal justice system; citizens’ attitudes toward crime; and crime reporting practices of the citizenry.  The table below shows the number of participating NIBRS agencies and population covered by population group size.</w:t>
      </w:r>
    </w:p>
    <w:p w:rsidR="00686894" w:rsidP="00C660DC" w:rsidRDefault="006868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8"/>
        <w:gridCol w:w="3770"/>
        <w:gridCol w:w="1304"/>
        <w:gridCol w:w="1216"/>
      </w:tblGrid>
      <w:tr w:rsidRPr="00CE6972" w:rsidR="00B82E98" w:rsidTr="0050697E">
        <w:trPr>
          <w:trHeight w:val="224"/>
        </w:trPr>
        <w:tc>
          <w:tcPr>
            <w:tcW w:w="7218" w:type="dxa"/>
            <w:gridSpan w:val="4"/>
            <w:tcBorders>
              <w:top w:val="nil"/>
              <w:left w:val="nil"/>
              <w:right w:val="nil"/>
            </w:tcBorders>
          </w:tcPr>
          <w:p w:rsidRPr="00CE6972" w:rsidR="00B82E98" w:rsidP="00B82E98" w:rsidRDefault="00B82E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0FC2">
              <w:rPr>
                <w:rFonts w:ascii="Times New Roman" w:hAnsi="Times New Roman"/>
                <w:b/>
                <w:sz w:val="20"/>
                <w:szCs w:val="20"/>
              </w:rPr>
              <w:t>Number of Agencies and Population Covered by Group Size, 2019</w:t>
            </w:r>
          </w:p>
        </w:tc>
      </w:tr>
      <w:tr w:rsidRPr="00CE6972" w:rsidR="00B82E98" w:rsidTr="0089741F">
        <w:trPr>
          <w:trHeight w:val="521"/>
        </w:trPr>
        <w:tc>
          <w:tcPr>
            <w:tcW w:w="928" w:type="dxa"/>
            <w:tcBorders>
              <w:left w:val="nil"/>
              <w:right w:val="nil"/>
            </w:tcBorders>
          </w:tcPr>
          <w:p w:rsidRPr="0089741F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70" w:type="dxa"/>
            <w:tcBorders>
              <w:left w:val="nil"/>
              <w:right w:val="nil"/>
            </w:tcBorders>
            <w:vAlign w:val="bottom"/>
          </w:tcPr>
          <w:p w:rsidRPr="0089741F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74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Population Group</w:t>
            </w:r>
          </w:p>
        </w:tc>
        <w:tc>
          <w:tcPr>
            <w:tcW w:w="1304" w:type="dxa"/>
            <w:tcBorders>
              <w:left w:val="nil"/>
              <w:right w:val="nil"/>
            </w:tcBorders>
            <w:vAlign w:val="bottom"/>
          </w:tcPr>
          <w:p w:rsidR="0089741F" w:rsidP="0089741F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74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Number </w:t>
            </w:r>
          </w:p>
          <w:p w:rsidRPr="0089741F" w:rsidR="00B82E98" w:rsidP="0089741F" w:rsidRDefault="0089741F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of </w:t>
            </w:r>
            <w:r w:rsidRPr="0089741F" w:rsidR="00B82E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Agencies</w:t>
            </w:r>
          </w:p>
        </w:tc>
        <w:tc>
          <w:tcPr>
            <w:tcW w:w="1216" w:type="dxa"/>
            <w:tcBorders>
              <w:left w:val="nil"/>
              <w:right w:val="nil"/>
            </w:tcBorders>
            <w:vAlign w:val="bottom"/>
          </w:tcPr>
          <w:p w:rsidRPr="0089741F" w:rsidR="00B82E98" w:rsidP="0089741F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74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Population Covered</w:t>
            </w:r>
          </w:p>
        </w:tc>
      </w:tr>
      <w:tr w:rsidRPr="00CE6972" w:rsidR="00B82E98" w:rsidTr="0089741F">
        <w:trPr>
          <w:trHeight w:val="359"/>
        </w:trPr>
        <w:tc>
          <w:tcPr>
            <w:tcW w:w="928" w:type="dxa"/>
            <w:vMerge w:val="restart"/>
            <w:tcBorders>
              <w:lef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Cities</w:t>
            </w:r>
          </w:p>
        </w:tc>
        <w:tc>
          <w:tcPr>
            <w:tcW w:w="3770" w:type="dxa"/>
            <w:tcBorders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Group I (250,000 inhabitants and more)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216" w:type="dxa"/>
            <w:tcBorders>
              <w:left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39,362,500</w:t>
            </w:r>
          </w:p>
        </w:tc>
      </w:tr>
      <w:tr w:rsidRPr="00CE6972" w:rsidR="00B82E98" w:rsidTr="0089741F">
        <w:trPr>
          <w:trHeight w:val="341"/>
        </w:trPr>
        <w:tc>
          <w:tcPr>
            <w:tcW w:w="928" w:type="dxa"/>
            <w:vMerge/>
            <w:tcBorders>
              <w:lef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Group II (100,000 to 249,999 inhabitants)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18,083,567</w:t>
            </w:r>
          </w:p>
        </w:tc>
      </w:tr>
      <w:tr w:rsidRPr="00CE6972" w:rsidR="00B82E98" w:rsidTr="0089741F">
        <w:trPr>
          <w:trHeight w:val="359"/>
        </w:trPr>
        <w:tc>
          <w:tcPr>
            <w:tcW w:w="928" w:type="dxa"/>
            <w:vMerge/>
            <w:tcBorders>
              <w:lef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Group III (50,000 to 99,999 inhabitants)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19,745,765</w:t>
            </w:r>
          </w:p>
        </w:tc>
      </w:tr>
      <w:tr w:rsidRPr="00CE6972" w:rsidR="00B82E98" w:rsidTr="0089741F">
        <w:trPr>
          <w:trHeight w:val="341"/>
        </w:trPr>
        <w:tc>
          <w:tcPr>
            <w:tcW w:w="928" w:type="dxa"/>
            <w:vMerge/>
            <w:tcBorders>
              <w:lef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Group IV (25,000 to 49,999 inhabitants)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16,452,455</w:t>
            </w:r>
          </w:p>
        </w:tc>
      </w:tr>
      <w:tr w:rsidRPr="00CE6972" w:rsidR="00B82E98" w:rsidTr="0089741F">
        <w:trPr>
          <w:trHeight w:val="359"/>
        </w:trPr>
        <w:tc>
          <w:tcPr>
            <w:tcW w:w="928" w:type="dxa"/>
            <w:vMerge/>
            <w:tcBorders>
              <w:lef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Group V (10,000 to 24,999 inhabitants)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15,108,191</w:t>
            </w:r>
          </w:p>
        </w:tc>
      </w:tr>
      <w:tr w:rsidRPr="00CE6972" w:rsidR="00B82E98" w:rsidTr="0089741F">
        <w:trPr>
          <w:trHeight w:val="341"/>
        </w:trPr>
        <w:tc>
          <w:tcPr>
            <w:tcW w:w="928" w:type="dxa"/>
            <w:vMerge/>
            <w:tcBorders>
              <w:lef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Group VI (Less than 10,000 inhabitants)</w:t>
            </w: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1,2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4,177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12,045,764</w:t>
            </w:r>
          </w:p>
        </w:tc>
      </w:tr>
      <w:tr w:rsidRPr="00CE6972" w:rsidR="00B82E98" w:rsidTr="0089741F">
        <w:trPr>
          <w:trHeight w:val="359"/>
        </w:trPr>
        <w:tc>
          <w:tcPr>
            <w:tcW w:w="928" w:type="dxa"/>
            <w:vMerge w:val="restart"/>
            <w:tcBorders>
              <w:lef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Counties</w:t>
            </w:r>
          </w:p>
        </w:tc>
        <w:tc>
          <w:tcPr>
            <w:tcW w:w="3770" w:type="dxa"/>
            <w:tcBorders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Group VIII (Nonmetropolitan County)</w:t>
            </w: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916</w:t>
            </w:r>
          </w:p>
        </w:tc>
        <w:tc>
          <w:tcPr>
            <w:tcW w:w="1216" w:type="dxa"/>
            <w:tcBorders>
              <w:left w:val="nil"/>
              <w:bottom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9,019,470</w:t>
            </w:r>
          </w:p>
        </w:tc>
      </w:tr>
      <w:tr w:rsidRPr="00CE6972" w:rsidR="00B82E98" w:rsidTr="0089741F">
        <w:trPr>
          <w:trHeight w:val="341"/>
        </w:trPr>
        <w:tc>
          <w:tcPr>
            <w:tcW w:w="928" w:type="dxa"/>
            <w:vMerge/>
            <w:tcBorders>
              <w:left w:val="nil"/>
              <w:bottom w:val="single" w:color="auto" w:sz="4" w:space="0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Group IX (Metropolitan County)</w:t>
            </w: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1,085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41,865,773</w:t>
            </w:r>
          </w:p>
        </w:tc>
      </w:tr>
      <w:tr w:rsidRPr="00CE6972" w:rsidR="00B82E98" w:rsidTr="0089741F">
        <w:trPr>
          <w:trHeight w:val="359"/>
        </w:trPr>
        <w:tc>
          <w:tcPr>
            <w:tcW w:w="92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89741F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74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30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8,054</w:t>
            </w:r>
          </w:p>
        </w:tc>
        <w:tc>
          <w:tcPr>
            <w:tcW w:w="1216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CE6972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69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171,683,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485</w:t>
            </w:r>
          </w:p>
        </w:tc>
      </w:tr>
      <w:tr w:rsidRPr="00CE6972" w:rsidR="00B82E98" w:rsidTr="00B82E98">
        <w:trPr>
          <w:trHeight w:val="359"/>
        </w:trPr>
        <w:tc>
          <w:tcPr>
            <w:tcW w:w="721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Pr="0050697E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069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50697E">
              <w:rPr>
                <w:rFonts w:ascii="Times New Roman" w:hAnsi="Times New Roman" w:cs="Times New Roman"/>
                <w:sz w:val="18"/>
                <w:szCs w:val="18"/>
              </w:rPr>
              <w:t xml:space="preserve"> Includes universities and colleges to which no population is attributed.</w:t>
            </w:r>
          </w:p>
          <w:p w:rsidRPr="0050697E" w:rsidR="00B82E98" w:rsidP="00B82E98" w:rsidRDefault="00B82E9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069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50697E">
              <w:rPr>
                <w:rFonts w:ascii="Times New Roman" w:hAnsi="Times New Roman" w:cs="Times New Roman"/>
                <w:sz w:val="18"/>
                <w:szCs w:val="18"/>
              </w:rPr>
              <w:t xml:space="preserve"> Includes state police to which no population is attributed.</w:t>
            </w:r>
          </w:p>
        </w:tc>
      </w:tr>
    </w:tbl>
    <w:p w:rsidR="00686894" w:rsidP="00C660DC" w:rsidRDefault="006868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0F5" w:rsidP="00C660DC" w:rsidRDefault="003800F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174D1" w:rsidP="00C660DC" w:rsidRDefault="003174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4D1" w:rsidP="00C660DC" w:rsidRDefault="003174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2E98" w:rsidP="00C450AC" w:rsidRDefault="00B82E9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82E98" w:rsidP="00C450AC" w:rsidRDefault="00B82E9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82E98" w:rsidP="00C450AC" w:rsidRDefault="00B82E9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82E98" w:rsidP="00C450AC" w:rsidRDefault="00B82E9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82E98" w:rsidP="00C450AC" w:rsidRDefault="00B82E9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82E98" w:rsidP="00C450AC" w:rsidRDefault="00B82E9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82E98" w:rsidP="00C450AC" w:rsidRDefault="00B82E9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82E98" w:rsidP="00C450AC" w:rsidRDefault="00B82E9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82E98" w:rsidP="00C450AC" w:rsidRDefault="00B82E9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82E98" w:rsidP="00C450AC" w:rsidRDefault="00B82E9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82E98" w:rsidP="00C450AC" w:rsidRDefault="00B82E9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82E98" w:rsidP="00C450AC" w:rsidRDefault="00B82E9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82E98" w:rsidP="00C450AC" w:rsidRDefault="00B82E9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82E98" w:rsidP="00C450AC" w:rsidRDefault="00B82E9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9741F" w:rsidP="00C450AC" w:rsidRDefault="0089741F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Pr="004061EF" w:rsidR="00696CC7" w:rsidP="00D21942" w:rsidRDefault="00696CC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1EF">
        <w:rPr>
          <w:rFonts w:ascii="Times New Roman" w:hAnsi="Times New Roman" w:cs="Times New Roman"/>
          <w:sz w:val="24"/>
          <w:szCs w:val="24"/>
          <w:u w:val="single"/>
        </w:rPr>
        <w:t>Procedures for Collecting Information</w:t>
      </w:r>
    </w:p>
    <w:p w:rsidR="00696CC7" w:rsidP="00C450AC" w:rsidRDefault="00696CC7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Pr="003174D1" w:rsidR="00314212" w:rsidP="00D21942" w:rsidRDefault="003174D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Since </w:t>
      </w:r>
      <w:r w:rsidR="0031421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olice records are run by calendar month, the law enforcement community </w:t>
      </w:r>
      <w:r w:rsidR="00314212">
        <w:rPr>
          <w:rFonts w:ascii="Times New Roman" w:hAnsi="Times New Roman"/>
          <w:sz w:val="24"/>
          <w:szCs w:val="24"/>
        </w:rPr>
        <w:t>requests the collection of forms on a monthly basis.  M</w:t>
      </w:r>
      <w:r w:rsidRPr="003174D1" w:rsidR="00314212">
        <w:rPr>
          <w:rFonts w:ascii="Times New Roman" w:hAnsi="Times New Roman"/>
          <w:sz w:val="24"/>
          <w:szCs w:val="24"/>
        </w:rPr>
        <w:t xml:space="preserve">ost SHR data are </w:t>
      </w:r>
      <w:r w:rsidR="00314212">
        <w:rPr>
          <w:rFonts w:ascii="Times New Roman" w:hAnsi="Times New Roman"/>
          <w:sz w:val="24"/>
          <w:szCs w:val="24"/>
        </w:rPr>
        <w:t xml:space="preserve">submitted to the FBI UCR Program by the </w:t>
      </w:r>
      <w:r w:rsidRPr="003174D1" w:rsidR="00314212">
        <w:rPr>
          <w:rFonts w:ascii="Times New Roman" w:hAnsi="Times New Roman"/>
          <w:sz w:val="24"/>
          <w:szCs w:val="24"/>
        </w:rPr>
        <w:t>state UCR program participants on a monthly basis.  Upon approval, agencies can submit their data at intervals that minimize the burden to the</w:t>
      </w:r>
      <w:r w:rsidR="00714553">
        <w:rPr>
          <w:rFonts w:ascii="Times New Roman" w:hAnsi="Times New Roman"/>
          <w:sz w:val="24"/>
          <w:szCs w:val="24"/>
        </w:rPr>
        <w:t>m</w:t>
      </w:r>
      <w:r w:rsidRPr="003174D1" w:rsidR="00314212">
        <w:rPr>
          <w:rFonts w:ascii="Times New Roman" w:hAnsi="Times New Roman"/>
          <w:sz w:val="24"/>
          <w:szCs w:val="24"/>
        </w:rPr>
        <w:t>.</w:t>
      </w:r>
      <w:r w:rsidR="00314212">
        <w:rPr>
          <w:rFonts w:ascii="Times New Roman" w:hAnsi="Times New Roman"/>
          <w:sz w:val="24"/>
          <w:szCs w:val="24"/>
        </w:rPr>
        <w:t xml:space="preserve">  Some agencies </w:t>
      </w:r>
      <w:r w:rsidR="0089741F">
        <w:rPr>
          <w:rFonts w:ascii="Times New Roman" w:hAnsi="Times New Roman"/>
          <w:sz w:val="24"/>
          <w:szCs w:val="24"/>
        </w:rPr>
        <w:t xml:space="preserve">submit their data </w:t>
      </w:r>
      <w:r w:rsidR="00314212">
        <w:rPr>
          <w:rFonts w:ascii="Times New Roman" w:hAnsi="Times New Roman"/>
          <w:sz w:val="24"/>
          <w:szCs w:val="24"/>
        </w:rPr>
        <w:t>quarterly, semiannual</w:t>
      </w:r>
      <w:r w:rsidR="0089741F">
        <w:rPr>
          <w:rFonts w:ascii="Times New Roman" w:hAnsi="Times New Roman"/>
          <w:sz w:val="24"/>
          <w:szCs w:val="24"/>
        </w:rPr>
        <w:t>ly</w:t>
      </w:r>
      <w:r w:rsidR="00314212">
        <w:rPr>
          <w:rFonts w:ascii="Times New Roman" w:hAnsi="Times New Roman"/>
          <w:sz w:val="24"/>
          <w:szCs w:val="24"/>
        </w:rPr>
        <w:t>, or annual</w:t>
      </w:r>
      <w:r w:rsidR="0089741F">
        <w:rPr>
          <w:rFonts w:ascii="Times New Roman" w:hAnsi="Times New Roman"/>
          <w:sz w:val="24"/>
          <w:szCs w:val="24"/>
        </w:rPr>
        <w:t>ly</w:t>
      </w:r>
      <w:r w:rsidR="00314212">
        <w:rPr>
          <w:rFonts w:ascii="Times New Roman" w:hAnsi="Times New Roman"/>
          <w:sz w:val="24"/>
          <w:szCs w:val="24"/>
        </w:rPr>
        <w:t>.  Occasionally, situations arise</w:t>
      </w:r>
      <w:r w:rsidRPr="003174D1" w:rsidR="00314212">
        <w:rPr>
          <w:rFonts w:ascii="Times New Roman" w:hAnsi="Times New Roman"/>
          <w:sz w:val="24"/>
          <w:szCs w:val="24"/>
        </w:rPr>
        <w:t xml:space="preserve"> when special circumstances may cause an agency to request an extension which the FBI UCR Program has the authority to grant.  </w:t>
      </w:r>
    </w:p>
    <w:p w:rsidR="003174D1" w:rsidP="00D21942" w:rsidRDefault="0031421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174D1" w:rsidP="00D21942" w:rsidRDefault="00A32CC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174D1">
        <w:rPr>
          <w:rFonts w:ascii="Times New Roman" w:hAnsi="Times New Roman"/>
          <w:sz w:val="24"/>
          <w:szCs w:val="24"/>
        </w:rPr>
        <w:t xml:space="preserve">The </w:t>
      </w:r>
      <w:r w:rsidRPr="003174D1" w:rsidR="00EF267F">
        <w:rPr>
          <w:rFonts w:ascii="Times New Roman" w:hAnsi="Times New Roman"/>
          <w:sz w:val="24"/>
          <w:szCs w:val="24"/>
        </w:rPr>
        <w:t xml:space="preserve">FBI UCR Program has established various time frames and deadlines for acquiring the monthly data.  </w:t>
      </w:r>
      <w:r w:rsidRPr="003174D1" w:rsidR="00D44088">
        <w:rPr>
          <w:rFonts w:ascii="Times New Roman" w:hAnsi="Times New Roman"/>
          <w:sz w:val="24"/>
          <w:szCs w:val="24"/>
        </w:rPr>
        <w:t xml:space="preserve">The FBI </w:t>
      </w:r>
      <w:r w:rsidR="00314212">
        <w:rPr>
          <w:rFonts w:ascii="Times New Roman" w:hAnsi="Times New Roman"/>
          <w:sz w:val="24"/>
          <w:szCs w:val="24"/>
        </w:rPr>
        <w:t>prefers to</w:t>
      </w:r>
      <w:r w:rsidRPr="003174D1" w:rsidR="00D44088">
        <w:rPr>
          <w:rFonts w:ascii="Times New Roman" w:hAnsi="Times New Roman"/>
          <w:sz w:val="24"/>
          <w:szCs w:val="24"/>
        </w:rPr>
        <w:t xml:space="preserve"> receive the m</w:t>
      </w:r>
      <w:r w:rsidR="0089741F">
        <w:rPr>
          <w:rFonts w:ascii="Times New Roman" w:hAnsi="Times New Roman"/>
          <w:sz w:val="24"/>
          <w:szCs w:val="24"/>
        </w:rPr>
        <w:t xml:space="preserve">onthly </w:t>
      </w:r>
      <w:r w:rsidRPr="003174D1" w:rsidR="00EF267F">
        <w:rPr>
          <w:rFonts w:ascii="Times New Roman" w:hAnsi="Times New Roman"/>
          <w:sz w:val="24"/>
          <w:szCs w:val="24"/>
        </w:rPr>
        <w:t>submissions by the seventh day of each m</w:t>
      </w:r>
      <w:r w:rsidR="00714553">
        <w:rPr>
          <w:rFonts w:ascii="Times New Roman" w:hAnsi="Times New Roman"/>
          <w:sz w:val="24"/>
          <w:szCs w:val="24"/>
        </w:rPr>
        <w:t xml:space="preserve">onth.  Annual deadlines are </w:t>
      </w:r>
      <w:r w:rsidR="0089741F">
        <w:rPr>
          <w:rFonts w:ascii="Times New Roman" w:hAnsi="Times New Roman"/>
          <w:sz w:val="24"/>
          <w:szCs w:val="24"/>
        </w:rPr>
        <w:t xml:space="preserve">designated in order to </w:t>
      </w:r>
      <w:r w:rsidRPr="003174D1" w:rsidR="00EF267F">
        <w:rPr>
          <w:rFonts w:ascii="Times New Roman" w:hAnsi="Times New Roman"/>
          <w:sz w:val="24"/>
          <w:szCs w:val="24"/>
        </w:rPr>
        <w:t xml:space="preserve">assess receipt of monthly submissions.  </w:t>
      </w:r>
    </w:p>
    <w:p w:rsidR="00EF267F" w:rsidP="00D21942" w:rsidRDefault="00EF267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CE3" w:rsidP="00D21942" w:rsidRDefault="00644C7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174D1">
        <w:rPr>
          <w:rFonts w:ascii="Times New Roman" w:hAnsi="Times New Roman" w:cs="Times New Roman"/>
          <w:sz w:val="24"/>
          <w:szCs w:val="24"/>
        </w:rPr>
        <w:t>As</w:t>
      </w:r>
      <w:r w:rsidRPr="003174D1" w:rsidR="00670CE3">
        <w:rPr>
          <w:rFonts w:ascii="Times New Roman" w:hAnsi="Times New Roman" w:cs="Times New Roman"/>
          <w:sz w:val="24"/>
          <w:szCs w:val="24"/>
        </w:rPr>
        <w:t xml:space="preserve"> </w:t>
      </w:r>
      <w:r w:rsidR="00714553">
        <w:rPr>
          <w:rFonts w:ascii="Times New Roman" w:hAnsi="Times New Roman" w:cs="Times New Roman"/>
          <w:sz w:val="24"/>
          <w:szCs w:val="24"/>
        </w:rPr>
        <w:t>the SHR form i</w:t>
      </w:r>
      <w:r w:rsidRPr="003174D1" w:rsidR="00670CE3">
        <w:rPr>
          <w:rFonts w:ascii="Times New Roman" w:hAnsi="Times New Roman" w:cs="Times New Roman"/>
          <w:sz w:val="24"/>
          <w:szCs w:val="24"/>
        </w:rPr>
        <w:t xml:space="preserve">s intended to collect all reported supplementary homicide incident data from </w:t>
      </w:r>
      <w:r w:rsidR="00314212">
        <w:rPr>
          <w:rFonts w:ascii="Times New Roman" w:hAnsi="Times New Roman" w:cs="Times New Roman"/>
          <w:sz w:val="24"/>
          <w:szCs w:val="24"/>
        </w:rPr>
        <w:t>LEA</w:t>
      </w:r>
      <w:r w:rsidRPr="003174D1">
        <w:rPr>
          <w:rFonts w:ascii="Times New Roman" w:hAnsi="Times New Roman" w:cs="Times New Roman"/>
          <w:sz w:val="24"/>
          <w:szCs w:val="24"/>
        </w:rPr>
        <w:t xml:space="preserve">s </w:t>
      </w:r>
      <w:r w:rsidR="00B82E98">
        <w:rPr>
          <w:rFonts w:ascii="Times New Roman" w:hAnsi="Times New Roman" w:cs="Times New Roman"/>
          <w:sz w:val="24"/>
          <w:szCs w:val="24"/>
        </w:rPr>
        <w:t>throughout the nation</w:t>
      </w:r>
      <w:r w:rsidRPr="003174D1" w:rsidR="00670CE3">
        <w:rPr>
          <w:rFonts w:ascii="Times New Roman" w:hAnsi="Times New Roman" w:cs="Times New Roman"/>
          <w:sz w:val="24"/>
          <w:szCs w:val="24"/>
        </w:rPr>
        <w:t xml:space="preserve">, sampling methodologies are not used.  </w:t>
      </w:r>
      <w:r w:rsidR="00714553">
        <w:rPr>
          <w:rFonts w:ascii="Times New Roman" w:hAnsi="Times New Roman" w:cs="Times New Roman"/>
          <w:sz w:val="24"/>
          <w:szCs w:val="24"/>
        </w:rPr>
        <w:t>Past SHR datasets do not include</w:t>
      </w:r>
      <w:r w:rsidRPr="003174D1" w:rsidR="00FC5EF9">
        <w:rPr>
          <w:rFonts w:ascii="Times New Roman" w:hAnsi="Times New Roman" w:cs="Times New Roman"/>
          <w:sz w:val="24"/>
          <w:szCs w:val="24"/>
        </w:rPr>
        <w:t xml:space="preserve"> nation</w:t>
      </w:r>
      <w:r w:rsidR="00714553">
        <w:rPr>
          <w:rFonts w:ascii="Times New Roman" w:hAnsi="Times New Roman" w:cs="Times New Roman"/>
          <w:sz w:val="24"/>
          <w:szCs w:val="24"/>
        </w:rPr>
        <w:t xml:space="preserve">al or subnational estimates </w:t>
      </w:r>
      <w:r w:rsidRPr="003174D1" w:rsidR="00FC5EF9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174D1" w:rsidR="00A32CCD">
        <w:rPr>
          <w:rFonts w:ascii="Times New Roman" w:hAnsi="Times New Roman" w:cs="Times New Roman"/>
          <w:sz w:val="24"/>
          <w:szCs w:val="24"/>
        </w:rPr>
        <w:t xml:space="preserve">the </w:t>
      </w:r>
      <w:r w:rsidRPr="003174D1" w:rsidR="00FC5EF9">
        <w:rPr>
          <w:rFonts w:ascii="Times New Roman" w:hAnsi="Times New Roman" w:cs="Times New Roman"/>
          <w:sz w:val="24"/>
          <w:szCs w:val="24"/>
        </w:rPr>
        <w:t>FBI</w:t>
      </w:r>
      <w:r w:rsidR="00C2357C">
        <w:rPr>
          <w:rFonts w:ascii="Times New Roman" w:hAnsi="Times New Roman" w:cs="Times New Roman"/>
          <w:sz w:val="24"/>
          <w:szCs w:val="24"/>
        </w:rPr>
        <w:t> </w:t>
      </w:r>
      <w:r w:rsidRPr="003174D1" w:rsidR="00FC5EF9">
        <w:rPr>
          <w:rFonts w:ascii="Times New Roman" w:hAnsi="Times New Roman" w:cs="Times New Roman"/>
          <w:sz w:val="24"/>
          <w:szCs w:val="24"/>
        </w:rPr>
        <w:t xml:space="preserve">UCR Program does not have the imputation procedures defined for </w:t>
      </w:r>
      <w:r w:rsidRPr="003174D1" w:rsidR="00A32CCD">
        <w:rPr>
          <w:rFonts w:ascii="Times New Roman" w:hAnsi="Times New Roman" w:cs="Times New Roman"/>
          <w:sz w:val="24"/>
          <w:szCs w:val="24"/>
        </w:rPr>
        <w:t>SHR</w:t>
      </w:r>
      <w:r w:rsidRPr="003174D1" w:rsidR="00FC5EF9">
        <w:rPr>
          <w:rFonts w:ascii="Times New Roman" w:hAnsi="Times New Roman" w:cs="Times New Roman"/>
          <w:sz w:val="24"/>
          <w:szCs w:val="24"/>
        </w:rPr>
        <w:t xml:space="preserve"> data.</w:t>
      </w:r>
    </w:p>
    <w:p w:rsidR="00714553" w:rsidRDefault="00714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F267F" w:rsidP="00D21942" w:rsidRDefault="00A32CCD">
      <w:pPr>
        <w:spacing w:after="0" w:line="240" w:lineRule="auto"/>
        <w:ind w:left="72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Pr="00D44088" w:rsidR="00EF267F">
        <w:rPr>
          <w:rFonts w:ascii="Times New Roman" w:hAnsi="Times New Roman" w:cs="Times New Roman"/>
          <w:sz w:val="24"/>
          <w:szCs w:val="24"/>
        </w:rPr>
        <w:t xml:space="preserve">UCR </w:t>
      </w:r>
      <w:r w:rsidRPr="00D44088" w:rsidR="00E01133">
        <w:rPr>
          <w:rFonts w:ascii="Times New Roman" w:hAnsi="Times New Roman" w:cs="Times New Roman"/>
          <w:sz w:val="24"/>
          <w:szCs w:val="24"/>
        </w:rPr>
        <w:t>Technical Refresh</w:t>
      </w:r>
      <w:r w:rsidR="0059156F">
        <w:rPr>
          <w:rFonts w:ascii="Times New Roman" w:hAnsi="Times New Roman" w:cs="Times New Roman"/>
          <w:sz w:val="24"/>
          <w:szCs w:val="24"/>
        </w:rPr>
        <w:t xml:space="preserve"> </w:t>
      </w:r>
      <w:r w:rsidRPr="00D44088" w:rsidR="00EF267F">
        <w:rPr>
          <w:rFonts w:ascii="Times New Roman" w:hAnsi="Times New Roman" w:cs="Times New Roman"/>
          <w:sz w:val="24"/>
          <w:szCs w:val="24"/>
        </w:rPr>
        <w:t>manage</w:t>
      </w:r>
      <w:r w:rsidR="0059156F">
        <w:rPr>
          <w:rFonts w:ascii="Times New Roman" w:hAnsi="Times New Roman" w:cs="Times New Roman"/>
          <w:sz w:val="24"/>
          <w:szCs w:val="24"/>
        </w:rPr>
        <w:t>s</w:t>
      </w:r>
      <w:r w:rsidRPr="00D44088" w:rsidR="00EF267F">
        <w:rPr>
          <w:rFonts w:ascii="Times New Roman" w:hAnsi="Times New Roman" w:cs="Times New Roman"/>
          <w:sz w:val="24"/>
          <w:szCs w:val="24"/>
        </w:rPr>
        <w:t xml:space="preserve"> the acquisition, development, and integration of new and improved data collection system</w:t>
      </w:r>
      <w:r w:rsidR="00314212">
        <w:rPr>
          <w:rFonts w:ascii="Times New Roman" w:hAnsi="Times New Roman" w:cs="Times New Roman"/>
          <w:sz w:val="24"/>
          <w:szCs w:val="24"/>
        </w:rPr>
        <w:t>s</w:t>
      </w:r>
      <w:r w:rsidRPr="00D44088" w:rsidR="00EF267F">
        <w:rPr>
          <w:rFonts w:ascii="Times New Roman" w:hAnsi="Times New Roman" w:cs="Times New Roman"/>
          <w:sz w:val="24"/>
          <w:szCs w:val="24"/>
        </w:rPr>
        <w:t xml:space="preserve"> which will </w:t>
      </w:r>
      <w:r w:rsidR="00314212">
        <w:rPr>
          <w:rFonts w:ascii="Times New Roman" w:hAnsi="Times New Roman" w:cs="Times New Roman"/>
          <w:sz w:val="24"/>
          <w:szCs w:val="24"/>
        </w:rPr>
        <w:t xml:space="preserve">have an impact on </w:t>
      </w:r>
      <w:r>
        <w:rPr>
          <w:rFonts w:ascii="Times New Roman" w:hAnsi="Times New Roman" w:cs="Times New Roman"/>
          <w:sz w:val="24"/>
          <w:szCs w:val="24"/>
        </w:rPr>
        <w:t xml:space="preserve">federal, state, </w:t>
      </w:r>
      <w:r w:rsidRPr="00D44088" w:rsidR="00EF267F">
        <w:rPr>
          <w:rFonts w:ascii="Times New Roman" w:hAnsi="Times New Roman" w:cs="Times New Roman"/>
          <w:sz w:val="24"/>
          <w:szCs w:val="24"/>
        </w:rPr>
        <w:t>local,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44088" w:rsidR="00EF267F">
        <w:rPr>
          <w:rFonts w:ascii="Times New Roman" w:hAnsi="Times New Roman" w:cs="Times New Roman"/>
          <w:sz w:val="24"/>
          <w:szCs w:val="24"/>
        </w:rPr>
        <w:t>tribal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088" w:rsidR="00EF267F">
        <w:rPr>
          <w:rFonts w:ascii="Times New Roman" w:hAnsi="Times New Roman" w:cs="Times New Roman"/>
          <w:sz w:val="24"/>
          <w:szCs w:val="24"/>
        </w:rPr>
        <w:t>LEAs</w:t>
      </w:r>
      <w:r w:rsidR="00314212">
        <w:rPr>
          <w:rFonts w:ascii="Times New Roman" w:hAnsi="Times New Roman" w:cs="Times New Roman"/>
          <w:sz w:val="24"/>
          <w:szCs w:val="24"/>
        </w:rPr>
        <w:t xml:space="preserve"> participating in the </w:t>
      </w:r>
      <w:r w:rsidR="00B82E98">
        <w:rPr>
          <w:rFonts w:ascii="Times New Roman" w:hAnsi="Times New Roman" w:cs="Times New Roman"/>
          <w:sz w:val="24"/>
          <w:szCs w:val="24"/>
        </w:rPr>
        <w:t xml:space="preserve">FBI </w:t>
      </w:r>
      <w:r w:rsidR="00314212">
        <w:rPr>
          <w:rFonts w:ascii="Times New Roman" w:hAnsi="Times New Roman" w:cs="Times New Roman"/>
          <w:sz w:val="24"/>
          <w:szCs w:val="24"/>
        </w:rPr>
        <w:t>UCR Program</w:t>
      </w:r>
      <w:r w:rsidRPr="00D44088" w:rsidR="00EF267F">
        <w:rPr>
          <w:rFonts w:ascii="Times New Roman" w:hAnsi="Times New Roman" w:cs="Times New Roman"/>
          <w:sz w:val="24"/>
          <w:szCs w:val="24"/>
        </w:rPr>
        <w:t xml:space="preserve">.  </w:t>
      </w:r>
      <w:r w:rsidR="00F16E23">
        <w:rPr>
          <w:rFonts w:ascii="Times New Roman" w:hAnsi="Times New Roman" w:cs="Times New Roman"/>
          <w:sz w:val="24"/>
          <w:szCs w:val="24"/>
        </w:rPr>
        <w:t xml:space="preserve">The UCR Technical Refresh aims to </w:t>
      </w:r>
      <w:r w:rsidRPr="00D44088" w:rsidR="00EF267F">
        <w:rPr>
          <w:rFonts w:ascii="Times New Roman" w:hAnsi="Times New Roman" w:cs="Times New Roman"/>
          <w:sz w:val="24"/>
          <w:szCs w:val="24"/>
        </w:rPr>
        <w:t>improve th</w:t>
      </w:r>
      <w:r w:rsidRPr="00D44088" w:rsidR="00644C79">
        <w:rPr>
          <w:rFonts w:ascii="Times New Roman" w:hAnsi="Times New Roman" w:cs="Times New Roman"/>
          <w:sz w:val="24"/>
          <w:szCs w:val="24"/>
        </w:rPr>
        <w:t>e accuracy and timeliness of the</w:t>
      </w:r>
      <w:r w:rsidRPr="00D44088" w:rsidR="00EF267F">
        <w:rPr>
          <w:rFonts w:ascii="Times New Roman" w:hAnsi="Times New Roman" w:cs="Times New Roman"/>
          <w:sz w:val="24"/>
          <w:szCs w:val="24"/>
        </w:rPr>
        <w:t xml:space="preserve"> crime data collection and delivery process.</w:t>
      </w:r>
      <w:r w:rsidR="00F16E23">
        <w:rPr>
          <w:rFonts w:ascii="Times New Roman" w:hAnsi="Times New Roman" w:cs="Times New Roman"/>
          <w:sz w:val="24"/>
          <w:szCs w:val="24"/>
        </w:rPr>
        <w:t xml:space="preserve">  In addition, the</w:t>
      </w:r>
      <w:r w:rsidR="0089741F">
        <w:rPr>
          <w:rFonts w:ascii="Times New Roman" w:hAnsi="Times New Roman" w:cs="Times New Roman"/>
          <w:sz w:val="24"/>
          <w:szCs w:val="24"/>
        </w:rPr>
        <w:t xml:space="preserve"> </w:t>
      </w:r>
      <w:r w:rsidR="00F16E23">
        <w:rPr>
          <w:rFonts w:ascii="Times New Roman" w:hAnsi="Times New Roman" w:cs="Times New Roman"/>
          <w:sz w:val="24"/>
          <w:szCs w:val="24"/>
        </w:rPr>
        <w:t>project</w:t>
      </w:r>
      <w:r w:rsidRPr="00D44088" w:rsidR="00EF267F">
        <w:rPr>
          <w:rFonts w:ascii="Times New Roman" w:hAnsi="Times New Roman" w:cs="Times New Roman"/>
          <w:sz w:val="24"/>
          <w:szCs w:val="24"/>
        </w:rPr>
        <w:t xml:space="preserve"> will provide enhanced data management tools for greater efficiency in data collection, processing, and</w:t>
      </w:r>
      <w:r w:rsidRPr="00D44088" w:rsidR="00644C79">
        <w:rPr>
          <w:rFonts w:ascii="Times New Roman" w:hAnsi="Times New Roman" w:cs="Times New Roman"/>
          <w:sz w:val="24"/>
          <w:szCs w:val="24"/>
        </w:rPr>
        <w:t xml:space="preserve"> maintenance of crime data.  This</w:t>
      </w:r>
      <w:r w:rsidRPr="00D44088" w:rsidR="00EF267F">
        <w:rPr>
          <w:rFonts w:ascii="Times New Roman" w:hAnsi="Times New Roman" w:cs="Times New Roman"/>
          <w:sz w:val="24"/>
          <w:szCs w:val="24"/>
        </w:rPr>
        <w:t xml:space="preserve"> project will provide automated processes, tailored reports on an as-needed basis, and streamline publication processes </w:t>
      </w:r>
      <w:r w:rsidR="00201584">
        <w:rPr>
          <w:rFonts w:ascii="Times New Roman" w:hAnsi="Times New Roman" w:cs="Times New Roman"/>
          <w:sz w:val="24"/>
          <w:szCs w:val="24"/>
        </w:rPr>
        <w:t>which</w:t>
      </w:r>
      <w:r w:rsidRPr="00D44088" w:rsidR="00EF267F">
        <w:rPr>
          <w:rFonts w:ascii="Times New Roman" w:hAnsi="Times New Roman" w:cs="Times New Roman"/>
          <w:sz w:val="24"/>
          <w:szCs w:val="24"/>
        </w:rPr>
        <w:t xml:space="preserve"> will give users more timely access to the data.</w:t>
      </w:r>
    </w:p>
    <w:p w:rsidRPr="00201584" w:rsidR="00637B5C" w:rsidP="00D21942" w:rsidRDefault="00637B5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314212" w:rsidR="007B0DE8" w:rsidP="00D21942" w:rsidRDefault="00EF26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14212">
        <w:rPr>
          <w:rFonts w:ascii="Times New Roman" w:hAnsi="Times New Roman" w:cs="Times New Roman"/>
          <w:sz w:val="24"/>
          <w:szCs w:val="24"/>
        </w:rPr>
        <w:t>Although the FBI makes an effort through its editing procedures, training practices, and corre</w:t>
      </w:r>
      <w:r w:rsidRPr="00314212" w:rsidR="003A3F24">
        <w:rPr>
          <w:rFonts w:ascii="Times New Roman" w:hAnsi="Times New Roman" w:cs="Times New Roman"/>
          <w:sz w:val="24"/>
          <w:szCs w:val="24"/>
        </w:rPr>
        <w:t>spondence to ensure the reliability</w:t>
      </w:r>
      <w:r w:rsidRPr="00314212" w:rsidR="00644C79">
        <w:rPr>
          <w:rFonts w:ascii="Times New Roman" w:hAnsi="Times New Roman" w:cs="Times New Roman"/>
          <w:sz w:val="24"/>
          <w:szCs w:val="24"/>
        </w:rPr>
        <w:t xml:space="preserve"> of the data received</w:t>
      </w:r>
      <w:r w:rsidRPr="00314212">
        <w:rPr>
          <w:rFonts w:ascii="Times New Roman" w:hAnsi="Times New Roman" w:cs="Times New Roman"/>
          <w:sz w:val="24"/>
          <w:szCs w:val="24"/>
        </w:rPr>
        <w:t xml:space="preserve">, the </w:t>
      </w:r>
      <w:r w:rsidRPr="00314212" w:rsidR="00644C79">
        <w:rPr>
          <w:rFonts w:ascii="Times New Roman" w:hAnsi="Times New Roman" w:cs="Times New Roman"/>
          <w:sz w:val="24"/>
          <w:szCs w:val="24"/>
        </w:rPr>
        <w:t xml:space="preserve">receipt of </w:t>
      </w:r>
      <w:r w:rsidRPr="00314212">
        <w:rPr>
          <w:rFonts w:ascii="Times New Roman" w:hAnsi="Times New Roman" w:cs="Times New Roman"/>
          <w:sz w:val="24"/>
          <w:szCs w:val="24"/>
        </w:rPr>
        <w:t>accura</w:t>
      </w:r>
      <w:r w:rsidRPr="00314212" w:rsidR="00644C79">
        <w:rPr>
          <w:rFonts w:ascii="Times New Roman" w:hAnsi="Times New Roman" w:cs="Times New Roman"/>
          <w:sz w:val="24"/>
          <w:szCs w:val="24"/>
        </w:rPr>
        <w:t>te</w:t>
      </w:r>
      <w:r w:rsidRPr="00314212">
        <w:rPr>
          <w:rFonts w:ascii="Times New Roman" w:hAnsi="Times New Roman" w:cs="Times New Roman"/>
          <w:sz w:val="24"/>
          <w:szCs w:val="24"/>
        </w:rPr>
        <w:t xml:space="preserve"> sta</w:t>
      </w:r>
      <w:r w:rsidRPr="00314212" w:rsidR="00644C79">
        <w:rPr>
          <w:rFonts w:ascii="Times New Roman" w:hAnsi="Times New Roman" w:cs="Times New Roman"/>
          <w:sz w:val="24"/>
          <w:szCs w:val="24"/>
        </w:rPr>
        <w:t>tistics hedges on</w:t>
      </w:r>
      <w:r w:rsidRPr="00314212">
        <w:rPr>
          <w:rFonts w:ascii="Times New Roman" w:hAnsi="Times New Roman" w:cs="Times New Roman"/>
          <w:sz w:val="24"/>
          <w:szCs w:val="24"/>
        </w:rPr>
        <w:t xml:space="preserve"> adherence</w:t>
      </w:r>
      <w:r w:rsidRPr="00314212" w:rsidR="00644C79">
        <w:rPr>
          <w:rFonts w:ascii="Times New Roman" w:hAnsi="Times New Roman" w:cs="Times New Roman"/>
          <w:sz w:val="24"/>
          <w:szCs w:val="24"/>
        </w:rPr>
        <w:t xml:space="preserve"> to the established standards of reporting at the agency level.  The FBI relies on </w:t>
      </w:r>
      <w:r w:rsidR="00F16E23">
        <w:rPr>
          <w:rFonts w:ascii="Times New Roman" w:hAnsi="Times New Roman" w:cs="Times New Roman"/>
          <w:sz w:val="24"/>
          <w:szCs w:val="24"/>
        </w:rPr>
        <w:t xml:space="preserve">the integrity of the </w:t>
      </w:r>
      <w:r w:rsidRPr="00314212" w:rsidR="00644C79">
        <w:rPr>
          <w:rFonts w:ascii="Times New Roman" w:hAnsi="Times New Roman" w:cs="Times New Roman"/>
          <w:sz w:val="24"/>
          <w:szCs w:val="24"/>
        </w:rPr>
        <w:t>data</w:t>
      </w:r>
      <w:r w:rsidRPr="00314212">
        <w:rPr>
          <w:rFonts w:ascii="Times New Roman" w:hAnsi="Times New Roman" w:cs="Times New Roman"/>
          <w:sz w:val="24"/>
          <w:szCs w:val="24"/>
        </w:rPr>
        <w:t xml:space="preserve"> </w:t>
      </w:r>
      <w:r w:rsidRPr="00314212" w:rsidR="00644C79">
        <w:rPr>
          <w:rFonts w:ascii="Times New Roman" w:hAnsi="Times New Roman" w:cs="Times New Roman"/>
          <w:sz w:val="24"/>
          <w:szCs w:val="24"/>
        </w:rPr>
        <w:t>from contributors</w:t>
      </w:r>
      <w:r w:rsidR="00B82E98">
        <w:rPr>
          <w:rFonts w:ascii="Times New Roman" w:hAnsi="Times New Roman" w:cs="Times New Roman"/>
          <w:sz w:val="24"/>
          <w:szCs w:val="24"/>
        </w:rPr>
        <w:t xml:space="preserve"> and </w:t>
      </w:r>
      <w:r w:rsidR="00F16E23">
        <w:rPr>
          <w:rFonts w:ascii="Times New Roman" w:hAnsi="Times New Roman" w:cs="Times New Roman"/>
          <w:sz w:val="24"/>
          <w:szCs w:val="24"/>
        </w:rPr>
        <w:t>results obtained from Quality Assurance Reviews conducted by</w:t>
      </w:r>
      <w:r w:rsidRPr="00314212">
        <w:rPr>
          <w:rFonts w:ascii="Times New Roman" w:hAnsi="Times New Roman" w:cs="Times New Roman"/>
          <w:sz w:val="24"/>
          <w:szCs w:val="24"/>
        </w:rPr>
        <w:t xml:space="preserve"> </w:t>
      </w:r>
      <w:r w:rsidR="00696CC7">
        <w:rPr>
          <w:rFonts w:ascii="Times New Roman" w:hAnsi="Times New Roman" w:cs="Times New Roman"/>
          <w:sz w:val="24"/>
          <w:szCs w:val="24"/>
        </w:rPr>
        <w:t xml:space="preserve">the </w:t>
      </w:r>
      <w:r w:rsidRPr="00314212">
        <w:rPr>
          <w:rFonts w:ascii="Times New Roman" w:hAnsi="Times New Roman" w:cs="Times New Roman"/>
          <w:sz w:val="24"/>
          <w:szCs w:val="24"/>
        </w:rPr>
        <w:t>CJIS Audi</w:t>
      </w:r>
      <w:r w:rsidRPr="00314212" w:rsidR="00644C79">
        <w:rPr>
          <w:rFonts w:ascii="Times New Roman" w:hAnsi="Times New Roman" w:cs="Times New Roman"/>
          <w:sz w:val="24"/>
          <w:szCs w:val="24"/>
        </w:rPr>
        <w:t xml:space="preserve">t Unit </w:t>
      </w:r>
      <w:r w:rsidR="00F16E23">
        <w:rPr>
          <w:rFonts w:ascii="Times New Roman" w:hAnsi="Times New Roman" w:cs="Times New Roman"/>
          <w:sz w:val="24"/>
          <w:szCs w:val="24"/>
        </w:rPr>
        <w:t>staff</w:t>
      </w:r>
      <w:r w:rsidRPr="00314212">
        <w:rPr>
          <w:rFonts w:ascii="Times New Roman" w:hAnsi="Times New Roman" w:cs="Times New Roman"/>
          <w:sz w:val="24"/>
          <w:szCs w:val="24"/>
        </w:rPr>
        <w:t xml:space="preserve">.  The results of the audits are not used to adjust crime data, but to educate reporting agencies on compliance with </w:t>
      </w:r>
      <w:r w:rsidRPr="00314212" w:rsidR="00294152">
        <w:rPr>
          <w:rFonts w:ascii="Times New Roman" w:hAnsi="Times New Roman" w:cs="Times New Roman"/>
          <w:sz w:val="24"/>
          <w:szCs w:val="24"/>
        </w:rPr>
        <w:t xml:space="preserve">FBI </w:t>
      </w:r>
      <w:r w:rsidRPr="00314212">
        <w:rPr>
          <w:rFonts w:ascii="Times New Roman" w:hAnsi="Times New Roman" w:cs="Times New Roman"/>
          <w:sz w:val="24"/>
          <w:szCs w:val="24"/>
        </w:rPr>
        <w:t xml:space="preserve">UCR </w:t>
      </w:r>
      <w:r w:rsidRPr="00314212" w:rsidR="00294152">
        <w:rPr>
          <w:rFonts w:ascii="Times New Roman" w:hAnsi="Times New Roman" w:cs="Times New Roman"/>
          <w:sz w:val="24"/>
          <w:szCs w:val="24"/>
        </w:rPr>
        <w:t xml:space="preserve">Program </w:t>
      </w:r>
      <w:r w:rsidRPr="00314212">
        <w:rPr>
          <w:rFonts w:ascii="Times New Roman" w:hAnsi="Times New Roman" w:cs="Times New Roman"/>
          <w:sz w:val="24"/>
          <w:szCs w:val="24"/>
        </w:rPr>
        <w:t>guidelines.</w:t>
      </w:r>
    </w:p>
    <w:p w:rsidRPr="00201584" w:rsidR="00201584" w:rsidP="00C660DC" w:rsidRDefault="00201584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FC5EF9" w:rsidP="00C660DC" w:rsidRDefault="00FC5EF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E5526A" w:rsidR="00696CC7" w:rsidP="00696CC7" w:rsidRDefault="00696CC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52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Methods to Maximize Response</w:t>
      </w:r>
    </w:p>
    <w:p w:rsidR="00696CC7" w:rsidP="00696CC7" w:rsidRDefault="00696CC7">
      <w:pPr>
        <w:pStyle w:val="ListParagraph"/>
        <w:ind w:left="360" w:right="-180"/>
        <w:rPr>
          <w:rFonts w:ascii="Times New Roman" w:hAnsi="Times New Roman" w:cs="Times New Roman"/>
          <w:sz w:val="24"/>
          <w:szCs w:val="24"/>
        </w:rPr>
      </w:pPr>
    </w:p>
    <w:p w:rsidRPr="00904153" w:rsidR="00904153" w:rsidP="00C36BA6" w:rsidRDefault="00D21942">
      <w:pPr>
        <w:pStyle w:val="ListParagraph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04153" w:rsidR="00904153">
        <w:rPr>
          <w:rFonts w:ascii="Times New Roman" w:hAnsi="Times New Roman" w:cs="Times New Roman"/>
          <w:sz w:val="24"/>
          <w:szCs w:val="24"/>
        </w:rPr>
        <w:t xml:space="preserve">f the 9,454 </w:t>
      </w:r>
      <w:r w:rsidR="007C0378">
        <w:rPr>
          <w:rFonts w:ascii="Times New Roman" w:hAnsi="Times New Roman" w:cs="Times New Roman"/>
          <w:sz w:val="24"/>
          <w:szCs w:val="24"/>
        </w:rPr>
        <w:t xml:space="preserve">LEAs eligible to report via </w:t>
      </w:r>
      <w:r w:rsidRPr="00904153" w:rsidR="00904153">
        <w:rPr>
          <w:rFonts w:ascii="Times New Roman" w:hAnsi="Times New Roman" w:cs="Times New Roman"/>
          <w:sz w:val="24"/>
          <w:szCs w:val="24"/>
        </w:rPr>
        <w:t>SRS and provide SHR data, 61.3 percent submitted 12 months of data to the FBI UCR Program and 23.9 percent reported 1-11 months</w:t>
      </w:r>
      <w:r>
        <w:rPr>
          <w:rFonts w:ascii="Times New Roman" w:hAnsi="Times New Roman" w:cs="Times New Roman"/>
          <w:sz w:val="24"/>
          <w:szCs w:val="24"/>
        </w:rPr>
        <w:t xml:space="preserve"> of information</w:t>
      </w:r>
      <w:r w:rsidR="007C0378">
        <w:rPr>
          <w:rFonts w:ascii="Times New Roman" w:hAnsi="Times New Roman" w:cs="Times New Roman"/>
          <w:sz w:val="24"/>
          <w:szCs w:val="24"/>
        </w:rPr>
        <w:t xml:space="preserve"> in 2019</w:t>
      </w:r>
      <w:r w:rsidRPr="00904153" w:rsidR="00904153">
        <w:rPr>
          <w:rFonts w:ascii="Times New Roman" w:hAnsi="Times New Roman" w:cs="Times New Roman"/>
          <w:sz w:val="24"/>
          <w:szCs w:val="24"/>
        </w:rPr>
        <w:t>.  The remaining 14.8 percent of those eligible LEAs did not submit any data.</w:t>
      </w:r>
      <w:r w:rsidR="00F16E23">
        <w:rPr>
          <w:rFonts w:ascii="Times New Roman" w:hAnsi="Times New Roman" w:cs="Times New Roman"/>
          <w:sz w:val="24"/>
          <w:szCs w:val="24"/>
        </w:rPr>
        <w:t xml:space="preserve">  SHR data are available within</w:t>
      </w:r>
      <w:r w:rsidR="00FA52A9">
        <w:rPr>
          <w:rFonts w:ascii="Times New Roman" w:hAnsi="Times New Roman" w:cs="Times New Roman"/>
          <w:sz w:val="24"/>
          <w:szCs w:val="24"/>
        </w:rPr>
        <w:t xml:space="preserve"> NIBRS and similar response rates are expected by those agencies currently reporting under SRS as they transition to NIBRS.  T</w:t>
      </w:r>
      <w:r w:rsidRPr="00904153" w:rsidR="00904153">
        <w:rPr>
          <w:rFonts w:ascii="Times New Roman" w:hAnsi="Times New Roman" w:cs="Times New Roman"/>
          <w:sz w:val="24"/>
          <w:szCs w:val="24"/>
        </w:rPr>
        <w:t>he FBI UCR Program actively liaisons with national LEAs to encourage participation in UCR data collections.</w:t>
      </w:r>
    </w:p>
    <w:p w:rsidR="00904153" w:rsidP="00D21942" w:rsidRDefault="009041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153" w:rsidP="00C36BA6" w:rsidRDefault="001F14C8">
      <w:pPr>
        <w:pStyle w:val="ListParagraph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</w:t>
      </w:r>
      <w:r w:rsidRPr="00FC5EF9">
        <w:rPr>
          <w:rFonts w:ascii="Times New Roman" w:hAnsi="Times New Roman" w:cs="Times New Roman"/>
          <w:sz w:val="24"/>
          <w:szCs w:val="24"/>
        </w:rPr>
        <w:t xml:space="preserve"> mission of the FBI</w:t>
      </w:r>
      <w:r>
        <w:rPr>
          <w:rFonts w:ascii="Times New Roman" w:hAnsi="Times New Roman" w:cs="Times New Roman"/>
          <w:sz w:val="24"/>
          <w:szCs w:val="24"/>
        </w:rPr>
        <w:t xml:space="preserve"> UCR Program is to acquire SHR</w:t>
      </w:r>
      <w:r w:rsidRPr="00FC5EF9">
        <w:rPr>
          <w:rFonts w:ascii="Times New Roman" w:hAnsi="Times New Roman" w:cs="Times New Roman"/>
          <w:sz w:val="24"/>
          <w:szCs w:val="24"/>
        </w:rPr>
        <w:t xml:space="preserve"> data, establish </w:t>
      </w:r>
      <w:r>
        <w:rPr>
          <w:rFonts w:ascii="Times New Roman" w:hAnsi="Times New Roman" w:cs="Times New Roman"/>
          <w:sz w:val="24"/>
          <w:szCs w:val="24"/>
        </w:rPr>
        <w:t xml:space="preserve">collection </w:t>
      </w:r>
      <w:r w:rsidRPr="00FC5EF9">
        <w:rPr>
          <w:rFonts w:ascii="Times New Roman" w:hAnsi="Times New Roman" w:cs="Times New Roman"/>
          <w:sz w:val="24"/>
          <w:szCs w:val="24"/>
        </w:rPr>
        <w:t>guidelines</w:t>
      </w:r>
      <w:r>
        <w:rPr>
          <w:rFonts w:ascii="Times New Roman" w:hAnsi="Times New Roman" w:cs="Times New Roman"/>
          <w:sz w:val="24"/>
          <w:szCs w:val="24"/>
        </w:rPr>
        <w:t>, and publish the</w:t>
      </w:r>
      <w:r w:rsidRPr="00FC5EF9">
        <w:rPr>
          <w:rFonts w:ascii="Times New Roman" w:hAnsi="Times New Roman" w:cs="Times New Roman"/>
          <w:sz w:val="24"/>
          <w:szCs w:val="24"/>
        </w:rPr>
        <w:t xml:space="preserve"> data.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6CC7">
        <w:rPr>
          <w:rFonts w:ascii="Times New Roman" w:hAnsi="Times New Roman" w:cs="Times New Roman"/>
          <w:sz w:val="24"/>
          <w:szCs w:val="24"/>
        </w:rPr>
        <w:t xml:space="preserve">The </w:t>
      </w:r>
      <w:r w:rsidRPr="00FC5EF9">
        <w:rPr>
          <w:rFonts w:ascii="Times New Roman" w:hAnsi="Times New Roman" w:cs="Times New Roman"/>
          <w:sz w:val="24"/>
          <w:szCs w:val="24"/>
        </w:rPr>
        <w:t>FBI UCR Program staff have a strong understanding of contextual challenges agencies face in reporting valid and reliable data and regularly work to overcome no-response issues when such challenges occur.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4153">
        <w:rPr>
          <w:rFonts w:ascii="Times New Roman" w:hAnsi="Times New Roman" w:cs="Times New Roman"/>
          <w:sz w:val="24"/>
          <w:szCs w:val="24"/>
        </w:rPr>
        <w:t>T</w:t>
      </w:r>
      <w:r w:rsidRPr="007D3528" w:rsidR="00904153">
        <w:rPr>
          <w:rFonts w:ascii="Times New Roman" w:hAnsi="Times New Roman" w:cs="Times New Roman"/>
          <w:sz w:val="24"/>
          <w:szCs w:val="24"/>
        </w:rPr>
        <w:t xml:space="preserve">hrough </w:t>
      </w:r>
      <w:r>
        <w:rPr>
          <w:rFonts w:ascii="Times New Roman" w:hAnsi="Times New Roman" w:cs="Times New Roman"/>
          <w:sz w:val="24"/>
          <w:szCs w:val="24"/>
        </w:rPr>
        <w:t xml:space="preserve">frequent </w:t>
      </w:r>
      <w:r w:rsidRPr="007D3528" w:rsidR="00904153">
        <w:rPr>
          <w:rFonts w:ascii="Times New Roman" w:hAnsi="Times New Roman" w:cs="Times New Roman"/>
          <w:sz w:val="24"/>
          <w:szCs w:val="24"/>
        </w:rPr>
        <w:t>liaison</w:t>
      </w:r>
      <w:r w:rsidR="00904153">
        <w:rPr>
          <w:rFonts w:ascii="Times New Roman" w:hAnsi="Times New Roman" w:cs="Times New Roman"/>
          <w:sz w:val="24"/>
          <w:szCs w:val="24"/>
        </w:rPr>
        <w:t>s</w:t>
      </w:r>
      <w:r w:rsidRPr="007D3528" w:rsidR="00904153">
        <w:rPr>
          <w:rFonts w:ascii="Times New Roman" w:hAnsi="Times New Roman" w:cs="Times New Roman"/>
          <w:sz w:val="24"/>
          <w:szCs w:val="24"/>
        </w:rPr>
        <w:t xml:space="preserve"> with state UCR programs</w:t>
      </w:r>
      <w:r w:rsidR="00904153">
        <w:rPr>
          <w:rFonts w:ascii="Times New Roman" w:hAnsi="Times New Roman" w:cs="Times New Roman"/>
          <w:sz w:val="24"/>
          <w:szCs w:val="24"/>
        </w:rPr>
        <w:t xml:space="preserve"> and individual LEAs, the FBI UCR Program </w:t>
      </w:r>
      <w:r>
        <w:rPr>
          <w:rFonts w:ascii="Times New Roman" w:hAnsi="Times New Roman" w:cs="Times New Roman"/>
          <w:sz w:val="24"/>
          <w:szCs w:val="24"/>
        </w:rPr>
        <w:t>staff assist</w:t>
      </w:r>
      <w:r w:rsidR="00904153">
        <w:rPr>
          <w:rFonts w:ascii="Times New Roman" w:hAnsi="Times New Roman" w:cs="Times New Roman"/>
          <w:sz w:val="24"/>
          <w:szCs w:val="24"/>
        </w:rPr>
        <w:t xml:space="preserve"> agencies with maximizing r</w:t>
      </w:r>
      <w:r w:rsidRPr="007D3528" w:rsidR="00904153">
        <w:rPr>
          <w:rFonts w:ascii="Times New Roman" w:hAnsi="Times New Roman" w:cs="Times New Roman"/>
          <w:sz w:val="24"/>
          <w:szCs w:val="24"/>
        </w:rPr>
        <w:t>esponse rates</w:t>
      </w:r>
      <w:r w:rsidR="007C0378">
        <w:rPr>
          <w:rFonts w:ascii="Times New Roman" w:hAnsi="Times New Roman" w:cs="Times New Roman"/>
          <w:sz w:val="24"/>
          <w:szCs w:val="24"/>
        </w:rPr>
        <w:t xml:space="preserve"> and strive</w:t>
      </w:r>
      <w:r w:rsidR="00714553">
        <w:rPr>
          <w:rFonts w:ascii="Times New Roman" w:hAnsi="Times New Roman" w:cs="Times New Roman"/>
          <w:sz w:val="24"/>
          <w:szCs w:val="24"/>
        </w:rPr>
        <w:t xml:space="preserve"> to collect</w:t>
      </w:r>
      <w:r w:rsidR="00904153">
        <w:rPr>
          <w:rFonts w:ascii="Times New Roman" w:hAnsi="Times New Roman" w:cs="Times New Roman"/>
          <w:sz w:val="24"/>
          <w:szCs w:val="24"/>
        </w:rPr>
        <w:t xml:space="preserve"> 12 months of data</w:t>
      </w:r>
      <w:r w:rsidR="00B82E98">
        <w:rPr>
          <w:rFonts w:ascii="Times New Roman" w:hAnsi="Times New Roman" w:cs="Times New Roman"/>
          <w:sz w:val="24"/>
          <w:szCs w:val="24"/>
        </w:rPr>
        <w:t xml:space="preserve"> from all LEAs</w:t>
      </w:r>
      <w:r w:rsidR="00904153">
        <w:rPr>
          <w:rFonts w:ascii="Times New Roman" w:hAnsi="Times New Roman" w:cs="Times New Roman"/>
          <w:sz w:val="24"/>
          <w:szCs w:val="24"/>
        </w:rPr>
        <w:t>.  To encourage data</w:t>
      </w:r>
      <w:r w:rsidR="007C0378">
        <w:rPr>
          <w:rFonts w:ascii="Times New Roman" w:hAnsi="Times New Roman" w:cs="Times New Roman"/>
          <w:sz w:val="24"/>
          <w:szCs w:val="24"/>
        </w:rPr>
        <w:t xml:space="preserve"> reporting</w:t>
      </w:r>
      <w:r w:rsidR="00904153">
        <w:rPr>
          <w:rFonts w:ascii="Times New Roman" w:hAnsi="Times New Roman" w:cs="Times New Roman"/>
          <w:sz w:val="24"/>
          <w:szCs w:val="24"/>
        </w:rPr>
        <w:t>, lists of missing reports are sent to state UCR programs and individual LEAS semiannually, after which follow-up contact is made to those agencies to further encourage the submission of missing data.</w:t>
      </w:r>
    </w:p>
    <w:p w:rsidR="001F14C8" w:rsidP="00904153" w:rsidRDefault="001F14C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36BA6" w:rsidP="00904153" w:rsidRDefault="00C36B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Pr="00E5526A" w:rsidR="00696CC7" w:rsidP="00696CC7" w:rsidRDefault="00696CC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552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Testing of Procedures</w:t>
      </w:r>
    </w:p>
    <w:p w:rsidRPr="00696CC7" w:rsidR="00696CC7" w:rsidP="00D21942" w:rsidRDefault="00696CC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680E05" w:rsidR="00FF6816" w:rsidP="00A50842" w:rsidRDefault="00EB2929">
      <w:pPr>
        <w:pStyle w:val="ListParagraph"/>
        <w:spacing w:after="0" w:line="240" w:lineRule="auto"/>
        <w:ind w:right="-9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FBI has conducted this</w:t>
      </w:r>
      <w:r w:rsidRPr="00E01133" w:rsidR="007B0DE8">
        <w:rPr>
          <w:rFonts w:ascii="Times New Roman" w:hAnsi="Times New Roman" w:cs="Times New Roman"/>
          <w:sz w:val="24"/>
          <w:szCs w:val="24"/>
        </w:rPr>
        <w:t xml:space="preserve"> information collection since 1940 with high rates of response and </w:t>
      </w:r>
      <w:r w:rsidR="00FA52A9">
        <w:rPr>
          <w:rFonts w:ascii="Times New Roman" w:hAnsi="Times New Roman" w:cs="Times New Roman"/>
          <w:sz w:val="24"/>
          <w:szCs w:val="24"/>
        </w:rPr>
        <w:t>expects the trend to continue or improve as SRS LEAs transition to NIBRS</w:t>
      </w:r>
      <w:r w:rsidR="00B82E98">
        <w:rPr>
          <w:rFonts w:ascii="Times New Roman" w:hAnsi="Times New Roman" w:cs="Times New Roman"/>
          <w:sz w:val="24"/>
          <w:szCs w:val="24"/>
        </w:rPr>
        <w:t>.</w:t>
      </w:r>
      <w:r w:rsidR="00FA52A9">
        <w:rPr>
          <w:rFonts w:ascii="Times New Roman" w:hAnsi="Times New Roman" w:cs="Times New Roman"/>
          <w:sz w:val="24"/>
          <w:szCs w:val="24"/>
        </w:rPr>
        <w:t xml:space="preserve">  </w:t>
      </w:r>
      <w:r w:rsidR="00B82E98">
        <w:rPr>
          <w:rFonts w:ascii="Times New Roman" w:hAnsi="Times New Roman" w:cs="Times New Roman"/>
          <w:sz w:val="24"/>
          <w:szCs w:val="24"/>
        </w:rPr>
        <w:t xml:space="preserve">The </w:t>
      </w:r>
      <w:r w:rsidR="00BD524D">
        <w:rPr>
          <w:rFonts w:ascii="Times New Roman" w:hAnsi="Times New Roman" w:cs="Times New Roman"/>
          <w:sz w:val="24"/>
          <w:szCs w:val="24"/>
        </w:rPr>
        <w:t xml:space="preserve">FBI </w:t>
      </w:r>
      <w:r w:rsidRPr="00BD524D" w:rsidR="00FF6816">
        <w:rPr>
          <w:rFonts w:ascii="Times New Roman" w:hAnsi="Times New Roman" w:cs="Times New Roman"/>
          <w:sz w:val="24"/>
          <w:szCs w:val="24"/>
        </w:rPr>
        <w:t xml:space="preserve">UCR Program receives </w:t>
      </w:r>
      <w:r w:rsidRPr="00680E05" w:rsidR="00FF6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guidance for implementing or making changes to a data collection from the CJIS </w:t>
      </w:r>
      <w:r w:rsidRPr="00680E05" w:rsidR="00E01133">
        <w:rPr>
          <w:rFonts w:ascii="Times New Roman" w:hAnsi="Times New Roman" w:cs="Times New Roman"/>
          <w:color w:val="000000" w:themeColor="text1"/>
          <w:sz w:val="24"/>
          <w:szCs w:val="24"/>
        </w:rPr>
        <w:t>Advisory Policy Board (</w:t>
      </w:r>
      <w:r w:rsidRPr="00680E05" w:rsidR="00FF6816">
        <w:rPr>
          <w:rFonts w:ascii="Times New Roman" w:hAnsi="Times New Roman" w:cs="Times New Roman"/>
          <w:color w:val="000000" w:themeColor="text1"/>
          <w:sz w:val="24"/>
          <w:szCs w:val="24"/>
        </w:rPr>
        <w:t>APB</w:t>
      </w:r>
      <w:r w:rsidRPr="00680E05" w:rsidR="00E0113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80E05" w:rsidR="00FF68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80E05" w:rsidR="007E1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The FBI CJIS advisory proc</w:t>
      </w:r>
      <w:r w:rsidRPr="00680E05">
        <w:rPr>
          <w:rFonts w:ascii="Times New Roman" w:hAnsi="Times New Roman" w:cs="Times New Roman"/>
          <w:color w:val="000000" w:themeColor="text1"/>
          <w:sz w:val="24"/>
          <w:szCs w:val="24"/>
        </w:rPr>
        <w:t>ess was developed to obtain user community</w:t>
      </w:r>
      <w:r w:rsidRPr="00680E05" w:rsidR="007E1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advice and guidance on the deve</w:t>
      </w:r>
      <w:r w:rsidRPr="00680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lopment and </w:t>
      </w:r>
      <w:r w:rsidRPr="00680E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operation of all</w:t>
      </w:r>
      <w:r w:rsidRPr="00680E05" w:rsidR="007E1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CJIS Division programs.  The philosophy underlying the advisory process is one of shared management</w:t>
      </w:r>
      <w:r w:rsidRPr="00680E05" w:rsidR="00B82E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i.e., </w:t>
      </w:r>
      <w:r w:rsidRPr="00680E05" w:rsidR="007E1864">
        <w:rPr>
          <w:rFonts w:ascii="Times New Roman" w:hAnsi="Times New Roman" w:cs="Times New Roman"/>
          <w:color w:val="000000" w:themeColor="text1"/>
          <w:sz w:val="24"/>
          <w:szCs w:val="24"/>
        </w:rPr>
        <w:t>the FBI</w:t>
      </w:r>
      <w:r w:rsidRPr="00680E05" w:rsidR="00B82E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680E05" w:rsidR="00294152">
        <w:rPr>
          <w:rFonts w:ascii="Times New Roman" w:hAnsi="Times New Roman" w:cs="Times New Roman"/>
          <w:color w:val="000000" w:themeColor="text1"/>
          <w:sz w:val="24"/>
          <w:szCs w:val="24"/>
        </w:rPr>
        <w:t>federal</w:t>
      </w:r>
      <w:r w:rsidRPr="00680E05" w:rsidR="00B82E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80E05" w:rsidR="00294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state, local, and </w:t>
      </w:r>
      <w:r w:rsidRPr="00680E05" w:rsidR="007E1864">
        <w:rPr>
          <w:rFonts w:ascii="Times New Roman" w:hAnsi="Times New Roman" w:cs="Times New Roman"/>
          <w:color w:val="000000" w:themeColor="text1"/>
          <w:sz w:val="24"/>
          <w:szCs w:val="24"/>
        </w:rPr>
        <w:t>tribal</w:t>
      </w:r>
      <w:r w:rsidRPr="00680E05" w:rsidR="00294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0E05" w:rsidR="007E1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</w:t>
      </w:r>
      <w:r w:rsidRPr="00680E05" w:rsidR="00B82E98">
        <w:rPr>
          <w:rFonts w:ascii="Times New Roman" w:hAnsi="Times New Roman" w:cs="Times New Roman"/>
          <w:color w:val="000000" w:themeColor="text1"/>
          <w:sz w:val="24"/>
          <w:szCs w:val="24"/>
        </w:rPr>
        <w:t>providers;</w:t>
      </w:r>
      <w:r w:rsidRPr="00680E05" w:rsidR="007E1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system users share responsibility for the operation and management of all systems</w:t>
      </w:r>
      <w:r w:rsidRPr="00680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administered by the FBI to</w:t>
      </w:r>
      <w:r w:rsidRPr="00680E05" w:rsidR="007E1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benefit the criminal justice community.</w:t>
      </w:r>
    </w:p>
    <w:p w:rsidRPr="00680E05" w:rsidR="007E1864" w:rsidP="00D21942" w:rsidRDefault="007E186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DE8" w:rsidP="00A50842" w:rsidRDefault="00E01133">
      <w:pPr>
        <w:pStyle w:val="ListParagraph"/>
        <w:spacing w:after="0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 w:rsidRPr="00680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Liaison with </w:t>
      </w:r>
      <w:r w:rsidRPr="00680E05" w:rsidR="00B82E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680E05">
        <w:rPr>
          <w:rFonts w:ascii="Times New Roman" w:hAnsi="Times New Roman" w:cs="Times New Roman"/>
          <w:color w:val="000000" w:themeColor="text1"/>
          <w:sz w:val="24"/>
          <w:szCs w:val="24"/>
        </w:rPr>
        <w:t>International Association of Chiefs of Police, Nation</w:t>
      </w:r>
      <w:r w:rsidRPr="00680E05" w:rsidR="00EB2929">
        <w:rPr>
          <w:rFonts w:ascii="Times New Roman" w:hAnsi="Times New Roman" w:cs="Times New Roman"/>
          <w:color w:val="000000" w:themeColor="text1"/>
          <w:sz w:val="24"/>
          <w:szCs w:val="24"/>
        </w:rPr>
        <w:t>al Sheriffs</w:t>
      </w:r>
      <w:r w:rsidR="00FA52A9">
        <w:rPr>
          <w:rFonts w:ascii="Times New Roman" w:hAnsi="Times New Roman" w:cs="Times New Roman"/>
          <w:color w:val="000000" w:themeColor="text1"/>
          <w:sz w:val="24"/>
          <w:szCs w:val="24"/>
        </w:rPr>
        <w:t>’ </w:t>
      </w:r>
      <w:r w:rsidRPr="00680E05" w:rsidR="00EB2929">
        <w:rPr>
          <w:rFonts w:ascii="Times New Roman" w:hAnsi="Times New Roman" w:cs="Times New Roman"/>
          <w:color w:val="000000" w:themeColor="text1"/>
          <w:sz w:val="24"/>
          <w:szCs w:val="24"/>
        </w:rPr>
        <w:t>Association, and</w:t>
      </w:r>
      <w:r w:rsidR="00FA5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CJIS APB</w:t>
      </w:r>
      <w:r w:rsidRPr="00680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been effective in the effort to collect SHR data and to design a collection form which provide</w:t>
      </w:r>
      <w:r w:rsidR="00680E0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80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meaningful information to all those concerned.  </w:t>
      </w:r>
      <w:r w:rsidRPr="00680E05" w:rsidR="007E1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have not been any changes to the current SHR form </w:t>
      </w:r>
      <w:r w:rsidRPr="00680E05" w:rsidR="00201584">
        <w:rPr>
          <w:rFonts w:ascii="Times New Roman" w:hAnsi="Times New Roman" w:cs="Times New Roman"/>
          <w:color w:val="000000" w:themeColor="text1"/>
          <w:sz w:val="24"/>
          <w:szCs w:val="24"/>
        </w:rPr>
        <w:t>which</w:t>
      </w:r>
      <w:r w:rsidRPr="00680E05" w:rsidR="007E1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1133" w:rsidR="007E1864">
        <w:rPr>
          <w:rFonts w:ascii="Times New Roman" w:hAnsi="Times New Roman" w:cs="Times New Roman"/>
          <w:sz w:val="24"/>
          <w:szCs w:val="24"/>
        </w:rPr>
        <w:t xml:space="preserve">need to be tested.  </w:t>
      </w:r>
      <w:r w:rsidR="00EB2929">
        <w:rPr>
          <w:rFonts w:ascii="Times New Roman" w:hAnsi="Times New Roman" w:cs="Times New Roman"/>
          <w:sz w:val="24"/>
          <w:szCs w:val="24"/>
        </w:rPr>
        <w:t xml:space="preserve">No comments or </w:t>
      </w:r>
      <w:r w:rsidRPr="00E01133" w:rsidR="007B0DE8">
        <w:rPr>
          <w:rFonts w:ascii="Times New Roman" w:hAnsi="Times New Roman" w:cs="Times New Roman"/>
          <w:sz w:val="24"/>
          <w:szCs w:val="24"/>
        </w:rPr>
        <w:t>problems have</w:t>
      </w:r>
      <w:r w:rsidRPr="00E01133" w:rsidR="007E1864">
        <w:rPr>
          <w:rFonts w:ascii="Times New Roman" w:hAnsi="Times New Roman" w:cs="Times New Roman"/>
          <w:sz w:val="24"/>
          <w:szCs w:val="24"/>
        </w:rPr>
        <w:t xml:space="preserve"> </w:t>
      </w:r>
      <w:r w:rsidR="00EB2929">
        <w:rPr>
          <w:rFonts w:ascii="Times New Roman" w:hAnsi="Times New Roman" w:cs="Times New Roman"/>
          <w:sz w:val="24"/>
          <w:szCs w:val="24"/>
        </w:rPr>
        <w:t xml:space="preserve">been </w:t>
      </w:r>
      <w:r w:rsidRPr="00E01133" w:rsidR="007E1864">
        <w:rPr>
          <w:rFonts w:ascii="Times New Roman" w:hAnsi="Times New Roman" w:cs="Times New Roman"/>
          <w:sz w:val="24"/>
          <w:szCs w:val="24"/>
        </w:rPr>
        <w:t xml:space="preserve">reported </w:t>
      </w:r>
      <w:r w:rsidR="00714553">
        <w:rPr>
          <w:rFonts w:ascii="Times New Roman" w:hAnsi="Times New Roman" w:cs="Times New Roman"/>
          <w:sz w:val="24"/>
          <w:szCs w:val="24"/>
        </w:rPr>
        <w:t>by</w:t>
      </w:r>
      <w:r w:rsidRPr="00E01133" w:rsidR="007E1864">
        <w:rPr>
          <w:rFonts w:ascii="Times New Roman" w:hAnsi="Times New Roman" w:cs="Times New Roman"/>
          <w:sz w:val="24"/>
          <w:szCs w:val="24"/>
        </w:rPr>
        <w:t xml:space="preserve"> the C</w:t>
      </w:r>
      <w:r w:rsidRPr="00E01133" w:rsidR="00FF6816">
        <w:rPr>
          <w:rFonts w:ascii="Times New Roman" w:hAnsi="Times New Roman" w:cs="Times New Roman"/>
          <w:sz w:val="24"/>
          <w:szCs w:val="24"/>
        </w:rPr>
        <w:t xml:space="preserve">JIS </w:t>
      </w:r>
      <w:r w:rsidR="007C0378">
        <w:rPr>
          <w:rFonts w:ascii="Times New Roman" w:hAnsi="Times New Roman" w:cs="Times New Roman"/>
          <w:sz w:val="24"/>
          <w:szCs w:val="24"/>
        </w:rPr>
        <w:t>APB</w:t>
      </w:r>
      <w:r w:rsidR="00EB2929">
        <w:rPr>
          <w:rFonts w:ascii="Times New Roman" w:hAnsi="Times New Roman" w:cs="Times New Roman"/>
          <w:sz w:val="24"/>
          <w:szCs w:val="24"/>
        </w:rPr>
        <w:t xml:space="preserve"> or </w:t>
      </w:r>
      <w:r w:rsidR="00FA52A9">
        <w:rPr>
          <w:rFonts w:ascii="Times New Roman" w:hAnsi="Times New Roman" w:cs="Times New Roman"/>
          <w:sz w:val="24"/>
          <w:szCs w:val="24"/>
        </w:rPr>
        <w:t xml:space="preserve">the </w:t>
      </w:r>
      <w:r w:rsidRPr="00E01133" w:rsidR="00FF6816">
        <w:rPr>
          <w:rFonts w:ascii="Times New Roman" w:hAnsi="Times New Roman" w:cs="Times New Roman"/>
          <w:sz w:val="24"/>
          <w:szCs w:val="24"/>
        </w:rPr>
        <w:t>A</w:t>
      </w:r>
      <w:r w:rsidR="00680E05">
        <w:rPr>
          <w:rFonts w:ascii="Times New Roman" w:hAnsi="Times New Roman" w:cs="Times New Roman"/>
          <w:sz w:val="24"/>
          <w:szCs w:val="24"/>
        </w:rPr>
        <w:t xml:space="preserve">ssociation of </w:t>
      </w:r>
      <w:r w:rsidRPr="00E01133" w:rsidR="00FF6816">
        <w:rPr>
          <w:rFonts w:ascii="Times New Roman" w:hAnsi="Times New Roman" w:cs="Times New Roman"/>
          <w:sz w:val="24"/>
          <w:szCs w:val="24"/>
        </w:rPr>
        <w:t>S</w:t>
      </w:r>
      <w:r w:rsidR="00680E05">
        <w:rPr>
          <w:rFonts w:ascii="Times New Roman" w:hAnsi="Times New Roman" w:cs="Times New Roman"/>
          <w:sz w:val="24"/>
          <w:szCs w:val="24"/>
        </w:rPr>
        <w:t xml:space="preserve">tate </w:t>
      </w:r>
      <w:r w:rsidRPr="00E01133" w:rsidR="00FF6816">
        <w:rPr>
          <w:rFonts w:ascii="Times New Roman" w:hAnsi="Times New Roman" w:cs="Times New Roman"/>
          <w:sz w:val="24"/>
          <w:szCs w:val="24"/>
        </w:rPr>
        <w:t>UCR</w:t>
      </w:r>
      <w:r w:rsidR="00696CC7">
        <w:rPr>
          <w:rFonts w:ascii="Times New Roman" w:hAnsi="Times New Roman" w:cs="Times New Roman"/>
          <w:sz w:val="24"/>
          <w:szCs w:val="24"/>
        </w:rPr>
        <w:t> </w:t>
      </w:r>
      <w:r w:rsidRPr="00E01133" w:rsidR="00FF6816">
        <w:rPr>
          <w:rFonts w:ascii="Times New Roman" w:hAnsi="Times New Roman" w:cs="Times New Roman"/>
          <w:sz w:val="24"/>
          <w:szCs w:val="24"/>
        </w:rPr>
        <w:t>P</w:t>
      </w:r>
      <w:r w:rsidR="00680E05">
        <w:rPr>
          <w:rFonts w:ascii="Times New Roman" w:hAnsi="Times New Roman" w:cs="Times New Roman"/>
          <w:sz w:val="24"/>
          <w:szCs w:val="24"/>
        </w:rPr>
        <w:t>rograms</w:t>
      </w:r>
      <w:r w:rsidR="00714553">
        <w:rPr>
          <w:rFonts w:ascii="Times New Roman" w:hAnsi="Times New Roman" w:cs="Times New Roman"/>
          <w:sz w:val="24"/>
          <w:szCs w:val="24"/>
        </w:rPr>
        <w:t>,</w:t>
      </w:r>
      <w:r w:rsidRPr="00E01133" w:rsidR="00FF6816">
        <w:rPr>
          <w:rFonts w:ascii="Times New Roman" w:hAnsi="Times New Roman" w:cs="Times New Roman"/>
          <w:sz w:val="24"/>
          <w:szCs w:val="24"/>
        </w:rPr>
        <w:t xml:space="preserve"> which </w:t>
      </w:r>
      <w:r w:rsidR="00714553">
        <w:rPr>
          <w:rFonts w:ascii="Times New Roman" w:hAnsi="Times New Roman" w:cs="Times New Roman"/>
          <w:sz w:val="24"/>
          <w:szCs w:val="24"/>
        </w:rPr>
        <w:t xml:space="preserve">conduct </w:t>
      </w:r>
      <w:r w:rsidRPr="00E01133" w:rsidR="00FF6816">
        <w:rPr>
          <w:rFonts w:ascii="Times New Roman" w:hAnsi="Times New Roman" w:cs="Times New Roman"/>
          <w:sz w:val="24"/>
          <w:szCs w:val="24"/>
        </w:rPr>
        <w:t>meet</w:t>
      </w:r>
      <w:r w:rsidR="00714553">
        <w:rPr>
          <w:rFonts w:ascii="Times New Roman" w:hAnsi="Times New Roman" w:cs="Times New Roman"/>
          <w:sz w:val="24"/>
          <w:szCs w:val="24"/>
        </w:rPr>
        <w:t>ings</w:t>
      </w:r>
      <w:r w:rsidRPr="00E01133" w:rsidR="00FF6816">
        <w:rPr>
          <w:rFonts w:ascii="Times New Roman" w:hAnsi="Times New Roman" w:cs="Times New Roman"/>
          <w:sz w:val="24"/>
          <w:szCs w:val="24"/>
        </w:rPr>
        <w:t xml:space="preserve"> fre</w:t>
      </w:r>
      <w:r w:rsidR="00EB2929">
        <w:rPr>
          <w:rFonts w:ascii="Times New Roman" w:hAnsi="Times New Roman" w:cs="Times New Roman"/>
          <w:sz w:val="24"/>
          <w:szCs w:val="24"/>
        </w:rPr>
        <w:t>quently throughout each year.</w:t>
      </w:r>
      <w:r w:rsidR="00680E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1533" w:rsidP="00D21942" w:rsidRDefault="00B2153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378" w:rsidP="007C0378" w:rsidRDefault="00294152">
      <w:pPr>
        <w:pStyle w:val="ListParagraph"/>
        <w:spacing w:after="0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21533">
        <w:rPr>
          <w:rFonts w:ascii="Times New Roman" w:hAnsi="Times New Roman" w:cs="Times New Roman"/>
          <w:sz w:val="24"/>
          <w:szCs w:val="24"/>
        </w:rPr>
        <w:t>FB</w:t>
      </w:r>
      <w:r w:rsidR="00BD524D">
        <w:rPr>
          <w:rFonts w:ascii="Times New Roman" w:hAnsi="Times New Roman" w:cs="Times New Roman"/>
          <w:sz w:val="24"/>
          <w:szCs w:val="24"/>
        </w:rPr>
        <w:t xml:space="preserve">I UCR Program collects data on </w:t>
      </w:r>
      <w:r w:rsidR="007C0378">
        <w:rPr>
          <w:rFonts w:ascii="Times New Roman" w:hAnsi="Times New Roman" w:cs="Times New Roman"/>
          <w:sz w:val="24"/>
          <w:szCs w:val="24"/>
        </w:rPr>
        <w:t xml:space="preserve">the offense of </w:t>
      </w:r>
      <w:r w:rsidR="00BD524D">
        <w:rPr>
          <w:rFonts w:ascii="Times New Roman" w:hAnsi="Times New Roman" w:cs="Times New Roman"/>
          <w:sz w:val="24"/>
          <w:szCs w:val="24"/>
        </w:rPr>
        <w:t>n</w:t>
      </w:r>
      <w:r w:rsidR="00B21533">
        <w:rPr>
          <w:rFonts w:ascii="Times New Roman" w:hAnsi="Times New Roman" w:cs="Times New Roman"/>
          <w:sz w:val="24"/>
          <w:szCs w:val="24"/>
        </w:rPr>
        <w:t xml:space="preserve">egligent </w:t>
      </w:r>
      <w:r w:rsidR="00BD524D">
        <w:rPr>
          <w:rFonts w:ascii="Times New Roman" w:hAnsi="Times New Roman" w:cs="Times New Roman"/>
          <w:sz w:val="24"/>
          <w:szCs w:val="24"/>
        </w:rPr>
        <w:t>m</w:t>
      </w:r>
      <w:r w:rsidR="00B21533">
        <w:rPr>
          <w:rFonts w:ascii="Times New Roman" w:hAnsi="Times New Roman" w:cs="Times New Roman"/>
          <w:sz w:val="24"/>
          <w:szCs w:val="24"/>
        </w:rPr>
        <w:t>anslaughter, but</w:t>
      </w:r>
      <w:r w:rsidR="007C0378">
        <w:rPr>
          <w:rFonts w:ascii="Times New Roman" w:hAnsi="Times New Roman" w:cs="Times New Roman"/>
          <w:sz w:val="24"/>
          <w:szCs w:val="24"/>
        </w:rPr>
        <w:t xml:space="preserve"> currently does not publish the information because</w:t>
      </w:r>
      <w:r w:rsidR="00B21533">
        <w:rPr>
          <w:rFonts w:ascii="Times New Roman" w:hAnsi="Times New Roman" w:cs="Times New Roman"/>
          <w:sz w:val="24"/>
          <w:szCs w:val="24"/>
        </w:rPr>
        <w:t xml:space="preserve"> it is </w:t>
      </w:r>
      <w:r w:rsidR="007C0378">
        <w:rPr>
          <w:rFonts w:ascii="Times New Roman" w:hAnsi="Times New Roman" w:cs="Times New Roman"/>
          <w:sz w:val="24"/>
          <w:szCs w:val="24"/>
        </w:rPr>
        <w:t>not a</w:t>
      </w:r>
      <w:r w:rsidR="00B21533">
        <w:rPr>
          <w:rFonts w:ascii="Times New Roman" w:hAnsi="Times New Roman" w:cs="Times New Roman"/>
          <w:sz w:val="24"/>
          <w:szCs w:val="24"/>
        </w:rPr>
        <w:t xml:space="preserve"> </w:t>
      </w:r>
      <w:r w:rsidR="00680E05">
        <w:rPr>
          <w:rFonts w:ascii="Times New Roman" w:hAnsi="Times New Roman" w:cs="Times New Roman"/>
          <w:sz w:val="24"/>
          <w:szCs w:val="24"/>
        </w:rPr>
        <w:t>Part I</w:t>
      </w:r>
      <w:r w:rsidR="00B21533">
        <w:rPr>
          <w:rFonts w:ascii="Times New Roman" w:hAnsi="Times New Roman" w:cs="Times New Roman"/>
          <w:sz w:val="24"/>
          <w:szCs w:val="24"/>
        </w:rPr>
        <w:t xml:space="preserve"> crime.  However, in 2019, the FBI </w:t>
      </w:r>
      <w:r w:rsidR="00680E05">
        <w:rPr>
          <w:rFonts w:ascii="Times New Roman" w:hAnsi="Times New Roman" w:cs="Times New Roman"/>
          <w:sz w:val="24"/>
          <w:szCs w:val="24"/>
        </w:rPr>
        <w:t>began</w:t>
      </w:r>
      <w:r w:rsidR="00B21533">
        <w:rPr>
          <w:rFonts w:ascii="Times New Roman" w:hAnsi="Times New Roman" w:cs="Times New Roman"/>
          <w:sz w:val="24"/>
          <w:szCs w:val="24"/>
        </w:rPr>
        <w:t xml:space="preserve"> collecting vehicular negligent m</w:t>
      </w:r>
      <w:r w:rsidR="006559B8">
        <w:rPr>
          <w:rFonts w:ascii="Times New Roman" w:hAnsi="Times New Roman" w:cs="Times New Roman"/>
          <w:sz w:val="24"/>
          <w:szCs w:val="24"/>
        </w:rPr>
        <w:t>anslaughter data in NIBRS.  The statistics</w:t>
      </w:r>
      <w:r w:rsidR="00B21533">
        <w:rPr>
          <w:rFonts w:ascii="Times New Roman" w:hAnsi="Times New Roman" w:cs="Times New Roman"/>
          <w:sz w:val="24"/>
          <w:szCs w:val="24"/>
        </w:rPr>
        <w:t xml:space="preserve"> will be published in the 2</w:t>
      </w:r>
      <w:r w:rsidR="00EB2929">
        <w:rPr>
          <w:rFonts w:ascii="Times New Roman" w:hAnsi="Times New Roman" w:cs="Times New Roman"/>
          <w:sz w:val="24"/>
          <w:szCs w:val="24"/>
        </w:rPr>
        <w:t>019 edition of NIBRS</w:t>
      </w:r>
      <w:r w:rsidR="00B21533">
        <w:rPr>
          <w:rFonts w:ascii="Times New Roman" w:hAnsi="Times New Roman" w:cs="Times New Roman"/>
          <w:sz w:val="24"/>
          <w:szCs w:val="24"/>
        </w:rPr>
        <w:t xml:space="preserve"> </w:t>
      </w:r>
      <w:r w:rsidR="00390BFD">
        <w:rPr>
          <w:rFonts w:ascii="Times New Roman" w:hAnsi="Times New Roman" w:cs="Times New Roman"/>
          <w:sz w:val="24"/>
          <w:szCs w:val="24"/>
        </w:rPr>
        <w:t>w</w:t>
      </w:r>
      <w:r w:rsidR="00680E05">
        <w:rPr>
          <w:rFonts w:ascii="Times New Roman" w:hAnsi="Times New Roman" w:cs="Times New Roman"/>
          <w:sz w:val="24"/>
          <w:szCs w:val="24"/>
        </w:rPr>
        <w:t>hich will</w:t>
      </w:r>
      <w:r w:rsidR="00EB2929">
        <w:rPr>
          <w:rFonts w:ascii="Times New Roman" w:hAnsi="Times New Roman" w:cs="Times New Roman"/>
          <w:sz w:val="24"/>
          <w:szCs w:val="24"/>
        </w:rPr>
        <w:t xml:space="preserve"> </w:t>
      </w:r>
      <w:r w:rsidR="00B21533">
        <w:rPr>
          <w:rFonts w:ascii="Times New Roman" w:hAnsi="Times New Roman" w:cs="Times New Roman"/>
          <w:sz w:val="24"/>
          <w:szCs w:val="24"/>
        </w:rPr>
        <w:t xml:space="preserve">be released in </w:t>
      </w: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B21533">
        <w:rPr>
          <w:rFonts w:ascii="Times New Roman" w:hAnsi="Times New Roman" w:cs="Times New Roman"/>
          <w:sz w:val="24"/>
          <w:szCs w:val="24"/>
        </w:rPr>
        <w:t>2020.</w:t>
      </w:r>
      <w:r w:rsidR="006559B8">
        <w:rPr>
          <w:rFonts w:ascii="Times New Roman" w:hAnsi="Times New Roman" w:cs="Times New Roman"/>
          <w:sz w:val="24"/>
          <w:szCs w:val="24"/>
        </w:rPr>
        <w:t xml:space="preserve">  </w:t>
      </w:r>
      <w:r w:rsidR="007C0378">
        <w:rPr>
          <w:rFonts w:ascii="Times New Roman" w:hAnsi="Times New Roman" w:cs="Times New Roman"/>
          <w:sz w:val="24"/>
          <w:szCs w:val="24"/>
        </w:rPr>
        <w:t xml:space="preserve">All justifiable homicide data will be captured under the </w:t>
      </w:r>
      <w:r w:rsidR="006559B8">
        <w:rPr>
          <w:rFonts w:ascii="Times New Roman" w:hAnsi="Times New Roman" w:cs="Times New Roman"/>
          <w:sz w:val="24"/>
          <w:szCs w:val="24"/>
        </w:rPr>
        <w:t>National Use-of-</w:t>
      </w:r>
      <w:r w:rsidR="007C0378">
        <w:rPr>
          <w:rFonts w:ascii="Times New Roman" w:hAnsi="Times New Roman" w:cs="Times New Roman"/>
          <w:sz w:val="24"/>
          <w:szCs w:val="24"/>
        </w:rPr>
        <w:t>Force Data Collection.</w:t>
      </w:r>
    </w:p>
    <w:p w:rsidRPr="00E01133" w:rsidR="00B21533" w:rsidP="00D21942" w:rsidRDefault="00B2153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72282" w:rsidR="00D21942" w:rsidP="00C660DC" w:rsidRDefault="00D219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E5526A" w:rsidR="00696CC7" w:rsidP="00696CC7" w:rsidRDefault="00696CC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52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Contacts for Statistical Aspects and Data Collection</w:t>
      </w:r>
    </w:p>
    <w:p w:rsidR="00D21942" w:rsidP="00D21942" w:rsidRDefault="00D219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D21942" w:rsidR="007E1864" w:rsidP="00D21942" w:rsidRDefault="002941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942">
        <w:rPr>
          <w:rFonts w:ascii="Times New Roman" w:hAnsi="Times New Roman" w:cs="Times New Roman"/>
          <w:sz w:val="24"/>
          <w:szCs w:val="24"/>
        </w:rPr>
        <w:t>Trudy L. Ford</w:t>
      </w:r>
    </w:p>
    <w:p w:rsidR="007E1864" w:rsidP="00D21942" w:rsidRDefault="002941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Global </w:t>
      </w:r>
      <w:r w:rsidR="007E186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aw </w:t>
      </w:r>
      <w:r w:rsidR="007E186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nforcement </w:t>
      </w:r>
      <w:r w:rsidR="007E18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upport </w:t>
      </w:r>
      <w:r w:rsidR="007E18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ection</w:t>
      </w:r>
      <w:r w:rsidR="007E1864">
        <w:rPr>
          <w:rFonts w:ascii="Times New Roman" w:hAnsi="Times New Roman" w:cs="Times New Roman"/>
          <w:sz w:val="24"/>
          <w:szCs w:val="24"/>
        </w:rPr>
        <w:t xml:space="preserve"> </w:t>
      </w:r>
      <w:r w:rsidR="004F4E44">
        <w:rPr>
          <w:rFonts w:ascii="Times New Roman" w:hAnsi="Times New Roman" w:cs="Times New Roman"/>
          <w:sz w:val="24"/>
          <w:szCs w:val="24"/>
        </w:rPr>
        <w:t xml:space="preserve">(GLESS) </w:t>
      </w:r>
      <w:r w:rsidR="007E1864">
        <w:rPr>
          <w:rFonts w:ascii="Times New Roman" w:hAnsi="Times New Roman" w:cs="Times New Roman"/>
          <w:sz w:val="24"/>
          <w:szCs w:val="24"/>
        </w:rPr>
        <w:t>Chief</w:t>
      </w:r>
    </w:p>
    <w:p w:rsidRPr="00B72282" w:rsidR="007E1864" w:rsidP="00D21942" w:rsidRDefault="00D11E93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</w:t>
      </w:r>
      <w:r w:rsidRPr="00B72282">
        <w:rPr>
          <w:rFonts w:ascii="Times New Roman" w:hAnsi="Times New Roman" w:cs="Times New Roman"/>
          <w:color w:val="000000" w:themeColor="text1"/>
          <w:sz w:val="24"/>
          <w:szCs w:val="24"/>
        </w:rPr>
        <w:t>ford@fbi.gov</w:t>
      </w:r>
    </w:p>
    <w:p w:rsidRPr="00B72282" w:rsidR="007E1864" w:rsidP="00D21942" w:rsidRDefault="007E186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2282">
        <w:rPr>
          <w:rFonts w:ascii="Times New Roman" w:hAnsi="Times New Roman" w:cs="Times New Roman"/>
          <w:color w:val="000000" w:themeColor="text1"/>
          <w:sz w:val="24"/>
          <w:szCs w:val="24"/>
        </w:rPr>
        <w:t>304</w:t>
      </w:r>
      <w:r w:rsidRPr="00B72282" w:rsidR="0020158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72282">
        <w:rPr>
          <w:rFonts w:ascii="Times New Roman" w:hAnsi="Times New Roman" w:cs="Times New Roman"/>
          <w:color w:val="000000" w:themeColor="text1"/>
          <w:sz w:val="24"/>
          <w:szCs w:val="24"/>
        </w:rPr>
        <w:t>625-3690</w:t>
      </w:r>
    </w:p>
    <w:p w:rsidRPr="00FA52A9" w:rsidR="007E1864" w:rsidP="00D21942" w:rsidRDefault="007E1864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FA52A9" w:rsidR="004F4E44" w:rsidP="00D21942" w:rsidRDefault="00B72282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2A9">
        <w:rPr>
          <w:rFonts w:ascii="Times New Roman" w:hAnsi="Times New Roman" w:cs="Times New Roman"/>
          <w:color w:val="000000" w:themeColor="text1"/>
          <w:sz w:val="24"/>
          <w:szCs w:val="24"/>
        </w:rPr>
        <w:t>Michael J. McKeown</w:t>
      </w:r>
    </w:p>
    <w:p w:rsidRPr="00FA52A9" w:rsidR="00B72282" w:rsidP="00D21942" w:rsidRDefault="00B72282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GLESS Assistant Section Chief </w:t>
      </w:r>
    </w:p>
    <w:p w:rsidRPr="00A6696E" w:rsidR="00A6696E" w:rsidP="00D21942" w:rsidRDefault="00A6696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FA52A9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mjmckeown@fbi.gov</w:t>
      </w:r>
      <w:r w:rsidRPr="00A6696E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 </w:t>
      </w:r>
    </w:p>
    <w:p w:rsidRPr="00A6696E" w:rsidR="00A6696E" w:rsidP="00D21942" w:rsidRDefault="00A6696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A6696E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304-625-2966 </w:t>
      </w:r>
      <w:r w:rsidRPr="00A6696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br/>
      </w:r>
      <w:r w:rsidRPr="00A6696E">
        <w:rPr>
          <w:rFonts w:ascii="Calibri" w:hAnsi="Calibri" w:eastAsia="Times New Roman" w:cs="Calibri"/>
          <w:color w:val="000000" w:themeColor="text1"/>
          <w:bdr w:val="none" w:color="auto" w:sz="0" w:space="0" w:frame="1"/>
        </w:rPr>
        <w:t> </w:t>
      </w:r>
      <w:r w:rsidRPr="00A6696E">
        <w:rPr>
          <w:rFonts w:ascii="Calibri" w:hAnsi="Calibri" w:eastAsia="Times New Roman" w:cs="Calibri"/>
          <w:color w:val="000000" w:themeColor="text1"/>
          <w:bdr w:val="none" w:color="auto" w:sz="0" w:space="0" w:frame="1"/>
        </w:rPr>
        <w:br/>
      </w:r>
      <w:r w:rsidRPr="00A6696E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Amy C. Blasher </w:t>
      </w:r>
    </w:p>
    <w:p w:rsidRPr="00A6696E" w:rsidR="00A6696E" w:rsidP="00D21942" w:rsidRDefault="00A6696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A6696E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C</w:t>
      </w:r>
      <w:r w:rsidRPr="00FA52A9" w:rsidR="00FA52A9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 xml:space="preserve">rime </w:t>
      </w:r>
      <w:r w:rsidRPr="00A6696E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S</w:t>
      </w:r>
      <w:r w:rsidRPr="00FA52A9" w:rsidR="00FA52A9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 xml:space="preserve">tatistics </w:t>
      </w:r>
      <w:r w:rsidRPr="00A6696E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M</w:t>
      </w:r>
      <w:r w:rsidRPr="00FA52A9" w:rsidR="00FA52A9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 xml:space="preserve">anagement </w:t>
      </w:r>
      <w:r w:rsidRPr="00A6696E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U</w:t>
      </w:r>
      <w:r w:rsidRPr="00FA52A9" w:rsidR="00FA52A9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nit (CSMU)</w:t>
      </w:r>
      <w:r w:rsidRPr="00A6696E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 xml:space="preserve"> Chief </w:t>
      </w:r>
    </w:p>
    <w:p w:rsidRPr="00A6696E" w:rsidR="00A6696E" w:rsidP="00D21942" w:rsidRDefault="00A6696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FA52A9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acblasher@fbi.gov</w:t>
      </w:r>
      <w:r w:rsidRPr="00A6696E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 </w:t>
      </w:r>
    </w:p>
    <w:p w:rsidRPr="00A6696E" w:rsidR="00A6696E" w:rsidP="00D21942" w:rsidRDefault="00A6696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A6696E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304-625-4840 </w:t>
      </w:r>
    </w:p>
    <w:p w:rsidRPr="006559B8" w:rsidR="00A6696E" w:rsidP="00D21942" w:rsidRDefault="00A6696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A6696E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 </w:t>
      </w:r>
    </w:p>
    <w:p w:rsidRPr="006559B8" w:rsidR="00A6696E" w:rsidP="00D21942" w:rsidRDefault="00A6696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559B8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Cynthia Barnett-Ryan </w:t>
      </w:r>
    </w:p>
    <w:p w:rsidRPr="006559B8" w:rsidR="00A6696E" w:rsidP="00D21942" w:rsidRDefault="00A6696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559B8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Statistician</w:t>
      </w:r>
      <w:r w:rsidRPr="006559B8" w:rsidR="00FA52A9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, CSMU</w:t>
      </w:r>
      <w:r w:rsidRPr="006559B8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 </w:t>
      </w:r>
    </w:p>
    <w:p w:rsidRPr="006559B8" w:rsidR="00A6696E" w:rsidP="00D21942" w:rsidRDefault="00A6696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559B8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cbarnett-ryan@fbi.gov </w:t>
      </w:r>
    </w:p>
    <w:p w:rsidRPr="006559B8" w:rsidR="00A6696E" w:rsidP="00D21942" w:rsidRDefault="00A6696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559B8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304-625-3576 </w:t>
      </w:r>
    </w:p>
    <w:p w:rsidRPr="006559B8" w:rsidR="00A6696E" w:rsidP="00D21942" w:rsidRDefault="00A6696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559B8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 </w:t>
      </w:r>
    </w:p>
    <w:p w:rsidRPr="006559B8" w:rsidR="00B72282" w:rsidP="00D21942" w:rsidRDefault="00B72282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</w:pPr>
      <w:r w:rsidRPr="006559B8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Malissa C. Vavra</w:t>
      </w:r>
    </w:p>
    <w:p w:rsidRPr="006559B8" w:rsidR="00A6696E" w:rsidP="00D21942" w:rsidRDefault="00B72282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</w:pPr>
      <w:r w:rsidRPr="006559B8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Statistician</w:t>
      </w:r>
      <w:r w:rsidRPr="006559B8" w:rsidR="00FA52A9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, CSMU</w:t>
      </w:r>
    </w:p>
    <w:p w:rsidRPr="006559B8" w:rsidR="00B72282" w:rsidP="00D21942" w:rsidRDefault="00CD7AC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</w:pPr>
      <w:hyperlink w:history="1" r:id="rId7">
        <w:r w:rsidRPr="006559B8" w:rsidR="00C07ABE">
          <w:rPr>
            <w:rStyle w:val="Hyperlink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  <w:bdr w:val="none" w:color="auto" w:sz="0" w:space="0" w:frame="1"/>
          </w:rPr>
          <w:t>mcvavra@fbi.gov</w:t>
        </w:r>
      </w:hyperlink>
    </w:p>
    <w:p w:rsidRPr="006559B8" w:rsidR="00C07ABE" w:rsidP="00D21942" w:rsidRDefault="00C07AB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</w:pPr>
      <w:r w:rsidRPr="006559B8">
        <w:rPr>
          <w:rFonts w:ascii="Times New Roman" w:hAnsi="Times New Roman" w:eastAsia="Times New Roman" w:cs="Times New Roman"/>
          <w:color w:val="000000" w:themeColor="text1"/>
          <w:sz w:val="24"/>
          <w:szCs w:val="24"/>
          <w:bdr w:val="none" w:color="auto" w:sz="0" w:space="0" w:frame="1"/>
        </w:rPr>
        <w:t>304-625-3010</w:t>
      </w:r>
    </w:p>
    <w:p w:rsidRPr="00A6696E" w:rsidR="00B72282" w:rsidP="00A6696E" w:rsidRDefault="00B72282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eastAsia="Times New Roman" w:cs="Times New Roman"/>
          <w:color w:val="201F1E"/>
          <w:sz w:val="24"/>
          <w:szCs w:val="24"/>
        </w:rPr>
      </w:pPr>
    </w:p>
    <w:sectPr w:rsidRPr="00A6696E" w:rsidR="00B72282" w:rsidSect="00A50842">
      <w:footerReference w:type="default" r:id="rId8"/>
      <w:pgSz w:w="12240" w:h="15840"/>
      <w:pgMar w:top="1440" w:right="1440" w:bottom="1296" w:left="144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ACB" w:rsidRDefault="00CD7ACB" w:rsidP="00CC04E9">
      <w:pPr>
        <w:spacing w:after="0" w:line="240" w:lineRule="auto"/>
      </w:pPr>
      <w:r>
        <w:separator/>
      </w:r>
    </w:p>
  </w:endnote>
  <w:endnote w:type="continuationSeparator" w:id="0">
    <w:p w:rsidR="00CD7ACB" w:rsidRDefault="00CD7ACB" w:rsidP="00CC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3077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C04E9" w:rsidRPr="0050697E" w:rsidRDefault="00CC04E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69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69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69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32DC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50697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C04E9" w:rsidRDefault="00CC0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ACB" w:rsidRDefault="00CD7ACB" w:rsidP="00CC04E9">
      <w:pPr>
        <w:spacing w:after="0" w:line="240" w:lineRule="auto"/>
      </w:pPr>
      <w:r>
        <w:separator/>
      </w:r>
    </w:p>
  </w:footnote>
  <w:footnote w:type="continuationSeparator" w:id="0">
    <w:p w:rsidR="00CD7ACB" w:rsidRDefault="00CD7ACB" w:rsidP="00CC0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E5F33"/>
    <w:multiLevelType w:val="hybridMultilevel"/>
    <w:tmpl w:val="CC462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4A47"/>
    <w:multiLevelType w:val="hybridMultilevel"/>
    <w:tmpl w:val="47C82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331B7"/>
    <w:multiLevelType w:val="hybridMultilevel"/>
    <w:tmpl w:val="C5BC7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79"/>
    <w:rsid w:val="0005111A"/>
    <w:rsid w:val="000632DC"/>
    <w:rsid w:val="000F6B4F"/>
    <w:rsid w:val="00172BF8"/>
    <w:rsid w:val="0019051A"/>
    <w:rsid w:val="001F14C8"/>
    <w:rsid w:val="00201584"/>
    <w:rsid w:val="00294152"/>
    <w:rsid w:val="002B2743"/>
    <w:rsid w:val="002E5950"/>
    <w:rsid w:val="00300979"/>
    <w:rsid w:val="00314212"/>
    <w:rsid w:val="003174D1"/>
    <w:rsid w:val="00317A0E"/>
    <w:rsid w:val="00361CFC"/>
    <w:rsid w:val="003800F5"/>
    <w:rsid w:val="003843F0"/>
    <w:rsid w:val="00390BFD"/>
    <w:rsid w:val="00397DFE"/>
    <w:rsid w:val="003A3F24"/>
    <w:rsid w:val="0045093F"/>
    <w:rsid w:val="004B0355"/>
    <w:rsid w:val="004F4E44"/>
    <w:rsid w:val="0050182D"/>
    <w:rsid w:val="0050697E"/>
    <w:rsid w:val="0059156F"/>
    <w:rsid w:val="00637B5C"/>
    <w:rsid w:val="00644C79"/>
    <w:rsid w:val="00651E1F"/>
    <w:rsid w:val="006559B8"/>
    <w:rsid w:val="00670CE3"/>
    <w:rsid w:val="00680E05"/>
    <w:rsid w:val="00686894"/>
    <w:rsid w:val="00696CC7"/>
    <w:rsid w:val="006A42C5"/>
    <w:rsid w:val="006A7488"/>
    <w:rsid w:val="006D1AFF"/>
    <w:rsid w:val="00705A70"/>
    <w:rsid w:val="00714553"/>
    <w:rsid w:val="007275D8"/>
    <w:rsid w:val="00765F76"/>
    <w:rsid w:val="007726FD"/>
    <w:rsid w:val="007B0DE8"/>
    <w:rsid w:val="007C0378"/>
    <w:rsid w:val="007E1864"/>
    <w:rsid w:val="00822527"/>
    <w:rsid w:val="008817A3"/>
    <w:rsid w:val="0089741F"/>
    <w:rsid w:val="008A0FC2"/>
    <w:rsid w:val="00904153"/>
    <w:rsid w:val="009A761C"/>
    <w:rsid w:val="009A7C39"/>
    <w:rsid w:val="009F4C9E"/>
    <w:rsid w:val="00A32CCD"/>
    <w:rsid w:val="00A50842"/>
    <w:rsid w:val="00A6696E"/>
    <w:rsid w:val="00A87F00"/>
    <w:rsid w:val="00B21533"/>
    <w:rsid w:val="00B25799"/>
    <w:rsid w:val="00B67FC5"/>
    <w:rsid w:val="00B72282"/>
    <w:rsid w:val="00B74CE6"/>
    <w:rsid w:val="00B822C5"/>
    <w:rsid w:val="00B82E98"/>
    <w:rsid w:val="00B92643"/>
    <w:rsid w:val="00BD524D"/>
    <w:rsid w:val="00C07ABE"/>
    <w:rsid w:val="00C17073"/>
    <w:rsid w:val="00C2357C"/>
    <w:rsid w:val="00C36785"/>
    <w:rsid w:val="00C36BA6"/>
    <w:rsid w:val="00C450AC"/>
    <w:rsid w:val="00C660DC"/>
    <w:rsid w:val="00CC04E9"/>
    <w:rsid w:val="00CC3EBA"/>
    <w:rsid w:val="00CD7ACB"/>
    <w:rsid w:val="00CE6972"/>
    <w:rsid w:val="00CE6CE4"/>
    <w:rsid w:val="00D11E93"/>
    <w:rsid w:val="00D21942"/>
    <w:rsid w:val="00D41CAE"/>
    <w:rsid w:val="00D44088"/>
    <w:rsid w:val="00E01133"/>
    <w:rsid w:val="00E46C0A"/>
    <w:rsid w:val="00E807EA"/>
    <w:rsid w:val="00E85163"/>
    <w:rsid w:val="00E94329"/>
    <w:rsid w:val="00EB2929"/>
    <w:rsid w:val="00EC223B"/>
    <w:rsid w:val="00EE4746"/>
    <w:rsid w:val="00EF267F"/>
    <w:rsid w:val="00F16E23"/>
    <w:rsid w:val="00F82044"/>
    <w:rsid w:val="00FA52A9"/>
    <w:rsid w:val="00FC5EF9"/>
    <w:rsid w:val="00F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544D7-68AC-4BEB-B5D7-B6CAC885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979"/>
    <w:pPr>
      <w:ind w:left="720"/>
      <w:contextualSpacing/>
    </w:pPr>
  </w:style>
  <w:style w:type="table" w:styleId="TableGrid">
    <w:name w:val="Table Grid"/>
    <w:basedOn w:val="TableNormal"/>
    <w:uiPriority w:val="39"/>
    <w:rsid w:val="00B67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18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E9"/>
  </w:style>
  <w:style w:type="paragraph" w:styleId="Footer">
    <w:name w:val="footer"/>
    <w:basedOn w:val="Normal"/>
    <w:link w:val="FooterChar"/>
    <w:uiPriority w:val="99"/>
    <w:unhideWhenUsed/>
    <w:rsid w:val="00CC0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E9"/>
  </w:style>
  <w:style w:type="paragraph" w:styleId="BalloonText">
    <w:name w:val="Balloon Text"/>
    <w:basedOn w:val="Normal"/>
    <w:link w:val="BalloonTextChar"/>
    <w:uiPriority w:val="99"/>
    <w:semiHidden/>
    <w:unhideWhenUsed/>
    <w:rsid w:val="00705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cvavra@fbi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Donahue, Kristi L. (CJIS) (FBI)</dc:creator>
  <cp:keywords/>
  <dc:description/>
  <cp:lastModifiedBy>Vavra, Malissa C. (CJIS) (FBI)</cp:lastModifiedBy>
  <cp:revision>2</cp:revision>
  <cp:lastPrinted>2020-10-29T15:59:00Z</cp:lastPrinted>
  <dcterms:created xsi:type="dcterms:W3CDTF">2020-10-29T16:21:00Z</dcterms:created>
  <dcterms:modified xsi:type="dcterms:W3CDTF">2020-10-29T16:21:00Z</dcterms:modified>
</cp:coreProperties>
</file>