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794" w:rsidP="00AD0794" w:rsidRDefault="00AD0794">
      <w:pPr>
        <w:ind w:left="2160" w:firstLine="720"/>
        <w:outlineLvl w:val="0"/>
        <w:rPr>
          <w:rFonts w:ascii="Times New Roman" w:hAnsi="Times New Roman"/>
          <w:b/>
          <w:bCs/>
        </w:rPr>
      </w:pPr>
      <w:bookmarkStart w:name="QuickMark" w:id="0"/>
      <w:bookmarkStart w:name="_GoBack" w:id="1"/>
      <w:bookmarkEnd w:id="0"/>
      <w:bookmarkEnd w:id="1"/>
      <w:r w:rsidRPr="00AD0794">
        <w:rPr>
          <w:rFonts w:ascii="Times New Roman" w:hAnsi="Times New Roman"/>
          <w:b/>
          <w:bCs/>
        </w:rPr>
        <w:t>SUPPORTING STATEMENT FOR</w:t>
      </w:r>
    </w:p>
    <w:p w:rsidRPr="00AD0794" w:rsidR="00AD0794" w:rsidP="00AD0794" w:rsidRDefault="00AD0794">
      <w:pPr>
        <w:jc w:val="center"/>
        <w:outlineLvl w:val="0"/>
        <w:rPr>
          <w:rFonts w:ascii="Times New Roman" w:hAnsi="Times New Roman"/>
          <w:b/>
          <w:bCs/>
        </w:rPr>
      </w:pPr>
      <w:r w:rsidRPr="00AD0794">
        <w:rPr>
          <w:rFonts w:ascii="Times New Roman" w:hAnsi="Times New Roman"/>
          <w:b/>
          <w:bCs/>
        </w:rPr>
        <w:t>Prohibited Transaction Class Exemption 81-8 for Short-Term Investments</w:t>
      </w:r>
    </w:p>
    <w:p w:rsidR="00AD0794" w:rsidP="00AD0794" w:rsidRDefault="00AD0794">
      <w:pPr>
        <w:ind w:left="2160" w:firstLine="720"/>
        <w:outlineLvl w:val="0"/>
        <w:rPr>
          <w:rFonts w:ascii="Times New Roman" w:hAnsi="Times New Roman"/>
          <w:b/>
          <w:bCs/>
        </w:rPr>
      </w:pPr>
    </w:p>
    <w:p w:rsidRPr="00AD0794" w:rsidR="00843CF3" w:rsidP="00AD0794" w:rsidRDefault="00843CF3">
      <w:pPr>
        <w:ind w:left="2160" w:firstLine="720"/>
        <w:outlineLvl w:val="0"/>
        <w:rPr>
          <w:rFonts w:ascii="Times New Roman" w:hAnsi="Times New Roman"/>
          <w:b/>
          <w:bCs/>
        </w:rPr>
      </w:pPr>
      <w:r w:rsidRPr="00843CF3">
        <w:rPr>
          <w:rFonts w:ascii="Times New Roman" w:hAnsi="Times New Roman"/>
          <w:b/>
          <w:bCs/>
        </w:rPr>
        <w:t xml:space="preserve">OMBCONTROL NO. </w:t>
      </w:r>
      <w:r>
        <w:rPr>
          <w:rFonts w:ascii="Times New Roman" w:hAnsi="Times New Roman"/>
          <w:b/>
          <w:bCs/>
        </w:rPr>
        <w:t>1210-0061</w:t>
      </w:r>
    </w:p>
    <w:p w:rsidR="00B8752C" w:rsidP="0069633A" w:rsidRDefault="00B8752C">
      <w:pPr>
        <w:outlineLvl w:val="0"/>
        <w:rPr>
          <w:rFonts w:ascii="Times New Roman" w:hAnsi="Times New Roman"/>
        </w:rPr>
      </w:pPr>
    </w:p>
    <w:p w:rsidRPr="00262D2E" w:rsidR="00B8752C" w:rsidP="00B8752C" w:rsidRDefault="00BE233B">
      <w:pPr>
        <w:widowControl/>
        <w:rPr>
          <w:rFonts w:ascii="Times New Roman" w:hAnsi="Times New Roman"/>
        </w:rPr>
      </w:pPr>
      <w:r w:rsidRPr="00BE233B">
        <w:rPr>
          <w:rFonts w:ascii="Times New Roman" w:hAnsi="Times New Roman"/>
          <w:bCs/>
        </w:rPr>
        <w:t xml:space="preserve">This ICR seeks to </w:t>
      </w:r>
      <w:r w:rsidRPr="00262D2E" w:rsidR="00B8752C">
        <w:rPr>
          <w:rFonts w:ascii="Times New Roman" w:hAnsi="Times New Roman"/>
        </w:rPr>
        <w:t xml:space="preserve">request an extension without change for the information collections currently approved under OMB Control Number </w:t>
      </w:r>
      <w:r w:rsidR="00B8752C">
        <w:rPr>
          <w:rFonts w:ascii="Times New Roman" w:hAnsi="Times New Roman"/>
        </w:rPr>
        <w:t>1210-0061</w:t>
      </w:r>
      <w:r w:rsidRPr="00262D2E" w:rsidR="00B8752C">
        <w:rPr>
          <w:rFonts w:ascii="Times New Roman" w:hAnsi="Times New Roman"/>
        </w:rPr>
        <w:t>.</w:t>
      </w:r>
    </w:p>
    <w:p w:rsidRPr="004C5D3B" w:rsidR="001C2921" w:rsidP="00AC0D7B" w:rsidRDefault="001C2921">
      <w:pPr>
        <w:rPr>
          <w:rFonts w:ascii="Times New Roman" w:hAnsi="Times New Roman"/>
        </w:rPr>
      </w:pPr>
    </w:p>
    <w:p w:rsidRPr="004C5D3B" w:rsidR="001C2921" w:rsidP="00DB51B5" w:rsidRDefault="00025173">
      <w:pPr>
        <w:numPr>
          <w:ilvl w:val="0"/>
          <w:numId w:val="5"/>
        </w:numPr>
        <w:ind w:hanging="720"/>
        <w:outlineLvl w:val="0"/>
        <w:rPr>
          <w:rFonts w:ascii="Times New Roman" w:hAnsi="Times New Roman"/>
        </w:rPr>
      </w:pPr>
      <w:r w:rsidRPr="004C5D3B">
        <w:rPr>
          <w:rFonts w:ascii="Times New Roman" w:hAnsi="Times New Roman"/>
          <w:b/>
          <w:bCs/>
        </w:rPr>
        <w:t>JUSTIFICATION</w:t>
      </w:r>
    </w:p>
    <w:p w:rsidRPr="004C5D3B" w:rsidR="001C2921" w:rsidP="00DB51B5" w:rsidRDefault="001C2921">
      <w:pPr>
        <w:ind w:left="720"/>
        <w:rPr>
          <w:rFonts w:ascii="Times New Roman" w:hAnsi="Times New Roman"/>
        </w:rPr>
      </w:pPr>
    </w:p>
    <w:p w:rsidRPr="00867BE4" w:rsidR="001C2921" w:rsidP="001A07A7" w:rsidRDefault="001A07A7">
      <w:pPr>
        <w:pStyle w:val="Quick1"/>
        <w:numPr>
          <w:ilvl w:val="0"/>
          <w:numId w:val="1"/>
        </w:numPr>
        <w:tabs>
          <w:tab w:val="left" w:pos="-1440"/>
          <w:tab w:val="num" w:pos="720"/>
        </w:tabs>
        <w:rPr>
          <w:rFonts w:ascii="Times New Roman" w:hAnsi="Times New Roman"/>
          <w:b/>
          <w:iCs/>
        </w:rPr>
      </w:pPr>
      <w:r w:rsidRPr="00867BE4">
        <w:rPr>
          <w:rFonts w:ascii="Times New Roman" w:hAnsi="Times New Roman"/>
          <w:b/>
          <w:bCs/>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A07A7" w:rsidR="001C2921" w:rsidP="004C5D3B" w:rsidRDefault="001C2921">
      <w:pPr>
        <w:ind w:left="720"/>
        <w:rPr>
          <w:rFonts w:ascii="Times New Roman" w:hAnsi="Times New Roman"/>
        </w:rPr>
      </w:pPr>
    </w:p>
    <w:p w:rsidRPr="004C5D3B" w:rsidR="001C2921" w:rsidP="004C5D3B" w:rsidRDefault="001C2921">
      <w:pPr>
        <w:ind w:left="720"/>
        <w:rPr>
          <w:rFonts w:ascii="Times New Roman" w:hAnsi="Times New Roman"/>
        </w:rPr>
      </w:pPr>
      <w:r w:rsidRPr="004C5D3B">
        <w:rPr>
          <w:rFonts w:ascii="Times New Roman" w:hAnsi="Times New Roman"/>
        </w:rPr>
        <w:t>Section 408(a) of the Employee Retirement Income Security Act of 1974 (ERISA) and section 4975(c)(2) of the Internal Revenue Code of 1986 (the Code) authorize the Secretary of Labor and the Secretary of Treasury to grant a conditional or unconditional exemption of any fiduciary, disqualified person or class of fiduciaries, or orders of disqualified persons or transactions, from all or part of the restrictions imposed by sections 406 and 407(a) of ERISA and from the taxes imposed by sections 4975(a) and (b) of the Code, by reason of section 4975(c)(1) of the Code.  Under section 102 of Reorganization Plan No. 4 of 1978 (Reorganization Plan No. 4), the Secretary of Labor was given the authority to grant such exemptions.</w:t>
      </w:r>
    </w:p>
    <w:p w:rsidRPr="004C5D3B" w:rsidR="004817C5" w:rsidP="004C5D3B" w:rsidRDefault="004817C5">
      <w:pPr>
        <w:ind w:left="720"/>
        <w:rPr>
          <w:rFonts w:ascii="Times New Roman" w:hAnsi="Times New Roman"/>
        </w:rPr>
      </w:pPr>
    </w:p>
    <w:p w:rsidRPr="004C5D3B" w:rsidR="004817C5" w:rsidP="004C5D3B" w:rsidRDefault="004817C5">
      <w:pPr>
        <w:ind w:left="720"/>
        <w:rPr>
          <w:rFonts w:ascii="Times New Roman" w:hAnsi="Times New Roman"/>
        </w:rPr>
      </w:pPr>
      <w:r w:rsidRPr="004C5D3B">
        <w:rPr>
          <w:rFonts w:ascii="Times New Roman" w:hAnsi="Times New Roman"/>
        </w:rPr>
        <w:t>Section 406 of ERISA prohibits various transactions between a plan and certain related parties.  Those parties in interest described in section 3(14) of ERISA and disqualified persons described in section 4975(e)(2) of the Code, such as plan fiduciaries, sponsoring employers, unions, service providers and affiliates, may not engage in a transaction described in section 406 of ERISA and section 4975(c) of the Code with a plan without an exemption.  Specifically, these sections prohibit sales, leases, loans, or the provision of services between a party in interest and a plan, as well as a use of plan assets by or for the benefit of, or a transfer of plan assets to, a party in interest or a disqualified person, unless a statutory or administrative exemption applies to the transaction.</w:t>
      </w:r>
    </w:p>
    <w:p w:rsidRPr="004C5D3B" w:rsidR="001C2921" w:rsidP="004C5D3B" w:rsidRDefault="001C2921">
      <w:pPr>
        <w:ind w:left="720"/>
        <w:rPr>
          <w:rFonts w:ascii="Times New Roman" w:hAnsi="Times New Roman"/>
        </w:rPr>
      </w:pPr>
    </w:p>
    <w:p w:rsidRPr="004C5D3B" w:rsidR="001C2921" w:rsidP="004C5D3B" w:rsidRDefault="001C2921">
      <w:pPr>
        <w:ind w:left="720"/>
        <w:rPr>
          <w:rFonts w:ascii="Times New Roman" w:hAnsi="Times New Roman"/>
        </w:rPr>
      </w:pPr>
      <w:r w:rsidRPr="004C5D3B">
        <w:rPr>
          <w:rFonts w:ascii="Times New Roman" w:hAnsi="Times New Roman"/>
        </w:rPr>
        <w:t>This class exemption</w:t>
      </w:r>
      <w:r w:rsidRPr="004C5D3B" w:rsidR="004817C5">
        <w:rPr>
          <w:rFonts w:ascii="Times New Roman" w:hAnsi="Times New Roman"/>
        </w:rPr>
        <w:t xml:space="preserve"> (PTE 81-8)</w:t>
      </w:r>
      <w:r w:rsidRPr="004C5D3B">
        <w:rPr>
          <w:rFonts w:ascii="Times New Roman" w:hAnsi="Times New Roman"/>
        </w:rPr>
        <w:t xml:space="preserve">, which was granted on January </w:t>
      </w:r>
      <w:r w:rsidRPr="004C5D3B" w:rsidR="00C808A1">
        <w:rPr>
          <w:rFonts w:ascii="Times New Roman" w:hAnsi="Times New Roman"/>
        </w:rPr>
        <w:t>23</w:t>
      </w:r>
      <w:r w:rsidRPr="004C5D3B">
        <w:rPr>
          <w:rFonts w:ascii="Times New Roman" w:hAnsi="Times New Roman"/>
        </w:rPr>
        <w:t xml:space="preserve">, 1981, exempts from the prohibited transaction restrictions the investment of plan assets in certain short-term investments in debt obligations issued by certain persons who provide services to the plan or are affiliated with such service providers.  </w:t>
      </w:r>
      <w:r w:rsidRPr="004C5D3B" w:rsidR="004817C5">
        <w:rPr>
          <w:rFonts w:ascii="Times New Roman" w:hAnsi="Times New Roman"/>
        </w:rPr>
        <w:t>PTE 81-8</w:t>
      </w:r>
      <w:r w:rsidRPr="004C5D3B">
        <w:rPr>
          <w:rFonts w:ascii="Times New Roman" w:hAnsi="Times New Roman"/>
        </w:rPr>
        <w:t xml:space="preserve"> covers </w:t>
      </w:r>
      <w:r w:rsidRPr="004C5D3B" w:rsidR="00C808A1">
        <w:rPr>
          <w:rFonts w:ascii="Times New Roman" w:hAnsi="Times New Roman"/>
        </w:rPr>
        <w:t xml:space="preserve">four types of short-term investments: </w:t>
      </w:r>
      <w:r w:rsidRPr="004C5D3B">
        <w:rPr>
          <w:rFonts w:ascii="Times New Roman" w:hAnsi="Times New Roman"/>
        </w:rPr>
        <w:t>banker’s acceptances, commercial paper, repurchase agreements and certificates of deposit</w:t>
      </w:r>
      <w:r w:rsidRPr="004C5D3B" w:rsidR="004817C5">
        <w:rPr>
          <w:rFonts w:ascii="Times New Roman" w:hAnsi="Times New Roman"/>
        </w:rPr>
        <w:t xml:space="preserve"> and </w:t>
      </w:r>
      <w:r w:rsidRPr="004C5D3B" w:rsidR="00404486">
        <w:rPr>
          <w:rFonts w:ascii="Times New Roman" w:hAnsi="Times New Roman"/>
        </w:rPr>
        <w:t xml:space="preserve">contains specific conditions for each type of investment.  </w:t>
      </w:r>
      <w:r w:rsidRPr="004C5D3B" w:rsidR="004817C5">
        <w:rPr>
          <w:rFonts w:ascii="Times New Roman" w:hAnsi="Times New Roman"/>
        </w:rPr>
        <w:t>PTE 81-8</w:t>
      </w:r>
      <w:r w:rsidRPr="004C5D3B">
        <w:rPr>
          <w:rFonts w:ascii="Times New Roman" w:hAnsi="Times New Roman"/>
        </w:rPr>
        <w:t xml:space="preserve"> was amended on April </w:t>
      </w:r>
      <w:r w:rsidRPr="004C5D3B" w:rsidR="00C808A1">
        <w:rPr>
          <w:rFonts w:ascii="Times New Roman" w:hAnsi="Times New Roman"/>
        </w:rPr>
        <w:t>9</w:t>
      </w:r>
      <w:r w:rsidRPr="004C5D3B">
        <w:rPr>
          <w:rFonts w:ascii="Times New Roman" w:hAnsi="Times New Roman"/>
        </w:rPr>
        <w:t>, 1985</w:t>
      </w:r>
      <w:r w:rsidRPr="004C5D3B" w:rsidR="004817C5">
        <w:rPr>
          <w:rFonts w:ascii="Times New Roman" w:hAnsi="Times New Roman"/>
        </w:rPr>
        <w:t>,</w:t>
      </w:r>
      <w:r w:rsidRPr="004C5D3B">
        <w:rPr>
          <w:rFonts w:ascii="Times New Roman" w:hAnsi="Times New Roman"/>
        </w:rPr>
        <w:t xml:space="preserve"> to add </w:t>
      </w:r>
      <w:r w:rsidRPr="004C5D3B" w:rsidR="00C808A1">
        <w:rPr>
          <w:rFonts w:ascii="Times New Roman" w:hAnsi="Times New Roman"/>
        </w:rPr>
        <w:t xml:space="preserve">a new category of permissible investments- </w:t>
      </w:r>
      <w:r w:rsidRPr="004C5D3B">
        <w:rPr>
          <w:rFonts w:ascii="Times New Roman" w:hAnsi="Times New Roman"/>
        </w:rPr>
        <w:t xml:space="preserve">securities issued by banks or their affiliates in cases where the bank is a party in interest </w:t>
      </w:r>
      <w:r w:rsidRPr="004C5D3B">
        <w:rPr>
          <w:rFonts w:ascii="Times New Roman" w:hAnsi="Times New Roman"/>
        </w:rPr>
        <w:lastRenderedPageBreak/>
        <w:t xml:space="preserve">only by reason of the furnishing of </w:t>
      </w:r>
      <w:r w:rsidRPr="004C5D3B" w:rsidR="00C808A1">
        <w:rPr>
          <w:rFonts w:ascii="Times New Roman" w:hAnsi="Times New Roman"/>
        </w:rPr>
        <w:t xml:space="preserve">a </w:t>
      </w:r>
      <w:r w:rsidRPr="004C5D3B">
        <w:rPr>
          <w:rFonts w:ascii="Times New Roman" w:hAnsi="Times New Roman"/>
        </w:rPr>
        <w:t xml:space="preserve">checking account or related services (such as clearing and recordkeeping services) to the list of acceptable short-term investments in the existing class exemption.  In addition, </w:t>
      </w:r>
      <w:r w:rsidRPr="004C5D3B" w:rsidR="004817C5">
        <w:rPr>
          <w:rFonts w:ascii="Times New Roman" w:hAnsi="Times New Roman"/>
        </w:rPr>
        <w:t>PTE 81-8</w:t>
      </w:r>
      <w:r w:rsidRPr="004C5D3B">
        <w:rPr>
          <w:rFonts w:ascii="Times New Roman" w:hAnsi="Times New Roman"/>
        </w:rPr>
        <w:t xml:space="preserve"> was amended to expand the category of sellers with whom the plan may enter into repurchase agreements to include dealers in bank acceptances who report their security positions on a daily basis to the Federal Reserve Bank of New York.</w:t>
      </w:r>
    </w:p>
    <w:p w:rsidRPr="004C5D3B" w:rsidR="001C2921" w:rsidP="004C5D3B" w:rsidRDefault="001C2921">
      <w:pPr>
        <w:ind w:left="720"/>
        <w:rPr>
          <w:rFonts w:ascii="Times New Roman" w:hAnsi="Times New Roman"/>
        </w:rPr>
      </w:pPr>
    </w:p>
    <w:p w:rsidRPr="004C5D3B" w:rsidR="001C2921" w:rsidP="004C5D3B" w:rsidRDefault="001C2921">
      <w:pPr>
        <w:ind w:left="720"/>
        <w:rPr>
          <w:rFonts w:ascii="Times New Roman" w:hAnsi="Times New Roman"/>
        </w:rPr>
      </w:pPr>
      <w:r w:rsidRPr="004C5D3B">
        <w:rPr>
          <w:rFonts w:ascii="Times New Roman" w:hAnsi="Times New Roman"/>
        </w:rPr>
        <w:t>The Department of Labor</w:t>
      </w:r>
      <w:r w:rsidR="00B8752C">
        <w:rPr>
          <w:rFonts w:ascii="Times New Roman" w:hAnsi="Times New Roman"/>
        </w:rPr>
        <w:t xml:space="preserve"> (the Department)</w:t>
      </w:r>
      <w:r w:rsidRPr="004C5D3B">
        <w:rPr>
          <w:rFonts w:ascii="Times New Roman" w:hAnsi="Times New Roman"/>
        </w:rPr>
        <w:t xml:space="preserve"> has authority under Reorganization Plan No. 4, pursuant to section 408 of ERISA and section 4975(c</w:t>
      </w:r>
      <w:r w:rsidRPr="004C5D3B" w:rsidR="00D06ED3">
        <w:rPr>
          <w:rFonts w:ascii="Times New Roman" w:hAnsi="Times New Roman"/>
        </w:rPr>
        <w:t>) (</w:t>
      </w:r>
      <w:r w:rsidRPr="004C5D3B">
        <w:rPr>
          <w:rFonts w:ascii="Times New Roman" w:hAnsi="Times New Roman"/>
        </w:rPr>
        <w:t>2) of the Code to grant either individual or class exemptions.  In order to grant an exemption under section 408 and section 4975(c</w:t>
      </w:r>
      <w:r w:rsidRPr="004C5D3B" w:rsidR="00D06ED3">
        <w:rPr>
          <w:rFonts w:ascii="Times New Roman" w:hAnsi="Times New Roman"/>
        </w:rPr>
        <w:t>) (</w:t>
      </w:r>
      <w:r w:rsidRPr="004C5D3B">
        <w:rPr>
          <w:rFonts w:ascii="Times New Roman" w:hAnsi="Times New Roman"/>
        </w:rPr>
        <w:t>2), the Department must determine that the exemption is:</w:t>
      </w:r>
    </w:p>
    <w:p w:rsidRPr="004C5D3B" w:rsidR="001C2921" w:rsidP="004C5D3B" w:rsidRDefault="001C2921">
      <w:pPr>
        <w:ind w:left="720"/>
        <w:rPr>
          <w:rFonts w:ascii="Times New Roman" w:hAnsi="Times New Roman"/>
        </w:rPr>
      </w:pPr>
    </w:p>
    <w:p w:rsidRPr="004C5D3B" w:rsidR="001C2921" w:rsidP="004C5D3B" w:rsidRDefault="001C2921">
      <w:pPr>
        <w:numPr>
          <w:ilvl w:val="0"/>
          <w:numId w:val="6"/>
        </w:numPr>
        <w:ind w:left="1440" w:hanging="720"/>
        <w:rPr>
          <w:rFonts w:ascii="Times New Roman" w:hAnsi="Times New Roman"/>
        </w:rPr>
      </w:pPr>
      <w:r w:rsidRPr="004C5D3B">
        <w:rPr>
          <w:rFonts w:ascii="Times New Roman" w:hAnsi="Times New Roman"/>
        </w:rPr>
        <w:t>administratively feasible,</w:t>
      </w:r>
    </w:p>
    <w:p w:rsidRPr="004C5D3B" w:rsidR="001C2921" w:rsidP="004C5D3B" w:rsidRDefault="001C2921">
      <w:pPr>
        <w:numPr>
          <w:ilvl w:val="0"/>
          <w:numId w:val="6"/>
        </w:numPr>
        <w:ind w:left="1440" w:hanging="720"/>
        <w:rPr>
          <w:rFonts w:ascii="Times New Roman" w:hAnsi="Times New Roman"/>
        </w:rPr>
      </w:pPr>
      <w:r w:rsidRPr="004C5D3B">
        <w:rPr>
          <w:rFonts w:ascii="Times New Roman" w:hAnsi="Times New Roman"/>
        </w:rPr>
        <w:t>in the interests of the plan and its participants and beneficiaries, and</w:t>
      </w:r>
    </w:p>
    <w:p w:rsidRPr="004C5D3B" w:rsidR="001C2921" w:rsidP="004C5D3B" w:rsidRDefault="001C2921">
      <w:pPr>
        <w:numPr>
          <w:ilvl w:val="0"/>
          <w:numId w:val="6"/>
        </w:numPr>
        <w:ind w:left="1440" w:hanging="720"/>
        <w:rPr>
          <w:rFonts w:ascii="Times New Roman" w:hAnsi="Times New Roman"/>
        </w:rPr>
      </w:pPr>
      <w:r w:rsidRPr="004C5D3B">
        <w:rPr>
          <w:rFonts w:ascii="Times New Roman" w:hAnsi="Times New Roman"/>
        </w:rPr>
        <w:t>protective of the rights of participants and beneficiaries of such plan.</w:t>
      </w:r>
    </w:p>
    <w:p w:rsidRPr="004C5D3B" w:rsidR="001C2921" w:rsidP="001948E9" w:rsidRDefault="001C2921">
      <w:pPr>
        <w:ind w:left="720"/>
        <w:rPr>
          <w:rFonts w:ascii="Times New Roman" w:hAnsi="Times New Roman"/>
        </w:rPr>
      </w:pPr>
    </w:p>
    <w:p w:rsidRPr="004C5D3B" w:rsidR="001C2921" w:rsidP="001948E9" w:rsidRDefault="001C2921">
      <w:pPr>
        <w:pStyle w:val="BodyTextIndent"/>
      </w:pPr>
      <w:r w:rsidRPr="004C5D3B">
        <w:t>In order to ensure that the exemption is not abused, that the rights of the participants and beneficiaries are protected, and that the exemption’s conditions are being complied with, the Department often requires minimal information collection pertaining to the affe</w:t>
      </w:r>
      <w:r w:rsidRPr="004C5D3B" w:rsidR="00DB51B5">
        <w:t>cted transactions.</w:t>
      </w:r>
    </w:p>
    <w:p w:rsidRPr="004C5D3B" w:rsidR="001C2921" w:rsidP="001948E9" w:rsidRDefault="001C2921">
      <w:pPr>
        <w:ind w:left="720"/>
        <w:rPr>
          <w:rFonts w:ascii="Times New Roman" w:hAnsi="Times New Roman"/>
        </w:rPr>
      </w:pPr>
    </w:p>
    <w:p w:rsidRPr="004C5D3B" w:rsidR="001C2921" w:rsidP="001948E9" w:rsidRDefault="000633EF">
      <w:pPr>
        <w:pStyle w:val="Quick1"/>
        <w:numPr>
          <w:ilvl w:val="0"/>
          <w:numId w:val="1"/>
        </w:numPr>
        <w:tabs>
          <w:tab w:val="left" w:pos="-1440"/>
          <w:tab w:val="num" w:pos="720"/>
        </w:tabs>
        <w:rPr>
          <w:rFonts w:ascii="Times New Roman" w:hAnsi="Times New Roman"/>
          <w:i/>
          <w:iCs/>
        </w:rPr>
      </w:pPr>
      <w:r w:rsidRPr="00D53DEB">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Pr="004C5D3B" w:rsidR="001C2921" w:rsidP="001948E9" w:rsidRDefault="001C2921">
      <w:pPr>
        <w:ind w:left="720"/>
        <w:rPr>
          <w:rFonts w:ascii="Times New Roman" w:hAnsi="Times New Roman"/>
        </w:rPr>
      </w:pPr>
    </w:p>
    <w:p w:rsidRPr="004C5D3B" w:rsidR="001C2921" w:rsidP="001948E9" w:rsidRDefault="001C2921">
      <w:pPr>
        <w:ind w:left="720"/>
        <w:rPr>
          <w:rFonts w:ascii="Times New Roman" w:hAnsi="Times New Roman"/>
        </w:rPr>
      </w:pPr>
      <w:r w:rsidRPr="004C5D3B">
        <w:rPr>
          <w:rFonts w:ascii="Times New Roman" w:hAnsi="Times New Roman"/>
        </w:rPr>
        <w:t>The Department has included in the class exemption two basic disclosure requirements.  Both affect only the portion of the exemption dealing with repurchase agreements.</w:t>
      </w:r>
      <w:r w:rsidRPr="004C5D3B">
        <w:rPr>
          <w:rStyle w:val="FootnoteReference"/>
          <w:rFonts w:ascii="Times New Roman" w:hAnsi="Times New Roman"/>
          <w:vertAlign w:val="superscript"/>
        </w:rPr>
        <w:footnoteReference w:id="1"/>
      </w:r>
      <w:r w:rsidRPr="004C5D3B">
        <w:rPr>
          <w:rFonts w:ascii="Times New Roman" w:hAnsi="Times New Roman"/>
        </w:rPr>
        <w:t xml:space="preserve">  The first requirement calls for the repurchase agreements between the seller and the plan to be in writing.  The repurchase </w:t>
      </w:r>
      <w:r w:rsidRPr="004C5D3B" w:rsidR="000569D0">
        <w:rPr>
          <w:rFonts w:ascii="Times New Roman" w:hAnsi="Times New Roman"/>
        </w:rPr>
        <w:t xml:space="preserve">agreements have a duration </w:t>
      </w:r>
      <w:r w:rsidRPr="004C5D3B">
        <w:rPr>
          <w:rFonts w:ascii="Times New Roman" w:hAnsi="Times New Roman"/>
        </w:rPr>
        <w:t xml:space="preserve">of one year or less and may be in the form of a blanket agreement that covers the transactions for the year.  The written agreement is intended to put the plan on notice of possible fees associated with the redemption </w:t>
      </w:r>
      <w:r w:rsidRPr="004C5D3B" w:rsidR="00DB51B5">
        <w:rPr>
          <w:rFonts w:ascii="Times New Roman" w:hAnsi="Times New Roman"/>
        </w:rPr>
        <w:t>of open-end mutual fund shares.</w:t>
      </w:r>
    </w:p>
    <w:p w:rsidRPr="004C5D3B" w:rsidR="001C2921" w:rsidP="001948E9" w:rsidRDefault="001C2921">
      <w:pPr>
        <w:ind w:left="720"/>
        <w:rPr>
          <w:rFonts w:ascii="Times New Roman" w:hAnsi="Times New Roman"/>
        </w:rPr>
      </w:pPr>
    </w:p>
    <w:p w:rsidRPr="004C5D3B" w:rsidR="001C2921" w:rsidP="001948E9" w:rsidRDefault="001C2921">
      <w:pPr>
        <w:ind w:left="720"/>
        <w:rPr>
          <w:rFonts w:ascii="Times New Roman" w:hAnsi="Times New Roman"/>
        </w:rPr>
      </w:pPr>
      <w:r w:rsidRPr="004C5D3B">
        <w:rPr>
          <w:rFonts w:ascii="Times New Roman" w:hAnsi="Times New Roman"/>
        </w:rPr>
        <w:t xml:space="preserve">The second </w:t>
      </w:r>
      <w:r w:rsidR="00B8752C">
        <w:rPr>
          <w:rFonts w:ascii="Times New Roman" w:hAnsi="Times New Roman"/>
        </w:rPr>
        <w:t xml:space="preserve">disclosure </w:t>
      </w:r>
      <w:r w:rsidRPr="004C5D3B">
        <w:rPr>
          <w:rFonts w:ascii="Times New Roman" w:hAnsi="Times New Roman"/>
        </w:rPr>
        <w:t xml:space="preserve">requirement obliges the seller of such repurchase agreements to provide </w:t>
      </w:r>
      <w:r w:rsidRPr="004C5D3B" w:rsidR="000569D0">
        <w:rPr>
          <w:rFonts w:ascii="Times New Roman" w:hAnsi="Times New Roman"/>
        </w:rPr>
        <w:t xml:space="preserve">the most recent </w:t>
      </w:r>
      <w:r w:rsidRPr="004C5D3B">
        <w:rPr>
          <w:rFonts w:ascii="Times New Roman" w:hAnsi="Times New Roman"/>
        </w:rPr>
        <w:t>financial statements to the plan at the time of the sale and as the statements are issued.  The seller must also represent, either in the repurchase agreement or prior to each repurchase agreement transaction, that as of the time the transaction is negotiated, there has been no material adverse change in the seller’s financial condition since the date the most recent financial statement was furnished that has not been disclosed to the plan fiduciary with whom</w:t>
      </w:r>
      <w:r w:rsidRPr="004C5D3B" w:rsidR="00DB51B5">
        <w:rPr>
          <w:rFonts w:ascii="Times New Roman" w:hAnsi="Times New Roman"/>
        </w:rPr>
        <w:t xml:space="preserve"> the written agreement is made.</w:t>
      </w:r>
    </w:p>
    <w:p w:rsidRPr="004C5D3B" w:rsidR="001C2921" w:rsidP="001948E9" w:rsidRDefault="001C2921">
      <w:pPr>
        <w:ind w:left="720"/>
        <w:rPr>
          <w:rFonts w:ascii="Times New Roman" w:hAnsi="Times New Roman"/>
        </w:rPr>
      </w:pPr>
    </w:p>
    <w:p w:rsidRPr="004C5D3B" w:rsidR="001C2921" w:rsidP="001948E9" w:rsidRDefault="001C2921">
      <w:pPr>
        <w:ind w:left="720"/>
        <w:rPr>
          <w:rFonts w:ascii="Times New Roman" w:hAnsi="Times New Roman"/>
        </w:rPr>
      </w:pPr>
      <w:r w:rsidRPr="004C5D3B">
        <w:rPr>
          <w:rFonts w:ascii="Times New Roman" w:hAnsi="Times New Roman"/>
        </w:rPr>
        <w:t xml:space="preserve">Without the relief provided by this class exemption, plans would be unable to invest plan assets in certain short term investments in debt obligations issued by certain persons who provide services to the plan or who are affiliated with such service providers.  In most instances, the service providers engaging in such transactions with the plans are already providing services to the plan.  </w:t>
      </w:r>
      <w:r w:rsidRPr="004C5D3B" w:rsidR="000569D0">
        <w:rPr>
          <w:rFonts w:ascii="Times New Roman" w:hAnsi="Times New Roman"/>
        </w:rPr>
        <w:t xml:space="preserve">Additionally, the nature of the transactions is short-term, and will be subject to adequate safeguards to protect plan participants and beneficiaries. </w:t>
      </w:r>
      <w:r w:rsidRPr="004C5D3B">
        <w:rPr>
          <w:rFonts w:ascii="Times New Roman" w:hAnsi="Times New Roman"/>
        </w:rPr>
        <w:t>Without this class exemption, these types of transactions could not continue, causing the disruption of existing business practices for plans and the businesses that service them.</w:t>
      </w:r>
    </w:p>
    <w:p w:rsidRPr="004C5D3B" w:rsidR="001C2921" w:rsidP="001948E9" w:rsidRDefault="001C2921">
      <w:pPr>
        <w:ind w:left="720"/>
        <w:rPr>
          <w:rFonts w:ascii="Times New Roman" w:hAnsi="Times New Roman"/>
        </w:rPr>
      </w:pPr>
    </w:p>
    <w:p w:rsidRPr="004C5D3B" w:rsidR="001C2921" w:rsidP="001948E9" w:rsidRDefault="001C2921">
      <w:pPr>
        <w:tabs>
          <w:tab w:val="left" w:pos="-1440"/>
        </w:tabs>
        <w:ind w:left="720" w:hanging="720"/>
        <w:rPr>
          <w:rFonts w:ascii="Times New Roman" w:hAnsi="Times New Roman"/>
          <w:i/>
          <w:iCs/>
        </w:rPr>
      </w:pPr>
      <w:r w:rsidRPr="00812E00">
        <w:rPr>
          <w:rFonts w:ascii="Times New Roman" w:hAnsi="Times New Roman"/>
          <w:b/>
        </w:rPr>
        <w:t>3.</w:t>
      </w:r>
      <w:r w:rsidRPr="004C5D3B">
        <w:rPr>
          <w:rFonts w:ascii="Times New Roman" w:hAnsi="Times New Roman"/>
          <w:i/>
        </w:rPr>
        <w:tab/>
      </w:r>
      <w:r w:rsidRPr="00D53DEB" w:rsidR="00651A4F">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C5D3B" w:rsidR="001C2921" w:rsidP="001948E9" w:rsidRDefault="001C2921">
      <w:pPr>
        <w:ind w:left="720"/>
        <w:rPr>
          <w:rFonts w:ascii="Times New Roman" w:hAnsi="Times New Roman"/>
        </w:rPr>
      </w:pPr>
    </w:p>
    <w:p w:rsidRPr="004C5D3B" w:rsidR="001C2921" w:rsidP="001948E9" w:rsidRDefault="001C2921">
      <w:pPr>
        <w:pStyle w:val="BodyTextIndent"/>
        <w:tabs>
          <w:tab w:val="clear" w:pos="-1440"/>
        </w:tabs>
      </w:pPr>
      <w:r w:rsidRPr="004C5D3B">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p>
    <w:p w:rsidRPr="004C5D3B" w:rsidR="001C2921" w:rsidP="001948E9" w:rsidRDefault="001C2921">
      <w:pPr>
        <w:ind w:left="720"/>
        <w:rPr>
          <w:rFonts w:ascii="Times New Roman" w:hAnsi="Times New Roman"/>
        </w:rPr>
      </w:pPr>
    </w:p>
    <w:p w:rsidRPr="004C5D3B" w:rsidR="001C2921" w:rsidP="001948E9" w:rsidRDefault="001C2921">
      <w:pPr>
        <w:pStyle w:val="BodyTextIndent"/>
        <w:tabs>
          <w:tab w:val="clear" w:pos="-1440"/>
        </w:tabs>
      </w:pPr>
      <w:r w:rsidRPr="004C5D3B">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Pr="004C5D3B" w:rsidR="001C2921" w:rsidP="001948E9" w:rsidRDefault="001C2921">
      <w:pPr>
        <w:ind w:left="720"/>
        <w:rPr>
          <w:rFonts w:ascii="Times New Roman" w:hAnsi="Times New Roman"/>
        </w:rPr>
      </w:pPr>
    </w:p>
    <w:p w:rsidRPr="00DD6800" w:rsidR="00DD6800" w:rsidP="00DD6800" w:rsidRDefault="001C2921">
      <w:pPr>
        <w:tabs>
          <w:tab w:val="left" w:pos="-1440"/>
        </w:tabs>
        <w:ind w:left="720" w:hanging="720"/>
        <w:rPr>
          <w:rFonts w:ascii="Times New Roman" w:hAnsi="Times New Roman"/>
          <w:i/>
          <w:iCs/>
        </w:rPr>
      </w:pPr>
      <w:r w:rsidRPr="00812E00">
        <w:rPr>
          <w:rFonts w:ascii="Times New Roman" w:hAnsi="Times New Roman"/>
          <w:b/>
        </w:rPr>
        <w:t>4.</w:t>
      </w:r>
      <w:r w:rsidRPr="004C5D3B">
        <w:rPr>
          <w:rFonts w:ascii="Times New Roman" w:hAnsi="Times New Roman"/>
          <w:i/>
          <w:iCs/>
        </w:rPr>
        <w:tab/>
      </w:r>
      <w:r w:rsidRPr="00866BFA" w:rsidR="00DD6800">
        <w:rPr>
          <w:rFonts w:ascii="Times New Roman" w:hAnsi="Times New Roman"/>
          <w:b/>
          <w:bCs/>
          <w:iCs/>
        </w:rPr>
        <w:t>Describe efforts to identify duplication.  Show specifically why any similar information already available cannot be used or modified for use for the purposes described in Item A.2 above.</w:t>
      </w:r>
    </w:p>
    <w:p w:rsidRPr="004C5D3B" w:rsidR="001C2921" w:rsidP="001948E9" w:rsidRDefault="001C2921">
      <w:pPr>
        <w:tabs>
          <w:tab w:val="left" w:pos="-1440"/>
        </w:tabs>
        <w:ind w:left="720" w:hanging="720"/>
        <w:rPr>
          <w:rFonts w:ascii="Times New Roman" w:hAnsi="Times New Roman"/>
        </w:rPr>
      </w:pPr>
    </w:p>
    <w:p w:rsidRPr="004C5D3B" w:rsidR="001C2921" w:rsidP="001948E9" w:rsidRDefault="001C2921">
      <w:pPr>
        <w:ind w:left="720"/>
        <w:rPr>
          <w:rFonts w:ascii="Times New Roman" w:hAnsi="Times New Roman"/>
        </w:rPr>
      </w:pPr>
    </w:p>
    <w:p w:rsidRPr="004C5D3B" w:rsidR="001C2921" w:rsidP="001948E9" w:rsidRDefault="001C2921">
      <w:pPr>
        <w:ind w:left="720"/>
        <w:rPr>
          <w:rFonts w:ascii="Times New Roman" w:hAnsi="Times New Roman"/>
        </w:rPr>
      </w:pPr>
      <w:r w:rsidRPr="004C5D3B">
        <w:rPr>
          <w:rFonts w:ascii="Times New Roman" w:hAnsi="Times New Roman"/>
        </w:rPr>
        <w:t>The repurchase agreements are individual contracts between the seller and the plan and are not duplicative of any other disclosure requirements.</w:t>
      </w:r>
    </w:p>
    <w:p w:rsidRPr="004C5D3B" w:rsidR="001C2921" w:rsidP="001948E9" w:rsidRDefault="001C2921">
      <w:pPr>
        <w:ind w:left="720"/>
        <w:rPr>
          <w:rFonts w:ascii="Times New Roman" w:hAnsi="Times New Roman"/>
        </w:rPr>
      </w:pPr>
    </w:p>
    <w:p w:rsidRPr="004C5D3B" w:rsidR="001C2921" w:rsidP="001948E9" w:rsidRDefault="001C2921">
      <w:pPr>
        <w:tabs>
          <w:tab w:val="left" w:pos="-1440"/>
        </w:tabs>
        <w:ind w:left="720" w:hanging="720"/>
        <w:rPr>
          <w:rFonts w:ascii="Times New Roman" w:hAnsi="Times New Roman"/>
          <w:i/>
          <w:iCs/>
        </w:rPr>
      </w:pPr>
      <w:r w:rsidRPr="00812E00">
        <w:rPr>
          <w:rFonts w:ascii="Times New Roman" w:hAnsi="Times New Roman"/>
          <w:b/>
        </w:rPr>
        <w:t>5.</w:t>
      </w:r>
      <w:r w:rsidRPr="004C5D3B">
        <w:rPr>
          <w:rFonts w:ascii="Times New Roman" w:hAnsi="Times New Roman"/>
          <w:i/>
        </w:rPr>
        <w:tab/>
      </w:r>
      <w:r w:rsidRPr="00D53DEB" w:rsidR="0091273D">
        <w:rPr>
          <w:rFonts w:ascii="Times New Roman" w:hAnsi="Times New Roman"/>
          <w:b/>
          <w:bCs/>
        </w:rPr>
        <w:t xml:space="preserve">If the collection of information impacts small businesses or other small entities, </w:t>
      </w:r>
      <w:r w:rsidRPr="00D53DEB" w:rsidR="0091273D">
        <w:rPr>
          <w:rFonts w:ascii="Times New Roman" w:hAnsi="Times New Roman"/>
          <w:b/>
          <w:bCs/>
        </w:rPr>
        <w:lastRenderedPageBreak/>
        <w:t>describe any methods used to minimize burden.</w:t>
      </w:r>
    </w:p>
    <w:p w:rsidRPr="004C5D3B" w:rsidR="001C2921" w:rsidP="001948E9" w:rsidRDefault="001C2921">
      <w:pPr>
        <w:ind w:left="720"/>
        <w:rPr>
          <w:rFonts w:ascii="Times New Roman" w:hAnsi="Times New Roman"/>
        </w:rPr>
      </w:pPr>
    </w:p>
    <w:p w:rsidRPr="004C5D3B" w:rsidR="001C2921" w:rsidP="001948E9" w:rsidRDefault="001C2921">
      <w:pPr>
        <w:ind w:left="720"/>
        <w:rPr>
          <w:rFonts w:ascii="Times New Roman" w:hAnsi="Times New Roman"/>
        </w:rPr>
      </w:pPr>
      <w:r w:rsidRPr="004C5D3B">
        <w:rPr>
          <w:rFonts w:ascii="Times New Roman" w:hAnsi="Times New Roman"/>
        </w:rPr>
        <w:t xml:space="preserve">As noted above, the information collection requirements are limited to that portion of the class exemption pertaining to repurchase agreements.  This class exemption is not oriented towards any particular segment of the plan community.  However, due to the complexities associated with the types of short-term investments described in the class exemption, and in particular </w:t>
      </w:r>
      <w:r w:rsidRPr="004C5D3B" w:rsidR="000569D0">
        <w:rPr>
          <w:rFonts w:ascii="Times New Roman" w:hAnsi="Times New Roman"/>
        </w:rPr>
        <w:t xml:space="preserve">with the </w:t>
      </w:r>
      <w:r w:rsidRPr="004C5D3B">
        <w:rPr>
          <w:rFonts w:ascii="Times New Roman" w:hAnsi="Times New Roman"/>
        </w:rPr>
        <w:t>repurchase agreement</w:t>
      </w:r>
      <w:r w:rsidRPr="004C5D3B" w:rsidR="000569D0">
        <w:rPr>
          <w:rFonts w:ascii="Times New Roman" w:hAnsi="Times New Roman"/>
        </w:rPr>
        <w:t>,</w:t>
      </w:r>
      <w:r w:rsidRPr="004C5D3B" w:rsidR="00F145AD">
        <w:rPr>
          <w:rFonts w:ascii="Times New Roman" w:hAnsi="Times New Roman"/>
        </w:rPr>
        <w:t xml:space="preserve"> </w:t>
      </w:r>
      <w:r w:rsidRPr="004C5D3B">
        <w:rPr>
          <w:rFonts w:ascii="Times New Roman" w:hAnsi="Times New Roman"/>
        </w:rPr>
        <w:t xml:space="preserve">which require knowledgeable investment advisors and large amounts of plan assets, </w:t>
      </w:r>
      <w:r w:rsidRPr="004C5D3B" w:rsidR="000569D0">
        <w:rPr>
          <w:rFonts w:ascii="Times New Roman" w:hAnsi="Times New Roman"/>
        </w:rPr>
        <w:t>the Department</w:t>
      </w:r>
      <w:r w:rsidRPr="004C5D3B">
        <w:rPr>
          <w:rFonts w:ascii="Times New Roman" w:hAnsi="Times New Roman"/>
        </w:rPr>
        <w:t xml:space="preserve"> anticipate</w:t>
      </w:r>
      <w:r w:rsidRPr="004C5D3B" w:rsidR="000569D0">
        <w:rPr>
          <w:rFonts w:ascii="Times New Roman" w:hAnsi="Times New Roman"/>
        </w:rPr>
        <w:t>s</w:t>
      </w:r>
      <w:r w:rsidRPr="004C5D3B">
        <w:rPr>
          <w:rFonts w:ascii="Times New Roman" w:hAnsi="Times New Roman"/>
        </w:rPr>
        <w:t xml:space="preserve"> that any significant use of the class exemption will be limited to large plans.  Therefore, it is not anticipated that small plans will have the expertise or the plan assets necessary to engage in th</w:t>
      </w:r>
      <w:r w:rsidR="001948E9">
        <w:rPr>
          <w:rFonts w:ascii="Times New Roman" w:hAnsi="Times New Roman"/>
        </w:rPr>
        <w:t>is type of investment program.</w:t>
      </w:r>
    </w:p>
    <w:p w:rsidRPr="004C5D3B" w:rsidR="001C2921" w:rsidP="001948E9" w:rsidRDefault="001C2921">
      <w:pPr>
        <w:ind w:left="720"/>
        <w:rPr>
          <w:rFonts w:ascii="Times New Roman" w:hAnsi="Times New Roman"/>
        </w:rPr>
      </w:pPr>
    </w:p>
    <w:p w:rsidRPr="004C5D3B" w:rsidR="001C2921" w:rsidP="001948E9" w:rsidRDefault="001C2921">
      <w:pPr>
        <w:tabs>
          <w:tab w:val="left" w:pos="-1440"/>
        </w:tabs>
        <w:ind w:left="720" w:hanging="720"/>
        <w:rPr>
          <w:rFonts w:ascii="Times New Roman" w:hAnsi="Times New Roman"/>
        </w:rPr>
      </w:pPr>
      <w:r w:rsidRPr="00812E00">
        <w:rPr>
          <w:rFonts w:ascii="Times New Roman" w:hAnsi="Times New Roman"/>
          <w:b/>
        </w:rPr>
        <w:t>6.</w:t>
      </w:r>
      <w:r w:rsidRPr="004C5D3B">
        <w:rPr>
          <w:rFonts w:ascii="Times New Roman" w:hAnsi="Times New Roman"/>
          <w:i/>
        </w:rPr>
        <w:tab/>
      </w:r>
      <w:r w:rsidRPr="00D53DEB" w:rsidR="00FE44A9">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Pr="004C5D3B" w:rsidR="001C2921" w:rsidP="001948E9" w:rsidRDefault="001C2921">
      <w:pPr>
        <w:ind w:left="720"/>
        <w:rPr>
          <w:rFonts w:ascii="Times New Roman" w:hAnsi="Times New Roman"/>
        </w:rPr>
      </w:pPr>
    </w:p>
    <w:p w:rsidRPr="004C5D3B" w:rsidR="001C2921" w:rsidP="001948E9" w:rsidRDefault="001C2921">
      <w:pPr>
        <w:ind w:left="720"/>
        <w:rPr>
          <w:rFonts w:ascii="Times New Roman" w:hAnsi="Times New Roman"/>
        </w:rPr>
      </w:pPr>
      <w:r w:rsidRPr="004C5D3B">
        <w:rPr>
          <w:rFonts w:ascii="Times New Roman" w:hAnsi="Times New Roman"/>
        </w:rPr>
        <w:t>The disclosure requirements of the class exemption are only mandatory if plans wish to utilize this class exemption.  The frequency is dependent on the occurrence of such transactions, not on a predetermined time period.</w:t>
      </w:r>
    </w:p>
    <w:p w:rsidRPr="004C5D3B" w:rsidR="001C2921" w:rsidP="001948E9" w:rsidRDefault="001C2921">
      <w:pPr>
        <w:ind w:left="720"/>
        <w:rPr>
          <w:rFonts w:ascii="Times New Roman" w:hAnsi="Times New Roman"/>
        </w:rPr>
      </w:pPr>
    </w:p>
    <w:p w:rsidRPr="005B3C6D" w:rsidR="005B3C6D" w:rsidP="00867BE4" w:rsidRDefault="005B3C6D">
      <w:pPr>
        <w:pStyle w:val="Quick1"/>
        <w:numPr>
          <w:ilvl w:val="0"/>
          <w:numId w:val="2"/>
        </w:numPr>
        <w:tabs>
          <w:tab w:val="left" w:pos="-1440"/>
          <w:tab w:val="num" w:pos="720"/>
        </w:tabs>
        <w:rPr>
          <w:rFonts w:ascii="Times New Roman" w:hAnsi="Times New Roman"/>
        </w:rPr>
      </w:pPr>
      <w:r w:rsidRPr="005B3C6D">
        <w:rPr>
          <w:rFonts w:ascii="Times New Roman" w:hAnsi="Times New Roman"/>
          <w:b/>
          <w:bCs/>
        </w:rPr>
        <w:t>Explain any special circumstances that would cause an information collection to be conducted in a manner:</w:t>
      </w:r>
    </w:p>
    <w:p w:rsidRPr="005B3C6D" w:rsidR="005B3C6D" w:rsidP="005B3C6D" w:rsidRDefault="005B3C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5B3C6D" w:rsidR="005B3C6D" w:rsidP="005B3C6D" w:rsidRDefault="005B3C6D">
      <w:pPr>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r w:rsidRPr="005B3C6D">
        <w:rPr>
          <w:rFonts w:ascii="Times New Roman" w:hAnsi="Times New Roman"/>
          <w:b/>
          <w:bCs/>
        </w:rPr>
        <w:t>requiring respondents to report information to the agency more often than quarterly;</w:t>
      </w:r>
    </w:p>
    <w:p w:rsidRPr="005B3C6D" w:rsidR="005B3C6D" w:rsidP="005B3C6D" w:rsidRDefault="005B3C6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5B3C6D" w:rsidR="005B3C6D" w:rsidP="005B3C6D" w:rsidRDefault="005B3C6D">
      <w:pPr>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r w:rsidRPr="005B3C6D">
        <w:rPr>
          <w:rFonts w:ascii="Times New Roman" w:hAnsi="Times New Roman"/>
          <w:b/>
          <w:bCs/>
        </w:rPr>
        <w:t>requiring respondents to prepare a written response to a collection of information in fewer than 30 days after receipt of it;</w:t>
      </w:r>
    </w:p>
    <w:p w:rsidRPr="005B3C6D" w:rsidR="005B3C6D" w:rsidP="005B3C6D" w:rsidRDefault="005B3C6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rPr>
      </w:pPr>
    </w:p>
    <w:p w:rsidRPr="005B3C6D" w:rsidR="005B3C6D" w:rsidP="005B3C6D" w:rsidRDefault="005B3C6D">
      <w:pPr>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r w:rsidRPr="005B3C6D">
        <w:rPr>
          <w:rFonts w:ascii="Times New Roman" w:hAnsi="Times New Roman"/>
          <w:b/>
          <w:bCs/>
        </w:rPr>
        <w:t>requiring respondents to submit more than an original and two copies of any document;</w:t>
      </w:r>
    </w:p>
    <w:p w:rsidRPr="005B3C6D" w:rsidR="005B3C6D" w:rsidP="005B3C6D" w:rsidRDefault="005B3C6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rPr>
      </w:pPr>
    </w:p>
    <w:p w:rsidRPr="005B3C6D" w:rsidR="005B3C6D" w:rsidP="005B3C6D" w:rsidRDefault="005B3C6D">
      <w:pPr>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r w:rsidRPr="005B3C6D">
        <w:rPr>
          <w:rFonts w:ascii="Times New Roman" w:hAnsi="Times New Roman"/>
          <w:b/>
          <w:bCs/>
        </w:rPr>
        <w:t>requiring respondents to retain records, other than health, medical, government contract, grant-in-aid, or tax records for more than three years;</w:t>
      </w:r>
    </w:p>
    <w:p w:rsidRPr="005B3C6D" w:rsidR="005B3C6D" w:rsidP="005B3C6D" w:rsidRDefault="005B3C6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rPr>
      </w:pPr>
    </w:p>
    <w:p w:rsidRPr="005B3C6D" w:rsidR="005B3C6D" w:rsidP="005B3C6D" w:rsidRDefault="005B3C6D">
      <w:pPr>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r w:rsidRPr="005B3C6D">
        <w:rPr>
          <w:rFonts w:ascii="Times New Roman" w:hAnsi="Times New Roman"/>
          <w:b/>
          <w:bCs/>
        </w:rPr>
        <w:t>in connection with a statistical survey, that is not designed to produce valid and reliable results that can be generalized to the universe of study;</w:t>
      </w:r>
    </w:p>
    <w:p w:rsidRPr="005B3C6D" w:rsidR="005B3C6D" w:rsidP="005B3C6D" w:rsidRDefault="005B3C6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rPr>
      </w:pPr>
    </w:p>
    <w:p w:rsidRPr="005B3C6D" w:rsidR="005B3C6D" w:rsidP="005B3C6D" w:rsidRDefault="005B3C6D">
      <w:pPr>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r w:rsidRPr="005B3C6D">
        <w:rPr>
          <w:rFonts w:ascii="Times New Roman" w:hAnsi="Times New Roman"/>
          <w:b/>
          <w:bCs/>
        </w:rPr>
        <w:t>requiring the use of statistical data classification that has not been reviewed and approved by OMB;</w:t>
      </w:r>
    </w:p>
    <w:p w:rsidRPr="005B3C6D" w:rsidR="005B3C6D" w:rsidP="005B3C6D" w:rsidRDefault="005B3C6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rPr>
      </w:pPr>
    </w:p>
    <w:p w:rsidRPr="005B3C6D" w:rsidR="005B3C6D" w:rsidP="005B3C6D" w:rsidRDefault="005B3C6D">
      <w:pPr>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r w:rsidRPr="005B3C6D">
        <w:rPr>
          <w:rFonts w:ascii="Times New Roman" w:hAnsi="Times New Roman"/>
          <w:b/>
          <w:bCs/>
        </w:rPr>
        <w:t xml:space="preserve">that includes a pledge of confidentially that is not supported by authority established in statute or regulation, that is not supported by disclosure and data </w:t>
      </w:r>
      <w:r w:rsidRPr="005B3C6D">
        <w:rPr>
          <w:rFonts w:ascii="Times New Roman" w:hAnsi="Times New Roman"/>
          <w:b/>
          <w:bCs/>
        </w:rPr>
        <w:lastRenderedPageBreak/>
        <w:t>security policies that are consistent with the pledge, or which unnecessarily impedes sharing of data with other agencies for compatible confidential use; or</w:t>
      </w:r>
    </w:p>
    <w:p w:rsidRPr="005B3C6D" w:rsidR="005B3C6D" w:rsidP="005B3C6D" w:rsidRDefault="005B3C6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rPr>
      </w:pPr>
    </w:p>
    <w:p w:rsidRPr="005B3C6D" w:rsidR="005B3C6D" w:rsidP="005B3C6D" w:rsidRDefault="005B3C6D">
      <w:pPr>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sidRPr="005B3C6D">
        <w:rPr>
          <w:rFonts w:ascii="Times New Roman" w:hAnsi="Times New Roman"/>
          <w:b/>
          <w:bCs/>
        </w:rPr>
        <w:t>requiring respondents to submit proprietary trade secret, or other confidential information unless the agency can demonstrate that it has instituted procedures to protect the information's confidentially to the extent permitted by law.</w:t>
      </w:r>
    </w:p>
    <w:p w:rsidRPr="004C5D3B" w:rsidR="001C2921" w:rsidP="005B3C6D" w:rsidRDefault="001C2921">
      <w:pPr>
        <w:rPr>
          <w:rFonts w:ascii="Times New Roman" w:hAnsi="Times New Roman"/>
          <w:i/>
          <w:iCs/>
        </w:rPr>
      </w:pPr>
    </w:p>
    <w:p w:rsidRPr="004C5D3B" w:rsidR="001C2921" w:rsidP="006C4041" w:rsidRDefault="001C2921">
      <w:pPr>
        <w:ind w:left="720"/>
        <w:rPr>
          <w:rFonts w:ascii="Times New Roman" w:hAnsi="Times New Roman"/>
        </w:rPr>
      </w:pPr>
      <w:r w:rsidRPr="004C5D3B">
        <w:rPr>
          <w:rFonts w:ascii="Times New Roman" w:hAnsi="Times New Roman"/>
        </w:rPr>
        <w:t>There are no special circumstances that require the collection to be conducted in a manner inconsistent with the above.</w:t>
      </w:r>
    </w:p>
    <w:p w:rsidRPr="004C5D3B" w:rsidR="001C2921" w:rsidP="006C4041" w:rsidRDefault="001C2921">
      <w:pPr>
        <w:ind w:left="720"/>
        <w:rPr>
          <w:rFonts w:ascii="Times New Roman" w:hAnsi="Times New Roman"/>
        </w:rPr>
      </w:pPr>
    </w:p>
    <w:p w:rsidRPr="00867BE4" w:rsidR="00795D6F" w:rsidP="005927CB" w:rsidRDefault="001C2921">
      <w:pPr>
        <w:tabs>
          <w:tab w:val="left" w:pos="-1440"/>
        </w:tabs>
        <w:ind w:left="720" w:hanging="720"/>
        <w:rPr>
          <w:rFonts w:ascii="Times New Roman" w:hAnsi="Times New Roman"/>
          <w:b/>
        </w:rPr>
      </w:pPr>
      <w:r w:rsidRPr="00812E00">
        <w:rPr>
          <w:rFonts w:ascii="Times New Roman" w:hAnsi="Times New Roman"/>
          <w:b/>
        </w:rPr>
        <w:t>8.</w:t>
      </w:r>
      <w:r w:rsidRPr="00812E00">
        <w:rPr>
          <w:rFonts w:ascii="Times New Roman" w:hAnsi="Times New Roman"/>
          <w:b/>
        </w:rPr>
        <w:tab/>
      </w:r>
      <w:r w:rsidRPr="0041609F" w:rsidR="00795D6F">
        <w:rPr>
          <w:rFonts w:ascii="Times New Roman" w:hAnsi="Times New Roman"/>
          <w:b/>
          <w:bCs/>
        </w:rPr>
        <w:t xml:space="preserve">If applicable, provide a copy and identify the date and page number of publication in the </w:t>
      </w:r>
      <w:r w:rsidRPr="00867BE4" w:rsidR="00795D6F">
        <w:rPr>
          <w:rFonts w:ascii="Times New Roman" w:hAnsi="Times New Roman" w:cs="Arial"/>
          <w:b/>
          <w:bCs/>
          <w:iCs/>
          <w:sz w:val="28"/>
          <w:szCs w:val="28"/>
        </w:rPr>
        <w:t>Federal Register</w:t>
      </w:r>
      <w:r w:rsidRPr="0041609F" w:rsidR="00795D6F">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w:t>
      </w:r>
      <w:r w:rsidRPr="0041609F" w:rsidR="005927CB">
        <w:rPr>
          <w:rFonts w:ascii="Times New Roman" w:hAnsi="Times New Roman"/>
          <w:b/>
          <w:bCs/>
        </w:rPr>
        <w:t xml:space="preserve">.  </w:t>
      </w:r>
      <w:r w:rsidRPr="0041609F" w:rsidR="00795D6F">
        <w:rPr>
          <w:rFonts w:ascii="Times New Roman" w:hAnsi="Times New Roman"/>
          <w:b/>
          <w:bCs/>
        </w:rPr>
        <w:t>Specifically address comments received on cost and hour burden.</w:t>
      </w:r>
    </w:p>
    <w:p w:rsidRPr="00795D6F" w:rsidR="00795D6F" w:rsidP="00795D6F" w:rsidRDefault="00795D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95D6F" w:rsidR="00795D6F" w:rsidP="005927CB" w:rsidRDefault="00795D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
          <w:bCs/>
        </w:rPr>
      </w:pPr>
      <w:r w:rsidRPr="00795D6F">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95D6F" w:rsidR="00795D6F" w:rsidP="00795D6F" w:rsidRDefault="00795D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795D6F" w:rsidR="00795D6F" w:rsidP="005927CB" w:rsidRDefault="00795D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795D6F">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4C5D3B" w:rsidR="001C2921" w:rsidP="00812E00" w:rsidRDefault="001C2921">
      <w:pPr>
        <w:rPr>
          <w:rFonts w:ascii="Times New Roman" w:hAnsi="Times New Roman"/>
        </w:rPr>
      </w:pPr>
    </w:p>
    <w:p w:rsidRPr="004C5D3B" w:rsidR="001C2921" w:rsidP="006C4041" w:rsidRDefault="00210C18">
      <w:pPr>
        <w:ind w:left="720"/>
        <w:rPr>
          <w:rFonts w:ascii="Times New Roman" w:hAnsi="Times New Roman"/>
        </w:rPr>
      </w:pPr>
      <w:r w:rsidRPr="004C5D3B">
        <w:rPr>
          <w:rFonts w:ascii="Times New Roman" w:hAnsi="Times New Roman"/>
        </w:rPr>
        <w:t>T</w:t>
      </w:r>
      <w:r w:rsidRPr="004C5D3B" w:rsidR="001C2921">
        <w:rPr>
          <w:rFonts w:ascii="Times New Roman" w:hAnsi="Times New Roman"/>
        </w:rPr>
        <w:t xml:space="preserve">he Department’s notice for the </w:t>
      </w:r>
      <w:r w:rsidRPr="004C5D3B" w:rsidR="001C2921">
        <w:rPr>
          <w:rFonts w:ascii="Times New Roman" w:hAnsi="Times New Roman"/>
          <w:u w:val="single"/>
        </w:rPr>
        <w:t>Federal Register</w:t>
      </w:r>
      <w:r w:rsidRPr="004C5D3B" w:rsidR="001C2921">
        <w:rPr>
          <w:rFonts w:ascii="Times New Roman" w:hAnsi="Times New Roman"/>
        </w:rPr>
        <w:t>, as required by 5 CFR 1320.8(d</w:t>
      </w:r>
      <w:r w:rsidRPr="004C5D3B" w:rsidR="00D06ED3">
        <w:rPr>
          <w:rFonts w:ascii="Times New Roman" w:hAnsi="Times New Roman"/>
        </w:rPr>
        <w:t>),</w:t>
      </w:r>
      <w:r w:rsidRPr="004C5D3B" w:rsidR="001C2921">
        <w:rPr>
          <w:rFonts w:ascii="Times New Roman" w:hAnsi="Times New Roman"/>
        </w:rPr>
        <w:t xml:space="preserve"> soliciting comments on the information collection</w:t>
      </w:r>
      <w:r w:rsidRPr="004C5D3B">
        <w:rPr>
          <w:rFonts w:ascii="Times New Roman" w:hAnsi="Times New Roman"/>
        </w:rPr>
        <w:t xml:space="preserve"> </w:t>
      </w:r>
      <w:r w:rsidRPr="004C5D3B" w:rsidR="001C2921">
        <w:rPr>
          <w:rFonts w:ascii="Times New Roman" w:hAnsi="Times New Roman"/>
        </w:rPr>
        <w:t xml:space="preserve">was published in the </w:t>
      </w:r>
      <w:r w:rsidRPr="004C5D3B" w:rsidR="001C2921">
        <w:rPr>
          <w:rFonts w:ascii="Times New Roman" w:hAnsi="Times New Roman"/>
          <w:u w:val="single"/>
        </w:rPr>
        <w:t>Federal Register</w:t>
      </w:r>
      <w:r w:rsidRPr="004C5D3B" w:rsidR="001C2921">
        <w:rPr>
          <w:rFonts w:ascii="Times New Roman" w:hAnsi="Times New Roman"/>
        </w:rPr>
        <w:t xml:space="preserve"> </w:t>
      </w:r>
      <w:r w:rsidRPr="004C5D3B" w:rsidR="00721807">
        <w:rPr>
          <w:rFonts w:ascii="Times New Roman" w:hAnsi="Times New Roman"/>
        </w:rPr>
        <w:t xml:space="preserve">on </w:t>
      </w:r>
      <w:r w:rsidR="00D1567A">
        <w:rPr>
          <w:rFonts w:ascii="Times New Roman" w:hAnsi="Times New Roman"/>
        </w:rPr>
        <w:t>April 29, 2020</w:t>
      </w:r>
      <w:r w:rsidRPr="004C5D3B" w:rsidR="00721807">
        <w:rPr>
          <w:rFonts w:ascii="Times New Roman" w:hAnsi="Times New Roman"/>
        </w:rPr>
        <w:t xml:space="preserve"> (</w:t>
      </w:r>
      <w:r w:rsidRPr="004C5D3B" w:rsidR="006B3903">
        <w:rPr>
          <w:rFonts w:ascii="Times New Roman" w:hAnsi="Times New Roman"/>
        </w:rPr>
        <w:t>8</w:t>
      </w:r>
      <w:r w:rsidR="00D1567A">
        <w:rPr>
          <w:rFonts w:ascii="Times New Roman" w:hAnsi="Times New Roman"/>
        </w:rPr>
        <w:t>5</w:t>
      </w:r>
      <w:r w:rsidRPr="004C5D3B" w:rsidR="00721807">
        <w:rPr>
          <w:rFonts w:ascii="Times New Roman" w:hAnsi="Times New Roman"/>
        </w:rPr>
        <w:t xml:space="preserve"> FR </w:t>
      </w:r>
      <w:r w:rsidR="00D1567A">
        <w:rPr>
          <w:rFonts w:ascii="Times New Roman" w:hAnsi="Times New Roman"/>
        </w:rPr>
        <w:t>23856</w:t>
      </w:r>
      <w:r w:rsidRPr="004C5D3B" w:rsidR="00721807">
        <w:rPr>
          <w:rFonts w:ascii="Times New Roman" w:hAnsi="Times New Roman"/>
        </w:rPr>
        <w:t xml:space="preserve">) </w:t>
      </w:r>
      <w:r w:rsidRPr="004C5D3B" w:rsidR="001C2921">
        <w:rPr>
          <w:rFonts w:ascii="Times New Roman" w:hAnsi="Times New Roman"/>
        </w:rPr>
        <w:t xml:space="preserve">providing the public 60 days to comment on the submission.  No </w:t>
      </w:r>
      <w:r w:rsidR="00CF4E53">
        <w:rPr>
          <w:rFonts w:ascii="Times New Roman" w:hAnsi="Times New Roman"/>
        </w:rPr>
        <w:t xml:space="preserve">public </w:t>
      </w:r>
      <w:r w:rsidRPr="004C5D3B" w:rsidR="001C2921">
        <w:rPr>
          <w:rFonts w:ascii="Times New Roman" w:hAnsi="Times New Roman"/>
        </w:rPr>
        <w:t>comments were received.</w:t>
      </w:r>
    </w:p>
    <w:p w:rsidRPr="004C5D3B" w:rsidR="001C2921" w:rsidP="006C4041" w:rsidRDefault="001C2921">
      <w:pPr>
        <w:ind w:left="720"/>
        <w:rPr>
          <w:rFonts w:ascii="Times New Roman" w:hAnsi="Times New Roman"/>
        </w:rPr>
      </w:pPr>
    </w:p>
    <w:p w:rsidRPr="00DA0685" w:rsidR="001C2921" w:rsidP="00DA0685" w:rsidRDefault="00DA0685">
      <w:pPr>
        <w:pStyle w:val="Quick1"/>
        <w:numPr>
          <w:ilvl w:val="0"/>
          <w:numId w:val="3"/>
        </w:numPr>
        <w:tabs>
          <w:tab w:val="left" w:pos="-1440"/>
          <w:tab w:val="num" w:pos="720"/>
        </w:tabs>
        <w:rPr>
          <w:rFonts w:ascii="Times New Roman" w:hAnsi="Times New Roman"/>
          <w:i/>
          <w:iCs/>
        </w:rPr>
      </w:pPr>
      <w:r w:rsidRPr="00867BE4">
        <w:rPr>
          <w:rFonts w:ascii="Times New Roman" w:hAnsi="Times New Roman"/>
          <w:b/>
          <w:iCs/>
        </w:rPr>
        <w:t>Explain any decision to provide any payments or gifts to respondents, other than remuneration of contractors or grantees</w:t>
      </w:r>
      <w:r w:rsidRPr="00DA0685">
        <w:rPr>
          <w:rFonts w:ascii="Times New Roman" w:hAnsi="Times New Roman"/>
          <w:i/>
          <w:iCs/>
        </w:rPr>
        <w:t>.</w:t>
      </w:r>
    </w:p>
    <w:p w:rsidRPr="004C5D3B" w:rsidR="001C2921" w:rsidP="006C4041" w:rsidRDefault="001C2921">
      <w:pPr>
        <w:ind w:left="720"/>
        <w:rPr>
          <w:rFonts w:ascii="Times New Roman" w:hAnsi="Times New Roman"/>
        </w:rPr>
      </w:pPr>
    </w:p>
    <w:p w:rsidRPr="004C5D3B" w:rsidR="001C2921" w:rsidP="006C4041" w:rsidRDefault="001C2921">
      <w:pPr>
        <w:ind w:left="720"/>
        <w:outlineLvl w:val="0"/>
        <w:rPr>
          <w:rFonts w:ascii="Times New Roman" w:hAnsi="Times New Roman"/>
        </w:rPr>
      </w:pPr>
      <w:r w:rsidRPr="004C5D3B">
        <w:rPr>
          <w:rFonts w:ascii="Times New Roman" w:hAnsi="Times New Roman"/>
        </w:rPr>
        <w:t>No payments or gifts are provided to respondents.</w:t>
      </w:r>
    </w:p>
    <w:p w:rsidRPr="004C5D3B" w:rsidR="001C2921" w:rsidP="006C4041" w:rsidRDefault="001C2921">
      <w:pPr>
        <w:ind w:left="720"/>
        <w:rPr>
          <w:rFonts w:ascii="Times New Roman" w:hAnsi="Times New Roman"/>
        </w:rPr>
      </w:pPr>
    </w:p>
    <w:p w:rsidRPr="004C5D3B" w:rsidR="001C2921" w:rsidP="006C4041" w:rsidRDefault="001C2921">
      <w:pPr>
        <w:tabs>
          <w:tab w:val="left" w:pos="-1440"/>
        </w:tabs>
        <w:ind w:left="720" w:hanging="720"/>
        <w:rPr>
          <w:rFonts w:ascii="Times New Roman" w:hAnsi="Times New Roman"/>
          <w:i/>
          <w:iCs/>
        </w:rPr>
      </w:pPr>
      <w:r w:rsidRPr="00812E00">
        <w:rPr>
          <w:rFonts w:ascii="Times New Roman" w:hAnsi="Times New Roman"/>
          <w:b/>
        </w:rPr>
        <w:t>10.</w:t>
      </w:r>
      <w:r w:rsidRPr="004C5D3B">
        <w:rPr>
          <w:rFonts w:ascii="Times New Roman" w:hAnsi="Times New Roman"/>
          <w:i/>
        </w:rPr>
        <w:tab/>
      </w:r>
      <w:r w:rsidRPr="00D53DEB" w:rsidR="00DA0685">
        <w:rPr>
          <w:rFonts w:ascii="Times New Roman" w:hAnsi="Times New Roman"/>
          <w:b/>
          <w:bCs/>
        </w:rPr>
        <w:t>Describe any assurance of confidentiality provided to respondents and the basis for the assurance in statute, regulation, or agency policy</w:t>
      </w:r>
    </w:p>
    <w:p w:rsidRPr="004C5D3B" w:rsidR="001C2921" w:rsidP="006C4041" w:rsidRDefault="001C2921">
      <w:pPr>
        <w:ind w:left="720"/>
        <w:rPr>
          <w:rFonts w:ascii="Times New Roman" w:hAnsi="Times New Roman"/>
        </w:rPr>
      </w:pPr>
    </w:p>
    <w:p w:rsidRPr="004C5D3B" w:rsidR="001C2921" w:rsidP="006C4041" w:rsidRDefault="001C2921">
      <w:pPr>
        <w:ind w:left="720"/>
        <w:rPr>
          <w:rFonts w:ascii="Times New Roman" w:hAnsi="Times New Roman"/>
        </w:rPr>
      </w:pPr>
      <w:r w:rsidRPr="004C5D3B">
        <w:rPr>
          <w:rFonts w:ascii="Times New Roman" w:hAnsi="Times New Roman"/>
        </w:rPr>
        <w:t xml:space="preserve">There is no promise of confidentiality of the information.  The class exemption </w:t>
      </w:r>
      <w:r w:rsidRPr="004C5D3B" w:rsidR="00D06ED3">
        <w:rPr>
          <w:rFonts w:ascii="Times New Roman" w:hAnsi="Times New Roman"/>
        </w:rPr>
        <w:t xml:space="preserve">requires </w:t>
      </w:r>
      <w:r w:rsidRPr="004C5D3B" w:rsidR="00D06ED3">
        <w:rPr>
          <w:rFonts w:ascii="Times New Roman" w:hAnsi="Times New Roman"/>
        </w:rPr>
        <w:lastRenderedPageBreak/>
        <w:t>information</w:t>
      </w:r>
      <w:r w:rsidRPr="004C5D3B">
        <w:rPr>
          <w:rFonts w:ascii="Times New Roman" w:hAnsi="Times New Roman"/>
        </w:rPr>
        <w:t xml:space="preserve"> concerning the possible payment of redemption fees to be included in the investment company’s prospectus, and, therefore, available to t</w:t>
      </w:r>
      <w:r w:rsidR="006C4041">
        <w:rPr>
          <w:rFonts w:ascii="Times New Roman" w:hAnsi="Times New Roman"/>
        </w:rPr>
        <w:t>he plan and interested parties.</w:t>
      </w:r>
    </w:p>
    <w:p w:rsidRPr="004C5D3B" w:rsidR="001C2921" w:rsidP="006C4041" w:rsidRDefault="001C2921">
      <w:pPr>
        <w:ind w:left="720"/>
        <w:rPr>
          <w:rFonts w:ascii="Times New Roman" w:hAnsi="Times New Roman"/>
        </w:rPr>
      </w:pPr>
    </w:p>
    <w:p w:rsidRPr="004C5D3B" w:rsidR="001C2921" w:rsidP="006C4041" w:rsidRDefault="001C2921">
      <w:pPr>
        <w:tabs>
          <w:tab w:val="left" w:pos="-1440"/>
        </w:tabs>
        <w:ind w:left="720" w:hanging="720"/>
        <w:rPr>
          <w:rFonts w:ascii="Times New Roman" w:hAnsi="Times New Roman"/>
          <w:i/>
          <w:iCs/>
        </w:rPr>
      </w:pPr>
      <w:r w:rsidRPr="00812E00">
        <w:rPr>
          <w:rFonts w:ascii="Times New Roman" w:hAnsi="Times New Roman"/>
          <w:b/>
        </w:rPr>
        <w:t>11.</w:t>
      </w:r>
      <w:r w:rsidRPr="004C5D3B">
        <w:rPr>
          <w:rFonts w:ascii="Times New Roman" w:hAnsi="Times New Roman"/>
          <w:i/>
        </w:rPr>
        <w:tab/>
      </w:r>
      <w:r w:rsidRPr="00D53DEB" w:rsidR="00D66F1D">
        <w:rPr>
          <w:rFonts w:ascii="Times New Roman" w:hAnsi="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C5D3B" w:rsidR="001C2921" w:rsidP="006C4041" w:rsidRDefault="001C2921">
      <w:pPr>
        <w:ind w:left="720"/>
        <w:rPr>
          <w:rFonts w:ascii="Times New Roman" w:hAnsi="Times New Roman"/>
          <w:i/>
          <w:iCs/>
        </w:rPr>
      </w:pPr>
    </w:p>
    <w:p w:rsidRPr="004C5D3B" w:rsidR="001C2921" w:rsidP="006C4041" w:rsidRDefault="001C2921">
      <w:pPr>
        <w:ind w:left="720"/>
        <w:rPr>
          <w:rFonts w:ascii="Times New Roman" w:hAnsi="Times New Roman"/>
        </w:rPr>
      </w:pPr>
      <w:r w:rsidRPr="004C5D3B">
        <w:rPr>
          <w:rFonts w:ascii="Times New Roman" w:hAnsi="Times New Roman"/>
        </w:rPr>
        <w:t>There are no questions of a sensitive nature pertaining to sexual behavior and attitudes, religious beliefs, or other matters that are commonly considered private.  Therefore, this is not applicable to the requirements of this class exemption.</w:t>
      </w:r>
    </w:p>
    <w:p w:rsidRPr="004C5D3B" w:rsidR="001C2921" w:rsidP="006C4041" w:rsidRDefault="001C2921">
      <w:pPr>
        <w:ind w:left="720"/>
        <w:rPr>
          <w:rFonts w:ascii="Times New Roman" w:hAnsi="Times New Roman"/>
        </w:rPr>
      </w:pPr>
    </w:p>
    <w:p w:rsidRPr="004C5D3B" w:rsidR="00045A99" w:rsidP="00867BE4" w:rsidRDefault="001C2921">
      <w:pPr>
        <w:tabs>
          <w:tab w:val="left" w:pos="-1440"/>
        </w:tabs>
        <w:ind w:left="720" w:hanging="720"/>
        <w:rPr>
          <w:rFonts w:ascii="Times New Roman" w:hAnsi="Times New Roman"/>
          <w:i/>
          <w:iCs/>
        </w:rPr>
      </w:pPr>
      <w:r w:rsidRPr="00812E00">
        <w:rPr>
          <w:rFonts w:ascii="Times New Roman" w:hAnsi="Times New Roman"/>
          <w:b/>
        </w:rPr>
        <w:t>12.</w:t>
      </w:r>
      <w:r w:rsidRPr="004C5D3B">
        <w:rPr>
          <w:rFonts w:ascii="Times New Roman" w:hAnsi="Times New Roman"/>
          <w:i/>
        </w:rPr>
        <w:tab/>
      </w:r>
      <w:r w:rsidRPr="00BC160A" w:rsidR="00BC160A">
        <w:rPr>
          <w:rFonts w:ascii="Times New Roman" w:hAnsi="Times New Roman"/>
          <w:b/>
          <w:bCs/>
        </w:rPr>
        <w:t>Provide estimates of the hour burden of the collection of information.  The statement should</w:t>
      </w:r>
      <w:r w:rsidR="00BC160A">
        <w:rPr>
          <w:rFonts w:ascii="Times New Roman" w:hAnsi="Times New Roman"/>
          <w:b/>
          <w:bCs/>
        </w:rPr>
        <w:t>:</w:t>
      </w:r>
    </w:p>
    <w:p w:rsidRPr="00BC160A" w:rsidR="00BC160A" w:rsidP="00BC160A" w:rsidRDefault="00BC16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C160A" w:rsidR="00BC160A" w:rsidP="00BC160A" w:rsidRDefault="00BC160A">
      <w:pPr>
        <w:widowControl/>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C160A">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BC160A" w:rsidR="00BC160A" w:rsidP="00BC160A" w:rsidRDefault="00BC16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C160A" w:rsidR="00BC160A" w:rsidP="00BC160A" w:rsidRDefault="00BC160A">
      <w:pPr>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C160A">
        <w:rPr>
          <w:rFonts w:ascii="Times New Roman" w:hAnsi="Times New Roman"/>
          <w:b/>
        </w:rPr>
        <w:t xml:space="preserve">If this </w:t>
      </w:r>
      <w:r w:rsidRPr="00BC160A">
        <w:rPr>
          <w:rFonts w:ascii="Times New Roman" w:hAnsi="Times New Roman"/>
          <w:b/>
          <w:bCs/>
        </w:rPr>
        <w:t>request for approval covers more than one form, provide separate hour burden estimates for each form.</w:t>
      </w:r>
    </w:p>
    <w:p w:rsidRPr="00BC160A" w:rsidR="00BC160A" w:rsidP="00BC160A" w:rsidRDefault="00BC160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BC160A" w:rsidR="00BC160A" w:rsidP="00BC160A" w:rsidRDefault="00BC160A">
      <w:pPr>
        <w:widowControl/>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C160A">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4C5D3B" w:rsidR="001C2921" w:rsidP="00812E00" w:rsidRDefault="001C2921">
      <w:pPr>
        <w:rPr>
          <w:rFonts w:ascii="Times New Roman" w:hAnsi="Times New Roman"/>
        </w:rPr>
      </w:pPr>
    </w:p>
    <w:p w:rsidRPr="004C5D3B" w:rsidR="001C2921" w:rsidP="0071408C" w:rsidRDefault="001C2921">
      <w:pPr>
        <w:ind w:left="720"/>
        <w:rPr>
          <w:rFonts w:ascii="Times New Roman" w:hAnsi="Times New Roman"/>
        </w:rPr>
      </w:pPr>
      <w:r w:rsidRPr="004C5D3B">
        <w:rPr>
          <w:rFonts w:ascii="Times New Roman" w:hAnsi="Times New Roman"/>
        </w:rPr>
        <w:t xml:space="preserve">The class exemption has two basic information collection requirements, both of which affect only that portion of the exemption dealing with repurchase agreements.  The first requirement calls for repurchase agreements between the seller and the plan to be in the form of a written agreement and the second requirement obliges the seller to provide his or her most recent financial statement to the plan at the time of a transaction or to agree in </w:t>
      </w:r>
      <w:r w:rsidRPr="004C5D3B">
        <w:rPr>
          <w:rFonts w:ascii="Times New Roman" w:hAnsi="Times New Roman"/>
        </w:rPr>
        <w:lastRenderedPageBreak/>
        <w:t xml:space="preserve">the instrument of the transaction that there has been no material adverse change since the last financial statement was furnished.  A written agreement insures the protection of plans (and their participants and beneficiaries) by defining the rights of the parties to the agreement.  The agreement also assists the Department in determining the plan’s compliance with the </w:t>
      </w:r>
      <w:r w:rsidRPr="004C5D3B" w:rsidR="00543A6D">
        <w:rPr>
          <w:rFonts w:ascii="Times New Roman" w:hAnsi="Times New Roman"/>
        </w:rPr>
        <w:t>conditions</w:t>
      </w:r>
      <w:r w:rsidRPr="004C5D3B">
        <w:rPr>
          <w:rFonts w:ascii="Times New Roman" w:hAnsi="Times New Roman"/>
        </w:rPr>
        <w:t xml:space="preserve"> of the exemption.</w:t>
      </w:r>
    </w:p>
    <w:p w:rsidRPr="004C5D3B" w:rsidR="001C2921" w:rsidP="0071408C" w:rsidRDefault="001C2921">
      <w:pPr>
        <w:ind w:left="720"/>
        <w:rPr>
          <w:rFonts w:ascii="Times New Roman" w:hAnsi="Times New Roman"/>
        </w:rPr>
      </w:pPr>
    </w:p>
    <w:p w:rsidRPr="004C5D3B" w:rsidR="001C2921" w:rsidP="0071408C" w:rsidRDefault="001C2921">
      <w:pPr>
        <w:ind w:left="720"/>
        <w:rPr>
          <w:rFonts w:ascii="Times New Roman" w:hAnsi="Times New Roman"/>
        </w:rPr>
      </w:pPr>
      <w:r w:rsidRPr="004C5D3B">
        <w:rPr>
          <w:rFonts w:ascii="Times New Roman" w:hAnsi="Times New Roman"/>
        </w:rPr>
        <w:t>Written evidence confirming a transaction can most easily be accomplished by the use of preprinted forms.  Preprinted forms can be designed to contain most of the necessary information with blanks provided for the individualized information pertaining to the transactions.  The seller will complete these forms in-house.  The class exemption allows for a repurchase agreement for each transaction or a blanket agreement to cover all such transactions for up to one year.  Based on comments received</w:t>
      </w:r>
      <w:r w:rsidRPr="004C5D3B" w:rsidR="00633BD0">
        <w:rPr>
          <w:rFonts w:ascii="Times New Roman" w:hAnsi="Times New Roman"/>
        </w:rPr>
        <w:t xml:space="preserve"> on the proposed election</w:t>
      </w:r>
      <w:r w:rsidRPr="004C5D3B">
        <w:rPr>
          <w:rFonts w:ascii="Times New Roman" w:hAnsi="Times New Roman"/>
        </w:rPr>
        <w:t>, we assume that plans utilizing this investment vehicle would enter into a blanket agreement each year.  We estimate that it would take no more than 1</w:t>
      </w:r>
      <w:r w:rsidRPr="004C5D3B" w:rsidR="00DB06D9">
        <w:rPr>
          <w:rFonts w:ascii="Times New Roman" w:hAnsi="Times New Roman"/>
        </w:rPr>
        <w:t>5</w:t>
      </w:r>
      <w:r w:rsidRPr="004C5D3B">
        <w:rPr>
          <w:rFonts w:ascii="Times New Roman" w:hAnsi="Times New Roman"/>
        </w:rPr>
        <w:t xml:space="preserve"> minutes or 1/</w:t>
      </w:r>
      <w:r w:rsidRPr="004C5D3B" w:rsidR="00DB06D9">
        <w:rPr>
          <w:rFonts w:ascii="Times New Roman" w:hAnsi="Times New Roman"/>
        </w:rPr>
        <w:t>4</w:t>
      </w:r>
      <w:r w:rsidRPr="004C5D3B">
        <w:rPr>
          <w:rFonts w:ascii="Times New Roman" w:hAnsi="Times New Roman"/>
        </w:rPr>
        <w:t xml:space="preserve"> of an hour to complete a preprinted blanket repurchase agreement due to the limited amount of individualized information that is requested.  </w:t>
      </w:r>
    </w:p>
    <w:p w:rsidRPr="004C5D3B" w:rsidR="001C2921" w:rsidP="0071408C" w:rsidRDefault="001C2921">
      <w:pPr>
        <w:ind w:left="720"/>
        <w:rPr>
          <w:rFonts w:ascii="Times New Roman" w:hAnsi="Times New Roman"/>
        </w:rPr>
      </w:pPr>
    </w:p>
    <w:p w:rsidRPr="004C5D3B" w:rsidR="0031166E" w:rsidP="0071408C" w:rsidRDefault="0031166E">
      <w:pPr>
        <w:ind w:left="720"/>
        <w:rPr>
          <w:rFonts w:ascii="Times New Roman" w:hAnsi="Times New Roman"/>
        </w:rPr>
      </w:pPr>
      <w:r w:rsidRPr="004C5D3B">
        <w:rPr>
          <w:rFonts w:ascii="Times New Roman" w:hAnsi="Times New Roman"/>
        </w:rPr>
        <w:t>Statistics gathered from the 20</w:t>
      </w:r>
      <w:r w:rsidRPr="004C5D3B" w:rsidR="00BF37C9">
        <w:rPr>
          <w:rFonts w:ascii="Times New Roman" w:hAnsi="Times New Roman"/>
        </w:rPr>
        <w:t>1</w:t>
      </w:r>
      <w:r w:rsidR="008630C8">
        <w:rPr>
          <w:rFonts w:ascii="Times New Roman" w:hAnsi="Times New Roman"/>
        </w:rPr>
        <w:t>7</w:t>
      </w:r>
      <w:r w:rsidRPr="004C5D3B" w:rsidR="00B71E81">
        <w:rPr>
          <w:rFonts w:ascii="Times New Roman" w:hAnsi="Times New Roman"/>
        </w:rPr>
        <w:t xml:space="preserve"> </w:t>
      </w:r>
      <w:r w:rsidRPr="004C5D3B">
        <w:rPr>
          <w:rFonts w:ascii="Times New Roman" w:hAnsi="Times New Roman"/>
        </w:rPr>
        <w:t>Form 5500 annual reports indicate that there ar</w:t>
      </w:r>
      <w:r w:rsidRPr="004C5D3B" w:rsidR="000B62C4">
        <w:rPr>
          <w:rFonts w:ascii="Times New Roman" w:hAnsi="Times New Roman"/>
        </w:rPr>
        <w:t>e</w:t>
      </w:r>
      <w:r w:rsidRPr="004C5D3B">
        <w:rPr>
          <w:rFonts w:ascii="Times New Roman" w:hAnsi="Times New Roman"/>
        </w:rPr>
        <w:t xml:space="preserve"> </w:t>
      </w:r>
      <w:r w:rsidR="00E678DC">
        <w:rPr>
          <w:rFonts w:ascii="Times New Roman" w:hAnsi="Times New Roman"/>
        </w:rPr>
        <w:t>95,170</w:t>
      </w:r>
      <w:r w:rsidRPr="004C5D3B">
        <w:rPr>
          <w:rFonts w:ascii="Times New Roman" w:hAnsi="Times New Roman"/>
        </w:rPr>
        <w:t xml:space="preserve"> pension plans that have assets in excess of $5 million and are not fully insured.</w:t>
      </w:r>
      <w:r w:rsidRPr="004C5D3B" w:rsidR="000B62C4">
        <w:rPr>
          <w:rStyle w:val="FootnoteReference"/>
          <w:rFonts w:ascii="Times New Roman" w:hAnsi="Times New Roman"/>
          <w:vertAlign w:val="superscript"/>
        </w:rPr>
        <w:footnoteReference w:id="2"/>
      </w:r>
      <w:r w:rsidRPr="004C5D3B">
        <w:rPr>
          <w:rFonts w:ascii="Times New Roman" w:hAnsi="Times New Roman"/>
        </w:rPr>
        <w:t xml:space="preserve">  Based on the Department’s experience, plans with less than $5 million in assets would typically not have the assets necessary or the investment expertise to engage in th</w:t>
      </w:r>
      <w:r w:rsidRPr="004C5D3B" w:rsidR="00543A6D">
        <w:rPr>
          <w:rFonts w:ascii="Times New Roman" w:hAnsi="Times New Roman"/>
        </w:rPr>
        <w:t>ese</w:t>
      </w:r>
      <w:r w:rsidRPr="004C5D3B">
        <w:rPr>
          <w:rFonts w:ascii="Times New Roman" w:hAnsi="Times New Roman"/>
        </w:rPr>
        <w:t xml:space="preserve"> type</w:t>
      </w:r>
      <w:r w:rsidRPr="004C5D3B" w:rsidR="00543A6D">
        <w:rPr>
          <w:rFonts w:ascii="Times New Roman" w:hAnsi="Times New Roman"/>
        </w:rPr>
        <w:t>s</w:t>
      </w:r>
      <w:r w:rsidRPr="004C5D3B">
        <w:rPr>
          <w:rFonts w:ascii="Times New Roman" w:hAnsi="Times New Roman"/>
        </w:rPr>
        <w:t xml:space="preserve"> of</w:t>
      </w:r>
      <w:r w:rsidRPr="004C5D3B" w:rsidR="00543A6D">
        <w:rPr>
          <w:rFonts w:ascii="Times New Roman" w:hAnsi="Times New Roman"/>
        </w:rPr>
        <w:t xml:space="preserve"> short-term investment transactions</w:t>
      </w:r>
      <w:r w:rsidRPr="004C5D3B">
        <w:rPr>
          <w:rFonts w:ascii="Times New Roman" w:hAnsi="Times New Roman"/>
        </w:rPr>
        <w:t xml:space="preserve">.  This type of investment is normally centered in or around large metropolitan areas where the large banks and investment institutions are located.  However, we recognize that large plans may use more than one bank or investment company to handle its assets.  Therefore, for purposes of this estimate, we assume that each large plan enters into an average of five repurchase agreements involving different financial institutions each year.  </w:t>
      </w:r>
    </w:p>
    <w:p w:rsidRPr="004C5D3B" w:rsidR="0031166E" w:rsidP="0071408C" w:rsidRDefault="0031166E">
      <w:pPr>
        <w:ind w:left="720"/>
        <w:rPr>
          <w:rFonts w:ascii="Times New Roman" w:hAnsi="Times New Roman"/>
        </w:rPr>
      </w:pPr>
    </w:p>
    <w:p w:rsidRPr="004C5D3B" w:rsidR="0031166E" w:rsidP="0071408C" w:rsidRDefault="0031166E">
      <w:pPr>
        <w:ind w:left="720"/>
        <w:rPr>
          <w:rFonts w:ascii="Times New Roman" w:hAnsi="Times New Roman"/>
        </w:rPr>
      </w:pPr>
      <w:r w:rsidRPr="004C5D3B">
        <w:rPr>
          <w:rFonts w:ascii="Times New Roman" w:hAnsi="Times New Roman"/>
        </w:rPr>
        <w:t xml:space="preserve">The written agreement consists of a preprinted form prepared by a service provider with blanks provided for the individualized information pertaining to the transactions.  Since the class exemption has been in effect for </w:t>
      </w:r>
      <w:r w:rsidRPr="004C5D3B" w:rsidR="00790E17">
        <w:rPr>
          <w:rFonts w:ascii="Times New Roman" w:hAnsi="Times New Roman"/>
        </w:rPr>
        <w:t>over</w:t>
      </w:r>
      <w:r w:rsidRPr="004C5D3B">
        <w:rPr>
          <w:rFonts w:ascii="Times New Roman" w:hAnsi="Times New Roman"/>
        </w:rPr>
        <w:t xml:space="preserve"> </w:t>
      </w:r>
      <w:r w:rsidRPr="004C5D3B" w:rsidR="00543A6D">
        <w:rPr>
          <w:rFonts w:ascii="Times New Roman" w:hAnsi="Times New Roman"/>
        </w:rPr>
        <w:t>3</w:t>
      </w:r>
      <w:r w:rsidRPr="004C5D3B" w:rsidR="00DE7D49">
        <w:rPr>
          <w:rFonts w:ascii="Times New Roman" w:hAnsi="Times New Roman"/>
        </w:rPr>
        <w:t>5</w:t>
      </w:r>
      <w:r w:rsidRPr="004C5D3B">
        <w:rPr>
          <w:rFonts w:ascii="Times New Roman" w:hAnsi="Times New Roman"/>
        </w:rPr>
        <w:t xml:space="preserve"> years, </w:t>
      </w:r>
      <w:r w:rsidRPr="004C5D3B" w:rsidR="00824014">
        <w:rPr>
          <w:rFonts w:ascii="Times New Roman" w:hAnsi="Times New Roman"/>
        </w:rPr>
        <w:t>the Department assumes</w:t>
      </w:r>
      <w:r w:rsidRPr="004C5D3B">
        <w:rPr>
          <w:rFonts w:ascii="Times New Roman" w:hAnsi="Times New Roman"/>
        </w:rPr>
        <w:t xml:space="preserve"> that every service provider utilizing it has already created such a form; therefore, </w:t>
      </w:r>
      <w:r w:rsidRPr="004C5D3B" w:rsidR="00824014">
        <w:rPr>
          <w:rFonts w:ascii="Times New Roman" w:hAnsi="Times New Roman"/>
        </w:rPr>
        <w:t xml:space="preserve">the Department is </w:t>
      </w:r>
      <w:r w:rsidRPr="004C5D3B">
        <w:rPr>
          <w:rFonts w:ascii="Times New Roman" w:hAnsi="Times New Roman"/>
        </w:rPr>
        <w:t xml:space="preserve">not considering such costs in </w:t>
      </w:r>
      <w:r w:rsidRPr="004C5D3B" w:rsidR="00824014">
        <w:rPr>
          <w:rFonts w:ascii="Times New Roman" w:hAnsi="Times New Roman"/>
        </w:rPr>
        <w:t xml:space="preserve">its </w:t>
      </w:r>
      <w:r w:rsidRPr="004C5D3B">
        <w:rPr>
          <w:rFonts w:ascii="Times New Roman" w:hAnsi="Times New Roman"/>
        </w:rPr>
        <w:t>estimates.</w:t>
      </w:r>
    </w:p>
    <w:p w:rsidRPr="004C5D3B" w:rsidR="0031166E" w:rsidP="0071408C" w:rsidRDefault="0031166E">
      <w:pPr>
        <w:ind w:left="720"/>
        <w:rPr>
          <w:rFonts w:ascii="Times New Roman" w:hAnsi="Times New Roman"/>
        </w:rPr>
      </w:pPr>
    </w:p>
    <w:p w:rsidRPr="004C5D3B" w:rsidR="000A5588" w:rsidP="0071408C" w:rsidRDefault="00107C9B">
      <w:pPr>
        <w:ind w:left="720"/>
        <w:rPr>
          <w:rFonts w:ascii="Times New Roman" w:hAnsi="Times New Roman"/>
        </w:rPr>
      </w:pPr>
      <w:r w:rsidRPr="004C5D3B">
        <w:rPr>
          <w:rFonts w:ascii="Times New Roman" w:hAnsi="Times New Roman"/>
        </w:rPr>
        <w:t xml:space="preserve">The Department </w:t>
      </w:r>
      <w:r w:rsidRPr="004C5D3B" w:rsidR="009D7877">
        <w:rPr>
          <w:rFonts w:ascii="Times New Roman" w:hAnsi="Times New Roman"/>
        </w:rPr>
        <w:t>estimate</w:t>
      </w:r>
      <w:r w:rsidRPr="004C5D3B">
        <w:rPr>
          <w:rFonts w:ascii="Times New Roman" w:hAnsi="Times New Roman"/>
        </w:rPr>
        <w:t>s</w:t>
      </w:r>
      <w:r w:rsidRPr="004C5D3B" w:rsidR="009D7877">
        <w:rPr>
          <w:rFonts w:ascii="Times New Roman" w:hAnsi="Times New Roman"/>
        </w:rPr>
        <w:t xml:space="preserve"> that 10 minutes of financial professional staff </w:t>
      </w:r>
      <w:r w:rsidRPr="004C5D3B" w:rsidR="00824014">
        <w:rPr>
          <w:rFonts w:ascii="Times New Roman" w:hAnsi="Times New Roman"/>
        </w:rPr>
        <w:t>time</w:t>
      </w:r>
      <w:r w:rsidRPr="004C5D3B" w:rsidR="009D7877">
        <w:rPr>
          <w:rFonts w:ascii="Times New Roman" w:hAnsi="Times New Roman"/>
        </w:rPr>
        <w:t xml:space="preserve"> will be required for completion of the individualized information and five minutes </w:t>
      </w:r>
      <w:r w:rsidRPr="004C5D3B" w:rsidR="00824014">
        <w:rPr>
          <w:rFonts w:ascii="Times New Roman" w:hAnsi="Times New Roman"/>
        </w:rPr>
        <w:t xml:space="preserve">of </w:t>
      </w:r>
      <w:r w:rsidRPr="004C5D3B" w:rsidR="009D7877">
        <w:rPr>
          <w:rFonts w:ascii="Times New Roman" w:hAnsi="Times New Roman"/>
        </w:rPr>
        <w:t xml:space="preserve">clerical staff </w:t>
      </w:r>
      <w:r w:rsidRPr="004C5D3B" w:rsidR="00824014">
        <w:rPr>
          <w:rFonts w:ascii="Times New Roman" w:hAnsi="Times New Roman"/>
        </w:rPr>
        <w:t xml:space="preserve">time will be required to </w:t>
      </w:r>
      <w:r w:rsidRPr="004C5D3B" w:rsidR="009D7877">
        <w:rPr>
          <w:rFonts w:ascii="Times New Roman" w:hAnsi="Times New Roman"/>
        </w:rPr>
        <w:t xml:space="preserve">mail the form to the plan. </w:t>
      </w:r>
      <w:r w:rsidR="004A0ED5">
        <w:rPr>
          <w:rFonts w:ascii="Times New Roman" w:hAnsi="Times New Roman"/>
        </w:rPr>
        <w:t xml:space="preserve"> </w:t>
      </w:r>
      <w:r w:rsidRPr="004C5D3B" w:rsidR="009D7877">
        <w:rPr>
          <w:rFonts w:ascii="Times New Roman" w:hAnsi="Times New Roman"/>
        </w:rPr>
        <w:t xml:space="preserve">Thus, each preparation is estimated to require 15 minutes. </w:t>
      </w:r>
      <w:r w:rsidR="004A0ED5">
        <w:rPr>
          <w:rFonts w:ascii="Times New Roman" w:hAnsi="Times New Roman"/>
        </w:rPr>
        <w:t xml:space="preserve"> </w:t>
      </w:r>
      <w:r w:rsidRPr="004C5D3B" w:rsidR="00824014">
        <w:rPr>
          <w:rFonts w:ascii="Times New Roman" w:hAnsi="Times New Roman"/>
        </w:rPr>
        <w:t xml:space="preserve">The Department estimates that </w:t>
      </w:r>
      <w:r w:rsidRPr="004C5D3B" w:rsidR="0031166E">
        <w:rPr>
          <w:rFonts w:ascii="Times New Roman" w:hAnsi="Times New Roman"/>
        </w:rPr>
        <w:t xml:space="preserve">the hour burden </w:t>
      </w:r>
      <w:r w:rsidRPr="004C5D3B" w:rsidR="00824014">
        <w:rPr>
          <w:rFonts w:ascii="Times New Roman" w:hAnsi="Times New Roman"/>
        </w:rPr>
        <w:t xml:space="preserve">associated with </w:t>
      </w:r>
      <w:r w:rsidRPr="004C5D3B" w:rsidR="0031166E">
        <w:rPr>
          <w:rFonts w:ascii="Times New Roman" w:hAnsi="Times New Roman"/>
        </w:rPr>
        <w:t xml:space="preserve">completing written repurchase agreements </w:t>
      </w:r>
      <w:r w:rsidRPr="004C5D3B" w:rsidR="00824014">
        <w:rPr>
          <w:rFonts w:ascii="Times New Roman" w:hAnsi="Times New Roman"/>
        </w:rPr>
        <w:t xml:space="preserve">will be </w:t>
      </w:r>
      <w:r w:rsidR="00634787">
        <w:rPr>
          <w:rFonts w:ascii="Times New Roman" w:hAnsi="Times New Roman"/>
        </w:rPr>
        <w:t>118,</w:t>
      </w:r>
      <w:r w:rsidR="005500D3">
        <w:rPr>
          <w:rFonts w:ascii="Times New Roman" w:hAnsi="Times New Roman"/>
        </w:rPr>
        <w:t>9</w:t>
      </w:r>
      <w:r w:rsidR="00634787">
        <w:rPr>
          <w:rFonts w:ascii="Times New Roman" w:hAnsi="Times New Roman"/>
        </w:rPr>
        <w:t>6</w:t>
      </w:r>
      <w:r w:rsidR="005500D3">
        <w:rPr>
          <w:rFonts w:ascii="Times New Roman" w:hAnsi="Times New Roman"/>
        </w:rPr>
        <w:t>3</w:t>
      </w:r>
      <w:r w:rsidRPr="004C5D3B" w:rsidR="0031166E">
        <w:rPr>
          <w:rFonts w:ascii="Times New Roman" w:hAnsi="Times New Roman"/>
        </w:rPr>
        <w:t xml:space="preserve"> hours a year (</w:t>
      </w:r>
      <w:r w:rsidR="00F92653">
        <w:rPr>
          <w:rFonts w:ascii="Times New Roman" w:hAnsi="Times New Roman"/>
        </w:rPr>
        <w:t>95,170</w:t>
      </w:r>
      <w:r w:rsidRPr="004C5D3B" w:rsidR="0031166E">
        <w:rPr>
          <w:rFonts w:ascii="Times New Roman" w:hAnsi="Times New Roman"/>
        </w:rPr>
        <w:t xml:space="preserve"> plans x 5 agreements x </w:t>
      </w:r>
      <w:r w:rsidRPr="004C5D3B" w:rsidR="009D7877">
        <w:rPr>
          <w:rFonts w:ascii="Times New Roman" w:hAnsi="Times New Roman"/>
        </w:rPr>
        <w:t>1/4</w:t>
      </w:r>
      <w:r w:rsidRPr="004C5D3B" w:rsidR="0031166E">
        <w:rPr>
          <w:rFonts w:ascii="Times New Roman" w:hAnsi="Times New Roman"/>
        </w:rPr>
        <w:t xml:space="preserve"> ho</w:t>
      </w:r>
      <w:r w:rsidRPr="004C5D3B" w:rsidR="009D7877">
        <w:rPr>
          <w:rFonts w:ascii="Times New Roman" w:hAnsi="Times New Roman"/>
        </w:rPr>
        <w:t>ur</w:t>
      </w:r>
      <w:r w:rsidRPr="004C5D3B" w:rsidR="0031166E">
        <w:rPr>
          <w:rFonts w:ascii="Times New Roman" w:hAnsi="Times New Roman"/>
        </w:rPr>
        <w:t>).</w:t>
      </w:r>
      <w:r w:rsidRPr="004C5D3B" w:rsidR="004804B9">
        <w:rPr>
          <w:rFonts w:ascii="Times New Roman" w:hAnsi="Times New Roman"/>
        </w:rPr>
        <w:t xml:space="preserve"> </w:t>
      </w:r>
      <w:r w:rsidR="005500D3">
        <w:rPr>
          <w:rFonts w:ascii="Times New Roman" w:hAnsi="Times New Roman"/>
        </w:rPr>
        <w:t xml:space="preserve"> </w:t>
      </w:r>
      <w:r w:rsidRPr="004C5D3B" w:rsidR="004804B9">
        <w:rPr>
          <w:rFonts w:ascii="Times New Roman" w:hAnsi="Times New Roman"/>
        </w:rPr>
        <w:t>Of that time,</w:t>
      </w:r>
      <w:r w:rsidRPr="004C5D3B" w:rsidR="009D7877">
        <w:rPr>
          <w:rFonts w:ascii="Times New Roman" w:hAnsi="Times New Roman"/>
        </w:rPr>
        <w:t xml:space="preserve"> </w:t>
      </w:r>
      <w:r w:rsidR="005500D3">
        <w:rPr>
          <w:rFonts w:ascii="Times New Roman" w:hAnsi="Times New Roman"/>
        </w:rPr>
        <w:t>79,308</w:t>
      </w:r>
      <w:r w:rsidRPr="004C5D3B" w:rsidR="004804B9">
        <w:rPr>
          <w:rFonts w:ascii="Times New Roman" w:hAnsi="Times New Roman"/>
        </w:rPr>
        <w:t xml:space="preserve"> hours </w:t>
      </w:r>
      <w:r w:rsidRPr="004C5D3B" w:rsidR="0020210B">
        <w:rPr>
          <w:rFonts w:ascii="Times New Roman" w:hAnsi="Times New Roman"/>
        </w:rPr>
        <w:t>will be spent by financial</w:t>
      </w:r>
      <w:r w:rsidRPr="004C5D3B" w:rsidR="004804B9">
        <w:rPr>
          <w:rFonts w:ascii="Times New Roman" w:hAnsi="Times New Roman"/>
        </w:rPr>
        <w:t xml:space="preserve"> professionals and </w:t>
      </w:r>
      <w:r w:rsidR="005500D3">
        <w:rPr>
          <w:rFonts w:ascii="Times New Roman" w:hAnsi="Times New Roman"/>
        </w:rPr>
        <w:t>39,654</w:t>
      </w:r>
      <w:r w:rsidRPr="004C5D3B" w:rsidR="004804B9">
        <w:rPr>
          <w:rFonts w:ascii="Times New Roman" w:hAnsi="Times New Roman"/>
        </w:rPr>
        <w:t xml:space="preserve"> hours by clerical staff.</w:t>
      </w:r>
    </w:p>
    <w:p w:rsidRPr="004C5D3B" w:rsidR="000A5588" w:rsidP="0071408C" w:rsidRDefault="000A5588">
      <w:pPr>
        <w:ind w:left="720"/>
        <w:rPr>
          <w:rFonts w:ascii="Times New Roman" w:hAnsi="Times New Roman"/>
        </w:rPr>
      </w:pPr>
    </w:p>
    <w:p w:rsidRPr="004C5D3B" w:rsidR="0031166E" w:rsidP="0071408C" w:rsidRDefault="000A5588">
      <w:pPr>
        <w:ind w:left="720"/>
        <w:rPr>
          <w:rFonts w:ascii="Times New Roman" w:hAnsi="Times New Roman"/>
        </w:rPr>
      </w:pPr>
      <w:r w:rsidRPr="004C5D3B">
        <w:rPr>
          <w:rFonts w:ascii="Times New Roman" w:hAnsi="Times New Roman"/>
        </w:rPr>
        <w:t xml:space="preserve">The </w:t>
      </w:r>
      <w:r w:rsidRPr="004C5D3B" w:rsidR="00824014">
        <w:rPr>
          <w:rFonts w:ascii="Times New Roman" w:hAnsi="Times New Roman"/>
        </w:rPr>
        <w:t xml:space="preserve">estimated equivalent </w:t>
      </w:r>
      <w:r w:rsidRPr="004C5D3B">
        <w:rPr>
          <w:rFonts w:ascii="Times New Roman" w:hAnsi="Times New Roman"/>
        </w:rPr>
        <w:t>cost of the</w:t>
      </w:r>
      <w:r w:rsidRPr="004C5D3B" w:rsidR="00074534">
        <w:rPr>
          <w:rFonts w:ascii="Times New Roman" w:hAnsi="Times New Roman"/>
        </w:rPr>
        <w:t xml:space="preserve"> hour burden is </w:t>
      </w:r>
      <w:r w:rsidRPr="004C5D3B" w:rsidR="00EA5B9E">
        <w:rPr>
          <w:rFonts w:ascii="Times New Roman" w:hAnsi="Times New Roman"/>
        </w:rPr>
        <w:t>$</w:t>
      </w:r>
      <w:r w:rsidR="00E16656">
        <w:rPr>
          <w:rFonts w:ascii="Times New Roman" w:hAnsi="Times New Roman"/>
        </w:rPr>
        <w:t>15,322,370</w:t>
      </w:r>
      <w:r w:rsidRPr="004C5D3B">
        <w:rPr>
          <w:rFonts w:ascii="Times New Roman" w:hAnsi="Times New Roman"/>
        </w:rPr>
        <w:t xml:space="preserve">. </w:t>
      </w:r>
      <w:r w:rsidRPr="004C5D3B" w:rsidR="00EA5B9E">
        <w:rPr>
          <w:rFonts w:ascii="Times New Roman" w:hAnsi="Times New Roman"/>
        </w:rPr>
        <w:t xml:space="preserve"> </w:t>
      </w:r>
      <w:r w:rsidRPr="004C5D3B">
        <w:rPr>
          <w:rFonts w:ascii="Times New Roman" w:hAnsi="Times New Roman"/>
        </w:rPr>
        <w:t>T</w:t>
      </w:r>
      <w:r w:rsidRPr="004C5D3B" w:rsidR="00074534">
        <w:rPr>
          <w:rFonts w:ascii="Times New Roman" w:hAnsi="Times New Roman"/>
        </w:rPr>
        <w:t xml:space="preserve">his cost breaks down into </w:t>
      </w:r>
      <w:r w:rsidRPr="004C5D3B" w:rsidR="00EA5B9E">
        <w:rPr>
          <w:rFonts w:ascii="Times New Roman" w:hAnsi="Times New Roman"/>
        </w:rPr>
        <w:t>$</w:t>
      </w:r>
      <w:r w:rsidR="00E16656">
        <w:rPr>
          <w:rFonts w:ascii="Times New Roman" w:hAnsi="Times New Roman"/>
        </w:rPr>
        <w:t>13,135,839</w:t>
      </w:r>
      <w:r w:rsidRPr="004C5D3B">
        <w:rPr>
          <w:rFonts w:ascii="Times New Roman" w:hAnsi="Times New Roman"/>
        </w:rPr>
        <w:t xml:space="preserve"> for </w:t>
      </w:r>
      <w:r w:rsidRPr="004C5D3B" w:rsidR="00074534">
        <w:rPr>
          <w:rFonts w:ascii="Times New Roman" w:hAnsi="Times New Roman"/>
        </w:rPr>
        <w:t>financial professionals (at $</w:t>
      </w:r>
      <w:r w:rsidR="00E16656">
        <w:rPr>
          <w:rFonts w:ascii="Times New Roman" w:hAnsi="Times New Roman"/>
        </w:rPr>
        <w:t>165.63</w:t>
      </w:r>
      <w:r w:rsidRPr="004C5D3B" w:rsidR="00074534">
        <w:rPr>
          <w:rFonts w:ascii="Times New Roman" w:hAnsi="Times New Roman"/>
        </w:rPr>
        <w:t xml:space="preserve"> per hour)</w:t>
      </w:r>
      <w:r w:rsidRPr="004C5D3B" w:rsidR="00B04494">
        <w:rPr>
          <w:rStyle w:val="FootnoteReference"/>
          <w:rFonts w:ascii="Times New Roman" w:hAnsi="Times New Roman"/>
          <w:vertAlign w:val="superscript"/>
        </w:rPr>
        <w:footnoteReference w:id="3"/>
      </w:r>
      <w:r w:rsidRPr="004C5D3B" w:rsidR="00074534">
        <w:rPr>
          <w:rFonts w:ascii="Times New Roman" w:hAnsi="Times New Roman"/>
        </w:rPr>
        <w:t xml:space="preserve"> and </w:t>
      </w:r>
      <w:r w:rsidRPr="004C5D3B" w:rsidR="00EA5B9E">
        <w:rPr>
          <w:rFonts w:ascii="Times New Roman" w:hAnsi="Times New Roman"/>
        </w:rPr>
        <w:t>$</w:t>
      </w:r>
      <w:r w:rsidR="00E16656">
        <w:rPr>
          <w:rFonts w:ascii="Times New Roman" w:hAnsi="Times New Roman"/>
        </w:rPr>
        <w:t>2,186,531</w:t>
      </w:r>
      <w:r w:rsidRPr="004C5D3B" w:rsidR="00074534">
        <w:rPr>
          <w:rFonts w:ascii="Times New Roman" w:hAnsi="Times New Roman"/>
        </w:rPr>
        <w:t xml:space="preserve"> for clerical staff (at </w:t>
      </w:r>
      <w:r w:rsidRPr="004C5D3B" w:rsidR="00A40224">
        <w:rPr>
          <w:rFonts w:ascii="Times New Roman" w:hAnsi="Times New Roman"/>
        </w:rPr>
        <w:t>$</w:t>
      </w:r>
      <w:r w:rsidR="00E16656">
        <w:rPr>
          <w:rFonts w:ascii="Times New Roman" w:hAnsi="Times New Roman"/>
        </w:rPr>
        <w:t>55.14</w:t>
      </w:r>
      <w:r w:rsidRPr="004C5D3B">
        <w:rPr>
          <w:rFonts w:ascii="Times New Roman" w:hAnsi="Times New Roman"/>
        </w:rPr>
        <w:t xml:space="preserve"> per hour)</w:t>
      </w:r>
      <w:r w:rsidRPr="004C5D3B" w:rsidR="00633BD0">
        <w:rPr>
          <w:rFonts w:ascii="Times New Roman" w:hAnsi="Times New Roman"/>
        </w:rPr>
        <w:t>.</w:t>
      </w:r>
      <w:r w:rsidRPr="001721CB" w:rsidR="00B04494">
        <w:rPr>
          <w:rStyle w:val="FootnoteReference"/>
          <w:rFonts w:ascii="Times New Roman" w:hAnsi="Times New Roman"/>
          <w:vertAlign w:val="superscript"/>
        </w:rPr>
        <w:footnoteReference w:id="4"/>
      </w:r>
    </w:p>
    <w:p w:rsidRPr="00343205" w:rsidR="00343205" w:rsidP="00343205" w:rsidRDefault="00314E6B">
      <w:pPr>
        <w:ind w:left="720"/>
        <w:rPr>
          <w:rFonts w:ascii="Times New Roman" w:hAnsi="Times New Roman"/>
          <w:b/>
        </w:rPr>
      </w:pPr>
      <w:r>
        <w:rPr>
          <w:rFonts w:ascii="Times New Roman" w:hAnsi="Times New Roman"/>
        </w:rPr>
        <w:br w:type="page"/>
      </w:r>
    </w:p>
    <w:p w:rsidRPr="00343205" w:rsidR="00343205" w:rsidP="001A43F2" w:rsidRDefault="00343205">
      <w:pPr>
        <w:ind w:left="720"/>
        <w:jc w:val="center"/>
        <w:rPr>
          <w:rFonts w:ascii="Times New Roman" w:hAnsi="Times New Roman"/>
          <w:i/>
        </w:rPr>
      </w:pPr>
      <w:r w:rsidRPr="00343205">
        <w:rPr>
          <w:rFonts w:ascii="Times New Roman" w:hAnsi="Times New Roman"/>
          <w:b/>
        </w:rPr>
        <w:lastRenderedPageBreak/>
        <w:t>Estimated Annualized Respondent Cost and Hour Burden</w:t>
      </w:r>
    </w:p>
    <w:tbl>
      <w:tblPr>
        <w:tblpPr w:leftFromText="180" w:rightFromText="180" w:vertAnchor="text" w:horzAnchor="margin" w:tblpY="148"/>
        <w:tblW w:w="1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38"/>
        <w:gridCol w:w="1440"/>
        <w:gridCol w:w="1350"/>
        <w:gridCol w:w="1350"/>
        <w:gridCol w:w="1080"/>
        <w:gridCol w:w="1080"/>
        <w:gridCol w:w="1170"/>
        <w:gridCol w:w="1620"/>
      </w:tblGrid>
      <w:tr w:rsidRPr="00F50CA7" w:rsidR="00343205" w:rsidTr="00812E00">
        <w:tc>
          <w:tcPr>
            <w:tcW w:w="1638" w:type="dxa"/>
            <w:tcBorders>
              <w:top w:val="single" w:color="auto" w:sz="4" w:space="0"/>
              <w:left w:val="single" w:color="auto" w:sz="4" w:space="0"/>
              <w:bottom w:val="single" w:color="auto" w:sz="4" w:space="0"/>
              <w:right w:val="single" w:color="auto" w:sz="4" w:space="0"/>
            </w:tcBorders>
            <w:shd w:val="clear" w:color="auto" w:fill="8DB3E2"/>
            <w:vAlign w:val="center"/>
          </w:tcPr>
          <w:p w:rsidRPr="00F50CA7" w:rsidR="00343205" w:rsidP="00343205" w:rsidRDefault="00343205">
            <w:pPr>
              <w:jc w:val="center"/>
              <w:rPr>
                <w:rFonts w:ascii="Times New Roman" w:hAnsi="Times New Roman"/>
              </w:rPr>
            </w:pPr>
            <w:r w:rsidRPr="00E60FB0">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tcPr>
          <w:p w:rsidRPr="00F50CA7" w:rsidR="00343205" w:rsidP="00343205" w:rsidRDefault="00343205">
            <w:pPr>
              <w:jc w:val="center"/>
              <w:rPr>
                <w:rFonts w:ascii="Times New Roman" w:hAnsi="Times New Roman"/>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343205" w:rsidP="00343205" w:rsidRDefault="00343205">
            <w:pPr>
              <w:spacing w:line="276" w:lineRule="auto"/>
              <w:jc w:val="center"/>
              <w:rPr>
                <w:rFonts w:ascii="Times New Roman" w:hAnsi="Times New Roman"/>
                <w:b/>
                <w:sz w:val="22"/>
                <w:szCs w:val="22"/>
              </w:rPr>
            </w:pPr>
          </w:p>
          <w:p w:rsidRPr="00E60FB0" w:rsidR="00343205" w:rsidP="00343205" w:rsidRDefault="00343205">
            <w:pPr>
              <w:spacing w:line="276" w:lineRule="auto"/>
              <w:jc w:val="center"/>
              <w:rPr>
                <w:rFonts w:ascii="Times New Roman" w:hAnsi="Times New Roman"/>
                <w:b/>
                <w:sz w:val="22"/>
                <w:szCs w:val="22"/>
              </w:rPr>
            </w:pPr>
            <w:r w:rsidRPr="00E60FB0">
              <w:rPr>
                <w:rFonts w:ascii="Times New Roman" w:hAnsi="Times New Roman"/>
                <w:b/>
                <w:sz w:val="22"/>
                <w:szCs w:val="22"/>
              </w:rPr>
              <w:t>No. of Responses</w:t>
            </w:r>
          </w:p>
          <w:p w:rsidRPr="00F50CA7" w:rsidR="00343205" w:rsidP="00343205" w:rsidRDefault="00343205">
            <w:pPr>
              <w:jc w:val="center"/>
              <w:rPr>
                <w:rFonts w:ascii="Times New Roman" w:hAnsi="Times New Roman"/>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tcPr>
          <w:p w:rsidRPr="00F50CA7" w:rsidR="00343205" w:rsidP="00343205" w:rsidRDefault="00343205">
            <w:pPr>
              <w:jc w:val="center"/>
              <w:rPr>
                <w:rFonts w:ascii="Times New Roman" w:hAnsi="Times New Roman"/>
              </w:rPr>
            </w:pPr>
            <w:r w:rsidRPr="00E60FB0">
              <w:rPr>
                <w:rFonts w:ascii="Times New Roman" w:hAnsi="Times New Roman"/>
                <w:b/>
                <w:sz w:val="22"/>
                <w:szCs w:val="22"/>
              </w:rPr>
              <w:t>Total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tcPr>
          <w:p w:rsidRPr="00F50CA7" w:rsidR="00343205" w:rsidP="00343205" w:rsidRDefault="00343205">
            <w:pPr>
              <w:jc w:val="center"/>
              <w:rPr>
                <w:rFonts w:ascii="Times New Roman" w:hAnsi="Times New Roman"/>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tcPr>
          <w:p w:rsidRPr="00F50CA7" w:rsidR="00343205" w:rsidP="00343205" w:rsidRDefault="00343205">
            <w:pPr>
              <w:jc w:val="center"/>
              <w:rPr>
                <w:rFonts w:ascii="Times New Roman" w:hAnsi="Times New Roman"/>
              </w:rPr>
            </w:pPr>
            <w:r w:rsidRPr="00E60FB0">
              <w:rPr>
                <w:rFonts w:ascii="Times New Roman" w:hAnsi="Times New Roman"/>
                <w:b/>
                <w:sz w:val="22"/>
                <w:szCs w:val="22"/>
              </w:rPr>
              <w:t>Total Burden (Hours)</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343205" w:rsidP="00343205" w:rsidRDefault="00343205">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F50CA7" w:rsidR="00343205" w:rsidP="00343205" w:rsidRDefault="00343205">
            <w:pPr>
              <w:jc w:val="center"/>
              <w:rPr>
                <w:rFonts w:ascii="Times New Roman" w:hAnsi="Times New Roman"/>
              </w:rPr>
            </w:pPr>
            <w:r w:rsidRPr="00E60FB0">
              <w:rPr>
                <w:rFonts w:ascii="Times New Roman" w:hAnsi="Times New Roman"/>
                <w:b/>
                <w:sz w:val="22"/>
                <w:szCs w:val="22"/>
              </w:rPr>
              <w:t>Wage Rate</w:t>
            </w:r>
          </w:p>
        </w:tc>
        <w:tc>
          <w:tcPr>
            <w:tcW w:w="1620" w:type="dxa"/>
            <w:tcBorders>
              <w:top w:val="single" w:color="auto" w:sz="4" w:space="0"/>
              <w:left w:val="single" w:color="auto" w:sz="4" w:space="0"/>
              <w:bottom w:val="single" w:color="auto" w:sz="4" w:space="0"/>
              <w:right w:val="single" w:color="auto" w:sz="4" w:space="0"/>
            </w:tcBorders>
            <w:shd w:val="clear" w:color="auto" w:fill="8DB3E2"/>
            <w:vAlign w:val="center"/>
          </w:tcPr>
          <w:p w:rsidRPr="00F50CA7" w:rsidR="00343205" w:rsidP="00343205" w:rsidRDefault="00343205">
            <w:pPr>
              <w:jc w:val="center"/>
              <w:rPr>
                <w:rFonts w:ascii="Times New Roman" w:hAnsi="Times New Roman"/>
              </w:rPr>
            </w:pPr>
            <w:r w:rsidRPr="00E60FB0">
              <w:rPr>
                <w:rFonts w:ascii="Times New Roman" w:hAnsi="Times New Roman"/>
                <w:b/>
                <w:sz w:val="22"/>
                <w:szCs w:val="22"/>
              </w:rPr>
              <w:t>Total Burden Cost</w:t>
            </w:r>
          </w:p>
        </w:tc>
      </w:tr>
      <w:tr w:rsidRPr="00F50CA7" w:rsidR="0016246C" w:rsidTr="00812E00">
        <w:tc>
          <w:tcPr>
            <w:tcW w:w="1638" w:type="dxa"/>
            <w:shd w:val="clear" w:color="auto" w:fill="auto"/>
          </w:tcPr>
          <w:p w:rsidRPr="00F50CA7" w:rsidR="00FD3148" w:rsidP="008475EB" w:rsidRDefault="006452EC">
            <w:pPr>
              <w:rPr>
                <w:rFonts w:ascii="Times New Roman" w:hAnsi="Times New Roman"/>
              </w:rPr>
            </w:pPr>
            <w:r w:rsidRPr="00F50CA7">
              <w:rPr>
                <w:rFonts w:ascii="Times New Roman" w:hAnsi="Times New Roman"/>
              </w:rPr>
              <w:t>Clerical</w:t>
            </w:r>
            <w:r w:rsidR="00901A42">
              <w:rPr>
                <w:rFonts w:ascii="Times New Roman" w:hAnsi="Times New Roman"/>
              </w:rPr>
              <w:t xml:space="preserve">- Mail the form </w:t>
            </w:r>
            <w:r w:rsidR="008475EB">
              <w:rPr>
                <w:rFonts w:ascii="Times New Roman" w:hAnsi="Times New Roman"/>
              </w:rPr>
              <w:t>to the plan</w:t>
            </w:r>
            <w:r w:rsidR="00901A42">
              <w:rPr>
                <w:rFonts w:ascii="Times New Roman" w:hAnsi="Times New Roman"/>
              </w:rPr>
              <w:t xml:space="preserve"> </w:t>
            </w:r>
          </w:p>
        </w:tc>
        <w:tc>
          <w:tcPr>
            <w:tcW w:w="1440" w:type="dxa"/>
            <w:shd w:val="clear" w:color="auto" w:fill="auto"/>
          </w:tcPr>
          <w:p w:rsidRPr="00F50CA7" w:rsidR="00FD3148" w:rsidP="00F50CA7" w:rsidRDefault="00F92653">
            <w:pPr>
              <w:rPr>
                <w:rFonts w:ascii="Times New Roman" w:hAnsi="Times New Roman"/>
              </w:rPr>
            </w:pPr>
            <w:r w:rsidRPr="00F92653">
              <w:rPr>
                <w:rFonts w:ascii="Times New Roman" w:hAnsi="Times New Roman"/>
              </w:rPr>
              <w:t>95,170</w:t>
            </w:r>
          </w:p>
        </w:tc>
        <w:tc>
          <w:tcPr>
            <w:tcW w:w="1350" w:type="dxa"/>
            <w:shd w:val="clear" w:color="auto" w:fill="auto"/>
          </w:tcPr>
          <w:p w:rsidRPr="00F50CA7" w:rsidR="00FD3148" w:rsidP="00F50CA7" w:rsidRDefault="006452EC">
            <w:pPr>
              <w:rPr>
                <w:rFonts w:ascii="Times New Roman" w:hAnsi="Times New Roman"/>
              </w:rPr>
            </w:pPr>
            <w:r w:rsidRPr="00F50CA7">
              <w:rPr>
                <w:rFonts w:ascii="Times New Roman" w:hAnsi="Times New Roman"/>
              </w:rPr>
              <w:t>5</w:t>
            </w:r>
          </w:p>
        </w:tc>
        <w:tc>
          <w:tcPr>
            <w:tcW w:w="1350" w:type="dxa"/>
            <w:shd w:val="clear" w:color="auto" w:fill="auto"/>
          </w:tcPr>
          <w:p w:rsidRPr="00F50CA7" w:rsidR="00FD3148" w:rsidP="00F50CA7" w:rsidRDefault="009D582A">
            <w:pPr>
              <w:rPr>
                <w:rFonts w:ascii="Times New Roman" w:hAnsi="Times New Roman"/>
              </w:rPr>
            </w:pPr>
            <w:r>
              <w:rPr>
                <w:rFonts w:ascii="Times New Roman" w:hAnsi="Times New Roman"/>
              </w:rPr>
              <w:t>475,850</w:t>
            </w:r>
          </w:p>
        </w:tc>
        <w:tc>
          <w:tcPr>
            <w:tcW w:w="1080" w:type="dxa"/>
            <w:shd w:val="clear" w:color="auto" w:fill="auto"/>
          </w:tcPr>
          <w:p w:rsidRPr="00F50CA7" w:rsidR="00FD3148" w:rsidP="00F50CA7" w:rsidRDefault="006452EC">
            <w:pPr>
              <w:rPr>
                <w:rFonts w:ascii="Times New Roman" w:hAnsi="Times New Roman"/>
              </w:rPr>
            </w:pPr>
            <w:r w:rsidRPr="00F50CA7">
              <w:rPr>
                <w:rFonts w:ascii="Times New Roman" w:hAnsi="Times New Roman"/>
              </w:rPr>
              <w:t>5/60</w:t>
            </w:r>
          </w:p>
        </w:tc>
        <w:tc>
          <w:tcPr>
            <w:tcW w:w="1080" w:type="dxa"/>
            <w:shd w:val="clear" w:color="auto" w:fill="auto"/>
          </w:tcPr>
          <w:p w:rsidRPr="00F50CA7" w:rsidR="00FD3148" w:rsidP="00F50CA7" w:rsidRDefault="00797934">
            <w:pPr>
              <w:rPr>
                <w:rFonts w:ascii="Times New Roman" w:hAnsi="Times New Roman"/>
              </w:rPr>
            </w:pPr>
            <w:r>
              <w:rPr>
                <w:rFonts w:ascii="Times New Roman" w:hAnsi="Times New Roman"/>
              </w:rPr>
              <w:t>39,654</w:t>
            </w:r>
          </w:p>
        </w:tc>
        <w:tc>
          <w:tcPr>
            <w:tcW w:w="1170" w:type="dxa"/>
            <w:shd w:val="clear" w:color="auto" w:fill="auto"/>
          </w:tcPr>
          <w:p w:rsidRPr="00F50CA7" w:rsidR="00FD3148" w:rsidP="00F92653" w:rsidRDefault="006452EC">
            <w:pPr>
              <w:rPr>
                <w:rFonts w:ascii="Times New Roman" w:hAnsi="Times New Roman"/>
              </w:rPr>
            </w:pPr>
            <w:r w:rsidRPr="00F50CA7">
              <w:rPr>
                <w:rFonts w:ascii="Times New Roman" w:hAnsi="Times New Roman"/>
              </w:rPr>
              <w:t>$</w:t>
            </w:r>
            <w:r w:rsidR="00F92653">
              <w:rPr>
                <w:rFonts w:ascii="Times New Roman" w:hAnsi="Times New Roman"/>
              </w:rPr>
              <w:t>55.14</w:t>
            </w:r>
          </w:p>
        </w:tc>
        <w:tc>
          <w:tcPr>
            <w:tcW w:w="1620" w:type="dxa"/>
            <w:shd w:val="clear" w:color="auto" w:fill="auto"/>
          </w:tcPr>
          <w:p w:rsidRPr="00F50CA7" w:rsidR="00FD3148" w:rsidP="00C573A0" w:rsidRDefault="001721CB">
            <w:pPr>
              <w:rPr>
                <w:rFonts w:ascii="Times New Roman" w:hAnsi="Times New Roman"/>
              </w:rPr>
            </w:pPr>
            <w:r>
              <w:rPr>
                <w:rFonts w:ascii="Times New Roman" w:hAnsi="Times New Roman"/>
              </w:rPr>
              <w:t>$</w:t>
            </w:r>
            <w:r w:rsidR="00463E9C">
              <w:rPr>
                <w:rFonts w:ascii="Times New Roman" w:hAnsi="Times New Roman"/>
              </w:rPr>
              <w:t>114,109</w:t>
            </w:r>
          </w:p>
        </w:tc>
      </w:tr>
      <w:tr w:rsidRPr="00F50CA7" w:rsidR="0016246C" w:rsidTr="00812E00">
        <w:tc>
          <w:tcPr>
            <w:tcW w:w="1638" w:type="dxa"/>
            <w:shd w:val="clear" w:color="auto" w:fill="auto"/>
          </w:tcPr>
          <w:p w:rsidRPr="00F50CA7" w:rsidR="00FD3148" w:rsidP="00F50CA7" w:rsidRDefault="006452EC">
            <w:pPr>
              <w:rPr>
                <w:rFonts w:ascii="Times New Roman" w:hAnsi="Times New Roman"/>
              </w:rPr>
            </w:pPr>
            <w:r w:rsidRPr="00F50CA7">
              <w:rPr>
                <w:rFonts w:ascii="Times New Roman" w:hAnsi="Times New Roman"/>
              </w:rPr>
              <w:t>Financial Professional</w:t>
            </w:r>
            <w:r w:rsidR="00901A42">
              <w:rPr>
                <w:rFonts w:ascii="Times New Roman" w:hAnsi="Times New Roman"/>
              </w:rPr>
              <w:t xml:space="preserve">- Completion of individualized information </w:t>
            </w:r>
            <w:r w:rsidRPr="00F50CA7">
              <w:rPr>
                <w:rFonts w:ascii="Times New Roman" w:hAnsi="Times New Roman"/>
              </w:rPr>
              <w:t xml:space="preserve"> </w:t>
            </w:r>
          </w:p>
        </w:tc>
        <w:tc>
          <w:tcPr>
            <w:tcW w:w="1440" w:type="dxa"/>
            <w:shd w:val="clear" w:color="auto" w:fill="auto"/>
          </w:tcPr>
          <w:p w:rsidRPr="00F50CA7" w:rsidR="006452EC" w:rsidP="00F50CA7" w:rsidRDefault="00F92653">
            <w:pPr>
              <w:rPr>
                <w:rFonts w:ascii="Times New Roman" w:hAnsi="Times New Roman"/>
              </w:rPr>
            </w:pPr>
            <w:r w:rsidRPr="00F92653">
              <w:rPr>
                <w:rFonts w:ascii="Times New Roman" w:hAnsi="Times New Roman"/>
              </w:rPr>
              <w:t>95,170</w:t>
            </w:r>
          </w:p>
        </w:tc>
        <w:tc>
          <w:tcPr>
            <w:tcW w:w="1350" w:type="dxa"/>
            <w:shd w:val="clear" w:color="auto" w:fill="auto"/>
          </w:tcPr>
          <w:p w:rsidRPr="00F50CA7" w:rsidR="006452EC" w:rsidP="00F50CA7" w:rsidRDefault="006452EC">
            <w:pPr>
              <w:rPr>
                <w:rFonts w:ascii="Times New Roman" w:hAnsi="Times New Roman"/>
              </w:rPr>
            </w:pPr>
            <w:r w:rsidRPr="00F50CA7">
              <w:rPr>
                <w:rFonts w:ascii="Times New Roman" w:hAnsi="Times New Roman"/>
              </w:rPr>
              <w:t>5</w:t>
            </w:r>
          </w:p>
        </w:tc>
        <w:tc>
          <w:tcPr>
            <w:tcW w:w="1350" w:type="dxa"/>
            <w:shd w:val="clear" w:color="auto" w:fill="auto"/>
          </w:tcPr>
          <w:p w:rsidRPr="00F50CA7" w:rsidR="006452EC" w:rsidP="00F50CA7" w:rsidRDefault="009D582A">
            <w:pPr>
              <w:rPr>
                <w:rFonts w:ascii="Times New Roman" w:hAnsi="Times New Roman"/>
              </w:rPr>
            </w:pPr>
            <w:r>
              <w:rPr>
                <w:rFonts w:ascii="Times New Roman" w:hAnsi="Times New Roman"/>
              </w:rPr>
              <w:t>475,850</w:t>
            </w:r>
          </w:p>
        </w:tc>
        <w:tc>
          <w:tcPr>
            <w:tcW w:w="1080" w:type="dxa"/>
            <w:shd w:val="clear" w:color="auto" w:fill="auto"/>
          </w:tcPr>
          <w:p w:rsidRPr="00F50CA7" w:rsidR="00FD3148" w:rsidP="00F50CA7" w:rsidRDefault="006452EC">
            <w:pPr>
              <w:rPr>
                <w:rFonts w:ascii="Times New Roman" w:hAnsi="Times New Roman"/>
              </w:rPr>
            </w:pPr>
            <w:r w:rsidRPr="00F50CA7">
              <w:rPr>
                <w:rFonts w:ascii="Times New Roman" w:hAnsi="Times New Roman"/>
              </w:rPr>
              <w:t>10/60</w:t>
            </w:r>
          </w:p>
        </w:tc>
        <w:tc>
          <w:tcPr>
            <w:tcW w:w="1080" w:type="dxa"/>
            <w:shd w:val="clear" w:color="auto" w:fill="auto"/>
          </w:tcPr>
          <w:p w:rsidRPr="00F50CA7" w:rsidR="00FD3148" w:rsidP="00F50CA7" w:rsidRDefault="004553CA">
            <w:pPr>
              <w:rPr>
                <w:rFonts w:ascii="Times New Roman" w:hAnsi="Times New Roman"/>
              </w:rPr>
            </w:pPr>
            <w:r>
              <w:rPr>
                <w:rFonts w:ascii="Times New Roman" w:hAnsi="Times New Roman"/>
              </w:rPr>
              <w:t>79,308</w:t>
            </w:r>
          </w:p>
        </w:tc>
        <w:tc>
          <w:tcPr>
            <w:tcW w:w="1170" w:type="dxa"/>
            <w:shd w:val="clear" w:color="auto" w:fill="auto"/>
          </w:tcPr>
          <w:p w:rsidRPr="00F50CA7" w:rsidR="006452EC" w:rsidP="00F50CA7" w:rsidRDefault="006452EC">
            <w:pPr>
              <w:rPr>
                <w:rFonts w:ascii="Times New Roman" w:hAnsi="Times New Roman"/>
              </w:rPr>
            </w:pPr>
            <w:r w:rsidRPr="00F50CA7">
              <w:rPr>
                <w:rFonts w:ascii="Times New Roman" w:hAnsi="Times New Roman"/>
              </w:rPr>
              <w:t>$</w:t>
            </w:r>
            <w:r w:rsidRPr="00F92653" w:rsidR="00F92653">
              <w:rPr>
                <w:rFonts w:ascii="Times New Roman" w:hAnsi="Times New Roman"/>
              </w:rPr>
              <w:t>165.63</w:t>
            </w:r>
          </w:p>
        </w:tc>
        <w:tc>
          <w:tcPr>
            <w:tcW w:w="1620" w:type="dxa"/>
            <w:shd w:val="clear" w:color="auto" w:fill="auto"/>
          </w:tcPr>
          <w:p w:rsidRPr="00F50CA7" w:rsidR="00FD3148" w:rsidP="00C573A0" w:rsidRDefault="001721CB">
            <w:pPr>
              <w:rPr>
                <w:rFonts w:ascii="Times New Roman" w:hAnsi="Times New Roman"/>
              </w:rPr>
            </w:pPr>
            <w:r>
              <w:rPr>
                <w:rFonts w:ascii="Times New Roman" w:hAnsi="Times New Roman"/>
              </w:rPr>
              <w:t>$</w:t>
            </w:r>
            <w:r w:rsidR="00C573A0">
              <w:rPr>
                <w:rFonts w:ascii="Times New Roman" w:hAnsi="Times New Roman"/>
              </w:rPr>
              <w:t>0</w:t>
            </w:r>
          </w:p>
        </w:tc>
      </w:tr>
      <w:tr w:rsidRPr="00F50CA7" w:rsidR="0016246C" w:rsidTr="00812E00">
        <w:tc>
          <w:tcPr>
            <w:tcW w:w="1638" w:type="dxa"/>
            <w:shd w:val="clear" w:color="auto" w:fill="auto"/>
          </w:tcPr>
          <w:p w:rsidRPr="00F50CA7" w:rsidR="00FD3148" w:rsidP="00F50CA7" w:rsidRDefault="00FD3148">
            <w:pPr>
              <w:rPr>
                <w:rFonts w:ascii="Times New Roman" w:hAnsi="Times New Roman"/>
              </w:rPr>
            </w:pPr>
          </w:p>
        </w:tc>
        <w:tc>
          <w:tcPr>
            <w:tcW w:w="1440" w:type="dxa"/>
            <w:shd w:val="clear" w:color="auto" w:fill="auto"/>
          </w:tcPr>
          <w:p w:rsidRPr="00F50CA7" w:rsidR="00FD3148" w:rsidP="00F50CA7" w:rsidRDefault="00FD3148">
            <w:pPr>
              <w:rPr>
                <w:rFonts w:ascii="Times New Roman" w:hAnsi="Times New Roman"/>
              </w:rPr>
            </w:pPr>
          </w:p>
        </w:tc>
        <w:tc>
          <w:tcPr>
            <w:tcW w:w="1350" w:type="dxa"/>
            <w:shd w:val="clear" w:color="auto" w:fill="auto"/>
          </w:tcPr>
          <w:p w:rsidRPr="00F50CA7" w:rsidR="00FD3148" w:rsidP="00F50CA7" w:rsidRDefault="00FD3148">
            <w:pPr>
              <w:rPr>
                <w:rFonts w:ascii="Times New Roman" w:hAnsi="Times New Roman"/>
              </w:rPr>
            </w:pPr>
          </w:p>
        </w:tc>
        <w:tc>
          <w:tcPr>
            <w:tcW w:w="1350" w:type="dxa"/>
            <w:shd w:val="clear" w:color="auto" w:fill="auto"/>
          </w:tcPr>
          <w:p w:rsidRPr="00F50CA7" w:rsidR="00FD3148" w:rsidP="00F50CA7" w:rsidRDefault="00FD3148">
            <w:pPr>
              <w:rPr>
                <w:rFonts w:ascii="Times New Roman" w:hAnsi="Times New Roman"/>
              </w:rPr>
            </w:pPr>
          </w:p>
        </w:tc>
        <w:tc>
          <w:tcPr>
            <w:tcW w:w="1080" w:type="dxa"/>
            <w:shd w:val="clear" w:color="auto" w:fill="auto"/>
          </w:tcPr>
          <w:p w:rsidRPr="00F50CA7" w:rsidR="00FD3148" w:rsidP="00F50CA7" w:rsidRDefault="00FD3148">
            <w:pPr>
              <w:rPr>
                <w:rFonts w:ascii="Times New Roman" w:hAnsi="Times New Roman"/>
              </w:rPr>
            </w:pPr>
          </w:p>
        </w:tc>
        <w:tc>
          <w:tcPr>
            <w:tcW w:w="1080" w:type="dxa"/>
            <w:shd w:val="clear" w:color="auto" w:fill="auto"/>
          </w:tcPr>
          <w:p w:rsidRPr="00F50CA7" w:rsidR="00FD3148" w:rsidP="00F50CA7" w:rsidRDefault="00FD3148">
            <w:pPr>
              <w:rPr>
                <w:rFonts w:ascii="Times New Roman" w:hAnsi="Times New Roman"/>
              </w:rPr>
            </w:pPr>
          </w:p>
        </w:tc>
        <w:tc>
          <w:tcPr>
            <w:tcW w:w="1170" w:type="dxa"/>
            <w:shd w:val="clear" w:color="auto" w:fill="auto"/>
          </w:tcPr>
          <w:p w:rsidRPr="00F50CA7" w:rsidR="00FD3148" w:rsidP="00F50CA7" w:rsidRDefault="00FD3148">
            <w:pPr>
              <w:rPr>
                <w:rFonts w:ascii="Times New Roman" w:hAnsi="Times New Roman"/>
              </w:rPr>
            </w:pPr>
          </w:p>
        </w:tc>
        <w:tc>
          <w:tcPr>
            <w:tcW w:w="1620" w:type="dxa"/>
            <w:shd w:val="clear" w:color="auto" w:fill="auto"/>
          </w:tcPr>
          <w:p w:rsidRPr="00F50CA7" w:rsidR="00FD3148" w:rsidP="00F50CA7" w:rsidRDefault="00FD3148">
            <w:pPr>
              <w:rPr>
                <w:rFonts w:ascii="Times New Roman" w:hAnsi="Times New Roman"/>
              </w:rPr>
            </w:pPr>
          </w:p>
        </w:tc>
      </w:tr>
      <w:tr w:rsidRPr="00F50CA7" w:rsidR="0016246C" w:rsidTr="00812E00">
        <w:tc>
          <w:tcPr>
            <w:tcW w:w="1638" w:type="dxa"/>
            <w:shd w:val="clear" w:color="auto" w:fill="auto"/>
          </w:tcPr>
          <w:p w:rsidRPr="00F50CA7" w:rsidR="00FD3148" w:rsidP="00F50CA7" w:rsidRDefault="0055585E">
            <w:pPr>
              <w:rPr>
                <w:rFonts w:ascii="Times New Roman" w:hAnsi="Times New Roman"/>
              </w:rPr>
            </w:pPr>
            <w:r>
              <w:rPr>
                <w:rFonts w:ascii="Times New Roman" w:hAnsi="Times New Roman"/>
              </w:rPr>
              <w:t xml:space="preserve">Unduplicated </w:t>
            </w:r>
            <w:r w:rsidRPr="00F50CA7" w:rsidR="006452EC">
              <w:rPr>
                <w:rFonts w:ascii="Times New Roman" w:hAnsi="Times New Roman"/>
              </w:rPr>
              <w:t>Total</w:t>
            </w:r>
          </w:p>
        </w:tc>
        <w:tc>
          <w:tcPr>
            <w:tcW w:w="1440" w:type="dxa"/>
            <w:shd w:val="clear" w:color="auto" w:fill="auto"/>
          </w:tcPr>
          <w:p w:rsidRPr="00F50CA7" w:rsidR="00FD3148" w:rsidP="00C66770" w:rsidRDefault="00F92653">
            <w:pPr>
              <w:rPr>
                <w:rFonts w:ascii="Times New Roman" w:hAnsi="Times New Roman"/>
              </w:rPr>
            </w:pPr>
            <w:r w:rsidRPr="00F92653">
              <w:rPr>
                <w:rFonts w:ascii="Times New Roman" w:hAnsi="Times New Roman"/>
              </w:rPr>
              <w:t>95,170</w:t>
            </w:r>
          </w:p>
        </w:tc>
        <w:tc>
          <w:tcPr>
            <w:tcW w:w="1350" w:type="dxa"/>
            <w:shd w:val="clear" w:color="auto" w:fill="auto"/>
          </w:tcPr>
          <w:p w:rsidRPr="00F50CA7" w:rsidR="00FD3148" w:rsidP="00C66770" w:rsidRDefault="00C66770">
            <w:pPr>
              <w:rPr>
                <w:rFonts w:ascii="Times New Roman" w:hAnsi="Times New Roman"/>
              </w:rPr>
            </w:pPr>
            <w:r>
              <w:rPr>
                <w:rFonts w:ascii="Times New Roman" w:hAnsi="Times New Roman"/>
              </w:rPr>
              <w:t>5</w:t>
            </w:r>
          </w:p>
        </w:tc>
        <w:tc>
          <w:tcPr>
            <w:tcW w:w="1350" w:type="dxa"/>
            <w:shd w:val="clear" w:color="auto" w:fill="auto"/>
          </w:tcPr>
          <w:p w:rsidRPr="00F50CA7" w:rsidR="00FD3148" w:rsidP="00F50CA7" w:rsidRDefault="009D582A">
            <w:pPr>
              <w:rPr>
                <w:rFonts w:ascii="Times New Roman" w:hAnsi="Times New Roman"/>
              </w:rPr>
            </w:pPr>
            <w:r>
              <w:rPr>
                <w:rFonts w:ascii="Times New Roman" w:hAnsi="Times New Roman"/>
              </w:rPr>
              <w:t>475,85</w:t>
            </w:r>
            <w:r w:rsidR="00F15779">
              <w:rPr>
                <w:rFonts w:ascii="Times New Roman" w:hAnsi="Times New Roman"/>
              </w:rPr>
              <w:t>0</w:t>
            </w:r>
          </w:p>
        </w:tc>
        <w:tc>
          <w:tcPr>
            <w:tcW w:w="1080" w:type="dxa"/>
            <w:shd w:val="clear" w:color="auto" w:fill="auto"/>
          </w:tcPr>
          <w:p w:rsidRPr="00F50CA7" w:rsidR="00FD3148" w:rsidP="00F50CA7" w:rsidRDefault="006452EC">
            <w:pPr>
              <w:rPr>
                <w:rFonts w:ascii="Times New Roman" w:hAnsi="Times New Roman"/>
              </w:rPr>
            </w:pPr>
            <w:r w:rsidRPr="00F50CA7">
              <w:rPr>
                <w:rFonts w:ascii="Times New Roman" w:hAnsi="Times New Roman"/>
              </w:rPr>
              <w:t xml:space="preserve"> </w:t>
            </w:r>
            <w:r w:rsidR="00463EAA">
              <w:rPr>
                <w:rFonts w:ascii="Times New Roman" w:hAnsi="Times New Roman"/>
              </w:rPr>
              <w:t>15/60</w:t>
            </w:r>
          </w:p>
        </w:tc>
        <w:tc>
          <w:tcPr>
            <w:tcW w:w="1080" w:type="dxa"/>
            <w:shd w:val="clear" w:color="auto" w:fill="auto"/>
          </w:tcPr>
          <w:p w:rsidRPr="00F50CA7" w:rsidR="00FD3148" w:rsidP="00F50CA7" w:rsidRDefault="004553CA">
            <w:pPr>
              <w:rPr>
                <w:rFonts w:ascii="Times New Roman" w:hAnsi="Times New Roman"/>
              </w:rPr>
            </w:pPr>
            <w:r>
              <w:rPr>
                <w:rFonts w:ascii="Times New Roman" w:hAnsi="Times New Roman"/>
              </w:rPr>
              <w:t>118,963</w:t>
            </w:r>
          </w:p>
        </w:tc>
        <w:tc>
          <w:tcPr>
            <w:tcW w:w="1170" w:type="dxa"/>
            <w:shd w:val="clear" w:color="auto" w:fill="auto"/>
          </w:tcPr>
          <w:p w:rsidRPr="00F50CA7" w:rsidR="00FD3148" w:rsidP="00F50CA7" w:rsidRDefault="006452EC">
            <w:pPr>
              <w:rPr>
                <w:rFonts w:ascii="Times New Roman" w:hAnsi="Times New Roman"/>
              </w:rPr>
            </w:pPr>
            <w:r w:rsidRPr="00F50CA7">
              <w:rPr>
                <w:rFonts w:ascii="Times New Roman" w:hAnsi="Times New Roman"/>
              </w:rPr>
              <w:t xml:space="preserve"> --</w:t>
            </w:r>
          </w:p>
        </w:tc>
        <w:tc>
          <w:tcPr>
            <w:tcW w:w="1620" w:type="dxa"/>
            <w:shd w:val="clear" w:color="auto" w:fill="auto"/>
          </w:tcPr>
          <w:p w:rsidRPr="00F50CA7" w:rsidR="00FD3148" w:rsidP="00C573A0" w:rsidRDefault="001721CB">
            <w:pPr>
              <w:rPr>
                <w:rFonts w:ascii="Times New Roman" w:hAnsi="Times New Roman"/>
              </w:rPr>
            </w:pPr>
            <w:r>
              <w:rPr>
                <w:rFonts w:ascii="Times New Roman" w:hAnsi="Times New Roman"/>
              </w:rPr>
              <w:t>$</w:t>
            </w:r>
            <w:r w:rsidR="00C573A0">
              <w:rPr>
                <w:rFonts w:ascii="Times New Roman" w:hAnsi="Times New Roman"/>
              </w:rPr>
              <w:t>1</w:t>
            </w:r>
            <w:r w:rsidR="00463E9C">
              <w:rPr>
                <w:rFonts w:ascii="Times New Roman" w:hAnsi="Times New Roman"/>
              </w:rPr>
              <w:t>14,109</w:t>
            </w:r>
          </w:p>
        </w:tc>
      </w:tr>
    </w:tbl>
    <w:p w:rsidRPr="004C5D3B" w:rsidR="00343205" w:rsidP="00856283" w:rsidRDefault="00343205">
      <w:pPr>
        <w:rPr>
          <w:rFonts w:ascii="Times New Roman" w:hAnsi="Times New Roman"/>
        </w:rPr>
      </w:pPr>
    </w:p>
    <w:p w:rsidRPr="004C5D3B" w:rsidR="001C2921" w:rsidP="0071408C" w:rsidRDefault="00824014">
      <w:pPr>
        <w:ind w:left="720"/>
        <w:rPr>
          <w:rFonts w:ascii="Times New Roman" w:hAnsi="Times New Roman"/>
        </w:rPr>
      </w:pPr>
      <w:r w:rsidRPr="004C5D3B">
        <w:rPr>
          <w:rFonts w:ascii="Times New Roman" w:hAnsi="Times New Roman"/>
        </w:rPr>
        <w:t xml:space="preserve">The Department </w:t>
      </w:r>
      <w:r w:rsidRPr="004C5D3B" w:rsidR="001C2921">
        <w:rPr>
          <w:rFonts w:ascii="Times New Roman" w:hAnsi="Times New Roman"/>
        </w:rPr>
        <w:t>estimate</w:t>
      </w:r>
      <w:r w:rsidRPr="004C5D3B">
        <w:rPr>
          <w:rFonts w:ascii="Times New Roman" w:hAnsi="Times New Roman"/>
        </w:rPr>
        <w:t>s</w:t>
      </w:r>
      <w:r w:rsidRPr="004C5D3B" w:rsidR="001C2921">
        <w:rPr>
          <w:rFonts w:ascii="Times New Roman" w:hAnsi="Times New Roman"/>
        </w:rPr>
        <w:t xml:space="preserve"> that the requirement to provide audited and unaudited financial statements as they become available on a normal business basis will add no burden.  The class exemption covers only those repurchase agreements for which the seller of the underlying securities is a bank that is supervised by the United States or a State, a broker-dealer registered under the Securities and Exchange Act of 1934, or a dealer who makes primary markets in securities of the United States government and reports its position daily with respect to government securities and borrowing thereon to the Federal Reserve Bank of New York.  Dealers of non-governmental securities are required by Securities and Exchange Commission (SEC) rules to provide current financial statements to their shareholders.  However, of the three types of security</w:t>
      </w:r>
      <w:r w:rsidRPr="004C5D3B" w:rsidR="006A57E7">
        <w:rPr>
          <w:rFonts w:ascii="Times New Roman" w:hAnsi="Times New Roman"/>
        </w:rPr>
        <w:t>-</w:t>
      </w:r>
      <w:r w:rsidRPr="004C5D3B" w:rsidR="001C2921">
        <w:rPr>
          <w:rFonts w:ascii="Times New Roman" w:hAnsi="Times New Roman"/>
        </w:rPr>
        <w:t>selling entities which the class exemption covers, all deal in both government and non-government securities and all would be covered by the SEC rule.  The requirement to provide a financial statement or a verification of no change since the last financial statement would not create an additional paperwork burden beyond that which is already required by the SEC; therefore, no paperwork burden has been accounted for under this requirement.</w:t>
      </w:r>
    </w:p>
    <w:p w:rsidRPr="004C5D3B" w:rsidR="001C2921" w:rsidP="0071408C" w:rsidRDefault="001C2921">
      <w:pPr>
        <w:ind w:left="720"/>
        <w:rPr>
          <w:rFonts w:ascii="Times New Roman" w:hAnsi="Times New Roman"/>
        </w:rPr>
      </w:pPr>
    </w:p>
    <w:p w:rsidRPr="00C957D5" w:rsidR="00C957D5" w:rsidP="00867BE4" w:rsidRDefault="00C957D5">
      <w:pPr>
        <w:pStyle w:val="Quick1"/>
        <w:tabs>
          <w:tab w:val="left" w:pos="-1440"/>
          <w:tab w:val="num" w:pos="720"/>
        </w:tabs>
        <w:rPr>
          <w:rFonts w:ascii="Times New Roman" w:hAnsi="Times New Roman"/>
          <w:b/>
          <w:iCs/>
        </w:rPr>
      </w:pPr>
      <w:r w:rsidRPr="00C957D5">
        <w:rPr>
          <w:rFonts w:ascii="Times New Roman" w:hAnsi="Times New Roman"/>
          <w:b/>
          <w:iCs/>
        </w:rPr>
        <w:t>Provide an estimate of the total annual cost burden to respondents or recordkeepers resulting from the collection of information.  (Do not include the cost of any hour burden shown in Items 12 and 14).</w:t>
      </w:r>
    </w:p>
    <w:p w:rsidRPr="00C957D5" w:rsidR="00C957D5" w:rsidP="00C957D5" w:rsidRDefault="00C957D5">
      <w:pPr>
        <w:ind w:left="720"/>
        <w:rPr>
          <w:rFonts w:ascii="Times New Roman" w:hAnsi="Times New Roman"/>
          <w:b/>
          <w:iCs/>
        </w:rPr>
      </w:pPr>
    </w:p>
    <w:p w:rsidR="00150DF3" w:rsidP="00150DF3" w:rsidRDefault="00C957D5">
      <w:pPr>
        <w:numPr>
          <w:ilvl w:val="0"/>
          <w:numId w:val="12"/>
        </w:numPr>
        <w:ind w:left="1440" w:hanging="180"/>
        <w:rPr>
          <w:rFonts w:ascii="Times New Roman" w:hAnsi="Times New Roman"/>
          <w:b/>
          <w:iCs/>
        </w:rPr>
      </w:pPr>
      <w:r w:rsidRPr="00150DF3">
        <w:rPr>
          <w:rFonts w:ascii="Times New Roman" w:hAnsi="Times New Roman"/>
          <w:b/>
          <w:iCs/>
        </w:rPr>
        <w:t xml:space="preserve">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w:t>
      </w:r>
      <w:r w:rsidRPr="00150DF3">
        <w:rPr>
          <w:rFonts w:ascii="Times New Roman" w:hAnsi="Times New Roman"/>
          <w:b/>
          <w:iCs/>
        </w:rPr>
        <w:lastRenderedPageBreak/>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50DF3" w:rsidP="00150DF3" w:rsidRDefault="00150DF3">
      <w:pPr>
        <w:ind w:left="1440"/>
        <w:rPr>
          <w:rFonts w:ascii="Times New Roman" w:hAnsi="Times New Roman"/>
          <w:b/>
          <w:iCs/>
        </w:rPr>
      </w:pPr>
    </w:p>
    <w:p w:rsidR="00150DF3" w:rsidP="00150DF3" w:rsidRDefault="00C957D5">
      <w:pPr>
        <w:numPr>
          <w:ilvl w:val="0"/>
          <w:numId w:val="12"/>
        </w:numPr>
        <w:ind w:left="1440" w:hanging="180"/>
        <w:rPr>
          <w:rFonts w:ascii="Times New Roman" w:hAnsi="Times New Roman"/>
          <w:b/>
          <w:iCs/>
        </w:rPr>
      </w:pPr>
      <w:r w:rsidRPr="00C957D5">
        <w:rPr>
          <w:rFonts w:ascii="Times New Roman" w:hAnsi="Times New Roman"/>
          <w:b/>
          <w:i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50DF3" w:rsidP="00150DF3" w:rsidRDefault="00150DF3">
      <w:pPr>
        <w:ind w:left="1440"/>
        <w:rPr>
          <w:rFonts w:ascii="Times New Roman" w:hAnsi="Times New Roman"/>
          <w:b/>
          <w:iCs/>
        </w:rPr>
      </w:pPr>
    </w:p>
    <w:p w:rsidRPr="00150DF3" w:rsidR="00C957D5" w:rsidP="00150DF3" w:rsidRDefault="00C957D5">
      <w:pPr>
        <w:numPr>
          <w:ilvl w:val="0"/>
          <w:numId w:val="12"/>
        </w:numPr>
        <w:ind w:left="1440" w:hanging="180"/>
        <w:rPr>
          <w:rFonts w:ascii="Times New Roman" w:hAnsi="Times New Roman"/>
          <w:b/>
          <w:iCs/>
        </w:rPr>
      </w:pPr>
      <w:r w:rsidRPr="00150DF3">
        <w:rPr>
          <w:rFonts w:ascii="Times New Roman" w:hAnsi="Times New Roman"/>
          <w:b/>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C5D3B" w:rsidR="00C957D5" w:rsidP="00150DF3" w:rsidRDefault="00C957D5">
      <w:pPr>
        <w:rPr>
          <w:rFonts w:ascii="Times New Roman" w:hAnsi="Times New Roman"/>
          <w:i/>
          <w:iCs/>
        </w:rPr>
      </w:pPr>
    </w:p>
    <w:p w:rsidRPr="004C5D3B" w:rsidR="0031166E" w:rsidP="0071408C" w:rsidRDefault="00543A6D">
      <w:pPr>
        <w:pStyle w:val="BodyTextIndent"/>
      </w:pPr>
      <w:r w:rsidRPr="004C5D3B">
        <w:t>The Department</w:t>
      </w:r>
      <w:r w:rsidRPr="004C5D3B" w:rsidR="0031166E">
        <w:t xml:space="preserve"> assume</w:t>
      </w:r>
      <w:r w:rsidRPr="004C5D3B">
        <w:t>s</w:t>
      </w:r>
      <w:r w:rsidRPr="004C5D3B" w:rsidR="0031166E">
        <w:t xml:space="preserve"> that repurchase agreement form</w:t>
      </w:r>
      <w:r w:rsidRPr="004C5D3B" w:rsidR="00824014">
        <w:t>s</w:t>
      </w:r>
      <w:r w:rsidRPr="004C5D3B" w:rsidR="0031166E">
        <w:t xml:space="preserve"> will be </w:t>
      </w:r>
      <w:r w:rsidRPr="004C5D3B" w:rsidR="00824014">
        <w:t xml:space="preserve">completed by </w:t>
      </w:r>
      <w:r w:rsidRPr="004C5D3B" w:rsidR="0031166E">
        <w:t>in</w:t>
      </w:r>
      <w:r w:rsidRPr="004C5D3B" w:rsidR="00824014">
        <w:t>-</w:t>
      </w:r>
      <w:r w:rsidRPr="004C5D3B" w:rsidR="0031166E">
        <w:t>house</w:t>
      </w:r>
      <w:r w:rsidRPr="004C5D3B" w:rsidR="00824014">
        <w:t xml:space="preserve"> staff</w:t>
      </w:r>
      <w:r w:rsidRPr="004C5D3B" w:rsidR="0031166E">
        <w:t xml:space="preserve">. </w:t>
      </w:r>
      <w:r w:rsidR="002811DE">
        <w:t xml:space="preserve"> </w:t>
      </w:r>
      <w:r w:rsidRPr="004C5D3B" w:rsidR="007E3DFA">
        <w:t xml:space="preserve">The Department estimates that </w:t>
      </w:r>
      <w:r w:rsidR="002811DE">
        <w:t>56.4</w:t>
      </w:r>
      <w:r w:rsidRPr="004C5D3B" w:rsidR="007E3DFA">
        <w:t xml:space="preserve"> percent of disclosure</w:t>
      </w:r>
      <w:r w:rsidRPr="004C5D3B" w:rsidR="009D19E4">
        <w:t>s</w:t>
      </w:r>
      <w:r w:rsidRPr="004C5D3B" w:rsidR="007E3DFA">
        <w:t xml:space="preserve"> </w:t>
      </w:r>
      <w:r w:rsidRPr="004C5D3B" w:rsidR="00824014">
        <w:t xml:space="preserve">will be delivered </w:t>
      </w:r>
      <w:r w:rsidRPr="004C5D3B" w:rsidR="007E3DFA">
        <w:t>electronically.</w:t>
      </w:r>
      <w:r w:rsidRPr="00A23079" w:rsidR="009D19E4">
        <w:rPr>
          <w:rStyle w:val="FootnoteReference"/>
          <w:vertAlign w:val="superscript"/>
        </w:rPr>
        <w:footnoteReference w:id="5"/>
      </w:r>
      <w:r w:rsidRPr="004C5D3B" w:rsidR="009D19E4">
        <w:t xml:space="preserve"> </w:t>
      </w:r>
      <w:r w:rsidRPr="004C5D3B" w:rsidR="0031166E">
        <w:t xml:space="preserve"> Therefore, the cost burden for mailing </w:t>
      </w:r>
      <w:r w:rsidRPr="004C5D3B" w:rsidR="00824014">
        <w:t xml:space="preserve">approximately </w:t>
      </w:r>
      <w:r w:rsidRPr="004C5D3B" w:rsidR="00871607">
        <w:t xml:space="preserve">the remaining </w:t>
      </w:r>
      <w:r w:rsidR="002811DE">
        <w:t>43.6</w:t>
      </w:r>
      <w:r w:rsidRPr="004C5D3B" w:rsidR="00871607">
        <w:t xml:space="preserve"> percent of the </w:t>
      </w:r>
      <w:r w:rsidR="002811DE">
        <w:t>475,850</w:t>
      </w:r>
      <w:r w:rsidRPr="004C5D3B" w:rsidR="0031166E">
        <w:t xml:space="preserve"> repurchase agreements</w:t>
      </w:r>
      <w:r w:rsidRPr="004C5D3B" w:rsidR="00824014">
        <w:t>,</w:t>
      </w:r>
      <w:r w:rsidRPr="004C5D3B" w:rsidR="0031166E">
        <w:t xml:space="preserve"> at $</w:t>
      </w:r>
      <w:r w:rsidR="0092464C">
        <w:t>0</w:t>
      </w:r>
      <w:r w:rsidRPr="004C5D3B" w:rsidR="0031166E">
        <w:t>.</w:t>
      </w:r>
      <w:r w:rsidR="0092464C">
        <w:t>55</w:t>
      </w:r>
      <w:r w:rsidRPr="004C5D3B" w:rsidR="0031166E">
        <w:t xml:space="preserve"> per agreement, is</w:t>
      </w:r>
      <w:r w:rsidRPr="004C5D3B" w:rsidR="00BA1C5A">
        <w:t xml:space="preserve"> </w:t>
      </w:r>
      <w:r w:rsidRPr="004C5D3B" w:rsidR="00AE12AA">
        <w:t>$</w:t>
      </w:r>
      <w:r w:rsidR="0092464C">
        <w:t>114,109</w:t>
      </w:r>
      <w:r w:rsidRPr="004C5D3B" w:rsidR="007E3DFA">
        <w:t xml:space="preserve"> (</w:t>
      </w:r>
      <w:r w:rsidR="001A5F62">
        <w:t>475,850</w:t>
      </w:r>
      <w:r w:rsidRPr="004C5D3B" w:rsidR="007E3DFA">
        <w:t xml:space="preserve"> x $</w:t>
      </w:r>
      <w:r w:rsidR="0092464C">
        <w:t>0</w:t>
      </w:r>
      <w:r w:rsidRPr="004C5D3B" w:rsidR="007E3DFA">
        <w:t>.</w:t>
      </w:r>
      <w:r w:rsidR="0092464C">
        <w:t>55</w:t>
      </w:r>
      <w:r w:rsidRPr="004C5D3B" w:rsidR="007E3DFA">
        <w:t xml:space="preserve"> x </w:t>
      </w:r>
      <w:r w:rsidR="001A5F62">
        <w:t>43.6</w:t>
      </w:r>
      <w:r w:rsidRPr="004C5D3B" w:rsidR="00871607">
        <w:t>%</w:t>
      </w:r>
      <w:r w:rsidRPr="004C5D3B" w:rsidR="007E3DFA">
        <w:t>)</w:t>
      </w:r>
      <w:r w:rsidRPr="004C5D3B" w:rsidR="0031166E">
        <w:t>.</w:t>
      </w:r>
    </w:p>
    <w:p w:rsidRPr="004C5D3B" w:rsidR="001C2921" w:rsidP="0071408C" w:rsidRDefault="001C2921">
      <w:pPr>
        <w:ind w:left="720"/>
        <w:rPr>
          <w:rFonts w:ascii="Times New Roman" w:hAnsi="Times New Roman"/>
        </w:rPr>
      </w:pPr>
    </w:p>
    <w:p w:rsidRPr="00AE69CD" w:rsidR="00867BE4" w:rsidP="00AE69CD" w:rsidRDefault="001C2921">
      <w:pPr>
        <w:tabs>
          <w:tab w:val="left" w:pos="-1440"/>
        </w:tabs>
        <w:ind w:left="720" w:hanging="720"/>
        <w:rPr>
          <w:rFonts w:ascii="Times New Roman" w:hAnsi="Times New Roman"/>
          <w:i/>
          <w:iCs/>
        </w:rPr>
      </w:pPr>
      <w:r w:rsidRPr="00812E00">
        <w:rPr>
          <w:rFonts w:ascii="Times New Roman" w:hAnsi="Times New Roman"/>
          <w:b/>
        </w:rPr>
        <w:t>14.</w:t>
      </w:r>
      <w:r w:rsidRPr="004C5D3B">
        <w:rPr>
          <w:rFonts w:ascii="Times New Roman" w:hAnsi="Times New Roman"/>
          <w:i/>
        </w:rPr>
        <w:tab/>
      </w:r>
      <w:r w:rsidRPr="00867BE4" w:rsidR="00AE69CD">
        <w:rPr>
          <w:rFonts w:ascii="Times New Roman" w:hAnsi="Times New Roman"/>
          <w:b/>
          <w:bCs/>
          <w:iCs/>
        </w:rPr>
        <w:t xml:space="preserve">Provide estimates of the annualized cost to the Federal Government.  Also, provide </w:t>
      </w:r>
      <w:r w:rsidRPr="00867BE4" w:rsidR="00AE69CD">
        <w:rPr>
          <w:rFonts w:ascii="Times New Roman" w:hAnsi="Times New Roman"/>
          <w:b/>
          <w:bCs/>
          <w:iCs/>
        </w:rPr>
        <w:lastRenderedPageBreak/>
        <w:t>a description of the method used to estimate cost, which should include quantification of hours, operational expenses (such as equipment, overhead, printing, and support staff), any other expense that would not have been incurred</w:t>
      </w:r>
      <w:r w:rsidRPr="00867BE4" w:rsidR="00AE69CD">
        <w:rPr>
          <w:rFonts w:ascii="Times New Roman" w:hAnsi="Times New Roman"/>
          <w:iCs/>
        </w:rPr>
        <w:t xml:space="preserve"> </w:t>
      </w:r>
      <w:r w:rsidRPr="00867BE4" w:rsidR="00AE69CD">
        <w:rPr>
          <w:rFonts w:ascii="Times New Roman" w:hAnsi="Times New Roman"/>
          <w:b/>
          <w:bCs/>
          <w:iCs/>
        </w:rPr>
        <w:t>without this collection of information.  Agencies also may aggregate cost estimates from Items 12, 13, and 14 into a single table.</w:t>
      </w:r>
    </w:p>
    <w:p w:rsidRPr="004C5D3B" w:rsidR="001C2921" w:rsidP="00867BE4" w:rsidRDefault="001C2921">
      <w:pPr>
        <w:tabs>
          <w:tab w:val="left" w:pos="-1440"/>
        </w:tabs>
        <w:ind w:left="720" w:hanging="720"/>
        <w:rPr>
          <w:rFonts w:ascii="Times New Roman" w:hAnsi="Times New Roman"/>
        </w:rPr>
      </w:pPr>
    </w:p>
    <w:p w:rsidRPr="004C5D3B" w:rsidR="001C2921" w:rsidP="0071408C" w:rsidRDefault="001C2921">
      <w:pPr>
        <w:ind w:left="720"/>
        <w:rPr>
          <w:rFonts w:ascii="Times New Roman" w:hAnsi="Times New Roman"/>
        </w:rPr>
      </w:pPr>
      <w:r w:rsidRPr="004C5D3B">
        <w:rPr>
          <w:rFonts w:ascii="Times New Roman" w:hAnsi="Times New Roman"/>
        </w:rPr>
        <w:t>There is no disclosure to the Federal government and, consequently, no cost to the government as a result of this class exemption.</w:t>
      </w:r>
    </w:p>
    <w:p w:rsidRPr="004C5D3B" w:rsidR="001C2921" w:rsidP="0071408C" w:rsidRDefault="001C2921">
      <w:pPr>
        <w:ind w:left="720"/>
        <w:rPr>
          <w:rFonts w:ascii="Times New Roman" w:hAnsi="Times New Roman"/>
        </w:rPr>
      </w:pPr>
    </w:p>
    <w:p w:rsidRPr="004C5D3B" w:rsidR="001C2921" w:rsidP="0071408C" w:rsidRDefault="001C2921">
      <w:pPr>
        <w:tabs>
          <w:tab w:val="left" w:pos="-1440"/>
        </w:tabs>
        <w:ind w:left="720" w:hanging="720"/>
        <w:rPr>
          <w:rFonts w:ascii="Times New Roman" w:hAnsi="Times New Roman"/>
          <w:i/>
          <w:iCs/>
        </w:rPr>
      </w:pPr>
      <w:r w:rsidRPr="00867BE4">
        <w:rPr>
          <w:rFonts w:ascii="Times New Roman" w:hAnsi="Times New Roman"/>
          <w:b/>
        </w:rPr>
        <w:t>15.</w:t>
      </w:r>
      <w:r w:rsidRPr="004C5D3B">
        <w:rPr>
          <w:rFonts w:ascii="Times New Roman" w:hAnsi="Times New Roman"/>
          <w:i/>
        </w:rPr>
        <w:tab/>
      </w:r>
      <w:r w:rsidRPr="00D53DEB" w:rsidR="00103558">
        <w:rPr>
          <w:rFonts w:ascii="Times New Roman" w:hAnsi="Times New Roman"/>
          <w:b/>
          <w:bCs/>
        </w:rPr>
        <w:t>Explain the reasons for any program changes or adjustments</w:t>
      </w:r>
      <w:r w:rsidRPr="00A47DA7" w:rsidR="00103558">
        <w:rPr>
          <w:rFonts w:ascii="Times New Roman" w:hAnsi="Times New Roman"/>
          <w:b/>
          <w:bCs/>
        </w:rPr>
        <w:t>.</w:t>
      </w:r>
    </w:p>
    <w:p w:rsidRPr="004C5D3B" w:rsidR="001C2921" w:rsidP="0071408C" w:rsidRDefault="001C2921">
      <w:pPr>
        <w:ind w:left="720"/>
        <w:rPr>
          <w:rFonts w:ascii="Times New Roman" w:hAnsi="Times New Roman"/>
        </w:rPr>
      </w:pPr>
    </w:p>
    <w:p w:rsidRPr="004C5D3B" w:rsidR="007E3DFA" w:rsidP="0071408C" w:rsidRDefault="00E11D25">
      <w:pPr>
        <w:ind w:left="720"/>
        <w:rPr>
          <w:rFonts w:ascii="Times New Roman" w:hAnsi="Times New Roman"/>
        </w:rPr>
      </w:pPr>
      <w:r w:rsidRPr="004C5D3B">
        <w:rPr>
          <w:rFonts w:ascii="Times New Roman" w:hAnsi="Times New Roman"/>
        </w:rPr>
        <w:t xml:space="preserve">According to </w:t>
      </w:r>
      <w:r w:rsidR="00F81D4B">
        <w:rPr>
          <w:rFonts w:ascii="Times New Roman" w:hAnsi="Times New Roman"/>
        </w:rPr>
        <w:t>201</w:t>
      </w:r>
      <w:r w:rsidR="00DC2047">
        <w:rPr>
          <w:rFonts w:ascii="Times New Roman" w:hAnsi="Times New Roman"/>
        </w:rPr>
        <w:t>7</w:t>
      </w:r>
      <w:r w:rsidR="00F81D4B">
        <w:rPr>
          <w:rFonts w:ascii="Times New Roman" w:hAnsi="Times New Roman"/>
        </w:rPr>
        <w:t xml:space="preserve"> Form 5500 data (the most recent data available)</w:t>
      </w:r>
      <w:r w:rsidRPr="004C5D3B">
        <w:rPr>
          <w:rFonts w:ascii="Times New Roman" w:hAnsi="Times New Roman"/>
        </w:rPr>
        <w:t>, more plans exist that are likely to use the exemption</w:t>
      </w:r>
      <w:r w:rsidR="00F81D4B">
        <w:rPr>
          <w:rFonts w:ascii="Times New Roman" w:hAnsi="Times New Roman"/>
        </w:rPr>
        <w:t xml:space="preserve"> compared with the last submission</w:t>
      </w:r>
      <w:r w:rsidRPr="004C5D3B">
        <w:rPr>
          <w:rFonts w:ascii="Times New Roman" w:hAnsi="Times New Roman"/>
        </w:rPr>
        <w:t xml:space="preserve">.  This increase in the number of plans (respondents) produces an increase in the hour burden.  </w:t>
      </w:r>
      <w:r w:rsidRPr="004C5D3B" w:rsidR="00126C5F">
        <w:rPr>
          <w:rFonts w:ascii="Times New Roman" w:hAnsi="Times New Roman"/>
        </w:rPr>
        <w:t xml:space="preserve">The Department has updated its assumptions regarding the use of electronic disclosure; assuming increased usage relative to the last submission.  </w:t>
      </w:r>
    </w:p>
    <w:p w:rsidRPr="00812E00" w:rsidR="001C2921" w:rsidP="0071408C" w:rsidRDefault="001C2921">
      <w:pPr>
        <w:ind w:left="720"/>
        <w:rPr>
          <w:rFonts w:ascii="Times New Roman" w:hAnsi="Times New Roman"/>
          <w:b/>
        </w:rPr>
      </w:pPr>
    </w:p>
    <w:p w:rsidRPr="001C6FE4" w:rsidR="001C6FE4" w:rsidP="001C6FE4" w:rsidRDefault="001C2921">
      <w:pPr>
        <w:tabs>
          <w:tab w:val="left" w:pos="-1440"/>
        </w:tabs>
        <w:ind w:left="720" w:hanging="720"/>
        <w:rPr>
          <w:rFonts w:ascii="Times New Roman" w:hAnsi="Times New Roman"/>
          <w:i/>
          <w:iCs/>
        </w:rPr>
      </w:pPr>
      <w:r w:rsidRPr="00867BE4">
        <w:rPr>
          <w:rFonts w:ascii="Times New Roman" w:hAnsi="Times New Roman"/>
          <w:b/>
        </w:rPr>
        <w:t>16.</w:t>
      </w:r>
      <w:r w:rsidRPr="004C5D3B">
        <w:rPr>
          <w:rFonts w:ascii="Times New Roman" w:hAnsi="Times New Roman"/>
          <w:i/>
        </w:rPr>
        <w:tab/>
      </w:r>
      <w:r w:rsidRPr="00867BE4" w:rsidR="001C6FE4">
        <w:rPr>
          <w:rFonts w:ascii="Times New Roman" w:hAnsi="Times New Roman"/>
          <w:b/>
          <w:bCs/>
          <w:i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867BE4" w:rsidR="001C6FE4">
        <w:rPr>
          <w:rFonts w:ascii="Times New Roman" w:hAnsi="Times New Roman"/>
          <w:iCs/>
        </w:rPr>
        <w:t>.</w:t>
      </w:r>
    </w:p>
    <w:p w:rsidRPr="004C5D3B" w:rsidR="001C2921" w:rsidP="00867BE4" w:rsidRDefault="001C2921">
      <w:pPr>
        <w:rPr>
          <w:rFonts w:ascii="Times New Roman" w:hAnsi="Times New Roman"/>
        </w:rPr>
      </w:pPr>
    </w:p>
    <w:p w:rsidRPr="004C5D3B" w:rsidR="001C2921" w:rsidP="0071408C" w:rsidRDefault="001C2921">
      <w:pPr>
        <w:ind w:left="720"/>
        <w:rPr>
          <w:rFonts w:ascii="Times New Roman" w:hAnsi="Times New Roman"/>
        </w:rPr>
      </w:pPr>
      <w:r w:rsidRPr="004C5D3B">
        <w:rPr>
          <w:rFonts w:ascii="Times New Roman" w:hAnsi="Times New Roman"/>
        </w:rPr>
        <w:t>This is not a collection of information for statistical use and there are no plans to publish the results of this collection.</w:t>
      </w:r>
    </w:p>
    <w:p w:rsidRPr="004C5D3B" w:rsidR="001C2921" w:rsidP="0071408C" w:rsidRDefault="001C2921">
      <w:pPr>
        <w:ind w:left="720"/>
        <w:rPr>
          <w:rFonts w:ascii="Times New Roman" w:hAnsi="Times New Roman"/>
        </w:rPr>
      </w:pPr>
    </w:p>
    <w:p w:rsidRPr="004C5D3B" w:rsidR="001C2921" w:rsidP="0071408C" w:rsidRDefault="001C2921">
      <w:pPr>
        <w:tabs>
          <w:tab w:val="left" w:pos="-1440"/>
        </w:tabs>
        <w:ind w:left="720" w:hanging="720"/>
        <w:rPr>
          <w:rFonts w:ascii="Times New Roman" w:hAnsi="Times New Roman"/>
          <w:i/>
          <w:iCs/>
        </w:rPr>
      </w:pPr>
      <w:r w:rsidRPr="00867BE4">
        <w:rPr>
          <w:rFonts w:ascii="Times New Roman" w:hAnsi="Times New Roman"/>
          <w:b/>
        </w:rPr>
        <w:t>17.</w:t>
      </w:r>
      <w:r w:rsidRPr="004C5D3B">
        <w:rPr>
          <w:rFonts w:ascii="Times New Roman" w:hAnsi="Times New Roman"/>
          <w:i/>
        </w:rPr>
        <w:tab/>
      </w:r>
      <w:r w:rsidRPr="00D53DEB" w:rsidR="003E3CAD">
        <w:rPr>
          <w:rFonts w:ascii="Times New Roman" w:hAnsi="Times New Roman"/>
          <w:b/>
          <w:bCs/>
        </w:rPr>
        <w:t>If seeking approval to not display the expiration date for OMB approval of the information collection, explain the reasons that display would be inappropriate.</w:t>
      </w:r>
    </w:p>
    <w:p w:rsidRPr="004C5D3B" w:rsidR="001C2921" w:rsidP="0071408C" w:rsidRDefault="001C2921">
      <w:pPr>
        <w:ind w:left="720"/>
        <w:rPr>
          <w:rFonts w:ascii="Times New Roman" w:hAnsi="Times New Roman"/>
        </w:rPr>
      </w:pPr>
    </w:p>
    <w:p w:rsidRPr="004C5D3B" w:rsidR="001C2921" w:rsidP="0071408C" w:rsidRDefault="00C07AC8">
      <w:pPr>
        <w:ind w:left="720"/>
        <w:rPr>
          <w:rFonts w:ascii="Times New Roman" w:hAnsi="Times New Roman"/>
        </w:rPr>
      </w:pPr>
      <w:r w:rsidRPr="004C5D3B">
        <w:rPr>
          <w:rFonts w:ascii="Times New Roman" w:hAnsi="Times New Roman"/>
        </w:rPr>
        <w:t>The expiration date will be published in the Federal Register following OMB approval.</w:t>
      </w:r>
    </w:p>
    <w:p w:rsidRPr="004C5D3B" w:rsidR="00467E41" w:rsidP="0071408C" w:rsidRDefault="00467E41">
      <w:pPr>
        <w:ind w:left="720"/>
        <w:rPr>
          <w:rFonts w:ascii="Times New Roman" w:hAnsi="Times New Roman"/>
        </w:rPr>
      </w:pPr>
    </w:p>
    <w:p w:rsidRPr="00812E00" w:rsidR="001C2921" w:rsidP="0071408C" w:rsidRDefault="001C2921">
      <w:pPr>
        <w:tabs>
          <w:tab w:val="left" w:pos="-1440"/>
        </w:tabs>
        <w:ind w:left="720" w:hanging="720"/>
        <w:rPr>
          <w:rFonts w:ascii="Times New Roman" w:hAnsi="Times New Roman"/>
          <w:b/>
          <w:iCs/>
        </w:rPr>
      </w:pPr>
      <w:r w:rsidRPr="00812E00">
        <w:rPr>
          <w:rFonts w:ascii="Times New Roman" w:hAnsi="Times New Roman"/>
          <w:b/>
        </w:rPr>
        <w:t>18.</w:t>
      </w:r>
      <w:r w:rsidRPr="00812E00">
        <w:rPr>
          <w:rFonts w:ascii="Times New Roman" w:hAnsi="Times New Roman"/>
          <w:b/>
        </w:rPr>
        <w:tab/>
      </w:r>
      <w:r w:rsidRPr="00812E00">
        <w:rPr>
          <w:rFonts w:ascii="Times New Roman" w:hAnsi="Times New Roman"/>
          <w:b/>
          <w:iCs/>
        </w:rPr>
        <w:t>Explain each exception to the certification statement</w:t>
      </w:r>
      <w:r w:rsidRPr="00812E00" w:rsidR="00867BE4">
        <w:rPr>
          <w:rFonts w:ascii="Times New Roman" w:hAnsi="Times New Roman"/>
          <w:b/>
          <w:iCs/>
        </w:rPr>
        <w:t>.</w:t>
      </w:r>
    </w:p>
    <w:p w:rsidRPr="004C5D3B" w:rsidR="001C2921" w:rsidP="0071408C" w:rsidRDefault="001C2921">
      <w:pPr>
        <w:ind w:left="720"/>
        <w:rPr>
          <w:rFonts w:ascii="Times New Roman" w:hAnsi="Times New Roman"/>
        </w:rPr>
      </w:pPr>
    </w:p>
    <w:p w:rsidRPr="004C5D3B" w:rsidR="001C2921" w:rsidP="0071408C" w:rsidRDefault="001C2921">
      <w:pPr>
        <w:ind w:left="720"/>
        <w:outlineLvl w:val="0"/>
        <w:rPr>
          <w:rFonts w:ascii="Times New Roman" w:hAnsi="Times New Roman"/>
        </w:rPr>
      </w:pPr>
      <w:r w:rsidRPr="004C5D3B">
        <w:rPr>
          <w:rFonts w:ascii="Times New Roman" w:hAnsi="Times New Roman"/>
        </w:rPr>
        <w:t>Not applicable; no exceptions to the certification statement.</w:t>
      </w:r>
    </w:p>
    <w:p w:rsidRPr="004C5D3B" w:rsidR="001C2921" w:rsidP="0071408C" w:rsidRDefault="001C2921">
      <w:pPr>
        <w:ind w:left="720"/>
        <w:rPr>
          <w:rFonts w:ascii="Times New Roman" w:hAnsi="Times New Roman"/>
        </w:rPr>
      </w:pPr>
    </w:p>
    <w:p w:rsidRPr="004C5D3B" w:rsidR="001C2921" w:rsidP="0071408C" w:rsidRDefault="001C2921">
      <w:pPr>
        <w:tabs>
          <w:tab w:val="left" w:pos="-1440"/>
        </w:tabs>
        <w:ind w:left="720" w:hanging="720"/>
        <w:outlineLvl w:val="0"/>
        <w:rPr>
          <w:rFonts w:ascii="Times New Roman" w:hAnsi="Times New Roman"/>
        </w:rPr>
      </w:pPr>
      <w:r w:rsidRPr="004C5D3B">
        <w:rPr>
          <w:rFonts w:ascii="Times New Roman" w:hAnsi="Times New Roman"/>
          <w:b/>
          <w:bCs/>
        </w:rPr>
        <w:t>B.</w:t>
      </w:r>
      <w:r w:rsidRPr="004C5D3B">
        <w:rPr>
          <w:rFonts w:ascii="Times New Roman" w:hAnsi="Times New Roman"/>
          <w:b/>
          <w:bCs/>
        </w:rPr>
        <w:tab/>
      </w:r>
      <w:r w:rsidRPr="004C5D3B" w:rsidR="00EC7DC3">
        <w:rPr>
          <w:rFonts w:ascii="Times New Roman" w:hAnsi="Times New Roman"/>
          <w:b/>
          <w:bCs/>
        </w:rPr>
        <w:t>COLLECTIONS OF INFORMATION EMPLOYING STATISTICAL METHODS</w:t>
      </w:r>
    </w:p>
    <w:p w:rsidRPr="004C5D3B" w:rsidR="001C2921" w:rsidP="0071408C" w:rsidRDefault="001C2921">
      <w:pPr>
        <w:ind w:left="720"/>
        <w:rPr>
          <w:rFonts w:ascii="Times New Roman" w:hAnsi="Times New Roman"/>
        </w:rPr>
      </w:pPr>
    </w:p>
    <w:p w:rsidRPr="004C5D3B" w:rsidR="001C2921" w:rsidP="0071408C" w:rsidRDefault="001C2921">
      <w:pPr>
        <w:ind w:left="720"/>
        <w:rPr>
          <w:rFonts w:ascii="Times New Roman" w:hAnsi="Times New Roman"/>
        </w:rPr>
      </w:pPr>
      <w:r w:rsidRPr="004C5D3B">
        <w:rPr>
          <w:rFonts w:ascii="Times New Roman" w:hAnsi="Times New Roman"/>
        </w:rPr>
        <w:t>Not applicable.  The use of statistical methods is not relevant to this collection of information.</w:t>
      </w:r>
    </w:p>
    <w:p w:rsidRPr="004C5D3B" w:rsidR="001C2921" w:rsidP="0071408C" w:rsidRDefault="001C2921">
      <w:pPr>
        <w:ind w:left="720"/>
        <w:rPr>
          <w:rFonts w:ascii="Times New Roman" w:hAnsi="Times New Roman"/>
        </w:rPr>
      </w:pPr>
    </w:p>
    <w:sectPr w:rsidRPr="004C5D3B" w:rsidR="001C2921">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354" w:right="1440" w:bottom="1440" w:left="1440" w:header="1354"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89F" w:rsidRDefault="00CD089F">
      <w:r>
        <w:separator/>
      </w:r>
    </w:p>
  </w:endnote>
  <w:endnote w:type="continuationSeparator" w:id="0">
    <w:p w:rsidR="00CD089F" w:rsidRDefault="00CD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57" w:rsidRDefault="002E03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0357" w:rsidRDefault="002E0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57" w:rsidRPr="00A23079" w:rsidRDefault="002E0357">
    <w:pPr>
      <w:pStyle w:val="Footer"/>
      <w:framePr w:wrap="around" w:vAnchor="text" w:hAnchor="margin" w:xAlign="center" w:y="1"/>
      <w:rPr>
        <w:rStyle w:val="PageNumber"/>
        <w:rFonts w:ascii="Times New Roman" w:hAnsi="Times New Roman"/>
      </w:rPr>
    </w:pPr>
    <w:r w:rsidRPr="00A23079">
      <w:rPr>
        <w:rStyle w:val="PageNumber"/>
        <w:rFonts w:ascii="Times New Roman" w:hAnsi="Times New Roman"/>
      </w:rPr>
      <w:fldChar w:fldCharType="begin"/>
    </w:r>
    <w:r w:rsidRPr="00A23079">
      <w:rPr>
        <w:rStyle w:val="PageNumber"/>
        <w:rFonts w:ascii="Times New Roman" w:hAnsi="Times New Roman"/>
      </w:rPr>
      <w:instrText xml:space="preserve">PAGE  </w:instrText>
    </w:r>
    <w:r w:rsidRPr="00A23079">
      <w:rPr>
        <w:rStyle w:val="PageNumber"/>
        <w:rFonts w:ascii="Times New Roman" w:hAnsi="Times New Roman"/>
      </w:rPr>
      <w:fldChar w:fldCharType="separate"/>
    </w:r>
    <w:r w:rsidR="007B3003">
      <w:rPr>
        <w:rStyle w:val="PageNumber"/>
        <w:rFonts w:ascii="Times New Roman" w:hAnsi="Times New Roman"/>
        <w:noProof/>
      </w:rPr>
      <w:t>11</w:t>
    </w:r>
    <w:r w:rsidRPr="00A23079">
      <w:rPr>
        <w:rStyle w:val="PageNumber"/>
        <w:rFonts w:ascii="Times New Roman" w:hAnsi="Times New Roman"/>
      </w:rPr>
      <w:fldChar w:fldCharType="end"/>
    </w:r>
  </w:p>
  <w:p w:rsidR="002E0357" w:rsidRPr="00A23079" w:rsidRDefault="002E0357">
    <w:pPr>
      <w:pStyle w:val="Foo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152" w:rsidRDefault="00324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89F" w:rsidRDefault="00CD089F">
      <w:r>
        <w:separator/>
      </w:r>
    </w:p>
  </w:footnote>
  <w:footnote w:type="continuationSeparator" w:id="0">
    <w:p w:rsidR="00CD089F" w:rsidRDefault="00CD089F">
      <w:r>
        <w:continuationSeparator/>
      </w:r>
    </w:p>
  </w:footnote>
  <w:footnote w:id="1">
    <w:p w:rsidR="002E0357" w:rsidRPr="00173870" w:rsidRDefault="002E0357" w:rsidP="009614B9">
      <w:pPr>
        <w:rPr>
          <w:rFonts w:ascii="Times New Roman" w:hAnsi="Times New Roman"/>
          <w:sz w:val="20"/>
          <w:szCs w:val="20"/>
        </w:rPr>
      </w:pPr>
      <w:r w:rsidRPr="00173870">
        <w:rPr>
          <w:rStyle w:val="FootnoteReference"/>
          <w:rFonts w:ascii="Times New Roman" w:hAnsi="Times New Roman"/>
          <w:sz w:val="20"/>
          <w:szCs w:val="20"/>
          <w:vertAlign w:val="superscript"/>
        </w:rPr>
        <w:footnoteRef/>
      </w:r>
      <w:r w:rsidRPr="00173870">
        <w:rPr>
          <w:rFonts w:ascii="Times New Roman" w:hAnsi="Times New Roman"/>
          <w:sz w:val="20"/>
          <w:szCs w:val="20"/>
        </w:rPr>
        <w:t xml:space="preserve"> Repurchase agreements are agreements whereby persons owning securities sell them to a third party and agree to repurchase the securities at a later time at an increased price that reflects an interest factor. </w:t>
      </w:r>
    </w:p>
  </w:footnote>
  <w:footnote w:id="2">
    <w:p w:rsidR="002E0357" w:rsidRPr="000B62C4" w:rsidRDefault="002E0357">
      <w:pPr>
        <w:pStyle w:val="FootnoteText"/>
        <w:rPr>
          <w:rFonts w:ascii="Times New Roman" w:hAnsi="Times New Roman"/>
        </w:rPr>
      </w:pPr>
      <w:r w:rsidRPr="000B62C4">
        <w:rPr>
          <w:rStyle w:val="FootnoteReference"/>
          <w:rFonts w:ascii="Times New Roman" w:hAnsi="Times New Roman"/>
          <w:vertAlign w:val="superscript"/>
        </w:rPr>
        <w:footnoteRef/>
      </w:r>
      <w:r>
        <w:rPr>
          <w:rFonts w:ascii="Times New Roman" w:hAnsi="Times New Roman"/>
        </w:rPr>
        <w:t xml:space="preserve"> </w:t>
      </w:r>
      <w:r w:rsidRPr="000B62C4">
        <w:rPr>
          <w:rFonts w:ascii="Times New Roman" w:hAnsi="Times New Roman"/>
        </w:rPr>
        <w:t>See Private Pension Plan Bulletin Abstract of 20</w:t>
      </w:r>
      <w:r w:rsidR="00BF37C9">
        <w:rPr>
          <w:rFonts w:ascii="Times New Roman" w:hAnsi="Times New Roman"/>
        </w:rPr>
        <w:t>1</w:t>
      </w:r>
      <w:r w:rsidR="00E678DC">
        <w:rPr>
          <w:rFonts w:ascii="Times New Roman" w:hAnsi="Times New Roman"/>
        </w:rPr>
        <w:t>7</w:t>
      </w:r>
      <w:r w:rsidRPr="000B62C4">
        <w:rPr>
          <w:rFonts w:ascii="Times New Roman" w:hAnsi="Times New Roman"/>
        </w:rPr>
        <w:t xml:space="preserve"> Form 5500 Annual Reports, Table B2.</w:t>
      </w:r>
    </w:p>
  </w:footnote>
  <w:footnote w:id="3">
    <w:p w:rsidR="00B04494" w:rsidRPr="00AB3E88" w:rsidRDefault="00B04494" w:rsidP="009B7B16">
      <w:pPr>
        <w:pStyle w:val="FootnoteText"/>
        <w:tabs>
          <w:tab w:val="left" w:pos="990"/>
        </w:tabs>
        <w:rPr>
          <w:rFonts w:ascii="Times New Roman" w:hAnsi="Times New Roman"/>
        </w:rPr>
      </w:pPr>
      <w:r w:rsidRPr="00AB3E88">
        <w:rPr>
          <w:rStyle w:val="FootnoteReference"/>
          <w:rFonts w:ascii="Times New Roman" w:hAnsi="Times New Roman"/>
          <w:vertAlign w:val="superscript"/>
        </w:rPr>
        <w:footnoteRef/>
      </w:r>
      <w:r>
        <w:rPr>
          <w:rFonts w:ascii="Times New Roman" w:hAnsi="Times New Roman"/>
        </w:rPr>
        <w:t xml:space="preserve"> </w:t>
      </w:r>
      <w:r w:rsidRPr="0045460D">
        <w:rPr>
          <w:rFonts w:ascii="Times New Roman" w:hAnsi="Times New Roman"/>
        </w:rPr>
        <w:t xml:space="preserve">For a description of the Department’s methodology for calculating wage rates, see </w:t>
      </w:r>
      <w:r w:rsidR="009B7B16" w:rsidRPr="009B7B16">
        <w:rPr>
          <w:rFonts w:ascii="Times New Roman" w:hAnsi="Times New Roman"/>
        </w:rPr>
        <w:t>https://www.dol.gov/sites/dolgov/files/EBSA/laws-and-regulations/rules-and-regulations/technical-appendices/labor-cost-inputs-used-in-ebsa-opr-ria-and-pra-burden-calculations-june-2019.pdf</w:t>
      </w:r>
    </w:p>
  </w:footnote>
  <w:footnote w:id="4">
    <w:p w:rsidR="00B04494" w:rsidRPr="001721CB" w:rsidRDefault="00B04494">
      <w:pPr>
        <w:pStyle w:val="FootnoteText"/>
        <w:rPr>
          <w:rFonts w:ascii="Times New Roman" w:hAnsi="Times New Roman"/>
        </w:rPr>
      </w:pPr>
      <w:r w:rsidRPr="001721CB">
        <w:rPr>
          <w:rStyle w:val="FootnoteReference"/>
          <w:rFonts w:ascii="Times New Roman" w:hAnsi="Times New Roman"/>
          <w:vertAlign w:val="superscript"/>
        </w:rPr>
        <w:footnoteRef/>
      </w:r>
      <w:r w:rsidRPr="001721CB">
        <w:rPr>
          <w:rFonts w:ascii="Times New Roman" w:hAnsi="Times New Roman"/>
        </w:rPr>
        <w:t xml:space="preserve"> Any discrepancies in the calculations are attributable to rounding.</w:t>
      </w:r>
    </w:p>
  </w:footnote>
  <w:footnote w:id="5">
    <w:p w:rsidR="009D19E4" w:rsidRPr="00A23079" w:rsidRDefault="009D19E4">
      <w:pPr>
        <w:pStyle w:val="FootnoteText"/>
        <w:rPr>
          <w:rFonts w:ascii="Times New Roman" w:hAnsi="Times New Roman"/>
        </w:rPr>
      </w:pPr>
      <w:r w:rsidRPr="00A23079">
        <w:rPr>
          <w:rStyle w:val="FootnoteReference"/>
          <w:rFonts w:ascii="Times New Roman" w:hAnsi="Times New Roman"/>
          <w:vertAlign w:val="superscript"/>
        </w:rPr>
        <w:footnoteRef/>
      </w:r>
      <w:r w:rsidR="004D26D7" w:rsidRPr="00D83E7D">
        <w:rPr>
          <w:rFonts w:ascii="Times New Roman" w:hAnsi="Times New Roman"/>
        </w:rPr>
        <w:t>According to data from the National Telecommunications and Information Agency (NTIA), 37.7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152" w:rsidRDefault="00324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948" w:rsidRPr="00990948" w:rsidRDefault="00990948" w:rsidP="00990948">
    <w:pPr>
      <w:rPr>
        <w:rFonts w:ascii="CG Times" w:hAnsi="CG Times"/>
        <w:b/>
        <w:bCs/>
        <w:sz w:val="20"/>
        <w:szCs w:val="20"/>
      </w:rPr>
    </w:pPr>
    <w:r w:rsidRPr="00990948">
      <w:rPr>
        <w:rFonts w:ascii="CG Times" w:hAnsi="CG Times"/>
        <w:b/>
        <w:bCs/>
        <w:sz w:val="20"/>
        <w:szCs w:val="20"/>
      </w:rPr>
      <w:t xml:space="preserve">Prohibited Transaction Class Exemption 81-8 for Short-Term Investments </w:t>
    </w:r>
  </w:p>
  <w:p w:rsidR="00990948" w:rsidRPr="00990948" w:rsidRDefault="00990948" w:rsidP="00990948">
    <w:pPr>
      <w:rPr>
        <w:rFonts w:ascii="CG Times" w:hAnsi="CG Times"/>
        <w:b/>
        <w:bCs/>
        <w:sz w:val="20"/>
        <w:szCs w:val="20"/>
      </w:rPr>
    </w:pPr>
    <w:r w:rsidRPr="00990948">
      <w:rPr>
        <w:rFonts w:ascii="CG Times" w:hAnsi="CG Times"/>
        <w:b/>
        <w:bCs/>
        <w:sz w:val="20"/>
        <w:szCs w:val="20"/>
      </w:rPr>
      <w:t>OMB Control Number 1210-0061</w:t>
    </w:r>
  </w:p>
  <w:p w:rsidR="00990948" w:rsidRPr="00990948" w:rsidRDefault="00990948" w:rsidP="00990948">
    <w:pPr>
      <w:rPr>
        <w:rFonts w:ascii="CG Times" w:hAnsi="CG Times"/>
        <w:b/>
        <w:bCs/>
        <w:sz w:val="20"/>
        <w:szCs w:val="20"/>
      </w:rPr>
    </w:pPr>
    <w:r w:rsidRPr="00990948">
      <w:rPr>
        <w:rFonts w:ascii="CG Times" w:hAnsi="CG Times"/>
        <w:b/>
        <w:bCs/>
        <w:sz w:val="20"/>
        <w:szCs w:val="20"/>
      </w:rPr>
      <w:t xml:space="preserve">OMB Expiration Date: </w:t>
    </w:r>
    <w:r w:rsidR="00324152">
      <w:rPr>
        <w:rFonts w:ascii="CG Times" w:hAnsi="CG Times"/>
        <w:b/>
        <w:bCs/>
        <w:sz w:val="20"/>
        <w:szCs w:val="20"/>
      </w:rPr>
      <w:t>12/31/20</w:t>
    </w:r>
    <w:r w:rsidR="00BD4DF1">
      <w:rPr>
        <w:rFonts w:ascii="CG Times" w:hAnsi="CG Times"/>
        <w:b/>
        <w:bCs/>
        <w:sz w:val="20"/>
        <w:szCs w:val="20"/>
      </w:rPr>
      <w:t>20</w:t>
    </w:r>
  </w:p>
  <w:p w:rsidR="002E0357" w:rsidRDefault="002E0357" w:rsidP="00DB51B5">
    <w:pPr>
      <w:jc w:val="right"/>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152" w:rsidRDefault="00324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000001"/>
    <w:multiLevelType w:val="singleLevel"/>
    <w:tmpl w:val="95E27462"/>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15:restartNumberingAfterBreak="0">
    <w:nsid w:val="0E4C32AF"/>
    <w:multiLevelType w:val="hybridMultilevel"/>
    <w:tmpl w:val="E53CCDF4"/>
    <w:lvl w:ilvl="0" w:tplc="69344E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EA4176"/>
    <w:multiLevelType w:val="hybridMultilevel"/>
    <w:tmpl w:val="18F863B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BA82794"/>
    <w:multiLevelType w:val="hybridMultilevel"/>
    <w:tmpl w:val="056441F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F3D042E"/>
    <w:multiLevelType w:val="hybridMultilevel"/>
    <w:tmpl w:val="05CA8F9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CC6668D"/>
    <w:multiLevelType w:val="hybridMultilevel"/>
    <w:tmpl w:val="BC5EE51C"/>
    <w:lvl w:ilvl="0" w:tplc="D1F2DA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startOverride w:val="1"/>
      <w:lvl w:ilvl="0">
        <w:start w:val="1"/>
        <w:numFmt w:val="decimal"/>
        <w:pStyle w:val="Quick1"/>
        <w:lvlText w:val="%1."/>
        <w:lvlJc w:val="left"/>
        <w:rPr>
          <w:b/>
          <w:i w:val="0"/>
        </w:rPr>
      </w:lvl>
    </w:lvlOverride>
  </w:num>
  <w:num w:numId="2">
    <w:abstractNumId w:val="1"/>
    <w:lvlOverride w:ilvl="0">
      <w:startOverride w:val="7"/>
      <w:lvl w:ilvl="0">
        <w:start w:val="7"/>
        <w:numFmt w:val="decimal"/>
        <w:pStyle w:val="Quick1"/>
        <w:lvlText w:val="%1."/>
        <w:lvlJc w:val="left"/>
        <w:rPr>
          <w:b/>
        </w:rPr>
      </w:lvl>
    </w:lvlOverride>
  </w:num>
  <w:num w:numId="3">
    <w:abstractNumId w:val="1"/>
    <w:lvlOverride w:ilvl="0">
      <w:startOverride w:val="9"/>
      <w:lvl w:ilvl="0">
        <w:start w:val="9"/>
        <w:numFmt w:val="decimal"/>
        <w:pStyle w:val="Quick1"/>
        <w:lvlText w:val="%1."/>
        <w:lvlJc w:val="left"/>
        <w:rPr>
          <w:b/>
          <w:i w:val="0"/>
        </w:rPr>
      </w:lvl>
    </w:lvlOverride>
  </w:num>
  <w:num w:numId="4">
    <w:abstractNumId w:val="1"/>
    <w:lvlOverride w:ilvl="0">
      <w:startOverride w:val="13"/>
      <w:lvl w:ilvl="0">
        <w:start w:val="13"/>
        <w:numFmt w:val="decimal"/>
        <w:pStyle w:val="Quick1"/>
        <w:lvlText w:val="%1."/>
        <w:lvlJc w:val="left"/>
      </w:lvl>
    </w:lvlOverride>
  </w:num>
  <w:num w:numId="5">
    <w:abstractNumId w:val="7"/>
  </w:num>
  <w:num w:numId="6">
    <w:abstractNumId w:val="2"/>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8">
    <w:abstractNumId w:val="8"/>
  </w:num>
  <w:num w:numId="9">
    <w:abstractNumId w:val="4"/>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33A"/>
    <w:rsid w:val="00025173"/>
    <w:rsid w:val="00036EEA"/>
    <w:rsid w:val="00037920"/>
    <w:rsid w:val="00045A99"/>
    <w:rsid w:val="00055DC0"/>
    <w:rsid w:val="000569D0"/>
    <w:rsid w:val="000633EF"/>
    <w:rsid w:val="00074534"/>
    <w:rsid w:val="00094DFF"/>
    <w:rsid w:val="000A4EE3"/>
    <w:rsid w:val="000A5588"/>
    <w:rsid w:val="000B0BFA"/>
    <w:rsid w:val="000B62C4"/>
    <w:rsid w:val="000F1BE8"/>
    <w:rsid w:val="001023A9"/>
    <w:rsid w:val="00103558"/>
    <w:rsid w:val="00107C9B"/>
    <w:rsid w:val="00126C5F"/>
    <w:rsid w:val="00150C04"/>
    <w:rsid w:val="00150DF3"/>
    <w:rsid w:val="0016246C"/>
    <w:rsid w:val="001721CB"/>
    <w:rsid w:val="00173870"/>
    <w:rsid w:val="00192E1C"/>
    <w:rsid w:val="001948E9"/>
    <w:rsid w:val="001A07A7"/>
    <w:rsid w:val="001A43F2"/>
    <w:rsid w:val="001A5F62"/>
    <w:rsid w:val="001C2921"/>
    <w:rsid w:val="001C5A6F"/>
    <w:rsid w:val="001C6FE4"/>
    <w:rsid w:val="001D0D7C"/>
    <w:rsid w:val="001F7416"/>
    <w:rsid w:val="0020210B"/>
    <w:rsid w:val="00207330"/>
    <w:rsid w:val="00210C18"/>
    <w:rsid w:val="00262A22"/>
    <w:rsid w:val="00272751"/>
    <w:rsid w:val="00272D40"/>
    <w:rsid w:val="0027498C"/>
    <w:rsid w:val="00277E30"/>
    <w:rsid w:val="002811DE"/>
    <w:rsid w:val="00284671"/>
    <w:rsid w:val="00291798"/>
    <w:rsid w:val="002975F6"/>
    <w:rsid w:val="002A5397"/>
    <w:rsid w:val="002E0357"/>
    <w:rsid w:val="002E793F"/>
    <w:rsid w:val="0031166E"/>
    <w:rsid w:val="00311BBA"/>
    <w:rsid w:val="00314032"/>
    <w:rsid w:val="00314E6B"/>
    <w:rsid w:val="00324152"/>
    <w:rsid w:val="00343205"/>
    <w:rsid w:val="00371AB1"/>
    <w:rsid w:val="0037686A"/>
    <w:rsid w:val="00377B53"/>
    <w:rsid w:val="003B4939"/>
    <w:rsid w:val="003E3CAD"/>
    <w:rsid w:val="00404486"/>
    <w:rsid w:val="00410E8A"/>
    <w:rsid w:val="00411C51"/>
    <w:rsid w:val="00412342"/>
    <w:rsid w:val="0041609F"/>
    <w:rsid w:val="00426737"/>
    <w:rsid w:val="0045460D"/>
    <w:rsid w:val="004553CA"/>
    <w:rsid w:val="00463E9C"/>
    <w:rsid w:val="00463EAA"/>
    <w:rsid w:val="00467E41"/>
    <w:rsid w:val="004714AF"/>
    <w:rsid w:val="004804B9"/>
    <w:rsid w:val="004817C5"/>
    <w:rsid w:val="00486628"/>
    <w:rsid w:val="00486988"/>
    <w:rsid w:val="0049467C"/>
    <w:rsid w:val="004A0ED5"/>
    <w:rsid w:val="004A7256"/>
    <w:rsid w:val="004B4B4F"/>
    <w:rsid w:val="004B595F"/>
    <w:rsid w:val="004C5925"/>
    <w:rsid w:val="004C5B7F"/>
    <w:rsid w:val="004C5D3B"/>
    <w:rsid w:val="004D26D7"/>
    <w:rsid w:val="004E24FE"/>
    <w:rsid w:val="004F656C"/>
    <w:rsid w:val="0050431B"/>
    <w:rsid w:val="0051133C"/>
    <w:rsid w:val="005171CF"/>
    <w:rsid w:val="00543A6D"/>
    <w:rsid w:val="005500D3"/>
    <w:rsid w:val="0055585E"/>
    <w:rsid w:val="00561D2F"/>
    <w:rsid w:val="00574290"/>
    <w:rsid w:val="005927CB"/>
    <w:rsid w:val="005A4BBA"/>
    <w:rsid w:val="005B3C6D"/>
    <w:rsid w:val="005D4745"/>
    <w:rsid w:val="006170E6"/>
    <w:rsid w:val="00620CF4"/>
    <w:rsid w:val="00633BD0"/>
    <w:rsid w:val="00634787"/>
    <w:rsid w:val="006401D0"/>
    <w:rsid w:val="006452EC"/>
    <w:rsid w:val="00651A4F"/>
    <w:rsid w:val="0069633A"/>
    <w:rsid w:val="006A57E7"/>
    <w:rsid w:val="006A5D8A"/>
    <w:rsid w:val="006B3903"/>
    <w:rsid w:val="006C4003"/>
    <w:rsid w:val="006C4041"/>
    <w:rsid w:val="00706CD7"/>
    <w:rsid w:val="0071408C"/>
    <w:rsid w:val="00721807"/>
    <w:rsid w:val="00721B4A"/>
    <w:rsid w:val="00731B11"/>
    <w:rsid w:val="00741501"/>
    <w:rsid w:val="00777FB1"/>
    <w:rsid w:val="00790E17"/>
    <w:rsid w:val="00790F36"/>
    <w:rsid w:val="00795D6F"/>
    <w:rsid w:val="00797934"/>
    <w:rsid w:val="007A3B2E"/>
    <w:rsid w:val="007B3003"/>
    <w:rsid w:val="007E3DFA"/>
    <w:rsid w:val="007E526E"/>
    <w:rsid w:val="007F7D90"/>
    <w:rsid w:val="00812E00"/>
    <w:rsid w:val="00824014"/>
    <w:rsid w:val="00824112"/>
    <w:rsid w:val="00830679"/>
    <w:rsid w:val="00843CF3"/>
    <w:rsid w:val="008475EB"/>
    <w:rsid w:val="00856283"/>
    <w:rsid w:val="008630C8"/>
    <w:rsid w:val="00866BFA"/>
    <w:rsid w:val="00867BE4"/>
    <w:rsid w:val="00871607"/>
    <w:rsid w:val="0089013D"/>
    <w:rsid w:val="008A6F74"/>
    <w:rsid w:val="008B61AC"/>
    <w:rsid w:val="008C2E3A"/>
    <w:rsid w:val="008C4EED"/>
    <w:rsid w:val="008D6545"/>
    <w:rsid w:val="008F10AF"/>
    <w:rsid w:val="00901A42"/>
    <w:rsid w:val="0091273D"/>
    <w:rsid w:val="0092464C"/>
    <w:rsid w:val="009252BA"/>
    <w:rsid w:val="00942FD1"/>
    <w:rsid w:val="00947324"/>
    <w:rsid w:val="009614B9"/>
    <w:rsid w:val="00990948"/>
    <w:rsid w:val="0099209F"/>
    <w:rsid w:val="009B4093"/>
    <w:rsid w:val="009B7B16"/>
    <w:rsid w:val="009D19E4"/>
    <w:rsid w:val="009D2BE2"/>
    <w:rsid w:val="009D582A"/>
    <w:rsid w:val="009D7877"/>
    <w:rsid w:val="009F7332"/>
    <w:rsid w:val="00A205D2"/>
    <w:rsid w:val="00A22123"/>
    <w:rsid w:val="00A23079"/>
    <w:rsid w:val="00A3510E"/>
    <w:rsid w:val="00A40224"/>
    <w:rsid w:val="00A6530D"/>
    <w:rsid w:val="00A81F21"/>
    <w:rsid w:val="00A95392"/>
    <w:rsid w:val="00AA3CDB"/>
    <w:rsid w:val="00AB3E88"/>
    <w:rsid w:val="00AC0D7B"/>
    <w:rsid w:val="00AC2164"/>
    <w:rsid w:val="00AC643A"/>
    <w:rsid w:val="00AD0794"/>
    <w:rsid w:val="00AE12AA"/>
    <w:rsid w:val="00AE3E3B"/>
    <w:rsid w:val="00AE69CD"/>
    <w:rsid w:val="00B04494"/>
    <w:rsid w:val="00B5378E"/>
    <w:rsid w:val="00B610BB"/>
    <w:rsid w:val="00B71E81"/>
    <w:rsid w:val="00B8752C"/>
    <w:rsid w:val="00B94B13"/>
    <w:rsid w:val="00BA1C5A"/>
    <w:rsid w:val="00BC0163"/>
    <w:rsid w:val="00BC160A"/>
    <w:rsid w:val="00BD4DF1"/>
    <w:rsid w:val="00BE233B"/>
    <w:rsid w:val="00BF37C9"/>
    <w:rsid w:val="00C0247E"/>
    <w:rsid w:val="00C04476"/>
    <w:rsid w:val="00C07AC8"/>
    <w:rsid w:val="00C218AB"/>
    <w:rsid w:val="00C41266"/>
    <w:rsid w:val="00C46BEE"/>
    <w:rsid w:val="00C573A0"/>
    <w:rsid w:val="00C66770"/>
    <w:rsid w:val="00C808A1"/>
    <w:rsid w:val="00C957D5"/>
    <w:rsid w:val="00C958AE"/>
    <w:rsid w:val="00CD089F"/>
    <w:rsid w:val="00CE558F"/>
    <w:rsid w:val="00CF4E53"/>
    <w:rsid w:val="00D06ED3"/>
    <w:rsid w:val="00D1567A"/>
    <w:rsid w:val="00D16B5C"/>
    <w:rsid w:val="00D176D7"/>
    <w:rsid w:val="00D2044E"/>
    <w:rsid w:val="00D36E22"/>
    <w:rsid w:val="00D4348E"/>
    <w:rsid w:val="00D66F1D"/>
    <w:rsid w:val="00D70518"/>
    <w:rsid w:val="00D8162D"/>
    <w:rsid w:val="00D8257A"/>
    <w:rsid w:val="00DA0685"/>
    <w:rsid w:val="00DB06D9"/>
    <w:rsid w:val="00DB51B5"/>
    <w:rsid w:val="00DC05A8"/>
    <w:rsid w:val="00DC2047"/>
    <w:rsid w:val="00DD6800"/>
    <w:rsid w:val="00DE7D49"/>
    <w:rsid w:val="00DF792B"/>
    <w:rsid w:val="00E11D25"/>
    <w:rsid w:val="00E16656"/>
    <w:rsid w:val="00E40CE2"/>
    <w:rsid w:val="00E54F36"/>
    <w:rsid w:val="00E558E2"/>
    <w:rsid w:val="00E678DC"/>
    <w:rsid w:val="00E760A5"/>
    <w:rsid w:val="00E82C50"/>
    <w:rsid w:val="00EA1E05"/>
    <w:rsid w:val="00EA5B9E"/>
    <w:rsid w:val="00EB3882"/>
    <w:rsid w:val="00EC0076"/>
    <w:rsid w:val="00EC7DC3"/>
    <w:rsid w:val="00EF10D5"/>
    <w:rsid w:val="00F13DDF"/>
    <w:rsid w:val="00F145AD"/>
    <w:rsid w:val="00F15779"/>
    <w:rsid w:val="00F15A90"/>
    <w:rsid w:val="00F413D0"/>
    <w:rsid w:val="00F41D7F"/>
    <w:rsid w:val="00F50CA7"/>
    <w:rsid w:val="00F55C9C"/>
    <w:rsid w:val="00F81D4B"/>
    <w:rsid w:val="00F92653"/>
    <w:rsid w:val="00FA3AE7"/>
    <w:rsid w:val="00FC1D2B"/>
    <w:rsid w:val="00FD3148"/>
    <w:rsid w:val="00FE44A9"/>
    <w:rsid w:val="00FF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9F5F173-B0B3-4E7C-8430-5BE22C8B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69633A"/>
    <w:pPr>
      <w:shd w:val="clear" w:color="auto" w:fill="000080"/>
    </w:pPr>
    <w:rPr>
      <w:rFonts w:ascii="Tahoma" w:hAnsi="Tahoma" w:cs="Tahoma"/>
      <w:sz w:val="20"/>
      <w:szCs w:val="20"/>
    </w:rPr>
  </w:style>
  <w:style w:type="paragraph" w:styleId="BalloonText">
    <w:name w:val="Balloon Text"/>
    <w:basedOn w:val="Normal"/>
    <w:semiHidden/>
    <w:rsid w:val="00B71E81"/>
    <w:rPr>
      <w:rFonts w:ascii="Tahoma" w:hAnsi="Tahoma" w:cs="Tahoma"/>
      <w:sz w:val="16"/>
      <w:szCs w:val="16"/>
    </w:rPr>
  </w:style>
  <w:style w:type="paragraph" w:styleId="FootnoteText">
    <w:name w:val="footnote text"/>
    <w:basedOn w:val="Normal"/>
    <w:semiHidden/>
    <w:rsid w:val="000B62C4"/>
    <w:rPr>
      <w:sz w:val="20"/>
      <w:szCs w:val="20"/>
    </w:rPr>
  </w:style>
  <w:style w:type="character" w:styleId="CommentReference">
    <w:name w:val="annotation reference"/>
    <w:semiHidden/>
    <w:rsid w:val="00C808A1"/>
    <w:rPr>
      <w:sz w:val="16"/>
      <w:szCs w:val="16"/>
    </w:rPr>
  </w:style>
  <w:style w:type="paragraph" w:styleId="CommentText">
    <w:name w:val="annotation text"/>
    <w:basedOn w:val="Normal"/>
    <w:semiHidden/>
    <w:rsid w:val="00C808A1"/>
    <w:rPr>
      <w:sz w:val="20"/>
      <w:szCs w:val="20"/>
    </w:rPr>
  </w:style>
  <w:style w:type="paragraph" w:styleId="CommentSubject">
    <w:name w:val="annotation subject"/>
    <w:basedOn w:val="CommentText"/>
    <w:next w:val="CommentText"/>
    <w:semiHidden/>
    <w:rsid w:val="00C808A1"/>
    <w:rPr>
      <w:b/>
      <w:bCs/>
    </w:rPr>
  </w:style>
  <w:style w:type="table" w:styleId="TableGrid">
    <w:name w:val="Table Grid"/>
    <w:basedOn w:val="TableNormal"/>
    <w:rsid w:val="00FD3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57D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181B9-2F7E-4923-8F4F-048E95E3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3695</Words>
  <Characters>21067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altman.laurie</dc:creator>
  <cp:keywords/>
  <cp:lastModifiedBy>Khan, Mariam - EBSA</cp:lastModifiedBy>
  <cp:revision>2</cp:revision>
  <cp:lastPrinted>2014-03-13T14:14:00Z</cp:lastPrinted>
  <dcterms:created xsi:type="dcterms:W3CDTF">2020-09-22T20:23:00Z</dcterms:created>
  <dcterms:modified xsi:type="dcterms:W3CDTF">2020-09-22T20:23:00Z</dcterms:modified>
</cp:coreProperties>
</file>