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90" w:rsidP="007A5190" w:rsidRDefault="007A5190">
      <w:pPr>
        <w:spacing w:line="480" w:lineRule="auto"/>
        <w:rPr>
          <w:b/>
          <w:bCs/>
        </w:rPr>
      </w:pPr>
      <w:r>
        <w:rPr>
          <w:b/>
          <w:bCs/>
        </w:rPr>
        <w:t>Ethylene Oxide Standard Appendix D PRA Public Burden Statement</w:t>
      </w:r>
      <w:r>
        <w:rPr>
          <w:b/>
          <w:bCs/>
        </w:rPr>
        <w:tab/>
      </w:r>
    </w:p>
    <w:p w:rsidR="007A5190" w:rsidP="007A5190" w:rsidRDefault="007A5190">
      <w:pPr>
        <w:spacing w:line="480" w:lineRule="auto"/>
        <w:rPr>
          <w:b/>
        </w:rPr>
      </w:pPr>
      <w:r>
        <w:rPr>
          <w:b/>
        </w:rPr>
        <w:t>§ 1910.1047 Ethylene Oxide.</w:t>
      </w:r>
    </w:p>
    <w:p w:rsidR="007A5190" w:rsidP="007A5190" w:rsidRDefault="007A5190">
      <w:pPr>
        <w:spacing w:line="480" w:lineRule="auto"/>
        <w:jc w:val="center"/>
        <w:rPr>
          <w:bCs/>
          <w:smallCaps/>
        </w:rPr>
      </w:pPr>
      <w:r>
        <w:rPr>
          <w:bCs/>
          <w:smallCaps/>
        </w:rPr>
        <w:t>Appendix D to § 1910.1047—</w:t>
      </w:r>
      <w:proofErr w:type="spellStart"/>
      <w:r>
        <w:rPr>
          <w:bCs/>
          <w:smallCaps/>
        </w:rPr>
        <w:t>Nonmandatory</w:t>
      </w:r>
      <w:proofErr w:type="spellEnd"/>
      <w:r>
        <w:rPr>
          <w:bCs/>
          <w:smallCaps/>
        </w:rPr>
        <w:t xml:space="preserve"> Medical Disease Questionnaire</w:t>
      </w:r>
    </w:p>
    <w:p w:rsidR="007A5190" w:rsidP="007A5190" w:rsidRDefault="007A5190">
      <w:pPr>
        <w:spacing w:line="480" w:lineRule="auto"/>
        <w:jc w:val="center"/>
      </w:pPr>
      <w:r>
        <w:rPr>
          <w:noProof/>
        </w:rPr>
        <mc:AlternateContent>
          <mc:Choice Requires="wps">
            <w:drawing>
              <wp:anchor distT="45720" distB="45720" distL="114300" distR="114300" simplePos="0" relativeHeight="251659264" behindDoc="0" locked="0" layoutInCell="1" allowOverlap="1" wp14:editId="5FE2DABE" wp14:anchorId="6B7418A8">
                <wp:simplePos x="0" y="0"/>
                <wp:positionH relativeFrom="margin">
                  <wp:posOffset>0</wp:posOffset>
                </wp:positionH>
                <wp:positionV relativeFrom="paragraph">
                  <wp:posOffset>394335</wp:posOffset>
                </wp:positionV>
                <wp:extent cx="5226050" cy="2609850"/>
                <wp:effectExtent l="0" t="0" r="127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2609850"/>
                        </a:xfrm>
                        <a:prstGeom prst="rect">
                          <a:avLst/>
                        </a:prstGeom>
                        <a:solidFill>
                          <a:srgbClr val="FFFFFF"/>
                        </a:solidFill>
                        <a:ln w="9525">
                          <a:solidFill>
                            <a:srgbClr val="000000"/>
                          </a:solidFill>
                          <a:miter lim="800000"/>
                          <a:headEnd/>
                          <a:tailEnd/>
                        </a:ln>
                      </wps:spPr>
                      <wps:txbx>
                        <w:txbxContent>
                          <w:p w:rsidR="007A5190" w:rsidP="007A5190" w:rsidRDefault="007A5190">
                            <w:pPr>
                              <w:widowControl w:val="0"/>
                              <w:jc w:val="center"/>
                              <w:rPr>
                                <w:rFonts w:eastAsia="Calibri"/>
                                <w:b/>
                                <w:bCs/>
                                <w:sz w:val="16"/>
                                <w:szCs w:val="16"/>
                              </w:rPr>
                            </w:pPr>
                            <w:r>
                              <w:rPr>
                                <w:rFonts w:eastAsia="Calibri"/>
                                <w:b/>
                                <w:bCs/>
                                <w:sz w:val="16"/>
                                <w:szCs w:val="16"/>
                              </w:rPr>
                              <w:t>PAPERWORK REDUCTION ACT STATEMENT</w:t>
                            </w:r>
                          </w:p>
                          <w:p w:rsidR="007A5190" w:rsidP="007A5190" w:rsidRDefault="007A5190">
                            <w:pPr>
                              <w:rPr>
                                <w:rFonts w:eastAsia="Times New Roman"/>
                                <w:sz w:val="16"/>
                                <w:szCs w:val="16"/>
                              </w:rPr>
                            </w:pPr>
                          </w:p>
                          <w:p w:rsidR="007A5190" w:rsidP="007A5190" w:rsidRDefault="007A5190">
                            <w:pPr>
                              <w:rPr>
                                <w:sz w:val="16"/>
                                <w:szCs w:val="16"/>
                              </w:rPr>
                            </w:pPr>
                            <w:r>
                              <w:rPr>
                                <w:sz w:val="16"/>
                                <w:szCs w:val="16"/>
                              </w:rPr>
                              <w:t xml:space="preserve">Under the formaldehyde standard, this </w:t>
                            </w:r>
                            <w:proofErr w:type="spellStart"/>
                            <w:r>
                              <w:rPr>
                                <w:sz w:val="16"/>
                                <w:szCs w:val="16"/>
                              </w:rPr>
                              <w:t>nonmandatory</w:t>
                            </w:r>
                            <w:proofErr w:type="spellEnd"/>
                            <w:r>
                              <w:rPr>
                                <w:sz w:val="16"/>
                                <w:szCs w:val="16"/>
                              </w:rPr>
                              <w:t xml:space="preserve"> medical disease questionnaire may be administered to employees who are included in their employer’s medical surveillance program.  (29 CFR 1910.1048(l</w:t>
                            </w:r>
                            <w:proofErr w:type="gramStart"/>
                            <w:r>
                              <w:rPr>
                                <w:sz w:val="16"/>
                                <w:szCs w:val="16"/>
                              </w:rPr>
                              <w:t>)(</w:t>
                            </w:r>
                            <w:proofErr w:type="gramEnd"/>
                            <w:r>
                              <w:rPr>
                                <w:sz w:val="16"/>
                                <w:szCs w:val="16"/>
                              </w:rPr>
                              <w:t xml:space="preserve">1)).  Under the Paperwork Reduction Act, a Federal agency generally cannot conduct or sponsor, and the public is generally not required to respond to, an information collection, unless it is approved by OMB and displays a valid OMB Control Number. Use of this questionnaire is optional.  The questionnaire assists both physicians and employers to ensure that the physician obtains compliant employee medical documentation.  OSHA estimates employer burden for the completion of this collection of information is 60 minutes (1 hour).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1910.1048(l), including employee time for completion of the questionnaire and medical examination and providing information to the physician.  Send comments regarding this burden estimate or any other aspect of this collection of information, including suggestions for reducing this burden to </w:t>
                            </w:r>
                            <w:hyperlink w:history="1" r:id="rId4">
                              <w:r>
                                <w:rPr>
                                  <w:rStyle w:val="Hyperlink"/>
                                  <w:sz w:val="16"/>
                                  <w:szCs w:val="16"/>
                                </w:rPr>
                                <w:t>OSHAPRA@dol.gov</w:t>
                              </w:r>
                            </w:hyperlink>
                            <w:r>
                              <w:rPr>
                                <w:sz w:val="16"/>
                                <w:szCs w:val="16"/>
                              </w:rPr>
                              <w:t xml:space="preserve"> or to OSHA’s Directorate of Standards and Guidance, Department of Labor, Room N-3718, 200 Constitution Ave., NW, Washington, DC 20210; Attn: Paperwork Reduction Act Comment; 1218-0145. (This address is for comments regarding this form only; </w:t>
                            </w:r>
                            <w:r>
                              <w:rPr>
                                <w:b/>
                                <w:sz w:val="16"/>
                                <w:szCs w:val="16"/>
                              </w:rPr>
                              <w:t>DO NOT SEND ANY COMPLETED SAMPLE FORM TO THIS OFFICE</w:t>
                            </w:r>
                            <w:r>
                              <w:rPr>
                                <w:sz w:val="16"/>
                                <w:szCs w:val="16"/>
                              </w:rPr>
                              <w:t xml:space="preserve">.)  </w:t>
                            </w:r>
                          </w:p>
                          <w:p w:rsidR="007A5190" w:rsidP="007A5190" w:rsidRDefault="007A5190">
                            <w:pPr>
                              <w:jc w:val="center"/>
                              <w:rPr>
                                <w:sz w:val="16"/>
                                <w:szCs w:val="16"/>
                              </w:rPr>
                            </w:pPr>
                          </w:p>
                          <w:p w:rsidR="007A5190" w:rsidP="007A5190" w:rsidRDefault="007A5190">
                            <w:pPr>
                              <w:jc w:val="center"/>
                              <w:rPr>
                                <w:sz w:val="24"/>
                                <w:szCs w:val="24"/>
                              </w:rPr>
                            </w:pPr>
                            <w:r>
                              <w:rPr>
                                <w:i/>
                                <w:iCs/>
                                <w:sz w:val="16"/>
                                <w:szCs w:val="16"/>
                              </w:rPr>
                              <w:t>OMB Approval# 1218-0145; Expires: 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7418A8">
                <v:stroke joinstyle="miter"/>
                <v:path gradientshapeok="t" o:connecttype="rect"/>
              </v:shapetype>
              <v:shape id="Text Box 10" style="position:absolute;left:0;text-align:left;margin-left:0;margin-top:31.05pt;width:411.5pt;height:2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2zIAIAAEcEAAAOAAAAZHJzL2Uyb0RvYy54bWysU9tu2zAMfR+wfxD0vtgxkq4x4hRdugwD&#10;ugvQ7gMYWY6FSaInKbGzrx8lp2l2exmmB0EUqaPDQ3J5MxjNDtJ5hbbi00nOmbQCa2V3Ff/yuHl1&#10;zZkPYGvQaGXFj9Lzm9XLF8u+K2WBLepaOkYg1pd9V/E2hK7MMi9aacBPsJOWnA06A4FMt8tqBz2h&#10;G50VeX6V9ejqzqGQ3tPt3ejkq4TfNFKET03jZWC64sQtpN2lfRv3bLWEcuega5U40YB/YGFAWfr0&#10;DHUHAdjeqd+gjBIOPTZhItBk2DRKyJQDZTPNf8nmoYVOplxIHN+dZfL/D1Z8PHx2TNVUO5LHgqEa&#10;PcohsDc4MLoiffrOlxT20FFgGOieYlOuvrtH8dUzi+sW7E7eOod9K6EmftP4Mrt4OuL4CLLtP2BN&#10;/8A+YAIaGmeieCQHI3QicjzXJnIRdDkviqt8Ti5BPjoursmIf0D59LxzPryTaFg8VNxR8RM8HO59&#10;GEOfQuJvHrWqN0rrZLjddq0dOwA1yiatE/pPYdqyvuKLeTEfFfgrRJ7WnyCMCtTxWpmKX5+DoIy6&#10;vbU10YQygNLjmbLT9iRk1G5UMQzbgQKjulusjySpw7GzaRLp0KL7zllPXV1x/20PTnKm31sqy2I6&#10;m8UxSMZs/rogw116tpcesIKgKh44G4/rkEYncrR4S+VrVBL2mcmJK3VrKs1psuI4XNop6nn+Vz8A&#10;AAD//wMAUEsDBBQABgAIAAAAIQA+7paA3gAAAAcBAAAPAAAAZHJzL2Rvd25yZXYueG1sTI9LT8Mw&#10;EITvSPwHa5G4IOo8qjSEbCqEBIJbKVW5urGbRPgRbDcN/57lBMedGc18W69no9mkfBicRUgXCTBl&#10;WycH2yHs3p9uS2AhCiuFdlYhfKsA6+byohaVdGf7pqZt7BiV2FAJhD7GseI8tL0yIizcqCx5R+eN&#10;iHT6jksvzlRuNM+SpOBGDJYWejGqx161n9uTQSiXL9NHeM03+7Y46rt4s5qevzzi9dX8cA8sqjn+&#10;heEXn9ChIaaDO1kZmEagRyJCkaXAyC2znIQDwnKVp8Cbmv/nb34AAAD//wMAUEsBAi0AFAAGAAgA&#10;AAAhALaDOJL+AAAA4QEAABMAAAAAAAAAAAAAAAAAAAAAAFtDb250ZW50X1R5cGVzXS54bWxQSwEC&#10;LQAUAAYACAAAACEAOP0h/9YAAACUAQAACwAAAAAAAAAAAAAAAAAvAQAAX3JlbHMvLnJlbHNQSwEC&#10;LQAUAAYACAAAACEANKT9syACAABHBAAADgAAAAAAAAAAAAAAAAAuAgAAZHJzL2Uyb0RvYy54bWxQ&#10;SwECLQAUAAYACAAAACEAPu6WgN4AAAAHAQAADwAAAAAAAAAAAAAAAAB6BAAAZHJzL2Rvd25yZXYu&#10;eG1sUEsFBgAAAAAEAAQA8wAAAIUFAAAAAA==&#10;">
                <v:textbox>
                  <w:txbxContent>
                    <w:p w:rsidR="007A5190" w:rsidP="007A5190" w:rsidRDefault="007A5190">
                      <w:pPr>
                        <w:widowControl w:val="0"/>
                        <w:jc w:val="center"/>
                        <w:rPr>
                          <w:rFonts w:eastAsia="Calibri"/>
                          <w:b/>
                          <w:bCs/>
                          <w:sz w:val="16"/>
                          <w:szCs w:val="16"/>
                        </w:rPr>
                      </w:pPr>
                      <w:r>
                        <w:rPr>
                          <w:rFonts w:eastAsia="Calibri"/>
                          <w:b/>
                          <w:bCs/>
                          <w:sz w:val="16"/>
                          <w:szCs w:val="16"/>
                        </w:rPr>
                        <w:t>PAPERWORK REDUCTION ACT STATEMENT</w:t>
                      </w:r>
                    </w:p>
                    <w:p w:rsidR="007A5190" w:rsidP="007A5190" w:rsidRDefault="007A5190">
                      <w:pPr>
                        <w:rPr>
                          <w:rFonts w:eastAsia="Times New Roman"/>
                          <w:sz w:val="16"/>
                          <w:szCs w:val="16"/>
                        </w:rPr>
                      </w:pPr>
                    </w:p>
                    <w:p w:rsidR="007A5190" w:rsidP="007A5190" w:rsidRDefault="007A5190">
                      <w:pPr>
                        <w:rPr>
                          <w:sz w:val="16"/>
                          <w:szCs w:val="16"/>
                        </w:rPr>
                      </w:pPr>
                      <w:r>
                        <w:rPr>
                          <w:sz w:val="16"/>
                          <w:szCs w:val="16"/>
                        </w:rPr>
                        <w:t xml:space="preserve">Under the formaldehyde standard, this </w:t>
                      </w:r>
                      <w:proofErr w:type="spellStart"/>
                      <w:r>
                        <w:rPr>
                          <w:sz w:val="16"/>
                          <w:szCs w:val="16"/>
                        </w:rPr>
                        <w:t>nonmandatory</w:t>
                      </w:r>
                      <w:proofErr w:type="spellEnd"/>
                      <w:r>
                        <w:rPr>
                          <w:sz w:val="16"/>
                          <w:szCs w:val="16"/>
                        </w:rPr>
                        <w:t xml:space="preserve"> medical disease questionnaire may be administered to employees who are included in their employer’s medical surveillance program.  (29 CFR 1910.1048(l</w:t>
                      </w:r>
                      <w:proofErr w:type="gramStart"/>
                      <w:r>
                        <w:rPr>
                          <w:sz w:val="16"/>
                          <w:szCs w:val="16"/>
                        </w:rPr>
                        <w:t>)(</w:t>
                      </w:r>
                      <w:proofErr w:type="gramEnd"/>
                      <w:r>
                        <w:rPr>
                          <w:sz w:val="16"/>
                          <w:szCs w:val="16"/>
                        </w:rPr>
                        <w:t xml:space="preserve">1)).  Under the Paperwork Reduction Act, a Federal agency generally cannot conduct or sponsor, and the public is generally not required to respond to, an information collection, unless it is approved by OMB and displays a valid OMB Control Number. Use of this questionnaire is optional.  The questionnaire assists both physicians and employers to ensure that the physician obtains compliant employee medical documentation.  OSHA estimates employer burden for the completion of this collection of information is 60 minutes (1 hour).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1910.1048(l), including employee time for completion of the questionnaire and medical examination and providing information to the physician.  Send comments regarding this burden estimate or any other aspect of this collection of information, including suggestions for reducing this burden to </w:t>
                      </w:r>
                      <w:hyperlink w:history="1" r:id="rId5">
                        <w:r>
                          <w:rPr>
                            <w:rStyle w:val="Hyperlink"/>
                            <w:sz w:val="16"/>
                            <w:szCs w:val="16"/>
                          </w:rPr>
                          <w:t>OSHAPRA@dol.gov</w:t>
                        </w:r>
                      </w:hyperlink>
                      <w:r>
                        <w:rPr>
                          <w:sz w:val="16"/>
                          <w:szCs w:val="16"/>
                        </w:rPr>
                        <w:t xml:space="preserve"> or to OSHA’s Directorate of Standards and Guidance, Department of Labor, Room N-3718, 200 Constitution Ave., NW, Washington, DC 20210; Attn: Paperwork Reduction Act Comment; 1218-0145. (This address is for comments regarding this form only; </w:t>
                      </w:r>
                      <w:r>
                        <w:rPr>
                          <w:b/>
                          <w:sz w:val="16"/>
                          <w:szCs w:val="16"/>
                        </w:rPr>
                        <w:t>DO NOT SEND ANY COMPLETED SAMPLE FORM TO THIS OFFICE</w:t>
                      </w:r>
                      <w:r>
                        <w:rPr>
                          <w:sz w:val="16"/>
                          <w:szCs w:val="16"/>
                        </w:rPr>
                        <w:t xml:space="preserve">.)  </w:t>
                      </w:r>
                    </w:p>
                    <w:p w:rsidR="007A5190" w:rsidP="007A5190" w:rsidRDefault="007A5190">
                      <w:pPr>
                        <w:jc w:val="center"/>
                        <w:rPr>
                          <w:sz w:val="16"/>
                          <w:szCs w:val="16"/>
                        </w:rPr>
                      </w:pPr>
                    </w:p>
                    <w:p w:rsidR="007A5190" w:rsidP="007A5190" w:rsidRDefault="007A5190">
                      <w:pPr>
                        <w:jc w:val="center"/>
                        <w:rPr>
                          <w:sz w:val="24"/>
                          <w:szCs w:val="24"/>
                        </w:rPr>
                      </w:pPr>
                      <w:r>
                        <w:rPr>
                          <w:i/>
                          <w:iCs/>
                          <w:sz w:val="16"/>
                          <w:szCs w:val="16"/>
                        </w:rPr>
                        <w:t>OMB Approval# 1218-0145; Expires: 00-00-0000</w:t>
                      </w:r>
                    </w:p>
                  </w:txbxContent>
                </v:textbox>
                <w10:wrap type="square" anchorx="margin"/>
              </v:shape>
            </w:pict>
          </mc:Fallback>
        </mc:AlternateContent>
      </w:r>
    </w:p>
    <w:p w:rsidR="007A5190" w:rsidP="007A5190" w:rsidRDefault="007A5190">
      <w:pPr>
        <w:spacing w:before="200" w:after="100" w:line="240" w:lineRule="auto"/>
        <w:jc w:val="center"/>
        <w:outlineLvl w:val="0"/>
        <w:rPr>
          <w:rFonts w:ascii="Open Sans" w:hAnsi="Open Sans" w:eastAsia="Times New Roman" w:cs="Open Sans"/>
          <w:smallCaps/>
          <w:color w:val="000000"/>
          <w:kern w:val="36"/>
          <w:sz w:val="21"/>
          <w:szCs w:val="21"/>
        </w:rPr>
      </w:pPr>
    </w:p>
    <w:p w:rsidRPr="00B87D79" w:rsidR="00B87D79" w:rsidP="00B87D79" w:rsidRDefault="00B87D79">
      <w:pPr>
        <w:spacing w:before="200" w:after="100" w:line="240" w:lineRule="auto"/>
        <w:jc w:val="center"/>
        <w:outlineLvl w:val="0"/>
        <w:rPr>
          <w:rFonts w:ascii="Open Sans" w:hAnsi="Open Sans" w:eastAsia="Times New Roman" w:cs="Open Sans"/>
          <w:smallCaps/>
          <w:color w:val="000000"/>
          <w:kern w:val="36"/>
          <w:sz w:val="21"/>
          <w:szCs w:val="21"/>
        </w:rPr>
      </w:pPr>
      <w:bookmarkStart w:name="_GoBack" w:id="0"/>
      <w:bookmarkEnd w:id="0"/>
      <w:r w:rsidRPr="00B87D79">
        <w:rPr>
          <w:rFonts w:ascii="Open Sans" w:hAnsi="Open Sans" w:eastAsia="Times New Roman" w:cs="Open Sans"/>
          <w:smallCaps/>
          <w:color w:val="000000"/>
          <w:kern w:val="36"/>
          <w:sz w:val="21"/>
          <w:szCs w:val="21"/>
        </w:rPr>
        <w:t>§1910.1048—</w:t>
      </w:r>
      <w:proofErr w:type="spellStart"/>
      <w:r w:rsidRPr="00B87D79">
        <w:rPr>
          <w:rFonts w:ascii="Open Sans" w:hAnsi="Open Sans" w:eastAsia="Times New Roman" w:cs="Open Sans"/>
          <w:smallCaps/>
          <w:color w:val="000000"/>
          <w:kern w:val="36"/>
          <w:sz w:val="21"/>
          <w:szCs w:val="21"/>
        </w:rPr>
        <w:t>Nonmandatory</w:t>
      </w:r>
      <w:proofErr w:type="spellEnd"/>
      <w:r w:rsidRPr="00B87D79">
        <w:rPr>
          <w:rFonts w:ascii="Open Sans" w:hAnsi="Open Sans" w:eastAsia="Times New Roman" w:cs="Open Sans"/>
          <w:smallCaps/>
          <w:color w:val="000000"/>
          <w:kern w:val="36"/>
          <w:sz w:val="21"/>
          <w:szCs w:val="21"/>
        </w:rPr>
        <w:t xml:space="preserve"> Medical Disease Questionnaire</w:t>
      </w:r>
    </w:p>
    <w:p w:rsidRPr="00B87D79" w:rsidR="00B87D79" w:rsidP="00B87D79" w:rsidRDefault="00B87D79">
      <w:pPr>
        <w:spacing w:after="0" w:line="240" w:lineRule="auto"/>
        <w:rPr>
          <w:rFonts w:ascii="Times New Roman" w:hAnsi="Times New Roman" w:eastAsia="Times New Roman" w:cs="Times New Roman"/>
          <w:sz w:val="24"/>
          <w:szCs w:val="24"/>
        </w:rPr>
      </w:pPr>
      <w:r w:rsidRPr="00B87D79">
        <w:rPr>
          <w:rFonts w:ascii="Times New Roman" w:hAnsi="Times New Roman" w:eastAsia="Times New Roman" w:cs="Times New Roman"/>
          <w:noProof/>
          <w:sz w:val="24"/>
          <w:szCs w:val="24"/>
        </w:rPr>
        <w:lastRenderedPageBreak/>
        <w:drawing>
          <wp:inline distT="0" distB="0" distL="0" distR="0">
            <wp:extent cx="4114800" cy="6096000"/>
            <wp:effectExtent l="0" t="0" r="0" b="0"/>
            <wp:docPr id="9" name="Picture 9" descr="eCFR graphic er14my19.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FR graphic er14my19.05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7">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8" name="Picture 8" descr="eCFR graphic er14my19.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FR graphic er14my19.0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9">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7" name="Picture 7" descr="eCFR graphic er14my19.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FR graphic er14my19.05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11">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6" name="Picture 6" descr="eCFR graphic er14my19.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FR graphic er14my19.05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13">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5" name="Picture 5" descr="eCFR graphic er14my19.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FR graphic er14my19.06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15">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4" name="Picture 4" descr="eCFR graphic er14my19.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FR graphic er14my19.06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17">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3" name="Picture 3" descr="eCFR graphic er14my19.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FR graphic er14my19.06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19">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6096000"/>
            <wp:effectExtent l="0" t="0" r="0" b="0"/>
            <wp:docPr id="2" name="Picture 2" descr="eCFR graphic er14my19.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FR graphic er14my19.06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6096000"/>
                    </a:xfrm>
                    <a:prstGeom prst="rect">
                      <a:avLst/>
                    </a:prstGeom>
                    <a:noFill/>
                    <a:ln>
                      <a:noFill/>
                    </a:ln>
                  </pic:spPr>
                </pic:pic>
              </a:graphicData>
            </a:graphic>
          </wp:inline>
        </w:drawing>
      </w:r>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hyperlink w:history="1" r:id="rId21">
        <w:r w:rsidRPr="00B87D79">
          <w:rPr>
            <w:rFonts w:ascii="Open Sans" w:hAnsi="Open Sans" w:eastAsia="Times New Roman" w:cs="Open Sans"/>
            <w:color w:val="4278B6"/>
            <w:sz w:val="21"/>
            <w:szCs w:val="21"/>
            <w:u w:val="single"/>
          </w:rPr>
          <w:t>View or download PDF</w:t>
        </w:r>
      </w:hyperlink>
    </w:p>
    <w:p w:rsidRPr="00B87D79" w:rsidR="00B87D79" w:rsidP="00B87D79" w:rsidRDefault="00B87D79">
      <w:pPr>
        <w:spacing w:before="100" w:beforeAutospacing="1" w:after="100" w:afterAutospacing="1" w:line="240" w:lineRule="auto"/>
        <w:ind w:firstLine="480"/>
        <w:rPr>
          <w:rFonts w:ascii="Open Sans" w:hAnsi="Open Sans" w:eastAsia="Times New Roman" w:cs="Open Sans"/>
          <w:color w:val="000000"/>
          <w:sz w:val="21"/>
          <w:szCs w:val="21"/>
        </w:rPr>
      </w:pPr>
      <w:r w:rsidRPr="00B87D79">
        <w:rPr>
          <w:rFonts w:ascii="Open Sans" w:hAnsi="Open Sans" w:eastAsia="Times New Roman" w:cs="Open Sans"/>
          <w:noProof/>
          <w:color w:val="000000"/>
          <w:sz w:val="21"/>
          <w:szCs w:val="21"/>
        </w:rPr>
        <w:lastRenderedPageBreak/>
        <w:drawing>
          <wp:inline distT="0" distB="0" distL="0" distR="0">
            <wp:extent cx="4114800" cy="3762375"/>
            <wp:effectExtent l="0" t="0" r="0" b="9525"/>
            <wp:docPr id="1" name="Picture 1" descr="eCFR graphic er14my19.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r14my19.06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3762375"/>
                    </a:xfrm>
                    <a:prstGeom prst="rect">
                      <a:avLst/>
                    </a:prstGeom>
                    <a:noFill/>
                    <a:ln>
                      <a:noFill/>
                    </a:ln>
                  </pic:spPr>
                </pic:pic>
              </a:graphicData>
            </a:graphic>
          </wp:inline>
        </w:drawing>
      </w:r>
    </w:p>
    <w:p w:rsidR="006950EB" w:rsidRDefault="006950EB"/>
    <w:sectPr w:rsidR="0069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79"/>
    <w:rsid w:val="006950EB"/>
    <w:rsid w:val="007A5190"/>
    <w:rsid w:val="00B8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2102"/>
  <w15:chartTrackingRefBased/>
  <w15:docId w15:val="{B705CB39-01AB-4C70-9CE9-A1D2997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D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2501">
      <w:bodyDiv w:val="1"/>
      <w:marLeft w:val="0"/>
      <w:marRight w:val="0"/>
      <w:marTop w:val="0"/>
      <w:marBottom w:val="0"/>
      <w:divBdr>
        <w:top w:val="none" w:sz="0" w:space="0" w:color="auto"/>
        <w:left w:val="none" w:sz="0" w:space="0" w:color="auto"/>
        <w:bottom w:val="none" w:sz="0" w:space="0" w:color="auto"/>
        <w:right w:val="none" w:sz="0" w:space="0" w:color="auto"/>
      </w:divBdr>
    </w:div>
    <w:div w:id="13548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ecfr.gov/graphics/pdfs/er14my19.059.pdf" TargetMode="External"/><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www.ecfr.gov/graphics/pdfs/er14my19.063.pdf" TargetMode="External"/><Relationship Id="rId7" Type="http://schemas.openxmlformats.org/officeDocument/2006/relationships/hyperlink" Target="https://www.ecfr.gov/graphics/pdfs/er14my19.056.pdf" TargetMode="External"/><Relationship Id="rId12" Type="http://schemas.openxmlformats.org/officeDocument/2006/relationships/image" Target="media/image4.gif"/><Relationship Id="rId17" Type="http://schemas.openxmlformats.org/officeDocument/2006/relationships/hyperlink" Target="https://www.ecfr.gov/graphics/pdfs/er14my19.061.pdf" TargetMode="Externa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ecfr.gov/graphics/pdfs/er14my19.058.pdf" TargetMode="External"/><Relationship Id="rId24" Type="http://schemas.openxmlformats.org/officeDocument/2006/relationships/theme" Target="theme/theme1.xml"/><Relationship Id="rId5" Type="http://schemas.openxmlformats.org/officeDocument/2006/relationships/hyperlink" Target="mailto:OSHAPRA@dol.gov" TargetMode="External"/><Relationship Id="rId15" Type="http://schemas.openxmlformats.org/officeDocument/2006/relationships/hyperlink" Target="https://www.ecfr.gov/graphics/pdfs/er14my19.060.pdf" TargetMode="External"/><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s://www.ecfr.gov/graphics/pdfs/er14my19.062.pdf" TargetMode="External"/><Relationship Id="rId4" Type="http://schemas.openxmlformats.org/officeDocument/2006/relationships/hyperlink" Target="mailto:OSHAPRA@dol.gov" TargetMode="External"/><Relationship Id="rId9" Type="http://schemas.openxmlformats.org/officeDocument/2006/relationships/hyperlink" Target="https://www.ecfr.gov/graphics/pdfs/er14my19.057.pdf" TargetMode="External"/><Relationship Id="rId14" Type="http://schemas.openxmlformats.org/officeDocument/2006/relationships/image" Target="media/image5.gif"/><Relationship Id="rId22"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Robert - OSHA</dc:creator>
  <cp:keywords/>
  <dc:description/>
  <cp:lastModifiedBy>Washington, Robert - OSHA</cp:lastModifiedBy>
  <cp:revision>2</cp:revision>
  <dcterms:created xsi:type="dcterms:W3CDTF">2020-08-03T20:13:00Z</dcterms:created>
  <dcterms:modified xsi:type="dcterms:W3CDTF">2020-08-03T20:13:00Z</dcterms:modified>
</cp:coreProperties>
</file>