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579D2" w:rsidR="00AB03C6" w:rsidP="00AB03C6" w:rsidRDefault="00AB03C6" w14:paraId="4396D77A" w14:textId="77777777">
      <w:pPr>
        <w:widowControl/>
        <w:jc w:val="center"/>
        <w:rPr>
          <w:b/>
          <w:bCs/>
        </w:rPr>
      </w:pPr>
      <w:r w:rsidRPr="00F579D2">
        <w:rPr>
          <w:b/>
          <w:bCs/>
        </w:rPr>
        <w:t>SUPPORTING STATEMENT FOR THE</w:t>
      </w:r>
    </w:p>
    <w:p w:rsidRPr="00F579D2" w:rsidR="00AB03C6" w:rsidP="00AB03C6" w:rsidRDefault="00AB03C6" w14:paraId="0CD5421C" w14:textId="77777777">
      <w:pPr>
        <w:widowControl/>
        <w:jc w:val="center"/>
        <w:rPr>
          <w:b/>
          <w:bCs/>
        </w:rPr>
      </w:pPr>
      <w:r w:rsidRPr="00F579D2">
        <w:rPr>
          <w:b/>
          <w:bCs/>
        </w:rPr>
        <w:t>INFORMATION COLLECTION REQUIREMENTS OF THE</w:t>
      </w:r>
    </w:p>
    <w:p w:rsidRPr="00F579D2" w:rsidR="00AB03C6" w:rsidP="00AB03C6" w:rsidRDefault="00AB03C6" w14:paraId="6C55D707" w14:textId="77777777">
      <w:pPr>
        <w:widowControl/>
        <w:jc w:val="center"/>
        <w:rPr>
          <w:b/>
          <w:bCs/>
        </w:rPr>
      </w:pPr>
      <w:r w:rsidRPr="00F579D2">
        <w:rPr>
          <w:b/>
          <w:bCs/>
        </w:rPr>
        <w:t>STANDARD ON THE STORAGE AND HANDLING</w:t>
      </w:r>
    </w:p>
    <w:p w:rsidRPr="00F579D2" w:rsidR="00AB03C6" w:rsidP="00AB03C6" w:rsidRDefault="00AB03C6" w14:paraId="342723DA" w14:textId="77777777">
      <w:pPr>
        <w:widowControl/>
        <w:jc w:val="center"/>
      </w:pPr>
      <w:r w:rsidRPr="00F579D2">
        <w:rPr>
          <w:b/>
          <w:bCs/>
        </w:rPr>
        <w:t>OF ANHYDROUS AMMONIA (29 CFR 1910.111)</w:t>
      </w:r>
      <w:r w:rsidRPr="00B808A9">
        <w:rPr>
          <w:rStyle w:val="FootnoteReference"/>
          <w:vertAlign w:val="superscript"/>
        </w:rPr>
        <w:footnoteReference w:id="1"/>
      </w:r>
    </w:p>
    <w:p w:rsidRPr="00F579D2" w:rsidR="00AB03C6" w:rsidP="00AB03C6" w:rsidRDefault="00AB03C6" w14:paraId="5C9722DB" w14:textId="77777777">
      <w:pPr>
        <w:widowControl/>
        <w:jc w:val="center"/>
        <w:rPr>
          <w:b/>
          <w:bCs/>
        </w:rPr>
      </w:pPr>
      <w:r w:rsidRPr="00F579D2">
        <w:rPr>
          <w:b/>
          <w:bCs/>
        </w:rPr>
        <w:t>OFFICE OF MANAGEMENT AND BUDGET</w:t>
      </w:r>
    </w:p>
    <w:p w:rsidRPr="00B808A9" w:rsidR="00AB03C6" w:rsidP="00AB03C6" w:rsidRDefault="00AB03C6" w14:paraId="2D212265" w14:textId="360955B7">
      <w:pPr>
        <w:widowControl/>
        <w:jc w:val="center"/>
      </w:pPr>
      <w:r w:rsidRPr="00B808A9">
        <w:rPr>
          <w:b/>
          <w:bCs/>
        </w:rPr>
        <w:t>(OMB) CONTROL NO. 1218-0208 (</w:t>
      </w:r>
      <w:r w:rsidR="00B26056">
        <w:rPr>
          <w:b/>
          <w:bCs/>
        </w:rPr>
        <w:t>October</w:t>
      </w:r>
      <w:bookmarkStart w:name="_GoBack" w:id="0"/>
      <w:bookmarkEnd w:id="0"/>
      <w:r w:rsidRPr="00B808A9">
        <w:rPr>
          <w:b/>
          <w:bCs/>
        </w:rPr>
        <w:t>20</w:t>
      </w:r>
      <w:r w:rsidRPr="00B808A9" w:rsidR="00695B91">
        <w:rPr>
          <w:b/>
          <w:bCs/>
        </w:rPr>
        <w:t>20</w:t>
      </w:r>
      <w:r w:rsidRPr="00B808A9">
        <w:rPr>
          <w:b/>
          <w:bCs/>
        </w:rPr>
        <w:t>)</w:t>
      </w:r>
    </w:p>
    <w:p w:rsidRPr="00B808A9" w:rsidR="00AB03C6" w:rsidP="00AB03C6" w:rsidRDefault="00AB03C6" w14:paraId="6B3159AD" w14:textId="77777777">
      <w:pPr>
        <w:widowControl/>
        <w:jc w:val="center"/>
      </w:pPr>
      <w:r w:rsidRPr="00B808A9">
        <w:t xml:space="preserve"> </w:t>
      </w:r>
    </w:p>
    <w:p w:rsidRPr="00B62FCC" w:rsidR="00AB03C6" w:rsidP="00AB03C6" w:rsidRDefault="00B62FCC" w14:paraId="5F4A2BA5" w14:textId="77777777">
      <w:pPr>
        <w:widowControl/>
        <w:rPr>
          <w:u w:val="single"/>
        </w:rPr>
      </w:pPr>
      <w:r>
        <w:rPr>
          <w:u w:val="single"/>
        </w:rPr>
        <w:t>This ICR is requesting the extension of a currently approved data collection.</w:t>
      </w:r>
    </w:p>
    <w:p w:rsidRPr="00B808A9" w:rsidR="00AB03C6" w:rsidP="00AB03C6" w:rsidRDefault="00AB03C6" w14:paraId="3B794510" w14:textId="77777777">
      <w:pPr>
        <w:widowControl/>
      </w:pPr>
    </w:p>
    <w:p w:rsidRPr="00B808A9" w:rsidR="00AB03C6" w:rsidP="00AB03C6" w:rsidRDefault="00AB03C6" w14:paraId="365B54C6" w14:textId="77777777">
      <w:pPr>
        <w:widowControl/>
      </w:pPr>
      <w:r w:rsidRPr="00B808A9">
        <w:rPr>
          <w:b/>
          <w:bCs/>
        </w:rPr>
        <w:t>A. JUSTIFICATION</w:t>
      </w:r>
    </w:p>
    <w:p w:rsidRPr="00B808A9" w:rsidR="00AB03C6" w:rsidP="00AB03C6" w:rsidRDefault="00AB03C6" w14:paraId="68D0013A" w14:textId="77777777">
      <w:pPr>
        <w:widowControl/>
      </w:pPr>
    </w:p>
    <w:p w:rsidRPr="00F579D2" w:rsidR="00AB03C6" w:rsidP="00AB03C6" w:rsidRDefault="00AB03C6" w14:paraId="0ECBEAFC" w14:textId="77777777">
      <w:pPr>
        <w:widowControl/>
        <w:tabs>
          <w:tab w:val="left" w:pos="0"/>
        </w:tabs>
        <w:ind w:hanging="360"/>
        <w:rPr>
          <w:b/>
          <w:bCs/>
        </w:rPr>
      </w:pPr>
      <w:r w:rsidRPr="00B808A9">
        <w:rPr>
          <w:b/>
          <w:bCs/>
        </w:rPr>
        <w:tab/>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579D2" w:rsidR="00AB03C6" w:rsidP="00AB03C6" w:rsidRDefault="00AB03C6" w14:paraId="40028204" w14:textId="77777777">
      <w:pPr>
        <w:widowControl/>
      </w:pPr>
    </w:p>
    <w:p w:rsidRPr="00B808A9" w:rsidR="00AB03C6" w:rsidP="00AB03C6" w:rsidRDefault="00AB03C6" w14:paraId="3B429D55" w14:textId="77777777">
      <w:pPr>
        <w:widowControl/>
      </w:pPr>
      <w:r w:rsidRPr="00B808A9">
        <w:t>The main purpose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In addition, the OSH Act specifies that “[e]ach employer shall make, keep and preserve, and make available to the Secretary . . . such records . . . as the Secretary . . . may prescribe by regulation as necessary or appropriate for the enforcement of this Act . . .” (29 U.S.C. 657).</w:t>
      </w:r>
    </w:p>
    <w:p w:rsidRPr="00B808A9" w:rsidR="00AB03C6" w:rsidP="00AB03C6" w:rsidRDefault="00AB03C6" w14:paraId="059AA378" w14:textId="77777777">
      <w:pPr>
        <w:widowControl/>
      </w:pPr>
    </w:p>
    <w:p w:rsidRPr="00B808A9" w:rsidR="00AB03C6" w:rsidP="00AB03C6" w:rsidRDefault="00AB03C6" w14:paraId="187DE1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08A9">
        <w:t>Section 6(b)(7) of the Act specifies that [a]ny standard promulgated under this subsection shall prescribe the use of labels or other appropriate forms of warning as are necessary to insure that workers are apprised of all hazards to which they are exposed, relevant symptoms and appropriate emergency treatment, and proper conditions and precautions of safe use or exposure. This provision goes on to state that “[t]he Secretary, in consultation with the Secretary of Health and Human Services, may by rule promulgated pursuant to section 553 of title 5, United States Code, make appropriate modifications in the foregoing requirements relating to the use of labels or other forms of warning . . . as may be warranted by experience, information, or medical or technological developments acquired subsequent to the promulgation of the relevant standard” (29 U.S.C. 655).</w:t>
      </w:r>
    </w:p>
    <w:p w:rsidRPr="00B808A9" w:rsidR="00AB03C6" w:rsidP="00AB03C6" w:rsidRDefault="00AB03C6" w14:paraId="302F7AE1" w14:textId="77777777">
      <w:pPr>
        <w:widowControl/>
      </w:pPr>
    </w:p>
    <w:p w:rsidRPr="00B808A9" w:rsidR="00AB03C6" w:rsidP="00AB03C6" w:rsidRDefault="00AB03C6" w14:paraId="2889C455" w14:textId="77777777">
      <w:pPr>
        <w:widowControl/>
      </w:pPr>
      <w:r w:rsidRPr="00B808A9">
        <w:t xml:space="preserve">Under the authority granted by the OSH Act, the Occupational Safety and Health Administration (“OSHA” or “the Agency”) published the Anhydrous Ammonia Standard (the “Standard”; 29 CFR 1910.111).  </w:t>
      </w:r>
      <w:bookmarkStart w:name="OLE_LINK1" w:id="1"/>
      <w:bookmarkStart w:name="OLE_LINK2" w:id="2"/>
      <w:r w:rsidRPr="00B808A9">
        <w:t>Paragraphs (b)(3) and (b)(4) of the Standard have paperwork requirements that apply to non</w:t>
      </w:r>
      <w:r w:rsidR="00E91CFC">
        <w:t>-</w:t>
      </w:r>
      <w:r w:rsidRPr="00B808A9">
        <w:t xml:space="preserve">refrigerated containers and systems, and refrigerated containers, respectively; </w:t>
      </w:r>
      <w:r w:rsidRPr="00B808A9">
        <w:lastRenderedPageBreak/>
        <w:t>employers use these containers and systems to store and transfer anhydrous ammonia in the workplace</w:t>
      </w:r>
      <w:bookmarkEnd w:id="1"/>
      <w:bookmarkEnd w:id="2"/>
      <w:r w:rsidRPr="00B808A9">
        <w:t>.</w:t>
      </w:r>
    </w:p>
    <w:p w:rsidRPr="00B808A9" w:rsidR="00AB03C6" w:rsidP="00AB03C6" w:rsidRDefault="00AB03C6" w14:paraId="483DCC5E" w14:textId="77777777">
      <w:pPr>
        <w:widowControl/>
      </w:pPr>
    </w:p>
    <w:p w:rsidRPr="00F579D2" w:rsidR="00AB03C6" w:rsidP="00AB03C6" w:rsidRDefault="00AB03C6" w14:paraId="05D603AD" w14:textId="77777777">
      <w:pPr>
        <w:widowControl/>
        <w:rPr>
          <w:b/>
          <w:bCs/>
        </w:rPr>
      </w:pPr>
      <w:r w:rsidRPr="00B808A9">
        <w:rPr>
          <w:b/>
          <w:bCs/>
        </w:rPr>
        <w:t xml:space="preserve"> 2.  Indicate how, by whom, and for what purpose the information is to be used.  Except for a new collection, indicate the actual use the Agency has made of the information received from the current collection.</w:t>
      </w:r>
    </w:p>
    <w:p w:rsidRPr="00F579D2" w:rsidR="00AB03C6" w:rsidP="00AB03C6" w:rsidRDefault="00AB03C6" w14:paraId="7E57A8EF" w14:textId="77777777">
      <w:pPr>
        <w:widowControl/>
      </w:pPr>
    </w:p>
    <w:p w:rsidRPr="00B808A9" w:rsidR="00AB03C6" w:rsidP="00AB03C6" w:rsidRDefault="00AB03C6" w14:paraId="03F8D5A9" w14:textId="77777777">
      <w:pPr>
        <w:widowControl/>
      </w:pPr>
      <w:r w:rsidRPr="00B808A9">
        <w:t xml:space="preserve">Paragraph (b)(3) of the Standard specifies that containers and systems have nameplates if required, and that these nameplates “be permanently attached to the system (as specified by paragraph (b)(3)(i) so as to be readily accessible for inspection . . . .”  In addition, paragraph </w:t>
      </w:r>
      <w:r w:rsidRPr="00B808A9" w:rsidR="001855F0">
        <w:t>(b)(3)(i</w:t>
      </w:r>
      <w:r w:rsidR="001855F0">
        <w:t>i</w:t>
      </w:r>
      <w:r w:rsidRPr="00B808A9" w:rsidR="001855F0">
        <w:t xml:space="preserve">) </w:t>
      </w:r>
      <w:r w:rsidRPr="00B808A9">
        <w:t>requires that markings on containers and systems covered by paragraphs (c) (“Systems utilizing stationary, non</w:t>
      </w:r>
      <w:r w:rsidRPr="00B808A9" w:rsidR="00DE5E01">
        <w:t>-</w:t>
      </w:r>
      <w:r w:rsidRPr="00B808A9">
        <w:t>refrigerated storage containers”), (f) (“Tank motor vehicles for the transportation of ammonia”), (g) (“Systems mounted on farm vehicles other than for the application of ammonia”), and (h) (“Systems mounted on farm vehicles for the application of ammonia”) provide information regarding nine specific characteristics of the containers and systems.  Similarly, paragraph (b)(4) of the Standard specifies that refrigerated containers be marked with a nameplate on the outer covering in an accessible place which provides information regarding eight specific characteristics of the container.</w:t>
      </w:r>
    </w:p>
    <w:p w:rsidRPr="00B808A9" w:rsidR="00AB03C6" w:rsidP="00AB03C6" w:rsidRDefault="00AB03C6" w14:paraId="7C29592E" w14:textId="77777777">
      <w:pPr>
        <w:widowControl/>
      </w:pPr>
    </w:p>
    <w:p w:rsidRPr="00B808A9" w:rsidR="00AB03C6" w:rsidP="00AB03C6" w:rsidRDefault="00AB03C6" w14:paraId="594F4108" w14:textId="77777777">
      <w:pPr>
        <w:widowControl/>
      </w:pPr>
      <w:r w:rsidRPr="00B808A9">
        <w:t>The required markings ensure that employers use only properly designed and tested containers and systems to store anhydrous ammonia, thereby, preventing accidental release of, and exposure of workers to, this highly toxic and corrosive substance.</w:t>
      </w:r>
    </w:p>
    <w:p w:rsidRPr="00B808A9" w:rsidR="00AB03C6" w:rsidP="00AB03C6" w:rsidRDefault="00AB03C6" w14:paraId="507EAB8B" w14:textId="77777777">
      <w:pPr>
        <w:widowControl/>
      </w:pPr>
    </w:p>
    <w:p w:rsidRPr="00F579D2" w:rsidR="00AB03C6" w:rsidP="00AB03C6" w:rsidRDefault="00AB03C6" w14:paraId="2687D2F5" w14:textId="77777777">
      <w:pPr>
        <w:widowControl/>
        <w:tabs>
          <w:tab w:val="decimal" w:pos="0"/>
        </w:tabs>
        <w:ind w:hanging="270"/>
      </w:pPr>
      <w:r w:rsidRPr="00B808A9">
        <w:rPr>
          <w:b/>
          <w:bCs/>
        </w:rPr>
        <w:tab/>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808A9" w:rsidR="00AB03C6" w:rsidP="00AB03C6" w:rsidRDefault="00AB03C6" w14:paraId="43B4C437" w14:textId="77777777">
      <w:pPr>
        <w:widowControl/>
      </w:pPr>
    </w:p>
    <w:p w:rsidRPr="00F579D2" w:rsidR="00AB03C6" w:rsidP="00AB03C6" w:rsidRDefault="00AB03C6" w14:paraId="08D84933" w14:textId="77777777">
      <w:pPr>
        <w:widowControl/>
      </w:pPr>
      <w:r w:rsidRPr="00F579D2">
        <w:t>Employers may use any available technology to provide the required information.</w:t>
      </w:r>
    </w:p>
    <w:p w:rsidRPr="00F579D2" w:rsidR="00AB03C6" w:rsidP="00AB03C6" w:rsidRDefault="00AB03C6" w14:paraId="6C7CED7C" w14:textId="77777777">
      <w:pPr>
        <w:widowControl/>
      </w:pPr>
    </w:p>
    <w:p w:rsidRPr="00F579D2" w:rsidR="00AB03C6" w:rsidP="00AB03C6" w:rsidRDefault="00AB03C6" w14:paraId="0FAFA496" w14:textId="77777777">
      <w:pPr>
        <w:widowControl/>
      </w:pPr>
      <w:r w:rsidRPr="00B808A9">
        <w:rPr>
          <w:b/>
          <w:bCs/>
        </w:rPr>
        <w:t xml:space="preserve"> 4.  Describe efforts to identify duplication.  Show specifically why any similar information already available cannot be used or modified for use for the purposes described in Item A.2 above.</w:t>
      </w:r>
    </w:p>
    <w:p w:rsidRPr="00F579D2" w:rsidR="00AB03C6" w:rsidP="00AB03C6" w:rsidRDefault="00AB03C6" w14:paraId="6049CFC1" w14:textId="77777777">
      <w:pPr>
        <w:widowControl/>
      </w:pPr>
    </w:p>
    <w:p w:rsidRPr="00B808A9" w:rsidR="00AB03C6" w:rsidP="00AB03C6" w:rsidRDefault="00AB03C6" w14:paraId="0AB400F9" w14:textId="77777777">
      <w:pPr>
        <w:widowControl/>
      </w:pPr>
      <w:r w:rsidRPr="00B808A9">
        <w:t>The information collection requirements in the Standard are specific to each employer involved and no other source or agency duplicates these requirements or can make the required information available to OSHA (i.e., the required information is available only from employers).</w:t>
      </w:r>
    </w:p>
    <w:p w:rsidRPr="00B808A9" w:rsidR="00AB03C6" w:rsidP="00AB03C6" w:rsidRDefault="00AB03C6" w14:paraId="36960C7A" w14:textId="77777777">
      <w:pPr>
        <w:widowControl/>
      </w:pPr>
    </w:p>
    <w:p w:rsidRPr="00F579D2" w:rsidR="00AB03C6" w:rsidP="00AB03C6" w:rsidRDefault="00AB03C6" w14:paraId="35696AC1" w14:textId="77777777">
      <w:pPr>
        <w:widowControl/>
        <w:tabs>
          <w:tab w:val="decimal" w:pos="0"/>
        </w:tabs>
        <w:ind w:hanging="270"/>
      </w:pPr>
      <w:r w:rsidRPr="00B808A9">
        <w:rPr>
          <w:b/>
          <w:bCs/>
        </w:rPr>
        <w:tab/>
        <w:t xml:space="preserve">      5.  If the collection of information impacts small businesses or other small entities, describe any methods used to minimize burden.</w:t>
      </w:r>
    </w:p>
    <w:p w:rsidRPr="00F579D2" w:rsidR="00AB03C6" w:rsidP="00AB03C6" w:rsidRDefault="00AB03C6" w14:paraId="28313E10" w14:textId="77777777">
      <w:pPr>
        <w:widowControl/>
      </w:pPr>
    </w:p>
    <w:p w:rsidRPr="00B808A9" w:rsidR="00AB03C6" w:rsidP="00AB03C6" w:rsidRDefault="00AB03C6" w14:paraId="0426BE63" w14:textId="77777777">
      <w:pPr>
        <w:widowControl/>
      </w:pPr>
      <w:r w:rsidRPr="00B808A9">
        <w:t>The information collection requirements specified by the Standard do not have a significant impact on a substantial number of small entities.</w:t>
      </w:r>
    </w:p>
    <w:p w:rsidRPr="00B808A9" w:rsidR="00AB03C6" w:rsidP="00AB03C6" w:rsidRDefault="00AB03C6" w14:paraId="5D6295E2" w14:textId="77777777">
      <w:pPr>
        <w:widowControl/>
      </w:pPr>
    </w:p>
    <w:p w:rsidRPr="00F579D2" w:rsidR="00AB03C6" w:rsidP="00AB03C6" w:rsidRDefault="00AB03C6" w14:paraId="2A1CE89A" w14:textId="77777777">
      <w:pPr>
        <w:widowControl/>
      </w:pPr>
      <w:r w:rsidRPr="00B808A9">
        <w:rPr>
          <w:b/>
          <w:bCs/>
        </w:rPr>
        <w:lastRenderedPageBreak/>
        <w:t xml:space="preserve"> 6.  Describe the consequence to Federal program or policy activities if the collection is not conducted or is conducted less frequently, as well as any technical or legal obstacles to reducing burden.</w:t>
      </w:r>
    </w:p>
    <w:p w:rsidRPr="00F579D2" w:rsidR="00AB03C6" w:rsidP="00AB03C6" w:rsidRDefault="00AB03C6" w14:paraId="32142C32" w14:textId="77777777">
      <w:pPr>
        <w:widowControl/>
      </w:pPr>
    </w:p>
    <w:p w:rsidRPr="00B808A9" w:rsidR="00AB03C6" w:rsidP="00AB03C6" w:rsidRDefault="00AB03C6" w14:paraId="4AF0423F" w14:textId="77777777">
      <w:pPr>
        <w:widowControl/>
      </w:pPr>
      <w:r w:rsidRPr="00B808A9">
        <w:t>Employers need to collect the required information only if it becomes unreadable because of equipment damage or use, or because it no longer represents the operational characteristics of the equipment.  Any reduction in frequency would eliminate the requirements entirely.</w:t>
      </w:r>
    </w:p>
    <w:p w:rsidRPr="00B808A9" w:rsidR="00AB03C6" w:rsidP="00AB03C6" w:rsidRDefault="00AB03C6" w14:paraId="7E2A3AAF" w14:textId="77777777">
      <w:pPr>
        <w:widowControl/>
      </w:pPr>
    </w:p>
    <w:p w:rsidRPr="00B808A9" w:rsidR="00AB03C6" w:rsidP="00AB03C6" w:rsidRDefault="00AB03C6" w14:paraId="351A36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808A9">
        <w:rPr>
          <w:b/>
          <w:bCs/>
        </w:rPr>
        <w:t xml:space="preserve">  7.  Explain any special circumstances that would cause an information collection to be conducted in a manner:</w:t>
      </w:r>
    </w:p>
    <w:p w:rsidRPr="00B808A9" w:rsidR="00AB03C6" w:rsidP="00AB03C6" w:rsidRDefault="00AB03C6" w14:paraId="49AC67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B808A9" w:rsidR="00AB03C6" w:rsidP="00AB03C6" w:rsidRDefault="00AB03C6" w14:paraId="760DE80F" w14:textId="77777777">
      <w:pPr>
        <w:widowControl/>
        <w:numPr>
          <w:ilvl w:val="0"/>
          <w:numId w:val="2"/>
        </w:numPr>
        <w:tabs>
          <w:tab w:val="left" w:pos="-1080"/>
          <w:tab w:val="left" w:pos="-720"/>
          <w:tab w:val="left" w:pos="0"/>
          <w:tab w:val="left" w:pos="990"/>
          <w:tab w:val="left" w:pos="2160"/>
        </w:tabs>
        <w:rPr>
          <w:b/>
          <w:bCs/>
        </w:rPr>
      </w:pPr>
      <w:r w:rsidRPr="00B808A9">
        <w:rPr>
          <w:b/>
          <w:bCs/>
        </w:rPr>
        <w:t>Requiring respondents to report information to the agency more often than quarterly;</w:t>
      </w:r>
    </w:p>
    <w:p w:rsidRPr="00B808A9" w:rsidR="00AB03C6" w:rsidP="00AB03C6" w:rsidRDefault="00AB03C6" w14:paraId="0E8C851B"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3FDB27D0"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prepare a written response to a collection of information in fewer than 30 days after receipt of it;</w:t>
      </w:r>
    </w:p>
    <w:p w:rsidRPr="00B808A9" w:rsidR="00AB03C6" w:rsidP="00AB03C6" w:rsidRDefault="00AB03C6" w14:paraId="55932995"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09AF1CDD"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submit more than an original and two copies of any document;</w:t>
      </w:r>
    </w:p>
    <w:p w:rsidRPr="00B808A9" w:rsidR="00AB03C6" w:rsidP="00AB03C6" w:rsidRDefault="00AB03C6" w14:paraId="1DF2F4B2"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0CA2232A"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respondents to retain records, other than health, medical, government contract, grant-in-aid, or tax records for more than three years;</w:t>
      </w:r>
    </w:p>
    <w:p w:rsidRPr="00B808A9" w:rsidR="00AB03C6" w:rsidP="00AB03C6" w:rsidRDefault="00AB03C6" w14:paraId="432BB536"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7ED39FDF"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In connection with a statistical survey that is not designed to produce valid and reliable results that can be generalized to the universe of study;</w:t>
      </w:r>
    </w:p>
    <w:p w:rsidRPr="00B808A9" w:rsidR="00AB03C6" w:rsidP="00AB03C6" w:rsidRDefault="00AB03C6" w14:paraId="17A92440"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4EE07700"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Requiring the use of statistical data classification that has not been reviewed and approved by OMB;</w:t>
      </w:r>
    </w:p>
    <w:p w:rsidRPr="00B808A9" w:rsidR="00AB03C6" w:rsidP="00AB03C6" w:rsidRDefault="00AB03C6" w14:paraId="14422D58"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49D2437D" w14:textId="77777777">
      <w:pPr>
        <w:pStyle w:val="Level1"/>
        <w:widowControl/>
        <w:numPr>
          <w:ilvl w:val="0"/>
          <w:numId w:val="2"/>
        </w:numPr>
        <w:tabs>
          <w:tab w:val="left" w:pos="-1080"/>
          <w:tab w:val="left" w:pos="-720"/>
          <w:tab w:val="left" w:pos="0"/>
          <w:tab w:val="left" w:pos="990"/>
          <w:tab w:val="left" w:pos="2160"/>
        </w:tabs>
        <w:outlineLvl w:val="9"/>
        <w:rPr>
          <w:b/>
          <w:bCs/>
        </w:rPr>
      </w:pPr>
      <w:r w:rsidRPr="00B808A9">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808A9" w:rsidR="00AB03C6" w:rsidP="00AB03C6" w:rsidRDefault="00AB03C6" w14:paraId="2273E6EE"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536F0E1A" w14:textId="77777777">
      <w:pPr>
        <w:pStyle w:val="Level1"/>
        <w:widowControl/>
        <w:numPr>
          <w:ilvl w:val="0"/>
          <w:numId w:val="2"/>
        </w:numPr>
        <w:tabs>
          <w:tab w:val="left" w:pos="-1080"/>
          <w:tab w:val="left" w:pos="-720"/>
          <w:tab w:val="left" w:pos="0"/>
          <w:tab w:val="left" w:pos="990"/>
          <w:tab w:val="left" w:pos="2160"/>
        </w:tabs>
        <w:outlineLvl w:val="9"/>
      </w:pPr>
      <w:r w:rsidRPr="00B808A9">
        <w:rPr>
          <w:b/>
          <w:bCs/>
        </w:rPr>
        <w:t>Requiring respondents to submit proprietary trade secret, or other confidential information unless the agency can prove that it has instituted procedures to protect the information's confidentially to the extent permitted by law.</w:t>
      </w:r>
    </w:p>
    <w:p w:rsidRPr="00B808A9" w:rsidR="00AB03C6" w:rsidP="00AB03C6" w:rsidRDefault="00AB03C6" w14:paraId="667CECE2" w14:textId="77777777">
      <w:pPr>
        <w:widowControl/>
        <w:tabs>
          <w:tab w:val="left" w:pos="-1080"/>
          <w:tab w:val="left" w:pos="-720"/>
          <w:tab w:val="left" w:pos="0"/>
          <w:tab w:val="left" w:pos="720"/>
          <w:tab w:val="left" w:pos="990"/>
          <w:tab w:val="left" w:pos="2160"/>
        </w:tabs>
      </w:pPr>
    </w:p>
    <w:p w:rsidRPr="00F579D2" w:rsidR="00AB03C6" w:rsidP="00AB03C6" w:rsidRDefault="00AB03C6" w14:paraId="61989A74" w14:textId="77777777">
      <w:pPr>
        <w:widowControl/>
        <w:tabs>
          <w:tab w:val="left" w:pos="-1080"/>
          <w:tab w:val="left" w:pos="-720"/>
          <w:tab w:val="left" w:pos="0"/>
          <w:tab w:val="left" w:pos="720"/>
          <w:tab w:val="left" w:pos="990"/>
          <w:tab w:val="left" w:pos="2160"/>
        </w:tabs>
      </w:pPr>
      <w:r w:rsidRPr="00F579D2">
        <w:t>No special circumstances exist that require employers to collect information using the procedures specified by this item.  The requirements are within the guidelines set forth in 5 CFR 1320.5.</w:t>
      </w:r>
    </w:p>
    <w:p w:rsidRPr="00B808A9" w:rsidR="00AB03C6" w:rsidP="00AB03C6" w:rsidRDefault="00AB03C6" w14:paraId="366A33C0" w14:textId="77777777">
      <w:pPr>
        <w:widowControl/>
        <w:tabs>
          <w:tab w:val="left" w:pos="-1080"/>
          <w:tab w:val="left" w:pos="-720"/>
          <w:tab w:val="left" w:pos="0"/>
          <w:tab w:val="left" w:pos="720"/>
          <w:tab w:val="left" w:pos="990"/>
          <w:tab w:val="left" w:pos="2160"/>
        </w:tabs>
      </w:pPr>
    </w:p>
    <w:p w:rsidRPr="00B808A9" w:rsidR="00AB03C6" w:rsidP="00AB03C6" w:rsidRDefault="00AB03C6" w14:paraId="23501DE6" w14:textId="77777777">
      <w:pPr>
        <w:widowControl/>
        <w:tabs>
          <w:tab w:val="left" w:pos="-1080"/>
          <w:tab w:val="left" w:pos="-720"/>
          <w:tab w:val="left" w:pos="0"/>
          <w:tab w:val="left" w:pos="720"/>
          <w:tab w:val="left" w:pos="990"/>
          <w:tab w:val="left" w:pos="2160"/>
        </w:tabs>
        <w:rPr>
          <w:b/>
          <w:bCs/>
        </w:rPr>
      </w:pPr>
      <w:r w:rsidRPr="00B808A9">
        <w:rPr>
          <w:b/>
          <w:bCs/>
        </w:rPr>
        <w:t xml:space="preserve"> 8.  If applicable, provide a copy and identify the date and page number of publication in the Federal Register of the agency's notice, required by 5 CFR 1320.8(d), soliciting comments on the information collection before submission to OMB.  Summarize public comments received in response to that notice and describe actions taken by the agency in </w:t>
      </w:r>
      <w:r w:rsidRPr="00B808A9">
        <w:rPr>
          <w:b/>
          <w:bCs/>
        </w:rPr>
        <w:lastRenderedPageBreak/>
        <w:t>response to those comments.  Specifically, address comments received on cost and hour burdens.</w:t>
      </w:r>
    </w:p>
    <w:p w:rsidRPr="00B808A9" w:rsidR="00AB03C6" w:rsidP="00AB03C6" w:rsidRDefault="00AB03C6" w14:paraId="5397CF87" w14:textId="77777777">
      <w:pPr>
        <w:widowControl/>
        <w:tabs>
          <w:tab w:val="left" w:pos="-1080"/>
          <w:tab w:val="left" w:pos="-720"/>
          <w:tab w:val="left" w:pos="0"/>
          <w:tab w:val="left" w:pos="720"/>
          <w:tab w:val="left" w:pos="990"/>
          <w:tab w:val="left" w:pos="2160"/>
        </w:tabs>
        <w:ind w:left="720"/>
        <w:rPr>
          <w:b/>
          <w:bCs/>
        </w:rPr>
      </w:pPr>
    </w:p>
    <w:p w:rsidRPr="00B808A9" w:rsidR="00AB03C6" w:rsidP="00AB03C6" w:rsidRDefault="00AB03C6" w14:paraId="0201591F" w14:textId="77777777">
      <w:pPr>
        <w:widowControl/>
        <w:tabs>
          <w:tab w:val="left" w:pos="-1080"/>
          <w:tab w:val="left" w:pos="-720"/>
          <w:tab w:val="left" w:pos="0"/>
          <w:tab w:val="left" w:pos="720"/>
          <w:tab w:val="left" w:pos="990"/>
          <w:tab w:val="left" w:pos="2160"/>
        </w:tabs>
        <w:rPr>
          <w:b/>
          <w:bCs/>
        </w:rPr>
      </w:pPr>
      <w:r w:rsidRPr="00B808A9">
        <w:rPr>
          <w:b/>
          <w:bCs/>
        </w:rPr>
        <w:t>Describe efforts to consult with persons outside the agency to obtain their views on the availability of data, frequency of collection, the clarity of instructions and recordkeeping, disclosure, or reporting format (if any), and on the data elements to be recorded, revealed, or reported.</w:t>
      </w:r>
    </w:p>
    <w:p w:rsidRPr="00B808A9" w:rsidR="00AB03C6" w:rsidP="00AB03C6" w:rsidRDefault="00AB03C6" w14:paraId="08C49D08" w14:textId="77777777">
      <w:pPr>
        <w:widowControl/>
        <w:tabs>
          <w:tab w:val="left" w:pos="-1080"/>
          <w:tab w:val="left" w:pos="-720"/>
          <w:tab w:val="left" w:pos="0"/>
          <w:tab w:val="left" w:pos="720"/>
          <w:tab w:val="left" w:pos="990"/>
          <w:tab w:val="left" w:pos="2160"/>
        </w:tabs>
        <w:rPr>
          <w:b/>
          <w:bCs/>
        </w:rPr>
      </w:pPr>
    </w:p>
    <w:p w:rsidRPr="00B808A9" w:rsidR="00AB03C6" w:rsidP="00AB03C6" w:rsidRDefault="00AB03C6" w14:paraId="79C8FA2C" w14:textId="77777777">
      <w:pPr>
        <w:widowControl/>
        <w:tabs>
          <w:tab w:val="left" w:pos="-1080"/>
          <w:tab w:val="left" w:pos="-720"/>
          <w:tab w:val="left" w:pos="0"/>
          <w:tab w:val="left" w:pos="720"/>
          <w:tab w:val="left" w:pos="990"/>
          <w:tab w:val="left" w:pos="2160"/>
        </w:tabs>
        <w:rPr>
          <w:b/>
          <w:bCs/>
        </w:rPr>
      </w:pPr>
      <w:r w:rsidRPr="00B808A9">
        <w:rPr>
          <w:b/>
          <w:bCs/>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mitigate against consultation in a specific situation.  These circumstances should be explained.</w:t>
      </w:r>
    </w:p>
    <w:p w:rsidR="00E91CFC" w:rsidP="00695B91" w:rsidRDefault="00E91CFC" w14:paraId="2E3258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9A25D9" w:rsidR="00C2776C" w:rsidP="009A25D9" w:rsidRDefault="00695B91" w14:paraId="5C7F876F" w14:textId="77777777">
      <w:pPr>
        <w:widowControl/>
        <w:autoSpaceDE/>
        <w:autoSpaceDN/>
        <w:adjustRightInd/>
        <w:spacing w:after="200"/>
        <w:rPr>
          <w:rFonts w:eastAsia="Batang"/>
        </w:rPr>
      </w:pPr>
      <w:r w:rsidRPr="00B808A9">
        <w:rPr>
          <w:color w:val="000000"/>
        </w:rPr>
        <w:t>As required by the Paperwork Reduction Act of 1995 (PRA) (44 U.S.C. 3506(c)(2)(A)), OSHA published a notice in the Federal Register</w:t>
      </w:r>
      <w:r w:rsidR="009A25D9">
        <w:rPr>
          <w:color w:val="000000"/>
        </w:rPr>
        <w:t xml:space="preserve"> on June 3, 2020</w:t>
      </w:r>
      <w:r w:rsidR="00B62FCC">
        <w:rPr>
          <w:color w:val="000000"/>
        </w:rPr>
        <w:t xml:space="preserve"> (85 FR 34251) requesting public comments </w:t>
      </w:r>
      <w:r w:rsidRPr="00B808A9">
        <w:rPr>
          <w:color w:val="000000"/>
        </w:rPr>
        <w:t>o</w:t>
      </w:r>
      <w:r w:rsidR="00B62FCC">
        <w:rPr>
          <w:color w:val="000000"/>
        </w:rPr>
        <w:t>n its proposed extension</w:t>
      </w:r>
      <w:r w:rsidRPr="00B808A9">
        <w:rPr>
          <w:color w:val="000000"/>
        </w:rPr>
        <w:t xml:space="preserve"> </w:t>
      </w:r>
      <w:r w:rsidR="00B62FCC">
        <w:rPr>
          <w:color w:val="000000"/>
        </w:rPr>
        <w:t xml:space="preserve">of the information collection requirement contained in the </w:t>
      </w:r>
      <w:r w:rsidRPr="00B808A9">
        <w:rPr>
          <w:color w:val="000000"/>
        </w:rPr>
        <w:t>Standard on the Storage and Handling of Anhydrous Ammonia (29 CFR part 1910.111)</w:t>
      </w:r>
      <w:r w:rsidR="00B62FCC">
        <w:rPr>
          <w:color w:val="000000"/>
        </w:rPr>
        <w:t xml:space="preserve"> (Docket No. OSHA-2010-0050).  This notice was</w:t>
      </w:r>
      <w:r w:rsidRPr="00B808A9">
        <w:rPr>
          <w:color w:val="000000"/>
        </w:rPr>
        <w:t xml:space="preserve"> part of a preclearance con</w:t>
      </w:r>
      <w:r w:rsidR="00B62FCC">
        <w:rPr>
          <w:color w:val="000000"/>
        </w:rPr>
        <w:t>sultation program that provided interested parties</w:t>
      </w:r>
      <w:r w:rsidRPr="00B808A9">
        <w:rPr>
          <w:color w:val="000000"/>
        </w:rPr>
        <w:t xml:space="preserve"> </w:t>
      </w:r>
      <w:r w:rsidR="00B62FCC">
        <w:rPr>
          <w:color w:val="000000"/>
        </w:rPr>
        <w:t xml:space="preserve">the opportunity </w:t>
      </w:r>
      <w:r w:rsidRPr="00B808A9">
        <w:rPr>
          <w:color w:val="000000"/>
        </w:rPr>
        <w:t>to comment</w:t>
      </w:r>
      <w:r w:rsidR="00B62FCC">
        <w:rPr>
          <w:color w:val="000000"/>
        </w:rPr>
        <w:t xml:space="preserve"> on OSHA’s request for an extension by the Office of Management and Budget (OMB) of a previous approval of the information collection requirement found in the above Standard</w:t>
      </w:r>
      <w:r w:rsidRPr="00B808A9">
        <w:rPr>
          <w:color w:val="000000"/>
        </w:rPr>
        <w:t>.  The</w:t>
      </w:r>
      <w:r w:rsidR="009A25D9">
        <w:rPr>
          <w:color w:val="000000"/>
        </w:rPr>
        <w:t xml:space="preserve"> </w:t>
      </w:r>
      <w:r w:rsidRPr="00565389" w:rsidR="009A25D9">
        <w:rPr>
          <w:rFonts w:eastAsia="Batang"/>
        </w:rPr>
        <w:t xml:space="preserve">Agency </w:t>
      </w:r>
      <w:r w:rsidR="009A25D9">
        <w:rPr>
          <w:rFonts w:eastAsia="Batang"/>
        </w:rPr>
        <w:t>did not receive</w:t>
      </w:r>
      <w:r w:rsidRPr="00565389" w:rsidR="009A25D9">
        <w:rPr>
          <w:rFonts w:eastAsia="Batang"/>
        </w:rPr>
        <w:t xml:space="preserve"> any </w:t>
      </w:r>
      <w:r w:rsidR="00920DBF">
        <w:rPr>
          <w:rFonts w:eastAsia="Batang"/>
        </w:rPr>
        <w:t xml:space="preserve">public </w:t>
      </w:r>
      <w:r w:rsidRPr="00565389" w:rsidR="009A25D9">
        <w:rPr>
          <w:rFonts w:eastAsia="Batang"/>
        </w:rPr>
        <w:t>comments in response to this notice.</w:t>
      </w:r>
    </w:p>
    <w:p w:rsidRPr="00F579D2" w:rsidR="00AB03C6" w:rsidP="00AB03C6" w:rsidRDefault="00C2776C" w14:paraId="237B90D5" w14:textId="77777777">
      <w:pPr>
        <w:widowControl/>
        <w:tabs>
          <w:tab w:val="left" w:pos="90"/>
        </w:tabs>
        <w:ind w:hanging="90"/>
      </w:pPr>
      <w:r w:rsidRPr="00B808A9">
        <w:rPr>
          <w:b/>
          <w:bCs/>
        </w:rPr>
        <w:t xml:space="preserve">  </w:t>
      </w:r>
      <w:r w:rsidRPr="00B808A9" w:rsidR="00AB03C6">
        <w:rPr>
          <w:b/>
          <w:bCs/>
        </w:rPr>
        <w:t xml:space="preserve">9.  Explain any decision to provide any payment or gift to respondents, other than </w:t>
      </w:r>
      <w:r w:rsidRPr="00B808A9" w:rsidR="00AE2F75">
        <w:rPr>
          <w:b/>
          <w:bCs/>
        </w:rPr>
        <w:t>remuneration</w:t>
      </w:r>
      <w:r w:rsidRPr="00B808A9" w:rsidR="00AB03C6">
        <w:rPr>
          <w:b/>
          <w:bCs/>
        </w:rPr>
        <w:t xml:space="preserve"> of contractors or grantees.</w:t>
      </w:r>
    </w:p>
    <w:p w:rsidRPr="00F579D2" w:rsidR="00AB03C6" w:rsidP="00AB03C6" w:rsidRDefault="00AB03C6" w14:paraId="566FF73F" w14:textId="77777777">
      <w:pPr>
        <w:widowControl/>
        <w:ind w:left="-90"/>
      </w:pPr>
    </w:p>
    <w:p w:rsidRPr="00B808A9" w:rsidR="00AB03C6" w:rsidP="00AB03C6" w:rsidRDefault="00AB03C6" w14:paraId="206D0AC0" w14:textId="77777777">
      <w:pPr>
        <w:widowControl/>
      </w:pPr>
      <w:r w:rsidRPr="00B808A9">
        <w:t xml:space="preserve">The Agency will </w:t>
      </w:r>
      <w:r w:rsidRPr="00B808A9">
        <w:rPr>
          <w:u w:val="single"/>
        </w:rPr>
        <w:t>not</w:t>
      </w:r>
      <w:r w:rsidRPr="00B808A9">
        <w:t xml:space="preserve"> provide payments or gifts to the respondents.</w:t>
      </w:r>
    </w:p>
    <w:p w:rsidRPr="00B808A9" w:rsidR="00AB03C6" w:rsidP="00AB03C6" w:rsidRDefault="00AB03C6" w14:paraId="12421995" w14:textId="77777777">
      <w:pPr>
        <w:widowControl/>
        <w:ind w:left="360" w:hanging="360"/>
        <w:rPr>
          <w:b/>
          <w:bCs/>
        </w:rPr>
      </w:pPr>
    </w:p>
    <w:p w:rsidRPr="00F579D2" w:rsidR="00AB03C6" w:rsidP="00AB03C6" w:rsidRDefault="00AB03C6" w14:paraId="0CDC1497" w14:textId="77777777">
      <w:pPr>
        <w:widowControl/>
        <w:ind w:hanging="90"/>
      </w:pPr>
      <w:r w:rsidRPr="00B808A9">
        <w:rPr>
          <w:b/>
          <w:bCs/>
        </w:rPr>
        <w:t xml:space="preserve"> 10.  Describe any assurance of confidentiality provided to respondents and the basis for the assurance in statute, regulation, or agency policy.</w:t>
      </w:r>
    </w:p>
    <w:p w:rsidRPr="00F579D2" w:rsidR="00AB03C6" w:rsidP="00AB03C6" w:rsidRDefault="00AB03C6" w14:paraId="720EA5D1" w14:textId="77777777">
      <w:pPr>
        <w:widowControl/>
      </w:pPr>
    </w:p>
    <w:p w:rsidRPr="00B808A9" w:rsidR="00AB03C6" w:rsidP="00AB03C6" w:rsidRDefault="00AB03C6" w14:paraId="36FC2F46" w14:textId="77777777">
      <w:pPr>
        <w:widowControl/>
      </w:pPr>
      <w:r w:rsidRPr="00B808A9">
        <w:t>The paperwork requirements specified by the Standard do not involve confidential information.</w:t>
      </w:r>
    </w:p>
    <w:p w:rsidRPr="00B808A9" w:rsidR="00AB03C6" w:rsidP="00AB03C6" w:rsidRDefault="00AB03C6" w14:paraId="03AE5D16" w14:textId="77777777">
      <w:pPr>
        <w:widowControl/>
      </w:pPr>
    </w:p>
    <w:p w:rsidRPr="00F579D2" w:rsidR="00AB03C6" w:rsidP="00AB03C6" w:rsidRDefault="00AB03C6" w14:paraId="5335C180" w14:textId="77777777">
      <w:pPr>
        <w:widowControl/>
      </w:pPr>
      <w:r w:rsidRPr="00B808A9">
        <w:rPr>
          <w:b/>
          <w:bCs/>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rsidRPr="00F579D2" w:rsidR="00AB03C6" w:rsidP="00AB03C6" w:rsidRDefault="00AB03C6" w14:paraId="504D214B" w14:textId="77777777">
      <w:pPr>
        <w:widowControl/>
      </w:pPr>
    </w:p>
    <w:p w:rsidRPr="00B808A9" w:rsidR="00AB03C6" w:rsidP="00AB03C6" w:rsidRDefault="00AB03C6" w14:paraId="3A031343" w14:textId="77777777">
      <w:pPr>
        <w:widowControl/>
      </w:pPr>
      <w:r w:rsidRPr="00B808A9">
        <w:t>The paperwork requirements specified by the Standard do not involve sensitive information.</w:t>
      </w:r>
    </w:p>
    <w:p w:rsidRPr="00B808A9" w:rsidR="00AB03C6" w:rsidP="00AB03C6" w:rsidRDefault="00AB03C6" w14:paraId="2306C317" w14:textId="77777777">
      <w:pPr>
        <w:widowControl/>
      </w:pPr>
    </w:p>
    <w:p w:rsidRPr="00B808A9" w:rsidR="00AB03C6" w:rsidP="00AB03C6" w:rsidRDefault="00AB03C6" w14:paraId="55770359" w14:textId="77777777">
      <w:pPr>
        <w:widowControl/>
        <w:rPr>
          <w:b/>
          <w:bCs/>
        </w:rPr>
      </w:pPr>
      <w:r w:rsidRPr="00B808A9">
        <w:rPr>
          <w:b/>
          <w:bCs/>
        </w:rPr>
        <w:t>12.  Provide estimates of the hour burden of the collection of information.  The statement should:</w:t>
      </w:r>
    </w:p>
    <w:p w:rsidRPr="00B808A9" w:rsidR="00AB03C6" w:rsidP="00AB03C6" w:rsidRDefault="00AB03C6" w14:paraId="51C85DCC" w14:textId="77777777">
      <w:pPr>
        <w:widowControl/>
        <w:rPr>
          <w:b/>
          <w:bCs/>
        </w:rPr>
      </w:pPr>
    </w:p>
    <w:p w:rsidRPr="00B808A9" w:rsidR="00AB03C6" w:rsidP="00AB03C6" w:rsidRDefault="00AB03C6" w14:paraId="0EC34D9A" w14:textId="77777777">
      <w:pPr>
        <w:widowControl/>
        <w:ind w:left="450" w:hanging="450"/>
        <w:rPr>
          <w:b/>
          <w:bCs/>
        </w:rPr>
      </w:pPr>
      <w:r w:rsidRPr="00B808A9">
        <w:rPr>
          <w:b/>
          <w:bCs/>
        </w:rPr>
        <w:lastRenderedPageBreak/>
        <w:t xml:space="preserve">     ·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808A9" w:rsidR="00AB03C6" w:rsidP="00AB03C6" w:rsidRDefault="00AB03C6" w14:paraId="7584D566" w14:textId="77777777">
      <w:pPr>
        <w:widowControl/>
        <w:rPr>
          <w:b/>
          <w:bCs/>
        </w:rPr>
      </w:pPr>
    </w:p>
    <w:p w:rsidRPr="00B808A9" w:rsidR="00AB03C6" w:rsidP="00AB03C6" w:rsidRDefault="00AB03C6" w14:paraId="03FB9CB3" w14:textId="77777777">
      <w:pPr>
        <w:widowControl/>
        <w:ind w:left="450" w:hanging="450"/>
        <w:rPr>
          <w:b/>
          <w:bCs/>
        </w:rPr>
      </w:pPr>
      <w:r w:rsidRPr="00B808A9">
        <w:rPr>
          <w:b/>
          <w:bCs/>
        </w:rPr>
        <w:t xml:space="preserve">     ·  If this request for approval covers more than one form, provide separate hour burden estimates for each form and aggregate the hour burdens.</w:t>
      </w:r>
    </w:p>
    <w:p w:rsidRPr="00B808A9" w:rsidR="00AB03C6" w:rsidP="00AB03C6" w:rsidRDefault="00AB03C6" w14:paraId="66B72F34" w14:textId="77777777">
      <w:pPr>
        <w:widowControl/>
        <w:rPr>
          <w:b/>
          <w:bCs/>
        </w:rPr>
      </w:pPr>
    </w:p>
    <w:p w:rsidRPr="00B808A9" w:rsidR="00AB03C6" w:rsidP="00AB03C6" w:rsidRDefault="00AB03C6" w14:paraId="1C9AD63A" w14:textId="77777777">
      <w:pPr>
        <w:widowControl/>
        <w:ind w:left="360" w:hanging="360"/>
        <w:rPr>
          <w:b/>
          <w:bCs/>
        </w:rPr>
      </w:pPr>
      <w:r w:rsidRPr="00B808A9">
        <w:rPr>
          <w:b/>
          <w:bCs/>
        </w:rPr>
        <w:t xml:space="preserve">     ·  Provide estimates of annualized cost to respondents for the hour burdens for collections of information, identifying and using appropriate wage-rate categories.</w:t>
      </w:r>
    </w:p>
    <w:p w:rsidRPr="00F579D2" w:rsidR="00AB03C6" w:rsidP="00AB03C6" w:rsidRDefault="00AB03C6" w14:paraId="7B193DF7" w14:textId="77777777">
      <w:pPr>
        <w:widowControl/>
        <w:ind w:left="360" w:hanging="360"/>
      </w:pPr>
    </w:p>
    <w:p w:rsidRPr="00F579D2" w:rsidR="006B7763" w:rsidP="006B7763" w:rsidRDefault="006B7763" w14:paraId="126B3733" w14:textId="77777777">
      <w:pPr>
        <w:rPr>
          <w:b/>
        </w:rPr>
      </w:pPr>
      <w:r w:rsidRPr="00F579D2">
        <w:rPr>
          <w:b/>
        </w:rPr>
        <w:t>Burden-Hour and Cost Determination</w:t>
      </w:r>
    </w:p>
    <w:p w:rsidRPr="00B808A9" w:rsidR="006B7763" w:rsidP="00AB03C6" w:rsidRDefault="006B7763" w14:paraId="36316CC8" w14:textId="77777777">
      <w:pPr>
        <w:widowControl/>
        <w:rPr>
          <w:color w:val="000000"/>
        </w:rPr>
      </w:pPr>
    </w:p>
    <w:p w:rsidRPr="00F579D2" w:rsidR="009B0CE1" w:rsidP="009B0CE1" w:rsidRDefault="009B0CE1" w14:paraId="2126F28D" w14:textId="77777777">
      <w:pPr>
        <w:rPr>
          <w:rFonts w:eastAsia="Calibri"/>
        </w:rPr>
      </w:pPr>
      <w:r w:rsidRPr="00B808A9">
        <w:rPr>
          <w:rFonts w:eastAsia="Calibri"/>
        </w:rPr>
        <w:t xml:space="preserve">The Agency determined the wage rate from mean hourly wage earnings to represent the cost of employee time. </w:t>
      </w:r>
      <w:r w:rsidRPr="00B808A9">
        <w:t xml:space="preserve">The following hourly wage rates for the relevant occupational categories have been derived from the </w:t>
      </w:r>
      <w:r w:rsidRPr="00B808A9">
        <w:rPr>
          <w:i/>
        </w:rPr>
        <w:t>National Occupational Employment and Wage Estimates United States, May 201</w:t>
      </w:r>
      <w:r w:rsidRPr="00B808A9" w:rsidR="00D76B85">
        <w:rPr>
          <w:i/>
        </w:rPr>
        <w:t>9</w:t>
      </w:r>
      <w:r w:rsidRPr="00B808A9">
        <w:t>, published by the Bureau of Labor Statistics.</w:t>
      </w:r>
      <w:r w:rsidRPr="00B808A9">
        <w:rPr>
          <w:color w:val="000000"/>
        </w:rPr>
        <w:t xml:space="preserve"> </w:t>
      </w:r>
      <w:r w:rsidRPr="00B808A9">
        <w:rPr>
          <w:rFonts w:eastAsia="Calibri"/>
        </w:rPr>
        <w:t xml:space="preserve"> For the relevant standard occupational classification category, OSHA used the wage rates reported in the Bureau of Labor Statistics, U.S. Department of Labor, </w:t>
      </w:r>
      <w:r w:rsidRPr="00B808A9">
        <w:rPr>
          <w:rFonts w:eastAsia="Calibri"/>
          <w:i/>
        </w:rPr>
        <w:t>Occupational Employment Statistics (OES), May 201</w:t>
      </w:r>
      <w:r w:rsidRPr="00B808A9" w:rsidR="00D76B85">
        <w:rPr>
          <w:rFonts w:eastAsia="Calibri"/>
          <w:i/>
        </w:rPr>
        <w:t>9</w:t>
      </w:r>
      <w:r w:rsidRPr="00B808A9">
        <w:rPr>
          <w:rFonts w:eastAsia="Calibri"/>
        </w:rPr>
        <w:t xml:space="preserve"> [date accessed: March  5, 2020].  (OES data is available at </w:t>
      </w:r>
      <w:hyperlink w:history="1" r:id="rId11">
        <w:r w:rsidRPr="00F579D2">
          <w:rPr>
            <w:rFonts w:eastAsia="Calibri"/>
            <w:color w:val="0000FF"/>
            <w:u w:val="single"/>
          </w:rPr>
          <w:t>https://www.bls.gov/oes/tables.htm</w:t>
        </w:r>
      </w:hyperlink>
      <w:r w:rsidRPr="00F579D2">
        <w:rPr>
          <w:rFonts w:eastAsia="Calibri"/>
        </w:rPr>
        <w:t>.  To access a wage rate, select the year, “Occupation Profiles,” and the Standard Occupational Classification (SOC) code.)</w:t>
      </w:r>
    </w:p>
    <w:p w:rsidRPr="00F579D2" w:rsidR="009B0CE1" w:rsidP="009B0CE1" w:rsidRDefault="009B0CE1" w14:paraId="6E33C00B" w14:textId="77777777">
      <w:pPr>
        <w:rPr>
          <w:rFonts w:eastAsia="Calibri"/>
        </w:rPr>
      </w:pPr>
    </w:p>
    <w:p w:rsidRPr="00B808A9" w:rsidR="009B0CE1" w:rsidP="009B0CE1" w:rsidRDefault="009B0CE1" w14:paraId="525B685F" w14:textId="77777777">
      <w:pPr>
        <w:rPr>
          <w:rFonts w:eastAsia="Calibri"/>
        </w:rPr>
      </w:pPr>
      <w:r w:rsidRPr="00B808A9">
        <w:rPr>
          <w:rFonts w:eastAsia="Calibri"/>
        </w:rPr>
        <w:t>To account for fringe benefits, the Agency used the Bureau of La</w:t>
      </w:r>
      <w:r w:rsidR="00833E92">
        <w:rPr>
          <w:rFonts w:eastAsia="Calibri"/>
        </w:rPr>
        <w:t>bor Statistics’ (BLS) March 2020</w:t>
      </w:r>
      <w:r w:rsidRPr="00B808A9">
        <w:rPr>
          <w:rFonts w:eastAsia="Calibri"/>
        </w:rPr>
        <w:t xml:space="preserve"> National Compensation Survey</w:t>
      </w:r>
      <w:r w:rsidRPr="00B808A9">
        <w:rPr>
          <w:rFonts w:eastAsia="Calibri"/>
          <w:i/>
        </w:rPr>
        <w:t xml:space="preserve">. </w:t>
      </w:r>
      <w:r w:rsidRPr="00B808A9">
        <w:rPr>
          <w:rFonts w:eastAsia="Calibri"/>
        </w:rPr>
        <w:t xml:space="preserve"> Fringe markup is from the following BLS release: </w:t>
      </w:r>
      <w:r w:rsidRPr="00B808A9">
        <w:rPr>
          <w:rFonts w:eastAsia="Calibri"/>
          <w:i/>
        </w:rPr>
        <w:t xml:space="preserve">Employer Costs for Employee Compensation </w:t>
      </w:r>
      <w:r w:rsidRPr="00B808A9">
        <w:rPr>
          <w:rFonts w:eastAsia="Calibri"/>
        </w:rPr>
        <w:t>news release text; release</w:t>
      </w:r>
      <w:r w:rsidRPr="00B808A9" w:rsidR="003B203A">
        <w:rPr>
          <w:rFonts w:eastAsia="Calibri"/>
        </w:rPr>
        <w:t>d 10:00 AM (EDT), March 19, 2020</w:t>
      </w:r>
      <w:r w:rsidRPr="00B808A9">
        <w:rPr>
          <w:rFonts w:eastAsia="Calibri"/>
        </w:rPr>
        <w:t xml:space="preserve"> (</w:t>
      </w:r>
      <w:hyperlink w:history="1" r:id="rId12">
        <w:r w:rsidRPr="00F579D2">
          <w:rPr>
            <w:rStyle w:val="Hyperlink"/>
            <w:rFonts w:eastAsia="Calibri"/>
          </w:rPr>
          <w:t>https://www.bls.gov/news.release/pdf/ecec.pdf</w:t>
        </w:r>
      </w:hyperlink>
      <w:r w:rsidRPr="00F579D2">
        <w:rPr>
          <w:rFonts w:eastAsia="Calibri"/>
        </w:rPr>
        <w:t xml:space="preserve">). BLS reported that for civilian workers, fringe benefits accounted for 29.9 percent of total compensation and wages accounted for the remaining 70.1 </w:t>
      </w:r>
      <w:r w:rsidRPr="00B808A9">
        <w:rPr>
          <w:rFonts w:eastAsia="Calibri"/>
        </w:rPr>
        <w:t>percent.  To calculate the loaded hourly wage for each occupation, the Agency divided the mean hourly wage by</w:t>
      </w:r>
      <w:r w:rsidRPr="00B808A9">
        <w:t xml:space="preserve"> 1 minus the fringe benefits</w:t>
      </w:r>
      <w:r w:rsidRPr="00B808A9">
        <w:rPr>
          <w:rFonts w:eastAsia="Calibri"/>
        </w:rPr>
        <w:t>.</w:t>
      </w:r>
    </w:p>
    <w:p w:rsidRPr="00B808A9" w:rsidR="009B0CE1" w:rsidP="009B0CE1" w:rsidRDefault="009B0CE1" w14:paraId="17BFE074" w14:textId="77777777"/>
    <w:p w:rsidRPr="00B808A9" w:rsidR="009B0CE1" w:rsidP="009B0CE1" w:rsidRDefault="009B0CE1" w14:paraId="371270B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1646"/>
        <w:gridCol w:w="1455"/>
        <w:gridCol w:w="1756"/>
        <w:gridCol w:w="1460"/>
      </w:tblGrid>
      <w:tr w:rsidRPr="00B808A9" w:rsidR="009B0CE1" w:rsidTr="00004D3C" w14:paraId="0B29A90A" w14:textId="77777777">
        <w:trPr>
          <w:tblHeader/>
        </w:trPr>
        <w:tc>
          <w:tcPr>
            <w:tcW w:w="9350" w:type="dxa"/>
            <w:gridSpan w:val="5"/>
            <w:shd w:val="clear" w:color="auto" w:fill="EAF1DD" w:themeFill="accent3" w:themeFillTint="33"/>
          </w:tcPr>
          <w:p w:rsidRPr="00B808A9" w:rsidR="009B0CE1" w:rsidP="00004D3C" w:rsidRDefault="009B0CE1" w14:paraId="597C287A" w14:textId="77777777">
            <w:pPr>
              <w:keepLines/>
              <w:jc w:val="center"/>
              <w:rPr>
                <w:rFonts w:eastAsia="Calibri"/>
                <w:b/>
              </w:rPr>
            </w:pPr>
            <w:r w:rsidRPr="00B808A9">
              <w:rPr>
                <w:rFonts w:eastAsia="Calibri"/>
                <w:b/>
              </w:rPr>
              <w:t>Table 1 -- WAGE HOUR ESTIMATES</w:t>
            </w:r>
          </w:p>
        </w:tc>
      </w:tr>
      <w:tr w:rsidRPr="00B808A9" w:rsidR="009B0CE1" w:rsidTr="00004D3C" w14:paraId="5F72A7EC" w14:textId="77777777">
        <w:trPr>
          <w:tblHeader/>
        </w:trPr>
        <w:tc>
          <w:tcPr>
            <w:tcW w:w="3033" w:type="dxa"/>
            <w:shd w:val="clear" w:color="auto" w:fill="EAF1DD" w:themeFill="accent3" w:themeFillTint="33"/>
          </w:tcPr>
          <w:p w:rsidRPr="00B808A9" w:rsidR="009B0CE1" w:rsidP="00004D3C" w:rsidRDefault="009B0CE1" w14:paraId="58469A81" w14:textId="77777777">
            <w:pPr>
              <w:keepLines/>
              <w:rPr>
                <w:rFonts w:eastAsia="Calibri"/>
                <w:b/>
              </w:rPr>
            </w:pPr>
            <w:r w:rsidRPr="00B808A9">
              <w:rPr>
                <w:rFonts w:eastAsia="Calibri"/>
                <w:b/>
              </w:rPr>
              <w:t>Occupational Title</w:t>
            </w:r>
          </w:p>
        </w:tc>
        <w:tc>
          <w:tcPr>
            <w:tcW w:w="1646" w:type="dxa"/>
            <w:shd w:val="clear" w:color="auto" w:fill="EAF1DD" w:themeFill="accent3" w:themeFillTint="33"/>
          </w:tcPr>
          <w:p w:rsidRPr="00B808A9" w:rsidR="009B0CE1" w:rsidP="00004D3C" w:rsidRDefault="009B0CE1" w14:paraId="27A237B5" w14:textId="77777777">
            <w:pPr>
              <w:keepLines/>
              <w:rPr>
                <w:rFonts w:eastAsia="Calibri"/>
                <w:b/>
              </w:rPr>
            </w:pPr>
            <w:r w:rsidRPr="00B808A9">
              <w:rPr>
                <w:rFonts w:eastAsia="Calibri"/>
                <w:b/>
              </w:rPr>
              <w:t>Standard Occupation Code</w:t>
            </w:r>
          </w:p>
        </w:tc>
        <w:tc>
          <w:tcPr>
            <w:tcW w:w="1455" w:type="dxa"/>
            <w:shd w:val="clear" w:color="auto" w:fill="EAF1DD" w:themeFill="accent3" w:themeFillTint="33"/>
          </w:tcPr>
          <w:p w:rsidRPr="00B808A9" w:rsidR="009B0CE1" w:rsidP="00004D3C" w:rsidRDefault="009B0CE1" w14:paraId="153FE35D" w14:textId="77777777">
            <w:pPr>
              <w:keepLines/>
              <w:rPr>
                <w:rFonts w:eastAsia="Calibri"/>
                <w:b/>
              </w:rPr>
            </w:pPr>
            <w:r w:rsidRPr="00B808A9">
              <w:rPr>
                <w:rFonts w:eastAsia="Calibri"/>
                <w:b/>
              </w:rPr>
              <w:t xml:space="preserve">Mean Hour Wage Rate </w:t>
            </w:r>
          </w:p>
        </w:tc>
        <w:tc>
          <w:tcPr>
            <w:tcW w:w="1756" w:type="dxa"/>
            <w:shd w:val="clear" w:color="auto" w:fill="EAF1DD" w:themeFill="accent3" w:themeFillTint="33"/>
          </w:tcPr>
          <w:p w:rsidRPr="00F579D2" w:rsidR="009B0CE1" w:rsidP="00004D3C" w:rsidRDefault="009B0CE1" w14:paraId="4F021AA3" w14:textId="77777777">
            <w:pPr>
              <w:rPr>
                <w:rFonts w:eastAsia="Calibri"/>
                <w:b/>
              </w:rPr>
            </w:pPr>
            <w:r w:rsidRPr="00B808A9">
              <w:rPr>
                <w:rFonts w:eastAsia="Calibri"/>
                <w:b/>
              </w:rPr>
              <w:t>Fringe Benefits</w:t>
            </w:r>
            <w:r w:rsidRPr="00F579D2">
              <w:rPr>
                <w:b/>
                <w:vertAlign w:val="superscript"/>
              </w:rPr>
              <w:footnoteReference w:id="2"/>
            </w:r>
          </w:p>
          <w:p w:rsidRPr="00F579D2" w:rsidR="009B0CE1" w:rsidP="00004D3C" w:rsidRDefault="009B0CE1" w14:paraId="1EC4AD5E" w14:textId="77777777">
            <w:pPr>
              <w:rPr>
                <w:rFonts w:eastAsia="Calibri"/>
                <w:b/>
              </w:rPr>
            </w:pPr>
            <w:r w:rsidRPr="00F579D2">
              <w:rPr>
                <w:rFonts w:eastAsia="Calibri"/>
                <w:b/>
              </w:rPr>
              <w:t>29.9%</w:t>
            </w:r>
          </w:p>
        </w:tc>
        <w:tc>
          <w:tcPr>
            <w:tcW w:w="1460" w:type="dxa"/>
            <w:shd w:val="clear" w:color="auto" w:fill="EAF1DD" w:themeFill="accent3" w:themeFillTint="33"/>
          </w:tcPr>
          <w:p w:rsidRPr="00B808A9" w:rsidR="009B0CE1" w:rsidP="00004D3C" w:rsidRDefault="009B0CE1" w14:paraId="7A3BB3EE" w14:textId="77777777">
            <w:pPr>
              <w:keepLines/>
              <w:rPr>
                <w:rFonts w:eastAsia="Calibri"/>
                <w:b/>
              </w:rPr>
            </w:pPr>
            <w:r w:rsidRPr="00B808A9">
              <w:rPr>
                <w:rFonts w:eastAsia="Calibri"/>
                <w:b/>
              </w:rPr>
              <w:t>Loaded Hourly Wage Rate</w:t>
            </w:r>
          </w:p>
        </w:tc>
      </w:tr>
      <w:tr w:rsidRPr="00B808A9" w:rsidR="009B0CE1" w:rsidTr="00B62FCC" w14:paraId="7B79AB67" w14:textId="77777777">
        <w:trPr>
          <w:trHeight w:val="962"/>
        </w:trPr>
        <w:tc>
          <w:tcPr>
            <w:tcW w:w="3033" w:type="dxa"/>
            <w:shd w:val="clear" w:color="auto" w:fill="auto"/>
            <w:vAlign w:val="bottom"/>
          </w:tcPr>
          <w:p w:rsidRPr="00B808A9" w:rsidR="009B0CE1" w:rsidP="00004D3C" w:rsidRDefault="00D86453" w14:paraId="4CA0E951" w14:textId="77777777">
            <w:pPr>
              <w:keepLines/>
              <w:rPr>
                <w:rFonts w:eastAsia="Calibri"/>
              </w:rPr>
            </w:pPr>
            <w:r w:rsidRPr="00B808A9">
              <w:t>Manufacturing Worker (Production Occupation)</w:t>
            </w:r>
          </w:p>
        </w:tc>
        <w:tc>
          <w:tcPr>
            <w:tcW w:w="1646" w:type="dxa"/>
            <w:shd w:val="clear" w:color="auto" w:fill="auto"/>
            <w:vAlign w:val="bottom"/>
          </w:tcPr>
          <w:p w:rsidRPr="00B808A9" w:rsidR="009B0CE1" w:rsidP="00004D3C" w:rsidRDefault="009B0CE1" w14:paraId="5423A76F" w14:textId="77777777">
            <w:pPr>
              <w:keepLines/>
              <w:rPr>
                <w:rFonts w:eastAsia="Calibri"/>
              </w:rPr>
            </w:pPr>
          </w:p>
          <w:p w:rsidRPr="00B808A9" w:rsidR="009B0CE1" w:rsidP="00004D3C" w:rsidRDefault="009B0CE1" w14:paraId="76DB3373" w14:textId="77777777">
            <w:pPr>
              <w:keepLines/>
              <w:rPr>
                <w:rFonts w:eastAsia="Calibri"/>
              </w:rPr>
            </w:pPr>
          </w:p>
          <w:p w:rsidRPr="00B808A9" w:rsidR="009B0CE1" w:rsidP="00004D3C" w:rsidRDefault="009B0CE1" w14:paraId="5251B2B8" w14:textId="77777777">
            <w:pPr>
              <w:keepLines/>
              <w:rPr>
                <w:rFonts w:eastAsia="Calibri"/>
              </w:rPr>
            </w:pPr>
            <w:r w:rsidRPr="00B808A9">
              <w:rPr>
                <w:rFonts w:eastAsia="Calibri"/>
              </w:rPr>
              <w:t>51</w:t>
            </w:r>
            <w:r w:rsidRPr="00B808A9" w:rsidR="00D86453">
              <w:rPr>
                <w:rFonts w:eastAsia="Calibri"/>
              </w:rPr>
              <w:t>-0000</w:t>
            </w:r>
          </w:p>
        </w:tc>
        <w:tc>
          <w:tcPr>
            <w:tcW w:w="1455" w:type="dxa"/>
            <w:shd w:val="clear" w:color="auto" w:fill="auto"/>
            <w:vAlign w:val="bottom"/>
          </w:tcPr>
          <w:p w:rsidRPr="00B808A9" w:rsidR="009B0CE1" w:rsidP="00004D3C" w:rsidRDefault="009B0CE1" w14:paraId="23422512" w14:textId="77777777">
            <w:pPr>
              <w:keepLines/>
              <w:rPr>
                <w:rFonts w:eastAsia="Calibri"/>
              </w:rPr>
            </w:pPr>
          </w:p>
          <w:p w:rsidRPr="00B808A9" w:rsidR="009B0CE1" w:rsidP="00004D3C" w:rsidRDefault="009B0CE1" w14:paraId="3B94F06B" w14:textId="77777777">
            <w:pPr>
              <w:keepLines/>
              <w:rPr>
                <w:rFonts w:eastAsia="Calibri"/>
              </w:rPr>
            </w:pPr>
          </w:p>
          <w:p w:rsidRPr="00B808A9" w:rsidR="009B0CE1" w:rsidP="00004D3C" w:rsidRDefault="00CB2030" w14:paraId="5BD7FA48" w14:textId="77777777">
            <w:pPr>
              <w:keepLines/>
              <w:rPr>
                <w:rFonts w:eastAsia="Calibri"/>
              </w:rPr>
            </w:pPr>
            <w:r>
              <w:rPr>
                <w:rFonts w:eastAsia="Calibri"/>
              </w:rPr>
              <w:t>$19.30</w:t>
            </w:r>
          </w:p>
        </w:tc>
        <w:tc>
          <w:tcPr>
            <w:tcW w:w="1756" w:type="dxa"/>
            <w:shd w:val="clear" w:color="auto" w:fill="auto"/>
            <w:vAlign w:val="bottom"/>
          </w:tcPr>
          <w:p w:rsidRPr="00B808A9" w:rsidR="009B0CE1" w:rsidP="00004D3C" w:rsidRDefault="009B0CE1" w14:paraId="07A98BF4" w14:textId="77777777">
            <w:pPr>
              <w:keepLines/>
            </w:pPr>
          </w:p>
          <w:p w:rsidRPr="00B808A9" w:rsidR="009B0CE1" w:rsidP="00004D3C" w:rsidRDefault="009B0CE1" w14:paraId="0E6AC36B" w14:textId="77777777">
            <w:pPr>
              <w:keepLines/>
            </w:pPr>
          </w:p>
          <w:p w:rsidRPr="00B808A9" w:rsidR="009B0CE1" w:rsidP="00004D3C" w:rsidRDefault="009B0CE1" w14:paraId="30D7A70E" w14:textId="77777777">
            <w:pPr>
              <w:keepLines/>
              <w:rPr>
                <w:rFonts w:eastAsia="Calibri"/>
              </w:rPr>
            </w:pPr>
            <w:r w:rsidRPr="00B808A9">
              <w:t>1.4265</w:t>
            </w:r>
          </w:p>
        </w:tc>
        <w:tc>
          <w:tcPr>
            <w:tcW w:w="1460" w:type="dxa"/>
            <w:shd w:val="clear" w:color="auto" w:fill="auto"/>
            <w:vAlign w:val="bottom"/>
          </w:tcPr>
          <w:p w:rsidRPr="00B808A9" w:rsidR="009B0CE1" w:rsidP="00004D3C" w:rsidRDefault="009B0CE1" w14:paraId="5C308CFD" w14:textId="77777777">
            <w:pPr>
              <w:keepLines/>
              <w:rPr>
                <w:rFonts w:eastAsia="Calibri"/>
              </w:rPr>
            </w:pPr>
          </w:p>
          <w:p w:rsidRPr="00B808A9" w:rsidR="009B0CE1" w:rsidP="00004D3C" w:rsidRDefault="009B0CE1" w14:paraId="4D9DBBFF" w14:textId="77777777">
            <w:pPr>
              <w:keepLines/>
              <w:rPr>
                <w:rFonts w:eastAsia="Calibri"/>
              </w:rPr>
            </w:pPr>
          </w:p>
          <w:p w:rsidRPr="00B808A9" w:rsidR="009B0CE1" w:rsidP="00004D3C" w:rsidRDefault="008B5337" w14:paraId="374209AB" w14:textId="77777777">
            <w:pPr>
              <w:keepLines/>
              <w:rPr>
                <w:rFonts w:eastAsia="Calibri"/>
              </w:rPr>
            </w:pPr>
            <w:r>
              <w:rPr>
                <w:rFonts w:eastAsia="Calibri"/>
              </w:rPr>
              <w:t>$27.53</w:t>
            </w:r>
          </w:p>
        </w:tc>
      </w:tr>
    </w:tbl>
    <w:p w:rsidRPr="00B808A9" w:rsidR="009B0CE1" w:rsidP="00AB03C6" w:rsidRDefault="009B0CE1" w14:paraId="05B176CC" w14:textId="77777777">
      <w:pPr>
        <w:widowControl/>
        <w:rPr>
          <w:color w:val="000000"/>
        </w:rPr>
      </w:pPr>
    </w:p>
    <w:p w:rsidRPr="00B808A9" w:rsidR="00AB03C6" w:rsidP="00AB03C6" w:rsidRDefault="00AB03C6" w14:paraId="042724A3" w14:textId="77777777">
      <w:pPr>
        <w:widowControl/>
      </w:pPr>
      <w:r w:rsidRPr="00B808A9">
        <w:t xml:space="preserve">The Agency estimates that there are approximately </w:t>
      </w:r>
      <w:r w:rsidRPr="00B808A9" w:rsidR="00553A3E">
        <w:t>201,300</w:t>
      </w:r>
      <w:r w:rsidRPr="00B808A9">
        <w:t xml:space="preserve"> refrigerated and non-refrigerated anhydrous ammonia containers covered by the Standard.  </w:t>
      </w:r>
      <w:r w:rsidRPr="00B808A9" w:rsidR="00206F9A">
        <w:t>In the previous ICR</w:t>
      </w:r>
      <w:r w:rsidRPr="00B808A9" w:rsidR="00844BF2">
        <w:t>’s</w:t>
      </w:r>
      <w:r w:rsidRPr="00B808A9" w:rsidR="00206F9A">
        <w:t>, OSHA had d</w:t>
      </w:r>
      <w:r w:rsidRPr="00B808A9">
        <w:t xml:space="preserve">iscussions with a representative of the Fertilizer Institute (a leading manufacturer of this equipment) informed the Agency that employers place about 1,100 units into service each year, and that manufacturers and suppliers of this equipment provide the markings required by paragraphs (b)(3) and (b)(4) of the Standard.  Accordingly, during the three-year period covered by this Supporting Statement, employers would place about (3,300 = 1,100 x 3) new containers into service, for a total of </w:t>
      </w:r>
      <w:r w:rsidRPr="00B808A9" w:rsidR="00553A3E">
        <w:t>204,600</w:t>
      </w:r>
      <w:r w:rsidRPr="00B808A9">
        <w:t xml:space="preserve"> containers.  OSHA notes that the 20</w:t>
      </w:r>
      <w:r w:rsidRPr="00B808A9" w:rsidR="00553A3E">
        <w:t>4</w:t>
      </w:r>
      <w:r w:rsidRPr="00B808A9">
        <w:t>,</w:t>
      </w:r>
      <w:r w:rsidRPr="00B808A9" w:rsidR="00553A3E">
        <w:t>6</w:t>
      </w:r>
      <w:r w:rsidRPr="00B808A9">
        <w:t xml:space="preserve">00 estimate is likely an overestimate since it does not take into account tanks going out of service. </w:t>
      </w:r>
    </w:p>
    <w:p w:rsidRPr="00B808A9" w:rsidR="00AB03C6" w:rsidP="00AB03C6" w:rsidRDefault="00AB03C6" w14:paraId="6CB5415A" w14:textId="77777777">
      <w:pPr>
        <w:widowControl/>
      </w:pPr>
    </w:p>
    <w:p w:rsidRPr="00B808A9" w:rsidR="00AB03C6" w:rsidP="00AB03C6" w:rsidRDefault="00AB03C6" w14:paraId="0099061F" w14:textId="77777777">
      <w:pPr>
        <w:pStyle w:val="NormalWeb"/>
        <w:spacing w:before="2" w:after="2"/>
        <w:rPr>
          <w:color w:val="000000"/>
        </w:rPr>
      </w:pPr>
      <w:r w:rsidRPr="00B808A9">
        <w:t>While manufacturers and suppliers of this equipment provide the markings initially, employers must subsequently replace or revise some of these markings because they become unreadable due to equipment damage or use, or because they no longer represent the operational characteristics of the equipment.  OSHA believes it very unlikely that new tanks would need to have replacement markings since the “new” tanks have the markings securely affixed.  In th</w:t>
      </w:r>
      <w:r w:rsidR="00B808A9">
        <w:t xml:space="preserve">is </w:t>
      </w:r>
      <w:r w:rsidRPr="00B808A9">
        <w:t xml:space="preserve">regard, OSHA assumes no burden for the 3,300 new tanks; however, the Agency estimates that each year employers will replace or revise 1 percent of the markings on the current </w:t>
      </w:r>
      <w:r w:rsidRPr="00B808A9" w:rsidR="00553A3E">
        <w:t xml:space="preserve">201,300 </w:t>
      </w:r>
      <w:r w:rsidRPr="00B808A9">
        <w:t>anhydrous ammonia containers or systems and that it will take a manufacturing worker, at a wage rate of $</w:t>
      </w:r>
      <w:r w:rsidR="0063330A">
        <w:t>27.53</w:t>
      </w:r>
      <w:r w:rsidRPr="00F579D2">
        <w:rPr>
          <w:rStyle w:val="FootnoteReference"/>
          <w:vertAlign w:val="superscript"/>
        </w:rPr>
        <w:footnoteReference w:id="3"/>
      </w:r>
      <w:r w:rsidRPr="00F579D2">
        <w:t xml:space="preserve"> an hour, 10 minutes (</w:t>
      </w:r>
      <w:r w:rsidRPr="00F579D2" w:rsidR="00D76B85">
        <w:t>10/60</w:t>
      </w:r>
      <w:r w:rsidRPr="00F579D2">
        <w:t xml:space="preserve"> hour) to perform this task on each container or system.  </w:t>
      </w:r>
    </w:p>
    <w:p w:rsidRPr="00F579D2" w:rsidR="00AB03C6" w:rsidP="00AB03C6" w:rsidRDefault="00AB03C6" w14:paraId="098C8072" w14:textId="77777777">
      <w:pPr>
        <w:pStyle w:val="NormalWeb"/>
      </w:pPr>
    </w:p>
    <w:p w:rsidRPr="00F579D2" w:rsidR="00AB03C6" w:rsidP="00AB03C6" w:rsidRDefault="00AB03C6" w14:paraId="6E285D32" w14:textId="77777777">
      <w:pPr>
        <w:pStyle w:val="NormalWeb"/>
      </w:pPr>
      <w:r w:rsidRPr="00F579D2">
        <w:t>The estimated burden hours and cost associated with this provision are:</w:t>
      </w:r>
    </w:p>
    <w:p w:rsidRPr="00B808A9" w:rsidR="00AB03C6" w:rsidP="00AB03C6" w:rsidRDefault="00AB03C6" w14:paraId="1D8C2CF5" w14:textId="77777777">
      <w:pPr>
        <w:widowControl/>
      </w:pPr>
    </w:p>
    <w:p w:rsidRPr="00B808A9" w:rsidR="00AB03C6" w:rsidP="00AB03C6" w:rsidRDefault="00AB03C6" w14:paraId="25A57086" w14:textId="77777777">
      <w:pPr>
        <w:widowControl/>
        <w:ind w:left="720" w:firstLine="720"/>
      </w:pPr>
      <w:r w:rsidRPr="00B808A9">
        <w:rPr>
          <w:b/>
          <w:bCs/>
        </w:rPr>
        <w:t>Burden hours</w:t>
      </w:r>
      <w:r w:rsidRPr="00B808A9">
        <w:t xml:space="preserve">:  </w:t>
      </w:r>
      <w:r w:rsidRPr="00B808A9" w:rsidR="00553A3E">
        <w:t xml:space="preserve">201,300 </w:t>
      </w:r>
      <w:r w:rsidRPr="00B808A9">
        <w:t>containers x</w:t>
      </w:r>
      <w:r w:rsidR="00833E92">
        <w:t xml:space="preserve"> </w:t>
      </w:r>
      <w:r w:rsidRPr="00B808A9">
        <w:t xml:space="preserve">.01 x </w:t>
      </w:r>
      <w:r w:rsidRPr="00B808A9" w:rsidR="00553A3E">
        <w:t>10/60</w:t>
      </w:r>
      <w:r w:rsidRPr="00B808A9">
        <w:t xml:space="preserve"> hours = </w:t>
      </w:r>
      <w:r w:rsidRPr="00B808A9" w:rsidR="00553A3E">
        <w:t>336</w:t>
      </w:r>
      <w:r w:rsidRPr="00B808A9">
        <w:t xml:space="preserve"> hours</w:t>
      </w:r>
    </w:p>
    <w:p w:rsidRPr="00B808A9" w:rsidR="00AB03C6" w:rsidP="00AB03C6" w:rsidRDefault="00AB03C6" w14:paraId="56DA7D06" w14:textId="77777777">
      <w:pPr>
        <w:widowControl/>
        <w:ind w:left="1440" w:firstLine="720"/>
      </w:pPr>
      <w:r w:rsidRPr="00B808A9">
        <w:rPr>
          <w:b/>
          <w:bCs/>
        </w:rPr>
        <w:t xml:space="preserve">    Cost</w:t>
      </w:r>
      <w:r w:rsidRPr="00B808A9">
        <w:t>:  33</w:t>
      </w:r>
      <w:r w:rsidRPr="00B808A9" w:rsidR="00553A3E">
        <w:t>6</w:t>
      </w:r>
      <w:r w:rsidRPr="00B808A9">
        <w:t xml:space="preserve"> hours x $</w:t>
      </w:r>
      <w:r w:rsidR="008B5337">
        <w:t>27.53</w:t>
      </w:r>
      <w:r w:rsidRPr="00B808A9">
        <w:t>= $</w:t>
      </w:r>
      <w:r w:rsidR="008B5337">
        <w:t>9,250</w:t>
      </w:r>
    </w:p>
    <w:p w:rsidRPr="00B808A9" w:rsidR="00F579D2" w:rsidP="00AB03C6" w:rsidRDefault="00F579D2" w14:paraId="16FB3FCD" w14:textId="77777777">
      <w:pPr>
        <w:widowControl/>
        <w:ind w:left="1440" w:firstLine="720"/>
      </w:pPr>
    </w:p>
    <w:p w:rsidRPr="00B808A9" w:rsidR="00F579D2" w:rsidP="00AB03C6" w:rsidRDefault="00F579D2" w14:paraId="3FCB4F2C" w14:textId="77777777">
      <w:pPr>
        <w:widowControl/>
        <w:ind w:left="1440" w:firstLine="720"/>
      </w:pPr>
    </w:p>
    <w:p w:rsidRPr="00B808A9" w:rsidR="00F579D2" w:rsidP="00F579D2" w:rsidRDefault="00F579D2" w14:paraId="75A9318F" w14:textId="77777777">
      <w:r w:rsidRPr="00B808A9">
        <w:t>The following table summarizes the burden hours and costs associated with each provision of the Standard that contains a collection of information:</w:t>
      </w:r>
    </w:p>
    <w:p w:rsidRPr="00B808A9" w:rsidR="00F579D2" w:rsidP="00AB03C6" w:rsidRDefault="00F579D2" w14:paraId="76DF2E56" w14:textId="77777777">
      <w:pPr>
        <w:widowControl/>
        <w:ind w:left="1440" w:firstLine="720"/>
      </w:pPr>
    </w:p>
    <w:p w:rsidRPr="00B808A9" w:rsidR="00F579D2" w:rsidP="00AB03C6" w:rsidRDefault="00F579D2" w14:paraId="6B018EF4" w14:textId="77777777">
      <w:pPr>
        <w:widowControl/>
        <w:ind w:left="1440" w:firstLine="720"/>
      </w:pPr>
    </w:p>
    <w:tbl>
      <w:tblPr>
        <w:tblW w:w="1191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30"/>
        <w:gridCol w:w="1530"/>
        <w:gridCol w:w="1440"/>
        <w:gridCol w:w="1350"/>
        <w:gridCol w:w="1260"/>
        <w:gridCol w:w="1260"/>
        <w:gridCol w:w="1260"/>
        <w:gridCol w:w="990"/>
        <w:gridCol w:w="1290"/>
      </w:tblGrid>
      <w:tr w:rsidRPr="00B808A9" w:rsidR="00F579D2" w:rsidTr="001D2DB1" w14:paraId="6FEE28A2" w14:textId="77777777">
        <w:trPr>
          <w:trHeight w:val="1088"/>
          <w:tblHeader/>
        </w:trPr>
        <w:tc>
          <w:tcPr>
            <w:tcW w:w="11910" w:type="dxa"/>
            <w:gridSpan w:val="9"/>
            <w:shd w:val="clear" w:color="auto" w:fill="DEEAF6"/>
          </w:tcPr>
          <w:p w:rsidRPr="00196DB0" w:rsidR="00F579D2" w:rsidP="001D2DB1" w:rsidRDefault="00F579D2" w14:paraId="35D60E44" w14:textId="77777777">
            <w:pPr>
              <w:rPr>
                <w:b/>
                <w:sz w:val="22"/>
                <w:szCs w:val="22"/>
              </w:rPr>
            </w:pPr>
            <w:r w:rsidRPr="00196DB0">
              <w:rPr>
                <w:b/>
                <w:sz w:val="22"/>
                <w:szCs w:val="22"/>
              </w:rPr>
              <w:lastRenderedPageBreak/>
              <w:t>TABLE 2-- RESPONDENTS, RESPONSES,  BURDEN HOURS AND ANNUAL BURDEN COST FOR PRIVATE SECTOR</w:t>
            </w:r>
          </w:p>
        </w:tc>
      </w:tr>
      <w:tr w:rsidRPr="00B808A9" w:rsidR="00F579D2" w:rsidTr="00196DB0" w14:paraId="3DABF077" w14:textId="77777777">
        <w:trPr>
          <w:trHeight w:val="1385"/>
          <w:tblHeader/>
        </w:trPr>
        <w:tc>
          <w:tcPr>
            <w:tcW w:w="1530" w:type="dxa"/>
            <w:shd w:val="clear" w:color="auto" w:fill="DEEAF6"/>
            <w:hideMark/>
          </w:tcPr>
          <w:p w:rsidRPr="00196DB0" w:rsidR="00F579D2" w:rsidP="001D2DB1" w:rsidRDefault="00F579D2" w14:paraId="1E99B834" w14:textId="77777777">
            <w:pPr>
              <w:rPr>
                <w:b/>
                <w:sz w:val="22"/>
                <w:szCs w:val="22"/>
              </w:rPr>
            </w:pPr>
            <w:r w:rsidRPr="00196DB0">
              <w:rPr>
                <w:b/>
                <w:sz w:val="22"/>
                <w:szCs w:val="22"/>
              </w:rPr>
              <w:t xml:space="preserve">Information Collection Requirement </w:t>
            </w:r>
          </w:p>
          <w:p w:rsidRPr="00196DB0" w:rsidR="00F579D2" w:rsidP="001D2DB1" w:rsidRDefault="00F579D2" w14:paraId="0A3C655B" w14:textId="77777777">
            <w:pPr>
              <w:rPr>
                <w:b/>
                <w:sz w:val="22"/>
                <w:szCs w:val="22"/>
              </w:rPr>
            </w:pPr>
          </w:p>
        </w:tc>
        <w:tc>
          <w:tcPr>
            <w:tcW w:w="1530" w:type="dxa"/>
            <w:shd w:val="clear" w:color="auto" w:fill="DEEAF6"/>
            <w:hideMark/>
          </w:tcPr>
          <w:p w:rsidRPr="00196DB0" w:rsidR="00F579D2" w:rsidP="001D2DB1" w:rsidRDefault="00F579D2" w14:paraId="4A090BF4" w14:textId="77777777">
            <w:pPr>
              <w:rPr>
                <w:b/>
                <w:sz w:val="22"/>
                <w:szCs w:val="22"/>
              </w:rPr>
            </w:pPr>
            <w:r w:rsidRPr="00196DB0">
              <w:rPr>
                <w:b/>
                <w:sz w:val="22"/>
                <w:szCs w:val="22"/>
              </w:rPr>
              <w:t>Type of Respondent*</w:t>
            </w:r>
          </w:p>
        </w:tc>
        <w:tc>
          <w:tcPr>
            <w:tcW w:w="1440" w:type="dxa"/>
            <w:shd w:val="clear" w:color="auto" w:fill="DEEAF6"/>
            <w:hideMark/>
          </w:tcPr>
          <w:p w:rsidRPr="00196DB0" w:rsidR="00F579D2" w:rsidP="001D2DB1" w:rsidRDefault="00F579D2" w14:paraId="581C7CCF" w14:textId="77777777">
            <w:pPr>
              <w:rPr>
                <w:b/>
                <w:sz w:val="22"/>
                <w:szCs w:val="22"/>
              </w:rPr>
            </w:pPr>
            <w:r w:rsidRPr="00196DB0">
              <w:rPr>
                <w:b/>
                <w:sz w:val="22"/>
                <w:szCs w:val="22"/>
              </w:rPr>
              <w:t xml:space="preserve">No. of </w:t>
            </w:r>
          </w:p>
          <w:p w:rsidRPr="00196DB0" w:rsidR="00F579D2" w:rsidP="001D2DB1" w:rsidRDefault="00F579D2" w14:paraId="57ED03FD" w14:textId="77777777">
            <w:pPr>
              <w:rPr>
                <w:b/>
                <w:sz w:val="22"/>
                <w:szCs w:val="22"/>
              </w:rPr>
            </w:pPr>
            <w:r w:rsidRPr="00196DB0">
              <w:rPr>
                <w:b/>
                <w:sz w:val="22"/>
                <w:szCs w:val="22"/>
              </w:rPr>
              <w:t>Respondents</w:t>
            </w:r>
          </w:p>
        </w:tc>
        <w:tc>
          <w:tcPr>
            <w:tcW w:w="1350" w:type="dxa"/>
            <w:shd w:val="clear" w:color="auto" w:fill="DEEAF6"/>
            <w:hideMark/>
          </w:tcPr>
          <w:p w:rsidRPr="00196DB0" w:rsidR="00F579D2" w:rsidP="001D2DB1" w:rsidRDefault="00F579D2" w14:paraId="3ABEE53D" w14:textId="77777777">
            <w:pPr>
              <w:rPr>
                <w:b/>
                <w:sz w:val="22"/>
                <w:szCs w:val="22"/>
              </w:rPr>
            </w:pPr>
            <w:r w:rsidRPr="00196DB0">
              <w:rPr>
                <w:b/>
                <w:sz w:val="22"/>
                <w:szCs w:val="22"/>
              </w:rPr>
              <w:t>No. of Responses per Respondent</w:t>
            </w:r>
          </w:p>
        </w:tc>
        <w:tc>
          <w:tcPr>
            <w:tcW w:w="1260" w:type="dxa"/>
            <w:shd w:val="clear" w:color="auto" w:fill="DEEAF6"/>
            <w:hideMark/>
          </w:tcPr>
          <w:p w:rsidRPr="00196DB0" w:rsidR="00F579D2" w:rsidP="001D2DB1" w:rsidRDefault="00F579D2" w14:paraId="486D3751" w14:textId="77777777">
            <w:pPr>
              <w:rPr>
                <w:b/>
                <w:sz w:val="22"/>
                <w:szCs w:val="22"/>
              </w:rPr>
            </w:pPr>
            <w:r w:rsidRPr="00196DB0">
              <w:rPr>
                <w:b/>
                <w:sz w:val="22"/>
                <w:szCs w:val="22"/>
              </w:rPr>
              <w:t>Total No.  of Responses</w:t>
            </w:r>
          </w:p>
        </w:tc>
        <w:tc>
          <w:tcPr>
            <w:tcW w:w="1260" w:type="dxa"/>
            <w:shd w:val="clear" w:color="auto" w:fill="DEEAF6"/>
            <w:hideMark/>
          </w:tcPr>
          <w:p w:rsidRPr="00196DB0" w:rsidR="00F579D2" w:rsidP="001D2DB1" w:rsidRDefault="00F579D2" w14:paraId="20EFF652" w14:textId="77777777">
            <w:pPr>
              <w:rPr>
                <w:b/>
                <w:sz w:val="22"/>
                <w:szCs w:val="22"/>
              </w:rPr>
            </w:pPr>
            <w:r w:rsidRPr="00196DB0">
              <w:rPr>
                <w:b/>
                <w:sz w:val="22"/>
                <w:szCs w:val="22"/>
              </w:rPr>
              <w:t>Avg.</w:t>
            </w:r>
          </w:p>
          <w:p w:rsidRPr="00196DB0" w:rsidR="00F579D2" w:rsidP="001D2DB1" w:rsidRDefault="00F579D2" w14:paraId="30C95DBD" w14:textId="77777777">
            <w:pPr>
              <w:rPr>
                <w:b/>
                <w:sz w:val="22"/>
                <w:szCs w:val="22"/>
              </w:rPr>
            </w:pPr>
            <w:r w:rsidRPr="00196DB0">
              <w:rPr>
                <w:b/>
                <w:sz w:val="22"/>
                <w:szCs w:val="22"/>
              </w:rPr>
              <w:t>Burden per Response (In Hrs.)</w:t>
            </w:r>
          </w:p>
        </w:tc>
        <w:tc>
          <w:tcPr>
            <w:tcW w:w="1260" w:type="dxa"/>
            <w:shd w:val="clear" w:color="auto" w:fill="DEEAF6"/>
            <w:hideMark/>
          </w:tcPr>
          <w:p w:rsidRPr="00196DB0" w:rsidR="00F579D2" w:rsidP="001D2DB1" w:rsidRDefault="00F579D2" w14:paraId="381DED1C" w14:textId="77777777">
            <w:pPr>
              <w:rPr>
                <w:b/>
                <w:sz w:val="22"/>
                <w:szCs w:val="22"/>
              </w:rPr>
            </w:pPr>
            <w:r w:rsidRPr="00196DB0">
              <w:rPr>
                <w:b/>
                <w:sz w:val="22"/>
                <w:szCs w:val="22"/>
              </w:rPr>
              <w:t>Total Burden Hours (rounded)</w:t>
            </w:r>
          </w:p>
        </w:tc>
        <w:tc>
          <w:tcPr>
            <w:tcW w:w="990" w:type="dxa"/>
            <w:shd w:val="clear" w:color="auto" w:fill="DEEAF6"/>
            <w:hideMark/>
          </w:tcPr>
          <w:p w:rsidRPr="00196DB0" w:rsidR="00F579D2" w:rsidP="001D2DB1" w:rsidRDefault="00F579D2" w14:paraId="6F1E0FA7" w14:textId="77777777">
            <w:pPr>
              <w:rPr>
                <w:b/>
                <w:sz w:val="22"/>
                <w:szCs w:val="22"/>
              </w:rPr>
            </w:pPr>
            <w:r w:rsidRPr="00196DB0">
              <w:rPr>
                <w:b/>
                <w:sz w:val="22"/>
                <w:szCs w:val="22"/>
              </w:rPr>
              <w:t>Avg.  Hourly Wage Rate</w:t>
            </w:r>
          </w:p>
        </w:tc>
        <w:tc>
          <w:tcPr>
            <w:tcW w:w="1290" w:type="dxa"/>
            <w:shd w:val="clear" w:color="auto" w:fill="DEEAF6"/>
            <w:hideMark/>
          </w:tcPr>
          <w:p w:rsidRPr="00196DB0" w:rsidR="00F579D2" w:rsidP="001D2DB1" w:rsidRDefault="00F579D2" w14:paraId="6F4B7A9E" w14:textId="77777777">
            <w:pPr>
              <w:rPr>
                <w:b/>
                <w:sz w:val="22"/>
                <w:szCs w:val="22"/>
              </w:rPr>
            </w:pPr>
            <w:r w:rsidRPr="00196DB0">
              <w:rPr>
                <w:b/>
                <w:sz w:val="22"/>
                <w:szCs w:val="22"/>
              </w:rPr>
              <w:t>Total Burden Costs (rounded)</w:t>
            </w:r>
          </w:p>
        </w:tc>
      </w:tr>
      <w:tr w:rsidRPr="00B808A9" w:rsidR="00F579D2" w:rsidTr="00196DB0" w14:paraId="347BA5B1" w14:textId="77777777">
        <w:trPr>
          <w:trHeight w:val="940"/>
        </w:trPr>
        <w:tc>
          <w:tcPr>
            <w:tcW w:w="1530" w:type="dxa"/>
            <w:shd w:val="clear" w:color="auto" w:fill="auto"/>
          </w:tcPr>
          <w:p w:rsidRPr="00196DB0" w:rsidR="00F579D2" w:rsidP="001D2DB1" w:rsidRDefault="00F579D2" w14:paraId="0834E2D2" w14:textId="77777777">
            <w:pPr>
              <w:rPr>
                <w:bCs/>
                <w:color w:val="000000"/>
                <w:sz w:val="22"/>
                <w:szCs w:val="22"/>
              </w:rPr>
            </w:pPr>
            <w:r w:rsidRPr="00196DB0">
              <w:rPr>
                <w:bCs/>
                <w:color w:val="000000"/>
                <w:sz w:val="22"/>
                <w:szCs w:val="22"/>
              </w:rPr>
              <w:t>Nameplates</w:t>
            </w:r>
          </w:p>
          <w:p w:rsidRPr="00196DB0" w:rsidR="00F579D2" w:rsidP="001D2DB1" w:rsidRDefault="00F579D2" w14:paraId="6FEE40BE" w14:textId="77777777">
            <w:pPr>
              <w:rPr>
                <w:bCs/>
                <w:color w:val="000000"/>
                <w:sz w:val="22"/>
                <w:szCs w:val="22"/>
              </w:rPr>
            </w:pPr>
          </w:p>
        </w:tc>
        <w:tc>
          <w:tcPr>
            <w:tcW w:w="1530" w:type="dxa"/>
            <w:shd w:val="clear" w:color="auto" w:fill="auto"/>
            <w:noWrap/>
          </w:tcPr>
          <w:p w:rsidRPr="00196DB0" w:rsidR="00F579D2" w:rsidP="001D2DB1" w:rsidRDefault="00F579D2" w14:paraId="2236AA8B" w14:textId="77777777">
            <w:pPr>
              <w:rPr>
                <w:sz w:val="22"/>
                <w:szCs w:val="22"/>
              </w:rPr>
            </w:pPr>
            <w:r w:rsidRPr="00196DB0">
              <w:rPr>
                <w:sz w:val="22"/>
                <w:szCs w:val="22"/>
              </w:rPr>
              <w:t>Manufacturer Worker</w:t>
            </w:r>
          </w:p>
        </w:tc>
        <w:tc>
          <w:tcPr>
            <w:tcW w:w="1440" w:type="dxa"/>
            <w:shd w:val="clear" w:color="auto" w:fill="auto"/>
            <w:noWrap/>
          </w:tcPr>
          <w:p w:rsidRPr="00B808A9" w:rsidR="00F579D2" w:rsidP="001D2DB1" w:rsidRDefault="00F579D2" w14:paraId="2639512B" w14:textId="77777777">
            <w:r w:rsidRPr="00B808A9">
              <w:t>201,300</w:t>
            </w:r>
          </w:p>
        </w:tc>
        <w:tc>
          <w:tcPr>
            <w:tcW w:w="1350" w:type="dxa"/>
            <w:shd w:val="clear" w:color="auto" w:fill="auto"/>
            <w:noWrap/>
          </w:tcPr>
          <w:p w:rsidRPr="00B808A9" w:rsidR="00F579D2" w:rsidP="001D2DB1" w:rsidRDefault="00F579D2" w14:paraId="7FEB9AB6" w14:textId="77777777">
            <w:r w:rsidRPr="00B808A9">
              <w:t>.01</w:t>
            </w:r>
          </w:p>
        </w:tc>
        <w:tc>
          <w:tcPr>
            <w:tcW w:w="1260" w:type="dxa"/>
            <w:shd w:val="clear" w:color="auto" w:fill="auto"/>
            <w:noWrap/>
          </w:tcPr>
          <w:p w:rsidRPr="00B808A9" w:rsidR="00F579D2" w:rsidP="001D2DB1" w:rsidRDefault="00F579D2" w14:paraId="0C9B2BE3" w14:textId="77777777">
            <w:r w:rsidRPr="00B808A9">
              <w:t>2,013</w:t>
            </w:r>
          </w:p>
        </w:tc>
        <w:tc>
          <w:tcPr>
            <w:tcW w:w="1260" w:type="dxa"/>
            <w:shd w:val="clear" w:color="auto" w:fill="auto"/>
            <w:noWrap/>
          </w:tcPr>
          <w:p w:rsidRPr="00B808A9" w:rsidR="00F579D2" w:rsidP="001D2DB1" w:rsidRDefault="00F579D2" w14:paraId="37EF4901" w14:textId="77777777">
            <w:r w:rsidRPr="00B808A9">
              <w:t>10/60</w:t>
            </w:r>
          </w:p>
        </w:tc>
        <w:tc>
          <w:tcPr>
            <w:tcW w:w="1260" w:type="dxa"/>
            <w:shd w:val="clear" w:color="auto" w:fill="auto"/>
            <w:noWrap/>
          </w:tcPr>
          <w:p w:rsidRPr="00B808A9" w:rsidR="00F579D2" w:rsidP="001D2DB1" w:rsidRDefault="00F579D2" w14:paraId="71D08546" w14:textId="77777777">
            <w:r w:rsidRPr="00B808A9">
              <w:t>336</w:t>
            </w:r>
          </w:p>
        </w:tc>
        <w:tc>
          <w:tcPr>
            <w:tcW w:w="990" w:type="dxa"/>
            <w:shd w:val="clear" w:color="auto" w:fill="auto"/>
            <w:noWrap/>
          </w:tcPr>
          <w:p w:rsidRPr="00B808A9" w:rsidR="00F579D2" w:rsidP="004C7081" w:rsidRDefault="00F579D2" w14:paraId="6795CD6E" w14:textId="77777777">
            <w:r w:rsidRPr="00B808A9">
              <w:t>$</w:t>
            </w:r>
            <w:r w:rsidR="004C7081">
              <w:t>27.53</w:t>
            </w:r>
          </w:p>
        </w:tc>
        <w:tc>
          <w:tcPr>
            <w:tcW w:w="1290" w:type="dxa"/>
            <w:shd w:val="clear" w:color="auto" w:fill="auto"/>
            <w:noWrap/>
          </w:tcPr>
          <w:p w:rsidRPr="00B808A9" w:rsidR="00F579D2" w:rsidP="001D2DB1" w:rsidRDefault="00F579D2" w14:paraId="78F6F0AA" w14:textId="77777777">
            <w:r w:rsidRPr="00B808A9">
              <w:t>$9</w:t>
            </w:r>
            <w:r w:rsidR="008B5337">
              <w:t>,250</w:t>
            </w:r>
          </w:p>
        </w:tc>
      </w:tr>
    </w:tbl>
    <w:p w:rsidRPr="00B808A9" w:rsidR="00F579D2" w:rsidP="00F579D2" w:rsidRDefault="00F579D2" w14:paraId="06903B90" w14:textId="77777777"/>
    <w:p w:rsidRPr="00B808A9" w:rsidR="00F579D2" w:rsidP="00AB03C6" w:rsidRDefault="00F579D2" w14:paraId="6649C8FE" w14:textId="77777777">
      <w:pPr>
        <w:widowControl/>
        <w:ind w:left="1440" w:firstLine="720"/>
      </w:pPr>
    </w:p>
    <w:p w:rsidRPr="00B808A9" w:rsidR="00AB03C6" w:rsidP="00AB03C6" w:rsidRDefault="00AB03C6" w14:paraId="37B0B5A1" w14:textId="77777777">
      <w:pPr>
        <w:widowControl/>
        <w:ind w:left="1440" w:firstLine="720"/>
        <w:rPr>
          <w:b/>
          <w:bCs/>
        </w:rPr>
      </w:pPr>
    </w:p>
    <w:p w:rsidRPr="00F579D2" w:rsidR="00AB03C6" w:rsidP="00AB03C6" w:rsidRDefault="00AB03C6" w14:paraId="1134B6E9" w14:textId="77777777">
      <w:pPr>
        <w:widowControl/>
      </w:pPr>
      <w:r w:rsidRPr="00B808A9">
        <w:rPr>
          <w:b/>
          <w:bCs/>
        </w:rPr>
        <w:t>13.  Provide an estimate of the total annual cost burden to respondents or record</w:t>
      </w:r>
      <w:r w:rsidRPr="00B808A9" w:rsidR="003B203A">
        <w:rPr>
          <w:b/>
          <w:bCs/>
        </w:rPr>
        <w:t>-</w:t>
      </w:r>
      <w:r w:rsidRPr="00B808A9">
        <w:rPr>
          <w:b/>
          <w:bCs/>
        </w:rPr>
        <w:t>keepers resulting from the collection of information.  (Do not include the cost of any hour burden shown in Items 12 and 14.)</w:t>
      </w:r>
    </w:p>
    <w:p w:rsidRPr="00F579D2" w:rsidR="00AB03C6" w:rsidP="00AB03C6" w:rsidRDefault="00AB03C6" w14:paraId="2E59BED2" w14:textId="77777777">
      <w:pPr>
        <w:widowControl/>
      </w:pPr>
    </w:p>
    <w:p w:rsidRPr="00B808A9" w:rsidR="00AB03C6" w:rsidP="00AB03C6" w:rsidRDefault="00AB03C6" w14:paraId="43FA3E47" w14:textId="77777777">
      <w:pPr>
        <w:widowControl/>
      </w:pPr>
      <w:r w:rsidRPr="00B808A9">
        <w:t>There are no additional costs to the respondents other than their time.</w:t>
      </w:r>
    </w:p>
    <w:p w:rsidRPr="00B808A9" w:rsidR="006B7763" w:rsidP="00AB03C6" w:rsidRDefault="006B7763" w14:paraId="72340846" w14:textId="77777777">
      <w:pPr>
        <w:widowControl/>
      </w:pPr>
    </w:p>
    <w:p w:rsidRPr="00F579D2" w:rsidR="00AB03C6" w:rsidP="00AB03C6" w:rsidRDefault="00AB03C6" w14:paraId="512E6781" w14:textId="77777777">
      <w:pPr>
        <w:widowControl/>
      </w:pPr>
      <w:r w:rsidRPr="00B808A9">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F579D2" w:rsidR="00AB03C6" w:rsidP="00AB03C6" w:rsidRDefault="00AB03C6" w14:paraId="7C45A649" w14:textId="77777777">
      <w:pPr>
        <w:widowControl/>
      </w:pPr>
    </w:p>
    <w:p w:rsidRPr="00B808A9" w:rsidR="00AB03C6" w:rsidP="00AB03C6" w:rsidRDefault="00AB03C6" w14:paraId="17094A57" w14:textId="77777777">
      <w:pPr>
        <w:tabs>
          <w:tab w:val="left" w:pos="0"/>
        </w:tabs>
        <w:jc w:val="both"/>
        <w:rPr>
          <w:bCs/>
        </w:rPr>
      </w:pPr>
      <w:r w:rsidRPr="00B808A9">
        <w:rPr>
          <w:bCs/>
        </w:rPr>
        <w:t>There is no cost to the Federal Government.</w:t>
      </w:r>
    </w:p>
    <w:p w:rsidRPr="00B808A9" w:rsidR="00AB03C6" w:rsidP="00AB03C6" w:rsidRDefault="00AB03C6" w14:paraId="5A759CFB" w14:textId="77777777">
      <w:pPr>
        <w:widowControl/>
        <w:tabs>
          <w:tab w:val="left" w:pos="-1080"/>
          <w:tab w:val="left" w:pos="-720"/>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 w:val="left" w:pos="9360"/>
        </w:tabs>
        <w:rPr>
          <w:b/>
          <w:bCs/>
        </w:rPr>
      </w:pPr>
    </w:p>
    <w:p w:rsidRPr="00F579D2" w:rsidR="00AB03C6" w:rsidP="00AB03C6" w:rsidRDefault="00AB03C6" w14:paraId="6D143DEB" w14:textId="77777777">
      <w:pPr>
        <w:widowControl/>
      </w:pPr>
      <w:r w:rsidRPr="00B808A9">
        <w:rPr>
          <w:b/>
          <w:bCs/>
        </w:rPr>
        <w:t>15.  Explain the reasons for any program changes or adjustments.</w:t>
      </w:r>
    </w:p>
    <w:p w:rsidRPr="00F579D2" w:rsidR="00AB03C6" w:rsidP="00AB03C6" w:rsidRDefault="00AB03C6" w14:paraId="3C98606D" w14:textId="77777777">
      <w:pPr>
        <w:widowControl/>
      </w:pPr>
    </w:p>
    <w:p w:rsidRPr="00B808A9" w:rsidR="00AB03C6" w:rsidP="00AB03C6" w:rsidRDefault="00AB03C6" w14:paraId="3CB7F969" w14:textId="77777777">
      <w:pPr>
        <w:widowControl/>
      </w:pPr>
      <w:r w:rsidRPr="00B808A9">
        <w:t xml:space="preserve">The Agency is requesting an adjustment decrease of </w:t>
      </w:r>
      <w:r w:rsidRPr="00B808A9" w:rsidR="00F17E4F">
        <w:t>one</w:t>
      </w:r>
      <w:r w:rsidRPr="00B808A9">
        <w:t xml:space="preserve"> burden hour (from 3</w:t>
      </w:r>
      <w:r w:rsidRPr="00B808A9" w:rsidR="00F17E4F">
        <w:t>37</w:t>
      </w:r>
      <w:r w:rsidRPr="00B808A9">
        <w:t xml:space="preserve"> hours to 33</w:t>
      </w:r>
      <w:r w:rsidRPr="00B808A9" w:rsidR="00F17E4F">
        <w:t>6</w:t>
      </w:r>
      <w:r w:rsidRPr="00B808A9">
        <w:t xml:space="preserve"> hours). </w:t>
      </w:r>
      <w:r w:rsidRPr="00B808A9" w:rsidR="00D76B85">
        <w:t xml:space="preserve"> </w:t>
      </w:r>
      <w:r w:rsidRPr="00B808A9" w:rsidR="009D673F">
        <w:t xml:space="preserve">Though there was a slight </w:t>
      </w:r>
      <w:r w:rsidRPr="00B808A9">
        <w:t xml:space="preserve">decrease </w:t>
      </w:r>
      <w:r w:rsidRPr="00B808A9" w:rsidR="009D673F">
        <w:t xml:space="preserve">in hours, </w:t>
      </w:r>
      <w:r w:rsidR="008B5337">
        <w:t>there was an increase</w:t>
      </w:r>
      <w:r w:rsidRPr="00B808A9">
        <w:t xml:space="preserve"> in the number of containers.</w:t>
      </w:r>
      <w:r w:rsidRPr="00B808A9" w:rsidR="00D76B85">
        <w:t xml:space="preserve">  </w:t>
      </w:r>
      <w:r w:rsidRPr="00B808A9" w:rsidR="009D673F">
        <w:t>The</w:t>
      </w:r>
      <w:r w:rsidRPr="00B808A9" w:rsidR="00010609">
        <w:t xml:space="preserve"> agency us</w:t>
      </w:r>
      <w:r w:rsidRPr="00B808A9" w:rsidR="00C47FE0">
        <w:t xml:space="preserve">es </w:t>
      </w:r>
      <w:r w:rsidRPr="00B808A9" w:rsidR="00944B4F">
        <w:t>fractions instead of decimals</w:t>
      </w:r>
      <w:r w:rsidRPr="00B808A9" w:rsidR="00640984">
        <w:t>, thus changing</w:t>
      </w:r>
      <w:r w:rsidRPr="00B808A9" w:rsidR="00C47FE0">
        <w:t xml:space="preserve"> </w:t>
      </w:r>
      <w:r w:rsidRPr="00B808A9" w:rsidR="00944B4F">
        <w:t xml:space="preserve">the </w:t>
      </w:r>
      <w:r w:rsidRPr="00B808A9" w:rsidR="00640984">
        <w:t>final product in</w:t>
      </w:r>
      <w:r w:rsidRPr="00B808A9" w:rsidR="00D76B85">
        <w:t xml:space="preserve"> our calculations. Fr</w:t>
      </w:r>
      <w:r w:rsidRPr="00B808A9" w:rsidR="00066D58">
        <w:t xml:space="preserve">actions </w:t>
      </w:r>
      <w:r w:rsidRPr="00B808A9" w:rsidR="00D76B85">
        <w:t xml:space="preserve">are used </w:t>
      </w:r>
      <w:r w:rsidRPr="00B808A9" w:rsidR="00066D58">
        <w:t>so that the</w:t>
      </w:r>
      <w:r w:rsidRPr="00B808A9" w:rsidR="00944B4F">
        <w:t xml:space="preserve"> public may </w:t>
      </w:r>
      <w:r w:rsidRPr="00B808A9" w:rsidR="00066D58">
        <w:t>better follow our</w:t>
      </w:r>
      <w:r w:rsidRPr="00B808A9" w:rsidR="009D673F">
        <w:t xml:space="preserve"> </w:t>
      </w:r>
      <w:r w:rsidRPr="00B808A9" w:rsidR="00066D58">
        <w:t xml:space="preserve">calculations. </w:t>
      </w:r>
      <w:r w:rsidRPr="00B808A9" w:rsidR="009D673F">
        <w:t xml:space="preserve">  </w:t>
      </w:r>
    </w:p>
    <w:p w:rsidRPr="00B808A9" w:rsidR="00AB03C6" w:rsidP="00AB03C6" w:rsidRDefault="00AB03C6" w14:paraId="78E7F361" w14:textId="77777777">
      <w:pPr>
        <w:widowControl/>
      </w:pPr>
      <w:r w:rsidRPr="00B808A9">
        <w:t xml:space="preserve"> </w:t>
      </w:r>
    </w:p>
    <w:p w:rsidRPr="00F579D2" w:rsidR="00AB03C6" w:rsidP="00AB03C6" w:rsidRDefault="00AB03C6" w14:paraId="7570BFF4" w14:textId="77777777">
      <w:pPr>
        <w:widowControl/>
      </w:pPr>
      <w:r w:rsidRPr="00B808A9">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F579D2" w:rsidR="00AB03C6" w:rsidP="00AB03C6" w:rsidRDefault="00AB03C6" w14:paraId="0180ED41" w14:textId="77777777">
      <w:pPr>
        <w:widowControl/>
      </w:pPr>
    </w:p>
    <w:p w:rsidRPr="00B808A9" w:rsidR="00AB03C6" w:rsidP="00AB03C6" w:rsidRDefault="00AB03C6" w14:paraId="4A1A8299" w14:textId="77777777">
      <w:pPr>
        <w:widowControl/>
      </w:pPr>
      <w:r w:rsidRPr="00B808A9">
        <w:t>OSHA will not publish the information collected under 29 CFR 1910.111.</w:t>
      </w:r>
    </w:p>
    <w:p w:rsidRPr="00B808A9" w:rsidR="00AB03C6" w:rsidP="00AB03C6" w:rsidRDefault="00AB03C6" w14:paraId="7610F2F5" w14:textId="77777777">
      <w:pPr>
        <w:widowControl/>
      </w:pPr>
    </w:p>
    <w:p w:rsidRPr="00F579D2" w:rsidR="00AB03C6" w:rsidP="00AB03C6" w:rsidRDefault="00AB03C6" w14:paraId="0345A256" w14:textId="77777777">
      <w:pPr>
        <w:widowControl/>
      </w:pPr>
      <w:r w:rsidRPr="00B808A9">
        <w:rPr>
          <w:b/>
          <w:bCs/>
        </w:rPr>
        <w:lastRenderedPageBreak/>
        <w:t>17.  If seeking approval to not display the expiration date for OMB approval of the information collection, explain the reasons that display would be appropriate.</w:t>
      </w:r>
    </w:p>
    <w:p w:rsidRPr="00F579D2" w:rsidR="00AB03C6" w:rsidP="00AB03C6" w:rsidRDefault="00AB03C6" w14:paraId="21715E23" w14:textId="77777777">
      <w:pPr>
        <w:widowControl/>
        <w:autoSpaceDE/>
        <w:autoSpaceDN/>
        <w:adjustRightInd/>
        <w:rPr>
          <w:rFonts w:eastAsia="Calibri"/>
        </w:rPr>
      </w:pPr>
    </w:p>
    <w:p w:rsidRPr="00B808A9" w:rsidR="00AB03C6" w:rsidP="00AB03C6" w:rsidRDefault="00AB03C6" w14:paraId="15353498" w14:textId="77777777">
      <w:pPr>
        <w:widowControl/>
        <w:autoSpaceDE/>
        <w:autoSpaceDN/>
        <w:adjustRightInd/>
        <w:rPr>
          <w:rFonts w:eastAsia="Calibri"/>
        </w:rPr>
      </w:pPr>
      <w:r w:rsidRPr="00B808A9">
        <w:rPr>
          <w:rFonts w:eastAsia="Calibri"/>
        </w:rPr>
        <w:t>OSHA lists current valid control numbers in §§1910.8, 1915.8, 1917.4, 1918.4, and 1926.5 and publishes the expiration date in the Federal Register notice announcing OMB approval of the information collection requirements. (See 5 CFR 1320.3(f)(3).) OSHA believes that this is the most appropriate and accurate mechanism to inform interested parties of these expiration dates.</w:t>
      </w:r>
    </w:p>
    <w:p w:rsidRPr="00B808A9" w:rsidR="00AB03C6" w:rsidP="00AB03C6" w:rsidRDefault="00AB03C6" w14:paraId="352F6776" w14:textId="77777777">
      <w:pPr>
        <w:widowControl/>
      </w:pPr>
    </w:p>
    <w:p w:rsidRPr="00F579D2" w:rsidR="00AB03C6" w:rsidP="00AB03C6" w:rsidRDefault="00AB03C6" w14:paraId="76A0F534" w14:textId="77777777">
      <w:pPr>
        <w:widowControl/>
      </w:pPr>
      <w:r w:rsidRPr="00B808A9">
        <w:rPr>
          <w:b/>
          <w:bCs/>
        </w:rPr>
        <w:t>18.  Explain each exception to the certification statement.</w:t>
      </w:r>
    </w:p>
    <w:p w:rsidRPr="00F579D2" w:rsidR="00AB03C6" w:rsidP="00AB03C6" w:rsidRDefault="00AB03C6" w14:paraId="17EBB5D8" w14:textId="77777777">
      <w:pPr>
        <w:widowControl/>
      </w:pPr>
    </w:p>
    <w:p w:rsidRPr="00B808A9" w:rsidR="00AB03C6" w:rsidP="00AB03C6" w:rsidRDefault="00AB03C6" w14:paraId="48ABCCF3" w14:textId="77777777">
      <w:pPr>
        <w:widowControl/>
      </w:pPr>
      <w:r w:rsidRPr="00B808A9">
        <w:t>OSHA is not requesting an exception to the certification statement.</w:t>
      </w:r>
    </w:p>
    <w:p w:rsidRPr="00B808A9" w:rsidR="00AB03C6" w:rsidP="00AB03C6" w:rsidRDefault="00AB03C6" w14:paraId="01E269F0" w14:textId="77777777">
      <w:pPr>
        <w:widowControl/>
      </w:pPr>
    </w:p>
    <w:p w:rsidRPr="00B808A9" w:rsidR="00AB03C6" w:rsidP="00AB03C6" w:rsidRDefault="00AB03C6" w14:paraId="6606B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B808A9">
        <w:rPr>
          <w:b/>
        </w:rPr>
        <w:t>B. COLLECTION OF INFORMATION EMPLOYING STATISTICAL METHODS</w:t>
      </w:r>
    </w:p>
    <w:p w:rsidRPr="00B808A9" w:rsidR="00AB03C6" w:rsidP="00AB03C6" w:rsidRDefault="00AB03C6" w14:paraId="2BF25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Pr="00F579D2" w:rsidR="00597B35" w:rsidP="00196DB0" w:rsidRDefault="00AB03C6" w14:paraId="0B77AD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808A9">
        <w:t>This Supporting Statement does not contain any collection of information requirements that employ statistical methods.</w:t>
      </w:r>
    </w:p>
    <w:sectPr w:rsidRPr="00F579D2" w:rsidR="00597B3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86B91" w14:textId="77777777" w:rsidR="002E761D" w:rsidRDefault="002E761D" w:rsidP="00AB03C6">
      <w:r>
        <w:separator/>
      </w:r>
    </w:p>
  </w:endnote>
  <w:endnote w:type="continuationSeparator" w:id="0">
    <w:p w14:paraId="7AAD8C13" w14:textId="77777777" w:rsidR="002E761D" w:rsidRDefault="002E761D" w:rsidP="00A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94A0D" w14:textId="77777777" w:rsidR="002E761D" w:rsidRDefault="002E761D" w:rsidP="00AB03C6">
      <w:r>
        <w:separator/>
      </w:r>
    </w:p>
  </w:footnote>
  <w:footnote w:type="continuationSeparator" w:id="0">
    <w:p w14:paraId="56966910" w14:textId="77777777" w:rsidR="002E761D" w:rsidRDefault="002E761D" w:rsidP="00AB03C6">
      <w:r>
        <w:continuationSeparator/>
      </w:r>
    </w:p>
  </w:footnote>
  <w:footnote w:id="1">
    <w:p w14:paraId="47BF259D" w14:textId="77777777" w:rsidR="00AB03C6" w:rsidRPr="00D43CD6" w:rsidRDefault="00AB03C6" w:rsidP="00AB03C6">
      <w:pPr>
        <w:tabs>
          <w:tab w:val="left" w:pos="0"/>
          <w:tab w:val="center" w:pos="4680"/>
          <w:tab w:val="left" w:pos="5040"/>
          <w:tab w:val="left" w:pos="5760"/>
          <w:tab w:val="left" w:pos="6480"/>
          <w:tab w:val="left" w:pos="7200"/>
          <w:tab w:val="left" w:pos="7920"/>
          <w:tab w:val="left" w:pos="8640"/>
          <w:tab w:val="left" w:pos="9360"/>
        </w:tabs>
        <w:spacing w:after="200"/>
        <w:ind w:firstLine="720"/>
        <w:rPr>
          <w:rFonts w:cs="Shruti"/>
          <w:sz w:val="20"/>
          <w:szCs w:val="20"/>
        </w:rPr>
      </w:pPr>
      <w:r w:rsidRPr="00EB40B2">
        <w:rPr>
          <w:rFonts w:cs="Shruti"/>
          <w:vertAlign w:val="superscript"/>
        </w:rPr>
        <w:t>1</w:t>
      </w:r>
      <w:r w:rsidRPr="00D43CD6">
        <w:rPr>
          <w:rFonts w:cs="Shruti"/>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 standard.</w:t>
      </w:r>
    </w:p>
  </w:footnote>
  <w:footnote w:id="2">
    <w:p w14:paraId="0B12E236" w14:textId="77777777" w:rsidR="009B0CE1" w:rsidRPr="005969E1" w:rsidRDefault="009B0CE1" w:rsidP="009B0CE1">
      <w:pPr>
        <w:pStyle w:val="FootnoteText"/>
        <w:ind w:firstLine="720"/>
      </w:pPr>
      <w:r w:rsidRPr="00937310">
        <w:rPr>
          <w:rStyle w:val="FootnoteReference"/>
          <w:vertAlign w:val="superscript"/>
        </w:rPr>
        <w:footnoteRef/>
      </w:r>
      <w:r w:rsidRPr="00937310">
        <w:rPr>
          <w:vertAlign w:val="superscript"/>
        </w:rPr>
        <w:t xml:space="preserve"> </w:t>
      </w:r>
      <w:r>
        <w:t>Source:  Employer costs for Employee Compensation Supplementary Table 2. U.S. Department of Labor, Bureau of Labor statistics, June 2018. The fringe benefits is 29.9 percent. The multiplier for the fringe benefits is calculated by dividing one minus the fringe benefit into o</w:t>
      </w:r>
      <w:r w:rsidR="003B203A">
        <w:t>ne. For example: 1/1-.299=</w:t>
      </w:r>
      <w:r>
        <w:t>.</w:t>
      </w:r>
      <w:r w:rsidR="003B203A">
        <w:t>701</w:t>
      </w:r>
      <w:r>
        <w:t xml:space="preserve"> (Converting the percentage into decimal.)</w:t>
      </w:r>
      <w:r>
        <w:rPr>
          <w:i/>
        </w:rPr>
        <w:t xml:space="preserve">                                                                                                                                                                                                                                                                                                                                                                                                                                                                                                                                                                                                                                                                                                                                                 </w:t>
      </w:r>
      <w:r>
        <w:t>.</w:t>
      </w:r>
    </w:p>
  </w:footnote>
  <w:footnote w:id="3">
    <w:p w14:paraId="6E7CF3DA" w14:textId="77777777" w:rsidR="00CB2030" w:rsidRDefault="00AB03C6" w:rsidP="00CB2030">
      <w:pPr>
        <w:pStyle w:val="FootnoteText"/>
        <w:ind w:firstLine="720"/>
      </w:pPr>
      <w:r w:rsidRPr="000B2B9A">
        <w:rPr>
          <w:rStyle w:val="FootnoteReference"/>
          <w:vertAlign w:val="superscript"/>
        </w:rPr>
        <w:footnoteRef/>
      </w:r>
      <w:r w:rsidR="00CB2030">
        <w:t>The mean hourly wage for SOC</w:t>
      </w:r>
      <w:r w:rsidR="00CB2030" w:rsidRPr="00C50762">
        <w:t xml:space="preserve"> </w:t>
      </w:r>
      <w:r w:rsidR="00CB2030">
        <w:t>51-0000, “Production Occupatio</w:t>
      </w:r>
      <w:r w:rsidR="00A72F03">
        <w:t>ns,” (Major Group)</w:t>
      </w:r>
      <w:r w:rsidR="00E91CFC">
        <w:t xml:space="preserve"> is $19.</w:t>
      </w:r>
      <w:r w:rsidR="00CB2030">
        <w:t>3</w:t>
      </w:r>
      <w:r w:rsidR="00A72F03">
        <w:t>0</w:t>
      </w:r>
      <w:r w:rsidR="00CB2030">
        <w:t>.</w:t>
      </w:r>
    </w:p>
    <w:p w14:paraId="4AA3E1EA" w14:textId="77777777" w:rsidR="00AB03C6" w:rsidRPr="007F7C09" w:rsidRDefault="00AB03C6" w:rsidP="00AB03C6">
      <w:pPr>
        <w:pStyle w:val="NormalWeb"/>
        <w:ind w:firstLine="720"/>
      </w:pPr>
    </w:p>
    <w:p w14:paraId="0C1EA142" w14:textId="77777777" w:rsidR="00AB03C6" w:rsidRPr="007F7C09" w:rsidRDefault="00AB03C6" w:rsidP="00AB03C6">
      <w:pPr>
        <w:keepLines/>
        <w:ind w:firstLine="90"/>
      </w:pPr>
    </w:p>
    <w:p w14:paraId="0E1D0CE3" w14:textId="77777777" w:rsidR="00AB03C6" w:rsidRPr="007F7C09" w:rsidRDefault="00AB03C6" w:rsidP="00AB03C6">
      <w:pPr>
        <w:pStyle w:val="FootnoteText"/>
        <w:ind w:firstLine="720"/>
      </w:pPr>
    </w:p>
    <w:p w14:paraId="0B8424E1" w14:textId="77777777" w:rsidR="00AB03C6" w:rsidRDefault="00AB03C6" w:rsidP="00AB03C6">
      <w:pPr>
        <w:pStyle w:val="FootnoteText"/>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8F83" w14:textId="77777777" w:rsidR="00F579D2" w:rsidRPr="00B62FCC" w:rsidRDefault="00F579D2">
    <w:pPr>
      <w:pStyle w:val="Header"/>
      <w:rPr>
        <w:sz w:val="20"/>
        <w:szCs w:val="20"/>
      </w:rPr>
    </w:pPr>
    <w:r w:rsidRPr="00B62FCC">
      <w:rPr>
        <w:sz w:val="20"/>
        <w:szCs w:val="20"/>
      </w:rPr>
      <w:t>Standard on Storage and Handling of Anhydrous Ammonia</w:t>
    </w:r>
    <w:r w:rsidR="00B62FCC">
      <w:rPr>
        <w:sz w:val="20"/>
        <w:szCs w:val="20"/>
      </w:rPr>
      <w:t xml:space="preserve"> (29 CFR 1910.111)</w:t>
    </w:r>
    <w:r w:rsidRPr="00B62FCC">
      <w:rPr>
        <w:sz w:val="20"/>
        <w:szCs w:val="20"/>
      </w:rPr>
      <w:t xml:space="preserve"> </w:t>
    </w:r>
  </w:p>
  <w:p w14:paraId="06189013" w14:textId="77777777" w:rsidR="00F579D2" w:rsidRPr="00B62FCC" w:rsidRDefault="00F579D2">
    <w:pPr>
      <w:pStyle w:val="Header"/>
      <w:rPr>
        <w:sz w:val="20"/>
        <w:szCs w:val="20"/>
      </w:rPr>
    </w:pPr>
    <w:r w:rsidRPr="00B62FCC">
      <w:rPr>
        <w:sz w:val="20"/>
        <w:szCs w:val="20"/>
      </w:rPr>
      <w:t>1218-0208</w:t>
    </w:r>
  </w:p>
  <w:p w14:paraId="775BE990" w14:textId="77777777" w:rsidR="00F579D2" w:rsidRPr="00B62FCC" w:rsidRDefault="00AE2F75">
    <w:pPr>
      <w:pStyle w:val="Header"/>
      <w:rPr>
        <w:sz w:val="20"/>
        <w:szCs w:val="20"/>
      </w:rPr>
    </w:pPr>
    <w:r w:rsidRPr="00B62FCC">
      <w:rPr>
        <w:sz w:val="20"/>
        <w:szCs w:val="20"/>
      </w:rPr>
      <w:t xml:space="preserve">October </w:t>
    </w:r>
    <w:r w:rsidR="00B62FCC">
      <w:rPr>
        <w:sz w:val="20"/>
        <w:szCs w:val="20"/>
      </w:rPr>
      <w:t xml:space="preserve">31, </w:t>
    </w:r>
    <w:r w:rsidR="00B808A9" w:rsidRPr="00B62FCC">
      <w:rPr>
        <w:sz w:val="20"/>
        <w:szCs w:val="20"/>
      </w:rPr>
      <w:t>2020</w:t>
    </w:r>
  </w:p>
  <w:p w14:paraId="1C1C3027" w14:textId="77777777" w:rsidR="00C2776C" w:rsidRDefault="00C2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0"/>
    <w:lvl w:ilvl="0">
      <w:start w:val="1"/>
      <w:numFmt w:val="decimal"/>
      <w:pStyle w:val="Level1"/>
      <w:lvlText w:val="(%1)"/>
      <w:lvlJc w:val="left"/>
      <w:pPr>
        <w:tabs>
          <w:tab w:val="num" w:pos="720"/>
        </w:tabs>
        <w:ind w:left="90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97285D"/>
    <w:multiLevelType w:val="hybridMultilevel"/>
    <w:tmpl w:val="65444A42"/>
    <w:lvl w:ilvl="0" w:tplc="0409000F">
      <w:start w:val="1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 w15:restartNumberingAfterBreak="0">
    <w:nsid w:val="717014C7"/>
    <w:multiLevelType w:val="hybridMultilevel"/>
    <w:tmpl w:val="2252F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C6"/>
    <w:rsid w:val="00010609"/>
    <w:rsid w:val="00035921"/>
    <w:rsid w:val="000407F8"/>
    <w:rsid w:val="00042421"/>
    <w:rsid w:val="00066D58"/>
    <w:rsid w:val="00073C7D"/>
    <w:rsid w:val="00073EA2"/>
    <w:rsid w:val="000C3D8E"/>
    <w:rsid w:val="001104FC"/>
    <w:rsid w:val="001855F0"/>
    <w:rsid w:val="00186068"/>
    <w:rsid w:val="00196DB0"/>
    <w:rsid w:val="001C286F"/>
    <w:rsid w:val="00206F9A"/>
    <w:rsid w:val="002157BB"/>
    <w:rsid w:val="0026591F"/>
    <w:rsid w:val="002C0034"/>
    <w:rsid w:val="002E761D"/>
    <w:rsid w:val="003356DA"/>
    <w:rsid w:val="00353398"/>
    <w:rsid w:val="003957E5"/>
    <w:rsid w:val="003B203A"/>
    <w:rsid w:val="003B22D2"/>
    <w:rsid w:val="003F7A17"/>
    <w:rsid w:val="004C7081"/>
    <w:rsid w:val="005022FD"/>
    <w:rsid w:val="005226A1"/>
    <w:rsid w:val="00522764"/>
    <w:rsid w:val="00543BE1"/>
    <w:rsid w:val="00553A3E"/>
    <w:rsid w:val="005E7B00"/>
    <w:rsid w:val="0063330A"/>
    <w:rsid w:val="0063575C"/>
    <w:rsid w:val="00640984"/>
    <w:rsid w:val="00642CDF"/>
    <w:rsid w:val="00695B91"/>
    <w:rsid w:val="006A2281"/>
    <w:rsid w:val="006B7763"/>
    <w:rsid w:val="006C1940"/>
    <w:rsid w:val="006D720B"/>
    <w:rsid w:val="00736B42"/>
    <w:rsid w:val="007B5C33"/>
    <w:rsid w:val="007C3A9E"/>
    <w:rsid w:val="00804DC4"/>
    <w:rsid w:val="00817B2B"/>
    <w:rsid w:val="00827A43"/>
    <w:rsid w:val="00833E92"/>
    <w:rsid w:val="00844BF2"/>
    <w:rsid w:val="008707DC"/>
    <w:rsid w:val="008A08EC"/>
    <w:rsid w:val="008B5337"/>
    <w:rsid w:val="00920DBF"/>
    <w:rsid w:val="00944B4F"/>
    <w:rsid w:val="00996469"/>
    <w:rsid w:val="00997548"/>
    <w:rsid w:val="009A25D9"/>
    <w:rsid w:val="009A3B98"/>
    <w:rsid w:val="009B0CE1"/>
    <w:rsid w:val="009B19E6"/>
    <w:rsid w:val="009D1A20"/>
    <w:rsid w:val="009D673F"/>
    <w:rsid w:val="00A11DB3"/>
    <w:rsid w:val="00A662C4"/>
    <w:rsid w:val="00A72F03"/>
    <w:rsid w:val="00A96991"/>
    <w:rsid w:val="00AB03C6"/>
    <w:rsid w:val="00AE2F75"/>
    <w:rsid w:val="00B26056"/>
    <w:rsid w:val="00B62FCC"/>
    <w:rsid w:val="00B808A9"/>
    <w:rsid w:val="00BA5A97"/>
    <w:rsid w:val="00BE3F20"/>
    <w:rsid w:val="00BF0F47"/>
    <w:rsid w:val="00C03006"/>
    <w:rsid w:val="00C2776C"/>
    <w:rsid w:val="00C317F0"/>
    <w:rsid w:val="00C47FE0"/>
    <w:rsid w:val="00C74FC3"/>
    <w:rsid w:val="00CB155C"/>
    <w:rsid w:val="00CB2030"/>
    <w:rsid w:val="00CF6668"/>
    <w:rsid w:val="00D03764"/>
    <w:rsid w:val="00D10099"/>
    <w:rsid w:val="00D559D8"/>
    <w:rsid w:val="00D76777"/>
    <w:rsid w:val="00D76B85"/>
    <w:rsid w:val="00D86453"/>
    <w:rsid w:val="00DE5E01"/>
    <w:rsid w:val="00E134CE"/>
    <w:rsid w:val="00E1366C"/>
    <w:rsid w:val="00E91CFC"/>
    <w:rsid w:val="00EA73A5"/>
    <w:rsid w:val="00F17E4F"/>
    <w:rsid w:val="00F579D2"/>
    <w:rsid w:val="00FA5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7B521"/>
  <w15:docId w15:val="{37F8F64F-170E-489C-876A-B15EBF28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3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B03C6"/>
  </w:style>
  <w:style w:type="paragraph" w:customStyle="1" w:styleId="Level1">
    <w:name w:val="Level 1"/>
    <w:basedOn w:val="Normal"/>
    <w:rsid w:val="00AB03C6"/>
    <w:pPr>
      <w:numPr>
        <w:numId w:val="1"/>
      </w:numPr>
      <w:ind w:left="990" w:hanging="270"/>
      <w:outlineLvl w:val="0"/>
    </w:pPr>
  </w:style>
  <w:style w:type="paragraph" w:styleId="FootnoteText">
    <w:name w:val="footnote text"/>
    <w:basedOn w:val="Normal"/>
    <w:link w:val="FootnoteTextChar"/>
    <w:rsid w:val="00AB03C6"/>
    <w:rPr>
      <w:sz w:val="20"/>
      <w:szCs w:val="20"/>
    </w:rPr>
  </w:style>
  <w:style w:type="character" w:customStyle="1" w:styleId="FootnoteTextChar">
    <w:name w:val="Footnote Text Char"/>
    <w:basedOn w:val="DefaultParagraphFont"/>
    <w:link w:val="FootnoteText"/>
    <w:rsid w:val="00AB03C6"/>
    <w:rPr>
      <w:rFonts w:ascii="Times New Roman" w:eastAsia="Times New Roman" w:hAnsi="Times New Roman" w:cs="Times New Roman"/>
      <w:sz w:val="20"/>
      <w:szCs w:val="20"/>
    </w:rPr>
  </w:style>
  <w:style w:type="paragraph" w:styleId="NormalWeb">
    <w:name w:val="Normal (Web)"/>
    <w:basedOn w:val="Normal"/>
    <w:uiPriority w:val="99"/>
    <w:unhideWhenUsed/>
    <w:rsid w:val="00AB03C6"/>
    <w:pPr>
      <w:widowControl/>
      <w:autoSpaceDE/>
      <w:autoSpaceDN/>
      <w:adjustRightInd/>
    </w:pPr>
    <w:rPr>
      <w:rFonts w:eastAsia="Calibri"/>
    </w:rPr>
  </w:style>
  <w:style w:type="character" w:styleId="Hyperlink">
    <w:name w:val="Hyperlink"/>
    <w:unhideWhenUsed/>
    <w:rsid w:val="00AB03C6"/>
    <w:rPr>
      <w:color w:val="003399"/>
      <w:u w:val="single"/>
    </w:rPr>
  </w:style>
  <w:style w:type="paragraph" w:styleId="Header">
    <w:name w:val="header"/>
    <w:basedOn w:val="Normal"/>
    <w:link w:val="HeaderChar"/>
    <w:uiPriority w:val="99"/>
    <w:unhideWhenUsed/>
    <w:rsid w:val="00C2776C"/>
    <w:pPr>
      <w:tabs>
        <w:tab w:val="center" w:pos="4680"/>
        <w:tab w:val="right" w:pos="9360"/>
      </w:tabs>
    </w:pPr>
  </w:style>
  <w:style w:type="character" w:customStyle="1" w:styleId="HeaderChar">
    <w:name w:val="Header Char"/>
    <w:basedOn w:val="DefaultParagraphFont"/>
    <w:link w:val="Header"/>
    <w:uiPriority w:val="99"/>
    <w:rsid w:val="00C277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776C"/>
    <w:pPr>
      <w:tabs>
        <w:tab w:val="center" w:pos="4680"/>
        <w:tab w:val="right" w:pos="9360"/>
      </w:tabs>
    </w:pPr>
  </w:style>
  <w:style w:type="character" w:customStyle="1" w:styleId="FooterChar">
    <w:name w:val="Footer Char"/>
    <w:basedOn w:val="DefaultParagraphFont"/>
    <w:link w:val="Footer"/>
    <w:uiPriority w:val="99"/>
    <w:rsid w:val="00C277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76C"/>
    <w:rPr>
      <w:rFonts w:ascii="Tahoma" w:hAnsi="Tahoma" w:cs="Tahoma"/>
      <w:sz w:val="16"/>
      <w:szCs w:val="16"/>
    </w:rPr>
  </w:style>
  <w:style w:type="character" w:customStyle="1" w:styleId="BalloonTextChar">
    <w:name w:val="Balloon Text Char"/>
    <w:basedOn w:val="DefaultParagraphFont"/>
    <w:link w:val="BalloonText"/>
    <w:uiPriority w:val="99"/>
    <w:semiHidden/>
    <w:rsid w:val="00C2776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855F0"/>
    <w:rPr>
      <w:sz w:val="16"/>
      <w:szCs w:val="16"/>
    </w:rPr>
  </w:style>
  <w:style w:type="paragraph" w:styleId="CommentText">
    <w:name w:val="annotation text"/>
    <w:basedOn w:val="Normal"/>
    <w:link w:val="CommentTextChar"/>
    <w:uiPriority w:val="99"/>
    <w:semiHidden/>
    <w:unhideWhenUsed/>
    <w:rsid w:val="001855F0"/>
    <w:rPr>
      <w:sz w:val="20"/>
      <w:szCs w:val="20"/>
    </w:rPr>
  </w:style>
  <w:style w:type="character" w:customStyle="1" w:styleId="CommentTextChar">
    <w:name w:val="Comment Text Char"/>
    <w:basedOn w:val="DefaultParagraphFont"/>
    <w:link w:val="CommentText"/>
    <w:uiPriority w:val="99"/>
    <w:semiHidden/>
    <w:rsid w:val="001855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55F0"/>
    <w:rPr>
      <w:b/>
      <w:bCs/>
    </w:rPr>
  </w:style>
  <w:style w:type="character" w:customStyle="1" w:styleId="CommentSubjectChar">
    <w:name w:val="Comment Subject Char"/>
    <w:basedOn w:val="CommentTextChar"/>
    <w:link w:val="CommentSubject"/>
    <w:uiPriority w:val="99"/>
    <w:semiHidden/>
    <w:rsid w:val="001855F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757446">
      <w:bodyDiv w:val="1"/>
      <w:marLeft w:val="0"/>
      <w:marRight w:val="0"/>
      <w:marTop w:val="0"/>
      <w:marBottom w:val="0"/>
      <w:divBdr>
        <w:top w:val="none" w:sz="0" w:space="0" w:color="auto"/>
        <w:left w:val="none" w:sz="0" w:space="0" w:color="auto"/>
        <w:bottom w:val="none" w:sz="0" w:space="0" w:color="auto"/>
        <w:right w:val="none" w:sz="0" w:space="0" w:color="auto"/>
      </w:divBdr>
    </w:div>
    <w:div w:id="1238437445">
      <w:bodyDiv w:val="1"/>
      <w:marLeft w:val="0"/>
      <w:marRight w:val="0"/>
      <w:marTop w:val="0"/>
      <w:marBottom w:val="0"/>
      <w:divBdr>
        <w:top w:val="none" w:sz="0" w:space="0" w:color="auto"/>
        <w:left w:val="none" w:sz="0" w:space="0" w:color="auto"/>
        <w:bottom w:val="none" w:sz="0" w:space="0" w:color="auto"/>
        <w:right w:val="none" w:sz="0" w:space="0" w:color="auto"/>
      </w:divBdr>
    </w:div>
    <w:div w:id="208071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tables.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802AEFB5D7747A33B6E2329E24637" ma:contentTypeVersion="8" ma:contentTypeDescription="Create a new document." ma:contentTypeScope="" ma:versionID="f33faa7bc8c7554fe2b83edc3d1c8b61">
  <xsd:schema xmlns:xsd="http://www.w3.org/2001/XMLSchema" xmlns:xs="http://www.w3.org/2001/XMLSchema" xmlns:p="http://schemas.microsoft.com/office/2006/metadata/properties" xmlns:ns3="b31e9ac3-e9ea-478f-867b-1d49b715581c" targetNamespace="http://schemas.microsoft.com/office/2006/metadata/properties" ma:root="true" ma:fieldsID="0547b5c73009e31bba3c3cf9b58ae211" ns3:_="">
    <xsd:import namespace="b31e9ac3-e9ea-478f-867b-1d49b71558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e9ac3-e9ea-478f-867b-1d49b7155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97B40-3E3D-40AF-BC48-6DBB3397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e9ac3-e9ea-478f-867b-1d49b7155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3D5E0-21B1-4AF3-8F8B-AAD228346E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D8C58F-B3E9-4283-BE15-B38EA79A018E}">
  <ds:schemaRefs>
    <ds:schemaRef ds:uri="http://schemas.microsoft.com/sharepoint/v3/contenttype/forms"/>
  </ds:schemaRefs>
</ds:datastoreItem>
</file>

<file path=customXml/itemProps4.xml><?xml version="1.0" encoding="utf-8"?>
<ds:datastoreItem xmlns:ds="http://schemas.openxmlformats.org/officeDocument/2006/customXml" ds:itemID="{62A1F5F5-0A38-45AC-ADE2-9DA81E7FD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Washington, Robert - OSHA</cp:lastModifiedBy>
  <cp:revision>2</cp:revision>
  <dcterms:created xsi:type="dcterms:W3CDTF">2020-10-02T18:18:00Z</dcterms:created>
  <dcterms:modified xsi:type="dcterms:W3CDTF">2020-10-02T18:18:00Z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0x010100EE2802AEFB5D7747A33B6E2329E24637</vt:lpwstr>
  </property>
</Properties>
</file>