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0D90" w:rsidR="00032834" w:rsidRDefault="00DB0D90" w14:paraId="6680A968" w14:textId="77777777">
      <w:pPr>
        <w:jc w:val="center"/>
        <w:rPr>
          <w:rFonts w:ascii="Times New Roman" w:hAnsi="Times New Roman"/>
          <w:sz w:val="24"/>
          <w:szCs w:val="24"/>
          <w:u w:val="single"/>
        </w:rPr>
      </w:pPr>
      <w:bookmarkStart w:name="_GoBack" w:id="0"/>
      <w:bookmarkEnd w:id="0"/>
      <w:r>
        <w:rPr>
          <w:rFonts w:ascii="Times New Roman" w:hAnsi="Times New Roman"/>
          <w:sz w:val="24"/>
          <w:szCs w:val="24"/>
          <w:u w:val="single"/>
        </w:rPr>
        <w:t>Supporting Statement</w:t>
      </w:r>
    </w:p>
    <w:p w:rsidRPr="00021BB2" w:rsidR="00BD09C8" w:rsidP="00BD09C8" w:rsidRDefault="00021BB2" w14:paraId="70EFF117" w14:textId="77777777">
      <w:pPr>
        <w:jc w:val="center"/>
        <w:rPr>
          <w:rFonts w:ascii="Times New Roman" w:hAnsi="Times New Roman"/>
          <w:sz w:val="24"/>
          <w:szCs w:val="24"/>
          <w:u w:val="single"/>
        </w:rPr>
      </w:pPr>
      <w:r w:rsidRPr="00021BB2">
        <w:rPr>
          <w:rFonts w:ascii="Times New Roman" w:hAnsi="Times New Roman"/>
          <w:sz w:val="24"/>
          <w:szCs w:val="24"/>
          <w:u w:val="single"/>
        </w:rPr>
        <w:t>O</w:t>
      </w:r>
      <w:r w:rsidR="00137D9B">
        <w:rPr>
          <w:rFonts w:ascii="Times New Roman" w:hAnsi="Times New Roman"/>
          <w:sz w:val="24"/>
          <w:szCs w:val="24"/>
          <w:u w:val="single"/>
        </w:rPr>
        <w:t>ffice of Management and Budge</w:t>
      </w:r>
      <w:r w:rsidR="004F1ED4">
        <w:rPr>
          <w:rFonts w:ascii="Times New Roman" w:hAnsi="Times New Roman"/>
          <w:sz w:val="24"/>
          <w:szCs w:val="24"/>
          <w:u w:val="single"/>
        </w:rPr>
        <w:t>t</w:t>
      </w:r>
      <w:r w:rsidR="00137D9B">
        <w:rPr>
          <w:rFonts w:ascii="Times New Roman" w:hAnsi="Times New Roman"/>
          <w:sz w:val="24"/>
          <w:szCs w:val="24"/>
          <w:u w:val="single"/>
        </w:rPr>
        <w:t xml:space="preserve"> (O</w:t>
      </w:r>
      <w:r w:rsidRPr="00021BB2">
        <w:rPr>
          <w:rFonts w:ascii="Times New Roman" w:hAnsi="Times New Roman"/>
          <w:sz w:val="24"/>
          <w:szCs w:val="24"/>
          <w:u w:val="single"/>
        </w:rPr>
        <w:t>MB</w:t>
      </w:r>
      <w:r w:rsidR="00137D9B">
        <w:rPr>
          <w:rFonts w:ascii="Times New Roman" w:hAnsi="Times New Roman"/>
          <w:sz w:val="24"/>
          <w:szCs w:val="24"/>
          <w:u w:val="single"/>
        </w:rPr>
        <w:t>)</w:t>
      </w:r>
      <w:r w:rsidRPr="00021BB2">
        <w:rPr>
          <w:rFonts w:ascii="Times New Roman" w:hAnsi="Times New Roman"/>
          <w:sz w:val="24"/>
          <w:szCs w:val="24"/>
          <w:u w:val="single"/>
        </w:rPr>
        <w:t xml:space="preserve"> Control Numbers </w:t>
      </w:r>
      <w:r w:rsidRPr="00021BB2" w:rsidR="00BD09C8">
        <w:rPr>
          <w:rFonts w:ascii="Times New Roman" w:hAnsi="Times New Roman" w:eastAsia="Calibri"/>
          <w:sz w:val="24"/>
          <w:szCs w:val="24"/>
          <w:u w:val="single"/>
        </w:rPr>
        <w:t xml:space="preserve">1506-0001, </w:t>
      </w:r>
      <w:r w:rsidR="00137D9B">
        <w:rPr>
          <w:rFonts w:ascii="Times New Roman" w:hAnsi="Times New Roman" w:eastAsia="Calibri"/>
          <w:sz w:val="24"/>
          <w:szCs w:val="24"/>
          <w:u w:val="single"/>
        </w:rPr>
        <w:br/>
      </w:r>
      <w:r w:rsidRPr="00021BB2" w:rsidR="00BD09C8">
        <w:rPr>
          <w:rFonts w:ascii="Times New Roman" w:hAnsi="Times New Roman" w:eastAsia="Calibri"/>
          <w:sz w:val="24"/>
          <w:szCs w:val="24"/>
          <w:u w:val="single"/>
        </w:rPr>
        <w:t>1506-0006, 1506-0015, 1506-0019, 1506-0029, 1506-0061, and</w:t>
      </w:r>
      <w:r w:rsidRPr="00021BB2" w:rsidR="00BD09C8">
        <w:rPr>
          <w:rFonts w:ascii="Times New Roman" w:hAnsi="Times New Roman"/>
          <w:sz w:val="24"/>
          <w:szCs w:val="24"/>
          <w:u w:val="single"/>
        </w:rPr>
        <w:t xml:space="preserve"> 1506-0065</w:t>
      </w:r>
    </w:p>
    <w:p w:rsidR="00CD6347" w:rsidP="00BD09C8" w:rsidRDefault="00CD6347" w14:paraId="4000F84A" w14:textId="77777777">
      <w:pPr>
        <w:jc w:val="center"/>
        <w:rPr>
          <w:rFonts w:ascii="Times New Roman" w:hAnsi="Times New Roman" w:eastAsia="MS Mincho"/>
          <w:bCs/>
          <w:sz w:val="24"/>
          <w:szCs w:val="24"/>
        </w:rPr>
      </w:pPr>
    </w:p>
    <w:p w:rsidR="005B10D8" w:rsidP="005B10D8" w:rsidRDefault="00DB0D90" w14:paraId="00420F52" w14:textId="77777777">
      <w:pPr>
        <w:jc w:val="center"/>
        <w:rPr>
          <w:rFonts w:ascii="Times New Roman" w:hAnsi="Times New Roman"/>
          <w:sz w:val="24"/>
          <w:szCs w:val="24"/>
          <w:u w:val="single"/>
        </w:rPr>
      </w:pPr>
      <w:r w:rsidRPr="00CD6347">
        <w:rPr>
          <w:rFonts w:ascii="Times New Roman" w:hAnsi="Times New Roman" w:eastAsia="MS Mincho"/>
          <w:bCs/>
          <w:sz w:val="24"/>
          <w:szCs w:val="24"/>
          <w:u w:val="single"/>
        </w:rPr>
        <w:t>Reports by Financial Institutions of Suspicious Transactions</w:t>
      </w:r>
      <w:r w:rsidR="00CD6347">
        <w:rPr>
          <w:rFonts w:ascii="Times New Roman" w:hAnsi="Times New Roman"/>
          <w:sz w:val="24"/>
          <w:szCs w:val="24"/>
          <w:u w:val="single"/>
        </w:rPr>
        <w:t xml:space="preserve"> </w:t>
      </w:r>
    </w:p>
    <w:p w:rsidRPr="00CD6347" w:rsidR="00DB0D90" w:rsidP="005B10D8" w:rsidRDefault="00CD6347" w14:paraId="01526781" w14:textId="77777777">
      <w:pPr>
        <w:jc w:val="center"/>
        <w:rPr>
          <w:rFonts w:ascii="Times New Roman" w:hAnsi="Times New Roman"/>
          <w:sz w:val="24"/>
          <w:szCs w:val="24"/>
          <w:u w:val="single"/>
        </w:rPr>
      </w:pPr>
      <w:r>
        <w:rPr>
          <w:rFonts w:ascii="Times New Roman" w:hAnsi="Times New Roman"/>
          <w:sz w:val="24"/>
          <w:szCs w:val="24"/>
          <w:u w:val="single"/>
        </w:rPr>
        <w:t xml:space="preserve">and </w:t>
      </w:r>
      <w:r w:rsidRPr="00CD6347" w:rsidR="00DB0D90">
        <w:rPr>
          <w:rFonts w:ascii="Times New Roman" w:hAnsi="Times New Roman"/>
          <w:sz w:val="24"/>
          <w:szCs w:val="24"/>
          <w:u w:val="single"/>
        </w:rPr>
        <w:t>FinCEN Report 111 - Suspicious Activity Report</w:t>
      </w:r>
      <w:r w:rsidR="004F1ED4">
        <w:rPr>
          <w:rFonts w:ascii="Times New Roman" w:hAnsi="Times New Roman"/>
          <w:sz w:val="24"/>
          <w:szCs w:val="24"/>
          <w:u w:val="single"/>
        </w:rPr>
        <w:t xml:space="preserve"> (SAR)</w:t>
      </w:r>
    </w:p>
    <w:p w:rsidRPr="00CD6347" w:rsidR="00F50E8E" w:rsidP="005B10D8" w:rsidRDefault="00F50E8E" w14:paraId="51596182" w14:textId="77777777">
      <w:pPr>
        <w:jc w:val="center"/>
        <w:rPr>
          <w:rFonts w:ascii="Times New Roman" w:hAnsi="Times New Roman"/>
          <w:sz w:val="24"/>
          <w:szCs w:val="24"/>
          <w:u w:val="single"/>
        </w:rPr>
      </w:pPr>
    </w:p>
    <w:p w:rsidRPr="006458D8" w:rsidR="005957E7" w:rsidRDefault="00A35BD4" w14:paraId="6CFE8F6E" w14:textId="77777777">
      <w:pPr>
        <w:rPr>
          <w:rFonts w:ascii="Times New Roman" w:hAnsi="Times New Roman"/>
          <w:sz w:val="24"/>
          <w:szCs w:val="24"/>
          <w:u w:val="single"/>
        </w:rPr>
      </w:pPr>
      <w:r w:rsidRPr="006458D8">
        <w:rPr>
          <w:rFonts w:ascii="Times New Roman" w:hAnsi="Times New Roman"/>
          <w:sz w:val="24"/>
          <w:szCs w:val="24"/>
        </w:rPr>
        <w:t xml:space="preserve">1.  </w:t>
      </w:r>
      <w:r w:rsidRPr="006458D8">
        <w:rPr>
          <w:rFonts w:ascii="Times New Roman" w:hAnsi="Times New Roman"/>
          <w:sz w:val="24"/>
          <w:szCs w:val="24"/>
          <w:u w:val="single"/>
        </w:rPr>
        <w:t>Circumstances Necessitating Collection of Information</w:t>
      </w:r>
      <w:r w:rsidR="00893FB4">
        <w:rPr>
          <w:rFonts w:ascii="Times New Roman" w:hAnsi="Times New Roman"/>
          <w:sz w:val="24"/>
          <w:szCs w:val="24"/>
          <w:u w:val="single"/>
        </w:rPr>
        <w:t>.</w:t>
      </w:r>
    </w:p>
    <w:p w:rsidR="00C35A46" w:rsidP="00C35A46" w:rsidRDefault="00C35A46" w14:paraId="7CD14DE4" w14:textId="77777777">
      <w:pPr>
        <w:pStyle w:val="BodyTextIndent"/>
        <w:spacing w:after="0"/>
        <w:ind w:left="0"/>
      </w:pPr>
    </w:p>
    <w:p w:rsidR="00832A67" w:rsidP="008E1703" w:rsidRDefault="00CD6347" w14:paraId="04A6296E" w14:textId="77777777">
      <w:pPr>
        <w:ind w:firstLine="720"/>
        <w:rPr>
          <w:rFonts w:ascii="Times New Roman" w:hAnsi="Times New Roman" w:eastAsia="MS Mincho"/>
          <w:sz w:val="24"/>
          <w:szCs w:val="24"/>
        </w:rPr>
      </w:pPr>
      <w:r w:rsidRPr="00CD6347">
        <w:rPr>
          <w:rFonts w:ascii="Times New Roman" w:hAnsi="Times New Roman"/>
          <w:sz w:val="24"/>
          <w:szCs w:val="24"/>
        </w:rPr>
        <w:t xml:space="preserve">The Financial Crimes Enforcement Network (“FinCEN”) exercises regulatory functions primarily under the Currency and Financial Transactions Reporting Act of 1970, as amended by the USA PATRIOT Act of 2001 and other </w:t>
      </w:r>
      <w:r w:rsidR="005C0277">
        <w:rPr>
          <w:rFonts w:ascii="Times New Roman" w:hAnsi="Times New Roman"/>
          <w:sz w:val="24"/>
          <w:szCs w:val="24"/>
        </w:rPr>
        <w:t>legislation. </w:t>
      </w:r>
      <w:r w:rsidRPr="00CD6347">
        <w:rPr>
          <w:rFonts w:ascii="Times New Roman" w:hAnsi="Times New Roman"/>
          <w:sz w:val="24"/>
          <w:szCs w:val="24"/>
        </w:rPr>
        <w:t>This le</w:t>
      </w:r>
      <w:r w:rsidR="008E1703">
        <w:rPr>
          <w:rFonts w:ascii="Times New Roman" w:hAnsi="Times New Roman"/>
          <w:sz w:val="24"/>
          <w:szCs w:val="24"/>
        </w:rPr>
        <w:t xml:space="preserve">gislative framework is commonly </w:t>
      </w:r>
      <w:r w:rsidRPr="00CD6347">
        <w:rPr>
          <w:rFonts w:ascii="Times New Roman" w:hAnsi="Times New Roman"/>
          <w:sz w:val="24"/>
          <w:szCs w:val="24"/>
        </w:rPr>
        <w:t>referred to as the “Bank Secrecy Act” (“BSA”).</w:t>
      </w:r>
      <w:r w:rsidRPr="00CD6347">
        <w:rPr>
          <w:rStyle w:val="FootnoteReference"/>
          <w:rFonts w:ascii="Times New Roman" w:hAnsi="Times New Roman"/>
          <w:sz w:val="24"/>
          <w:szCs w:val="24"/>
        </w:rPr>
        <w:footnoteReference w:id="1"/>
      </w:r>
      <w:r w:rsidRPr="00CD6347">
        <w:rPr>
          <w:rFonts w:ascii="Times New Roman" w:hAnsi="Times New Roman"/>
          <w:sz w:val="24"/>
          <w:szCs w:val="24"/>
        </w:rPr>
        <w:t>  The Secretary of the Treasury has delegated to the Director of FinCEN the authority to implement, administer, and enforce compliance with the BSA and associated regulations.</w:t>
      </w:r>
      <w:r w:rsidRPr="00CD6347">
        <w:rPr>
          <w:rStyle w:val="FootnoteReference"/>
          <w:rFonts w:ascii="Times New Roman" w:hAnsi="Times New Roman"/>
          <w:sz w:val="24"/>
          <w:szCs w:val="24"/>
        </w:rPr>
        <w:footnoteReference w:id="2"/>
      </w:r>
      <w:r w:rsidR="0043556F">
        <w:rPr>
          <w:rFonts w:ascii="Times New Roman" w:hAnsi="Times New Roman"/>
          <w:sz w:val="24"/>
          <w:szCs w:val="24"/>
        </w:rPr>
        <w:t> </w:t>
      </w:r>
      <w:r w:rsidRPr="00CD6347">
        <w:rPr>
          <w:rFonts w:ascii="Times New Roman" w:hAnsi="Times New Roman"/>
          <w:sz w:val="24"/>
          <w:szCs w:val="24"/>
        </w:rPr>
        <w:t>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CD6347">
        <w:rPr>
          <w:rStyle w:val="FootnoteReference"/>
          <w:rFonts w:ascii="Times New Roman" w:hAnsi="Times New Roman"/>
          <w:sz w:val="24"/>
          <w:szCs w:val="24"/>
        </w:rPr>
        <w:footnoteReference w:id="3"/>
      </w:r>
      <w:r w:rsidRPr="00CD6347">
        <w:rPr>
          <w:rFonts w:ascii="Times New Roman" w:hAnsi="Times New Roman"/>
          <w:sz w:val="24"/>
          <w:szCs w:val="24"/>
        </w:rPr>
        <w:t xml:space="preserve">  </w:t>
      </w:r>
      <w:r w:rsidR="008E1703">
        <w:rPr>
          <w:rFonts w:ascii="Times New Roman" w:hAnsi="Times New Roman"/>
          <w:sz w:val="24"/>
          <w:szCs w:val="24"/>
        </w:rPr>
        <w:t>U</w:t>
      </w:r>
      <w:r w:rsidRPr="00832A67" w:rsidR="00832A67">
        <w:rPr>
          <w:rFonts w:ascii="Times New Roman" w:hAnsi="Times New Roman"/>
          <w:sz w:val="24"/>
          <w:szCs w:val="24"/>
        </w:rPr>
        <w:t>nder 31 U.S.C. 5318(g), the Secretary of the Treasury is authorized to require financial institutions to report any suspicious transaction relevant to a possible violation of law or regulation</w:t>
      </w:r>
      <w:r w:rsidRPr="00832A67" w:rsidR="00832A67">
        <w:rPr>
          <w:rFonts w:ascii="Times New Roman" w:hAnsi="Times New Roman"/>
          <w:color w:val="333333"/>
          <w:sz w:val="24"/>
          <w:szCs w:val="24"/>
          <w:shd w:val="clear" w:color="auto" w:fill="FFFFFF"/>
        </w:rPr>
        <w:t xml:space="preserve">. </w:t>
      </w:r>
      <w:r w:rsidRPr="00832A67" w:rsidR="00832A67">
        <w:rPr>
          <w:rFonts w:ascii="Times New Roman" w:hAnsi="Times New Roman"/>
          <w:sz w:val="24"/>
          <w:szCs w:val="24"/>
        </w:rPr>
        <w:t xml:space="preserve">Regulations implementing 31 U.S.C. 5318(g) are found at </w:t>
      </w:r>
      <w:r w:rsidRPr="00832A67" w:rsidR="00832A67">
        <w:rPr>
          <w:rFonts w:ascii="Times New Roman" w:hAnsi="Times New Roman" w:eastAsia="MS Mincho"/>
          <w:sz w:val="24"/>
          <w:szCs w:val="24"/>
        </w:rPr>
        <w:t xml:space="preserve">31 CFR 1020.320, 1021.320, 1022.320, 1023.320, 1024.320, 1025.320, 1026.320, 1029.320, and </w:t>
      </w:r>
      <w:r w:rsidRPr="00832A67" w:rsidR="00832A67">
        <w:rPr>
          <w:rFonts w:ascii="Times New Roman" w:hAnsi="Times New Roman"/>
          <w:sz w:val="24"/>
          <w:szCs w:val="24"/>
        </w:rPr>
        <w:t>1030.320</w:t>
      </w:r>
      <w:r w:rsidRPr="00832A67" w:rsidR="00832A67">
        <w:rPr>
          <w:rFonts w:ascii="Times New Roman" w:hAnsi="Times New Roman" w:eastAsia="MS Mincho"/>
          <w:sz w:val="24"/>
          <w:szCs w:val="24"/>
        </w:rPr>
        <w:t>.</w:t>
      </w:r>
    </w:p>
    <w:p w:rsidR="00BD09C8" w:rsidP="008E1703" w:rsidRDefault="00BD09C8" w14:paraId="75900F57" w14:textId="77777777">
      <w:pPr>
        <w:ind w:firstLine="720"/>
        <w:rPr>
          <w:rFonts w:ascii="Times New Roman" w:hAnsi="Times New Roman" w:eastAsia="MS Mincho"/>
          <w:sz w:val="24"/>
          <w:szCs w:val="24"/>
        </w:rPr>
      </w:pPr>
    </w:p>
    <w:p w:rsidRPr="00BD09C8" w:rsidR="00BD09C8" w:rsidP="00BD09C8" w:rsidRDefault="00BD09C8" w14:paraId="32A96728" w14:textId="77777777">
      <w:pPr>
        <w:ind w:firstLine="720"/>
        <w:rPr>
          <w:rFonts w:ascii="Times New Roman" w:hAnsi="Times New Roman" w:eastAsia="Calibri"/>
          <w:sz w:val="24"/>
          <w:szCs w:val="24"/>
        </w:rPr>
      </w:pPr>
      <w:r w:rsidRPr="00BD09C8">
        <w:rPr>
          <w:rFonts w:ascii="Times New Roman" w:hAnsi="Times New Roman"/>
          <w:sz w:val="24"/>
          <w:szCs w:val="24"/>
        </w:rPr>
        <w:t xml:space="preserve">The regulations and </w:t>
      </w:r>
      <w:r w:rsidR="00CD0D84">
        <w:rPr>
          <w:rFonts w:ascii="Times New Roman" w:hAnsi="Times New Roman"/>
          <w:sz w:val="24"/>
          <w:szCs w:val="24"/>
        </w:rPr>
        <w:t xml:space="preserve">related </w:t>
      </w:r>
      <w:r w:rsidRPr="00BD09C8">
        <w:rPr>
          <w:rFonts w:ascii="Times New Roman" w:hAnsi="Times New Roman"/>
          <w:sz w:val="24"/>
          <w:szCs w:val="24"/>
        </w:rPr>
        <w:t>report</w:t>
      </w:r>
      <w:r w:rsidR="00CD0D84">
        <w:rPr>
          <w:rFonts w:ascii="Times New Roman" w:hAnsi="Times New Roman"/>
          <w:sz w:val="24"/>
          <w:szCs w:val="24"/>
        </w:rPr>
        <w:t>s</w:t>
      </w:r>
      <w:r w:rsidRPr="00BD09C8">
        <w:rPr>
          <w:rFonts w:ascii="Times New Roman" w:hAnsi="Times New Roman"/>
          <w:sz w:val="24"/>
          <w:szCs w:val="24"/>
        </w:rPr>
        <w:t xml:space="preserve"> correspond to the following OMB control numbers: </w:t>
      </w:r>
      <w:r w:rsidRPr="00BD09C8">
        <w:rPr>
          <w:rFonts w:ascii="Times New Roman" w:hAnsi="Times New Roman" w:eastAsia="Calibri"/>
          <w:sz w:val="24"/>
          <w:szCs w:val="24"/>
        </w:rPr>
        <w:t>1506-0001, 1506-0006, 1506-0015, 1506-0019, 1506-0029, 1506-0061, and</w:t>
      </w:r>
      <w:r w:rsidRPr="00BD09C8">
        <w:rPr>
          <w:rFonts w:ascii="Times New Roman" w:hAnsi="Times New Roman"/>
          <w:sz w:val="24"/>
          <w:szCs w:val="24"/>
        </w:rPr>
        <w:t xml:space="preserve"> 1506-0065</w:t>
      </w:r>
      <w:r>
        <w:rPr>
          <w:rFonts w:ascii="Times New Roman" w:hAnsi="Times New Roman"/>
          <w:sz w:val="24"/>
          <w:szCs w:val="24"/>
        </w:rPr>
        <w:t>.</w:t>
      </w:r>
      <w:r w:rsidRPr="00443436">
        <w:rPr>
          <w:rStyle w:val="FootnoteReference"/>
          <w:rFonts w:ascii="Times New Roman" w:hAnsi="Times New Roman" w:eastAsia="MS Mincho"/>
          <w:sz w:val="24"/>
          <w:szCs w:val="24"/>
        </w:rPr>
        <w:footnoteReference w:id="4"/>
      </w:r>
      <w:r w:rsidR="00D06F45">
        <w:rPr>
          <w:rFonts w:ascii="Times New Roman" w:hAnsi="Times New Roman" w:eastAsia="MS Mincho"/>
          <w:sz w:val="24"/>
          <w:szCs w:val="24"/>
        </w:rPr>
        <w:t xml:space="preserve"> </w:t>
      </w:r>
      <w:r w:rsidRPr="00D06F45" w:rsidR="00D06F45">
        <w:rPr>
          <w:rFonts w:ascii="Times New Roman" w:hAnsi="Times New Roman"/>
          <w:sz w:val="24"/>
          <w:szCs w:val="24"/>
        </w:rPr>
        <w:t xml:space="preserve">This supporting statement is </w:t>
      </w:r>
      <w:r w:rsidR="00137D9B">
        <w:rPr>
          <w:rFonts w:ascii="Times New Roman" w:hAnsi="Times New Roman"/>
          <w:sz w:val="24"/>
          <w:szCs w:val="24"/>
        </w:rPr>
        <w:t xml:space="preserve">being issued in connection with the </w:t>
      </w:r>
      <w:r w:rsidRPr="00D06F45" w:rsidR="00D06F45">
        <w:rPr>
          <w:rFonts w:ascii="Times New Roman" w:hAnsi="Times New Roman"/>
          <w:sz w:val="24"/>
          <w:szCs w:val="24"/>
        </w:rPr>
        <w:t>renew</w:t>
      </w:r>
      <w:r w:rsidR="00137D9B">
        <w:rPr>
          <w:rFonts w:ascii="Times New Roman" w:hAnsi="Times New Roman"/>
          <w:sz w:val="24"/>
          <w:szCs w:val="24"/>
        </w:rPr>
        <w:t>al</w:t>
      </w:r>
      <w:r w:rsidRPr="00D06F45" w:rsidR="00D06F45">
        <w:rPr>
          <w:rFonts w:ascii="Times New Roman" w:hAnsi="Times New Roman"/>
          <w:sz w:val="24"/>
          <w:szCs w:val="24"/>
        </w:rPr>
        <w:t xml:space="preserve"> </w:t>
      </w:r>
      <w:r w:rsidR="002C067B">
        <w:rPr>
          <w:rFonts w:ascii="Times New Roman" w:hAnsi="Times New Roman"/>
          <w:sz w:val="24"/>
          <w:szCs w:val="24"/>
        </w:rPr>
        <w:t xml:space="preserve">of </w:t>
      </w:r>
      <w:r w:rsidR="00D06F45">
        <w:rPr>
          <w:rFonts w:ascii="Times New Roman" w:hAnsi="Times New Roman"/>
          <w:sz w:val="24"/>
          <w:szCs w:val="24"/>
        </w:rPr>
        <w:t xml:space="preserve">all seven of these </w:t>
      </w:r>
      <w:r w:rsidRPr="00D06F45" w:rsidR="00D06F45">
        <w:rPr>
          <w:rFonts w:ascii="Times New Roman" w:hAnsi="Times New Roman"/>
          <w:sz w:val="24"/>
          <w:szCs w:val="24"/>
        </w:rPr>
        <w:t>OMB control numbers</w:t>
      </w:r>
      <w:r w:rsidR="00D06F45">
        <w:rPr>
          <w:rFonts w:ascii="Times New Roman" w:hAnsi="Times New Roman"/>
          <w:sz w:val="24"/>
          <w:szCs w:val="24"/>
        </w:rPr>
        <w:t>.</w:t>
      </w:r>
      <w:r w:rsidRPr="001D0EC3" w:rsidR="00D06F45">
        <w:rPr>
          <w:rFonts w:ascii="Times New Roman" w:hAnsi="Times New Roman"/>
          <w:sz w:val="24"/>
          <w:szCs w:val="24"/>
        </w:rPr>
        <w:t xml:space="preserve"> An administrative burden of one hour is assigned to each of the SAR regulation OMB control numbers in order to maintain the requirements in force.</w:t>
      </w:r>
      <w:r w:rsidRPr="001D0EC3" w:rsidR="00D06F45">
        <w:rPr>
          <w:rStyle w:val="FootnoteReference"/>
          <w:rFonts w:ascii="Times New Roman" w:hAnsi="Times New Roman"/>
          <w:sz w:val="24"/>
          <w:szCs w:val="24"/>
        </w:rPr>
        <w:footnoteReference w:id="5"/>
      </w:r>
      <w:r w:rsidRPr="001D0EC3" w:rsidR="00D06F45">
        <w:rPr>
          <w:rFonts w:ascii="Times New Roman" w:hAnsi="Times New Roman"/>
          <w:sz w:val="24"/>
          <w:szCs w:val="24"/>
        </w:rPr>
        <w:t xml:space="preserve"> The reporting and recordkeeping burden</w:t>
      </w:r>
      <w:r w:rsidR="004F1ED4">
        <w:rPr>
          <w:rFonts w:ascii="Times New Roman" w:hAnsi="Times New Roman"/>
          <w:sz w:val="24"/>
          <w:szCs w:val="24"/>
        </w:rPr>
        <w:t>s</w:t>
      </w:r>
      <w:r w:rsidRPr="001D0EC3" w:rsidR="00D06F45">
        <w:rPr>
          <w:rFonts w:ascii="Times New Roman" w:hAnsi="Times New Roman"/>
          <w:sz w:val="24"/>
          <w:szCs w:val="24"/>
        </w:rPr>
        <w:t xml:space="preserve"> </w:t>
      </w:r>
      <w:r w:rsidR="004F1ED4">
        <w:rPr>
          <w:rFonts w:ascii="Times New Roman" w:hAnsi="Times New Roman"/>
          <w:sz w:val="24"/>
          <w:szCs w:val="24"/>
        </w:rPr>
        <w:t xml:space="preserve">are </w:t>
      </w:r>
      <w:r w:rsidRPr="001D0EC3" w:rsidR="00D06F45">
        <w:rPr>
          <w:rFonts w:ascii="Times New Roman" w:hAnsi="Times New Roman"/>
          <w:sz w:val="24"/>
          <w:szCs w:val="24"/>
        </w:rPr>
        <w:t xml:space="preserve">reflected in FinCEN Report 111 – </w:t>
      </w:r>
      <w:r w:rsidR="002C067B">
        <w:rPr>
          <w:rFonts w:ascii="Times New Roman" w:hAnsi="Times New Roman"/>
          <w:sz w:val="24"/>
          <w:szCs w:val="24"/>
        </w:rPr>
        <w:t>Suspicious Activity Report (“SAR”)</w:t>
      </w:r>
      <w:r w:rsidRPr="001D0EC3" w:rsidR="00D06F45">
        <w:rPr>
          <w:rFonts w:ascii="Times New Roman" w:hAnsi="Times New Roman"/>
          <w:sz w:val="24"/>
          <w:szCs w:val="24"/>
        </w:rPr>
        <w:t xml:space="preserve"> under OMB control number 1506-0065. The rationale for assigning one burden hour to each of the SAR regulation OMB control numbers is that the annual burden hours would be double counted if FinCEN estimated burden in the industry SAR regulation OMB control numbers and in the SAR OMB control number.</w:t>
      </w:r>
    </w:p>
    <w:p w:rsidRPr="006458D8" w:rsidR="005957E7" w:rsidP="00D06F45" w:rsidRDefault="00BD09C8" w14:paraId="27E72866" w14:textId="77777777">
      <w:pPr>
        <w:ind w:firstLine="720"/>
        <w:rPr>
          <w:rFonts w:ascii="Times New Roman" w:hAnsi="Times New Roman"/>
          <w:sz w:val="24"/>
          <w:szCs w:val="24"/>
        </w:rPr>
      </w:pPr>
      <w:r>
        <w:t xml:space="preserve"> </w:t>
      </w:r>
    </w:p>
    <w:p w:rsidR="00A35BD4" w:rsidRDefault="00A35BD4" w14:paraId="6A0593BD" w14:textId="2B1AE6F6">
      <w:pPr>
        <w:rPr>
          <w:rFonts w:ascii="Times New Roman" w:hAnsi="Times New Roman"/>
          <w:sz w:val="24"/>
          <w:szCs w:val="24"/>
        </w:rPr>
      </w:pPr>
      <w:r w:rsidRPr="006458D8">
        <w:rPr>
          <w:rFonts w:ascii="Times New Roman" w:hAnsi="Times New Roman"/>
          <w:sz w:val="24"/>
          <w:szCs w:val="24"/>
        </w:rPr>
        <w:t xml:space="preserve">2.  </w:t>
      </w:r>
      <w:r w:rsidRPr="006458D8">
        <w:rPr>
          <w:rFonts w:ascii="Times New Roman" w:hAnsi="Times New Roman"/>
          <w:sz w:val="24"/>
          <w:szCs w:val="24"/>
          <w:u w:val="single"/>
        </w:rPr>
        <w:t>Method of Collection and Use of Data</w:t>
      </w:r>
      <w:r w:rsidRPr="006458D8">
        <w:rPr>
          <w:rFonts w:ascii="Times New Roman" w:hAnsi="Times New Roman"/>
          <w:sz w:val="24"/>
          <w:szCs w:val="24"/>
        </w:rPr>
        <w:t>.</w:t>
      </w:r>
    </w:p>
    <w:p w:rsidRPr="006458D8" w:rsidR="00B74A0B" w:rsidRDefault="00B74A0B" w14:paraId="421B46EE" w14:textId="77777777">
      <w:pPr>
        <w:rPr>
          <w:rFonts w:ascii="Times New Roman" w:hAnsi="Times New Roman"/>
          <w:sz w:val="24"/>
          <w:szCs w:val="24"/>
        </w:rPr>
      </w:pPr>
    </w:p>
    <w:p w:rsidRPr="005D7DC6" w:rsidR="005B10D8" w:rsidP="005D7DC6" w:rsidRDefault="005B10D8" w14:paraId="224FFB76" w14:textId="77777777">
      <w:pPr>
        <w:widowControl/>
        <w:ind w:firstLine="720"/>
        <w:rPr>
          <w:rFonts w:ascii="Times New Roman" w:hAnsi="Times New Roman"/>
          <w:sz w:val="24"/>
          <w:szCs w:val="24"/>
        </w:rPr>
      </w:pPr>
      <w:r w:rsidRPr="005D7DC6">
        <w:rPr>
          <w:rFonts w:ascii="Times New Roman" w:hAnsi="Times New Roman"/>
          <w:sz w:val="24"/>
          <w:szCs w:val="24"/>
        </w:rPr>
        <w:lastRenderedPageBreak/>
        <w:t xml:space="preserve">Financial institutions </w:t>
      </w:r>
      <w:r w:rsidR="00197FAB">
        <w:rPr>
          <w:rFonts w:ascii="Times New Roman" w:hAnsi="Times New Roman"/>
          <w:sz w:val="24"/>
          <w:szCs w:val="24"/>
        </w:rPr>
        <w:t xml:space="preserve">generally </w:t>
      </w:r>
      <w:r w:rsidRPr="005D7DC6">
        <w:rPr>
          <w:rFonts w:ascii="Times New Roman" w:hAnsi="Times New Roman"/>
          <w:sz w:val="24"/>
          <w:szCs w:val="24"/>
        </w:rPr>
        <w:t xml:space="preserve">are required to report </w:t>
      </w:r>
      <w:r w:rsidRPr="005D7DC6">
        <w:rPr>
          <w:rFonts w:ascii="Times New Roman" w:hAnsi="Times New Roman"/>
          <w:sz w:val="24"/>
          <w:szCs w:val="24"/>
          <w:lang w:val="en"/>
        </w:rPr>
        <w:t>any suspicious transaction relevant to a possible violation of law or regulation.</w:t>
      </w:r>
      <w:r w:rsidRPr="005D7DC6">
        <w:rPr>
          <w:rFonts w:ascii="Times New Roman" w:hAnsi="Times New Roman"/>
          <w:sz w:val="24"/>
          <w:szCs w:val="24"/>
        </w:rPr>
        <w:t xml:space="preserve"> These transactions are reported on SAR</w:t>
      </w:r>
      <w:r w:rsidRPr="005D7DC6" w:rsidR="006834B9">
        <w:rPr>
          <w:rFonts w:ascii="Times New Roman" w:hAnsi="Times New Roman"/>
          <w:sz w:val="24"/>
          <w:szCs w:val="24"/>
        </w:rPr>
        <w:t>s</w:t>
      </w:r>
      <w:r w:rsidRPr="005D7DC6">
        <w:rPr>
          <w:rFonts w:ascii="Times New Roman" w:hAnsi="Times New Roman"/>
          <w:sz w:val="24"/>
          <w:szCs w:val="24"/>
        </w:rPr>
        <w:t>. Financial institutions submit SARs to FinCEN electronically via the BSA E-filing system.</w:t>
      </w:r>
    </w:p>
    <w:p w:rsidRPr="00950B99" w:rsidR="00950B99" w:rsidP="00950B99" w:rsidRDefault="00950B99" w14:paraId="716EAB6A" w14:textId="77777777">
      <w:pPr>
        <w:pStyle w:val="BodyTextIndent"/>
        <w:spacing w:after="0"/>
        <w:ind w:left="0" w:firstLine="720"/>
      </w:pPr>
    </w:p>
    <w:p w:rsidRPr="00950B99" w:rsidR="00950B99" w:rsidP="006834B9" w:rsidRDefault="00831057" w14:paraId="3DB301A3" w14:textId="77777777">
      <w:pPr>
        <w:widowControl/>
        <w:ind w:firstLine="720"/>
        <w:rPr>
          <w:rFonts w:ascii="Times New Roman" w:hAnsi="Times New Roman"/>
          <w:sz w:val="24"/>
          <w:szCs w:val="24"/>
        </w:rPr>
      </w:pPr>
      <w:r>
        <w:rPr>
          <w:rFonts w:ascii="Times New Roman" w:hAnsi="Times New Roman"/>
          <w:sz w:val="24"/>
          <w:szCs w:val="24"/>
        </w:rPr>
        <w:t xml:space="preserve">FinCEN’s </w:t>
      </w:r>
      <w:r w:rsidR="00EB26AF">
        <w:rPr>
          <w:rFonts w:ascii="Times New Roman" w:hAnsi="Times New Roman"/>
          <w:sz w:val="24"/>
          <w:szCs w:val="24"/>
        </w:rPr>
        <w:t xml:space="preserve">Privacy Act </w:t>
      </w:r>
      <w:r>
        <w:rPr>
          <w:rFonts w:ascii="Times New Roman" w:hAnsi="Times New Roman"/>
          <w:sz w:val="24"/>
          <w:szCs w:val="24"/>
        </w:rPr>
        <w:t xml:space="preserve">system of record for SARs is </w:t>
      </w:r>
      <w:r w:rsidR="00666A7F">
        <w:rPr>
          <w:rFonts w:ascii="Times New Roman" w:hAnsi="Times New Roman"/>
          <w:sz w:val="24"/>
          <w:szCs w:val="24"/>
        </w:rPr>
        <w:t>the Suspicious Activity Report System</w:t>
      </w:r>
      <w:r>
        <w:rPr>
          <w:rFonts w:ascii="Times New Roman" w:hAnsi="Times New Roman"/>
          <w:sz w:val="24"/>
          <w:szCs w:val="24"/>
        </w:rPr>
        <w:t xml:space="preserve"> (t</w:t>
      </w:r>
      <w:r w:rsidRPr="00950B99" w:rsidR="005B10D8">
        <w:rPr>
          <w:rFonts w:ascii="Times New Roman" w:hAnsi="Times New Roman"/>
          <w:sz w:val="24"/>
          <w:szCs w:val="24"/>
        </w:rPr>
        <w:t xml:space="preserve">he </w:t>
      </w:r>
      <w:r>
        <w:rPr>
          <w:rFonts w:ascii="Times New Roman" w:hAnsi="Times New Roman"/>
          <w:sz w:val="24"/>
          <w:szCs w:val="24"/>
        </w:rPr>
        <w:t>“</w:t>
      </w:r>
      <w:r w:rsidRPr="00950B99" w:rsidR="005B10D8">
        <w:rPr>
          <w:rFonts w:ascii="Times New Roman" w:hAnsi="Times New Roman"/>
          <w:sz w:val="24"/>
          <w:szCs w:val="24"/>
        </w:rPr>
        <w:t>S</w:t>
      </w:r>
      <w:r w:rsidR="00CE1E7C">
        <w:rPr>
          <w:rFonts w:ascii="Times New Roman" w:hAnsi="Times New Roman"/>
          <w:sz w:val="24"/>
          <w:szCs w:val="24"/>
        </w:rPr>
        <w:t>AR System</w:t>
      </w:r>
      <w:r>
        <w:rPr>
          <w:rFonts w:ascii="Times New Roman" w:hAnsi="Times New Roman"/>
          <w:sz w:val="24"/>
          <w:szCs w:val="24"/>
        </w:rPr>
        <w:t>”)</w:t>
      </w:r>
      <w:r w:rsidR="00666A7F">
        <w:rPr>
          <w:rFonts w:ascii="Times New Roman" w:hAnsi="Times New Roman"/>
          <w:sz w:val="24"/>
          <w:szCs w:val="24"/>
        </w:rPr>
        <w:t xml:space="preserve"> - Treasury/FinCEN.002</w:t>
      </w:r>
      <w:r>
        <w:rPr>
          <w:rFonts w:ascii="Times New Roman" w:hAnsi="Times New Roman"/>
          <w:sz w:val="24"/>
          <w:szCs w:val="24"/>
        </w:rPr>
        <w:t>.</w:t>
      </w:r>
      <w:r w:rsidRPr="00950B99" w:rsidR="00DE7874">
        <w:rPr>
          <w:rStyle w:val="FootnoteReference"/>
          <w:rFonts w:ascii="Times New Roman" w:hAnsi="Times New Roman"/>
          <w:sz w:val="24"/>
          <w:szCs w:val="24"/>
        </w:rPr>
        <w:footnoteReference w:id="6"/>
      </w:r>
      <w:r w:rsidR="00CE1E7C">
        <w:rPr>
          <w:rFonts w:ascii="Times New Roman" w:hAnsi="Times New Roman"/>
          <w:sz w:val="24"/>
          <w:szCs w:val="24"/>
        </w:rPr>
        <w:t xml:space="preserve"> </w:t>
      </w:r>
      <w:r w:rsidR="00666A7F">
        <w:rPr>
          <w:rFonts w:ascii="Times New Roman" w:hAnsi="Times New Roman"/>
          <w:sz w:val="24"/>
          <w:szCs w:val="24"/>
        </w:rPr>
        <w:t xml:space="preserve">The SAR System </w:t>
      </w:r>
      <w:r w:rsidR="00CE1E7C">
        <w:rPr>
          <w:rFonts w:ascii="Times New Roman" w:hAnsi="Times New Roman"/>
          <w:sz w:val="24"/>
          <w:szCs w:val="24"/>
        </w:rPr>
        <w:t xml:space="preserve">is </w:t>
      </w:r>
      <w:r w:rsidR="00950B99">
        <w:rPr>
          <w:rFonts w:ascii="Times New Roman" w:hAnsi="Times New Roman"/>
          <w:sz w:val="24"/>
          <w:szCs w:val="24"/>
        </w:rPr>
        <w:t>maintained for the purpose</w:t>
      </w:r>
      <w:r w:rsidRPr="00950B99" w:rsidR="005B10D8">
        <w:rPr>
          <w:rFonts w:ascii="Times New Roman" w:hAnsi="Times New Roman"/>
          <w:sz w:val="24"/>
          <w:szCs w:val="24"/>
        </w:rPr>
        <w:t xml:space="preserve"> of permitting coordinated and enhanc</w:t>
      </w:r>
      <w:r w:rsidR="00487915">
        <w:rPr>
          <w:rFonts w:ascii="Times New Roman" w:hAnsi="Times New Roman"/>
          <w:sz w:val="24"/>
          <w:szCs w:val="24"/>
        </w:rPr>
        <w:t>ed analysis and tracking</w:t>
      </w:r>
      <w:r w:rsidRPr="00950B99" w:rsidR="005B10D8">
        <w:rPr>
          <w:rFonts w:ascii="Times New Roman" w:hAnsi="Times New Roman"/>
          <w:sz w:val="24"/>
          <w:szCs w:val="24"/>
        </w:rPr>
        <w:t xml:space="preserve">, </w:t>
      </w:r>
      <w:r w:rsidR="00666A7F">
        <w:rPr>
          <w:rFonts w:ascii="Times New Roman" w:hAnsi="Times New Roman"/>
          <w:sz w:val="24"/>
          <w:szCs w:val="24"/>
        </w:rPr>
        <w:t>and</w:t>
      </w:r>
      <w:r w:rsidRPr="00950B99" w:rsidR="005B10D8">
        <w:rPr>
          <w:rFonts w:ascii="Times New Roman" w:hAnsi="Times New Roman"/>
          <w:sz w:val="24"/>
          <w:szCs w:val="24"/>
        </w:rPr>
        <w:t xml:space="preserve"> rapid dissemination of SAR information</w:t>
      </w:r>
      <w:r w:rsidR="00487915">
        <w:rPr>
          <w:rFonts w:ascii="Times New Roman" w:hAnsi="Times New Roman"/>
          <w:sz w:val="24"/>
          <w:szCs w:val="24"/>
        </w:rPr>
        <w:t>.</w:t>
      </w:r>
      <w:r w:rsidRPr="00950B99" w:rsidR="005B10D8">
        <w:rPr>
          <w:rFonts w:ascii="Times New Roman" w:hAnsi="Times New Roman"/>
          <w:sz w:val="24"/>
          <w:szCs w:val="24"/>
        </w:rPr>
        <w:t xml:space="preserve"> The information is distributed to </w:t>
      </w:r>
      <w:r w:rsidR="00487915">
        <w:rPr>
          <w:rFonts w:ascii="Times New Roman" w:hAnsi="Times New Roman"/>
          <w:sz w:val="24"/>
          <w:szCs w:val="24"/>
        </w:rPr>
        <w:t>F</w:t>
      </w:r>
      <w:r w:rsidRPr="00950B99" w:rsidR="00950B99">
        <w:rPr>
          <w:rFonts w:ascii="Times New Roman" w:hAnsi="Times New Roman"/>
          <w:sz w:val="24"/>
          <w:szCs w:val="24"/>
        </w:rPr>
        <w:t>ederal, state</w:t>
      </w:r>
      <w:r w:rsidR="00487915">
        <w:rPr>
          <w:rFonts w:ascii="Times New Roman" w:hAnsi="Times New Roman"/>
          <w:sz w:val="24"/>
          <w:szCs w:val="24"/>
        </w:rPr>
        <w:t>,</w:t>
      </w:r>
      <w:r w:rsidRPr="00950B99" w:rsidR="00950B99">
        <w:rPr>
          <w:rFonts w:ascii="Times New Roman" w:hAnsi="Times New Roman"/>
          <w:sz w:val="24"/>
          <w:szCs w:val="24"/>
        </w:rPr>
        <w:t xml:space="preserve"> and local agencies that engage in criminal, regulatory and tax investigations and proceedings, agencies that engage in intelligence and counterintelligence activities, including analysis, to protect against international terrorism, certain self-regulatory organizations, appropriate foreign agencies, and foreign financial</w:t>
      </w:r>
      <w:r w:rsidR="00666A7F">
        <w:rPr>
          <w:rFonts w:ascii="Times New Roman" w:hAnsi="Times New Roman"/>
          <w:sz w:val="24"/>
          <w:szCs w:val="24"/>
        </w:rPr>
        <w:t xml:space="preserve"> </w:t>
      </w:r>
      <w:r w:rsidRPr="00950B99" w:rsidR="00950B99">
        <w:rPr>
          <w:rFonts w:ascii="Times New Roman" w:hAnsi="Times New Roman"/>
          <w:sz w:val="24"/>
          <w:szCs w:val="24"/>
        </w:rPr>
        <w:t>intelligence units.</w:t>
      </w:r>
      <w:r w:rsidRPr="00950B99" w:rsidDel="00666A7F" w:rsidR="00666A7F">
        <w:rPr>
          <w:rStyle w:val="FootnoteReference"/>
          <w:rFonts w:ascii="Times New Roman" w:hAnsi="Times New Roman"/>
          <w:sz w:val="24"/>
          <w:szCs w:val="24"/>
        </w:rPr>
        <w:t xml:space="preserve"> </w:t>
      </w:r>
    </w:p>
    <w:p w:rsidRPr="00C90913" w:rsidR="002565A3" w:rsidP="00090E90" w:rsidRDefault="002565A3" w14:paraId="53404EB8" w14:textId="79BADDB9">
      <w:pPr>
        <w:rPr>
          <w:rFonts w:ascii="Times New Roman" w:hAnsi="Times New Roman"/>
          <w:sz w:val="24"/>
          <w:szCs w:val="24"/>
        </w:rPr>
      </w:pPr>
    </w:p>
    <w:p w:rsidRPr="006458D8" w:rsidR="00A35BD4" w:rsidP="00090E90" w:rsidRDefault="00A35BD4" w14:paraId="6518DBEF" w14:textId="77777777">
      <w:pPr>
        <w:rPr>
          <w:rFonts w:ascii="Times New Roman" w:hAnsi="Times New Roman"/>
          <w:sz w:val="24"/>
          <w:szCs w:val="24"/>
        </w:rPr>
      </w:pPr>
      <w:r w:rsidRPr="006458D8">
        <w:rPr>
          <w:rFonts w:ascii="Times New Roman" w:hAnsi="Times New Roman"/>
          <w:sz w:val="24"/>
          <w:szCs w:val="24"/>
        </w:rPr>
        <w:t xml:space="preserve">3.  </w:t>
      </w:r>
      <w:r w:rsidRPr="006458D8">
        <w:rPr>
          <w:rFonts w:ascii="Times New Roman" w:hAnsi="Times New Roman"/>
          <w:sz w:val="24"/>
          <w:szCs w:val="24"/>
          <w:u w:val="single"/>
        </w:rPr>
        <w:t>Use of Improved Information Technology to Reduce Burden</w:t>
      </w:r>
      <w:r w:rsidRPr="006458D8">
        <w:rPr>
          <w:rFonts w:ascii="Times New Roman" w:hAnsi="Times New Roman"/>
          <w:sz w:val="24"/>
          <w:szCs w:val="24"/>
        </w:rPr>
        <w:t>.</w:t>
      </w:r>
    </w:p>
    <w:p w:rsidRPr="006458D8" w:rsidR="00A35BD4" w:rsidRDefault="00A35BD4" w14:paraId="05BA39AB" w14:textId="77777777">
      <w:pPr>
        <w:rPr>
          <w:rFonts w:ascii="Times New Roman" w:hAnsi="Times New Roman"/>
          <w:sz w:val="24"/>
          <w:szCs w:val="24"/>
        </w:rPr>
      </w:pPr>
    </w:p>
    <w:p w:rsidRPr="00DB0D90" w:rsidR="00DB0D90" w:rsidP="009B6D06" w:rsidRDefault="00DB0D90" w14:paraId="5443006E" w14:textId="77777777">
      <w:pPr>
        <w:ind w:firstLine="720"/>
        <w:rPr>
          <w:rFonts w:ascii="Times New Roman" w:hAnsi="Times New Roman"/>
          <w:sz w:val="24"/>
          <w:szCs w:val="24"/>
        </w:rPr>
      </w:pPr>
      <w:r w:rsidRPr="00DB0D90">
        <w:rPr>
          <w:rFonts w:ascii="Times New Roman" w:hAnsi="Times New Roman"/>
          <w:color w:val="1B1B1B"/>
          <w:sz w:val="24"/>
          <w:szCs w:val="24"/>
          <w:shd w:val="clear" w:color="auto" w:fill="FFFFFF"/>
        </w:rPr>
        <w:t>The BSA E-filing system supports electronic fili</w:t>
      </w:r>
      <w:r>
        <w:rPr>
          <w:rFonts w:ascii="Times New Roman" w:hAnsi="Times New Roman"/>
          <w:color w:val="1B1B1B"/>
          <w:sz w:val="24"/>
          <w:szCs w:val="24"/>
          <w:shd w:val="clear" w:color="auto" w:fill="FFFFFF"/>
        </w:rPr>
        <w:t>ng of BSA reports, including SAR</w:t>
      </w:r>
      <w:r w:rsidRPr="00DB0D90">
        <w:rPr>
          <w:rFonts w:ascii="Times New Roman" w:hAnsi="Times New Roman"/>
          <w:color w:val="1B1B1B"/>
          <w:sz w:val="24"/>
          <w:szCs w:val="24"/>
          <w:shd w:val="clear" w:color="auto" w:fill="FFFFFF"/>
        </w:rPr>
        <w:t>s (either individually or in batches)</w:t>
      </w:r>
      <w:r w:rsidRPr="00DB0D90">
        <w:rPr>
          <w:rStyle w:val="FootnoteReference"/>
          <w:rFonts w:ascii="Times New Roman" w:hAnsi="Times New Roman"/>
          <w:color w:val="1B1B1B"/>
          <w:sz w:val="24"/>
          <w:szCs w:val="24"/>
          <w:shd w:val="clear" w:color="auto" w:fill="FFFFFF"/>
        </w:rPr>
        <w:footnoteReference w:id="7"/>
      </w:r>
      <w:r w:rsidRPr="00DB0D90">
        <w:rPr>
          <w:rFonts w:ascii="Times New Roman" w:hAnsi="Times New Roman"/>
          <w:color w:val="1B1B1B"/>
          <w:sz w:val="24"/>
          <w:szCs w:val="24"/>
          <w:shd w:val="clear" w:color="auto" w:fill="FFFFFF"/>
        </w:rPr>
        <w:t xml:space="preserve"> through a FinCEN secure network. BSA E-filing provides a faster, </w:t>
      </w:r>
      <w:r w:rsidR="00BD3979">
        <w:rPr>
          <w:rFonts w:ascii="Times New Roman" w:hAnsi="Times New Roman"/>
          <w:color w:val="1B1B1B"/>
          <w:sz w:val="24"/>
          <w:szCs w:val="24"/>
          <w:shd w:val="clear" w:color="auto" w:fill="FFFFFF"/>
        </w:rPr>
        <w:t xml:space="preserve">and </w:t>
      </w:r>
      <w:r w:rsidRPr="00DB0D90">
        <w:rPr>
          <w:rFonts w:ascii="Times New Roman" w:hAnsi="Times New Roman"/>
          <w:color w:val="1B1B1B"/>
          <w:sz w:val="24"/>
          <w:szCs w:val="24"/>
          <w:shd w:val="clear" w:color="auto" w:fill="FFFFFF"/>
        </w:rPr>
        <w:t>more convenient, secure</w:t>
      </w:r>
      <w:r w:rsidR="00BD3979">
        <w:rPr>
          <w:rFonts w:ascii="Times New Roman" w:hAnsi="Times New Roman"/>
          <w:color w:val="1B1B1B"/>
          <w:sz w:val="24"/>
          <w:szCs w:val="24"/>
          <w:shd w:val="clear" w:color="auto" w:fill="FFFFFF"/>
        </w:rPr>
        <w:t xml:space="preserve"> </w:t>
      </w:r>
      <w:r w:rsidRPr="00DB0D90">
        <w:rPr>
          <w:rFonts w:ascii="Times New Roman" w:hAnsi="Times New Roman"/>
          <w:color w:val="1B1B1B"/>
          <w:sz w:val="24"/>
          <w:szCs w:val="24"/>
          <w:shd w:val="clear" w:color="auto" w:fill="FFFFFF"/>
        </w:rPr>
        <w:t xml:space="preserve">and cost-effective method for submitting BSA reports. </w:t>
      </w:r>
      <w:r w:rsidRPr="00DB0D90">
        <w:rPr>
          <w:rFonts w:ascii="Times New Roman" w:hAnsi="Times New Roman"/>
          <w:sz w:val="24"/>
          <w:szCs w:val="24"/>
        </w:rPr>
        <w:t>Discrete and batch versions are</w:t>
      </w:r>
      <w:r w:rsidR="00D338E4">
        <w:rPr>
          <w:rFonts w:ascii="Times New Roman" w:hAnsi="Times New Roman"/>
          <w:sz w:val="24"/>
          <w:szCs w:val="24"/>
        </w:rPr>
        <w:t xml:space="preserve"> available on the FinCEN BSA E-f</w:t>
      </w:r>
      <w:r w:rsidRPr="00DB0D90">
        <w:rPr>
          <w:rFonts w:ascii="Times New Roman" w:hAnsi="Times New Roman"/>
          <w:sz w:val="24"/>
          <w:szCs w:val="24"/>
        </w:rPr>
        <w:t xml:space="preserve">ile website at </w:t>
      </w:r>
      <w:hyperlink w:history="1" r:id="rId8">
        <w:r w:rsidRPr="00DB0D90">
          <w:rPr>
            <w:rStyle w:val="Hyperlink"/>
            <w:rFonts w:ascii="Times New Roman" w:hAnsi="Times New Roman"/>
            <w:sz w:val="24"/>
            <w:szCs w:val="24"/>
          </w:rPr>
          <w:t>http://bsaefiling.fincen.treas.gov/main.html</w:t>
        </w:r>
      </w:hyperlink>
      <w:r w:rsidRPr="00DB0D90">
        <w:rPr>
          <w:rFonts w:ascii="Times New Roman" w:hAnsi="Times New Roman"/>
          <w:sz w:val="24"/>
          <w:szCs w:val="24"/>
        </w:rPr>
        <w:t xml:space="preserve">. FinCEN also upgraded to the industry standard of XML file format for both </w:t>
      </w:r>
      <w:r>
        <w:rPr>
          <w:rFonts w:ascii="Times New Roman" w:hAnsi="Times New Roman"/>
          <w:sz w:val="24"/>
          <w:szCs w:val="24"/>
        </w:rPr>
        <w:t>discrete and batch filers of SAR</w:t>
      </w:r>
      <w:r w:rsidRPr="00DB0D90">
        <w:rPr>
          <w:rFonts w:ascii="Times New Roman" w:hAnsi="Times New Roman"/>
          <w:sz w:val="24"/>
          <w:szCs w:val="24"/>
        </w:rPr>
        <w:t>s.</w:t>
      </w:r>
    </w:p>
    <w:p w:rsidRPr="00DB0D90" w:rsidR="00A35BD4" w:rsidRDefault="00A35BD4" w14:paraId="2974555A" w14:textId="77777777">
      <w:pPr>
        <w:rPr>
          <w:rFonts w:ascii="Times New Roman" w:hAnsi="Times New Roman"/>
          <w:sz w:val="24"/>
          <w:szCs w:val="24"/>
        </w:rPr>
      </w:pPr>
    </w:p>
    <w:p w:rsidRPr="006458D8" w:rsidR="00A35BD4" w:rsidRDefault="00A35BD4" w14:paraId="6EFB2BEB" w14:textId="77777777">
      <w:pPr>
        <w:rPr>
          <w:rFonts w:ascii="Times New Roman" w:hAnsi="Times New Roman"/>
          <w:sz w:val="24"/>
          <w:szCs w:val="24"/>
        </w:rPr>
      </w:pPr>
      <w:r w:rsidRPr="006458D8">
        <w:rPr>
          <w:rFonts w:ascii="Times New Roman" w:hAnsi="Times New Roman"/>
          <w:sz w:val="24"/>
          <w:szCs w:val="24"/>
        </w:rPr>
        <w:t xml:space="preserve">4.  </w:t>
      </w:r>
      <w:r w:rsidRPr="006458D8">
        <w:rPr>
          <w:rFonts w:ascii="Times New Roman" w:hAnsi="Times New Roman"/>
          <w:sz w:val="24"/>
          <w:szCs w:val="24"/>
          <w:u w:val="single"/>
        </w:rPr>
        <w:t>Efforts to Identify Duplication</w:t>
      </w:r>
      <w:r w:rsidRPr="006458D8">
        <w:rPr>
          <w:rFonts w:ascii="Times New Roman" w:hAnsi="Times New Roman"/>
          <w:sz w:val="24"/>
          <w:szCs w:val="24"/>
        </w:rPr>
        <w:t>.</w:t>
      </w:r>
    </w:p>
    <w:p w:rsidRPr="00233404" w:rsidR="00233404" w:rsidP="008E1703" w:rsidRDefault="00233404" w14:paraId="34D0C87D" w14:textId="77777777">
      <w:pPr>
        <w:spacing w:before="283"/>
        <w:ind w:firstLine="720"/>
        <w:rPr>
          <w:rFonts w:ascii="Times New Roman" w:hAnsi="Times New Roman"/>
          <w:sz w:val="24"/>
          <w:szCs w:val="24"/>
        </w:rPr>
      </w:pPr>
      <w:r w:rsidRPr="00233404">
        <w:rPr>
          <w:rFonts w:ascii="Times New Roman" w:hAnsi="Times New Roman"/>
          <w:sz w:val="24"/>
          <w:szCs w:val="24"/>
        </w:rPr>
        <w:t xml:space="preserve">There is no similar information available; thus, there is no duplication. </w:t>
      </w:r>
    </w:p>
    <w:p w:rsidRPr="00537765" w:rsidR="00D22A6F" w:rsidP="00D22A6F" w:rsidRDefault="00D22A6F" w14:paraId="48A82F76" w14:textId="77777777">
      <w:pPr>
        <w:rPr>
          <w:rFonts w:ascii="Times New Roman" w:hAnsi="Times New Roman"/>
          <w:sz w:val="24"/>
          <w:szCs w:val="24"/>
        </w:rPr>
      </w:pPr>
    </w:p>
    <w:p w:rsidRPr="009530A6" w:rsidR="00A35BD4" w:rsidRDefault="00A35BD4" w14:paraId="7731A9B7" w14:textId="77777777">
      <w:pPr>
        <w:rPr>
          <w:rFonts w:ascii="Times New Roman" w:hAnsi="Times New Roman"/>
          <w:sz w:val="24"/>
          <w:szCs w:val="24"/>
        </w:rPr>
      </w:pPr>
      <w:r w:rsidRPr="006458D8">
        <w:rPr>
          <w:rFonts w:ascii="Times New Roman" w:hAnsi="Times New Roman"/>
          <w:sz w:val="24"/>
          <w:szCs w:val="24"/>
        </w:rPr>
        <w:t xml:space="preserve">5.  </w:t>
      </w:r>
      <w:r w:rsidRPr="006458D8">
        <w:rPr>
          <w:rFonts w:ascii="Times New Roman" w:hAnsi="Times New Roman"/>
          <w:sz w:val="24"/>
          <w:szCs w:val="24"/>
          <w:u w:val="single"/>
        </w:rPr>
        <w:t xml:space="preserve">Methods to Minimize Burden on Small Businesses or </w:t>
      </w:r>
      <w:r w:rsidRPr="009530A6">
        <w:rPr>
          <w:rFonts w:ascii="Times New Roman" w:hAnsi="Times New Roman"/>
          <w:sz w:val="24"/>
          <w:szCs w:val="24"/>
          <w:u w:val="single"/>
        </w:rPr>
        <w:t>Other Small Entities</w:t>
      </w:r>
      <w:r w:rsidRPr="009530A6">
        <w:rPr>
          <w:rFonts w:ascii="Times New Roman" w:hAnsi="Times New Roman"/>
          <w:sz w:val="24"/>
          <w:szCs w:val="24"/>
        </w:rPr>
        <w:t>.</w:t>
      </w:r>
    </w:p>
    <w:p w:rsidRPr="00537765" w:rsidR="00A35BD4" w:rsidRDefault="00A35BD4" w14:paraId="4748C83E" w14:textId="77777777">
      <w:pPr>
        <w:rPr>
          <w:rFonts w:ascii="Times New Roman" w:hAnsi="Times New Roman"/>
          <w:sz w:val="24"/>
          <w:szCs w:val="24"/>
        </w:rPr>
      </w:pPr>
    </w:p>
    <w:p w:rsidRPr="009B6D06" w:rsidR="009B6D06" w:rsidP="009B6D06" w:rsidRDefault="009B6D06" w14:paraId="4E36C89E" w14:textId="77777777">
      <w:pPr>
        <w:ind w:firstLine="720"/>
        <w:rPr>
          <w:rFonts w:ascii="Times New Roman" w:hAnsi="Times New Roman"/>
          <w:sz w:val="24"/>
          <w:szCs w:val="24"/>
        </w:rPr>
      </w:pPr>
      <w:r>
        <w:rPr>
          <w:rFonts w:ascii="Times New Roman" w:hAnsi="Times New Roman"/>
          <w:sz w:val="24"/>
          <w:szCs w:val="24"/>
        </w:rPr>
        <w:t xml:space="preserve">The </w:t>
      </w:r>
      <w:r w:rsidRPr="009B6D06" w:rsidR="00B01ABF">
        <w:rPr>
          <w:rFonts w:ascii="Times New Roman" w:hAnsi="Times New Roman"/>
          <w:sz w:val="24"/>
          <w:szCs w:val="24"/>
        </w:rPr>
        <w:t>SAR</w:t>
      </w:r>
      <w:r>
        <w:rPr>
          <w:rFonts w:ascii="Times New Roman" w:hAnsi="Times New Roman"/>
          <w:sz w:val="24"/>
          <w:szCs w:val="24"/>
        </w:rPr>
        <w:t xml:space="preserve"> is designed so</w:t>
      </w:r>
      <w:r w:rsidRPr="009B6D06" w:rsidR="00E34763">
        <w:rPr>
          <w:rFonts w:ascii="Times New Roman" w:hAnsi="Times New Roman"/>
          <w:sz w:val="24"/>
          <w:szCs w:val="24"/>
        </w:rPr>
        <w:t xml:space="preserve"> only the </w:t>
      </w:r>
      <w:r w:rsidRPr="009B6D06" w:rsidR="0082745F">
        <w:rPr>
          <w:rFonts w:ascii="Times New Roman" w:hAnsi="Times New Roman"/>
          <w:sz w:val="24"/>
          <w:szCs w:val="24"/>
        </w:rPr>
        <w:t>fields</w:t>
      </w:r>
      <w:r w:rsidRPr="009B6D06" w:rsidR="00E34763">
        <w:rPr>
          <w:rFonts w:ascii="Times New Roman" w:hAnsi="Times New Roman"/>
          <w:sz w:val="24"/>
          <w:szCs w:val="24"/>
        </w:rPr>
        <w:t xml:space="preserve"> normally </w:t>
      </w:r>
      <w:r w:rsidRPr="009B6D06" w:rsidR="00B01ABF">
        <w:rPr>
          <w:rFonts w:ascii="Times New Roman" w:hAnsi="Times New Roman"/>
          <w:sz w:val="24"/>
          <w:szCs w:val="24"/>
        </w:rPr>
        <w:t>associated with the filing</w:t>
      </w:r>
      <w:r w:rsidRPr="009B6D06" w:rsidR="00E34763">
        <w:rPr>
          <w:rFonts w:ascii="Times New Roman" w:hAnsi="Times New Roman"/>
          <w:sz w:val="24"/>
          <w:szCs w:val="24"/>
        </w:rPr>
        <w:t xml:space="preserve"> </w:t>
      </w:r>
      <w:r>
        <w:rPr>
          <w:rFonts w:ascii="Times New Roman" w:hAnsi="Times New Roman"/>
          <w:sz w:val="24"/>
          <w:szCs w:val="24"/>
        </w:rPr>
        <w:t xml:space="preserve">financial </w:t>
      </w:r>
      <w:r w:rsidRPr="009B6D06" w:rsidR="00E34763">
        <w:rPr>
          <w:rFonts w:ascii="Times New Roman" w:hAnsi="Times New Roman"/>
          <w:sz w:val="24"/>
          <w:szCs w:val="24"/>
        </w:rPr>
        <w:t xml:space="preserve">institution </w:t>
      </w:r>
      <w:r w:rsidRPr="009B6D06" w:rsidR="0082745F">
        <w:rPr>
          <w:rFonts w:ascii="Times New Roman" w:hAnsi="Times New Roman"/>
          <w:sz w:val="24"/>
          <w:szCs w:val="24"/>
        </w:rPr>
        <w:t>are</w:t>
      </w:r>
      <w:r w:rsidRPr="009B6D06" w:rsidR="00E34763">
        <w:rPr>
          <w:rFonts w:ascii="Times New Roman" w:hAnsi="Times New Roman"/>
          <w:sz w:val="24"/>
          <w:szCs w:val="24"/>
        </w:rPr>
        <w:t xml:space="preserve"> displayed</w:t>
      </w:r>
      <w:r w:rsidRPr="009B6D06" w:rsidR="00A35BD4">
        <w:rPr>
          <w:rFonts w:ascii="Times New Roman" w:hAnsi="Times New Roman"/>
          <w:sz w:val="24"/>
          <w:szCs w:val="24"/>
        </w:rPr>
        <w:t>.</w:t>
      </w:r>
      <w:r w:rsidRPr="009B6D06" w:rsidR="00E34763">
        <w:rPr>
          <w:rFonts w:ascii="Times New Roman" w:hAnsi="Times New Roman"/>
          <w:sz w:val="24"/>
          <w:szCs w:val="24"/>
        </w:rPr>
        <w:t xml:space="preserve"> </w:t>
      </w:r>
      <w:r w:rsidRPr="009B6D06" w:rsidR="00B01ABF">
        <w:rPr>
          <w:rFonts w:ascii="Times New Roman" w:hAnsi="Times New Roman"/>
          <w:sz w:val="24"/>
          <w:szCs w:val="24"/>
        </w:rPr>
        <w:t>This design minimizes the time require</w:t>
      </w:r>
      <w:r w:rsidRPr="009B6D06" w:rsidR="0082745F">
        <w:rPr>
          <w:rFonts w:ascii="Times New Roman" w:hAnsi="Times New Roman"/>
          <w:sz w:val="24"/>
          <w:szCs w:val="24"/>
        </w:rPr>
        <w:t>d</w:t>
      </w:r>
      <w:r w:rsidRPr="009B6D06" w:rsidR="00B01ABF">
        <w:rPr>
          <w:rFonts w:ascii="Times New Roman" w:hAnsi="Times New Roman"/>
          <w:sz w:val="24"/>
          <w:szCs w:val="24"/>
        </w:rPr>
        <w:t xml:space="preserve"> </w:t>
      </w:r>
      <w:r w:rsidR="00403D82">
        <w:rPr>
          <w:rFonts w:ascii="Times New Roman" w:hAnsi="Times New Roman"/>
          <w:sz w:val="24"/>
          <w:szCs w:val="24"/>
        </w:rPr>
        <w:t xml:space="preserve">for a financial institution </w:t>
      </w:r>
      <w:r w:rsidRPr="009B6D06" w:rsidR="00B01ABF">
        <w:rPr>
          <w:rFonts w:ascii="Times New Roman" w:hAnsi="Times New Roman"/>
          <w:sz w:val="24"/>
          <w:szCs w:val="24"/>
        </w:rPr>
        <w:t>to complete the report and thus</w:t>
      </w:r>
      <w:r w:rsidR="00403D82">
        <w:rPr>
          <w:rFonts w:ascii="Times New Roman" w:hAnsi="Times New Roman"/>
          <w:sz w:val="24"/>
          <w:szCs w:val="24"/>
        </w:rPr>
        <w:t xml:space="preserve"> decreases</w:t>
      </w:r>
      <w:r w:rsidRPr="009B6D06" w:rsidR="00B01ABF">
        <w:rPr>
          <w:rFonts w:ascii="Times New Roman" w:hAnsi="Times New Roman"/>
          <w:sz w:val="24"/>
          <w:szCs w:val="24"/>
        </w:rPr>
        <w:t xml:space="preserve"> the impact on small </w:t>
      </w:r>
      <w:r w:rsidR="00403D82">
        <w:rPr>
          <w:rFonts w:ascii="Times New Roman" w:hAnsi="Times New Roman"/>
          <w:sz w:val="24"/>
          <w:szCs w:val="24"/>
        </w:rPr>
        <w:t>financial institutions</w:t>
      </w:r>
      <w:r w:rsidRPr="009B6D06" w:rsidR="00B01ABF">
        <w:rPr>
          <w:rFonts w:ascii="Times New Roman" w:hAnsi="Times New Roman"/>
          <w:sz w:val="24"/>
          <w:szCs w:val="24"/>
        </w:rPr>
        <w:t>.</w:t>
      </w:r>
      <w:r w:rsidRPr="009B6D06">
        <w:rPr>
          <w:rFonts w:ascii="Times New Roman" w:hAnsi="Times New Roman"/>
          <w:sz w:val="24"/>
          <w:szCs w:val="24"/>
        </w:rPr>
        <w:t xml:space="preserve"> However, </w:t>
      </w:r>
      <w:r>
        <w:rPr>
          <w:rFonts w:ascii="Times New Roman" w:hAnsi="Times New Roman"/>
          <w:sz w:val="24"/>
          <w:szCs w:val="24"/>
        </w:rPr>
        <w:t>SAR</w:t>
      </w:r>
      <w:r w:rsidRPr="009B6D06">
        <w:rPr>
          <w:rFonts w:ascii="Times New Roman" w:hAnsi="Times New Roman"/>
          <w:sz w:val="24"/>
          <w:szCs w:val="24"/>
        </w:rPr>
        <w:t xml:space="preserve">s provide valuable information to Federal, state and local agencies that engage in criminal, regulatory and tax investigations and proceedings, agencies that engage in intelligence and counterintelligence activities, certain self-regulatory organizations, appropriate foreign agencies, and foreign financial intelligence units in their efforts to combat money laundering and other financial crimes. Without these collections from entities of all sizes, the government’s efforts to counter financial crimes would be negatively impacted. </w:t>
      </w:r>
    </w:p>
    <w:p w:rsidRPr="00537765" w:rsidR="00A35BD4" w:rsidRDefault="00A35BD4" w14:paraId="26BB23ED" w14:textId="77777777">
      <w:pPr>
        <w:rPr>
          <w:rFonts w:ascii="Times New Roman" w:hAnsi="Times New Roman"/>
          <w:sz w:val="24"/>
          <w:szCs w:val="24"/>
        </w:rPr>
      </w:pPr>
    </w:p>
    <w:p w:rsidRPr="006458D8" w:rsidR="00A35BD4" w:rsidRDefault="00A35BD4" w14:paraId="745DFC5B" w14:textId="77777777">
      <w:pPr>
        <w:rPr>
          <w:rFonts w:ascii="Times New Roman" w:hAnsi="Times New Roman"/>
          <w:sz w:val="24"/>
          <w:szCs w:val="24"/>
        </w:rPr>
      </w:pPr>
      <w:r w:rsidRPr="00537765">
        <w:rPr>
          <w:rFonts w:ascii="Times New Roman" w:hAnsi="Times New Roman"/>
          <w:sz w:val="24"/>
          <w:szCs w:val="24"/>
        </w:rPr>
        <w:t xml:space="preserve">6.  </w:t>
      </w:r>
      <w:r w:rsidRPr="00537765" w:rsidR="00E04C59">
        <w:rPr>
          <w:rFonts w:ascii="Times New Roman" w:hAnsi="Times New Roman"/>
          <w:sz w:val="24"/>
          <w:szCs w:val="24"/>
          <w:u w:val="single"/>
        </w:rPr>
        <w:t>Consequences to the Federal Government of Not Collecting the Information.</w:t>
      </w:r>
    </w:p>
    <w:p w:rsidR="00A35BD4" w:rsidRDefault="00A35BD4" w14:paraId="54A73747" w14:textId="77777777">
      <w:pPr>
        <w:rPr>
          <w:rFonts w:ascii="Times New Roman" w:hAnsi="Times New Roman"/>
          <w:sz w:val="24"/>
          <w:szCs w:val="24"/>
        </w:rPr>
      </w:pPr>
    </w:p>
    <w:p w:rsidRPr="009B6D06" w:rsidR="009B6D06" w:rsidP="009B6D06" w:rsidRDefault="009B6D06" w14:paraId="2E008153" w14:textId="77777777">
      <w:pPr>
        <w:ind w:firstLine="720"/>
        <w:rPr>
          <w:rFonts w:ascii="Times New Roman" w:hAnsi="Times New Roman"/>
          <w:sz w:val="24"/>
          <w:szCs w:val="24"/>
        </w:rPr>
      </w:pPr>
      <w:r>
        <w:rPr>
          <w:rFonts w:ascii="Times New Roman" w:hAnsi="Times New Roman"/>
          <w:sz w:val="24"/>
          <w:szCs w:val="24"/>
        </w:rPr>
        <w:t>SAR</w:t>
      </w:r>
      <w:r w:rsidRPr="009B6D06">
        <w:rPr>
          <w:rFonts w:ascii="Times New Roman" w:hAnsi="Times New Roman"/>
          <w:sz w:val="24"/>
          <w:szCs w:val="24"/>
        </w:rPr>
        <w:t xml:space="preserve">s provide valuable information to Federal, state and local agencies that engage in criminal, regulatory and tax investigations and proceedings, agencies that engage in intelligence and counterintelligence activities, certain self-regulatory organizations, appropriate foreign agencies, and foreign financial intelligence units in their efforts to combat money laundering and </w:t>
      </w:r>
      <w:r w:rsidRPr="009B6D06">
        <w:rPr>
          <w:rFonts w:ascii="Times New Roman" w:hAnsi="Times New Roman"/>
          <w:sz w:val="24"/>
          <w:szCs w:val="24"/>
        </w:rPr>
        <w:lastRenderedPageBreak/>
        <w:t>other financial crimes. Without these collections from entities of all sizes, the government’s efforts to counter financial crimes</w:t>
      </w:r>
      <w:r w:rsidR="006834B9">
        <w:rPr>
          <w:rFonts w:ascii="Times New Roman" w:hAnsi="Times New Roman"/>
          <w:sz w:val="24"/>
          <w:szCs w:val="24"/>
        </w:rPr>
        <w:t>,</w:t>
      </w:r>
      <w:r w:rsidRPr="009B6D06">
        <w:rPr>
          <w:rFonts w:ascii="Times New Roman" w:hAnsi="Times New Roman"/>
          <w:sz w:val="24"/>
          <w:szCs w:val="24"/>
        </w:rPr>
        <w:t xml:space="preserve"> </w:t>
      </w:r>
      <w:r w:rsidR="00BD3979">
        <w:rPr>
          <w:rFonts w:ascii="Times New Roman" w:hAnsi="Times New Roman"/>
          <w:sz w:val="24"/>
          <w:szCs w:val="24"/>
        </w:rPr>
        <w:t>such as money laundering and the financing of terrorism</w:t>
      </w:r>
      <w:r w:rsidR="006834B9">
        <w:rPr>
          <w:rFonts w:ascii="Times New Roman" w:hAnsi="Times New Roman"/>
          <w:sz w:val="24"/>
          <w:szCs w:val="24"/>
        </w:rPr>
        <w:t>,</w:t>
      </w:r>
      <w:r w:rsidR="00BD3979">
        <w:rPr>
          <w:rFonts w:ascii="Times New Roman" w:hAnsi="Times New Roman"/>
          <w:sz w:val="24"/>
          <w:szCs w:val="24"/>
        </w:rPr>
        <w:t xml:space="preserve"> </w:t>
      </w:r>
      <w:r w:rsidRPr="009B6D06">
        <w:rPr>
          <w:rFonts w:ascii="Times New Roman" w:hAnsi="Times New Roman"/>
          <w:sz w:val="24"/>
          <w:szCs w:val="24"/>
        </w:rPr>
        <w:t xml:space="preserve">would be negatively impacted. </w:t>
      </w:r>
    </w:p>
    <w:p w:rsidRPr="00537765" w:rsidR="00A35BD4" w:rsidRDefault="00A35BD4" w14:paraId="646E2185" w14:textId="77777777">
      <w:pPr>
        <w:rPr>
          <w:rFonts w:ascii="Times New Roman" w:hAnsi="Times New Roman"/>
          <w:sz w:val="24"/>
          <w:szCs w:val="24"/>
        </w:rPr>
      </w:pPr>
    </w:p>
    <w:p w:rsidRPr="00537765" w:rsidR="00A35BD4" w:rsidRDefault="00A35BD4" w14:paraId="7008D962" w14:textId="77777777">
      <w:pPr>
        <w:rPr>
          <w:rFonts w:ascii="Times New Roman" w:hAnsi="Times New Roman"/>
          <w:sz w:val="24"/>
          <w:szCs w:val="24"/>
        </w:rPr>
      </w:pPr>
      <w:r w:rsidRPr="00537765">
        <w:rPr>
          <w:rFonts w:ascii="Times New Roman" w:hAnsi="Times New Roman"/>
          <w:sz w:val="24"/>
          <w:szCs w:val="24"/>
        </w:rPr>
        <w:t xml:space="preserve">7.  </w:t>
      </w:r>
      <w:r w:rsidRPr="00537765">
        <w:rPr>
          <w:rFonts w:ascii="Times New Roman" w:hAnsi="Times New Roman"/>
          <w:sz w:val="24"/>
          <w:szCs w:val="24"/>
          <w:u w:val="single"/>
        </w:rPr>
        <w:t>Special Circumstances Requiring Data Collection Inconsistent with Guidelines</w:t>
      </w:r>
      <w:r w:rsidR="009B6D06">
        <w:rPr>
          <w:rFonts w:ascii="Times New Roman" w:hAnsi="Times New Roman"/>
          <w:sz w:val="24"/>
          <w:szCs w:val="24"/>
          <w:u w:val="single"/>
        </w:rPr>
        <w:t xml:space="preserve"> in 5 CFR 1320.5(d)(2)</w:t>
      </w:r>
      <w:r w:rsidRPr="00537765">
        <w:rPr>
          <w:rFonts w:ascii="Times New Roman" w:hAnsi="Times New Roman"/>
          <w:sz w:val="24"/>
          <w:szCs w:val="24"/>
        </w:rPr>
        <w:t>.</w:t>
      </w:r>
    </w:p>
    <w:p w:rsidRPr="00537765" w:rsidR="00A35BD4" w:rsidRDefault="00A35BD4" w14:paraId="1E887E4A" w14:textId="77777777">
      <w:pPr>
        <w:rPr>
          <w:rFonts w:ascii="Times New Roman" w:hAnsi="Times New Roman"/>
          <w:sz w:val="24"/>
          <w:szCs w:val="24"/>
        </w:rPr>
      </w:pPr>
    </w:p>
    <w:p w:rsidRPr="00E752DD" w:rsidR="003B00F1" w:rsidP="005C0277" w:rsidRDefault="00E752DD" w14:paraId="75618FC2" w14:textId="2CBCC4A2">
      <w:pPr>
        <w:ind w:firstLine="720"/>
        <w:rPr>
          <w:rFonts w:ascii="Times New Roman" w:hAnsi="Times New Roman"/>
          <w:sz w:val="24"/>
          <w:szCs w:val="24"/>
        </w:rPr>
      </w:pPr>
      <w:r>
        <w:rPr>
          <w:rFonts w:ascii="Times New Roman" w:hAnsi="Times New Roman"/>
          <w:sz w:val="24"/>
          <w:szCs w:val="24"/>
        </w:rPr>
        <w:t xml:space="preserve">Reporting </w:t>
      </w:r>
      <w:r w:rsidRPr="00537765" w:rsidR="00A35BD4">
        <w:rPr>
          <w:rFonts w:ascii="Times New Roman" w:hAnsi="Times New Roman"/>
          <w:sz w:val="24"/>
          <w:szCs w:val="24"/>
        </w:rPr>
        <w:t xml:space="preserve">suspicious activity on a SAR may occur more </w:t>
      </w:r>
      <w:r w:rsidRPr="00537765" w:rsidR="00DD4705">
        <w:rPr>
          <w:rFonts w:ascii="Times New Roman" w:hAnsi="Times New Roman"/>
          <w:sz w:val="24"/>
          <w:szCs w:val="24"/>
        </w:rPr>
        <w:t>frequently</w:t>
      </w:r>
      <w:r>
        <w:rPr>
          <w:rFonts w:ascii="Times New Roman" w:hAnsi="Times New Roman"/>
          <w:sz w:val="24"/>
          <w:szCs w:val="24"/>
        </w:rPr>
        <w:t xml:space="preserve"> than quarterly</w:t>
      </w:r>
      <w:r w:rsidRPr="00537765" w:rsidR="00DD4705">
        <w:rPr>
          <w:rFonts w:ascii="Times New Roman" w:hAnsi="Times New Roman"/>
          <w:sz w:val="24"/>
          <w:szCs w:val="24"/>
        </w:rPr>
        <w:t>,</w:t>
      </w:r>
      <w:r w:rsidRPr="00537765" w:rsidR="00A35BD4">
        <w:rPr>
          <w:rFonts w:ascii="Times New Roman" w:hAnsi="Times New Roman"/>
          <w:sz w:val="24"/>
          <w:szCs w:val="24"/>
        </w:rPr>
        <w:t xml:space="preserve"> depending on </w:t>
      </w:r>
      <w:r w:rsidRPr="00537765" w:rsidR="000C7698">
        <w:rPr>
          <w:rFonts w:ascii="Times New Roman" w:hAnsi="Times New Roman"/>
          <w:sz w:val="24"/>
          <w:szCs w:val="24"/>
        </w:rPr>
        <w:t xml:space="preserve">the frequency of the </w:t>
      </w:r>
      <w:r>
        <w:rPr>
          <w:rFonts w:ascii="Times New Roman" w:hAnsi="Times New Roman"/>
          <w:sz w:val="24"/>
          <w:szCs w:val="24"/>
        </w:rPr>
        <w:t xml:space="preserve">suspicious </w:t>
      </w:r>
      <w:r w:rsidRPr="00537765" w:rsidR="000C7698">
        <w:rPr>
          <w:rFonts w:ascii="Times New Roman" w:hAnsi="Times New Roman"/>
          <w:sz w:val="24"/>
          <w:szCs w:val="24"/>
        </w:rPr>
        <w:t>activity</w:t>
      </w:r>
      <w:r w:rsidR="00474746">
        <w:rPr>
          <w:rFonts w:ascii="Times New Roman" w:hAnsi="Times New Roman"/>
          <w:sz w:val="24"/>
          <w:szCs w:val="24"/>
        </w:rPr>
        <w:t>.</w:t>
      </w:r>
      <w:r w:rsidRPr="00537765" w:rsidR="000C7698">
        <w:rPr>
          <w:rFonts w:ascii="Times New Roman" w:hAnsi="Times New Roman"/>
          <w:sz w:val="24"/>
          <w:szCs w:val="24"/>
        </w:rPr>
        <w:t xml:space="preserve"> </w:t>
      </w:r>
      <w:r>
        <w:rPr>
          <w:rFonts w:ascii="Times New Roman" w:hAnsi="Times New Roman"/>
          <w:sz w:val="24"/>
          <w:szCs w:val="24"/>
        </w:rPr>
        <w:t xml:space="preserve">This information must </w:t>
      </w:r>
      <w:r w:rsidRPr="00537765" w:rsidR="00A35BD4">
        <w:rPr>
          <w:rFonts w:ascii="Times New Roman" w:hAnsi="Times New Roman"/>
          <w:sz w:val="24"/>
          <w:szCs w:val="24"/>
        </w:rPr>
        <w:t>be reported in a timely manner to enable law enforcement to take app</w:t>
      </w:r>
      <w:r w:rsidRPr="00537765" w:rsidR="000C7698">
        <w:rPr>
          <w:rFonts w:ascii="Times New Roman" w:hAnsi="Times New Roman"/>
          <w:sz w:val="24"/>
          <w:szCs w:val="24"/>
        </w:rPr>
        <w:t xml:space="preserve">ropriate investigative action. </w:t>
      </w:r>
      <w:r w:rsidRPr="00E752DD" w:rsidR="00570F4B">
        <w:rPr>
          <w:rFonts w:ascii="Times New Roman" w:hAnsi="Times New Roman"/>
          <w:sz w:val="24"/>
          <w:szCs w:val="24"/>
        </w:rPr>
        <w:t>Under 31 CFR 1010.430(d)</w:t>
      </w:r>
      <w:r w:rsidR="0074093A">
        <w:rPr>
          <w:rFonts w:ascii="Times New Roman" w:hAnsi="Times New Roman"/>
          <w:sz w:val="24"/>
          <w:szCs w:val="24"/>
        </w:rPr>
        <w:t>,</w:t>
      </w:r>
      <w:r w:rsidRPr="00E752DD" w:rsidR="00570F4B">
        <w:rPr>
          <w:rFonts w:ascii="Times New Roman" w:hAnsi="Times New Roman"/>
          <w:sz w:val="24"/>
          <w:szCs w:val="24"/>
        </w:rPr>
        <w:t xml:space="preserve"> </w:t>
      </w:r>
      <w:r w:rsidRPr="00E752DD" w:rsidR="00570F4B">
        <w:rPr>
          <w:rFonts w:ascii="Times New Roman" w:hAnsi="Times New Roman"/>
          <w:sz w:val="24"/>
          <w:szCs w:val="24"/>
          <w:lang w:val="en"/>
        </w:rPr>
        <w:t xml:space="preserve">all records that are required to be retained by </w:t>
      </w:r>
      <w:r w:rsidR="0012239E">
        <w:rPr>
          <w:rFonts w:ascii="Times New Roman" w:hAnsi="Times New Roman"/>
          <w:sz w:val="24"/>
          <w:szCs w:val="24"/>
          <w:lang w:val="en"/>
        </w:rPr>
        <w:t xml:space="preserve">31 CFR </w:t>
      </w:r>
      <w:r w:rsidR="00A52115">
        <w:rPr>
          <w:rFonts w:ascii="Times New Roman" w:hAnsi="Times New Roman"/>
          <w:sz w:val="24"/>
          <w:szCs w:val="24"/>
          <w:lang w:val="en"/>
        </w:rPr>
        <w:t>C</w:t>
      </w:r>
      <w:r w:rsidRPr="00E752DD" w:rsidR="00570F4B">
        <w:rPr>
          <w:rFonts w:ascii="Times New Roman" w:hAnsi="Times New Roman"/>
          <w:sz w:val="24"/>
          <w:szCs w:val="24"/>
          <w:lang w:val="en"/>
        </w:rPr>
        <w:t xml:space="preserve">hapter X </w:t>
      </w:r>
      <w:r w:rsidR="00A52115">
        <w:rPr>
          <w:rFonts w:ascii="Times New Roman" w:hAnsi="Times New Roman"/>
          <w:sz w:val="24"/>
          <w:szCs w:val="24"/>
          <w:lang w:val="en"/>
        </w:rPr>
        <w:t xml:space="preserve">must </w:t>
      </w:r>
      <w:r w:rsidRPr="00E752DD" w:rsidR="00570F4B">
        <w:rPr>
          <w:rFonts w:ascii="Times New Roman" w:hAnsi="Times New Roman"/>
          <w:sz w:val="24"/>
          <w:szCs w:val="24"/>
          <w:lang w:val="en"/>
        </w:rPr>
        <w:t>be retained for a period of five years.</w:t>
      </w:r>
      <w:r w:rsidR="005C0277">
        <w:rPr>
          <w:rFonts w:ascii="Times New Roman" w:hAnsi="Times New Roman"/>
          <w:sz w:val="24"/>
          <w:szCs w:val="24"/>
          <w:lang w:val="en"/>
        </w:rPr>
        <w:t xml:space="preserve"> </w:t>
      </w:r>
      <w:r w:rsidRPr="00537765" w:rsidR="005C0277">
        <w:rPr>
          <w:rFonts w:ascii="Times New Roman" w:hAnsi="Times New Roman"/>
          <w:sz w:val="24"/>
          <w:szCs w:val="24"/>
        </w:rPr>
        <w:t xml:space="preserve">Records must be kept for </w:t>
      </w:r>
      <w:r w:rsidR="005C0277">
        <w:rPr>
          <w:rFonts w:ascii="Times New Roman" w:hAnsi="Times New Roman"/>
          <w:sz w:val="24"/>
          <w:szCs w:val="24"/>
        </w:rPr>
        <w:t>five</w:t>
      </w:r>
      <w:r w:rsidRPr="00537765" w:rsidR="005C0277">
        <w:rPr>
          <w:rFonts w:ascii="Times New Roman" w:hAnsi="Times New Roman"/>
          <w:sz w:val="24"/>
          <w:szCs w:val="24"/>
        </w:rPr>
        <w:t xml:space="preserve"> years because the substantive violations of law that are reported on the FinCEN SAR are generally subject to statutes of limitation longer than </w:t>
      </w:r>
      <w:r w:rsidR="00872183">
        <w:rPr>
          <w:rFonts w:ascii="Times New Roman" w:hAnsi="Times New Roman"/>
          <w:sz w:val="24"/>
          <w:szCs w:val="24"/>
        </w:rPr>
        <w:t>three y</w:t>
      </w:r>
      <w:r w:rsidRPr="00537765" w:rsidR="005C0277">
        <w:rPr>
          <w:rFonts w:ascii="Times New Roman" w:hAnsi="Times New Roman"/>
          <w:sz w:val="24"/>
          <w:szCs w:val="24"/>
        </w:rPr>
        <w:t>ears.</w:t>
      </w:r>
    </w:p>
    <w:p w:rsidRPr="00537765" w:rsidR="003B00F1" w:rsidP="003B00F1" w:rsidRDefault="003B00F1" w14:paraId="3AD4EC21" w14:textId="77777777">
      <w:pPr>
        <w:rPr>
          <w:rFonts w:ascii="Times New Roman" w:hAnsi="Times New Roman"/>
          <w:sz w:val="24"/>
          <w:szCs w:val="24"/>
        </w:rPr>
      </w:pPr>
    </w:p>
    <w:p w:rsidR="000D100F" w:rsidRDefault="00A35BD4" w14:paraId="15738223" w14:textId="77777777">
      <w:pPr>
        <w:rPr>
          <w:rFonts w:ascii="Times New Roman" w:hAnsi="Times New Roman"/>
          <w:sz w:val="24"/>
          <w:szCs w:val="24"/>
        </w:rPr>
      </w:pPr>
      <w:r w:rsidRPr="00537765">
        <w:rPr>
          <w:rFonts w:ascii="Times New Roman" w:hAnsi="Times New Roman"/>
          <w:sz w:val="24"/>
          <w:szCs w:val="24"/>
        </w:rPr>
        <w:t xml:space="preserve">8.  </w:t>
      </w:r>
      <w:r w:rsidRPr="00537765">
        <w:rPr>
          <w:rFonts w:ascii="Times New Roman" w:hAnsi="Times New Roman"/>
          <w:sz w:val="24"/>
          <w:szCs w:val="24"/>
          <w:u w:val="single"/>
        </w:rPr>
        <w:t>Consultation with Individuals Outside of the Agency on Availability of Data, Frequency of Collection, Clarity of Instructions and Forms, and Data Elements</w:t>
      </w:r>
      <w:r w:rsidRPr="00537765">
        <w:rPr>
          <w:rFonts w:ascii="Times New Roman" w:hAnsi="Times New Roman"/>
          <w:sz w:val="24"/>
          <w:szCs w:val="24"/>
        </w:rPr>
        <w:t>.</w:t>
      </w:r>
    </w:p>
    <w:p w:rsidRPr="00E752DD" w:rsidR="00C15C25" w:rsidP="00DD4705" w:rsidRDefault="00C15C25" w14:paraId="0B542B85" w14:textId="77777777">
      <w:pPr>
        <w:rPr>
          <w:rFonts w:ascii="Times New Roman" w:hAnsi="Times New Roman"/>
          <w:sz w:val="24"/>
          <w:szCs w:val="24"/>
        </w:rPr>
      </w:pPr>
    </w:p>
    <w:p w:rsidR="00E752DD" w:rsidP="00E752DD" w:rsidRDefault="00E752DD" w14:paraId="371646A3" w14:textId="564EC648">
      <w:pPr>
        <w:ind w:firstLine="720"/>
        <w:rPr>
          <w:rFonts w:ascii="Times New Roman" w:hAnsi="Times New Roman"/>
          <w:sz w:val="24"/>
          <w:szCs w:val="24"/>
        </w:rPr>
      </w:pPr>
      <w:r w:rsidRPr="00E752DD">
        <w:rPr>
          <w:rFonts w:ascii="Times New Roman" w:hAnsi="Times New Roman"/>
          <w:sz w:val="24"/>
          <w:szCs w:val="24"/>
        </w:rPr>
        <w:t xml:space="preserve">The 60-day notice was published on </w:t>
      </w:r>
      <w:r>
        <w:rPr>
          <w:rFonts w:ascii="Times New Roman" w:hAnsi="Times New Roman"/>
          <w:sz w:val="24"/>
          <w:szCs w:val="24"/>
        </w:rPr>
        <w:t>May 26</w:t>
      </w:r>
      <w:r w:rsidRPr="00E752DD">
        <w:rPr>
          <w:rFonts w:ascii="Times New Roman" w:hAnsi="Times New Roman"/>
          <w:sz w:val="24"/>
          <w:szCs w:val="24"/>
        </w:rPr>
        <w:t>, 2020.</w:t>
      </w:r>
      <w:r w:rsidR="00351A0A">
        <w:rPr>
          <w:rStyle w:val="FootnoteReference"/>
          <w:rFonts w:ascii="Times New Roman" w:hAnsi="Times New Roman"/>
          <w:sz w:val="24"/>
          <w:szCs w:val="24"/>
        </w:rPr>
        <w:footnoteReference w:id="8"/>
      </w:r>
      <w:r w:rsidRPr="00E752DD">
        <w:rPr>
          <w:rFonts w:ascii="Times New Roman" w:hAnsi="Times New Roman"/>
          <w:sz w:val="24"/>
          <w:szCs w:val="24"/>
        </w:rPr>
        <w:t xml:space="preserve"> </w:t>
      </w:r>
      <w:r w:rsidRPr="00C15C25">
        <w:rPr>
          <w:rFonts w:ascii="Times New Roman" w:hAnsi="Times New Roman"/>
          <w:sz w:val="24"/>
          <w:szCs w:val="24"/>
        </w:rPr>
        <w:t>The notice requested public comments on the proposed renewal, without change, of currently approved information collections relating to the SAR regulations and r</w:t>
      </w:r>
      <w:r w:rsidR="00D338E4">
        <w:rPr>
          <w:rFonts w:ascii="Times New Roman" w:hAnsi="Times New Roman"/>
          <w:sz w:val="24"/>
          <w:szCs w:val="24"/>
        </w:rPr>
        <w:t xml:space="preserve">eport. Although no changes were </w:t>
      </w:r>
      <w:r w:rsidRPr="00C15C25">
        <w:rPr>
          <w:rFonts w:ascii="Times New Roman" w:hAnsi="Times New Roman"/>
          <w:sz w:val="24"/>
          <w:szCs w:val="24"/>
        </w:rPr>
        <w:t>proposed to the information collections themselves, the notice requested public comments on a proposed updated burden estimate for the information collection</w:t>
      </w:r>
      <w:r w:rsidR="00F15621">
        <w:rPr>
          <w:rFonts w:ascii="Times New Roman" w:hAnsi="Times New Roman"/>
          <w:sz w:val="24"/>
          <w:szCs w:val="24"/>
        </w:rPr>
        <w:t>s</w:t>
      </w:r>
      <w:r w:rsidRPr="00C15C25">
        <w:rPr>
          <w:rFonts w:ascii="Times New Roman" w:hAnsi="Times New Roman"/>
          <w:sz w:val="24"/>
          <w:szCs w:val="24"/>
        </w:rPr>
        <w:t xml:space="preserve">. Specifically, the notice proposed for </w:t>
      </w:r>
      <w:r w:rsidRPr="00C15C25">
        <w:rPr>
          <w:rFonts w:ascii="Times New Roman" w:hAnsi="Times New Roman" w:eastAsia="Calibri"/>
          <w:sz w:val="24"/>
          <w:szCs w:val="24"/>
        </w:rPr>
        <w:t>review and comment</w:t>
      </w:r>
      <w:r w:rsidRPr="00C15C25">
        <w:rPr>
          <w:rFonts w:ascii="Times New Roman" w:hAnsi="Times New Roman"/>
          <w:sz w:val="24"/>
          <w:szCs w:val="24"/>
        </w:rPr>
        <w:t xml:space="preserve"> (a) a re-calculation of the portion of the </w:t>
      </w:r>
      <w:r w:rsidR="00CD4750">
        <w:rPr>
          <w:rFonts w:ascii="Times New Roman" w:hAnsi="Times New Roman"/>
          <w:sz w:val="24"/>
          <w:szCs w:val="24"/>
        </w:rPr>
        <w:t xml:space="preserve">Paperwork Reduction Act </w:t>
      </w:r>
      <w:r w:rsidR="00351A0A">
        <w:rPr>
          <w:rFonts w:ascii="Times New Roman" w:hAnsi="Times New Roman"/>
          <w:sz w:val="24"/>
          <w:szCs w:val="24"/>
        </w:rPr>
        <w:t xml:space="preserve">of 1995 </w:t>
      </w:r>
      <w:r w:rsidR="00CD4750">
        <w:rPr>
          <w:rFonts w:ascii="Times New Roman" w:hAnsi="Times New Roman"/>
          <w:sz w:val="24"/>
          <w:szCs w:val="24"/>
        </w:rPr>
        <w:t>(“</w:t>
      </w:r>
      <w:r w:rsidRPr="00C15C25">
        <w:rPr>
          <w:rFonts w:ascii="Times New Roman" w:hAnsi="Times New Roman"/>
          <w:sz w:val="24"/>
          <w:szCs w:val="24"/>
        </w:rPr>
        <w:t>PRA</w:t>
      </w:r>
      <w:r w:rsidR="00CD4750">
        <w:rPr>
          <w:rFonts w:ascii="Times New Roman" w:hAnsi="Times New Roman"/>
          <w:sz w:val="24"/>
          <w:szCs w:val="24"/>
        </w:rPr>
        <w:t>”)</w:t>
      </w:r>
      <w:r w:rsidRPr="00C15C25">
        <w:rPr>
          <w:rFonts w:ascii="Times New Roman" w:hAnsi="Times New Roman"/>
          <w:sz w:val="24"/>
          <w:szCs w:val="24"/>
        </w:rPr>
        <w:t xml:space="preserve"> burden that has been subject to notice and comment in the past (the “traditional </w:t>
      </w:r>
      <w:r w:rsidR="00F15621">
        <w:rPr>
          <w:rFonts w:ascii="Times New Roman" w:hAnsi="Times New Roman"/>
          <w:sz w:val="24"/>
          <w:szCs w:val="24"/>
        </w:rPr>
        <w:t>annual PRA burden”)</w:t>
      </w:r>
      <w:r w:rsidR="00351A0A">
        <w:rPr>
          <w:rFonts w:ascii="Times New Roman" w:hAnsi="Times New Roman"/>
          <w:sz w:val="24"/>
          <w:szCs w:val="24"/>
        </w:rPr>
        <w:t>,</w:t>
      </w:r>
      <w:r w:rsidR="00F15621">
        <w:rPr>
          <w:rFonts w:ascii="Times New Roman" w:hAnsi="Times New Roman"/>
          <w:sz w:val="24"/>
          <w:szCs w:val="24"/>
        </w:rPr>
        <w:t xml:space="preserve"> and (b) a method to </w:t>
      </w:r>
      <w:r w:rsidRPr="00C15C25">
        <w:rPr>
          <w:rFonts w:ascii="Times New Roman" w:hAnsi="Times New Roman"/>
          <w:sz w:val="24"/>
          <w:szCs w:val="24"/>
        </w:rPr>
        <w:t>estimate the portion of the PRA burden that FinCEN previously had not included (the “supplemental annual PRA burden”</w:t>
      </w:r>
      <w:r w:rsidR="00D338E4">
        <w:rPr>
          <w:rFonts w:ascii="Times New Roman" w:hAnsi="Times New Roman"/>
          <w:sz w:val="24"/>
          <w:szCs w:val="24"/>
        </w:rPr>
        <w:t>).</w:t>
      </w:r>
    </w:p>
    <w:p w:rsidRPr="00E752DD" w:rsidR="00E752DD" w:rsidP="00E752DD" w:rsidRDefault="00E752DD" w14:paraId="6CA0B354" w14:textId="77777777">
      <w:pPr>
        <w:contextualSpacing/>
        <w:rPr>
          <w:rFonts w:ascii="Times New Roman" w:hAnsi="Times New Roman" w:eastAsia="Calibri"/>
          <w:sz w:val="24"/>
          <w:szCs w:val="24"/>
        </w:rPr>
      </w:pPr>
    </w:p>
    <w:p w:rsidR="00E752DD" w:rsidP="00F15621" w:rsidRDefault="00E752DD" w14:paraId="6C0C8EBB" w14:textId="77777777">
      <w:pPr>
        <w:ind w:firstLine="720"/>
        <w:rPr>
          <w:rFonts w:ascii="Times New Roman" w:hAnsi="Times New Roman"/>
          <w:sz w:val="24"/>
          <w:szCs w:val="24"/>
        </w:rPr>
      </w:pPr>
      <w:r w:rsidRPr="00F15621">
        <w:rPr>
          <w:rFonts w:ascii="Times New Roman" w:hAnsi="Times New Roman"/>
          <w:sz w:val="24"/>
          <w:szCs w:val="24"/>
        </w:rPr>
        <w:t xml:space="preserve">As explained in the notice, FinCEN intends to conduct more granular studies of the filing population in the future, to </w:t>
      </w:r>
      <w:r w:rsidRPr="00F15621" w:rsidR="00F15621">
        <w:rPr>
          <w:rFonts w:ascii="Times New Roman" w:hAnsi="Times New Roman"/>
          <w:sz w:val="24"/>
          <w:szCs w:val="24"/>
        </w:rPr>
        <w:t>arrive at more realistic estimates that take into consideration a more specific breakdown of the SAR production process</w:t>
      </w:r>
      <w:r w:rsidR="00F15621">
        <w:rPr>
          <w:rFonts w:ascii="Times New Roman" w:hAnsi="Times New Roman"/>
          <w:sz w:val="24"/>
          <w:szCs w:val="24"/>
        </w:rPr>
        <w:t xml:space="preserve">. </w:t>
      </w:r>
      <w:r w:rsidRPr="00F15621" w:rsidR="00F15621">
        <w:rPr>
          <w:rFonts w:ascii="Times New Roman" w:hAnsi="Times New Roman"/>
          <w:sz w:val="24"/>
          <w:szCs w:val="24"/>
        </w:rPr>
        <w:t>The data obtained in these studies may result in a significant variation of the estimated total annual PRA burden</w:t>
      </w:r>
    </w:p>
    <w:p w:rsidRPr="00F15621" w:rsidR="00F15621" w:rsidP="00F15621" w:rsidRDefault="00F15621" w14:paraId="38CC8775" w14:textId="77777777">
      <w:pPr>
        <w:ind w:firstLine="720"/>
        <w:rPr>
          <w:rFonts w:ascii="Times New Roman" w:hAnsi="Times New Roman" w:eastAsia="MS Mincho"/>
          <w:sz w:val="24"/>
          <w:szCs w:val="24"/>
        </w:rPr>
      </w:pPr>
    </w:p>
    <w:p w:rsidR="00E752DD" w:rsidP="00B74A0B" w:rsidRDefault="00E752DD" w14:paraId="46F6B167" w14:textId="639554BD">
      <w:pPr>
        <w:ind w:firstLine="720"/>
        <w:rPr>
          <w:rFonts w:ascii="Times New Roman" w:hAnsi="Times New Roman"/>
          <w:sz w:val="24"/>
          <w:szCs w:val="24"/>
        </w:rPr>
      </w:pPr>
      <w:r>
        <w:rPr>
          <w:rFonts w:ascii="Times New Roman" w:hAnsi="Times New Roman"/>
          <w:sz w:val="24"/>
          <w:szCs w:val="24"/>
        </w:rPr>
        <w:t xml:space="preserve">FinCEN received </w:t>
      </w:r>
      <w:r w:rsidRPr="00B74A0B" w:rsidR="004A2A91">
        <w:rPr>
          <w:rFonts w:ascii="Times New Roman" w:hAnsi="Times New Roman"/>
          <w:sz w:val="24"/>
          <w:szCs w:val="24"/>
        </w:rPr>
        <w:t>22</w:t>
      </w:r>
      <w:r w:rsidRPr="00E752DD">
        <w:rPr>
          <w:rFonts w:ascii="Times New Roman" w:hAnsi="Times New Roman"/>
          <w:sz w:val="24"/>
          <w:szCs w:val="24"/>
        </w:rPr>
        <w:t xml:space="preserve"> public comments in response to this notice. Commenters were generally supportive of FinCEN’s effort to more accurately estimate the costs and bur</w:t>
      </w:r>
      <w:r>
        <w:rPr>
          <w:rFonts w:ascii="Times New Roman" w:hAnsi="Times New Roman"/>
          <w:sz w:val="24"/>
          <w:szCs w:val="24"/>
        </w:rPr>
        <w:t>dens associated with the SAR</w:t>
      </w:r>
      <w:r w:rsidRPr="00E752DD">
        <w:rPr>
          <w:rFonts w:ascii="Times New Roman" w:hAnsi="Times New Roman"/>
          <w:sz w:val="24"/>
          <w:szCs w:val="24"/>
        </w:rPr>
        <w:t xml:space="preserve"> filing process. </w:t>
      </w:r>
    </w:p>
    <w:p w:rsidRPr="00E752DD" w:rsidR="00B74A0B" w:rsidP="00B74A0B" w:rsidRDefault="00B74A0B" w14:paraId="72E0B7B1" w14:textId="77777777">
      <w:pPr>
        <w:ind w:firstLine="720"/>
        <w:rPr>
          <w:rFonts w:ascii="Times New Roman" w:hAnsi="Times New Roman"/>
          <w:sz w:val="24"/>
          <w:szCs w:val="24"/>
        </w:rPr>
      </w:pPr>
    </w:p>
    <w:p w:rsidR="006113F9" w:rsidP="00F15621" w:rsidRDefault="00E752DD" w14:paraId="49CF7495" w14:textId="77777777">
      <w:pPr>
        <w:ind w:firstLine="720"/>
        <w:rPr>
          <w:rFonts w:ascii="Times New Roman" w:hAnsi="Times New Roman"/>
          <w:sz w:val="24"/>
          <w:szCs w:val="24"/>
        </w:rPr>
      </w:pPr>
      <w:r w:rsidRPr="00E752DD">
        <w:rPr>
          <w:rFonts w:ascii="Times New Roman" w:hAnsi="Times New Roman"/>
          <w:sz w:val="24"/>
          <w:szCs w:val="24"/>
        </w:rPr>
        <w:t>Some commenters had specific recommendations regarding the traditional and supplemental annual PRA burden estimates described in the notice. FinCEN appreciates the specific recommendations we received and we intend to use that information to calculate future PRA burden and cost estimates as part of a larger project FinCEN is undertaking to better understand the PRA hourly burden and cost of the BSA as a whole. Some of the specific recommendations from commenters are as follows:</w:t>
      </w:r>
    </w:p>
    <w:p w:rsidR="006113F9" w:rsidP="00F15621" w:rsidRDefault="006113F9" w14:paraId="337791A0" w14:textId="77777777">
      <w:pPr>
        <w:ind w:firstLine="720"/>
        <w:rPr>
          <w:rFonts w:ascii="Times New Roman" w:hAnsi="Times New Roman"/>
          <w:sz w:val="24"/>
          <w:szCs w:val="24"/>
        </w:rPr>
      </w:pPr>
    </w:p>
    <w:p w:rsidR="006113F9" w:rsidP="00B74A0B" w:rsidRDefault="006113F9" w14:paraId="708E3923" w14:textId="2AD52E16">
      <w:pPr>
        <w:pStyle w:val="ListParagraph"/>
        <w:numPr>
          <w:ilvl w:val="0"/>
          <w:numId w:val="10"/>
        </w:numPr>
        <w:rPr>
          <w:rStyle w:val="CommentReference"/>
          <w:rFonts w:ascii="Times New Roman" w:hAnsi="Times New Roman"/>
          <w:sz w:val="24"/>
          <w:szCs w:val="24"/>
        </w:rPr>
      </w:pPr>
      <w:r w:rsidRPr="006113F9">
        <w:rPr>
          <w:rFonts w:ascii="Times New Roman" w:hAnsi="Times New Roman"/>
          <w:sz w:val="24"/>
          <w:szCs w:val="24"/>
        </w:rPr>
        <w:t xml:space="preserve"> </w:t>
      </w:r>
      <w:r>
        <w:rPr>
          <w:rFonts w:ascii="Times New Roman" w:hAnsi="Times New Roman"/>
          <w:sz w:val="24"/>
          <w:szCs w:val="24"/>
        </w:rPr>
        <w:t>T</w:t>
      </w:r>
      <w:r w:rsidRPr="006113F9">
        <w:rPr>
          <w:rFonts w:ascii="Times New Roman" w:hAnsi="Times New Roman"/>
          <w:sz w:val="24"/>
          <w:szCs w:val="24"/>
        </w:rPr>
        <w:t>ime estimates should be significantly increased to reflect the actual amount of time needed to process a SAR</w:t>
      </w:r>
      <w:r>
        <w:rPr>
          <w:rFonts w:ascii="Times New Roman" w:hAnsi="Times New Roman"/>
          <w:sz w:val="24"/>
          <w:szCs w:val="24"/>
        </w:rPr>
        <w:t>.</w:t>
      </w:r>
      <w:r w:rsidRPr="006113F9">
        <w:rPr>
          <w:rStyle w:val="CommentReference"/>
          <w:rFonts w:ascii="Times New Roman" w:hAnsi="Times New Roman"/>
          <w:sz w:val="24"/>
          <w:szCs w:val="24"/>
        </w:rPr>
        <w:t xml:space="preserve"> </w:t>
      </w:r>
    </w:p>
    <w:p w:rsidR="00E752DD" w:rsidP="00B74A0B" w:rsidRDefault="006113F9" w14:paraId="01009237" w14:textId="2E0E0AAD">
      <w:pPr>
        <w:pStyle w:val="ListParagraph"/>
        <w:numPr>
          <w:ilvl w:val="0"/>
          <w:numId w:val="10"/>
        </w:numPr>
        <w:rPr>
          <w:rFonts w:ascii="Times New Roman" w:hAnsi="Times New Roman"/>
          <w:sz w:val="24"/>
          <w:szCs w:val="24"/>
        </w:rPr>
      </w:pPr>
      <w:r w:rsidRPr="006113F9">
        <w:t xml:space="preserve"> </w:t>
      </w:r>
      <w:r>
        <w:rPr>
          <w:rFonts w:ascii="Times New Roman" w:hAnsi="Times New Roman"/>
          <w:sz w:val="24"/>
          <w:szCs w:val="24"/>
        </w:rPr>
        <w:t>T</w:t>
      </w:r>
      <w:r w:rsidRPr="006113F9">
        <w:rPr>
          <w:rFonts w:ascii="Times New Roman" w:hAnsi="Times New Roman"/>
          <w:sz w:val="24"/>
          <w:szCs w:val="24"/>
        </w:rPr>
        <w:t>he requirement to maintain SAR metrics and the co</w:t>
      </w:r>
      <w:r w:rsidR="00427C1F">
        <w:rPr>
          <w:rFonts w:ascii="Times New Roman" w:hAnsi="Times New Roman"/>
          <w:sz w:val="24"/>
          <w:szCs w:val="24"/>
        </w:rPr>
        <w:t xml:space="preserve">sts associated with </w:t>
      </w:r>
      <w:r>
        <w:rPr>
          <w:rFonts w:ascii="Times New Roman" w:hAnsi="Times New Roman"/>
          <w:sz w:val="24"/>
          <w:szCs w:val="24"/>
        </w:rPr>
        <w:t>governance</w:t>
      </w:r>
      <w:r w:rsidR="002B17D3">
        <w:rPr>
          <w:rFonts w:ascii="Times New Roman" w:hAnsi="Times New Roman"/>
          <w:sz w:val="24"/>
          <w:szCs w:val="24"/>
        </w:rPr>
        <w:t xml:space="preserve"> of </w:t>
      </w:r>
      <w:r w:rsidR="00427C1F">
        <w:rPr>
          <w:rFonts w:ascii="Times New Roman" w:hAnsi="Times New Roman"/>
          <w:sz w:val="24"/>
          <w:szCs w:val="24"/>
        </w:rPr>
        <w:t>the</w:t>
      </w:r>
      <w:r>
        <w:rPr>
          <w:rFonts w:ascii="Times New Roman" w:hAnsi="Times New Roman"/>
          <w:sz w:val="24"/>
          <w:szCs w:val="24"/>
        </w:rPr>
        <w:t xml:space="preserve"> entire SAR process should be considered in the proposal.</w:t>
      </w:r>
    </w:p>
    <w:p w:rsidR="006113F9" w:rsidP="00B74A0B" w:rsidRDefault="002B17D3" w14:paraId="4434F6FF" w14:textId="317CB183">
      <w:pPr>
        <w:pStyle w:val="ListParagraph"/>
        <w:numPr>
          <w:ilvl w:val="0"/>
          <w:numId w:val="10"/>
        </w:numPr>
        <w:rPr>
          <w:rFonts w:ascii="Times New Roman" w:hAnsi="Times New Roman"/>
          <w:sz w:val="24"/>
          <w:szCs w:val="24"/>
        </w:rPr>
      </w:pPr>
      <w:r>
        <w:rPr>
          <w:rFonts w:ascii="Times New Roman" w:hAnsi="Times New Roman"/>
          <w:sz w:val="24"/>
          <w:szCs w:val="24"/>
        </w:rPr>
        <w:t>M</w:t>
      </w:r>
      <w:r w:rsidRPr="006113F9" w:rsidR="006113F9">
        <w:rPr>
          <w:rFonts w:ascii="Times New Roman" w:hAnsi="Times New Roman"/>
          <w:sz w:val="24"/>
          <w:szCs w:val="24"/>
        </w:rPr>
        <w:t xml:space="preserve">uch of the </w:t>
      </w:r>
      <w:r w:rsidR="006113F9">
        <w:rPr>
          <w:rFonts w:ascii="Times New Roman" w:hAnsi="Times New Roman"/>
          <w:sz w:val="24"/>
          <w:szCs w:val="24"/>
        </w:rPr>
        <w:t xml:space="preserve">SAR </w:t>
      </w:r>
      <w:r w:rsidRPr="006113F9" w:rsidR="006113F9">
        <w:rPr>
          <w:rFonts w:ascii="Times New Roman" w:hAnsi="Times New Roman"/>
          <w:sz w:val="24"/>
          <w:szCs w:val="24"/>
        </w:rPr>
        <w:t>proces</w:t>
      </w:r>
      <w:r w:rsidR="006113F9">
        <w:rPr>
          <w:rFonts w:ascii="Times New Roman" w:hAnsi="Times New Roman"/>
          <w:sz w:val="24"/>
          <w:szCs w:val="24"/>
        </w:rPr>
        <w:t xml:space="preserve">s is still manual </w:t>
      </w:r>
      <w:r w:rsidR="00D45CF7">
        <w:rPr>
          <w:rFonts w:ascii="Times New Roman" w:hAnsi="Times New Roman"/>
          <w:sz w:val="24"/>
          <w:szCs w:val="24"/>
        </w:rPr>
        <w:t>and increases</w:t>
      </w:r>
      <w:r w:rsidRPr="006113F9" w:rsidR="006113F9">
        <w:rPr>
          <w:rFonts w:ascii="Times New Roman" w:hAnsi="Times New Roman"/>
          <w:sz w:val="24"/>
          <w:szCs w:val="24"/>
        </w:rPr>
        <w:t xml:space="preserve"> the labor costs associated with SAR filing</w:t>
      </w:r>
      <w:r w:rsidR="00351A0A">
        <w:rPr>
          <w:rFonts w:ascii="Times New Roman" w:hAnsi="Times New Roman"/>
          <w:sz w:val="24"/>
          <w:szCs w:val="24"/>
        </w:rPr>
        <w:t>,</w:t>
      </w:r>
      <w:r w:rsidR="006113F9">
        <w:rPr>
          <w:rFonts w:ascii="Times New Roman" w:hAnsi="Times New Roman"/>
          <w:sz w:val="24"/>
          <w:szCs w:val="24"/>
        </w:rPr>
        <w:t xml:space="preserve"> and should be incorporated into the burden.</w:t>
      </w:r>
      <w:r w:rsidRPr="002B17D3">
        <w:t xml:space="preserve"> </w:t>
      </w:r>
      <w:r w:rsidRPr="002B17D3">
        <w:rPr>
          <w:rFonts w:ascii="Times New Roman" w:hAnsi="Times New Roman"/>
          <w:sz w:val="24"/>
          <w:szCs w:val="24"/>
        </w:rPr>
        <w:t xml:space="preserve">FinCEN may be placing </w:t>
      </w:r>
      <w:r>
        <w:rPr>
          <w:rFonts w:ascii="Times New Roman" w:hAnsi="Times New Roman"/>
          <w:sz w:val="24"/>
          <w:szCs w:val="24"/>
        </w:rPr>
        <w:t>too much emphasis on automation.</w:t>
      </w:r>
    </w:p>
    <w:p w:rsidR="006113F9" w:rsidP="00B74A0B" w:rsidRDefault="006113F9" w14:paraId="1DE5F21C" w14:textId="27198CE7">
      <w:pPr>
        <w:pStyle w:val="ListParagraph"/>
        <w:numPr>
          <w:ilvl w:val="0"/>
          <w:numId w:val="10"/>
        </w:numPr>
        <w:rPr>
          <w:rFonts w:ascii="Times New Roman" w:hAnsi="Times New Roman"/>
          <w:sz w:val="24"/>
          <w:szCs w:val="24"/>
        </w:rPr>
      </w:pPr>
      <w:r w:rsidRPr="006113F9">
        <w:rPr>
          <w:rFonts w:ascii="Times New Roman" w:hAnsi="Times New Roman"/>
          <w:sz w:val="24"/>
          <w:szCs w:val="24"/>
        </w:rPr>
        <w:t xml:space="preserve">FinCEN </w:t>
      </w:r>
      <w:r>
        <w:rPr>
          <w:rFonts w:ascii="Times New Roman" w:hAnsi="Times New Roman"/>
          <w:sz w:val="24"/>
          <w:szCs w:val="24"/>
        </w:rPr>
        <w:t xml:space="preserve">should </w:t>
      </w:r>
      <w:r w:rsidRPr="006113F9">
        <w:rPr>
          <w:rFonts w:ascii="Times New Roman" w:hAnsi="Times New Roman"/>
          <w:sz w:val="24"/>
          <w:szCs w:val="24"/>
        </w:rPr>
        <w:t>survey the industry to develop a representative sample of all types and sizes of financial institutions from all geographies to develop a representative percentage of the number of alerts that become cases and, in turn, SARs</w:t>
      </w:r>
      <w:r>
        <w:rPr>
          <w:rFonts w:ascii="Times New Roman" w:hAnsi="Times New Roman"/>
          <w:sz w:val="24"/>
          <w:szCs w:val="24"/>
        </w:rPr>
        <w:t>.</w:t>
      </w:r>
    </w:p>
    <w:p w:rsidR="006113F9" w:rsidP="00B74A0B" w:rsidRDefault="006113F9" w14:paraId="15A3F989" w14:textId="073E5087">
      <w:pPr>
        <w:pStyle w:val="ListParagraph"/>
        <w:numPr>
          <w:ilvl w:val="0"/>
          <w:numId w:val="10"/>
        </w:numPr>
        <w:rPr>
          <w:rFonts w:ascii="Times New Roman" w:hAnsi="Times New Roman"/>
          <w:sz w:val="24"/>
          <w:szCs w:val="24"/>
        </w:rPr>
      </w:pPr>
      <w:r>
        <w:rPr>
          <w:rFonts w:ascii="Times New Roman" w:hAnsi="Times New Roman"/>
          <w:sz w:val="24"/>
          <w:szCs w:val="24"/>
        </w:rPr>
        <w:t>The proposal</w:t>
      </w:r>
      <w:r w:rsidRPr="006113F9">
        <w:t xml:space="preserve"> </w:t>
      </w:r>
      <w:r w:rsidRPr="006113F9">
        <w:rPr>
          <w:rFonts w:ascii="Times New Roman" w:hAnsi="Times New Roman"/>
          <w:sz w:val="24"/>
          <w:szCs w:val="24"/>
        </w:rPr>
        <w:t>does not allocate any time or costs to filing amendments to SARs</w:t>
      </w:r>
      <w:r>
        <w:rPr>
          <w:rFonts w:ascii="Times New Roman" w:hAnsi="Times New Roman"/>
          <w:sz w:val="24"/>
          <w:szCs w:val="24"/>
        </w:rPr>
        <w:t xml:space="preserve"> or for the </w:t>
      </w:r>
      <w:r w:rsidR="00351A0A">
        <w:rPr>
          <w:rFonts w:ascii="Times New Roman" w:hAnsi="Times New Roman"/>
          <w:sz w:val="24"/>
          <w:szCs w:val="24"/>
        </w:rPr>
        <w:t>q</w:t>
      </w:r>
      <w:r>
        <w:rPr>
          <w:rFonts w:ascii="Times New Roman" w:hAnsi="Times New Roman"/>
          <w:sz w:val="24"/>
          <w:szCs w:val="24"/>
        </w:rPr>
        <w:t xml:space="preserve">uality </w:t>
      </w:r>
      <w:r w:rsidR="00351A0A">
        <w:rPr>
          <w:rFonts w:ascii="Times New Roman" w:hAnsi="Times New Roman"/>
          <w:sz w:val="24"/>
          <w:szCs w:val="24"/>
        </w:rPr>
        <w:t>a</w:t>
      </w:r>
      <w:r>
        <w:rPr>
          <w:rFonts w:ascii="Times New Roman" w:hAnsi="Times New Roman"/>
          <w:sz w:val="24"/>
          <w:szCs w:val="24"/>
        </w:rPr>
        <w:t>ssurance work that is done as part of the SAR process.</w:t>
      </w:r>
    </w:p>
    <w:p w:rsidRPr="00B74A0B" w:rsidR="008A2A0E" w:rsidP="00B74A0B" w:rsidRDefault="006113F9" w14:paraId="0DF5FAA3" w14:textId="76BA3271">
      <w:pPr>
        <w:pStyle w:val="ListParagraph"/>
        <w:numPr>
          <w:ilvl w:val="0"/>
          <w:numId w:val="10"/>
        </w:numPr>
        <w:rPr>
          <w:rFonts w:ascii="Times New Roman" w:hAnsi="Times New Roman"/>
          <w:sz w:val="24"/>
          <w:szCs w:val="24"/>
        </w:rPr>
      </w:pPr>
      <w:r w:rsidRPr="006113F9">
        <w:rPr>
          <w:rFonts w:ascii="Times New Roman" w:hAnsi="Times New Roman"/>
          <w:sz w:val="24"/>
          <w:szCs w:val="24"/>
        </w:rPr>
        <w:t xml:space="preserve">Different </w:t>
      </w:r>
      <w:r>
        <w:rPr>
          <w:rFonts w:ascii="Times New Roman" w:hAnsi="Times New Roman"/>
          <w:sz w:val="24"/>
          <w:szCs w:val="24"/>
        </w:rPr>
        <w:t xml:space="preserve">types </w:t>
      </w:r>
      <w:r w:rsidR="00E23774">
        <w:rPr>
          <w:rFonts w:ascii="Times New Roman" w:hAnsi="Times New Roman"/>
          <w:sz w:val="24"/>
          <w:szCs w:val="24"/>
        </w:rPr>
        <w:t xml:space="preserve">of </w:t>
      </w:r>
      <w:r w:rsidRPr="006113F9">
        <w:rPr>
          <w:rFonts w:ascii="Times New Roman" w:hAnsi="Times New Roman"/>
          <w:sz w:val="24"/>
          <w:szCs w:val="24"/>
        </w:rPr>
        <w:t>financia</w:t>
      </w:r>
      <w:r>
        <w:rPr>
          <w:rFonts w:ascii="Times New Roman" w:hAnsi="Times New Roman"/>
          <w:sz w:val="24"/>
          <w:szCs w:val="24"/>
        </w:rPr>
        <w:t>l institutions have more senior</w:t>
      </w:r>
      <w:r w:rsidRPr="006113F9">
        <w:rPr>
          <w:rFonts w:ascii="Times New Roman" w:hAnsi="Times New Roman"/>
          <w:sz w:val="24"/>
          <w:szCs w:val="24"/>
        </w:rPr>
        <w:t xml:space="preserve"> staff members working on SARs as the products and se</w:t>
      </w:r>
      <w:r>
        <w:rPr>
          <w:rFonts w:ascii="Times New Roman" w:hAnsi="Times New Roman"/>
          <w:sz w:val="24"/>
          <w:szCs w:val="24"/>
        </w:rPr>
        <w:t xml:space="preserve">rvices are more complicated. </w:t>
      </w:r>
      <w:r w:rsidRPr="006113F9">
        <w:rPr>
          <w:rFonts w:ascii="Times New Roman" w:hAnsi="Times New Roman"/>
          <w:sz w:val="24"/>
          <w:szCs w:val="24"/>
        </w:rPr>
        <w:t>Higher wages should be incorporated into the proposal</w:t>
      </w:r>
      <w:r>
        <w:rPr>
          <w:rFonts w:ascii="Times New Roman" w:hAnsi="Times New Roman"/>
          <w:sz w:val="24"/>
          <w:szCs w:val="24"/>
        </w:rPr>
        <w:t xml:space="preserve"> than are currently listed.</w:t>
      </w:r>
    </w:p>
    <w:p w:rsidRPr="00537765" w:rsidR="00A35BD4" w:rsidRDefault="00A35BD4" w14:paraId="309CEA9A" w14:textId="77777777">
      <w:pPr>
        <w:rPr>
          <w:rFonts w:ascii="Times New Roman" w:hAnsi="Times New Roman"/>
          <w:sz w:val="24"/>
          <w:szCs w:val="24"/>
        </w:rPr>
      </w:pPr>
      <w:r w:rsidRPr="00537765">
        <w:rPr>
          <w:rFonts w:ascii="Times New Roman" w:hAnsi="Times New Roman"/>
          <w:sz w:val="24"/>
          <w:szCs w:val="24"/>
        </w:rPr>
        <w:t xml:space="preserve">9.  </w:t>
      </w:r>
      <w:r w:rsidRPr="00537765">
        <w:rPr>
          <w:rFonts w:ascii="Times New Roman" w:hAnsi="Times New Roman"/>
          <w:sz w:val="24"/>
          <w:szCs w:val="24"/>
          <w:u w:val="single"/>
        </w:rPr>
        <w:t>Payments or Gifts</w:t>
      </w:r>
      <w:r w:rsidRPr="00537765">
        <w:rPr>
          <w:rFonts w:ascii="Times New Roman" w:hAnsi="Times New Roman"/>
          <w:sz w:val="24"/>
          <w:szCs w:val="24"/>
        </w:rPr>
        <w:t>.</w:t>
      </w:r>
    </w:p>
    <w:p w:rsidR="007B0157" w:rsidP="007B0157" w:rsidRDefault="007B0157" w14:paraId="0EE0DB72" w14:textId="77777777">
      <w:pPr>
        <w:rPr>
          <w:rFonts w:ascii="Times New Roman" w:hAnsi="Times New Roman"/>
          <w:sz w:val="24"/>
          <w:szCs w:val="24"/>
        </w:rPr>
      </w:pPr>
    </w:p>
    <w:p w:rsidRPr="00537765" w:rsidR="00A35BD4" w:rsidP="00232F43" w:rsidRDefault="007B0157" w14:paraId="634F56CD" w14:textId="77777777">
      <w:pPr>
        <w:ind w:firstLine="720"/>
        <w:rPr>
          <w:rFonts w:ascii="Times New Roman" w:hAnsi="Times New Roman"/>
          <w:sz w:val="24"/>
          <w:szCs w:val="24"/>
        </w:rPr>
      </w:pPr>
      <w:r>
        <w:rPr>
          <w:rFonts w:ascii="Times New Roman" w:hAnsi="Times New Roman"/>
          <w:sz w:val="24"/>
          <w:szCs w:val="24"/>
        </w:rPr>
        <w:t>There were n</w:t>
      </w:r>
      <w:r w:rsidRPr="00537765" w:rsidR="00A35BD4">
        <w:rPr>
          <w:rFonts w:ascii="Times New Roman" w:hAnsi="Times New Roman"/>
          <w:sz w:val="24"/>
          <w:szCs w:val="24"/>
        </w:rPr>
        <w:t xml:space="preserve">o payments or gifts </w:t>
      </w:r>
      <w:r>
        <w:rPr>
          <w:rFonts w:ascii="Times New Roman" w:hAnsi="Times New Roman"/>
          <w:sz w:val="24"/>
          <w:szCs w:val="24"/>
        </w:rPr>
        <w:t>made to respondents.</w:t>
      </w:r>
    </w:p>
    <w:p w:rsidR="007B0157" w:rsidP="007B0157" w:rsidRDefault="007B0157" w14:paraId="75C1E95F" w14:textId="77777777">
      <w:pPr>
        <w:rPr>
          <w:rFonts w:ascii="Times New Roman" w:hAnsi="Times New Roman"/>
          <w:sz w:val="24"/>
          <w:szCs w:val="24"/>
        </w:rPr>
      </w:pPr>
    </w:p>
    <w:p w:rsidRPr="001D0EC3" w:rsidR="00A35BD4" w:rsidP="007B0157" w:rsidRDefault="007B0157" w14:paraId="2B22E370" w14:textId="77777777">
      <w:pPr>
        <w:rPr>
          <w:rFonts w:ascii="Times New Roman" w:hAnsi="Times New Roman"/>
          <w:sz w:val="24"/>
          <w:szCs w:val="24"/>
          <w:u w:val="single"/>
        </w:rPr>
      </w:pPr>
      <w:r w:rsidRPr="007B0157">
        <w:rPr>
          <w:rFonts w:ascii="Times New Roman" w:hAnsi="Times New Roman"/>
          <w:sz w:val="24"/>
          <w:szCs w:val="24"/>
        </w:rPr>
        <w:t>1</w:t>
      </w:r>
      <w:r w:rsidRPr="007B0157" w:rsidR="00A35BD4">
        <w:rPr>
          <w:rFonts w:ascii="Times New Roman" w:hAnsi="Times New Roman"/>
          <w:sz w:val="24"/>
          <w:szCs w:val="24"/>
        </w:rPr>
        <w:t xml:space="preserve">0.  </w:t>
      </w:r>
      <w:r w:rsidRPr="001D0EC3" w:rsidR="00A35BD4">
        <w:rPr>
          <w:rFonts w:ascii="Times New Roman" w:hAnsi="Times New Roman"/>
          <w:sz w:val="24"/>
          <w:szCs w:val="24"/>
          <w:u w:val="single"/>
        </w:rPr>
        <w:t>Assurance of Confidentiality of Responses.</w:t>
      </w:r>
    </w:p>
    <w:p w:rsidRPr="00537765" w:rsidR="00A35BD4" w:rsidRDefault="00A35BD4" w14:paraId="747C1853" w14:textId="77777777">
      <w:pPr>
        <w:rPr>
          <w:rFonts w:ascii="Times New Roman" w:hAnsi="Times New Roman"/>
          <w:sz w:val="24"/>
          <w:szCs w:val="24"/>
        </w:rPr>
      </w:pPr>
    </w:p>
    <w:p w:rsidRPr="00232F43" w:rsidR="00232F43" w:rsidP="00232F43" w:rsidRDefault="00A35BD4" w14:paraId="57BE23C8" w14:textId="3EA04781">
      <w:pPr>
        <w:ind w:firstLine="720"/>
        <w:rPr>
          <w:rFonts w:ascii="Times New Roman" w:hAnsi="Times New Roman"/>
          <w:sz w:val="24"/>
          <w:szCs w:val="24"/>
        </w:rPr>
      </w:pPr>
      <w:r w:rsidRPr="00537765">
        <w:rPr>
          <w:rFonts w:ascii="Times New Roman" w:hAnsi="Times New Roman"/>
          <w:sz w:val="24"/>
          <w:szCs w:val="24"/>
        </w:rPr>
        <w:t>Informatio</w:t>
      </w:r>
      <w:r w:rsidR="00232F43">
        <w:rPr>
          <w:rFonts w:ascii="Times New Roman" w:hAnsi="Times New Roman"/>
          <w:sz w:val="24"/>
          <w:szCs w:val="24"/>
        </w:rPr>
        <w:t xml:space="preserve">n provided to the government on a </w:t>
      </w:r>
      <w:r w:rsidRPr="00537765" w:rsidR="00A31A9C">
        <w:rPr>
          <w:rFonts w:ascii="Times New Roman" w:hAnsi="Times New Roman"/>
          <w:sz w:val="24"/>
          <w:szCs w:val="24"/>
        </w:rPr>
        <w:t>SAR</w:t>
      </w:r>
      <w:r w:rsidRPr="00537765">
        <w:rPr>
          <w:rFonts w:ascii="Times New Roman" w:hAnsi="Times New Roman"/>
          <w:sz w:val="24"/>
          <w:szCs w:val="24"/>
        </w:rPr>
        <w:t xml:space="preserve"> is expressly prohibited from disclosure under 31 U.S.C. 5318(g)(2)</w:t>
      </w:r>
      <w:r w:rsidR="000E6DF3">
        <w:rPr>
          <w:rFonts w:ascii="Times New Roman" w:hAnsi="Times New Roman"/>
          <w:sz w:val="24"/>
          <w:szCs w:val="24"/>
        </w:rPr>
        <w:t>, except as necessary to fulfill official duties</w:t>
      </w:r>
      <w:r w:rsidR="00232F43">
        <w:rPr>
          <w:rFonts w:ascii="Times New Roman" w:hAnsi="Times New Roman"/>
          <w:sz w:val="24"/>
          <w:szCs w:val="24"/>
        </w:rPr>
        <w:t>.</w:t>
      </w:r>
      <w:r w:rsidR="000665AB">
        <w:rPr>
          <w:rFonts w:ascii="Times New Roman" w:hAnsi="Times New Roman"/>
          <w:sz w:val="24"/>
          <w:szCs w:val="24"/>
        </w:rPr>
        <w:t xml:space="preserve"> </w:t>
      </w:r>
      <w:r w:rsidRPr="00232F43" w:rsidR="00232F43">
        <w:rPr>
          <w:rFonts w:ascii="Times New Roman" w:hAnsi="Times New Roman"/>
          <w:sz w:val="24"/>
          <w:szCs w:val="24"/>
        </w:rPr>
        <w:t xml:space="preserve">The information collected under this requirement is made available to appropriate agencies and organizations as disclosed in FinCEN's Privacy Act System of Records Notice relating to </w:t>
      </w:r>
      <w:r w:rsidR="000E6DF3">
        <w:rPr>
          <w:rFonts w:ascii="Times New Roman" w:hAnsi="Times New Roman"/>
          <w:sz w:val="24"/>
          <w:szCs w:val="24"/>
        </w:rPr>
        <w:t>SAR</w:t>
      </w:r>
      <w:r w:rsidRPr="00232F43" w:rsidR="00232F43">
        <w:rPr>
          <w:rFonts w:ascii="Times New Roman" w:hAnsi="Times New Roman"/>
          <w:sz w:val="24"/>
          <w:szCs w:val="24"/>
        </w:rPr>
        <w:t xml:space="preserve"> reports.</w:t>
      </w:r>
      <w:r w:rsidRPr="00232F43" w:rsidR="00232F43">
        <w:rPr>
          <w:rStyle w:val="FootnoteReference"/>
          <w:rFonts w:ascii="Times New Roman" w:hAnsi="Times New Roman"/>
          <w:sz w:val="24"/>
          <w:szCs w:val="24"/>
        </w:rPr>
        <w:footnoteReference w:id="9"/>
      </w:r>
    </w:p>
    <w:p w:rsidRPr="00537765" w:rsidR="00A35BD4" w:rsidRDefault="00A35BD4" w14:paraId="3A10EFBC" w14:textId="77777777">
      <w:pPr>
        <w:rPr>
          <w:rFonts w:ascii="Times New Roman" w:hAnsi="Times New Roman"/>
          <w:sz w:val="24"/>
          <w:szCs w:val="24"/>
        </w:rPr>
      </w:pPr>
    </w:p>
    <w:p w:rsidRPr="00537765" w:rsidR="00A35BD4" w:rsidRDefault="00A35BD4" w14:paraId="36C9D4CA" w14:textId="77777777">
      <w:pPr>
        <w:rPr>
          <w:rFonts w:ascii="Times New Roman" w:hAnsi="Times New Roman"/>
          <w:sz w:val="24"/>
          <w:szCs w:val="24"/>
        </w:rPr>
      </w:pPr>
      <w:r w:rsidRPr="00537765">
        <w:rPr>
          <w:rFonts w:ascii="Times New Roman" w:hAnsi="Times New Roman"/>
          <w:sz w:val="24"/>
          <w:szCs w:val="24"/>
        </w:rPr>
        <w:t xml:space="preserve">11.  </w:t>
      </w:r>
      <w:r w:rsidRPr="00537765">
        <w:rPr>
          <w:rFonts w:ascii="Times New Roman" w:hAnsi="Times New Roman"/>
          <w:sz w:val="24"/>
          <w:szCs w:val="24"/>
          <w:u w:val="single"/>
        </w:rPr>
        <w:t>Justification of Sensitive Questions</w:t>
      </w:r>
      <w:r w:rsidRPr="00537765">
        <w:rPr>
          <w:rFonts w:ascii="Times New Roman" w:hAnsi="Times New Roman"/>
          <w:sz w:val="24"/>
          <w:szCs w:val="24"/>
        </w:rPr>
        <w:t>.</w:t>
      </w:r>
    </w:p>
    <w:p w:rsidR="00A35BD4" w:rsidRDefault="00A35BD4" w14:paraId="77F52CE2" w14:textId="77777777">
      <w:pPr>
        <w:rPr>
          <w:rFonts w:ascii="Times New Roman" w:hAnsi="Times New Roman"/>
          <w:sz w:val="24"/>
          <w:szCs w:val="24"/>
        </w:rPr>
      </w:pPr>
    </w:p>
    <w:p w:rsidRPr="00537765" w:rsidR="00EB1D8F" w:rsidP="00232F43" w:rsidRDefault="00232F43" w14:paraId="13C7E2B3" w14:textId="25E3F0F0">
      <w:pPr>
        <w:ind w:firstLine="720"/>
        <w:rPr>
          <w:rFonts w:ascii="Times New Roman" w:hAnsi="Times New Roman"/>
          <w:sz w:val="24"/>
          <w:szCs w:val="24"/>
        </w:rPr>
      </w:pPr>
      <w:r w:rsidRPr="00232F43">
        <w:rPr>
          <w:rFonts w:ascii="Times New Roman" w:hAnsi="Times New Roman"/>
          <w:sz w:val="24"/>
          <w:szCs w:val="24"/>
        </w:rPr>
        <w:t xml:space="preserve">There are no questions of a sensitive nature in the collection of information. Any personally identifiable information collected under the BSA is strictly controlled as outlined in FinCEN’s Privacy Act Systems of Records Notice relating to </w:t>
      </w:r>
      <w:r w:rsidR="000E6DF3">
        <w:rPr>
          <w:rFonts w:ascii="Times New Roman" w:hAnsi="Times New Roman"/>
          <w:sz w:val="24"/>
          <w:szCs w:val="24"/>
        </w:rPr>
        <w:t xml:space="preserve">SAR </w:t>
      </w:r>
      <w:r w:rsidRPr="00232F43">
        <w:rPr>
          <w:rFonts w:ascii="Times New Roman" w:hAnsi="Times New Roman"/>
          <w:sz w:val="24"/>
          <w:szCs w:val="24"/>
        </w:rPr>
        <w:t>reports.</w:t>
      </w:r>
      <w:r w:rsidRPr="00232F43">
        <w:rPr>
          <w:rStyle w:val="FootnoteReference"/>
          <w:rFonts w:ascii="Times New Roman" w:hAnsi="Times New Roman"/>
          <w:sz w:val="24"/>
          <w:szCs w:val="24"/>
        </w:rPr>
        <w:footnoteReference w:id="10"/>
      </w:r>
      <w:r w:rsidRPr="00537765">
        <w:rPr>
          <w:rFonts w:ascii="Times New Roman" w:hAnsi="Times New Roman"/>
          <w:sz w:val="24"/>
          <w:szCs w:val="24"/>
        </w:rPr>
        <w:t xml:space="preserve"> </w:t>
      </w:r>
    </w:p>
    <w:p w:rsidRPr="006458D8" w:rsidR="00A35BD4" w:rsidRDefault="00A35BD4" w14:paraId="7650A598" w14:textId="77777777">
      <w:pPr>
        <w:rPr>
          <w:rFonts w:ascii="Times New Roman" w:hAnsi="Times New Roman"/>
          <w:sz w:val="24"/>
          <w:szCs w:val="24"/>
        </w:rPr>
      </w:pPr>
    </w:p>
    <w:p w:rsidR="00A35BD4" w:rsidRDefault="00A35BD4" w14:paraId="0EEDBDBF" w14:textId="77777777">
      <w:pPr>
        <w:rPr>
          <w:rFonts w:ascii="Times New Roman" w:hAnsi="Times New Roman"/>
          <w:sz w:val="24"/>
          <w:szCs w:val="24"/>
        </w:rPr>
      </w:pPr>
      <w:r w:rsidRPr="00537765">
        <w:rPr>
          <w:rFonts w:ascii="Times New Roman" w:hAnsi="Times New Roman"/>
          <w:sz w:val="24"/>
          <w:szCs w:val="24"/>
        </w:rPr>
        <w:t xml:space="preserve">12.  </w:t>
      </w:r>
      <w:r w:rsidRPr="00537765">
        <w:rPr>
          <w:rFonts w:ascii="Times New Roman" w:hAnsi="Times New Roman"/>
          <w:sz w:val="24"/>
          <w:szCs w:val="24"/>
          <w:u w:val="single"/>
        </w:rPr>
        <w:t>Estimated Annual Hourly Burden</w:t>
      </w:r>
      <w:r w:rsidRPr="00537765">
        <w:rPr>
          <w:rFonts w:ascii="Times New Roman" w:hAnsi="Times New Roman"/>
          <w:sz w:val="24"/>
          <w:szCs w:val="24"/>
        </w:rPr>
        <w:t>.</w:t>
      </w:r>
    </w:p>
    <w:p w:rsidR="001D0EC3" w:rsidP="001D0EC3" w:rsidRDefault="001D0EC3" w14:paraId="5194EFE0" w14:textId="77777777">
      <w:pPr>
        <w:tabs>
          <w:tab w:val="left" w:pos="0"/>
        </w:tabs>
        <w:suppressAutoHyphens/>
        <w:rPr>
          <w:rFonts w:ascii="Times New Roman" w:hAnsi="Times New Roman"/>
          <w:sz w:val="24"/>
          <w:szCs w:val="24"/>
          <w:u w:val="single"/>
        </w:rPr>
      </w:pPr>
    </w:p>
    <w:p w:rsidRPr="001D0EC3" w:rsidR="001D0EC3" w:rsidP="001D0EC3" w:rsidRDefault="001D0EC3" w14:paraId="59C333A6" w14:textId="77777777">
      <w:pPr>
        <w:tabs>
          <w:tab w:val="left" w:pos="0"/>
        </w:tabs>
        <w:suppressAutoHyphens/>
        <w:rPr>
          <w:rFonts w:ascii="Times New Roman" w:hAnsi="Times New Roman"/>
          <w:sz w:val="24"/>
          <w:szCs w:val="24"/>
        </w:rPr>
      </w:pPr>
      <w:r>
        <w:rPr>
          <w:rFonts w:ascii="Times New Roman" w:hAnsi="Times New Roman"/>
          <w:sz w:val="24"/>
          <w:szCs w:val="24"/>
          <w:u w:val="single"/>
        </w:rPr>
        <w:t>Frequency:</w:t>
      </w:r>
      <w:r w:rsidRPr="001D0EC3">
        <w:rPr>
          <w:rFonts w:ascii="Times New Roman" w:hAnsi="Times New Roman"/>
          <w:sz w:val="24"/>
          <w:szCs w:val="24"/>
        </w:rPr>
        <w:t xml:space="preserve"> As required.</w:t>
      </w:r>
    </w:p>
    <w:p w:rsidR="001D0EC3" w:rsidP="001D0EC3" w:rsidRDefault="001D0EC3" w14:paraId="30A147E3" w14:textId="77777777">
      <w:pPr>
        <w:tabs>
          <w:tab w:val="left" w:pos="0"/>
        </w:tabs>
        <w:suppressAutoHyphens/>
        <w:rPr>
          <w:rFonts w:ascii="Times New Roman" w:hAnsi="Times New Roman"/>
          <w:sz w:val="24"/>
          <w:szCs w:val="24"/>
          <w:u w:val="single"/>
        </w:rPr>
      </w:pPr>
    </w:p>
    <w:p w:rsidRPr="00C1406D" w:rsidR="00426DE6" w:rsidP="001D0EC3" w:rsidRDefault="006F3ED8" w14:paraId="364FAE7A" w14:textId="77777777">
      <w:pPr>
        <w:tabs>
          <w:tab w:val="left" w:pos="0"/>
        </w:tabs>
        <w:suppressAutoHyphens/>
        <w:rPr>
          <w:rFonts w:ascii="Times New Roman" w:hAnsi="Times New Roman"/>
          <w:sz w:val="24"/>
          <w:szCs w:val="24"/>
          <w:u w:val="single"/>
        </w:rPr>
      </w:pPr>
      <w:r w:rsidRPr="00C1406D">
        <w:rPr>
          <w:rFonts w:ascii="Times New Roman" w:hAnsi="Times New Roman"/>
          <w:sz w:val="24"/>
          <w:szCs w:val="24"/>
          <w:u w:val="single"/>
        </w:rPr>
        <w:t>Estimated Burden</w:t>
      </w:r>
      <w:r w:rsidRPr="00C1406D" w:rsidR="00C1406D">
        <w:rPr>
          <w:rFonts w:ascii="Times New Roman" w:hAnsi="Times New Roman"/>
          <w:sz w:val="24"/>
          <w:szCs w:val="24"/>
          <w:u w:val="single"/>
        </w:rPr>
        <w:t xml:space="preserve"> of OMB Control Numbers </w:t>
      </w:r>
      <w:r w:rsidRPr="00C1406D" w:rsidR="00C1406D">
        <w:rPr>
          <w:rFonts w:ascii="Times New Roman" w:hAnsi="Times New Roman" w:eastAsia="Calibri"/>
          <w:sz w:val="24"/>
          <w:szCs w:val="24"/>
          <w:u w:val="single"/>
        </w:rPr>
        <w:t>1506-0001, 1506-0006, 1506-0015, 1506-0019, 1506-0029, and 1506-0061</w:t>
      </w:r>
      <w:r w:rsidRPr="00C1406D">
        <w:rPr>
          <w:rFonts w:ascii="Times New Roman" w:hAnsi="Times New Roman"/>
          <w:sz w:val="24"/>
          <w:szCs w:val="24"/>
          <w:u w:val="single"/>
        </w:rPr>
        <w:t xml:space="preserve">: </w:t>
      </w:r>
    </w:p>
    <w:p w:rsidRPr="00C1406D" w:rsidR="00426DE6" w:rsidP="001D0EC3" w:rsidRDefault="00426DE6" w14:paraId="29E53E16" w14:textId="77777777">
      <w:pPr>
        <w:tabs>
          <w:tab w:val="left" w:pos="0"/>
        </w:tabs>
        <w:suppressAutoHyphens/>
        <w:rPr>
          <w:rFonts w:ascii="Times New Roman" w:hAnsi="Times New Roman"/>
          <w:sz w:val="24"/>
          <w:szCs w:val="24"/>
          <w:u w:val="single"/>
        </w:rPr>
      </w:pPr>
    </w:p>
    <w:p w:rsidR="005628EA" w:rsidP="009C2CC4" w:rsidRDefault="00CD4750" w14:paraId="5A8B9B92" w14:textId="77777777">
      <w:pPr>
        <w:tabs>
          <w:tab w:val="left" w:pos="0"/>
        </w:tabs>
        <w:suppressAutoHyphens/>
        <w:rPr>
          <w:rFonts w:ascii="Times New Roman" w:hAnsi="Times New Roman"/>
          <w:sz w:val="24"/>
          <w:szCs w:val="24"/>
        </w:rPr>
      </w:pPr>
      <w:r>
        <w:rPr>
          <w:rFonts w:ascii="Times New Roman" w:hAnsi="Times New Roman"/>
          <w:sz w:val="24"/>
          <w:szCs w:val="24"/>
        </w:rPr>
        <w:tab/>
      </w:r>
      <w:r w:rsidRPr="001D0EC3" w:rsidR="006F3ED8">
        <w:rPr>
          <w:rFonts w:ascii="Times New Roman" w:hAnsi="Times New Roman"/>
          <w:sz w:val="24"/>
          <w:szCs w:val="24"/>
        </w:rPr>
        <w:t>An administrative burden of one hour is assigned to each of the SAR regulation OMB control numbers in order to maintain the requirements in force.</w:t>
      </w:r>
      <w:r w:rsidRPr="001D0EC3" w:rsidR="006F3ED8">
        <w:rPr>
          <w:rStyle w:val="FootnoteReference"/>
          <w:rFonts w:ascii="Times New Roman" w:hAnsi="Times New Roman"/>
          <w:sz w:val="24"/>
          <w:szCs w:val="24"/>
        </w:rPr>
        <w:footnoteReference w:id="11"/>
      </w:r>
      <w:r w:rsidRPr="001D0EC3" w:rsidR="006F3ED8">
        <w:rPr>
          <w:rFonts w:ascii="Times New Roman" w:hAnsi="Times New Roman"/>
          <w:sz w:val="24"/>
          <w:szCs w:val="24"/>
        </w:rPr>
        <w:t xml:space="preserve"> The reporting and recordkeeping burden is reflected in FinCEN Report 111 – SAR, under OMB control number 1506-0065. The rationale for assigning one burden hour to each of the SAR regulation OMB control numbers is that the annual burden hours would be double counted if FinCEN estimated burden in the industry SAR regulation OMB control numbers and in the FinCEN Report 111 – SAR OMB control number. </w:t>
      </w:r>
    </w:p>
    <w:p w:rsidR="00E8467E" w:rsidP="009C2CC4" w:rsidRDefault="00E8467E" w14:paraId="5832315B" w14:textId="77777777">
      <w:pPr>
        <w:rPr>
          <w:rFonts w:ascii="Times New Roman" w:hAnsi="Times New Roman" w:eastAsia="Calibri"/>
          <w:sz w:val="24"/>
          <w:szCs w:val="24"/>
          <w:u w:val="single"/>
        </w:rPr>
      </w:pPr>
    </w:p>
    <w:p w:rsidR="005628EA" w:rsidP="009C2CC4" w:rsidRDefault="005628EA" w14:paraId="6E95F5D6" w14:textId="12837528">
      <w:pPr>
        <w:rPr>
          <w:rFonts w:ascii="Times New Roman" w:hAnsi="Times New Roman" w:eastAsia="Calibri"/>
          <w:sz w:val="24"/>
          <w:szCs w:val="24"/>
        </w:rPr>
      </w:pPr>
      <w:r w:rsidRPr="005628EA">
        <w:rPr>
          <w:rFonts w:ascii="Times New Roman" w:hAnsi="Times New Roman" w:eastAsia="Calibri"/>
          <w:sz w:val="24"/>
          <w:szCs w:val="24"/>
          <w:u w:val="single"/>
        </w:rPr>
        <w:t>Estimated Number of Respondents</w:t>
      </w:r>
      <w:r w:rsidRPr="005628EA">
        <w:rPr>
          <w:rFonts w:ascii="Times New Roman" w:hAnsi="Times New Roman" w:eastAsia="Calibri"/>
          <w:sz w:val="24"/>
          <w:szCs w:val="24"/>
        </w:rPr>
        <w:t>: 12,14</w:t>
      </w:r>
      <w:r w:rsidR="002B24E4">
        <w:rPr>
          <w:rFonts w:ascii="Times New Roman" w:hAnsi="Times New Roman" w:eastAsia="Calibri"/>
          <w:sz w:val="24"/>
          <w:szCs w:val="24"/>
        </w:rPr>
        <w:t>8 financial institutions. (See T</w:t>
      </w:r>
      <w:r w:rsidRPr="005628EA">
        <w:rPr>
          <w:rFonts w:ascii="Times New Roman" w:hAnsi="Times New Roman" w:eastAsia="Calibri"/>
          <w:sz w:val="24"/>
          <w:szCs w:val="24"/>
        </w:rPr>
        <w:t>able 1 below)</w:t>
      </w:r>
      <w:r w:rsidR="004D1AE7">
        <w:rPr>
          <w:rFonts w:ascii="Times New Roman" w:hAnsi="Times New Roman" w:eastAsia="Calibri"/>
          <w:sz w:val="24"/>
          <w:szCs w:val="24"/>
        </w:rPr>
        <w:t>.</w:t>
      </w:r>
      <w:r w:rsidR="007718D5">
        <w:rPr>
          <w:rFonts w:ascii="Times New Roman" w:hAnsi="Times New Roman" w:eastAsia="Calibri"/>
          <w:sz w:val="24"/>
          <w:szCs w:val="24"/>
        </w:rPr>
        <w:t xml:space="preserve"> The tables used in this supporting statement are the tables summarizing the total burden and cost estimates from the 60-day notice to renew these OMB control numbers. For that reason, the table numbers correspond to the table numbers in the notice. Refer to the notice for additional tables that support the summary calculations in these tables.</w:t>
      </w:r>
      <w:r w:rsidRPr="005628EA">
        <w:rPr>
          <w:rStyle w:val="FootnoteReference"/>
          <w:rFonts w:ascii="Times New Roman" w:hAnsi="Times New Roman" w:eastAsia="Calibri"/>
          <w:sz w:val="24"/>
          <w:szCs w:val="24"/>
        </w:rPr>
        <w:footnoteReference w:id="12"/>
      </w:r>
    </w:p>
    <w:p w:rsidRPr="005628EA" w:rsidR="009C2CC4" w:rsidP="009C2CC4" w:rsidRDefault="009C2CC4" w14:paraId="0A0502C3" w14:textId="77777777">
      <w:pPr>
        <w:rPr>
          <w:rFonts w:ascii="Times New Roman" w:hAnsi="Times New Roman" w:eastAsia="Calibri"/>
          <w:sz w:val="24"/>
          <w:szCs w:val="24"/>
        </w:rPr>
      </w:pPr>
    </w:p>
    <w:p w:rsidRPr="00CD4750" w:rsidR="005628EA" w:rsidP="00CD4750" w:rsidRDefault="005628EA" w14:paraId="7D47BB98" w14:textId="349EEF32">
      <w:pPr>
        <w:rPr>
          <w:rFonts w:ascii="Times New Roman" w:hAnsi="Times New Roman" w:eastAsia="Calibri"/>
          <w:sz w:val="24"/>
          <w:szCs w:val="24"/>
        </w:rPr>
      </w:pPr>
      <w:r w:rsidRPr="005628EA">
        <w:rPr>
          <w:rFonts w:ascii="Times New Roman" w:hAnsi="Times New Roman" w:eastAsia="Calibri"/>
          <w:sz w:val="24"/>
          <w:szCs w:val="24"/>
          <w:u w:val="single"/>
        </w:rPr>
        <w:t>Estimated Total Annual Responses</w:t>
      </w:r>
      <w:r>
        <w:rPr>
          <w:rFonts w:ascii="Times New Roman" w:hAnsi="Times New Roman" w:eastAsia="Calibri"/>
          <w:sz w:val="24"/>
          <w:szCs w:val="24"/>
        </w:rPr>
        <w:t xml:space="preserve">: </w:t>
      </w:r>
      <w:r w:rsidRPr="00443436">
        <w:rPr>
          <w:rFonts w:ascii="Times New Roman" w:hAnsi="Times New Roman" w:eastAsia="MS Mincho"/>
          <w:sz w:val="24"/>
          <w:szCs w:val="24"/>
        </w:rPr>
        <w:t>2,751,694</w:t>
      </w:r>
      <w:r>
        <w:rPr>
          <w:rFonts w:ascii="Times New Roman" w:hAnsi="Times New Roman" w:eastAsia="MS Mincho"/>
          <w:sz w:val="24"/>
          <w:szCs w:val="24"/>
        </w:rPr>
        <w:t xml:space="preserve"> SARs</w:t>
      </w:r>
      <w:r w:rsidR="00426DE6">
        <w:rPr>
          <w:rFonts w:ascii="Times New Roman" w:hAnsi="Times New Roman" w:eastAsia="MS Mincho"/>
          <w:sz w:val="24"/>
          <w:szCs w:val="24"/>
        </w:rPr>
        <w:t>.</w:t>
      </w:r>
      <w:r w:rsidRPr="005628EA">
        <w:rPr>
          <w:rFonts w:ascii="Times New Roman" w:hAnsi="Times New Roman" w:eastAsia="Calibri"/>
          <w:sz w:val="24"/>
          <w:szCs w:val="24"/>
          <w:vertAlign w:val="superscript"/>
        </w:rPr>
        <w:footnoteReference w:id="13"/>
      </w:r>
      <w:r w:rsidR="002B24E4">
        <w:rPr>
          <w:rFonts w:ascii="Times New Roman" w:hAnsi="Times New Roman" w:eastAsia="Calibri"/>
          <w:sz w:val="24"/>
          <w:szCs w:val="24"/>
        </w:rPr>
        <w:t xml:space="preserve"> (See T</w:t>
      </w:r>
      <w:r w:rsidRPr="005628EA">
        <w:rPr>
          <w:rFonts w:ascii="Times New Roman" w:hAnsi="Times New Roman" w:eastAsia="Calibri"/>
          <w:sz w:val="24"/>
          <w:szCs w:val="24"/>
        </w:rPr>
        <w:t>able 1 below</w:t>
      </w:r>
      <w:r w:rsidR="006A164A">
        <w:rPr>
          <w:rFonts w:ascii="Times New Roman" w:hAnsi="Times New Roman" w:eastAsia="Calibri"/>
          <w:sz w:val="24"/>
          <w:szCs w:val="24"/>
        </w:rPr>
        <w:t>.</w:t>
      </w:r>
      <w:r w:rsidRPr="005628EA">
        <w:rPr>
          <w:rFonts w:ascii="Times New Roman" w:hAnsi="Times New Roman" w:eastAsia="Calibri"/>
          <w:sz w:val="24"/>
          <w:szCs w:val="24"/>
        </w:rPr>
        <w:t>)</w:t>
      </w:r>
    </w:p>
    <w:p w:rsidR="005628EA" w:rsidP="005628EA" w:rsidRDefault="005628EA" w14:paraId="43F49E5F" w14:textId="77777777">
      <w:pPr>
        <w:pStyle w:val="PlainText"/>
        <w:rPr>
          <w:rFonts w:ascii="Times New Roman" w:hAnsi="Times New Roman" w:eastAsia="MS Mincho" w:cs="Times New Roman"/>
          <w:sz w:val="24"/>
          <w:szCs w:val="24"/>
        </w:rPr>
      </w:pPr>
    </w:p>
    <w:p w:rsidR="005628EA" w:rsidP="005628EA" w:rsidRDefault="005628EA" w14:paraId="1A6C6893" w14:textId="77777777">
      <w:pPr>
        <w:pStyle w:val="PlainText"/>
        <w:spacing w:line="480" w:lineRule="auto"/>
        <w:rPr>
          <w:rFonts w:ascii="Times New Roman" w:hAnsi="Times New Roman" w:eastAsia="MS Mincho" w:cs="Times New Roman"/>
          <w:sz w:val="24"/>
          <w:szCs w:val="24"/>
        </w:rPr>
      </w:pPr>
      <w:r>
        <w:rPr>
          <w:rFonts w:ascii="Times New Roman" w:hAnsi="Times New Roman" w:eastAsia="MS Mincho" w:cs="Times New Roman"/>
          <w:noProof/>
          <w:sz w:val="24"/>
          <w:szCs w:val="24"/>
        </w:rPr>
        <w:drawing>
          <wp:inline distT="0" distB="0" distL="0" distR="0" wp14:anchorId="6AE86C90" wp14:editId="7199C2E0">
            <wp:extent cx="6400800" cy="2743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6400800"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42052F" w:rsidP="009C2CC4" w:rsidRDefault="0042052F" w14:paraId="4BF47C82" w14:textId="77777777">
      <w:pPr>
        <w:pStyle w:val="PlainText"/>
        <w:rPr>
          <w:rFonts w:ascii="Times New Roman" w:hAnsi="Times New Roman" w:eastAsia="MS Mincho" w:cs="Times New Roman"/>
          <w:sz w:val="24"/>
          <w:szCs w:val="24"/>
        </w:rPr>
      </w:pPr>
      <w:r w:rsidRPr="00443436">
        <w:rPr>
          <w:rFonts w:ascii="Times New Roman" w:hAnsi="Times New Roman" w:eastAsia="MS Mincho" w:cs="Times New Roman"/>
          <w:sz w:val="24"/>
          <w:szCs w:val="24"/>
          <w:u w:val="single"/>
        </w:rPr>
        <w:t>Estimated Reporting and Recordkeeping Burden</w:t>
      </w:r>
      <w:r>
        <w:rPr>
          <w:rFonts w:ascii="Times New Roman" w:hAnsi="Times New Roman" w:eastAsia="MS Mincho" w:cs="Times New Roman"/>
          <w:sz w:val="24"/>
          <w:szCs w:val="24"/>
          <w:u w:val="single"/>
        </w:rPr>
        <w:t xml:space="preserve"> Per Process or Report</w:t>
      </w:r>
      <w:r w:rsidRPr="00443436">
        <w:rPr>
          <w:rFonts w:ascii="Times New Roman" w:hAnsi="Times New Roman" w:eastAsia="MS Mincho" w:cs="Times New Roman"/>
          <w:sz w:val="24"/>
          <w:szCs w:val="24"/>
        </w:rPr>
        <w:t>: The estimated reporting and</w:t>
      </w:r>
      <w:r>
        <w:rPr>
          <w:rFonts w:ascii="Times New Roman" w:hAnsi="Times New Roman" w:eastAsia="MS Mincho" w:cs="Times New Roman"/>
          <w:sz w:val="24"/>
          <w:szCs w:val="24"/>
        </w:rPr>
        <w:t xml:space="preserve"> </w:t>
      </w:r>
      <w:r w:rsidRPr="00443436">
        <w:rPr>
          <w:rFonts w:ascii="Times New Roman" w:hAnsi="Times New Roman" w:eastAsia="MS Mincho" w:cs="Times New Roman"/>
          <w:sz w:val="24"/>
          <w:szCs w:val="24"/>
        </w:rPr>
        <w:t>recordkeeping</w:t>
      </w:r>
      <w:r>
        <w:rPr>
          <w:rFonts w:ascii="Times New Roman" w:hAnsi="Times New Roman" w:eastAsia="MS Mincho" w:cs="Times New Roman"/>
          <w:sz w:val="24"/>
          <w:szCs w:val="24"/>
        </w:rPr>
        <w:t xml:space="preserve"> burden</w:t>
      </w:r>
      <w:r w:rsidRPr="00443436">
        <w:rPr>
          <w:rFonts w:ascii="Times New Roman" w:hAnsi="Times New Roman" w:eastAsia="MS Mincho" w:cs="Times New Roman"/>
          <w:sz w:val="24"/>
          <w:szCs w:val="24"/>
        </w:rPr>
        <w:t xml:space="preserve"> </w:t>
      </w:r>
      <w:r>
        <w:rPr>
          <w:rFonts w:ascii="Times New Roman" w:hAnsi="Times New Roman" w:eastAsia="MS Mincho" w:cs="Times New Roman"/>
          <w:sz w:val="24"/>
          <w:szCs w:val="24"/>
        </w:rPr>
        <w:t xml:space="preserve">by </w:t>
      </w:r>
      <w:r w:rsidRPr="00443436">
        <w:rPr>
          <w:rFonts w:ascii="Times New Roman" w:hAnsi="Times New Roman" w:eastAsia="MS Mincho" w:cs="Times New Roman"/>
          <w:sz w:val="24"/>
          <w:szCs w:val="24"/>
        </w:rPr>
        <w:t xml:space="preserve">type of </w:t>
      </w:r>
      <w:r w:rsidR="009C2CC4">
        <w:rPr>
          <w:rFonts w:ascii="Times New Roman" w:hAnsi="Times New Roman" w:eastAsia="MS Mincho" w:cs="Times New Roman"/>
          <w:sz w:val="24"/>
          <w:szCs w:val="24"/>
        </w:rPr>
        <w:t>process and report is described in Table 21 below</w:t>
      </w:r>
      <w:r w:rsidRPr="00443436">
        <w:rPr>
          <w:rFonts w:ascii="Times New Roman" w:hAnsi="Times New Roman" w:eastAsia="MS Mincho" w:cs="Times New Roman"/>
          <w:sz w:val="24"/>
          <w:szCs w:val="24"/>
        </w:rPr>
        <w:t>:</w:t>
      </w:r>
      <w:r w:rsidR="00C1406D">
        <w:rPr>
          <w:rStyle w:val="FootnoteReference"/>
          <w:rFonts w:ascii="Times New Roman" w:hAnsi="Times New Roman" w:eastAsia="MS Mincho" w:cs="Times New Roman"/>
          <w:sz w:val="24"/>
          <w:szCs w:val="24"/>
        </w:rPr>
        <w:footnoteReference w:id="14"/>
      </w:r>
    </w:p>
    <w:p w:rsidR="007718D5" w:rsidP="009C2CC4" w:rsidRDefault="007718D5" w14:paraId="7D596E66" w14:textId="77777777">
      <w:pPr>
        <w:pStyle w:val="PlainText"/>
        <w:rPr>
          <w:rFonts w:ascii="Times New Roman" w:hAnsi="Times New Roman" w:eastAsia="MS Mincho" w:cs="Times New Roman"/>
          <w:b/>
          <w:sz w:val="24"/>
          <w:szCs w:val="24"/>
        </w:rPr>
      </w:pPr>
    </w:p>
    <w:p w:rsidR="005D7DC6" w:rsidP="009C2CC4" w:rsidRDefault="005D7DC6" w14:paraId="4AD30421" w14:textId="4F363127">
      <w:pPr>
        <w:pStyle w:val="PlainText"/>
        <w:rPr>
          <w:rFonts w:ascii="Times New Roman" w:hAnsi="Times New Roman" w:eastAsia="MS Mincho" w:cs="Times New Roman"/>
          <w:b/>
          <w:sz w:val="24"/>
          <w:szCs w:val="24"/>
        </w:rPr>
      </w:pPr>
    </w:p>
    <w:p w:rsidRPr="005D7DC6" w:rsidR="0012239E" w:rsidP="009C2CC4" w:rsidRDefault="0012239E" w14:paraId="1C523CFC" w14:textId="77777777">
      <w:pPr>
        <w:pStyle w:val="PlainText"/>
        <w:rPr>
          <w:rFonts w:ascii="Times New Roman" w:hAnsi="Times New Roman" w:eastAsia="MS Mincho" w:cs="Times New Roman"/>
          <w:b/>
          <w:sz w:val="24"/>
          <w:szCs w:val="24"/>
        </w:rPr>
      </w:pPr>
      <w:r>
        <w:rPr>
          <w:rFonts w:ascii="Times New Roman" w:hAnsi="Times New Roman" w:eastAsia="MS Mincho" w:cs="Times New Roman"/>
          <w:b/>
          <w:sz w:val="24"/>
          <w:szCs w:val="24"/>
        </w:rPr>
        <w:t>Table 2</w:t>
      </w:r>
      <w:r w:rsidR="007718D5">
        <w:rPr>
          <w:rFonts w:ascii="Times New Roman" w:hAnsi="Times New Roman" w:eastAsia="MS Mincho" w:cs="Times New Roman"/>
          <w:b/>
          <w:sz w:val="24"/>
          <w:szCs w:val="24"/>
        </w:rPr>
        <w:t>1</w:t>
      </w:r>
      <w:r>
        <w:rPr>
          <w:rFonts w:ascii="Times New Roman" w:hAnsi="Times New Roman" w:eastAsia="MS Mincho" w:cs="Times New Roman"/>
          <w:b/>
          <w:sz w:val="24"/>
          <w:szCs w:val="24"/>
        </w:rPr>
        <w:t xml:space="preserve"> – PRA burden per report and by type of process</w:t>
      </w:r>
    </w:p>
    <w:p w:rsidRPr="0042052F" w:rsidR="0042052F" w:rsidP="0042052F" w:rsidRDefault="0042052F" w14:paraId="19FA3E9B" w14:textId="77777777">
      <w:pPr>
        <w:pStyle w:val="PlainText"/>
        <w:spacing w:line="480" w:lineRule="auto"/>
        <w:rPr>
          <w:rFonts w:ascii="Times New Roman" w:hAnsi="Times New Roman" w:eastAsia="MS Mincho" w:cs="Times New Roman"/>
          <w:sz w:val="24"/>
          <w:szCs w:val="24"/>
        </w:rPr>
      </w:pPr>
      <w:r w:rsidRPr="00211EB1">
        <w:rPr>
          <w:rFonts w:eastAsia="MS Mincho"/>
          <w:noProof/>
        </w:rPr>
        <w:drawing>
          <wp:inline distT="0" distB="0" distL="0" distR="0" wp14:anchorId="32D6013D" wp14:editId="56FA505C">
            <wp:extent cx="5514975" cy="3743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
                      <a:extLst>
                        <a:ext uri="{28A0092B-C50C-407E-A947-70E740481C1C}">
                          <a14:useLocalDpi xmlns:a14="http://schemas.microsoft.com/office/drawing/2010/main" val="0"/>
                        </a:ext>
                      </a:extLst>
                    </a:blip>
                    <a:srcRect t="9028" r="-521"/>
                    <a:stretch/>
                  </pic:blipFill>
                  <pic:spPr bwMode="auto">
                    <a:xfrm>
                      <a:off x="0" y="0"/>
                      <a:ext cx="5514975" cy="3743325"/>
                    </a:xfrm>
                    <a:prstGeom prst="rect">
                      <a:avLst/>
                    </a:prstGeom>
                    <a:noFill/>
                    <a:ln>
                      <a:noFill/>
                    </a:ln>
                    <a:extLst>
                      <a:ext uri="{53640926-AAD7-44D8-BBD7-CCE9431645EC}">
                        <a14:shadowObscured xmlns:a14="http://schemas.microsoft.com/office/drawing/2010/main"/>
                      </a:ext>
                    </a:extLst>
                  </pic:spPr>
                </pic:pic>
              </a:graphicData>
            </a:graphic>
          </wp:inline>
        </w:drawing>
      </w:r>
    </w:p>
    <w:p w:rsidR="0042052F" w:rsidP="009C2CC4" w:rsidRDefault="0042052F" w14:paraId="3040767C" w14:textId="77777777">
      <w:pPr>
        <w:pStyle w:val="PlainText"/>
        <w:rPr>
          <w:rFonts w:ascii="Times New Roman" w:hAnsi="Times New Roman" w:eastAsia="MS Mincho" w:cs="Times New Roman"/>
          <w:sz w:val="24"/>
          <w:szCs w:val="24"/>
          <w:u w:val="single"/>
        </w:rPr>
      </w:pPr>
    </w:p>
    <w:p w:rsidR="00CD4750" w:rsidP="009C2CC4" w:rsidRDefault="00426DE6" w14:paraId="340E3309" w14:textId="504B19FE">
      <w:pPr>
        <w:pStyle w:val="PlainText"/>
        <w:rPr>
          <w:rFonts w:ascii="Times New Roman" w:hAnsi="Times New Roman" w:eastAsia="MS Mincho" w:cs="Times New Roman"/>
          <w:sz w:val="24"/>
          <w:szCs w:val="24"/>
        </w:rPr>
      </w:pPr>
      <w:r w:rsidRPr="00443436">
        <w:rPr>
          <w:rFonts w:ascii="Times New Roman" w:hAnsi="Times New Roman" w:eastAsia="MS Mincho" w:cs="Times New Roman"/>
          <w:sz w:val="24"/>
          <w:szCs w:val="24"/>
          <w:u w:val="single"/>
        </w:rPr>
        <w:t>Estimated Total Annual Reporting and Recordkeeping Burden</w:t>
      </w:r>
      <w:r w:rsidRPr="00443436">
        <w:rPr>
          <w:rFonts w:ascii="Times New Roman" w:hAnsi="Times New Roman" w:eastAsia="MS Mincho" w:cs="Times New Roman"/>
          <w:sz w:val="24"/>
          <w:szCs w:val="24"/>
        </w:rPr>
        <w:t xml:space="preserve">: </w:t>
      </w:r>
      <w:r w:rsidR="002B24E4">
        <w:rPr>
          <w:rFonts w:ascii="Times New Roman" w:hAnsi="Times New Roman" w:eastAsia="MS Mincho" w:cs="Times New Roman"/>
          <w:sz w:val="24"/>
          <w:szCs w:val="24"/>
        </w:rPr>
        <w:t>5,462,026 hours (See T</w:t>
      </w:r>
      <w:r w:rsidR="0042052F">
        <w:rPr>
          <w:rFonts w:ascii="Times New Roman" w:hAnsi="Times New Roman" w:eastAsia="MS Mincho" w:cs="Times New Roman"/>
          <w:sz w:val="24"/>
          <w:szCs w:val="24"/>
        </w:rPr>
        <w:t xml:space="preserve">able 22 </w:t>
      </w:r>
      <w:r w:rsidR="002B24E4">
        <w:rPr>
          <w:rFonts w:ascii="Times New Roman" w:hAnsi="Times New Roman" w:eastAsia="MS Mincho" w:cs="Times New Roman"/>
          <w:sz w:val="24"/>
          <w:szCs w:val="24"/>
        </w:rPr>
        <w:t>and T</w:t>
      </w:r>
      <w:r w:rsidR="0070543D">
        <w:rPr>
          <w:rFonts w:ascii="Times New Roman" w:hAnsi="Times New Roman" w:eastAsia="MS Mincho" w:cs="Times New Roman"/>
          <w:sz w:val="24"/>
          <w:szCs w:val="24"/>
        </w:rPr>
        <w:t xml:space="preserve">able 23 </w:t>
      </w:r>
      <w:r w:rsidR="0042052F">
        <w:rPr>
          <w:rFonts w:ascii="Times New Roman" w:hAnsi="Times New Roman" w:eastAsia="MS Mincho" w:cs="Times New Roman"/>
          <w:sz w:val="24"/>
          <w:szCs w:val="24"/>
        </w:rPr>
        <w:t>below</w:t>
      </w:r>
      <w:r w:rsidR="006A164A">
        <w:rPr>
          <w:rFonts w:ascii="Times New Roman" w:hAnsi="Times New Roman" w:eastAsia="MS Mincho" w:cs="Times New Roman"/>
          <w:sz w:val="24"/>
          <w:szCs w:val="24"/>
        </w:rPr>
        <w:t>.</w:t>
      </w:r>
      <w:r w:rsidR="0042052F">
        <w:rPr>
          <w:rFonts w:ascii="Times New Roman" w:hAnsi="Times New Roman" w:eastAsia="MS Mincho" w:cs="Times New Roman"/>
          <w:sz w:val="24"/>
          <w:szCs w:val="24"/>
        </w:rPr>
        <w:t>)</w:t>
      </w:r>
      <w:r w:rsidRPr="0042052F" w:rsidR="0042052F">
        <w:rPr>
          <w:rStyle w:val="FootnoteReference"/>
          <w:rFonts w:ascii="Times New Roman" w:hAnsi="Times New Roman" w:eastAsia="MS Mincho" w:cs="Times New Roman"/>
          <w:sz w:val="24"/>
          <w:szCs w:val="24"/>
        </w:rPr>
        <w:t xml:space="preserve"> </w:t>
      </w:r>
      <w:r w:rsidR="0042052F">
        <w:rPr>
          <w:rStyle w:val="FootnoteReference"/>
          <w:rFonts w:ascii="Times New Roman" w:hAnsi="Times New Roman" w:eastAsia="MS Mincho" w:cs="Times New Roman"/>
          <w:sz w:val="24"/>
          <w:szCs w:val="24"/>
        </w:rPr>
        <w:footnoteReference w:id="15"/>
      </w:r>
    </w:p>
    <w:p w:rsidR="00CD4750" w:rsidP="009C2CC4" w:rsidRDefault="00CD4750" w14:paraId="1FC8BEC2" w14:textId="77777777">
      <w:pPr>
        <w:pStyle w:val="PlainText"/>
        <w:rPr>
          <w:rFonts w:ascii="Times New Roman" w:hAnsi="Times New Roman" w:eastAsia="MS Mincho" w:cs="Times New Roman"/>
          <w:sz w:val="24"/>
          <w:szCs w:val="24"/>
        </w:rPr>
      </w:pPr>
    </w:p>
    <w:p w:rsidR="00946255" w:rsidP="00946255" w:rsidRDefault="00946255" w14:paraId="734ACDD3" w14:textId="77777777">
      <w:pPr>
        <w:pStyle w:val="PlainText"/>
        <w:spacing w:line="480" w:lineRule="auto"/>
        <w:rPr>
          <w:rFonts w:ascii="Times New Roman" w:hAnsi="Times New Roman" w:eastAsia="MS Mincho" w:cs="Times New Roman"/>
          <w:sz w:val="24"/>
          <w:szCs w:val="24"/>
        </w:rPr>
      </w:pPr>
      <w:r w:rsidRPr="00211EB1">
        <w:rPr>
          <w:rFonts w:eastAsia="MS Mincho"/>
          <w:noProof/>
        </w:rPr>
        <w:drawing>
          <wp:inline distT="0" distB="0" distL="0" distR="0" wp14:anchorId="5BE9B309" wp14:editId="2F864367">
            <wp:extent cx="5485130" cy="27432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a:extLst>
                        <a:ext uri="{28A0092B-C50C-407E-A947-70E740481C1C}">
                          <a14:useLocalDpi xmlns:a14="http://schemas.microsoft.com/office/drawing/2010/main" val="0"/>
                        </a:ext>
                      </a:extLst>
                    </a:blip>
                    <a:srcRect t="-12" b="-12"/>
                    <a:stretch/>
                  </pic:blipFill>
                  <pic:spPr bwMode="auto">
                    <a:xfrm>
                      <a:off x="0" y="0"/>
                      <a:ext cx="5486400" cy="2743835"/>
                    </a:xfrm>
                    <a:prstGeom prst="rect">
                      <a:avLst/>
                    </a:prstGeom>
                    <a:noFill/>
                    <a:ln>
                      <a:noFill/>
                    </a:ln>
                    <a:extLst>
                      <a:ext uri="{53640926-AAD7-44D8-BBD7-CCE9431645EC}">
                        <a14:shadowObscured xmlns:a14="http://schemas.microsoft.com/office/drawing/2010/main"/>
                      </a:ext>
                    </a:extLst>
                  </pic:spPr>
                </pic:pic>
              </a:graphicData>
            </a:graphic>
          </wp:inline>
        </w:drawing>
      </w:r>
    </w:p>
    <w:p w:rsidR="00426DE6" w:rsidP="005628EA" w:rsidRDefault="0070543D" w14:paraId="17C6FE15" w14:textId="77777777">
      <w:pPr>
        <w:rPr>
          <w:rFonts w:ascii="Times New Roman" w:hAnsi="Times New Roman" w:eastAsia="MS Mincho"/>
          <w:sz w:val="24"/>
          <w:szCs w:val="24"/>
        </w:rPr>
      </w:pPr>
      <w:r w:rsidRPr="00F058DA">
        <w:rPr>
          <w:rFonts w:eastAsia="MS Mincho"/>
          <w:noProof/>
        </w:rPr>
        <w:drawing>
          <wp:inline distT="0" distB="0" distL="0" distR="0" wp14:anchorId="4CD485CF" wp14:editId="101E234E">
            <wp:extent cx="5943600" cy="1902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02026"/>
                    </a:xfrm>
                    <a:prstGeom prst="rect">
                      <a:avLst/>
                    </a:prstGeom>
                    <a:noFill/>
                    <a:ln>
                      <a:noFill/>
                    </a:ln>
                  </pic:spPr>
                </pic:pic>
              </a:graphicData>
            </a:graphic>
          </wp:inline>
        </w:drawing>
      </w:r>
    </w:p>
    <w:p w:rsidR="0042052F" w:rsidP="00946255" w:rsidRDefault="0042052F" w14:paraId="480E2ACB" w14:textId="77777777">
      <w:pPr>
        <w:pStyle w:val="PlainText"/>
        <w:rPr>
          <w:rFonts w:ascii="Times New Roman" w:hAnsi="Times New Roman" w:eastAsia="MS Mincho" w:cs="Times New Roman"/>
          <w:sz w:val="24"/>
          <w:szCs w:val="24"/>
        </w:rPr>
      </w:pPr>
    </w:p>
    <w:p w:rsidRPr="006458D8" w:rsidR="0042052F" w:rsidP="0042052F" w:rsidRDefault="0042052F" w14:paraId="628C8C4E" w14:textId="77777777">
      <w:pPr>
        <w:rPr>
          <w:rFonts w:ascii="Times New Roman" w:hAnsi="Times New Roman"/>
          <w:sz w:val="24"/>
          <w:szCs w:val="24"/>
        </w:rPr>
      </w:pPr>
      <w:r w:rsidRPr="00537765">
        <w:rPr>
          <w:rFonts w:ascii="Times New Roman" w:hAnsi="Times New Roman"/>
          <w:sz w:val="24"/>
          <w:szCs w:val="24"/>
        </w:rPr>
        <w:t xml:space="preserve">13.  </w:t>
      </w:r>
      <w:r w:rsidRPr="00537765">
        <w:rPr>
          <w:rFonts w:ascii="Times New Roman" w:hAnsi="Times New Roman"/>
          <w:sz w:val="24"/>
          <w:szCs w:val="24"/>
          <w:u w:val="single"/>
        </w:rPr>
        <w:t>Estimated Annual Cost to Respondents for Hourly Burdens.</w:t>
      </w:r>
    </w:p>
    <w:p w:rsidR="0042052F" w:rsidP="00946255" w:rsidRDefault="0042052F" w14:paraId="44EF6F04" w14:textId="77777777">
      <w:pPr>
        <w:pStyle w:val="PlainText"/>
        <w:rPr>
          <w:rFonts w:ascii="Times New Roman" w:hAnsi="Times New Roman" w:eastAsia="MS Mincho" w:cs="Times New Roman"/>
          <w:sz w:val="24"/>
          <w:szCs w:val="24"/>
        </w:rPr>
      </w:pPr>
    </w:p>
    <w:p w:rsidR="004D1AE7" w:rsidP="00232DE8" w:rsidRDefault="00C26F4B" w14:paraId="3082CEC3" w14:textId="6C311464">
      <w:pPr>
        <w:pStyle w:val="PlainText"/>
        <w:rPr>
          <w:rFonts w:ascii="Times New Roman" w:hAnsi="Times New Roman" w:eastAsia="MS Mincho" w:cs="Times New Roman"/>
          <w:sz w:val="24"/>
          <w:szCs w:val="24"/>
        </w:rPr>
      </w:pPr>
      <w:r w:rsidRPr="00443436">
        <w:rPr>
          <w:rFonts w:ascii="Times New Roman" w:hAnsi="Times New Roman" w:eastAsia="MS Mincho" w:cs="Times New Roman"/>
          <w:sz w:val="24"/>
          <w:szCs w:val="24"/>
          <w:u w:val="single"/>
        </w:rPr>
        <w:t>Estimated Total Annual R</w:t>
      </w:r>
      <w:r>
        <w:rPr>
          <w:rFonts w:ascii="Times New Roman" w:hAnsi="Times New Roman" w:eastAsia="MS Mincho" w:cs="Times New Roman"/>
          <w:sz w:val="24"/>
          <w:szCs w:val="24"/>
          <w:u w:val="single"/>
        </w:rPr>
        <w:t>eporting and Recordkeeping Cost:</w:t>
      </w:r>
      <w:r w:rsidR="0070543D">
        <w:rPr>
          <w:rFonts w:ascii="Times New Roman" w:hAnsi="Times New Roman" w:eastAsia="MS Mincho" w:cs="Times New Roman"/>
          <w:sz w:val="24"/>
          <w:szCs w:val="24"/>
        </w:rPr>
        <w:t xml:space="preserve"> $206,422,989</w:t>
      </w:r>
      <w:r w:rsidR="002B24E4">
        <w:rPr>
          <w:rFonts w:ascii="Times New Roman" w:hAnsi="Times New Roman" w:eastAsia="MS Mincho" w:cs="Times New Roman"/>
          <w:sz w:val="24"/>
          <w:szCs w:val="24"/>
        </w:rPr>
        <w:t xml:space="preserve"> (See T</w:t>
      </w:r>
      <w:r>
        <w:rPr>
          <w:rFonts w:ascii="Times New Roman" w:hAnsi="Times New Roman" w:eastAsia="MS Mincho" w:cs="Times New Roman"/>
          <w:sz w:val="24"/>
          <w:szCs w:val="24"/>
        </w:rPr>
        <w:t>able 24</w:t>
      </w:r>
      <w:r w:rsidR="00240477">
        <w:rPr>
          <w:rFonts w:ascii="Times New Roman" w:hAnsi="Times New Roman" w:eastAsia="MS Mincho" w:cs="Times New Roman"/>
          <w:sz w:val="24"/>
          <w:szCs w:val="24"/>
        </w:rPr>
        <w:t>.</w:t>
      </w:r>
      <w:r>
        <w:rPr>
          <w:rFonts w:ascii="Times New Roman" w:hAnsi="Times New Roman" w:eastAsia="MS Mincho" w:cs="Times New Roman"/>
          <w:sz w:val="24"/>
          <w:szCs w:val="24"/>
        </w:rPr>
        <w:t>)</w:t>
      </w:r>
      <w:r>
        <w:rPr>
          <w:rStyle w:val="FootnoteReference"/>
          <w:rFonts w:ascii="Times New Roman" w:hAnsi="Times New Roman" w:eastAsia="MS Mincho" w:cs="Times New Roman"/>
          <w:sz w:val="24"/>
          <w:szCs w:val="24"/>
        </w:rPr>
        <w:footnoteReference w:id="16"/>
      </w:r>
    </w:p>
    <w:p w:rsidRPr="00C26F4B" w:rsidR="00232DE8" w:rsidP="00232DE8" w:rsidRDefault="00232DE8" w14:paraId="2542CE4E" w14:textId="77777777">
      <w:pPr>
        <w:pStyle w:val="PlainText"/>
        <w:rPr>
          <w:rFonts w:ascii="Times New Roman" w:hAnsi="Times New Roman" w:eastAsia="MS Mincho" w:cs="Times New Roman"/>
          <w:sz w:val="24"/>
          <w:szCs w:val="24"/>
        </w:rPr>
      </w:pPr>
    </w:p>
    <w:p w:rsidRPr="00232DE8" w:rsidR="00A35BD4" w:rsidP="00232DE8" w:rsidRDefault="004D1AE7" w14:paraId="0EF15A69" w14:textId="77777777">
      <w:pPr>
        <w:spacing w:line="480" w:lineRule="auto"/>
        <w:rPr>
          <w:rFonts w:eastAsia="MS Mincho"/>
        </w:rPr>
      </w:pPr>
      <w:r w:rsidRPr="002E3971">
        <w:rPr>
          <w:rFonts w:eastAsia="MS Mincho"/>
          <w:noProof/>
        </w:rPr>
        <w:drawing>
          <wp:inline distT="0" distB="0" distL="0" distR="0" wp14:anchorId="6F3D174A" wp14:editId="15B35551">
            <wp:extent cx="6126480" cy="1828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9" t="-9" r="-9" b="-9"/>
                    <a:stretch/>
                  </pic:blipFill>
                  <pic:spPr bwMode="auto">
                    <a:xfrm>
                      <a:off x="0" y="0"/>
                      <a:ext cx="6127533" cy="1829114"/>
                    </a:xfrm>
                    <a:prstGeom prst="rect">
                      <a:avLst/>
                    </a:prstGeom>
                    <a:noFill/>
                    <a:ln>
                      <a:noFill/>
                    </a:ln>
                    <a:extLst>
                      <a:ext uri="{53640926-AAD7-44D8-BBD7-CCE9431645EC}">
                        <a14:shadowObscured xmlns:a14="http://schemas.microsoft.com/office/drawing/2010/main"/>
                      </a:ext>
                    </a:extLst>
                  </pic:spPr>
                </pic:pic>
              </a:graphicData>
            </a:graphic>
          </wp:inline>
        </w:drawing>
      </w:r>
    </w:p>
    <w:p w:rsidRPr="006458D8" w:rsidR="00A35BD4" w:rsidRDefault="00A35BD4" w14:paraId="5C2619FA" w14:textId="77777777">
      <w:pPr>
        <w:rPr>
          <w:rFonts w:ascii="Times New Roman" w:hAnsi="Times New Roman"/>
          <w:sz w:val="24"/>
          <w:szCs w:val="24"/>
        </w:rPr>
      </w:pPr>
      <w:r w:rsidRPr="00537765">
        <w:rPr>
          <w:rFonts w:ascii="Times New Roman" w:hAnsi="Times New Roman"/>
          <w:sz w:val="24"/>
          <w:szCs w:val="24"/>
        </w:rPr>
        <w:t xml:space="preserve">14.  </w:t>
      </w:r>
      <w:r w:rsidRPr="00537765" w:rsidR="006458D8">
        <w:rPr>
          <w:rFonts w:ascii="Times New Roman" w:hAnsi="Times New Roman"/>
          <w:sz w:val="24"/>
          <w:szCs w:val="24"/>
          <w:u w:val="single"/>
        </w:rPr>
        <w:t>Estimated Annual Cost to the Federal Government.</w:t>
      </w:r>
    </w:p>
    <w:p w:rsidRPr="00537765" w:rsidR="00A35BD4" w:rsidRDefault="00A35BD4" w14:paraId="3CBF6FA0" w14:textId="77777777">
      <w:pPr>
        <w:rPr>
          <w:rFonts w:ascii="Times New Roman" w:hAnsi="Times New Roman"/>
          <w:sz w:val="24"/>
          <w:szCs w:val="24"/>
        </w:rPr>
      </w:pPr>
    </w:p>
    <w:p w:rsidR="00D61433" w:rsidP="00232DE8" w:rsidRDefault="00946255" w14:paraId="172A24DE" w14:textId="77777777">
      <w:pPr>
        <w:ind w:firstLine="720"/>
        <w:rPr>
          <w:rFonts w:ascii="Times New Roman" w:hAnsi="Times New Roman"/>
          <w:sz w:val="24"/>
          <w:szCs w:val="24"/>
        </w:rPr>
      </w:pPr>
      <w:r w:rsidRPr="00443436">
        <w:rPr>
          <w:rFonts w:ascii="Times New Roman" w:hAnsi="Times New Roman" w:eastAsia="MS Mincho"/>
          <w:sz w:val="24"/>
          <w:szCs w:val="24"/>
        </w:rPr>
        <w:t>2,751,694</w:t>
      </w:r>
      <w:r w:rsidRPr="00946255">
        <w:rPr>
          <w:rStyle w:val="FootnoteReference"/>
          <w:rFonts w:ascii="Times New Roman" w:hAnsi="Times New Roman" w:eastAsia="Calibri"/>
          <w:sz w:val="24"/>
          <w:szCs w:val="24"/>
        </w:rPr>
        <w:footnoteReference w:id="17"/>
      </w:r>
      <w:r w:rsidRPr="00946255">
        <w:rPr>
          <w:rFonts w:ascii="Times New Roman" w:hAnsi="Times New Roman"/>
          <w:sz w:val="24"/>
          <w:szCs w:val="24"/>
        </w:rPr>
        <w:t xml:space="preserve"> x $0.10</w:t>
      </w:r>
      <w:r w:rsidRPr="00946255">
        <w:rPr>
          <w:rStyle w:val="FootnoteReference"/>
          <w:rFonts w:ascii="Times New Roman" w:hAnsi="Times New Roman"/>
          <w:sz w:val="24"/>
          <w:szCs w:val="24"/>
        </w:rPr>
        <w:footnoteReference w:id="18"/>
      </w:r>
      <w:r w:rsidRPr="00946255">
        <w:rPr>
          <w:rFonts w:ascii="Times New Roman" w:hAnsi="Times New Roman"/>
          <w:sz w:val="24"/>
          <w:szCs w:val="24"/>
        </w:rPr>
        <w:t xml:space="preserve"> per filing = </w:t>
      </w:r>
      <w:r>
        <w:rPr>
          <w:rFonts w:ascii="Times New Roman" w:hAnsi="Times New Roman"/>
          <w:sz w:val="24"/>
          <w:szCs w:val="24"/>
        </w:rPr>
        <w:t>$275,169.40</w:t>
      </w:r>
      <w:r w:rsidRPr="00946255">
        <w:rPr>
          <w:rFonts w:ascii="Times New Roman" w:hAnsi="Times New Roman"/>
          <w:sz w:val="24"/>
          <w:szCs w:val="24"/>
        </w:rPr>
        <w:t xml:space="preserve">. </w:t>
      </w:r>
    </w:p>
    <w:p w:rsidR="00D61433" w:rsidRDefault="00D61433" w14:paraId="46D52706" w14:textId="77777777">
      <w:pPr>
        <w:rPr>
          <w:rFonts w:ascii="Times New Roman" w:hAnsi="Times New Roman"/>
          <w:sz w:val="24"/>
          <w:szCs w:val="24"/>
        </w:rPr>
      </w:pPr>
    </w:p>
    <w:p w:rsidR="00403537" w:rsidP="00750180" w:rsidRDefault="00A35BD4" w14:paraId="7A46EADE" w14:textId="77777777">
      <w:pPr>
        <w:rPr>
          <w:rFonts w:ascii="Times New Roman" w:hAnsi="Times New Roman"/>
          <w:sz w:val="24"/>
          <w:szCs w:val="24"/>
        </w:rPr>
      </w:pPr>
      <w:r w:rsidRPr="00537765">
        <w:rPr>
          <w:rFonts w:ascii="Times New Roman" w:hAnsi="Times New Roman"/>
          <w:sz w:val="24"/>
          <w:szCs w:val="24"/>
        </w:rPr>
        <w:t xml:space="preserve">15.  </w:t>
      </w:r>
      <w:r w:rsidRPr="00537765">
        <w:rPr>
          <w:rFonts w:ascii="Times New Roman" w:hAnsi="Times New Roman"/>
          <w:sz w:val="24"/>
          <w:szCs w:val="24"/>
          <w:u w:val="single"/>
        </w:rPr>
        <w:t xml:space="preserve">Reasons for </w:t>
      </w:r>
      <w:r w:rsidR="00F12624">
        <w:rPr>
          <w:rFonts w:ascii="Times New Roman" w:hAnsi="Times New Roman"/>
          <w:sz w:val="24"/>
          <w:szCs w:val="24"/>
          <w:u w:val="single"/>
        </w:rPr>
        <w:t>C</w:t>
      </w:r>
      <w:r w:rsidRPr="00537765">
        <w:rPr>
          <w:rFonts w:ascii="Times New Roman" w:hAnsi="Times New Roman"/>
          <w:sz w:val="24"/>
          <w:szCs w:val="24"/>
          <w:u w:val="single"/>
        </w:rPr>
        <w:t>hange in Burden</w:t>
      </w:r>
      <w:r w:rsidRPr="00537765">
        <w:rPr>
          <w:rFonts w:ascii="Times New Roman" w:hAnsi="Times New Roman"/>
          <w:sz w:val="24"/>
          <w:szCs w:val="24"/>
        </w:rPr>
        <w:t>.</w:t>
      </w:r>
    </w:p>
    <w:p w:rsidR="00750180" w:rsidP="00750180" w:rsidRDefault="00750180" w14:paraId="0DAD30C0" w14:textId="77777777">
      <w:pPr>
        <w:rPr>
          <w:rFonts w:ascii="Times New Roman" w:hAnsi="Times New Roman"/>
          <w:sz w:val="24"/>
          <w:szCs w:val="24"/>
        </w:rPr>
      </w:pPr>
    </w:p>
    <w:p w:rsidRPr="00403537" w:rsidR="00750180" w:rsidP="00C1406D" w:rsidRDefault="00E31267" w14:paraId="4833F105" w14:textId="77777777">
      <w:pPr>
        <w:ind w:firstLine="720"/>
        <w:rPr>
          <w:rFonts w:ascii="Times New Roman" w:hAnsi="Times New Roman"/>
          <w:sz w:val="24"/>
          <w:szCs w:val="24"/>
        </w:rPr>
      </w:pPr>
      <w:r>
        <w:rPr>
          <w:rFonts w:ascii="Times New Roman" w:hAnsi="Times New Roman"/>
          <w:sz w:val="24"/>
          <w:szCs w:val="24"/>
        </w:rPr>
        <w:t>In prior renewals</w:t>
      </w:r>
      <w:r w:rsidRPr="00403537" w:rsidR="00750180">
        <w:rPr>
          <w:rFonts w:ascii="Times New Roman" w:hAnsi="Times New Roman"/>
          <w:sz w:val="24"/>
          <w:szCs w:val="24"/>
        </w:rPr>
        <w:t xml:space="preserve">, FinCEN limited its annual </w:t>
      </w:r>
      <w:r w:rsidR="00750180">
        <w:rPr>
          <w:rFonts w:ascii="Times New Roman" w:hAnsi="Times New Roman"/>
          <w:sz w:val="24"/>
          <w:szCs w:val="24"/>
        </w:rPr>
        <w:t>SAR</w:t>
      </w:r>
      <w:r w:rsidRPr="00403537" w:rsidR="00750180">
        <w:rPr>
          <w:rFonts w:ascii="Times New Roman" w:hAnsi="Times New Roman"/>
          <w:sz w:val="24"/>
          <w:szCs w:val="24"/>
        </w:rPr>
        <w:t xml:space="preserve"> burden estimate</w:t>
      </w:r>
      <w:r w:rsidR="00750180">
        <w:rPr>
          <w:rFonts w:ascii="Times New Roman" w:hAnsi="Times New Roman"/>
          <w:sz w:val="24"/>
          <w:szCs w:val="24"/>
        </w:rPr>
        <w:t xml:space="preserve"> to </w:t>
      </w:r>
      <w:r w:rsidRPr="00403537" w:rsidR="00750180">
        <w:rPr>
          <w:rFonts w:ascii="Times New Roman" w:hAnsi="Times New Roman"/>
          <w:sz w:val="24"/>
          <w:szCs w:val="24"/>
        </w:rPr>
        <w:t xml:space="preserve">the SAR filing process. </w:t>
      </w:r>
      <w:r w:rsidR="00750180">
        <w:rPr>
          <w:rFonts w:ascii="Times New Roman" w:hAnsi="Times New Roman"/>
          <w:sz w:val="24"/>
          <w:szCs w:val="24"/>
        </w:rPr>
        <w:t>In this renewal</w:t>
      </w:r>
      <w:r w:rsidRPr="00403537" w:rsidR="00750180">
        <w:rPr>
          <w:rFonts w:ascii="Times New Roman" w:hAnsi="Times New Roman"/>
          <w:sz w:val="24"/>
          <w:szCs w:val="24"/>
        </w:rPr>
        <w:t>, FinCEN expand</w:t>
      </w:r>
      <w:r w:rsidR="00750180">
        <w:rPr>
          <w:rFonts w:ascii="Times New Roman" w:hAnsi="Times New Roman"/>
          <w:sz w:val="24"/>
          <w:szCs w:val="24"/>
        </w:rPr>
        <w:t xml:space="preserve">ed the </w:t>
      </w:r>
      <w:r w:rsidRPr="00403537" w:rsidR="00750180">
        <w:rPr>
          <w:rFonts w:ascii="Times New Roman" w:hAnsi="Times New Roman"/>
          <w:sz w:val="24"/>
          <w:szCs w:val="24"/>
        </w:rPr>
        <w:t>burden estimate</w:t>
      </w:r>
      <w:r w:rsidR="00750180">
        <w:rPr>
          <w:rFonts w:ascii="Times New Roman" w:hAnsi="Times New Roman"/>
          <w:sz w:val="24"/>
          <w:szCs w:val="24"/>
        </w:rPr>
        <w:t xml:space="preserve"> to include the burden to (i) evaluate cases for potential SAR filing, and (ii) create and maintain records of cases that are not converted int</w:t>
      </w:r>
      <w:r w:rsidR="00C1406D">
        <w:rPr>
          <w:rFonts w:ascii="Times New Roman" w:hAnsi="Times New Roman"/>
          <w:sz w:val="24"/>
          <w:szCs w:val="24"/>
        </w:rPr>
        <w:t>o SARs. More specifically, t</w:t>
      </w:r>
      <w:r w:rsidR="0077460D">
        <w:rPr>
          <w:rFonts w:ascii="Times New Roman" w:hAnsi="Times New Roman"/>
          <w:sz w:val="24"/>
          <w:szCs w:val="24"/>
        </w:rPr>
        <w:t>he burden estimate in this renewal includes the burden involved in evaluating cases</w:t>
      </w:r>
      <w:r w:rsidRPr="00232DE8" w:rsidR="0077460D">
        <w:rPr>
          <w:rFonts w:ascii="Times New Roman" w:hAnsi="Times New Roman"/>
          <w:sz w:val="24"/>
          <w:szCs w:val="24"/>
        </w:rPr>
        <w:t xml:space="preserve"> to determine whether or not the event constitutes a suspicious</w:t>
      </w:r>
      <w:r w:rsidR="0077460D">
        <w:rPr>
          <w:rFonts w:ascii="Times New Roman" w:hAnsi="Times New Roman"/>
          <w:sz w:val="24"/>
          <w:szCs w:val="24"/>
        </w:rPr>
        <w:t xml:space="preserve"> activity that must be reported, and documenting the decision that led the financial institution to conclude that an event did not warrant filing a SAR. The burden estimate also includes the burden involved in the following aspects of the SAR filing process: </w:t>
      </w:r>
      <w:r w:rsidRPr="00232DE8" w:rsidR="0077460D">
        <w:rPr>
          <w:rFonts w:ascii="Times New Roman" w:hAnsi="Times New Roman"/>
          <w:sz w:val="24"/>
          <w:szCs w:val="24"/>
        </w:rPr>
        <w:t>(a) selecting supporting documentation; (b) completing the report, including drafting the narrative; (c) filing the report through batch or discrete filing; and (d) storing the filed report and supporting documentation in physical or electronic form</w:t>
      </w:r>
      <w:r w:rsidR="00C1406D">
        <w:rPr>
          <w:rFonts w:ascii="Times New Roman" w:hAnsi="Times New Roman"/>
          <w:sz w:val="24"/>
          <w:szCs w:val="24"/>
        </w:rPr>
        <w:t>.</w:t>
      </w:r>
      <w:r w:rsidR="00C1406D">
        <w:rPr>
          <w:rStyle w:val="FootnoteReference"/>
          <w:rFonts w:ascii="Times New Roman" w:hAnsi="Times New Roman"/>
          <w:sz w:val="24"/>
          <w:szCs w:val="24"/>
        </w:rPr>
        <w:footnoteReference w:id="19"/>
      </w:r>
      <w:r w:rsidR="00C1406D">
        <w:rPr>
          <w:rFonts w:ascii="Times New Roman" w:hAnsi="Times New Roman"/>
          <w:sz w:val="24"/>
          <w:szCs w:val="24"/>
        </w:rPr>
        <w:t xml:space="preserve"> </w:t>
      </w:r>
    </w:p>
    <w:p w:rsidRPr="00537765" w:rsidR="00FA632B" w:rsidP="00403537" w:rsidRDefault="00FA632B" w14:paraId="0BB21A4C" w14:textId="77777777">
      <w:pPr>
        <w:rPr>
          <w:rFonts w:ascii="Times New Roman" w:hAnsi="Times New Roman"/>
          <w:sz w:val="24"/>
          <w:szCs w:val="24"/>
        </w:rPr>
      </w:pPr>
    </w:p>
    <w:p w:rsidRPr="00537765" w:rsidR="00A35BD4" w:rsidRDefault="00A35BD4" w14:paraId="4AA7820B" w14:textId="77777777">
      <w:pPr>
        <w:rPr>
          <w:rFonts w:ascii="Times New Roman" w:hAnsi="Times New Roman"/>
          <w:sz w:val="24"/>
          <w:szCs w:val="24"/>
        </w:rPr>
      </w:pPr>
      <w:r w:rsidRPr="00537765">
        <w:rPr>
          <w:rFonts w:ascii="Times New Roman" w:hAnsi="Times New Roman"/>
          <w:sz w:val="24"/>
          <w:szCs w:val="24"/>
        </w:rPr>
        <w:t xml:space="preserve">16.  </w:t>
      </w:r>
      <w:r w:rsidRPr="00537765">
        <w:rPr>
          <w:rFonts w:ascii="Times New Roman" w:hAnsi="Times New Roman"/>
          <w:sz w:val="24"/>
          <w:szCs w:val="24"/>
          <w:u w:val="single"/>
        </w:rPr>
        <w:t>Plans for Tabulation, Statistical Analysis and Publication</w:t>
      </w:r>
      <w:r w:rsidRPr="00537765">
        <w:rPr>
          <w:rFonts w:ascii="Times New Roman" w:hAnsi="Times New Roman"/>
          <w:sz w:val="24"/>
          <w:szCs w:val="24"/>
        </w:rPr>
        <w:t>.</w:t>
      </w:r>
    </w:p>
    <w:p w:rsidRPr="00537765" w:rsidR="00A35BD4" w:rsidRDefault="00A35BD4" w14:paraId="1734AED3" w14:textId="77777777">
      <w:pPr>
        <w:rPr>
          <w:rFonts w:ascii="Times New Roman" w:hAnsi="Times New Roman"/>
          <w:sz w:val="24"/>
          <w:szCs w:val="24"/>
        </w:rPr>
      </w:pPr>
    </w:p>
    <w:p w:rsidRPr="005E4C4A" w:rsidR="00A35BD4" w:rsidP="00CD4750" w:rsidRDefault="00F12624" w14:paraId="5B238B6C" w14:textId="77777777">
      <w:pPr>
        <w:ind w:firstLine="720"/>
        <w:rPr>
          <w:rFonts w:ascii="Times New Roman" w:hAnsi="Times New Roman"/>
          <w:sz w:val="24"/>
          <w:szCs w:val="24"/>
        </w:rPr>
      </w:pPr>
      <w:r w:rsidRPr="00946255">
        <w:rPr>
          <w:rFonts w:ascii="Times New Roman" w:hAnsi="Times New Roman"/>
          <w:sz w:val="24"/>
          <w:szCs w:val="24"/>
        </w:rPr>
        <w:t>The information will not be tabulated or compiled for publication</w:t>
      </w:r>
      <w:r>
        <w:t>.</w:t>
      </w:r>
    </w:p>
    <w:p w:rsidRPr="00537765" w:rsidR="00A35BD4" w:rsidRDefault="00A35BD4" w14:paraId="7DA8A5F7" w14:textId="77777777">
      <w:pPr>
        <w:rPr>
          <w:rFonts w:ascii="Times New Roman" w:hAnsi="Times New Roman"/>
          <w:sz w:val="24"/>
          <w:szCs w:val="24"/>
        </w:rPr>
      </w:pPr>
    </w:p>
    <w:p w:rsidRPr="00537765" w:rsidR="00A35BD4" w:rsidRDefault="00A35BD4" w14:paraId="49F3FEF9" w14:textId="77777777">
      <w:pPr>
        <w:rPr>
          <w:rFonts w:ascii="Times New Roman" w:hAnsi="Times New Roman"/>
          <w:sz w:val="24"/>
          <w:szCs w:val="24"/>
        </w:rPr>
      </w:pPr>
      <w:r w:rsidRPr="00537765">
        <w:rPr>
          <w:rFonts w:ascii="Times New Roman" w:hAnsi="Times New Roman"/>
          <w:sz w:val="24"/>
          <w:szCs w:val="24"/>
        </w:rPr>
        <w:t xml:space="preserve">17.  </w:t>
      </w:r>
      <w:r w:rsidRPr="00537765">
        <w:rPr>
          <w:rFonts w:ascii="Times New Roman" w:hAnsi="Times New Roman"/>
          <w:sz w:val="24"/>
          <w:szCs w:val="24"/>
          <w:u w:val="single"/>
        </w:rPr>
        <w:t>Request not to Display Expiration Date of OMB Control Number</w:t>
      </w:r>
      <w:r w:rsidRPr="00537765">
        <w:rPr>
          <w:rFonts w:ascii="Times New Roman" w:hAnsi="Times New Roman"/>
          <w:sz w:val="24"/>
          <w:szCs w:val="24"/>
        </w:rPr>
        <w:t>.</w:t>
      </w:r>
    </w:p>
    <w:p w:rsidRPr="00537765" w:rsidR="00A35BD4" w:rsidRDefault="00A35BD4" w14:paraId="3089753E" w14:textId="77777777">
      <w:pPr>
        <w:rPr>
          <w:rFonts w:ascii="Times New Roman" w:hAnsi="Times New Roman"/>
          <w:sz w:val="24"/>
          <w:szCs w:val="24"/>
        </w:rPr>
      </w:pPr>
    </w:p>
    <w:p w:rsidRPr="00946255" w:rsidR="00946255" w:rsidP="00CD4750" w:rsidRDefault="00946255" w14:paraId="24639CBF" w14:textId="77777777">
      <w:pPr>
        <w:ind w:firstLine="720"/>
        <w:rPr>
          <w:rFonts w:ascii="Times New Roman" w:hAnsi="Times New Roman"/>
          <w:sz w:val="24"/>
          <w:szCs w:val="24"/>
        </w:rPr>
      </w:pPr>
      <w:r w:rsidRPr="00946255">
        <w:rPr>
          <w:rFonts w:ascii="Times New Roman" w:hAnsi="Times New Roman"/>
          <w:sz w:val="24"/>
          <w:szCs w:val="24"/>
        </w:rPr>
        <w:t>FinCEN requests that the expiration date of the control</w:t>
      </w:r>
      <w:r>
        <w:rPr>
          <w:rFonts w:ascii="Times New Roman" w:hAnsi="Times New Roman"/>
          <w:sz w:val="24"/>
          <w:szCs w:val="24"/>
        </w:rPr>
        <w:t xml:space="preserve"> number of the FinCEN Report 111-SAR</w:t>
      </w:r>
      <w:r w:rsidRPr="00946255">
        <w:rPr>
          <w:rFonts w:ascii="Times New Roman" w:hAnsi="Times New Roman"/>
          <w:sz w:val="24"/>
          <w:szCs w:val="24"/>
        </w:rPr>
        <w:t xml:space="preserve"> not be displayed on the report so that there is n</w:t>
      </w:r>
      <w:r>
        <w:rPr>
          <w:rFonts w:ascii="Times New Roman" w:hAnsi="Times New Roman"/>
          <w:sz w:val="24"/>
          <w:szCs w:val="24"/>
        </w:rPr>
        <w:t>o confusion as to whether the</w:t>
      </w:r>
      <w:r w:rsidRPr="00946255">
        <w:rPr>
          <w:rFonts w:ascii="Times New Roman" w:hAnsi="Times New Roman"/>
          <w:sz w:val="24"/>
          <w:szCs w:val="24"/>
        </w:rPr>
        <w:t xml:space="preserve"> report is still valid. This request will not affect the norma</w:t>
      </w:r>
      <w:r w:rsidR="00C602F0">
        <w:rPr>
          <w:rFonts w:ascii="Times New Roman" w:hAnsi="Times New Roman"/>
          <w:sz w:val="24"/>
          <w:szCs w:val="24"/>
        </w:rPr>
        <w:t>l 3-year PRA</w:t>
      </w:r>
      <w:r w:rsidRPr="00946255">
        <w:rPr>
          <w:rFonts w:ascii="Times New Roman" w:hAnsi="Times New Roman"/>
          <w:sz w:val="24"/>
          <w:szCs w:val="24"/>
        </w:rPr>
        <w:t xml:space="preserve"> renewal process.</w:t>
      </w:r>
    </w:p>
    <w:p w:rsidRPr="00537765" w:rsidR="00A35BD4" w:rsidRDefault="00A35BD4" w14:paraId="1C812155" w14:textId="77777777">
      <w:pPr>
        <w:rPr>
          <w:rFonts w:ascii="Times New Roman" w:hAnsi="Times New Roman"/>
          <w:sz w:val="24"/>
          <w:szCs w:val="24"/>
        </w:rPr>
      </w:pPr>
    </w:p>
    <w:p w:rsidRPr="00537765" w:rsidR="00A35BD4" w:rsidRDefault="00A35BD4" w14:paraId="20E87A78" w14:textId="77777777">
      <w:pPr>
        <w:rPr>
          <w:rFonts w:ascii="Times New Roman" w:hAnsi="Times New Roman"/>
          <w:sz w:val="24"/>
          <w:szCs w:val="24"/>
        </w:rPr>
      </w:pPr>
      <w:r w:rsidRPr="00537765">
        <w:rPr>
          <w:rFonts w:ascii="Times New Roman" w:hAnsi="Times New Roman"/>
          <w:sz w:val="24"/>
          <w:szCs w:val="24"/>
        </w:rPr>
        <w:t xml:space="preserve">18.  </w:t>
      </w:r>
      <w:r w:rsidRPr="00537765">
        <w:rPr>
          <w:rFonts w:ascii="Times New Roman" w:hAnsi="Times New Roman"/>
          <w:sz w:val="24"/>
          <w:szCs w:val="24"/>
          <w:u w:val="single"/>
        </w:rPr>
        <w:t>Exceptions</w:t>
      </w:r>
      <w:r w:rsidR="00F12624">
        <w:rPr>
          <w:rFonts w:ascii="Times New Roman" w:hAnsi="Times New Roman"/>
          <w:sz w:val="24"/>
          <w:szCs w:val="24"/>
          <w:u w:val="single"/>
        </w:rPr>
        <w:t xml:space="preserve"> to the Certification Statement</w:t>
      </w:r>
      <w:r w:rsidRPr="00537765">
        <w:rPr>
          <w:rFonts w:ascii="Times New Roman" w:hAnsi="Times New Roman"/>
          <w:sz w:val="24"/>
          <w:szCs w:val="24"/>
        </w:rPr>
        <w:t>.</w:t>
      </w:r>
    </w:p>
    <w:p w:rsidRPr="00537765" w:rsidR="00A35BD4" w:rsidRDefault="00A35BD4" w14:paraId="11AF171A" w14:textId="77777777">
      <w:pPr>
        <w:rPr>
          <w:rFonts w:ascii="Times New Roman" w:hAnsi="Times New Roman"/>
          <w:sz w:val="24"/>
          <w:szCs w:val="24"/>
        </w:rPr>
      </w:pPr>
    </w:p>
    <w:p w:rsidRPr="00537765" w:rsidR="006458D8" w:rsidP="00CD4750" w:rsidRDefault="006458D8" w14:paraId="0515FB31" w14:textId="77777777">
      <w:pPr>
        <w:ind w:firstLine="720"/>
        <w:rPr>
          <w:rFonts w:ascii="Times New Roman" w:hAnsi="Times New Roman"/>
          <w:sz w:val="24"/>
          <w:szCs w:val="24"/>
        </w:rPr>
      </w:pPr>
      <w:r w:rsidRPr="00537765">
        <w:rPr>
          <w:rFonts w:ascii="Times New Roman" w:hAnsi="Times New Roman"/>
          <w:sz w:val="24"/>
          <w:szCs w:val="24"/>
        </w:rPr>
        <w:t>There are no exceptions to the certification statement</w:t>
      </w:r>
      <w:r w:rsidR="00DE1743">
        <w:rPr>
          <w:rFonts w:ascii="Times New Roman" w:hAnsi="Times New Roman"/>
          <w:sz w:val="24"/>
          <w:szCs w:val="24"/>
        </w:rPr>
        <w:t>.</w:t>
      </w:r>
    </w:p>
    <w:p w:rsidRPr="00537765" w:rsidR="00A35BD4" w:rsidP="00D00004" w:rsidRDefault="00A35BD4" w14:paraId="375249DD" w14:textId="77777777">
      <w:pPr>
        <w:rPr>
          <w:rFonts w:ascii="Times New Roman" w:hAnsi="Times New Roman"/>
          <w:sz w:val="24"/>
          <w:szCs w:val="24"/>
        </w:rPr>
      </w:pPr>
    </w:p>
    <w:sectPr w:rsidRPr="00537765" w:rsidR="00A35BD4" w:rsidSect="005E4C4A">
      <w:headerReference w:type="default" r:id="rId14"/>
      <w:footerReference w:type="even" r:id="rId15"/>
      <w:footerReference w:type="default" r:id="rId16"/>
      <w:endnotePr>
        <w:numFmt w:val="decimal"/>
      </w:endnotePr>
      <w:type w:val="continuous"/>
      <w:pgSz w:w="12240" w:h="15840" w:code="1"/>
      <w:pgMar w:top="720" w:right="1440" w:bottom="72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1F69F" w14:textId="77777777" w:rsidR="00FA1C72" w:rsidRDefault="00FA1C72">
      <w:r>
        <w:separator/>
      </w:r>
    </w:p>
  </w:endnote>
  <w:endnote w:type="continuationSeparator" w:id="0">
    <w:p w14:paraId="2AA8B95F" w14:textId="77777777" w:rsidR="00FA1C72" w:rsidRDefault="00FA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6A39" w14:textId="77777777" w:rsidR="009275AF" w:rsidRDefault="00927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FD563" w14:textId="77777777" w:rsidR="009275AF" w:rsidRDefault="0092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33D6" w14:textId="280ED4DC" w:rsidR="009275AF" w:rsidRPr="000D349D" w:rsidRDefault="009275AF">
    <w:pPr>
      <w:pStyle w:val="Footer"/>
      <w:framePr w:wrap="around" w:vAnchor="text" w:hAnchor="margin" w:xAlign="center" w:y="1"/>
      <w:rPr>
        <w:rStyle w:val="PageNumber"/>
        <w:rFonts w:ascii="Times New Roman" w:hAnsi="Times New Roman"/>
        <w:sz w:val="22"/>
        <w:szCs w:val="22"/>
      </w:rPr>
    </w:pPr>
    <w:r w:rsidRPr="000D349D">
      <w:rPr>
        <w:rStyle w:val="PageNumber"/>
        <w:rFonts w:ascii="Times New Roman" w:hAnsi="Times New Roman"/>
        <w:sz w:val="22"/>
        <w:szCs w:val="22"/>
      </w:rPr>
      <w:fldChar w:fldCharType="begin"/>
    </w:r>
    <w:r w:rsidRPr="000D349D">
      <w:rPr>
        <w:rStyle w:val="PageNumber"/>
        <w:rFonts w:ascii="Times New Roman" w:hAnsi="Times New Roman"/>
        <w:sz w:val="22"/>
        <w:szCs w:val="22"/>
      </w:rPr>
      <w:instrText xml:space="preserve">PAGE  </w:instrText>
    </w:r>
    <w:r w:rsidRPr="000D349D">
      <w:rPr>
        <w:rStyle w:val="PageNumber"/>
        <w:rFonts w:ascii="Times New Roman" w:hAnsi="Times New Roman"/>
        <w:sz w:val="22"/>
        <w:szCs w:val="22"/>
      </w:rPr>
      <w:fldChar w:fldCharType="separate"/>
    </w:r>
    <w:r w:rsidR="002C5D29">
      <w:rPr>
        <w:rStyle w:val="PageNumber"/>
        <w:rFonts w:ascii="Times New Roman" w:hAnsi="Times New Roman"/>
        <w:noProof/>
        <w:sz w:val="22"/>
        <w:szCs w:val="22"/>
      </w:rPr>
      <w:t>8</w:t>
    </w:r>
    <w:r w:rsidRPr="000D349D">
      <w:rPr>
        <w:rStyle w:val="PageNumber"/>
        <w:rFonts w:ascii="Times New Roman" w:hAnsi="Times New Roman"/>
        <w:sz w:val="22"/>
        <w:szCs w:val="22"/>
      </w:rPr>
      <w:fldChar w:fldCharType="end"/>
    </w:r>
  </w:p>
  <w:p w14:paraId="50EA5DE6" w14:textId="77777777" w:rsidR="009275AF" w:rsidRDefault="0092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7C9F6" w14:textId="77777777" w:rsidR="00FA1C72" w:rsidRDefault="00FA1C72">
      <w:r>
        <w:separator/>
      </w:r>
    </w:p>
  </w:footnote>
  <w:footnote w:type="continuationSeparator" w:id="0">
    <w:p w14:paraId="4626DE21" w14:textId="77777777" w:rsidR="00FA1C72" w:rsidRDefault="00FA1C72">
      <w:r>
        <w:continuationSeparator/>
      </w:r>
    </w:p>
  </w:footnote>
  <w:footnote w:id="1">
    <w:p w14:paraId="72CE688B" w14:textId="56452DBE" w:rsidR="00CD6347" w:rsidRPr="00CD6347" w:rsidRDefault="00CD6347" w:rsidP="00CD6347">
      <w:pPr>
        <w:rPr>
          <w:rFonts w:ascii="Times New Roman" w:hAnsi="Times New Roman"/>
        </w:rPr>
      </w:pPr>
      <w:r w:rsidRPr="00CD6347">
        <w:rPr>
          <w:rStyle w:val="FootnoteReference"/>
          <w:rFonts w:ascii="Times New Roman" w:hAnsi="Times New Roman"/>
        </w:rPr>
        <w:footnoteRef/>
      </w:r>
      <w:r w:rsidRPr="00CD6347">
        <w:rPr>
          <w:rFonts w:ascii="Times New Roman" w:hAnsi="Times New Roman"/>
        </w:rPr>
        <w:t xml:space="preserve"> The BSA is codified at 12 U.S.C. 1829b, 12 U.S.C. 1951–1959, 31 U.S.C. 5311–5314 and 5316–5332 and notes thereto, with implementing regulations at 31 CFR Chapter X. </w:t>
      </w:r>
      <w:r w:rsidRPr="00B74A0B">
        <w:rPr>
          <w:rFonts w:ascii="Times New Roman" w:hAnsi="Times New Roman"/>
          <w:i/>
          <w:iCs/>
        </w:rPr>
        <w:t>See</w:t>
      </w:r>
      <w:r w:rsidRPr="002F3AC5">
        <w:rPr>
          <w:rFonts w:ascii="Times New Roman" w:hAnsi="Times New Roman"/>
        </w:rPr>
        <w:t xml:space="preserve"> </w:t>
      </w:r>
      <w:r w:rsidRPr="00CD6347">
        <w:rPr>
          <w:rFonts w:ascii="Times New Roman" w:hAnsi="Times New Roman"/>
        </w:rPr>
        <w:t>31 CFR 1010.100(e</w:t>
      </w:r>
      <w:r w:rsidR="007B0646">
        <w:rPr>
          <w:rFonts w:ascii="Times New Roman" w:hAnsi="Times New Roman"/>
        </w:rPr>
        <w:t>).</w:t>
      </w:r>
    </w:p>
  </w:footnote>
  <w:footnote w:id="2">
    <w:p w14:paraId="738D9B7F" w14:textId="7CA3FFCA" w:rsidR="00CD6347" w:rsidRPr="00CD6347" w:rsidRDefault="00CD6347" w:rsidP="00CD6347">
      <w:pPr>
        <w:pStyle w:val="FootnoteText"/>
        <w:rPr>
          <w:rFonts w:ascii="Times New Roman" w:hAnsi="Times New Roman"/>
        </w:rPr>
      </w:pPr>
      <w:r w:rsidRPr="00CD6347">
        <w:rPr>
          <w:rStyle w:val="FootnoteReference"/>
          <w:rFonts w:ascii="Times New Roman" w:hAnsi="Times New Roman"/>
        </w:rPr>
        <w:footnoteRef/>
      </w:r>
      <w:r w:rsidRPr="00CD6347">
        <w:rPr>
          <w:rFonts w:ascii="Times New Roman" w:hAnsi="Times New Roman"/>
        </w:rPr>
        <w:t xml:space="preserve"> Treasury Order 180-01 (Jan</w:t>
      </w:r>
      <w:r w:rsidR="0000072C">
        <w:rPr>
          <w:rFonts w:ascii="Times New Roman" w:hAnsi="Times New Roman"/>
          <w:lang w:val="en-US"/>
        </w:rPr>
        <w:t>.</w:t>
      </w:r>
      <w:r w:rsidRPr="00CD6347">
        <w:rPr>
          <w:rFonts w:ascii="Times New Roman" w:hAnsi="Times New Roman"/>
        </w:rPr>
        <w:t xml:space="preserve"> 14, 2020).</w:t>
      </w:r>
    </w:p>
  </w:footnote>
  <w:footnote w:id="3">
    <w:p w14:paraId="1A9352D9" w14:textId="77777777" w:rsidR="00CD6347" w:rsidRPr="00CD6347" w:rsidRDefault="00CD6347" w:rsidP="00CD6347">
      <w:pPr>
        <w:pStyle w:val="FootnoteText"/>
        <w:rPr>
          <w:rFonts w:ascii="Times New Roman" w:hAnsi="Times New Roman"/>
        </w:rPr>
      </w:pPr>
      <w:r w:rsidRPr="00CD6347">
        <w:rPr>
          <w:rStyle w:val="FootnoteReference"/>
          <w:rFonts w:ascii="Times New Roman" w:hAnsi="Times New Roman"/>
        </w:rPr>
        <w:footnoteRef/>
      </w:r>
      <w:r w:rsidRPr="00CD6347">
        <w:rPr>
          <w:rFonts w:ascii="Times New Roman" w:hAnsi="Times New Roman"/>
        </w:rPr>
        <w:t xml:space="preserve"> 31 U.S.C. 5311.</w:t>
      </w:r>
    </w:p>
  </w:footnote>
  <w:footnote w:id="4">
    <w:p w14:paraId="20DDFE1D" w14:textId="77777777" w:rsidR="00BD09C8" w:rsidRPr="00BD09C8" w:rsidRDefault="00BD09C8" w:rsidP="00BD09C8">
      <w:pPr>
        <w:rPr>
          <w:rFonts w:ascii="Times New Roman" w:hAnsi="Times New Roman"/>
        </w:rPr>
      </w:pPr>
      <w:r w:rsidRPr="00BD09C8">
        <w:rPr>
          <w:rStyle w:val="FootnoteReference"/>
          <w:rFonts w:ascii="Times New Roman" w:hAnsi="Times New Roman"/>
        </w:rPr>
        <w:footnoteRef/>
      </w:r>
      <w:r w:rsidRPr="00BD09C8">
        <w:rPr>
          <w:rFonts w:ascii="Times New Roman" w:hAnsi="Times New Roman"/>
        </w:rPr>
        <w:t xml:space="preserve"> The SAR regulatory reporting requirements are currently covered under the following OMB control numbers: 1506-0001 (31 CFR 1020.320 – Reports by banks of suspicious transactions); 1506-0006 (31 CFR 1021.320 – Reports by casinos of suspicious transactions); 1506-0015 (31 CFR 1022.320 – Reports by money services businesses of suspicious transactions); 1506-0019 (31 CFR 1023.320 – Reports by brokers or dealers in securities of suspicious transactions, 31 CFR 1024.320 – Reports by mutual funds of suspicious transactions, and 31 CFR 1026.320 – Reports by futures commission merchants and introducing brokers in commodities of suspicious transactions); 1506-0029 (31 CFR 1025.320 – Reports by insurance companies of suspicious transactions); and 1506-0061 (31 CFR 1029.320 – Reports by loan or finance companies of suspicious transactions). OMB control number 1506-0065 applies to FinCEN Report 111 – SAR. </w:t>
      </w:r>
    </w:p>
  </w:footnote>
  <w:footnote w:id="5">
    <w:p w14:paraId="7F6A699C" w14:textId="77777777" w:rsidR="00D06F45" w:rsidRPr="00232F43" w:rsidRDefault="00D06F45" w:rsidP="00D06F45">
      <w:pPr>
        <w:pStyle w:val="FootnoteText"/>
        <w:rPr>
          <w:rFonts w:ascii="Times New Roman" w:hAnsi="Times New Roman"/>
        </w:rPr>
      </w:pPr>
      <w:r w:rsidRPr="00232F43">
        <w:rPr>
          <w:rStyle w:val="FootnoteReference"/>
          <w:rFonts w:ascii="Times New Roman" w:hAnsi="Times New Roman"/>
        </w:rPr>
        <w:footnoteRef/>
      </w:r>
      <w:r w:rsidRPr="00232F43">
        <w:rPr>
          <w:rFonts w:ascii="Times New Roman" w:hAnsi="Times New Roman"/>
        </w:rPr>
        <w:t xml:space="preserve"> One hour of burden is estimated under each of the following OMB control numbers: </w:t>
      </w:r>
      <w:r w:rsidRPr="00232F43">
        <w:rPr>
          <w:rFonts w:ascii="Times New Roman" w:eastAsia="Calibri" w:hAnsi="Times New Roman"/>
        </w:rPr>
        <w:t>1506-0001, 1506-0006, 1506-0015, 1506-0019, 1506-0029, and 1506-0061.</w:t>
      </w:r>
    </w:p>
  </w:footnote>
  <w:footnote w:id="6">
    <w:p w14:paraId="30628606" w14:textId="224308AE" w:rsidR="00DE7874" w:rsidRDefault="00DE7874" w:rsidP="00403D82">
      <w:pPr>
        <w:pStyle w:val="HTMLPreformatted"/>
        <w:shd w:val="clear" w:color="auto" w:fill="FFFFFF"/>
      </w:pPr>
      <w:r w:rsidRPr="004C7FA7">
        <w:rPr>
          <w:rStyle w:val="FootnoteReference"/>
          <w:rFonts w:ascii="Times New Roman" w:hAnsi="Times New Roman"/>
        </w:rPr>
        <w:footnoteRef/>
      </w:r>
      <w:r w:rsidR="00351A0A">
        <w:rPr>
          <w:rFonts w:ascii="Times New Roman" w:hAnsi="Times New Roman"/>
          <w:lang w:val="en-US"/>
        </w:rPr>
        <w:t xml:space="preserve"> </w:t>
      </w:r>
      <w:r>
        <w:rPr>
          <w:rFonts w:ascii="Times New Roman" w:hAnsi="Times New Roman"/>
          <w:lang w:val="en-US"/>
        </w:rPr>
        <w:t xml:space="preserve">79 FR </w:t>
      </w:r>
      <w:r w:rsidR="00EB26AF">
        <w:rPr>
          <w:rFonts w:ascii="Times New Roman" w:hAnsi="Times New Roman"/>
          <w:lang w:val="en-US"/>
        </w:rPr>
        <w:t xml:space="preserve">20969, </w:t>
      </w:r>
      <w:r>
        <w:rPr>
          <w:rFonts w:ascii="Times New Roman" w:hAnsi="Times New Roman"/>
          <w:lang w:val="en-US"/>
        </w:rPr>
        <w:t>20972</w:t>
      </w:r>
      <w:r w:rsidRPr="004C7FA7">
        <w:rPr>
          <w:rFonts w:ascii="Times New Roman" w:hAnsi="Times New Roman"/>
          <w:lang w:val="en-US"/>
        </w:rPr>
        <w:t xml:space="preserve"> </w:t>
      </w:r>
      <w:r w:rsidR="00EB26AF">
        <w:rPr>
          <w:rFonts w:ascii="Times New Roman" w:hAnsi="Times New Roman"/>
          <w:lang w:val="en-US"/>
        </w:rPr>
        <w:t>(</w:t>
      </w:r>
      <w:r w:rsidRPr="004C7FA7">
        <w:rPr>
          <w:rFonts w:ascii="Times New Roman" w:hAnsi="Times New Roman"/>
          <w:lang w:val="en-US"/>
        </w:rPr>
        <w:t>April 14, 2014</w:t>
      </w:r>
      <w:r w:rsidR="00EB26AF">
        <w:rPr>
          <w:rFonts w:ascii="Times New Roman" w:hAnsi="Times New Roman"/>
          <w:lang w:val="en-US"/>
        </w:rPr>
        <w:t>)</w:t>
      </w:r>
      <w:r>
        <w:rPr>
          <w:rFonts w:ascii="Times New Roman" w:hAnsi="Times New Roman"/>
          <w:lang w:val="en-US"/>
        </w:rPr>
        <w:t xml:space="preserve">. </w:t>
      </w:r>
      <w:r w:rsidR="00EB26AF">
        <w:rPr>
          <w:rFonts w:ascii="Times New Roman" w:hAnsi="Times New Roman"/>
          <w:lang w:val="en-US"/>
        </w:rPr>
        <w:t xml:space="preserve">This document is available at </w:t>
      </w:r>
      <w:hyperlink r:id="rId1" w:history="1">
        <w:r w:rsidRPr="00DE7874">
          <w:rPr>
            <w:rStyle w:val="Hyperlink"/>
            <w:rFonts w:ascii="Times New Roman" w:hAnsi="Times New Roman"/>
          </w:rPr>
          <w:t>https://www.federalregister.gov/documents/2014/04/14/2014-08254/privacy-act-of-1974-as-amended-system-of-records-notice</w:t>
        </w:r>
      </w:hyperlink>
      <w:r w:rsidRPr="004C7FA7">
        <w:rPr>
          <w:rFonts w:ascii="Times New Roman" w:hAnsi="Times New Roman"/>
          <w:color w:val="000000"/>
          <w:lang w:val="en-US"/>
        </w:rPr>
        <w:t xml:space="preserve">. </w:t>
      </w:r>
    </w:p>
  </w:footnote>
  <w:footnote w:id="7">
    <w:p w14:paraId="4EBC73DD" w14:textId="77777777" w:rsidR="00DB0D90" w:rsidRPr="00C15C25" w:rsidRDefault="00DB0D90" w:rsidP="00DB0D90">
      <w:pPr>
        <w:pStyle w:val="FootnoteText"/>
        <w:rPr>
          <w:rFonts w:ascii="Times New Roman" w:hAnsi="Times New Roman"/>
        </w:rPr>
      </w:pPr>
      <w:r w:rsidRPr="00C15C25">
        <w:rPr>
          <w:rStyle w:val="FootnoteReference"/>
          <w:rFonts w:ascii="Times New Roman" w:hAnsi="Times New Roman"/>
        </w:rPr>
        <w:footnoteRef/>
      </w:r>
      <w:r w:rsidRPr="00C15C25">
        <w:rPr>
          <w:rFonts w:ascii="Times New Roman" w:hAnsi="Times New Roman"/>
        </w:rPr>
        <w:t xml:space="preserve"> In batch-filing, a filer submits a single electronic file containing several reports. In discrete-filing, the filer fills in an electronic form individually, using a data entry screen that FinCEN provides.</w:t>
      </w:r>
    </w:p>
  </w:footnote>
  <w:footnote w:id="8">
    <w:p w14:paraId="686A62FF" w14:textId="360598AC" w:rsidR="00351A0A" w:rsidRPr="000D349D" w:rsidRDefault="00351A0A">
      <w:pPr>
        <w:pStyle w:val="FootnoteText"/>
        <w:rPr>
          <w:lang w:val="en-US"/>
        </w:rPr>
      </w:pPr>
      <w:r w:rsidRPr="00351A0A">
        <w:rPr>
          <w:rStyle w:val="FootnoteReference"/>
          <w:rFonts w:ascii="Times New Roman" w:hAnsi="Times New Roman"/>
        </w:rPr>
        <w:footnoteRef/>
      </w:r>
      <w:r w:rsidRPr="00351A0A">
        <w:rPr>
          <w:rFonts w:ascii="Times New Roman" w:hAnsi="Times New Roman"/>
        </w:rPr>
        <w:t xml:space="preserve"> </w:t>
      </w:r>
      <w:r w:rsidRPr="00351A0A">
        <w:rPr>
          <w:rFonts w:ascii="Times New Roman" w:hAnsi="Times New Roman"/>
          <w:i/>
          <w:lang w:val="en-US"/>
        </w:rPr>
        <w:t>See</w:t>
      </w:r>
      <w:r>
        <w:rPr>
          <w:rFonts w:ascii="Times New Roman" w:hAnsi="Times New Roman"/>
          <w:lang w:val="en-US"/>
        </w:rPr>
        <w:t xml:space="preserve"> </w:t>
      </w:r>
      <w:r w:rsidRPr="00351A0A">
        <w:rPr>
          <w:rFonts w:ascii="Times New Roman" w:hAnsi="Times New Roman"/>
        </w:rPr>
        <w:t>85 FR 31598</w:t>
      </w:r>
      <w:r>
        <w:rPr>
          <w:rFonts w:ascii="Times New Roman" w:hAnsi="Times New Roman"/>
          <w:lang w:val="en-US"/>
        </w:rPr>
        <w:t xml:space="preserve"> at </w:t>
      </w:r>
      <w:hyperlink r:id="rId2" w:history="1">
        <w:r w:rsidRPr="002F5E1E">
          <w:rPr>
            <w:rStyle w:val="Hyperlink"/>
            <w:rFonts w:ascii="Times New Roman" w:hAnsi="Times New Roman"/>
            <w:lang w:val="en-US"/>
          </w:rPr>
          <w:t>https://www.govinfo.gov/content/pkg/FR-2020-05-26/pdf/2020-11247.pdf</w:t>
        </w:r>
      </w:hyperlink>
      <w:r w:rsidRPr="00E752DD">
        <w:rPr>
          <w:rFonts w:ascii="Times New Roman" w:hAnsi="Times New Roman"/>
          <w:sz w:val="24"/>
          <w:szCs w:val="24"/>
        </w:rPr>
        <w:t>.</w:t>
      </w:r>
    </w:p>
  </w:footnote>
  <w:footnote w:id="9">
    <w:p w14:paraId="2EB5BD67" w14:textId="77777777" w:rsidR="00232F43" w:rsidRPr="00232F43" w:rsidRDefault="00232F43" w:rsidP="00232F43">
      <w:pPr>
        <w:pStyle w:val="HTMLPreformatted"/>
        <w:shd w:val="clear" w:color="auto" w:fill="FFFFFF"/>
        <w:rPr>
          <w:rFonts w:ascii="Times New Roman" w:hAnsi="Times New Roman"/>
          <w:color w:val="000000"/>
          <w:lang w:val="en-US"/>
        </w:rPr>
      </w:pPr>
      <w:r w:rsidRPr="00232F43">
        <w:rPr>
          <w:rStyle w:val="FootnoteReference"/>
          <w:rFonts w:ascii="Times New Roman" w:hAnsi="Times New Roman"/>
        </w:rPr>
        <w:footnoteRef/>
      </w:r>
      <w:r w:rsidRPr="00232F43">
        <w:rPr>
          <w:rFonts w:ascii="Times New Roman" w:hAnsi="Times New Roman"/>
        </w:rPr>
        <w:t xml:space="preserve"> </w:t>
      </w:r>
      <w:r w:rsidR="00C957D0" w:rsidRPr="00B74A0B">
        <w:rPr>
          <w:rFonts w:ascii="Times New Roman" w:hAnsi="Times New Roman"/>
          <w:i/>
          <w:color w:val="000000"/>
        </w:rPr>
        <w:t>See supra</w:t>
      </w:r>
      <w:r w:rsidR="00C957D0">
        <w:rPr>
          <w:rFonts w:ascii="Times New Roman" w:hAnsi="Times New Roman"/>
          <w:color w:val="000000"/>
        </w:rPr>
        <w:t xml:space="preserve"> note 6</w:t>
      </w:r>
      <w:r w:rsidR="00442BC9">
        <w:rPr>
          <w:rFonts w:ascii="Times New Roman" w:hAnsi="Times New Roman"/>
          <w:color w:val="000000"/>
        </w:rPr>
        <w:t>.</w:t>
      </w:r>
      <w:r w:rsidRPr="00232F43">
        <w:rPr>
          <w:rFonts w:ascii="Times New Roman" w:hAnsi="Times New Roman"/>
          <w:color w:val="000000"/>
          <w:lang w:val="en-US"/>
        </w:rPr>
        <w:t xml:space="preserve"> </w:t>
      </w:r>
    </w:p>
  </w:footnote>
  <w:footnote w:id="10">
    <w:p w14:paraId="0D2FE346" w14:textId="77777777" w:rsidR="00232F43" w:rsidRPr="00232F43" w:rsidRDefault="00232F43" w:rsidP="00232F43">
      <w:pPr>
        <w:pStyle w:val="FootnoteText"/>
        <w:rPr>
          <w:rFonts w:ascii="Times New Roman" w:hAnsi="Times New Roman"/>
        </w:rPr>
      </w:pPr>
      <w:r w:rsidRPr="00232F43">
        <w:rPr>
          <w:rStyle w:val="FootnoteReference"/>
          <w:rFonts w:ascii="Times New Roman" w:hAnsi="Times New Roman"/>
        </w:rPr>
        <w:footnoteRef/>
      </w:r>
      <w:r w:rsidR="00C957D0">
        <w:rPr>
          <w:rFonts w:ascii="Times New Roman" w:hAnsi="Times New Roman"/>
        </w:rPr>
        <w:t xml:space="preserve"> </w:t>
      </w:r>
      <w:r w:rsidR="00403D82" w:rsidRPr="00B74A0B">
        <w:rPr>
          <w:rFonts w:ascii="Times New Roman" w:hAnsi="Times New Roman"/>
          <w:i/>
          <w:lang w:val="en-US"/>
        </w:rPr>
        <w:t>Id</w:t>
      </w:r>
      <w:r w:rsidR="00442BC9">
        <w:rPr>
          <w:rFonts w:ascii="Times New Roman" w:hAnsi="Times New Roman"/>
        </w:rPr>
        <w:t>.</w:t>
      </w:r>
    </w:p>
  </w:footnote>
  <w:footnote w:id="11">
    <w:p w14:paraId="012EB985" w14:textId="77777777" w:rsidR="006F3ED8" w:rsidRPr="00232F43" w:rsidRDefault="006F3ED8" w:rsidP="006F3ED8">
      <w:pPr>
        <w:pStyle w:val="FootnoteText"/>
        <w:rPr>
          <w:rFonts w:ascii="Times New Roman" w:hAnsi="Times New Roman"/>
        </w:rPr>
      </w:pPr>
      <w:r w:rsidRPr="00232F43">
        <w:rPr>
          <w:rStyle w:val="FootnoteReference"/>
          <w:rFonts w:ascii="Times New Roman" w:hAnsi="Times New Roman"/>
        </w:rPr>
        <w:footnoteRef/>
      </w:r>
      <w:r w:rsidRPr="00232F43">
        <w:rPr>
          <w:rFonts w:ascii="Times New Roman" w:hAnsi="Times New Roman"/>
        </w:rPr>
        <w:t xml:space="preserve"> One hour of burden is estimated under each of the following OMB control numbers: </w:t>
      </w:r>
      <w:r w:rsidRPr="00232F43">
        <w:rPr>
          <w:rFonts w:ascii="Times New Roman" w:eastAsia="Calibri" w:hAnsi="Times New Roman"/>
        </w:rPr>
        <w:t>1506-0001, 1506-0006, 1506-0015, 1506-0019, 1506-0029, and 1506-0061.</w:t>
      </w:r>
    </w:p>
  </w:footnote>
  <w:footnote w:id="12">
    <w:p w14:paraId="788FC28F" w14:textId="2A379151" w:rsidR="005628EA" w:rsidRPr="002B24E4" w:rsidRDefault="005628EA" w:rsidP="005628EA">
      <w:pPr>
        <w:pStyle w:val="FootnoteText"/>
        <w:rPr>
          <w:rFonts w:ascii="Times New Roman" w:hAnsi="Times New Roman"/>
          <w:lang w:val="en-US"/>
        </w:rPr>
      </w:pPr>
      <w:r w:rsidRPr="002B24E4">
        <w:rPr>
          <w:rStyle w:val="FootnoteReference"/>
          <w:rFonts w:ascii="Times New Roman" w:hAnsi="Times New Roman"/>
        </w:rPr>
        <w:footnoteRef/>
      </w:r>
      <w:r w:rsidRPr="002B24E4">
        <w:rPr>
          <w:rFonts w:ascii="Times New Roman" w:hAnsi="Times New Roman"/>
        </w:rPr>
        <w:t xml:space="preserve"> </w:t>
      </w:r>
      <w:r w:rsidR="00426DE6" w:rsidRPr="002B24E4">
        <w:rPr>
          <w:rFonts w:ascii="Times New Roman" w:hAnsi="Times New Roman"/>
        </w:rPr>
        <w:t xml:space="preserve">85 FR </w:t>
      </w:r>
      <w:r w:rsidR="00426DE6" w:rsidRPr="002B24E4">
        <w:rPr>
          <w:rFonts w:ascii="Times New Roman" w:hAnsi="Times New Roman"/>
          <w:lang w:val="en-US"/>
        </w:rPr>
        <w:t>31</w:t>
      </w:r>
      <w:r w:rsidR="006A164A">
        <w:rPr>
          <w:rFonts w:ascii="Times New Roman" w:hAnsi="Times New Roman"/>
          <w:lang w:val="en-US"/>
        </w:rPr>
        <w:t>598, 31</w:t>
      </w:r>
      <w:r w:rsidR="00426DE6" w:rsidRPr="002B24E4">
        <w:rPr>
          <w:rFonts w:ascii="Times New Roman" w:hAnsi="Times New Roman"/>
          <w:lang w:val="en-US"/>
        </w:rPr>
        <w:t>600</w:t>
      </w:r>
      <w:r w:rsidR="006A164A">
        <w:rPr>
          <w:rFonts w:ascii="Times New Roman" w:hAnsi="Times New Roman"/>
          <w:lang w:val="en-US"/>
        </w:rPr>
        <w:t>(</w:t>
      </w:r>
      <w:r w:rsidR="00426DE6" w:rsidRPr="002B24E4">
        <w:rPr>
          <w:rFonts w:ascii="Times New Roman" w:hAnsi="Times New Roman"/>
          <w:lang w:val="en-US"/>
        </w:rPr>
        <w:t xml:space="preserve"> May 26, 2020</w:t>
      </w:r>
      <w:r w:rsidR="006A164A">
        <w:rPr>
          <w:rFonts w:ascii="Times New Roman" w:hAnsi="Times New Roman"/>
          <w:lang w:val="en-US"/>
        </w:rPr>
        <w:t>)(Table 1)</w:t>
      </w:r>
      <w:r w:rsidR="00426DE6" w:rsidRPr="002B24E4">
        <w:rPr>
          <w:rFonts w:ascii="Times New Roman" w:hAnsi="Times New Roman"/>
          <w:lang w:val="en-US"/>
        </w:rPr>
        <w:t>.</w:t>
      </w:r>
      <w:r w:rsidR="006A164A">
        <w:rPr>
          <w:rFonts w:ascii="Times New Roman" w:hAnsi="Times New Roman"/>
          <w:lang w:val="en-US"/>
        </w:rPr>
        <w:t>This document is available at</w:t>
      </w:r>
      <w:r w:rsidR="00426DE6" w:rsidRPr="002B24E4">
        <w:rPr>
          <w:rFonts w:ascii="Times New Roman" w:hAnsi="Times New Roman"/>
          <w:lang w:val="en-US"/>
        </w:rPr>
        <w:t xml:space="preserve"> </w:t>
      </w:r>
      <w:hyperlink r:id="rId3" w:history="1">
        <w:r w:rsidR="00426DE6" w:rsidRPr="002B24E4">
          <w:rPr>
            <w:rStyle w:val="Hyperlink"/>
            <w:rFonts w:ascii="Times New Roman" w:hAnsi="Times New Roman"/>
          </w:rPr>
          <w:t>https://www.govinfo.gov/content/pkg/FR-2020-05-26/pdf/2020-11247.pdf</w:t>
        </w:r>
      </w:hyperlink>
      <w:r w:rsidR="00426DE6" w:rsidRPr="002B24E4">
        <w:rPr>
          <w:rFonts w:ascii="Times New Roman" w:hAnsi="Times New Roman"/>
          <w:lang w:val="en-US"/>
        </w:rPr>
        <w:t>.</w:t>
      </w:r>
    </w:p>
  </w:footnote>
  <w:footnote w:id="13">
    <w:p w14:paraId="3E27DE56" w14:textId="77777777" w:rsidR="005628EA" w:rsidRPr="002B24E4" w:rsidRDefault="005628EA" w:rsidP="005628EA">
      <w:pPr>
        <w:pStyle w:val="FootnoteText"/>
        <w:rPr>
          <w:rFonts w:ascii="Times New Roman" w:hAnsi="Times New Roman"/>
        </w:rPr>
      </w:pPr>
      <w:r w:rsidRPr="002B24E4">
        <w:rPr>
          <w:rStyle w:val="FootnoteReference"/>
          <w:rFonts w:ascii="Times New Roman" w:eastAsia="Courier New" w:hAnsi="Times New Roman"/>
        </w:rPr>
        <w:footnoteRef/>
      </w:r>
      <w:r w:rsidR="00426DE6" w:rsidRPr="002B24E4">
        <w:rPr>
          <w:rFonts w:ascii="Times New Roman" w:hAnsi="Times New Roman"/>
        </w:rPr>
        <w:t xml:space="preserve"> Numbers are based on actual 2019 filings as reported to the BSA E-Fili</w:t>
      </w:r>
      <w:r w:rsidR="004D1AE7" w:rsidRPr="002B24E4">
        <w:rPr>
          <w:rFonts w:ascii="Times New Roman" w:hAnsi="Times New Roman"/>
        </w:rPr>
        <w:t>ng System, as of 12/31/2019</w:t>
      </w:r>
      <w:r w:rsidR="00426DE6" w:rsidRPr="002B24E4">
        <w:rPr>
          <w:rFonts w:ascii="Times New Roman" w:hAnsi="Times New Roman"/>
        </w:rPr>
        <w:t>.</w:t>
      </w:r>
    </w:p>
  </w:footnote>
  <w:footnote w:id="14">
    <w:p w14:paraId="1A896E53" w14:textId="1262EADB" w:rsidR="00C1406D" w:rsidRPr="009C2CC4" w:rsidRDefault="00C1406D">
      <w:pPr>
        <w:pStyle w:val="FootnoteText"/>
        <w:rPr>
          <w:rFonts w:ascii="Times New Roman" w:hAnsi="Times New Roman"/>
          <w:lang w:val="en-US"/>
        </w:rPr>
      </w:pPr>
      <w:r w:rsidRPr="009C2CC4">
        <w:rPr>
          <w:rStyle w:val="FootnoteReference"/>
          <w:rFonts w:ascii="Times New Roman" w:hAnsi="Times New Roman"/>
        </w:rPr>
        <w:footnoteRef/>
      </w:r>
      <w:r w:rsidRPr="009C2CC4">
        <w:rPr>
          <w:rFonts w:ascii="Times New Roman" w:hAnsi="Times New Roman"/>
        </w:rPr>
        <w:t xml:space="preserve"> </w:t>
      </w:r>
      <w:r w:rsidR="002B24E4" w:rsidRPr="009C2CC4">
        <w:rPr>
          <w:rFonts w:ascii="Times New Roman" w:hAnsi="Times New Roman"/>
        </w:rPr>
        <w:t xml:space="preserve">85 FR </w:t>
      </w:r>
      <w:r w:rsidR="006A164A">
        <w:rPr>
          <w:rFonts w:ascii="Times New Roman" w:hAnsi="Times New Roman"/>
          <w:lang w:val="en-US"/>
        </w:rPr>
        <w:t xml:space="preserve">31598, </w:t>
      </w:r>
      <w:r w:rsidR="002B24E4" w:rsidRPr="009C2CC4">
        <w:rPr>
          <w:rFonts w:ascii="Times New Roman" w:hAnsi="Times New Roman"/>
          <w:lang w:val="en-US"/>
        </w:rPr>
        <w:t xml:space="preserve">31611 </w:t>
      </w:r>
      <w:r w:rsidR="006A164A">
        <w:rPr>
          <w:rFonts w:ascii="Times New Roman" w:hAnsi="Times New Roman"/>
          <w:lang w:val="en-US"/>
        </w:rPr>
        <w:t>(</w:t>
      </w:r>
      <w:r w:rsidR="002B24E4" w:rsidRPr="009C2CC4">
        <w:rPr>
          <w:rFonts w:ascii="Times New Roman" w:hAnsi="Times New Roman"/>
          <w:lang w:val="en-US"/>
        </w:rPr>
        <w:t>May 26, 2020</w:t>
      </w:r>
      <w:r w:rsidR="006A164A">
        <w:rPr>
          <w:rFonts w:ascii="Times New Roman" w:hAnsi="Times New Roman"/>
          <w:lang w:val="en-US"/>
        </w:rPr>
        <w:t>)(Table 21)</w:t>
      </w:r>
      <w:r w:rsidR="002B24E4" w:rsidRPr="009C2CC4">
        <w:rPr>
          <w:rFonts w:ascii="Times New Roman" w:hAnsi="Times New Roman"/>
          <w:lang w:val="en-US"/>
        </w:rPr>
        <w:t>.</w:t>
      </w:r>
      <w:r w:rsidR="006A164A">
        <w:rPr>
          <w:rFonts w:ascii="Times New Roman" w:hAnsi="Times New Roman"/>
          <w:lang w:val="en-US"/>
        </w:rPr>
        <w:t xml:space="preserve"> </w:t>
      </w:r>
    </w:p>
  </w:footnote>
  <w:footnote w:id="15">
    <w:p w14:paraId="255A1AE7" w14:textId="195A03D9" w:rsidR="0042052F" w:rsidRPr="009C2CC4" w:rsidRDefault="0042052F" w:rsidP="0042052F">
      <w:pPr>
        <w:pStyle w:val="FootnoteText"/>
        <w:rPr>
          <w:rFonts w:ascii="Times New Roman" w:hAnsi="Times New Roman"/>
          <w:lang w:val="en-US"/>
        </w:rPr>
      </w:pPr>
      <w:r w:rsidRPr="009C2CC4">
        <w:rPr>
          <w:rStyle w:val="FootnoteReference"/>
          <w:rFonts w:ascii="Times New Roman" w:hAnsi="Times New Roman"/>
        </w:rPr>
        <w:footnoteRef/>
      </w:r>
      <w:r w:rsidRPr="009C2CC4">
        <w:rPr>
          <w:rFonts w:ascii="Times New Roman" w:hAnsi="Times New Roman"/>
        </w:rPr>
        <w:t xml:space="preserve"> </w:t>
      </w:r>
      <w:r w:rsidR="00240477" w:rsidRPr="00B74A0B">
        <w:rPr>
          <w:rFonts w:ascii="Times New Roman" w:hAnsi="Times New Roman"/>
          <w:i/>
          <w:lang w:val="en-US"/>
        </w:rPr>
        <w:t>Id</w:t>
      </w:r>
      <w:r w:rsidR="00240477">
        <w:rPr>
          <w:rFonts w:ascii="Times New Roman" w:hAnsi="Times New Roman"/>
          <w:lang w:val="en-US"/>
        </w:rPr>
        <w:t xml:space="preserve">. at </w:t>
      </w:r>
      <w:r w:rsidRPr="009C2CC4">
        <w:rPr>
          <w:rFonts w:ascii="Times New Roman" w:hAnsi="Times New Roman"/>
          <w:lang w:val="en-US"/>
        </w:rPr>
        <w:t>31611</w:t>
      </w:r>
      <w:r w:rsidR="00240477">
        <w:rPr>
          <w:rFonts w:ascii="Times New Roman" w:hAnsi="Times New Roman"/>
          <w:lang w:val="en-US"/>
        </w:rPr>
        <w:t>-</w:t>
      </w:r>
      <w:r w:rsidR="0070543D" w:rsidRPr="009C2CC4">
        <w:rPr>
          <w:rFonts w:ascii="Times New Roman" w:hAnsi="Times New Roman"/>
          <w:lang w:val="en-US"/>
        </w:rPr>
        <w:t xml:space="preserve"> 612</w:t>
      </w:r>
      <w:r w:rsidRPr="009C2CC4">
        <w:rPr>
          <w:rFonts w:ascii="Times New Roman" w:hAnsi="Times New Roman"/>
          <w:lang w:val="en-US"/>
        </w:rPr>
        <w:t>.</w:t>
      </w:r>
      <w:hyperlink w:history="1"/>
      <w:r w:rsidRPr="009C2CC4">
        <w:rPr>
          <w:rFonts w:ascii="Times New Roman" w:hAnsi="Times New Roman"/>
          <w:lang w:val="en-US"/>
        </w:rPr>
        <w:t>.</w:t>
      </w:r>
    </w:p>
  </w:footnote>
  <w:footnote w:id="16">
    <w:p w14:paraId="0CC6E4F7" w14:textId="159FA8CE" w:rsidR="00C26F4B" w:rsidRPr="002B24E4" w:rsidRDefault="00C26F4B">
      <w:pPr>
        <w:pStyle w:val="FootnoteText"/>
        <w:rPr>
          <w:rFonts w:ascii="Times New Roman" w:hAnsi="Times New Roman"/>
          <w:lang w:val="en-US"/>
        </w:rPr>
      </w:pPr>
      <w:r w:rsidRPr="00403D82">
        <w:rPr>
          <w:rStyle w:val="FootnoteReference"/>
          <w:rFonts w:ascii="Times New Roman" w:hAnsi="Times New Roman"/>
        </w:rPr>
        <w:footnoteRef/>
      </w:r>
      <w:r>
        <w:t xml:space="preserve"> </w:t>
      </w:r>
      <w:r w:rsidR="00240477" w:rsidRPr="00B74A0B">
        <w:rPr>
          <w:i/>
          <w:lang w:val="en-US"/>
        </w:rPr>
        <w:t>Id</w:t>
      </w:r>
      <w:r w:rsidR="00240477">
        <w:rPr>
          <w:lang w:val="en-US"/>
        </w:rPr>
        <w:t xml:space="preserve">. at </w:t>
      </w:r>
      <w:r>
        <w:rPr>
          <w:rFonts w:ascii="Times New Roman" w:hAnsi="Times New Roman"/>
          <w:lang w:val="en-US"/>
        </w:rPr>
        <w:t>31612.</w:t>
      </w:r>
    </w:p>
  </w:footnote>
  <w:footnote w:id="17">
    <w:p w14:paraId="454A916D" w14:textId="77777777" w:rsidR="00946255" w:rsidRPr="002B24E4" w:rsidRDefault="00946255" w:rsidP="00946255">
      <w:pPr>
        <w:pStyle w:val="FootnoteText"/>
        <w:rPr>
          <w:rFonts w:ascii="Times New Roman" w:hAnsi="Times New Roman"/>
          <w:lang w:val="en-US"/>
        </w:rPr>
      </w:pPr>
      <w:r w:rsidRPr="00946255">
        <w:rPr>
          <w:rStyle w:val="FootnoteReference"/>
          <w:rFonts w:ascii="Times New Roman" w:hAnsi="Times New Roman"/>
        </w:rPr>
        <w:footnoteRef/>
      </w:r>
      <w:r w:rsidR="002B24E4">
        <w:rPr>
          <w:rFonts w:ascii="Times New Roman" w:hAnsi="Times New Roman"/>
        </w:rPr>
        <w:t xml:space="preserve"> </w:t>
      </w:r>
      <w:r w:rsidR="002B24E4" w:rsidRPr="00B74A0B">
        <w:rPr>
          <w:rFonts w:ascii="Times New Roman" w:hAnsi="Times New Roman"/>
          <w:i/>
          <w:lang w:val="en-US"/>
        </w:rPr>
        <w:t>See sup</w:t>
      </w:r>
      <w:r w:rsidR="00741817" w:rsidRPr="00B74A0B">
        <w:rPr>
          <w:rFonts w:ascii="Times New Roman" w:hAnsi="Times New Roman"/>
          <w:i/>
          <w:lang w:val="en-US"/>
        </w:rPr>
        <w:t>ra</w:t>
      </w:r>
      <w:r w:rsidR="00741817">
        <w:rPr>
          <w:rFonts w:ascii="Times New Roman" w:hAnsi="Times New Roman"/>
          <w:lang w:val="en-US"/>
        </w:rPr>
        <w:t xml:space="preserve"> note 12</w:t>
      </w:r>
      <w:r w:rsidR="00240477">
        <w:rPr>
          <w:rFonts w:ascii="Times New Roman" w:hAnsi="Times New Roman"/>
          <w:lang w:val="en-US"/>
        </w:rPr>
        <w:t xml:space="preserve"> and accompanying text</w:t>
      </w:r>
      <w:r w:rsidR="002B24E4">
        <w:rPr>
          <w:rFonts w:ascii="Times New Roman" w:hAnsi="Times New Roman"/>
          <w:lang w:val="en-US"/>
        </w:rPr>
        <w:t>.</w:t>
      </w:r>
    </w:p>
  </w:footnote>
  <w:footnote w:id="18">
    <w:p w14:paraId="58B9D731" w14:textId="77777777" w:rsidR="00946255" w:rsidRPr="00946255" w:rsidRDefault="00946255" w:rsidP="00946255">
      <w:pPr>
        <w:pStyle w:val="FootnoteText"/>
        <w:rPr>
          <w:rFonts w:ascii="Times New Roman" w:hAnsi="Times New Roman"/>
        </w:rPr>
      </w:pPr>
      <w:r w:rsidRPr="00946255">
        <w:rPr>
          <w:rStyle w:val="FootnoteReference"/>
          <w:rFonts w:ascii="Times New Roman" w:hAnsi="Times New Roman"/>
        </w:rPr>
        <w:footnoteRef/>
      </w:r>
      <w:r w:rsidRPr="00946255">
        <w:rPr>
          <w:rFonts w:ascii="Times New Roman" w:hAnsi="Times New Roman"/>
        </w:rPr>
        <w:t xml:space="preserve"> Cost per response received as listed in the BSA E-filing Federal contract for 2020.</w:t>
      </w:r>
    </w:p>
  </w:footnote>
  <w:footnote w:id="19">
    <w:p w14:paraId="4F781BAB" w14:textId="57611F9E" w:rsidR="00C1406D" w:rsidRPr="00C1406D" w:rsidRDefault="00C1406D">
      <w:pPr>
        <w:pStyle w:val="FootnoteText"/>
        <w:rPr>
          <w:lang w:val="en-US"/>
        </w:rPr>
      </w:pPr>
      <w:r w:rsidRPr="00C1406D">
        <w:rPr>
          <w:rStyle w:val="FootnoteReference"/>
          <w:rFonts w:ascii="Times New Roman" w:hAnsi="Times New Roman"/>
        </w:rPr>
        <w:footnoteRef/>
      </w:r>
      <w:r w:rsidRPr="00C1406D">
        <w:rPr>
          <w:rFonts w:ascii="Times New Roman" w:hAnsi="Times New Roman"/>
        </w:rPr>
        <w:t xml:space="preserve"> For a more detailed explanation of the methodology to estimate the burden associated with this renewal of the SAR regulations and report see 85 FR 31598</w:t>
      </w:r>
      <w:r w:rsidR="00A75CD6">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3F9B" w14:textId="77777777" w:rsidR="009275AF" w:rsidRDefault="009275AF">
    <w:pPr>
      <w:jc w:val="center"/>
      <w:rPr>
        <w:szCs w:val="24"/>
      </w:rPr>
    </w:pPr>
  </w:p>
  <w:p w14:paraId="70CAD5F4" w14:textId="77777777" w:rsidR="009275AF" w:rsidRDefault="009275AF">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661"/>
    <w:multiLevelType w:val="hybridMultilevel"/>
    <w:tmpl w:val="AA72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76420"/>
    <w:multiLevelType w:val="hybridMultilevel"/>
    <w:tmpl w:val="B9B87B6E"/>
    <w:lvl w:ilvl="0" w:tplc="E26CF6B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35C17"/>
    <w:multiLevelType w:val="hybridMultilevel"/>
    <w:tmpl w:val="76762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EC263C"/>
    <w:multiLevelType w:val="hybridMultilevel"/>
    <w:tmpl w:val="2806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85FAF"/>
    <w:multiLevelType w:val="multilevel"/>
    <w:tmpl w:val="EB24593E"/>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2F04C93"/>
    <w:multiLevelType w:val="hybridMultilevel"/>
    <w:tmpl w:val="A47CC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D6133"/>
    <w:multiLevelType w:val="hybridMultilevel"/>
    <w:tmpl w:val="569E8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AD2CAE"/>
    <w:multiLevelType w:val="hybridMultilevel"/>
    <w:tmpl w:val="3A868772"/>
    <w:lvl w:ilvl="0" w:tplc="3072FBF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3B32B3"/>
    <w:multiLevelType w:val="hybridMultilevel"/>
    <w:tmpl w:val="5438646C"/>
    <w:lvl w:ilvl="0" w:tplc="2EE68B08">
      <w:start w:val="15"/>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331136"/>
    <w:multiLevelType w:val="hybridMultilevel"/>
    <w:tmpl w:val="09BA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3"/>
  </w:num>
  <w:num w:numId="6">
    <w:abstractNumId w:val="4"/>
  </w:num>
  <w:num w:numId="7">
    <w:abstractNumId w:val="5"/>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EF2E21"/>
    <w:rsid w:val="0000072C"/>
    <w:rsid w:val="00003C6E"/>
    <w:rsid w:val="00021BB2"/>
    <w:rsid w:val="000279A6"/>
    <w:rsid w:val="00032834"/>
    <w:rsid w:val="000340B8"/>
    <w:rsid w:val="000428D8"/>
    <w:rsid w:val="000448C5"/>
    <w:rsid w:val="00053F31"/>
    <w:rsid w:val="0006189C"/>
    <w:rsid w:val="000665AB"/>
    <w:rsid w:val="00082EF9"/>
    <w:rsid w:val="00085B25"/>
    <w:rsid w:val="00090E90"/>
    <w:rsid w:val="000B421C"/>
    <w:rsid w:val="000C49E6"/>
    <w:rsid w:val="000C52D7"/>
    <w:rsid w:val="000C735F"/>
    <w:rsid w:val="000C7698"/>
    <w:rsid w:val="000D100F"/>
    <w:rsid w:val="000D349D"/>
    <w:rsid w:val="000D669A"/>
    <w:rsid w:val="000E0745"/>
    <w:rsid w:val="000E368D"/>
    <w:rsid w:val="000E578D"/>
    <w:rsid w:val="000E6DF3"/>
    <w:rsid w:val="001070B6"/>
    <w:rsid w:val="0012239E"/>
    <w:rsid w:val="00124543"/>
    <w:rsid w:val="00135402"/>
    <w:rsid w:val="00135C50"/>
    <w:rsid w:val="00137D9B"/>
    <w:rsid w:val="00174D9A"/>
    <w:rsid w:val="001918E8"/>
    <w:rsid w:val="00197FAB"/>
    <w:rsid w:val="001A4E05"/>
    <w:rsid w:val="001A631A"/>
    <w:rsid w:val="001C0C8D"/>
    <w:rsid w:val="001C6796"/>
    <w:rsid w:val="001D0EC3"/>
    <w:rsid w:val="0020073E"/>
    <w:rsid w:val="00220E31"/>
    <w:rsid w:val="00226734"/>
    <w:rsid w:val="00232DE8"/>
    <w:rsid w:val="00232F43"/>
    <w:rsid w:val="00233404"/>
    <w:rsid w:val="00240477"/>
    <w:rsid w:val="00240894"/>
    <w:rsid w:val="00246324"/>
    <w:rsid w:val="002516D1"/>
    <w:rsid w:val="002565A3"/>
    <w:rsid w:val="002720BC"/>
    <w:rsid w:val="002B17D3"/>
    <w:rsid w:val="002B24E4"/>
    <w:rsid w:val="002C067B"/>
    <w:rsid w:val="002C5D29"/>
    <w:rsid w:val="002C6F3F"/>
    <w:rsid w:val="002D768D"/>
    <w:rsid w:val="002E0458"/>
    <w:rsid w:val="002F3AC5"/>
    <w:rsid w:val="00335931"/>
    <w:rsid w:val="00336D67"/>
    <w:rsid w:val="00344BF4"/>
    <w:rsid w:val="0034726E"/>
    <w:rsid w:val="003519CF"/>
    <w:rsid w:val="00351A0A"/>
    <w:rsid w:val="00354962"/>
    <w:rsid w:val="00357F20"/>
    <w:rsid w:val="0037626F"/>
    <w:rsid w:val="00385952"/>
    <w:rsid w:val="00393872"/>
    <w:rsid w:val="003A0625"/>
    <w:rsid w:val="003A2D2F"/>
    <w:rsid w:val="003B00F1"/>
    <w:rsid w:val="003B292C"/>
    <w:rsid w:val="003D6E8D"/>
    <w:rsid w:val="003E4839"/>
    <w:rsid w:val="003F3652"/>
    <w:rsid w:val="00403537"/>
    <w:rsid w:val="00403D82"/>
    <w:rsid w:val="00403FD1"/>
    <w:rsid w:val="0042052F"/>
    <w:rsid w:val="00426DE6"/>
    <w:rsid w:val="00427C1F"/>
    <w:rsid w:val="0043556F"/>
    <w:rsid w:val="00442BC9"/>
    <w:rsid w:val="004534AF"/>
    <w:rsid w:val="004672A3"/>
    <w:rsid w:val="00474746"/>
    <w:rsid w:val="0048686C"/>
    <w:rsid w:val="00487915"/>
    <w:rsid w:val="004916C0"/>
    <w:rsid w:val="004A2A91"/>
    <w:rsid w:val="004B25E2"/>
    <w:rsid w:val="004B4C06"/>
    <w:rsid w:val="004C3E23"/>
    <w:rsid w:val="004C58A8"/>
    <w:rsid w:val="004D1AE7"/>
    <w:rsid w:val="004D5A51"/>
    <w:rsid w:val="004F1ED4"/>
    <w:rsid w:val="004F2BB5"/>
    <w:rsid w:val="004F2F4F"/>
    <w:rsid w:val="00504354"/>
    <w:rsid w:val="00514455"/>
    <w:rsid w:val="00514800"/>
    <w:rsid w:val="00526C08"/>
    <w:rsid w:val="00537765"/>
    <w:rsid w:val="005554BF"/>
    <w:rsid w:val="005604A6"/>
    <w:rsid w:val="005628EA"/>
    <w:rsid w:val="00565D56"/>
    <w:rsid w:val="00570323"/>
    <w:rsid w:val="00570F4B"/>
    <w:rsid w:val="0057502B"/>
    <w:rsid w:val="0058447B"/>
    <w:rsid w:val="005957E7"/>
    <w:rsid w:val="005B10D8"/>
    <w:rsid w:val="005C0277"/>
    <w:rsid w:val="005D7DC6"/>
    <w:rsid w:val="005E34AC"/>
    <w:rsid w:val="005E4C4A"/>
    <w:rsid w:val="005F6825"/>
    <w:rsid w:val="006113F9"/>
    <w:rsid w:val="00623F3B"/>
    <w:rsid w:val="00626C6A"/>
    <w:rsid w:val="006360F4"/>
    <w:rsid w:val="00640129"/>
    <w:rsid w:val="006458D8"/>
    <w:rsid w:val="00646E3D"/>
    <w:rsid w:val="00666A7F"/>
    <w:rsid w:val="00673269"/>
    <w:rsid w:val="006828E2"/>
    <w:rsid w:val="006834B9"/>
    <w:rsid w:val="006A164A"/>
    <w:rsid w:val="006A273B"/>
    <w:rsid w:val="006A618A"/>
    <w:rsid w:val="006B147C"/>
    <w:rsid w:val="006C2259"/>
    <w:rsid w:val="006C2997"/>
    <w:rsid w:val="006C44F4"/>
    <w:rsid w:val="006C4CBA"/>
    <w:rsid w:val="006D63F7"/>
    <w:rsid w:val="006E047B"/>
    <w:rsid w:val="006E11FC"/>
    <w:rsid w:val="006F3ED8"/>
    <w:rsid w:val="006F6135"/>
    <w:rsid w:val="00704800"/>
    <w:rsid w:val="0070543D"/>
    <w:rsid w:val="00712139"/>
    <w:rsid w:val="00724B39"/>
    <w:rsid w:val="00727E1C"/>
    <w:rsid w:val="007317EC"/>
    <w:rsid w:val="00737FD6"/>
    <w:rsid w:val="0074093A"/>
    <w:rsid w:val="00741817"/>
    <w:rsid w:val="00750180"/>
    <w:rsid w:val="00762641"/>
    <w:rsid w:val="007718D5"/>
    <w:rsid w:val="007720B4"/>
    <w:rsid w:val="0077460D"/>
    <w:rsid w:val="00780C18"/>
    <w:rsid w:val="00781105"/>
    <w:rsid w:val="00784350"/>
    <w:rsid w:val="007A2F35"/>
    <w:rsid w:val="007B0157"/>
    <w:rsid w:val="007B0646"/>
    <w:rsid w:val="007B3E9A"/>
    <w:rsid w:val="007B43F2"/>
    <w:rsid w:val="007F0D1C"/>
    <w:rsid w:val="007F0EB8"/>
    <w:rsid w:val="00802664"/>
    <w:rsid w:val="0082745F"/>
    <w:rsid w:val="00831057"/>
    <w:rsid w:val="00832A67"/>
    <w:rsid w:val="00855189"/>
    <w:rsid w:val="00866809"/>
    <w:rsid w:val="00872183"/>
    <w:rsid w:val="008772FA"/>
    <w:rsid w:val="00880CC7"/>
    <w:rsid w:val="00882C31"/>
    <w:rsid w:val="008916A7"/>
    <w:rsid w:val="0089385E"/>
    <w:rsid w:val="00893FB4"/>
    <w:rsid w:val="00896ECE"/>
    <w:rsid w:val="008A2A0E"/>
    <w:rsid w:val="008D127C"/>
    <w:rsid w:val="008D7644"/>
    <w:rsid w:val="008E1703"/>
    <w:rsid w:val="00902B29"/>
    <w:rsid w:val="009155A8"/>
    <w:rsid w:val="00916044"/>
    <w:rsid w:val="009275AF"/>
    <w:rsid w:val="00946255"/>
    <w:rsid w:val="009477FF"/>
    <w:rsid w:val="00950B99"/>
    <w:rsid w:val="009530A6"/>
    <w:rsid w:val="00953B05"/>
    <w:rsid w:val="00956BC7"/>
    <w:rsid w:val="0096379B"/>
    <w:rsid w:val="0098325E"/>
    <w:rsid w:val="009844EE"/>
    <w:rsid w:val="00992967"/>
    <w:rsid w:val="009935C3"/>
    <w:rsid w:val="009B6D06"/>
    <w:rsid w:val="009C2CC4"/>
    <w:rsid w:val="009F2955"/>
    <w:rsid w:val="009F7B20"/>
    <w:rsid w:val="00A057D0"/>
    <w:rsid w:val="00A31969"/>
    <w:rsid w:val="00A31A9C"/>
    <w:rsid w:val="00A35BD4"/>
    <w:rsid w:val="00A449EE"/>
    <w:rsid w:val="00A52115"/>
    <w:rsid w:val="00A56548"/>
    <w:rsid w:val="00A75CD6"/>
    <w:rsid w:val="00A8323B"/>
    <w:rsid w:val="00A96298"/>
    <w:rsid w:val="00AA1CC5"/>
    <w:rsid w:val="00AA6B4A"/>
    <w:rsid w:val="00AC00E5"/>
    <w:rsid w:val="00AC05EF"/>
    <w:rsid w:val="00AC065D"/>
    <w:rsid w:val="00AE4CDD"/>
    <w:rsid w:val="00B01ABF"/>
    <w:rsid w:val="00B0627E"/>
    <w:rsid w:val="00B40F22"/>
    <w:rsid w:val="00B427CF"/>
    <w:rsid w:val="00B46372"/>
    <w:rsid w:val="00B60C26"/>
    <w:rsid w:val="00B74A0B"/>
    <w:rsid w:val="00B91F9A"/>
    <w:rsid w:val="00BA4520"/>
    <w:rsid w:val="00BA55E9"/>
    <w:rsid w:val="00BB659E"/>
    <w:rsid w:val="00BD09C8"/>
    <w:rsid w:val="00BD3979"/>
    <w:rsid w:val="00BE3A89"/>
    <w:rsid w:val="00C00955"/>
    <w:rsid w:val="00C07CA9"/>
    <w:rsid w:val="00C1406D"/>
    <w:rsid w:val="00C15C25"/>
    <w:rsid w:val="00C26F4B"/>
    <w:rsid w:val="00C34496"/>
    <w:rsid w:val="00C35A46"/>
    <w:rsid w:val="00C40448"/>
    <w:rsid w:val="00C46370"/>
    <w:rsid w:val="00C52D36"/>
    <w:rsid w:val="00C54E69"/>
    <w:rsid w:val="00C602F0"/>
    <w:rsid w:val="00C665B8"/>
    <w:rsid w:val="00C8428D"/>
    <w:rsid w:val="00C90913"/>
    <w:rsid w:val="00C90C4A"/>
    <w:rsid w:val="00C957D0"/>
    <w:rsid w:val="00CA6B58"/>
    <w:rsid w:val="00CB5A33"/>
    <w:rsid w:val="00CB7C6B"/>
    <w:rsid w:val="00CC1A8E"/>
    <w:rsid w:val="00CD0D84"/>
    <w:rsid w:val="00CD4750"/>
    <w:rsid w:val="00CD5026"/>
    <w:rsid w:val="00CD6347"/>
    <w:rsid w:val="00CE1E7C"/>
    <w:rsid w:val="00CE252D"/>
    <w:rsid w:val="00CE2995"/>
    <w:rsid w:val="00CE3220"/>
    <w:rsid w:val="00CF4B4E"/>
    <w:rsid w:val="00D00004"/>
    <w:rsid w:val="00D038E3"/>
    <w:rsid w:val="00D054D0"/>
    <w:rsid w:val="00D06F45"/>
    <w:rsid w:val="00D227EB"/>
    <w:rsid w:val="00D22A6F"/>
    <w:rsid w:val="00D27730"/>
    <w:rsid w:val="00D338E4"/>
    <w:rsid w:val="00D33C85"/>
    <w:rsid w:val="00D44405"/>
    <w:rsid w:val="00D45CF7"/>
    <w:rsid w:val="00D61433"/>
    <w:rsid w:val="00D65407"/>
    <w:rsid w:val="00D71B36"/>
    <w:rsid w:val="00D80073"/>
    <w:rsid w:val="00D820AC"/>
    <w:rsid w:val="00D95B88"/>
    <w:rsid w:val="00D96E7E"/>
    <w:rsid w:val="00DB0D90"/>
    <w:rsid w:val="00DB5097"/>
    <w:rsid w:val="00DC29F3"/>
    <w:rsid w:val="00DD4705"/>
    <w:rsid w:val="00DD6D98"/>
    <w:rsid w:val="00DE0196"/>
    <w:rsid w:val="00DE1743"/>
    <w:rsid w:val="00DE7874"/>
    <w:rsid w:val="00DF390A"/>
    <w:rsid w:val="00E04C59"/>
    <w:rsid w:val="00E120F6"/>
    <w:rsid w:val="00E13911"/>
    <w:rsid w:val="00E17A83"/>
    <w:rsid w:val="00E23774"/>
    <w:rsid w:val="00E31267"/>
    <w:rsid w:val="00E3275D"/>
    <w:rsid w:val="00E34763"/>
    <w:rsid w:val="00E3528F"/>
    <w:rsid w:val="00E52F89"/>
    <w:rsid w:val="00E752DD"/>
    <w:rsid w:val="00E813C3"/>
    <w:rsid w:val="00E81B76"/>
    <w:rsid w:val="00E8467E"/>
    <w:rsid w:val="00E85F5F"/>
    <w:rsid w:val="00E917DE"/>
    <w:rsid w:val="00EB1D8F"/>
    <w:rsid w:val="00EB26AF"/>
    <w:rsid w:val="00EB4B19"/>
    <w:rsid w:val="00EB53C1"/>
    <w:rsid w:val="00EB6AEA"/>
    <w:rsid w:val="00EC2C4C"/>
    <w:rsid w:val="00ED709C"/>
    <w:rsid w:val="00EE3B5C"/>
    <w:rsid w:val="00EE54E0"/>
    <w:rsid w:val="00EE698C"/>
    <w:rsid w:val="00EF2E21"/>
    <w:rsid w:val="00F0158C"/>
    <w:rsid w:val="00F12231"/>
    <w:rsid w:val="00F12624"/>
    <w:rsid w:val="00F15621"/>
    <w:rsid w:val="00F24663"/>
    <w:rsid w:val="00F30970"/>
    <w:rsid w:val="00F50E8E"/>
    <w:rsid w:val="00F51442"/>
    <w:rsid w:val="00F76755"/>
    <w:rsid w:val="00F9401E"/>
    <w:rsid w:val="00F95261"/>
    <w:rsid w:val="00F95EA6"/>
    <w:rsid w:val="00FA1428"/>
    <w:rsid w:val="00FA1C72"/>
    <w:rsid w:val="00FA632B"/>
    <w:rsid w:val="00FC0EE4"/>
    <w:rsid w:val="00FF47F0"/>
    <w:rsid w:val="00FF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45492"/>
  <w15:docId w15:val="{49BF2EC6-AFE5-4066-9FF7-AF11B4E3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10cpi" w:hAnsi="Courier 10cpi"/>
    </w:rPr>
  </w:style>
  <w:style w:type="paragraph" w:styleId="Heading1">
    <w:name w:val="heading 1"/>
    <w:basedOn w:val="Normal"/>
    <w:next w:val="Normal"/>
    <w:qFormat/>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BodyText">
    <w:name w:val="Body Text"/>
    <w:basedOn w:val="Normal"/>
    <w:pPr>
      <w:jc w:val="center"/>
    </w:pPr>
    <w:rPr>
      <w:rFonts w:ascii="Times New Roman" w:hAnsi="Times New Roman"/>
      <w:szCs w:val="24"/>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lang w:val="x-none" w:eastAsia="x-none"/>
    </w:rPr>
  </w:style>
  <w:style w:type="paragraph" w:styleId="FootnoteText">
    <w:name w:val="footnote text"/>
    <w:basedOn w:val="Normal"/>
    <w:link w:val="FootnoteTextChar"/>
    <w:uiPriority w:val="99"/>
    <w:rPr>
      <w:lang w:val="x-none" w:eastAsia="x-none"/>
    </w:rPr>
  </w:style>
  <w:style w:type="character" w:styleId="Strong">
    <w:name w:val="Strong"/>
    <w:qFormat/>
    <w:rPr>
      <w:b/>
      <w:bCs/>
    </w:rPr>
  </w:style>
  <w:style w:type="paragraph" w:styleId="Title">
    <w:name w:val="Title"/>
    <w:basedOn w:val="Normal"/>
    <w:qFormat/>
    <w:pPr>
      <w:widowControl/>
      <w:autoSpaceDE/>
      <w:autoSpaceDN/>
      <w:adjustRightInd/>
      <w:jc w:val="center"/>
    </w:pPr>
    <w:rPr>
      <w:rFonts w:ascii="Times New Roman" w:hAnsi="Times New Roman"/>
      <w:b/>
      <w:bCs/>
      <w:sz w:val="32"/>
      <w:szCs w:val="24"/>
    </w:rPr>
  </w:style>
  <w:style w:type="paragraph" w:styleId="BodyText2">
    <w:name w:val="Body Text 2"/>
    <w:basedOn w:val="Normal"/>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rticleLevel1">
    <w:name w:val="Article Level (1)"/>
    <w:basedOn w:val="Normal"/>
    <w:pPr>
      <w:widowControl/>
      <w:autoSpaceDE/>
      <w:autoSpaceDN/>
      <w:adjustRightInd/>
      <w:spacing w:line="480" w:lineRule="auto"/>
    </w:pPr>
    <w:rPr>
      <w:rFonts w:ascii="Times New Roman" w:hAnsi="Times New Roman"/>
      <w:sz w:val="24"/>
    </w:rPr>
  </w:style>
  <w:style w:type="character" w:styleId="Emphasis">
    <w:name w:val="Emphasis"/>
    <w:qFormat/>
    <w:rsid w:val="00D227EB"/>
    <w:rPr>
      <w:i/>
      <w:iCs/>
    </w:rPr>
  </w:style>
  <w:style w:type="character" w:customStyle="1" w:styleId="FootnoteTextChar">
    <w:name w:val="Footnote Text Char"/>
    <w:link w:val="FootnoteText"/>
    <w:uiPriority w:val="99"/>
    <w:rsid w:val="00D227EB"/>
    <w:rPr>
      <w:rFonts w:ascii="Courier 10cpi" w:hAnsi="Courier 10cpi"/>
    </w:rPr>
  </w:style>
  <w:style w:type="character" w:styleId="Hyperlink">
    <w:name w:val="Hyperlink"/>
    <w:uiPriority w:val="99"/>
    <w:rsid w:val="0058447B"/>
    <w:rPr>
      <w:color w:val="0000FF"/>
      <w:u w:val="single"/>
    </w:rPr>
  </w:style>
  <w:style w:type="character" w:styleId="FollowedHyperlink">
    <w:name w:val="FollowedHyperlink"/>
    <w:rsid w:val="00DC29F3"/>
    <w:rPr>
      <w:color w:val="800080"/>
      <w:u w:val="single"/>
    </w:rPr>
  </w:style>
  <w:style w:type="paragraph" w:styleId="BalloonText">
    <w:name w:val="Balloon Text"/>
    <w:basedOn w:val="Normal"/>
    <w:link w:val="BalloonTextChar"/>
    <w:rsid w:val="00896ECE"/>
    <w:rPr>
      <w:rFonts w:ascii="Tahoma" w:hAnsi="Tahoma"/>
      <w:sz w:val="16"/>
      <w:szCs w:val="16"/>
      <w:lang w:val="x-none" w:eastAsia="x-none"/>
    </w:rPr>
  </w:style>
  <w:style w:type="character" w:customStyle="1" w:styleId="BalloonTextChar">
    <w:name w:val="Balloon Text Char"/>
    <w:link w:val="BalloonText"/>
    <w:rsid w:val="00896ECE"/>
    <w:rPr>
      <w:rFonts w:ascii="Tahoma" w:hAnsi="Tahoma" w:cs="Tahoma"/>
      <w:sz w:val="16"/>
      <w:szCs w:val="16"/>
    </w:rPr>
  </w:style>
  <w:style w:type="character" w:styleId="CommentReference">
    <w:name w:val="annotation reference"/>
    <w:uiPriority w:val="99"/>
    <w:rsid w:val="003519CF"/>
    <w:rPr>
      <w:sz w:val="16"/>
      <w:szCs w:val="16"/>
    </w:rPr>
  </w:style>
  <w:style w:type="paragraph" w:styleId="CommentText">
    <w:name w:val="annotation text"/>
    <w:basedOn w:val="Normal"/>
    <w:link w:val="CommentTextChar"/>
    <w:uiPriority w:val="99"/>
    <w:rsid w:val="003519CF"/>
    <w:rPr>
      <w:lang w:val="x-none" w:eastAsia="x-none"/>
    </w:rPr>
  </w:style>
  <w:style w:type="character" w:customStyle="1" w:styleId="CommentTextChar">
    <w:name w:val="Comment Text Char"/>
    <w:link w:val="CommentText"/>
    <w:uiPriority w:val="99"/>
    <w:rsid w:val="003519CF"/>
    <w:rPr>
      <w:rFonts w:ascii="Courier 10cpi" w:hAnsi="Courier 10cpi"/>
    </w:rPr>
  </w:style>
  <w:style w:type="paragraph" w:styleId="CommentSubject">
    <w:name w:val="annotation subject"/>
    <w:basedOn w:val="CommentText"/>
    <w:next w:val="CommentText"/>
    <w:link w:val="CommentSubjectChar"/>
    <w:rsid w:val="003519CF"/>
    <w:rPr>
      <w:b/>
      <w:bCs/>
    </w:rPr>
  </w:style>
  <w:style w:type="character" w:customStyle="1" w:styleId="CommentSubjectChar">
    <w:name w:val="Comment Subject Char"/>
    <w:link w:val="CommentSubject"/>
    <w:rsid w:val="003519CF"/>
    <w:rPr>
      <w:rFonts w:ascii="Courier 10cpi" w:hAnsi="Courier 10cpi"/>
      <w:b/>
      <w:bCs/>
    </w:rPr>
  </w:style>
  <w:style w:type="character" w:customStyle="1" w:styleId="HTMLPreformattedChar">
    <w:name w:val="HTML Preformatted Char"/>
    <w:link w:val="HTMLPreformatted"/>
    <w:uiPriority w:val="99"/>
    <w:rsid w:val="00AA1CC5"/>
    <w:rPr>
      <w:rFonts w:ascii="Courier New" w:eastAsia="Courier New" w:hAnsi="Courier New" w:cs="Courier New"/>
    </w:rPr>
  </w:style>
  <w:style w:type="paragraph" w:styleId="BodyTextIndent">
    <w:name w:val="Body Text Indent"/>
    <w:basedOn w:val="Normal"/>
    <w:link w:val="BodyTextIndentChar"/>
    <w:uiPriority w:val="99"/>
    <w:unhideWhenUsed/>
    <w:rsid w:val="00C35A46"/>
    <w:pPr>
      <w:widowControl/>
      <w:autoSpaceDE/>
      <w:autoSpaceDN/>
      <w:adjustRightInd/>
      <w:spacing w:after="120"/>
      <w:ind w:left="360"/>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C35A46"/>
    <w:rPr>
      <w:sz w:val="24"/>
      <w:szCs w:val="24"/>
      <w:lang w:val="x-none" w:eastAsia="x-none"/>
    </w:rPr>
  </w:style>
  <w:style w:type="paragraph" w:styleId="PlainText">
    <w:name w:val="Plain Text"/>
    <w:basedOn w:val="Normal"/>
    <w:link w:val="PlainTextChar"/>
    <w:rsid w:val="005628EA"/>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5628EA"/>
    <w:rPr>
      <w:rFonts w:ascii="Courier New" w:hAnsi="Courier New" w:cs="Courier New"/>
    </w:rPr>
  </w:style>
  <w:style w:type="paragraph" w:styleId="ListParagraph">
    <w:name w:val="List Paragraph"/>
    <w:basedOn w:val="Normal"/>
    <w:uiPriority w:val="34"/>
    <w:qFormat/>
    <w:rsid w:val="00C15C25"/>
    <w:pPr>
      <w:widowControl/>
      <w:autoSpaceDE/>
      <w:autoSpaceDN/>
      <w:adjustRightInd/>
      <w:spacing w:after="160" w:line="259" w:lineRule="auto"/>
      <w:ind w:left="720"/>
      <w:contextualSpacing/>
    </w:pPr>
    <w:rPr>
      <w:rFonts w:ascii="Calibri" w:eastAsia="Calibri" w:hAnsi="Calibri"/>
      <w:sz w:val="22"/>
      <w:szCs w:val="22"/>
    </w:rPr>
  </w:style>
  <w:style w:type="paragraph" w:customStyle="1" w:styleId="psection-2">
    <w:name w:val="psection-2"/>
    <w:basedOn w:val="Normal"/>
    <w:rsid w:val="00570F4B"/>
    <w:pPr>
      <w:widowControl/>
      <w:autoSpaceDE/>
      <w:autoSpaceDN/>
      <w:adjustRightInd/>
      <w:spacing w:after="150"/>
      <w:ind w:left="240"/>
    </w:pPr>
    <w:rPr>
      <w:rFonts w:ascii="Times New Roman" w:hAnsi="Times New Roman"/>
      <w:sz w:val="24"/>
      <w:szCs w:val="24"/>
    </w:rPr>
  </w:style>
  <w:style w:type="paragraph" w:customStyle="1" w:styleId="psection-3">
    <w:name w:val="psection-3"/>
    <w:basedOn w:val="Normal"/>
    <w:rsid w:val="00570F4B"/>
    <w:pPr>
      <w:widowControl/>
      <w:autoSpaceDE/>
      <w:autoSpaceDN/>
      <w:adjustRightInd/>
      <w:spacing w:after="150"/>
      <w:ind w:left="480"/>
    </w:pPr>
    <w:rPr>
      <w:rFonts w:ascii="Times New Roman" w:hAnsi="Times New Roman"/>
      <w:sz w:val="24"/>
      <w:szCs w:val="24"/>
    </w:rPr>
  </w:style>
  <w:style w:type="character" w:customStyle="1" w:styleId="enumxml1">
    <w:name w:val="enumxml1"/>
    <w:basedOn w:val="DefaultParagraphFont"/>
    <w:rsid w:val="00570F4B"/>
    <w:rPr>
      <w:b/>
      <w:bCs/>
    </w:rPr>
  </w:style>
  <w:style w:type="character" w:customStyle="1" w:styleId="enumxml2">
    <w:name w:val="enumxml2"/>
    <w:basedOn w:val="DefaultParagraphFont"/>
    <w:rsid w:val="00570F4B"/>
    <w:rPr>
      <w:b/>
      <w:bCs/>
    </w:rPr>
  </w:style>
  <w:style w:type="paragraph" w:styleId="NormalWeb">
    <w:name w:val="Normal (Web)"/>
    <w:basedOn w:val="Normal"/>
    <w:uiPriority w:val="99"/>
    <w:semiHidden/>
    <w:unhideWhenUsed/>
    <w:rsid w:val="005B10D8"/>
    <w:pPr>
      <w:widowControl/>
      <w:autoSpaceDE/>
      <w:autoSpaceDN/>
      <w:adjustRightInd/>
      <w:spacing w:before="100" w:beforeAutospacing="1" w:after="100" w:afterAutospacing="1"/>
      <w:ind w:firstLine="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091">
      <w:bodyDiv w:val="1"/>
      <w:marLeft w:val="0"/>
      <w:marRight w:val="0"/>
      <w:marTop w:val="30"/>
      <w:marBottom w:val="750"/>
      <w:divBdr>
        <w:top w:val="none" w:sz="0" w:space="0" w:color="auto"/>
        <w:left w:val="none" w:sz="0" w:space="0" w:color="auto"/>
        <w:bottom w:val="none" w:sz="0" w:space="0" w:color="auto"/>
        <w:right w:val="none" w:sz="0" w:space="0" w:color="auto"/>
      </w:divBdr>
      <w:divsChild>
        <w:div w:id="2041778844">
          <w:marLeft w:val="0"/>
          <w:marRight w:val="0"/>
          <w:marTop w:val="0"/>
          <w:marBottom w:val="0"/>
          <w:divBdr>
            <w:top w:val="single" w:sz="36" w:space="0" w:color="FFFFFF"/>
            <w:left w:val="none" w:sz="0" w:space="0" w:color="auto"/>
            <w:bottom w:val="none" w:sz="0" w:space="0" w:color="auto"/>
            <w:right w:val="none" w:sz="0" w:space="0" w:color="auto"/>
          </w:divBdr>
          <w:divsChild>
            <w:div w:id="94523193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349063375">
      <w:bodyDiv w:val="1"/>
      <w:marLeft w:val="0"/>
      <w:marRight w:val="0"/>
      <w:marTop w:val="0"/>
      <w:marBottom w:val="0"/>
      <w:divBdr>
        <w:top w:val="none" w:sz="0" w:space="0" w:color="auto"/>
        <w:left w:val="none" w:sz="0" w:space="0" w:color="auto"/>
        <w:bottom w:val="none" w:sz="0" w:space="0" w:color="auto"/>
        <w:right w:val="none" w:sz="0" w:space="0" w:color="auto"/>
      </w:divBdr>
    </w:div>
    <w:div w:id="525563543">
      <w:bodyDiv w:val="1"/>
      <w:marLeft w:val="0"/>
      <w:marRight w:val="0"/>
      <w:marTop w:val="0"/>
      <w:marBottom w:val="0"/>
      <w:divBdr>
        <w:top w:val="none" w:sz="0" w:space="0" w:color="auto"/>
        <w:left w:val="none" w:sz="0" w:space="0" w:color="auto"/>
        <w:bottom w:val="none" w:sz="0" w:space="0" w:color="auto"/>
        <w:right w:val="none" w:sz="0" w:space="0" w:color="auto"/>
      </w:divBdr>
    </w:div>
    <w:div w:id="905340768">
      <w:bodyDiv w:val="1"/>
      <w:marLeft w:val="0"/>
      <w:marRight w:val="0"/>
      <w:marTop w:val="0"/>
      <w:marBottom w:val="0"/>
      <w:divBdr>
        <w:top w:val="none" w:sz="0" w:space="0" w:color="auto"/>
        <w:left w:val="none" w:sz="0" w:space="0" w:color="auto"/>
        <w:bottom w:val="none" w:sz="0" w:space="0" w:color="auto"/>
        <w:right w:val="none" w:sz="0" w:space="0" w:color="auto"/>
      </w:divBdr>
      <w:divsChild>
        <w:div w:id="727144916">
          <w:marLeft w:val="0"/>
          <w:marRight w:val="0"/>
          <w:marTop w:val="0"/>
          <w:marBottom w:val="0"/>
          <w:divBdr>
            <w:top w:val="none" w:sz="0" w:space="0" w:color="auto"/>
            <w:left w:val="none" w:sz="0" w:space="0" w:color="auto"/>
            <w:bottom w:val="none" w:sz="0" w:space="0" w:color="auto"/>
            <w:right w:val="none" w:sz="0" w:space="0" w:color="auto"/>
          </w:divBdr>
          <w:divsChild>
            <w:div w:id="106780512">
              <w:marLeft w:val="0"/>
              <w:marRight w:val="0"/>
              <w:marTop w:val="0"/>
              <w:marBottom w:val="0"/>
              <w:divBdr>
                <w:top w:val="none" w:sz="0" w:space="0" w:color="auto"/>
                <w:left w:val="none" w:sz="0" w:space="0" w:color="auto"/>
                <w:bottom w:val="none" w:sz="0" w:space="0" w:color="auto"/>
                <w:right w:val="none" w:sz="0" w:space="0" w:color="auto"/>
              </w:divBdr>
              <w:divsChild>
                <w:div w:id="1941452120">
                  <w:marLeft w:val="0"/>
                  <w:marRight w:val="0"/>
                  <w:marTop w:val="0"/>
                  <w:marBottom w:val="0"/>
                  <w:divBdr>
                    <w:top w:val="none" w:sz="0" w:space="0" w:color="auto"/>
                    <w:left w:val="none" w:sz="0" w:space="0" w:color="auto"/>
                    <w:bottom w:val="none" w:sz="0" w:space="0" w:color="auto"/>
                    <w:right w:val="none" w:sz="0" w:space="0" w:color="auto"/>
                  </w:divBdr>
                  <w:divsChild>
                    <w:div w:id="1095631768">
                      <w:marLeft w:val="0"/>
                      <w:marRight w:val="0"/>
                      <w:marTop w:val="0"/>
                      <w:marBottom w:val="0"/>
                      <w:divBdr>
                        <w:top w:val="none" w:sz="0" w:space="0" w:color="auto"/>
                        <w:left w:val="none" w:sz="0" w:space="0" w:color="auto"/>
                        <w:bottom w:val="none" w:sz="0" w:space="0" w:color="auto"/>
                        <w:right w:val="none" w:sz="0" w:space="0" w:color="auto"/>
                      </w:divBdr>
                      <w:divsChild>
                        <w:div w:id="598755375">
                          <w:marLeft w:val="-225"/>
                          <w:marRight w:val="-225"/>
                          <w:marTop w:val="0"/>
                          <w:marBottom w:val="300"/>
                          <w:divBdr>
                            <w:top w:val="none" w:sz="0" w:space="0" w:color="auto"/>
                            <w:left w:val="none" w:sz="0" w:space="0" w:color="auto"/>
                            <w:bottom w:val="none" w:sz="0" w:space="0" w:color="auto"/>
                            <w:right w:val="none" w:sz="0" w:space="0" w:color="auto"/>
                          </w:divBdr>
                          <w:divsChild>
                            <w:div w:id="221600235">
                              <w:marLeft w:val="0"/>
                              <w:marRight w:val="0"/>
                              <w:marTop w:val="0"/>
                              <w:marBottom w:val="0"/>
                              <w:divBdr>
                                <w:top w:val="none" w:sz="0" w:space="0" w:color="auto"/>
                                <w:left w:val="none" w:sz="0" w:space="0" w:color="auto"/>
                                <w:bottom w:val="none" w:sz="0" w:space="0" w:color="auto"/>
                                <w:right w:val="none" w:sz="0" w:space="0" w:color="auto"/>
                              </w:divBdr>
                              <w:divsChild>
                                <w:div w:id="2114935501">
                                  <w:marLeft w:val="-225"/>
                                  <w:marRight w:val="-225"/>
                                  <w:marTop w:val="0"/>
                                  <w:marBottom w:val="300"/>
                                  <w:divBdr>
                                    <w:top w:val="none" w:sz="0" w:space="0" w:color="auto"/>
                                    <w:left w:val="none" w:sz="0" w:space="0" w:color="auto"/>
                                    <w:bottom w:val="none" w:sz="0" w:space="0" w:color="auto"/>
                                    <w:right w:val="none" w:sz="0" w:space="0" w:color="auto"/>
                                  </w:divBdr>
                                  <w:divsChild>
                                    <w:div w:id="1639921701">
                                      <w:marLeft w:val="0"/>
                                      <w:marRight w:val="0"/>
                                      <w:marTop w:val="0"/>
                                      <w:marBottom w:val="0"/>
                                      <w:divBdr>
                                        <w:top w:val="none" w:sz="0" w:space="0" w:color="auto"/>
                                        <w:left w:val="none" w:sz="0" w:space="0" w:color="auto"/>
                                        <w:bottom w:val="none" w:sz="0" w:space="0" w:color="auto"/>
                                        <w:right w:val="none" w:sz="0" w:space="0" w:color="auto"/>
                                      </w:divBdr>
                                      <w:divsChild>
                                        <w:div w:id="1862233832">
                                          <w:marLeft w:val="0"/>
                                          <w:marRight w:val="0"/>
                                          <w:marTop w:val="0"/>
                                          <w:marBottom w:val="0"/>
                                          <w:divBdr>
                                            <w:top w:val="none" w:sz="0" w:space="0" w:color="auto"/>
                                            <w:left w:val="none" w:sz="0" w:space="0" w:color="auto"/>
                                            <w:bottom w:val="none" w:sz="0" w:space="0" w:color="auto"/>
                                            <w:right w:val="none" w:sz="0" w:space="0" w:color="auto"/>
                                          </w:divBdr>
                                          <w:divsChild>
                                            <w:div w:id="1630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12505">
      <w:bodyDiv w:val="1"/>
      <w:marLeft w:val="0"/>
      <w:marRight w:val="0"/>
      <w:marTop w:val="0"/>
      <w:marBottom w:val="0"/>
      <w:divBdr>
        <w:top w:val="none" w:sz="0" w:space="0" w:color="auto"/>
        <w:left w:val="none" w:sz="0" w:space="0" w:color="auto"/>
        <w:bottom w:val="none" w:sz="0" w:space="0" w:color="auto"/>
        <w:right w:val="none" w:sz="0" w:space="0" w:color="auto"/>
      </w:divBdr>
    </w:div>
    <w:div w:id="2000576851">
      <w:bodyDiv w:val="1"/>
      <w:marLeft w:val="0"/>
      <w:marRight w:val="0"/>
      <w:marTop w:val="0"/>
      <w:marBottom w:val="0"/>
      <w:divBdr>
        <w:top w:val="none" w:sz="0" w:space="0" w:color="auto"/>
        <w:left w:val="none" w:sz="0" w:space="0" w:color="auto"/>
        <w:bottom w:val="none" w:sz="0" w:space="0" w:color="auto"/>
        <w:right w:val="none" w:sz="0" w:space="0" w:color="auto"/>
      </w:divBdr>
    </w:div>
    <w:div w:id="2066877042">
      <w:bodyDiv w:val="1"/>
      <w:marLeft w:val="0"/>
      <w:marRight w:val="0"/>
      <w:marTop w:val="0"/>
      <w:marBottom w:val="0"/>
      <w:divBdr>
        <w:top w:val="none" w:sz="0" w:space="0" w:color="auto"/>
        <w:left w:val="none" w:sz="0" w:space="0" w:color="auto"/>
        <w:bottom w:val="none" w:sz="0" w:space="0" w:color="auto"/>
        <w:right w:val="none" w:sz="0" w:space="0" w:color="auto"/>
      </w:divBdr>
      <w:divsChild>
        <w:div w:id="1017345949">
          <w:marLeft w:val="0"/>
          <w:marRight w:val="0"/>
          <w:marTop w:val="0"/>
          <w:marBottom w:val="0"/>
          <w:divBdr>
            <w:top w:val="none" w:sz="0" w:space="0" w:color="auto"/>
            <w:left w:val="none" w:sz="0" w:space="0" w:color="auto"/>
            <w:bottom w:val="none" w:sz="0" w:space="0" w:color="auto"/>
            <w:right w:val="none" w:sz="0" w:space="0" w:color="auto"/>
          </w:divBdr>
          <w:divsChild>
            <w:div w:id="403526386">
              <w:marLeft w:val="0"/>
              <w:marRight w:val="0"/>
              <w:marTop w:val="0"/>
              <w:marBottom w:val="0"/>
              <w:divBdr>
                <w:top w:val="none" w:sz="0" w:space="0" w:color="auto"/>
                <w:left w:val="none" w:sz="0" w:space="0" w:color="auto"/>
                <w:bottom w:val="none" w:sz="0" w:space="0" w:color="auto"/>
                <w:right w:val="none" w:sz="0" w:space="0" w:color="auto"/>
              </w:divBdr>
              <w:divsChild>
                <w:div w:id="9916219">
                  <w:marLeft w:val="0"/>
                  <w:marRight w:val="0"/>
                  <w:marTop w:val="0"/>
                  <w:marBottom w:val="0"/>
                  <w:divBdr>
                    <w:top w:val="none" w:sz="0" w:space="0" w:color="auto"/>
                    <w:left w:val="none" w:sz="0" w:space="0" w:color="auto"/>
                    <w:bottom w:val="none" w:sz="0" w:space="0" w:color="auto"/>
                    <w:right w:val="none" w:sz="0" w:space="0" w:color="auto"/>
                  </w:divBdr>
                  <w:divsChild>
                    <w:div w:id="1878541410">
                      <w:marLeft w:val="-225"/>
                      <w:marRight w:val="-225"/>
                      <w:marTop w:val="0"/>
                      <w:marBottom w:val="0"/>
                      <w:divBdr>
                        <w:top w:val="none" w:sz="0" w:space="0" w:color="auto"/>
                        <w:left w:val="none" w:sz="0" w:space="0" w:color="auto"/>
                        <w:bottom w:val="none" w:sz="0" w:space="0" w:color="auto"/>
                        <w:right w:val="none" w:sz="0" w:space="0" w:color="auto"/>
                      </w:divBdr>
                      <w:divsChild>
                        <w:div w:id="739712098">
                          <w:marLeft w:val="0"/>
                          <w:marRight w:val="0"/>
                          <w:marTop w:val="0"/>
                          <w:marBottom w:val="0"/>
                          <w:divBdr>
                            <w:top w:val="single" w:sz="6" w:space="8" w:color="EEEEEE"/>
                            <w:left w:val="single" w:sz="6" w:space="8" w:color="EEEEEE"/>
                            <w:bottom w:val="single" w:sz="6" w:space="8" w:color="EEEEEE"/>
                            <w:right w:val="single" w:sz="6" w:space="8" w:color="EEEEEE"/>
                          </w:divBdr>
                          <w:divsChild>
                            <w:div w:id="2103530143">
                              <w:marLeft w:val="0"/>
                              <w:marRight w:val="0"/>
                              <w:marTop w:val="0"/>
                              <w:marBottom w:val="0"/>
                              <w:divBdr>
                                <w:top w:val="none" w:sz="0" w:space="0" w:color="auto"/>
                                <w:left w:val="none" w:sz="0" w:space="0" w:color="auto"/>
                                <w:bottom w:val="none" w:sz="0" w:space="0" w:color="auto"/>
                                <w:right w:val="none" w:sz="0" w:space="0" w:color="auto"/>
                              </w:divBdr>
                              <w:divsChild>
                                <w:div w:id="856650186">
                                  <w:marLeft w:val="0"/>
                                  <w:marRight w:val="0"/>
                                  <w:marTop w:val="0"/>
                                  <w:marBottom w:val="0"/>
                                  <w:divBdr>
                                    <w:top w:val="none" w:sz="0" w:space="0" w:color="auto"/>
                                    <w:left w:val="none" w:sz="0" w:space="0" w:color="auto"/>
                                    <w:bottom w:val="none" w:sz="0" w:space="0" w:color="auto"/>
                                    <w:right w:val="none" w:sz="0" w:space="0" w:color="auto"/>
                                  </w:divBdr>
                                  <w:divsChild>
                                    <w:div w:id="12389802">
                                      <w:marLeft w:val="0"/>
                                      <w:marRight w:val="0"/>
                                      <w:marTop w:val="0"/>
                                      <w:marBottom w:val="0"/>
                                      <w:divBdr>
                                        <w:top w:val="none" w:sz="0" w:space="0" w:color="auto"/>
                                        <w:left w:val="none" w:sz="0" w:space="0" w:color="auto"/>
                                        <w:bottom w:val="none" w:sz="0" w:space="0" w:color="auto"/>
                                        <w:right w:val="none" w:sz="0" w:space="0" w:color="auto"/>
                                      </w:divBdr>
                                      <w:divsChild>
                                        <w:div w:id="71974636">
                                          <w:marLeft w:val="3"/>
                                          <w:marRight w:val="7"/>
                                          <w:marTop w:val="240"/>
                                          <w:marBottom w:val="60"/>
                                          <w:divBdr>
                                            <w:top w:val="none" w:sz="0" w:space="0" w:color="auto"/>
                                            <w:left w:val="none" w:sz="0" w:space="0" w:color="auto"/>
                                            <w:bottom w:val="none" w:sz="0" w:space="0" w:color="auto"/>
                                            <w:right w:val="none" w:sz="0" w:space="0" w:color="auto"/>
                                          </w:divBdr>
                                          <w:divsChild>
                                            <w:div w:id="15774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aefiling.fincen.treas.gov/main.html"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FR-2020-05-26/pdf/2020-11247.pdf" TargetMode="External"/><Relationship Id="rId2" Type="http://schemas.openxmlformats.org/officeDocument/2006/relationships/hyperlink" Target="https://www.govinfo.gov/content/pkg/FR-2020-05-26/pdf/2020-11247.pdf" TargetMode="External"/><Relationship Id="rId1" Type="http://schemas.openxmlformats.org/officeDocument/2006/relationships/hyperlink" Target="https://www.federalregister.gov/documents/2014/04/14/2014-08254/privacy-act-of-1974-as-amended-system-of-records-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34E9-283F-4955-B419-1B14A83B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1999</Words>
  <Characters>11652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#1506-0065 supporting statement</vt:lpstr>
    </vt:vector>
  </TitlesOfParts>
  <Company>U.S. Department of the Treasury</Company>
  <LinksUpToDate>false</LinksUpToDate>
  <CharactersWithSpaces>13624</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#1506-0065 supporting statement</dc:title>
  <dc:creator>Financial Crimes Enforcement Network (FinCEN)</dc:creator>
  <cp:lastModifiedBy>StephR</cp:lastModifiedBy>
  <cp:revision>2</cp:revision>
  <cp:lastPrinted>2013-01-10T13:07:00Z</cp:lastPrinted>
  <dcterms:created xsi:type="dcterms:W3CDTF">2020-07-29T17:04:00Z</dcterms:created>
  <dcterms:modified xsi:type="dcterms:W3CDTF">2020-07-29T17:04:00Z</dcterms:modified>
</cp:coreProperties>
</file>