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74A2" w:rsidR="004232D8" w:rsidP="00525B67" w:rsidRDefault="00525B67" w14:paraId="09AF283E" w14:textId="77777777">
      <w:pPr>
        <w:jc w:val="center"/>
        <w:rPr>
          <w:b/>
        </w:rPr>
      </w:pPr>
      <w:r w:rsidRPr="006174A2">
        <w:rPr>
          <w:b/>
        </w:rPr>
        <w:t>Supporting Statement</w:t>
      </w:r>
    </w:p>
    <w:p w:rsidR="009D657B" w:rsidP="00525B67" w:rsidRDefault="009D657B" w14:paraId="1FA782C8" w14:textId="77777777">
      <w:pPr>
        <w:jc w:val="center"/>
        <w:rPr>
          <w:rFonts w:cs="Arial"/>
        </w:rPr>
      </w:pPr>
      <w:r>
        <w:rPr>
          <w:rFonts w:cs="Arial"/>
        </w:rPr>
        <w:t>Internal Revenue Service</w:t>
      </w:r>
    </w:p>
    <w:p w:rsidRPr="001D1ABC" w:rsidR="001D1ABC" w:rsidP="00525B67" w:rsidRDefault="001D1ABC" w14:paraId="7850E53B" w14:textId="77777777">
      <w:pPr>
        <w:jc w:val="center"/>
        <w:rPr>
          <w:rFonts w:cs="Arial"/>
        </w:rPr>
      </w:pPr>
      <w:r w:rsidRPr="001D1ABC">
        <w:rPr>
          <w:rFonts w:cs="Arial"/>
        </w:rPr>
        <w:t>Late Filing of Certification or Notices</w:t>
      </w:r>
    </w:p>
    <w:p w:rsidRPr="004B5274" w:rsidR="007D638B" w:rsidP="00525B67" w:rsidRDefault="007D638B" w14:paraId="5276F993" w14:textId="77777777">
      <w:pPr>
        <w:jc w:val="center"/>
        <w:rPr>
          <w:b/>
        </w:rPr>
      </w:pPr>
      <w:r w:rsidRPr="001D1ABC">
        <w:rPr>
          <w:rFonts w:cs="Arial"/>
        </w:rPr>
        <w:t>OMB #</w:t>
      </w:r>
      <w:r w:rsidRPr="007D638B">
        <w:rPr>
          <w:rFonts w:cs="Arial"/>
          <w:b/>
        </w:rPr>
        <w:t xml:space="preserve"> 1545-2098</w:t>
      </w:r>
    </w:p>
    <w:p w:rsidR="00525B67" w:rsidP="00525B67" w:rsidRDefault="00525B67" w14:paraId="39516108" w14:textId="77777777">
      <w:pPr>
        <w:jc w:val="center"/>
      </w:pPr>
    </w:p>
    <w:p w:rsidRPr="001D1ABC" w:rsidR="00525B67" w:rsidP="00C16287" w:rsidRDefault="00C16287" w14:paraId="02044794" w14:textId="77777777">
      <w:pPr>
        <w:jc w:val="both"/>
        <w:rPr>
          <w:b/>
        </w:rPr>
      </w:pPr>
      <w:r w:rsidRPr="001D1ABC">
        <w:rPr>
          <w:b/>
        </w:rPr>
        <w:t>1.</w:t>
      </w:r>
      <w:r w:rsidRPr="001D1ABC">
        <w:rPr>
          <w:b/>
        </w:rPr>
        <w:tab/>
      </w:r>
      <w:r w:rsidRPr="001D1ABC">
        <w:rPr>
          <w:b/>
          <w:u w:val="single"/>
        </w:rPr>
        <w:t>Circumstances Necessitating Collection of Information</w:t>
      </w:r>
    </w:p>
    <w:p w:rsidR="00525B67" w:rsidRDefault="00525B67" w14:paraId="793A99CE" w14:textId="77777777"/>
    <w:p w:rsidR="00525B67" w:rsidP="001D1ABC" w:rsidRDefault="00C16287" w14:paraId="582B7803" w14:textId="77777777">
      <w:pPr>
        <w:ind w:left="720"/>
      </w:pPr>
      <w:r>
        <w:t xml:space="preserve">As a means of assuring payment of taxes under section 897, section 1445(a) requires the transferee of a </w:t>
      </w:r>
      <w:smartTag w:uri="urn:schemas-microsoft-com:office:smarttags" w:element="country-region">
        <w:r>
          <w:t>U.S.</w:t>
        </w:r>
      </w:smartTag>
      <w:r>
        <w:t xml:space="preserve"> real property interest to withhold 10 percent of the amount realized by the foreign person on the disposition of the </w:t>
      </w:r>
      <w:smartTag w:uri="urn:schemas-microsoft-com:office:smarttags" w:element="country-region">
        <w:smartTag w:uri="urn:schemas-microsoft-com:office:smarttags" w:element="place">
          <w:r>
            <w:t>U.S.</w:t>
          </w:r>
        </w:smartTag>
      </w:smartTag>
      <w:r>
        <w:t xml:space="preserve"> real property interest.  Other provisions of section 1445 require withholding on certain distributions by certain entities.</w:t>
      </w:r>
    </w:p>
    <w:p w:rsidR="007F30E0" w:rsidP="001D1ABC" w:rsidRDefault="007F30E0" w14:paraId="16A7E588" w14:textId="77777777">
      <w:pPr>
        <w:ind w:left="720"/>
      </w:pPr>
    </w:p>
    <w:p w:rsidR="007F30E0" w:rsidP="001D1ABC" w:rsidRDefault="007F30E0" w14:paraId="421D4F19" w14:textId="77777777">
      <w:pPr>
        <w:ind w:left="720"/>
      </w:pPr>
      <w:r>
        <w:t xml:space="preserve">Exceptions exist to withholding.  For instance, withholding is generally not required if, </w:t>
      </w:r>
      <w:r w:rsidR="004B5274">
        <w:t xml:space="preserve">due to </w:t>
      </w:r>
      <w:r>
        <w:t>the operation of a nonrecognition provision of the Internal Revenue Code, the transferor is not require</w:t>
      </w:r>
      <w:r w:rsidR="00E43F6C">
        <w:t>d</w:t>
      </w:r>
      <w:r>
        <w:t xml:space="preserve"> to recognize gain or loss with respect to the transfer.  An exception to withholding also exists if a foreign person transfers an interest in a domestic corporation which is not a </w:t>
      </w:r>
      <w:smartTag w:uri="urn:schemas-microsoft-com:office:smarttags" w:element="country-region">
        <w:smartTag w:uri="urn:schemas-microsoft-com:office:smarttags" w:element="place">
          <w:r>
            <w:t>U.S.</w:t>
          </w:r>
        </w:smartTag>
      </w:smartTag>
      <w:r>
        <w:t xml:space="preserve"> real property interest.  In order to qualify for t</w:t>
      </w:r>
      <w:r w:rsidR="004E1BB8">
        <w:t>hese exceptions</w:t>
      </w:r>
      <w:r>
        <w:t xml:space="preserve">, </w:t>
      </w:r>
      <w:r w:rsidR="007E25D7">
        <w:t xml:space="preserve">parties to the transaction </w:t>
      </w:r>
      <w:r>
        <w:t>must provide statements or notices to th</w:t>
      </w:r>
      <w:r w:rsidR="008172A2">
        <w:t xml:space="preserve">e relevant person or the </w:t>
      </w:r>
      <w:r>
        <w:t xml:space="preserve">IRS within a certain time frame.  </w:t>
      </w:r>
    </w:p>
    <w:p w:rsidR="007F30E0" w:rsidP="001D1ABC" w:rsidRDefault="007F30E0" w14:paraId="797050DD" w14:textId="77777777">
      <w:pPr>
        <w:ind w:left="720"/>
      </w:pPr>
    </w:p>
    <w:p w:rsidR="007F30E0" w:rsidP="001D1ABC" w:rsidRDefault="007F30E0" w14:paraId="64DB25DE" w14:textId="77777777">
      <w:pPr>
        <w:ind w:left="720"/>
      </w:pPr>
      <w:r>
        <w:t>When these persons do not submit the statements</w:t>
      </w:r>
      <w:r w:rsidR="004B5274">
        <w:t>/</w:t>
      </w:r>
      <w:r>
        <w:t>notices in a timely manner, they may request reli</w:t>
      </w:r>
      <w:r w:rsidR="006174A2">
        <w:t xml:space="preserve">ef under </w:t>
      </w:r>
      <w:r w:rsidR="001D1ABC">
        <w:t xml:space="preserve">regulations </w:t>
      </w:r>
      <w:r w:rsidR="006174A2">
        <w:t xml:space="preserve">section 301.9100.  This </w:t>
      </w:r>
      <w:r>
        <w:t>Revenue Procedure</w:t>
      </w:r>
      <w:r w:rsidR="00E43F6C">
        <w:t xml:space="preserve"> 2008-27</w:t>
      </w:r>
      <w:r>
        <w:t xml:space="preserve"> provides an alternative, simplified method of requesting relief for certain untimely filings under section 897 and 1445.  </w:t>
      </w:r>
      <w:r w:rsidR="006174A2">
        <w:t xml:space="preserve">Under the Revenue Procedure, taxpayers may send the </w:t>
      </w:r>
      <w:r w:rsidR="004B2E1B">
        <w:t>statements</w:t>
      </w:r>
      <w:r w:rsidR="006174A2">
        <w:t xml:space="preserve"> and notices together with a statement explaining why the taxpayer’s failure to timely file the statement or notice was due to reasonable cause.</w:t>
      </w:r>
    </w:p>
    <w:p w:rsidR="006174A2" w:rsidRDefault="006174A2" w14:paraId="4648B1F4" w14:textId="77777777"/>
    <w:p w:rsidRPr="001D1ABC" w:rsidR="006174A2" w:rsidRDefault="006174A2" w14:paraId="6DDFC497" w14:textId="77777777">
      <w:pPr>
        <w:rPr>
          <w:b/>
        </w:rPr>
      </w:pPr>
      <w:r w:rsidRPr="001D1ABC">
        <w:rPr>
          <w:b/>
        </w:rPr>
        <w:t>2.</w:t>
      </w:r>
      <w:r w:rsidRPr="001D1ABC">
        <w:rPr>
          <w:b/>
        </w:rPr>
        <w:tab/>
      </w:r>
      <w:r w:rsidRPr="001D1ABC">
        <w:rPr>
          <w:b/>
          <w:u w:val="single"/>
        </w:rPr>
        <w:t>Use of Data</w:t>
      </w:r>
    </w:p>
    <w:p w:rsidR="006174A2" w:rsidRDefault="006174A2" w14:paraId="3C85C4B9" w14:textId="77777777"/>
    <w:p w:rsidR="00525B67" w:rsidP="001D1ABC" w:rsidRDefault="006174A2" w14:paraId="72D8CE63" w14:textId="77777777">
      <w:pPr>
        <w:ind w:left="720"/>
      </w:pPr>
      <w:r>
        <w:t xml:space="preserve">The collection of information relates to the requirement that certain persons must submit a statement explaining why their failure to timely file a statement or notice was due to reasonable cause.  This collection of information is necessary for IRS personnel to determine if </w:t>
      </w:r>
      <w:r w:rsidR="008172A2">
        <w:t xml:space="preserve">reasonable cause was established for the </w:t>
      </w:r>
      <w:r>
        <w:t xml:space="preserve">untimely filing.  </w:t>
      </w:r>
    </w:p>
    <w:p w:rsidR="006174A2" w:rsidRDefault="006174A2" w14:paraId="02729C5D" w14:textId="77777777"/>
    <w:p w:rsidRPr="00C07A64" w:rsidR="006174A2" w:rsidRDefault="006174A2" w14:paraId="01E53A96" w14:textId="77777777">
      <w:pPr>
        <w:rPr>
          <w:b/>
        </w:rPr>
      </w:pPr>
      <w:r w:rsidRPr="00C07A64">
        <w:rPr>
          <w:b/>
        </w:rPr>
        <w:t>3.</w:t>
      </w:r>
      <w:r w:rsidRPr="00C07A64">
        <w:rPr>
          <w:b/>
        </w:rPr>
        <w:tab/>
      </w:r>
      <w:r w:rsidRPr="00C07A64">
        <w:rPr>
          <w:b/>
          <w:u w:val="single"/>
        </w:rPr>
        <w:t>Use of Improved Information Technology to Reduce Burden</w:t>
      </w:r>
    </w:p>
    <w:p w:rsidR="00525B67" w:rsidRDefault="00525B67" w14:paraId="520532B5" w14:textId="77777777"/>
    <w:p w:rsidR="00525B67" w:rsidP="00C07A64" w:rsidRDefault="00F00CCA" w14:paraId="2C772CA8" w14:textId="77777777">
      <w:pPr>
        <w:ind w:left="720"/>
      </w:pPr>
      <w:r>
        <w:t>IRS Publications, Regulations, Notices and Letters are to be electronically enabled on a</w:t>
      </w:r>
      <w:r w:rsidR="004B5274">
        <w:t xml:space="preserve"> </w:t>
      </w:r>
      <w:r>
        <w:t>practicable basis in accordance with the IRS Reform and Restructuring Act of 1998</w:t>
      </w:r>
      <w:r w:rsidR="006174A2">
        <w:t>.</w:t>
      </w:r>
      <w:r w:rsidRPr="003A0E6F" w:rsidR="00E43F6C">
        <w:rPr>
          <w:rFonts w:ascii="Calibri" w:hAnsi="Calibri"/>
          <w:sz w:val="22"/>
          <w:szCs w:val="22"/>
        </w:rPr>
        <w:t xml:space="preserve"> </w:t>
      </w:r>
      <w:r w:rsidRPr="00E43F6C" w:rsidR="00E43F6C">
        <w:t>There is no plan to offer electronic filing for this collection due to the low volume of filers.</w:t>
      </w:r>
    </w:p>
    <w:p w:rsidR="008172A2" w:rsidP="00C07A64" w:rsidRDefault="008172A2" w14:paraId="72F8F23C" w14:textId="77777777">
      <w:pPr>
        <w:ind w:left="720"/>
      </w:pPr>
    </w:p>
    <w:p w:rsidR="008172A2" w:rsidP="00C07A64" w:rsidRDefault="0057161F" w14:paraId="5371D365" w14:textId="77777777">
      <w:pPr>
        <w:ind w:left="720"/>
      </w:pPr>
      <w:r>
        <w:lastRenderedPageBreak/>
        <w:t>This reporting guidance is provided in the Instructions to Form 8288 (1545-0902, 1545-0123).</w:t>
      </w:r>
    </w:p>
    <w:p w:rsidR="009D657B" w:rsidRDefault="009D657B" w14:paraId="50C79D3C" w14:textId="77777777"/>
    <w:p w:rsidRPr="00C07A64" w:rsidR="006174A2" w:rsidRDefault="006174A2" w14:paraId="14E7F4F2" w14:textId="77777777">
      <w:pPr>
        <w:rPr>
          <w:b/>
        </w:rPr>
      </w:pPr>
      <w:r w:rsidRPr="00C07A64">
        <w:rPr>
          <w:b/>
        </w:rPr>
        <w:t>4.</w:t>
      </w:r>
      <w:r w:rsidRPr="00C07A64">
        <w:rPr>
          <w:b/>
        </w:rPr>
        <w:tab/>
      </w:r>
      <w:r w:rsidRPr="00C07A64">
        <w:rPr>
          <w:b/>
          <w:u w:val="single"/>
        </w:rPr>
        <w:t>Efforts to Identify Duplication</w:t>
      </w:r>
    </w:p>
    <w:p w:rsidR="006174A2" w:rsidRDefault="006174A2" w14:paraId="21AC9BD7" w14:textId="77777777"/>
    <w:p w:rsidR="006174A2" w:rsidP="00C07A64" w:rsidRDefault="009D657B" w14:paraId="75E35C39" w14:textId="77777777">
      <w:pPr>
        <w:ind w:left="720"/>
      </w:pPr>
      <w:r w:rsidRPr="009D657B">
        <w:t>The information obtained through this collection is unique and is not already available for use or adaptation from another source</w:t>
      </w:r>
      <w:r w:rsidR="00A679AE">
        <w:t>.</w:t>
      </w:r>
    </w:p>
    <w:p w:rsidR="007D638B" w:rsidRDefault="007D638B" w14:paraId="2E55DDBC" w14:textId="77777777"/>
    <w:p w:rsidRPr="00C07A64" w:rsidR="00A679AE" w:rsidRDefault="00A679AE" w14:paraId="2F2845D9" w14:textId="77777777">
      <w:pPr>
        <w:rPr>
          <w:b/>
        </w:rPr>
      </w:pPr>
      <w:r w:rsidRPr="00C07A64">
        <w:rPr>
          <w:b/>
        </w:rPr>
        <w:t>5.</w:t>
      </w:r>
      <w:r w:rsidRPr="00C07A64">
        <w:rPr>
          <w:b/>
        </w:rPr>
        <w:tab/>
      </w:r>
      <w:r w:rsidRPr="00C07A64">
        <w:rPr>
          <w:b/>
          <w:u w:val="single"/>
        </w:rPr>
        <w:t>Methods to Minimize Burden on Small Businesses or Other Small Entities</w:t>
      </w:r>
    </w:p>
    <w:p w:rsidR="006174A2" w:rsidRDefault="006174A2" w14:paraId="370C536D" w14:textId="77777777"/>
    <w:p w:rsidR="006174A2" w:rsidP="00C07A64" w:rsidRDefault="000D3C95" w14:paraId="6EE93BE9" w14:textId="77777777">
      <w:pPr>
        <w:ind w:left="720"/>
      </w:pPr>
      <w:r w:rsidRPr="000D3C95">
        <w:t>There are no small entities affected by this collection</w:t>
      </w:r>
      <w:r w:rsidR="00A679AE">
        <w:t>.</w:t>
      </w:r>
    </w:p>
    <w:p w:rsidR="006174A2" w:rsidRDefault="006174A2" w14:paraId="04AC4625" w14:textId="77777777"/>
    <w:p w:rsidRPr="00C07A64" w:rsidR="00525B67" w:rsidP="00C07A64" w:rsidRDefault="00A679AE" w14:paraId="600BAD84" w14:textId="77777777">
      <w:pPr>
        <w:ind w:left="720" w:hanging="720"/>
        <w:rPr>
          <w:b/>
        </w:rPr>
      </w:pPr>
      <w:r w:rsidRPr="00C07A64">
        <w:rPr>
          <w:b/>
        </w:rPr>
        <w:t>6.</w:t>
      </w:r>
      <w:r w:rsidRPr="00C07A64">
        <w:rPr>
          <w:b/>
        </w:rPr>
        <w:tab/>
      </w:r>
      <w:r w:rsidRPr="00C07A64">
        <w:rPr>
          <w:b/>
          <w:u w:val="single"/>
        </w:rPr>
        <w:t>Consequences of Less Frequent Collection on Federal Programs or Policy Activities</w:t>
      </w:r>
    </w:p>
    <w:p w:rsidR="00525B67" w:rsidRDefault="00525B67" w14:paraId="3B0C8402" w14:textId="77777777"/>
    <w:p w:rsidR="00A679AE" w:rsidP="00C07A64" w:rsidRDefault="00A76EEA" w14:paraId="6A311F82" w14:textId="77777777">
      <w:pPr>
        <w:ind w:left="720"/>
      </w:pPr>
      <w:r>
        <w:t xml:space="preserve">Taxpayer’s </w:t>
      </w:r>
      <w:r w:rsidRPr="00A76EEA">
        <w:t xml:space="preserve">may be eligible for relief for a late filing if a statement or notice was not provided to the relevant person or the IRS by the specified deadline and if </w:t>
      </w:r>
      <w:r>
        <w:t xml:space="preserve">there is </w:t>
      </w:r>
      <w:r w:rsidRPr="00A76EEA">
        <w:t>reasonable cause for the failure to make a timely filing.</w:t>
      </w:r>
    </w:p>
    <w:p w:rsidR="000D3C95" w:rsidP="00C07A64" w:rsidRDefault="000D3C95" w14:paraId="7992B5CF" w14:textId="77777777">
      <w:pPr>
        <w:ind w:left="720"/>
      </w:pPr>
    </w:p>
    <w:p w:rsidR="000D3C95" w:rsidP="00C07A64" w:rsidRDefault="000D3C95" w14:paraId="0C55C282" w14:textId="77777777">
      <w:pPr>
        <w:ind w:left="720"/>
      </w:pPr>
      <w:r w:rsidRPr="000D3C95">
        <w:t xml:space="preserve">Failure to collect the information will prevent </w:t>
      </w:r>
      <w:r w:rsidR="00A76EEA">
        <w:t>taxpayer’s from seeking relief where reasonable cause may exist</w:t>
      </w:r>
      <w:r>
        <w:t xml:space="preserve">. </w:t>
      </w:r>
    </w:p>
    <w:p w:rsidR="00A679AE" w:rsidRDefault="00A679AE" w14:paraId="5113B5E4" w14:textId="77777777"/>
    <w:p w:rsidRPr="00C07A64" w:rsidR="00A679AE" w:rsidP="00C07A64" w:rsidRDefault="00C82C2E" w14:paraId="7C35BC4C" w14:textId="77777777">
      <w:pPr>
        <w:ind w:left="720" w:hanging="720"/>
        <w:rPr>
          <w:b/>
        </w:rPr>
      </w:pPr>
      <w:r w:rsidRPr="00C07A64">
        <w:rPr>
          <w:b/>
        </w:rPr>
        <w:t>7.</w:t>
      </w:r>
      <w:r w:rsidRPr="00C07A64">
        <w:rPr>
          <w:b/>
        </w:rPr>
        <w:tab/>
      </w:r>
      <w:r w:rsidRPr="00C07A64">
        <w:rPr>
          <w:b/>
          <w:u w:val="single"/>
        </w:rPr>
        <w:t>Special Circumstances Requiring Data Collection to be Inconsistent with Guidelines in 5 CFR 1320.5(d)(2)</w:t>
      </w:r>
    </w:p>
    <w:p w:rsidR="00A679AE" w:rsidRDefault="00A679AE" w14:paraId="3485B2F6" w14:textId="77777777"/>
    <w:p w:rsidR="00A679AE" w:rsidP="00C07A64" w:rsidRDefault="000D3C95" w14:paraId="082F4AE2" w14:textId="77777777">
      <w:pPr>
        <w:ind w:left="720"/>
      </w:pPr>
      <w:r w:rsidRPr="000D3C95">
        <w:t>There are no special circumstances requiring data collection to be inconsistent with Guidelines in 5 CFR 1320.5(d)(2)</w:t>
      </w:r>
      <w:r w:rsidR="00C82C2E">
        <w:t>.</w:t>
      </w:r>
    </w:p>
    <w:p w:rsidR="00C82C2E" w:rsidRDefault="00C82C2E" w14:paraId="19586678" w14:textId="77777777"/>
    <w:p w:rsidRPr="00C07A64" w:rsidR="00C82C2E" w:rsidP="00C07A64" w:rsidRDefault="00C82C2E" w14:paraId="6F5FBD11" w14:textId="77777777">
      <w:pPr>
        <w:numPr>
          <w:ilvl w:val="0"/>
          <w:numId w:val="1"/>
        </w:numPr>
        <w:tabs>
          <w:tab w:val="clear" w:pos="1080"/>
        </w:tabs>
        <w:ind w:left="720" w:hanging="663"/>
        <w:rPr>
          <w:b/>
          <w:u w:val="single"/>
        </w:rPr>
      </w:pPr>
      <w:r w:rsidRPr="00C07A64">
        <w:rPr>
          <w:b/>
          <w:u w:val="single"/>
        </w:rPr>
        <w:t>Consultation with Individuals Outside of the Agency on Availability of Data, Frequency of Collection, Clarity of Instructions and Forms, and Data Elements</w:t>
      </w:r>
    </w:p>
    <w:p w:rsidR="00F00CCA" w:rsidP="00F00CCA" w:rsidRDefault="00F00CCA" w14:paraId="46E52D36" w14:textId="77777777">
      <w:pPr>
        <w:rPr>
          <w:u w:val="single"/>
        </w:rPr>
      </w:pPr>
    </w:p>
    <w:p w:rsidR="004021A7" w:rsidP="00C07A64" w:rsidRDefault="004021A7" w14:paraId="61044A28" w14:textId="77777777">
      <w:pPr>
        <w:ind w:left="720"/>
      </w:pPr>
      <w:r>
        <w:t>Revenue Procedure 2008-27 was published in the Internal Revenue Bulletin on May 27, 2008 (2008-21 IRB 1014).</w:t>
      </w:r>
    </w:p>
    <w:p w:rsidR="004021A7" w:rsidP="00C07A64" w:rsidRDefault="004021A7" w14:paraId="7C9DBCB1" w14:textId="77777777">
      <w:pPr>
        <w:ind w:left="720"/>
      </w:pPr>
    </w:p>
    <w:p w:rsidR="00A026A9" w:rsidP="00C07A64" w:rsidRDefault="003C11B1" w14:paraId="4A5CBC2D" w14:textId="77777777">
      <w:pPr>
        <w:ind w:left="720"/>
      </w:pPr>
      <w:r>
        <w:t>IRS</w:t>
      </w:r>
      <w:r w:rsidR="00F00CCA">
        <w:t xml:space="preserve"> received no comments during the comment period in response to the Federal Register notice dated </w:t>
      </w:r>
      <w:r w:rsidR="00F71A32">
        <w:t xml:space="preserve">May </w:t>
      </w:r>
      <w:r>
        <w:t>19</w:t>
      </w:r>
      <w:r w:rsidR="004021A7">
        <w:t>, 20</w:t>
      </w:r>
      <w:r w:rsidR="00F71A32">
        <w:t>20</w:t>
      </w:r>
      <w:r w:rsidR="00F00CCA">
        <w:t xml:space="preserve"> (</w:t>
      </w:r>
      <w:r w:rsidR="009D657B">
        <w:t>8</w:t>
      </w:r>
      <w:r w:rsidR="00F71A32">
        <w:t>5</w:t>
      </w:r>
      <w:r w:rsidR="00F00CCA">
        <w:t xml:space="preserve"> FR </w:t>
      </w:r>
      <w:r>
        <w:t>30022</w:t>
      </w:r>
      <w:r w:rsidR="00F00CCA">
        <w:t>).</w:t>
      </w:r>
    </w:p>
    <w:p w:rsidR="00C82C2E" w:rsidP="00C07A64" w:rsidRDefault="00C82C2E" w14:paraId="62ABD726" w14:textId="77777777">
      <w:pPr>
        <w:ind w:left="720"/>
      </w:pPr>
    </w:p>
    <w:p w:rsidRPr="00D2477E" w:rsidR="00C82C2E" w:rsidRDefault="00C82C2E" w14:paraId="7569AD9C" w14:textId="77777777">
      <w:pPr>
        <w:rPr>
          <w:b/>
        </w:rPr>
      </w:pPr>
      <w:r w:rsidRPr="00D2477E">
        <w:rPr>
          <w:b/>
        </w:rPr>
        <w:t>9.</w:t>
      </w:r>
      <w:r w:rsidRPr="00D2477E">
        <w:rPr>
          <w:b/>
        </w:rPr>
        <w:tab/>
      </w:r>
      <w:r w:rsidRPr="00D2477E">
        <w:rPr>
          <w:b/>
          <w:u w:val="single"/>
        </w:rPr>
        <w:t>Explanation of Decision to Provide Any Payment or Gift to Respondents</w:t>
      </w:r>
    </w:p>
    <w:p w:rsidR="00C82C2E" w:rsidRDefault="00C82C2E" w14:paraId="72362D95" w14:textId="77777777"/>
    <w:p w:rsidR="00C82C2E" w:rsidP="00D2477E" w:rsidRDefault="000D3C95" w14:paraId="237FAD55" w14:textId="77777777">
      <w:pPr>
        <w:ind w:left="720"/>
      </w:pPr>
      <w:r w:rsidRPr="000D3C95">
        <w:t>No payment or gift has been provided to any respondents</w:t>
      </w:r>
      <w:r w:rsidR="00C82C2E">
        <w:t>.</w:t>
      </w:r>
    </w:p>
    <w:p w:rsidR="00A679AE" w:rsidRDefault="00A679AE" w14:paraId="7429679F" w14:textId="77777777"/>
    <w:p w:rsidRPr="00D2477E" w:rsidR="00C82C2E" w:rsidRDefault="00C82C2E" w14:paraId="7379457B" w14:textId="77777777">
      <w:pPr>
        <w:rPr>
          <w:b/>
        </w:rPr>
      </w:pPr>
      <w:r w:rsidRPr="00D2477E">
        <w:rPr>
          <w:b/>
        </w:rPr>
        <w:t>10.</w:t>
      </w:r>
      <w:r w:rsidRPr="00D2477E">
        <w:rPr>
          <w:b/>
        </w:rPr>
        <w:tab/>
      </w:r>
      <w:r w:rsidRPr="00D2477E">
        <w:rPr>
          <w:b/>
          <w:u w:val="single"/>
        </w:rPr>
        <w:t>Assurance of Confidentiality of Responses</w:t>
      </w:r>
    </w:p>
    <w:p w:rsidR="00C82C2E" w:rsidRDefault="00C82C2E" w14:paraId="0E6B704E" w14:textId="77777777"/>
    <w:p w:rsidR="00C82C2E" w:rsidP="00D2477E" w:rsidRDefault="00C82C2E" w14:paraId="4AC0141C" w14:textId="77777777">
      <w:pPr>
        <w:ind w:left="720"/>
      </w:pPr>
      <w:r>
        <w:t>Generally, tax returns and tax return information are confidential as required by 26 USC 6103.</w:t>
      </w:r>
    </w:p>
    <w:p w:rsidR="00C82C2E" w:rsidRDefault="00C82C2E" w14:paraId="45D063B8" w14:textId="77777777"/>
    <w:p w:rsidR="009D657B" w:rsidRDefault="009D657B" w14:paraId="668E52BF" w14:textId="77777777"/>
    <w:p w:rsidR="009D657B" w:rsidRDefault="009D657B" w14:paraId="7D095F78" w14:textId="77777777"/>
    <w:p w:rsidRPr="00D2477E" w:rsidR="00C82C2E" w:rsidRDefault="00C82C2E" w14:paraId="6BA088FC" w14:textId="77777777">
      <w:pPr>
        <w:rPr>
          <w:b/>
        </w:rPr>
      </w:pPr>
      <w:r w:rsidRPr="00D2477E">
        <w:rPr>
          <w:b/>
        </w:rPr>
        <w:t>11.</w:t>
      </w:r>
      <w:r w:rsidRPr="00D2477E">
        <w:rPr>
          <w:b/>
        </w:rPr>
        <w:tab/>
      </w:r>
      <w:r w:rsidRPr="00D2477E">
        <w:rPr>
          <w:b/>
          <w:u w:val="single"/>
        </w:rPr>
        <w:t>Justification of Sensitive Questions</w:t>
      </w:r>
    </w:p>
    <w:p w:rsidR="00C82C2E" w:rsidRDefault="00C82C2E" w14:paraId="08B41846" w14:textId="77777777"/>
    <w:p w:rsidR="007E20C5" w:rsidP="009D657B" w:rsidRDefault="006C4995" w14:paraId="0013D820" w14:textId="77777777">
      <w:pPr>
        <w:ind w:left="720"/>
      </w:pPr>
      <w:r>
        <w:t>No</w:t>
      </w:r>
      <w:r w:rsidR="00E43F6C">
        <w:t xml:space="preserve"> sensitive</w:t>
      </w:r>
      <w:r>
        <w:t xml:space="preserve"> personally identifiable information (PII) is collected.</w:t>
      </w:r>
    </w:p>
    <w:p w:rsidR="00C82C2E" w:rsidRDefault="00C82C2E" w14:paraId="1456FAED" w14:textId="77777777"/>
    <w:p w:rsidRPr="00D2477E" w:rsidR="00C82C2E" w:rsidRDefault="00C82C2E" w14:paraId="67E50B85" w14:textId="77777777">
      <w:pPr>
        <w:rPr>
          <w:b/>
        </w:rPr>
      </w:pPr>
      <w:r w:rsidRPr="00D2477E">
        <w:rPr>
          <w:b/>
        </w:rPr>
        <w:t>12.</w:t>
      </w:r>
      <w:r w:rsidRPr="00D2477E">
        <w:rPr>
          <w:b/>
        </w:rPr>
        <w:tab/>
      </w:r>
      <w:r w:rsidRPr="00D2477E">
        <w:rPr>
          <w:b/>
          <w:u w:val="single"/>
        </w:rPr>
        <w:t>Estimated Burden of Information Collection</w:t>
      </w:r>
    </w:p>
    <w:p w:rsidR="00C82C2E" w:rsidRDefault="00C82C2E" w14:paraId="58F7E85E" w14:textId="77777777"/>
    <w:p w:rsidR="00C82C2E" w:rsidP="00D2477E" w:rsidRDefault="00057EEC" w14:paraId="399A39DD" w14:textId="77777777">
      <w:pPr>
        <w:ind w:left="720"/>
      </w:pPr>
      <w:r>
        <w:t xml:space="preserve">The collection of information in this Revenue Procedure is in section 4.02.  The collection of information relates to the taxpayer’s demonstration that it had reasonable cause for the failure to file certain notices or statements necessary to meet the exceptions to withholding.  This collection of information is necessary because it provides the IRS with the required information to conclude that a taxpayer had, or did not have, reasonable cause for its failure to timely file the applicable statements or notices.  </w:t>
      </w:r>
    </w:p>
    <w:p w:rsidR="00057EEC" w:rsidP="00D2477E" w:rsidRDefault="00057EEC" w14:paraId="6CAA9359" w14:textId="77777777">
      <w:pPr>
        <w:ind w:left="720"/>
      </w:pPr>
    </w:p>
    <w:p w:rsidR="00D9608B" w:rsidP="00D2477E" w:rsidRDefault="00057EEC" w14:paraId="66E3A2C8" w14:textId="77777777">
      <w:pPr>
        <w:ind w:left="720"/>
      </w:pPr>
      <w:r>
        <w:t xml:space="preserve">A statement </w:t>
      </w:r>
      <w:r w:rsidR="00D9608B">
        <w:t xml:space="preserve">demonstrating reasonable cause </w:t>
      </w:r>
      <w:r>
        <w:t xml:space="preserve">must be attached by the taxpayer to the statements or notices otherwise required to be filed.  </w:t>
      </w:r>
      <w:r w:rsidR="003C11B1">
        <w:t xml:space="preserve">IRS </w:t>
      </w:r>
      <w:r>
        <w:t>estimate</w:t>
      </w:r>
      <w:r w:rsidR="003C11B1">
        <w:t>s</w:t>
      </w:r>
      <w:r>
        <w:t xml:space="preserve"> that on an annual basis approximately 250 taxpayers will utilize the procedures </w:t>
      </w:r>
      <w:r w:rsidR="00D9608B">
        <w:t xml:space="preserve">in this Revenue Procedure.  </w:t>
      </w:r>
      <w:r w:rsidR="003C11B1">
        <w:t xml:space="preserve">IRS </w:t>
      </w:r>
      <w:r w:rsidR="00D9608B">
        <w:t>estimate</w:t>
      </w:r>
      <w:r w:rsidR="003C11B1">
        <w:t>s</w:t>
      </w:r>
      <w:r w:rsidR="00D9608B">
        <w:t xml:space="preserve"> that it will take approximately </w:t>
      </w:r>
      <w:r w:rsidR="00850184">
        <w:t>4</w:t>
      </w:r>
      <w:r w:rsidR="00D9608B">
        <w:t xml:space="preserve"> hours to prepare the statement demonstrating reasonable cause.  </w:t>
      </w:r>
    </w:p>
    <w:p w:rsidR="00850184" w:rsidP="00B554A2" w:rsidRDefault="00850184" w14:paraId="45E8D0C3" w14:textId="77777777"/>
    <w:tbl>
      <w:tblPr>
        <w:tblW w:w="831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68"/>
        <w:gridCol w:w="1742"/>
        <w:gridCol w:w="1344"/>
        <w:gridCol w:w="1266"/>
        <w:gridCol w:w="1260"/>
        <w:gridCol w:w="1530"/>
      </w:tblGrid>
      <w:tr w:rsidRPr="00B554A2" w:rsidR="00B554A2" w:rsidTr="00B554A2" w14:paraId="6364739B" w14:textId="77777777">
        <w:tc>
          <w:tcPr>
            <w:tcW w:w="1168"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0F9D9738"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OMB Collection</w:t>
            </w:r>
          </w:p>
        </w:tc>
        <w:tc>
          <w:tcPr>
            <w:tcW w:w="1742"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2BBEF2AC"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Authority</w:t>
            </w:r>
          </w:p>
        </w:tc>
        <w:tc>
          <w:tcPr>
            <w:tcW w:w="1344"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57707438"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Description</w:t>
            </w:r>
          </w:p>
        </w:tc>
        <w:tc>
          <w:tcPr>
            <w:tcW w:w="1266"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102769FB"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Annual Responses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5319694C"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Hours per Response</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10E95B69"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Total Burden</w:t>
            </w:r>
          </w:p>
        </w:tc>
      </w:tr>
      <w:tr w:rsidRPr="00B554A2" w:rsidR="00B554A2" w:rsidTr="00B554A2" w14:paraId="724A0407" w14:textId="77777777">
        <w:tc>
          <w:tcPr>
            <w:tcW w:w="1168" w:type="dxa"/>
            <w:tcBorders>
              <w:top w:val="single" w:color="auto" w:sz="4" w:space="0"/>
              <w:left w:val="single" w:color="auto" w:sz="4" w:space="0"/>
              <w:bottom w:val="single" w:color="auto" w:sz="4" w:space="0"/>
              <w:right w:val="single" w:color="auto" w:sz="4" w:space="0"/>
            </w:tcBorders>
            <w:hideMark/>
          </w:tcPr>
          <w:p w:rsidRPr="00B554A2" w:rsidR="00B554A2" w:rsidRDefault="00B554A2" w14:paraId="1FB3DE72" w14:textId="77777777">
            <w:pPr>
              <w:keepNext/>
              <w:keepLines/>
              <w:numPr>
                <w:ilvl w:val="12"/>
                <w:numId w:val="0"/>
              </w:numPr>
              <w:jc w:val="center"/>
              <w:rPr>
                <w:rFonts w:ascii="Arial Narrow" w:hAnsi="Arial Narrow"/>
              </w:rPr>
            </w:pPr>
            <w:r w:rsidRPr="00B554A2">
              <w:rPr>
                <w:rFonts w:ascii="Arial Narrow" w:hAnsi="Arial Narrow"/>
              </w:rPr>
              <w:t>IRS</w:t>
            </w:r>
          </w:p>
          <w:p w:rsidRPr="00B554A2" w:rsidR="00B554A2" w:rsidP="00B554A2" w:rsidRDefault="00B554A2" w14:paraId="52698CC9" w14:textId="77777777">
            <w:pPr>
              <w:keepNext/>
              <w:keepLines/>
              <w:widowControl w:val="0"/>
              <w:numPr>
                <w:ilvl w:val="12"/>
                <w:numId w:val="0"/>
              </w:numPr>
              <w:autoSpaceDE w:val="0"/>
              <w:autoSpaceDN w:val="0"/>
              <w:adjustRightInd w:val="0"/>
              <w:jc w:val="center"/>
              <w:rPr>
                <w:rFonts w:ascii="Arial Narrow" w:hAnsi="Arial Narrow"/>
              </w:rPr>
            </w:pPr>
            <w:r w:rsidRPr="00B554A2">
              <w:rPr>
                <w:rFonts w:ascii="Arial Narrow" w:hAnsi="Arial Narrow"/>
              </w:rPr>
              <w:t>1545-</w:t>
            </w:r>
            <w:r>
              <w:rPr>
                <w:rFonts w:ascii="Arial Narrow" w:hAnsi="Arial Narrow"/>
              </w:rPr>
              <w:t>2098</w:t>
            </w:r>
          </w:p>
        </w:tc>
        <w:tc>
          <w:tcPr>
            <w:tcW w:w="1742"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364ADEE6" w14:textId="77777777">
            <w:pPr>
              <w:keepNext/>
              <w:keepLines/>
              <w:widowControl w:val="0"/>
              <w:numPr>
                <w:ilvl w:val="12"/>
                <w:numId w:val="0"/>
              </w:numPr>
              <w:autoSpaceDE w:val="0"/>
              <w:autoSpaceDN w:val="0"/>
              <w:adjustRightInd w:val="0"/>
              <w:jc w:val="center"/>
              <w:rPr>
                <w:rFonts w:ascii="Arial Narrow" w:hAnsi="Arial Narrow"/>
              </w:rPr>
            </w:pPr>
            <w:r>
              <w:rPr>
                <w:rFonts w:ascii="Arial Narrow" w:hAnsi="Arial Narrow"/>
              </w:rPr>
              <w:t>IRC 1445(a)</w:t>
            </w:r>
          </w:p>
        </w:tc>
        <w:tc>
          <w:tcPr>
            <w:tcW w:w="1344" w:type="dxa"/>
            <w:tcBorders>
              <w:top w:val="single" w:color="auto" w:sz="4" w:space="0"/>
              <w:left w:val="single" w:color="auto" w:sz="4" w:space="0"/>
              <w:bottom w:val="single" w:color="auto" w:sz="4" w:space="0"/>
              <w:right w:val="single" w:color="auto" w:sz="4" w:space="0"/>
            </w:tcBorders>
            <w:vAlign w:val="bottom"/>
            <w:hideMark/>
          </w:tcPr>
          <w:p w:rsidRPr="00B554A2" w:rsidR="00B554A2" w:rsidP="00B554A2" w:rsidRDefault="00B554A2" w14:paraId="7155FC43" w14:textId="77777777">
            <w:pPr>
              <w:keepNext/>
              <w:keepLines/>
              <w:widowControl w:val="0"/>
              <w:numPr>
                <w:ilvl w:val="12"/>
                <w:numId w:val="0"/>
              </w:numPr>
              <w:autoSpaceDE w:val="0"/>
              <w:autoSpaceDN w:val="0"/>
              <w:adjustRightInd w:val="0"/>
              <w:jc w:val="center"/>
              <w:rPr>
                <w:rFonts w:ascii="Arial Narrow" w:hAnsi="Arial Narrow"/>
              </w:rPr>
            </w:pPr>
            <w:r>
              <w:rPr>
                <w:rFonts w:ascii="Arial Narrow" w:hAnsi="Arial Narrow"/>
              </w:rPr>
              <w:t>RP. 2008-27</w:t>
            </w:r>
          </w:p>
        </w:tc>
        <w:tc>
          <w:tcPr>
            <w:tcW w:w="1266"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0ABB86F6" w14:textId="77777777">
            <w:pPr>
              <w:keepNext/>
              <w:keepLines/>
              <w:widowControl w:val="0"/>
              <w:numPr>
                <w:ilvl w:val="12"/>
                <w:numId w:val="0"/>
              </w:numPr>
              <w:autoSpaceDE w:val="0"/>
              <w:autoSpaceDN w:val="0"/>
              <w:adjustRightInd w:val="0"/>
              <w:jc w:val="center"/>
              <w:rPr>
                <w:rFonts w:ascii="Arial Narrow" w:hAnsi="Arial Narrow"/>
              </w:rPr>
            </w:pPr>
            <w:r>
              <w:rPr>
                <w:rFonts w:ascii="Arial Narrow" w:hAnsi="Arial Narrow"/>
              </w:rPr>
              <w:t>250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B554A2" w:rsidR="00B554A2" w:rsidP="00B554A2" w:rsidRDefault="00B554A2" w14:paraId="57353F24" w14:textId="77777777">
            <w:pPr>
              <w:keepNext/>
              <w:keepLines/>
              <w:widowControl w:val="0"/>
              <w:numPr>
                <w:ilvl w:val="12"/>
                <w:numId w:val="0"/>
              </w:numPr>
              <w:autoSpaceDE w:val="0"/>
              <w:autoSpaceDN w:val="0"/>
              <w:adjustRightInd w:val="0"/>
              <w:jc w:val="center"/>
              <w:rPr>
                <w:rFonts w:ascii="Arial Narrow" w:hAnsi="Arial Narrow"/>
              </w:rPr>
            </w:pPr>
            <w:r>
              <w:rPr>
                <w:rFonts w:ascii="Arial Narrow" w:hAnsi="Arial Narrow"/>
              </w:rPr>
              <w:t>4 hrs.</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30C435A0" w14:textId="77777777">
            <w:pPr>
              <w:keepNext/>
              <w:keepLines/>
              <w:widowControl w:val="0"/>
              <w:numPr>
                <w:ilvl w:val="12"/>
                <w:numId w:val="0"/>
              </w:numPr>
              <w:autoSpaceDE w:val="0"/>
              <w:autoSpaceDN w:val="0"/>
              <w:adjustRightInd w:val="0"/>
              <w:jc w:val="center"/>
              <w:rPr>
                <w:rFonts w:ascii="Arial Narrow" w:hAnsi="Arial Narrow"/>
              </w:rPr>
            </w:pPr>
            <w:r>
              <w:rPr>
                <w:rFonts w:ascii="Arial Narrow" w:hAnsi="Arial Narrow"/>
              </w:rPr>
              <w:t>1,000</w:t>
            </w:r>
          </w:p>
        </w:tc>
      </w:tr>
      <w:tr w:rsidRPr="00B554A2" w:rsidR="00B554A2" w:rsidTr="00B554A2" w14:paraId="5D25760B" w14:textId="77777777">
        <w:tc>
          <w:tcPr>
            <w:tcW w:w="1168" w:type="dxa"/>
            <w:tcBorders>
              <w:top w:val="single" w:color="auto" w:sz="4" w:space="0"/>
              <w:left w:val="single" w:color="auto" w:sz="4" w:space="0"/>
              <w:bottom w:val="single" w:color="auto" w:sz="4" w:space="0"/>
              <w:right w:val="single" w:color="auto" w:sz="4" w:space="0"/>
            </w:tcBorders>
          </w:tcPr>
          <w:p w:rsidRPr="00B554A2" w:rsidR="00B554A2" w:rsidRDefault="00B554A2" w14:paraId="1C8976A2" w14:textId="77777777">
            <w:pPr>
              <w:keepNext/>
              <w:keepLines/>
              <w:widowControl w:val="0"/>
              <w:numPr>
                <w:ilvl w:val="12"/>
                <w:numId w:val="0"/>
              </w:numPr>
              <w:autoSpaceDE w:val="0"/>
              <w:autoSpaceDN w:val="0"/>
              <w:adjustRightInd w:val="0"/>
              <w:jc w:val="center"/>
              <w:rPr>
                <w:rFonts w:ascii="Arial Narrow" w:hAnsi="Arial Narrow"/>
                <w:b/>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6098E284" w14:textId="77777777">
            <w:pPr>
              <w:keepNext/>
              <w:keepLines/>
              <w:widowControl w:val="0"/>
              <w:numPr>
                <w:ilvl w:val="12"/>
                <w:numId w:val="0"/>
              </w:numPr>
              <w:autoSpaceDE w:val="0"/>
              <w:autoSpaceDN w:val="0"/>
              <w:adjustRightInd w:val="0"/>
              <w:jc w:val="center"/>
              <w:rPr>
                <w:rFonts w:ascii="Arial Narrow" w:hAnsi="Arial Narrow"/>
                <w:b/>
              </w:rPr>
            </w:pPr>
            <w:r w:rsidRPr="00B554A2">
              <w:rPr>
                <w:rFonts w:ascii="Arial Narrow" w:hAnsi="Arial Narrow"/>
                <w:b/>
              </w:rPr>
              <w:t>IRS TOTAL</w:t>
            </w:r>
          </w:p>
        </w:tc>
        <w:tc>
          <w:tcPr>
            <w:tcW w:w="1344" w:type="dxa"/>
            <w:tcBorders>
              <w:top w:val="single" w:color="auto" w:sz="4" w:space="0"/>
              <w:left w:val="single" w:color="auto" w:sz="4" w:space="0"/>
              <w:bottom w:val="single" w:color="auto" w:sz="4" w:space="0"/>
              <w:right w:val="single" w:color="auto" w:sz="4" w:space="0"/>
            </w:tcBorders>
            <w:vAlign w:val="bottom"/>
          </w:tcPr>
          <w:p w:rsidRPr="00B554A2" w:rsidR="00B554A2" w:rsidRDefault="00B554A2" w14:paraId="6436CE99" w14:textId="77777777">
            <w:pPr>
              <w:keepNext/>
              <w:keepLines/>
              <w:widowControl w:val="0"/>
              <w:numPr>
                <w:ilvl w:val="12"/>
                <w:numId w:val="0"/>
              </w:numPr>
              <w:autoSpaceDE w:val="0"/>
              <w:autoSpaceDN w:val="0"/>
              <w:adjustRightInd w:val="0"/>
              <w:jc w:val="center"/>
              <w:rPr>
                <w:rFonts w:ascii="Arial Narrow" w:hAnsi="Arial Narrow"/>
                <w:b/>
              </w:rPr>
            </w:pPr>
          </w:p>
        </w:tc>
        <w:tc>
          <w:tcPr>
            <w:tcW w:w="1266"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25A0ABF6" w14:textId="77777777">
            <w:pPr>
              <w:keepNext/>
              <w:keepLines/>
              <w:widowControl w:val="0"/>
              <w:numPr>
                <w:ilvl w:val="12"/>
                <w:numId w:val="0"/>
              </w:numPr>
              <w:autoSpaceDE w:val="0"/>
              <w:autoSpaceDN w:val="0"/>
              <w:adjustRightInd w:val="0"/>
              <w:jc w:val="center"/>
              <w:rPr>
                <w:rFonts w:ascii="Arial Narrow" w:hAnsi="Arial Narrow"/>
                <w:b/>
              </w:rPr>
            </w:pPr>
            <w:r>
              <w:rPr>
                <w:rFonts w:ascii="Arial Narrow" w:hAnsi="Arial Narrow"/>
                <w:b/>
              </w:rPr>
              <w:t>250</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1FF1B0D2" w14:textId="77777777">
            <w:pPr>
              <w:keepNext/>
              <w:keepLines/>
              <w:widowControl w:val="0"/>
              <w:numPr>
                <w:ilvl w:val="12"/>
                <w:numId w:val="0"/>
              </w:numPr>
              <w:autoSpaceDE w:val="0"/>
              <w:autoSpaceDN w:val="0"/>
              <w:adjustRightInd w:val="0"/>
              <w:jc w:val="center"/>
              <w:rPr>
                <w:rFonts w:ascii="Arial Narrow" w:hAnsi="Arial Narrow"/>
                <w:b/>
              </w:rPr>
            </w:pPr>
            <w:r>
              <w:rPr>
                <w:rFonts w:ascii="Arial Narrow" w:hAnsi="Arial Narrow"/>
                <w:b/>
              </w:rPr>
              <w:t>4 hrs.</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B554A2" w:rsidR="00B554A2" w:rsidRDefault="00B554A2" w14:paraId="16192176" w14:textId="77777777">
            <w:pPr>
              <w:keepNext/>
              <w:keepLines/>
              <w:widowControl w:val="0"/>
              <w:numPr>
                <w:ilvl w:val="12"/>
                <w:numId w:val="0"/>
              </w:numPr>
              <w:autoSpaceDE w:val="0"/>
              <w:autoSpaceDN w:val="0"/>
              <w:adjustRightInd w:val="0"/>
              <w:jc w:val="center"/>
              <w:rPr>
                <w:rFonts w:ascii="Arial Narrow" w:hAnsi="Arial Narrow"/>
                <w:b/>
              </w:rPr>
            </w:pPr>
            <w:r>
              <w:rPr>
                <w:rFonts w:ascii="Arial Narrow" w:hAnsi="Arial Narrow"/>
                <w:b/>
              </w:rPr>
              <w:t>1,000</w:t>
            </w:r>
          </w:p>
        </w:tc>
      </w:tr>
    </w:tbl>
    <w:p w:rsidR="00CC55FF" w:rsidP="00CC55FF" w:rsidRDefault="00CC55FF" w14:paraId="012E7D76" w14:textId="77777777">
      <w:pPr>
        <w:ind w:left="720"/>
        <w:rPr>
          <w:rFonts w:ascii="Calibri" w:hAnsi="Calibri"/>
        </w:rPr>
      </w:pPr>
    </w:p>
    <w:p w:rsidRPr="00B53C89" w:rsidR="00CC55FF" w:rsidP="00CC55FF" w:rsidRDefault="00CC55FF" w14:paraId="6F8FB5D6" w14:textId="77777777">
      <w:pPr>
        <w:ind w:left="720"/>
        <w:rPr>
          <w:rFonts w:ascii="Calibri" w:hAnsi="Calibri"/>
        </w:rPr>
      </w:pPr>
      <w:r w:rsidRPr="00B53C89">
        <w:rPr>
          <w:rFonts w:ascii="Calibri" w:hAnsi="Calibri"/>
        </w:rPr>
        <w:t>Please continue to assign OMB number 1545-</w:t>
      </w:r>
      <w:r>
        <w:rPr>
          <w:rFonts w:ascii="Calibri" w:hAnsi="Calibri"/>
        </w:rPr>
        <w:t>2098</w:t>
      </w:r>
      <w:r w:rsidRPr="00B53C89">
        <w:rPr>
          <w:rFonts w:ascii="Calibri" w:hAnsi="Calibri"/>
        </w:rPr>
        <w:t xml:space="preserve"> to these regulations. </w:t>
      </w:r>
    </w:p>
    <w:p w:rsidRPr="00037FDB" w:rsidR="00CC55FF" w:rsidP="00CC55FF" w:rsidRDefault="00CC55FF" w14:paraId="773FC5C1" w14:textId="77777777">
      <w:pPr>
        <w:ind w:left="720"/>
        <w:rPr>
          <w:rFonts w:ascii="Calibri" w:hAnsi="Calibri"/>
        </w:rPr>
      </w:pPr>
      <w:r w:rsidRPr="00B53C89">
        <w:rPr>
          <w:rFonts w:ascii="Calibri" w:hAnsi="Calibri"/>
        </w:rPr>
        <w:t>1.</w:t>
      </w:r>
      <w:r>
        <w:rPr>
          <w:rFonts w:ascii="Calibri" w:hAnsi="Calibri"/>
        </w:rPr>
        <w:t>897-2(g)(1)(ii)(A), 1.897-2(h), 1.1445-2(c)(3)(i), 1.1445-2(d)(2), 1.1445-5(b)(2), 1.1445-5(b)(4), 301.9100-3</w:t>
      </w:r>
    </w:p>
    <w:p w:rsidR="00B554A2" w:rsidP="00D2477E" w:rsidRDefault="00B554A2" w14:paraId="649281F6" w14:textId="77777777">
      <w:pPr>
        <w:ind w:left="720"/>
      </w:pPr>
    </w:p>
    <w:p w:rsidR="00B554A2" w:rsidP="00D2477E" w:rsidRDefault="00B554A2" w14:paraId="63909627" w14:textId="77777777">
      <w:pPr>
        <w:ind w:left="720"/>
      </w:pPr>
    </w:p>
    <w:p w:rsidRPr="00D2477E" w:rsidR="00D9608B" w:rsidRDefault="00D9608B" w14:paraId="3CDD4390" w14:textId="77777777">
      <w:pPr>
        <w:rPr>
          <w:b/>
        </w:rPr>
      </w:pPr>
      <w:r w:rsidRPr="00D2477E">
        <w:rPr>
          <w:b/>
        </w:rPr>
        <w:t>13.</w:t>
      </w:r>
      <w:r w:rsidRPr="00D2477E">
        <w:rPr>
          <w:b/>
        </w:rPr>
        <w:tab/>
      </w:r>
      <w:r w:rsidRPr="00D2477E">
        <w:rPr>
          <w:b/>
          <w:u w:val="single"/>
        </w:rPr>
        <w:t>Estimated Total Annual Cost Burden to Respondents</w:t>
      </w:r>
    </w:p>
    <w:p w:rsidR="00B85BAF" w:rsidP="00C2131D" w:rsidRDefault="00B85BAF" w14:paraId="5A74808F" w14:textId="77777777">
      <w:pPr>
        <w:ind w:left="720"/>
      </w:pPr>
    </w:p>
    <w:p w:rsidRPr="00C2131D" w:rsidR="00C2131D" w:rsidP="00C2131D" w:rsidRDefault="00C2131D" w14:paraId="4274E1A4" w14:textId="77777777">
      <w:pPr>
        <w:ind w:left="720"/>
      </w:pPr>
      <w:r w:rsidRPr="00C2131D">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57161F" w:rsidP="00D2477E" w:rsidRDefault="0057161F" w14:paraId="73E1087F" w14:textId="77777777">
      <w:pPr>
        <w:ind w:left="720"/>
      </w:pPr>
      <w:bookmarkStart w:name="_GoBack" w:id="0"/>
      <w:bookmarkEnd w:id="0"/>
    </w:p>
    <w:p w:rsidRPr="00D2477E" w:rsidR="00D9608B" w:rsidRDefault="00D9608B" w14:paraId="1B0FEEEB" w14:textId="77777777">
      <w:pPr>
        <w:rPr>
          <w:b/>
        </w:rPr>
      </w:pPr>
      <w:r w:rsidRPr="00D2477E">
        <w:rPr>
          <w:b/>
        </w:rPr>
        <w:t>14.</w:t>
      </w:r>
      <w:r w:rsidRPr="00D2477E">
        <w:rPr>
          <w:b/>
        </w:rPr>
        <w:tab/>
      </w:r>
      <w:r w:rsidRPr="00D2477E">
        <w:rPr>
          <w:b/>
          <w:u w:val="single"/>
        </w:rPr>
        <w:t>Estimated Annualized Cost to the Federal Government</w:t>
      </w:r>
    </w:p>
    <w:p w:rsidR="00C82C2E" w:rsidRDefault="00C82C2E" w14:paraId="4D4D6DBC" w14:textId="77777777"/>
    <w:p w:rsidR="00C82C2E" w:rsidP="00D2477E" w:rsidRDefault="000D3C95" w14:paraId="2E77A043" w14:textId="77777777">
      <w:pPr>
        <w:ind w:left="720"/>
      </w:pPr>
      <w:r w:rsidRPr="000D3C95">
        <w:t xml:space="preserve">After consultation with various functions within the Service, </w:t>
      </w:r>
      <w:r w:rsidR="003C11B1">
        <w:t>IRS has</w:t>
      </w:r>
      <w:r w:rsidRPr="000D3C95">
        <w:t xml:space="preserve"> determined that the cost to the federal government is negligible</w:t>
      </w:r>
      <w:r w:rsidR="00D9608B">
        <w:t>.</w:t>
      </w:r>
    </w:p>
    <w:p w:rsidR="00D9608B" w:rsidRDefault="00D9608B" w14:paraId="3E4BF172" w14:textId="77777777"/>
    <w:p w:rsidRPr="00D2477E" w:rsidR="00D9608B" w:rsidRDefault="00D9608B" w14:paraId="027A8AB8" w14:textId="77777777">
      <w:pPr>
        <w:rPr>
          <w:b/>
        </w:rPr>
      </w:pPr>
      <w:r w:rsidRPr="00D2477E">
        <w:rPr>
          <w:b/>
        </w:rPr>
        <w:lastRenderedPageBreak/>
        <w:t>15.</w:t>
      </w:r>
      <w:r w:rsidRPr="00D2477E">
        <w:rPr>
          <w:b/>
        </w:rPr>
        <w:tab/>
      </w:r>
      <w:r w:rsidRPr="00D2477E">
        <w:rPr>
          <w:b/>
          <w:u w:val="single"/>
        </w:rPr>
        <w:t>Reasons for Change in Burden</w:t>
      </w:r>
    </w:p>
    <w:p w:rsidR="00C82C2E" w:rsidRDefault="00C82C2E" w14:paraId="32286254" w14:textId="77777777"/>
    <w:p w:rsidR="00C82C2E" w:rsidP="00D2477E" w:rsidRDefault="004021A7" w14:paraId="5250EDCF" w14:textId="77777777">
      <w:pPr>
        <w:ind w:left="720"/>
      </w:pPr>
      <w:r>
        <w:t xml:space="preserve">There is no change to the paperwork burden previously approved by OMB.  </w:t>
      </w:r>
      <w:r w:rsidR="003C11B1">
        <w:t xml:space="preserve">IRS is </w:t>
      </w:r>
      <w:r>
        <w:t>making this submission to renew the OMB approval.</w:t>
      </w:r>
    </w:p>
    <w:p w:rsidR="00D9608B" w:rsidP="00D2477E" w:rsidRDefault="00D9608B" w14:paraId="05BFFF03" w14:textId="77777777">
      <w:pPr>
        <w:ind w:left="720"/>
      </w:pPr>
    </w:p>
    <w:p w:rsidRPr="00D2477E" w:rsidR="00D9608B" w:rsidRDefault="00D9608B" w14:paraId="31A6BD47" w14:textId="77777777">
      <w:pPr>
        <w:rPr>
          <w:b/>
          <w:u w:val="single"/>
        </w:rPr>
      </w:pPr>
      <w:r w:rsidRPr="00D2477E">
        <w:rPr>
          <w:b/>
        </w:rPr>
        <w:t>16.</w:t>
      </w:r>
      <w:r w:rsidRPr="00D2477E">
        <w:rPr>
          <w:b/>
        </w:rPr>
        <w:tab/>
      </w:r>
      <w:r w:rsidRPr="00D2477E">
        <w:rPr>
          <w:b/>
          <w:u w:val="single"/>
        </w:rPr>
        <w:t>Plans for Tabulation, Statistical Analysis and Publication</w:t>
      </w:r>
    </w:p>
    <w:p w:rsidR="00D9608B" w:rsidRDefault="00D9608B" w14:paraId="64B8268E" w14:textId="77777777"/>
    <w:p w:rsidR="00D9608B" w:rsidP="00D2477E" w:rsidRDefault="00B85C83" w14:paraId="07AC06A8" w14:textId="77777777">
      <w:pPr>
        <w:ind w:left="720"/>
      </w:pPr>
      <w:r w:rsidRPr="00B85C83">
        <w:t>There are no plans for tabulation, statistical analysis and publication</w:t>
      </w:r>
      <w:r w:rsidR="00D9608B">
        <w:t>.</w:t>
      </w:r>
    </w:p>
    <w:p w:rsidR="00D9608B" w:rsidRDefault="00D9608B" w14:paraId="6D88122D" w14:textId="77777777"/>
    <w:p w:rsidRPr="00D2477E" w:rsidR="00D9608B" w:rsidRDefault="00D9608B" w14:paraId="182E3C90" w14:textId="77777777">
      <w:pPr>
        <w:rPr>
          <w:b/>
        </w:rPr>
      </w:pPr>
      <w:r w:rsidRPr="00D2477E">
        <w:rPr>
          <w:b/>
        </w:rPr>
        <w:t>17.</w:t>
      </w:r>
      <w:r w:rsidRPr="00D2477E">
        <w:rPr>
          <w:b/>
        </w:rPr>
        <w:tab/>
      </w:r>
      <w:r w:rsidRPr="00D2477E">
        <w:rPr>
          <w:b/>
          <w:u w:val="single"/>
        </w:rPr>
        <w:t>Reasons Why Displaying the OMB Expiration Date is Inappropriate</w:t>
      </w:r>
    </w:p>
    <w:p w:rsidR="00C82C2E" w:rsidRDefault="00C82C2E" w14:paraId="40D62FA9" w14:textId="77777777"/>
    <w:p w:rsidR="00D9608B" w:rsidP="00D2477E" w:rsidRDefault="003C11B1" w14:paraId="73EF4DF1" w14:textId="77777777">
      <w:pPr>
        <w:ind w:left="720"/>
      </w:pPr>
      <w:r>
        <w:t>IRS</w:t>
      </w:r>
      <w:r w:rsidR="00D9608B">
        <w:t xml:space="preserve"> believe</w:t>
      </w:r>
      <w:r>
        <w:t>s</w:t>
      </w:r>
      <w:r w:rsidR="00D9608B">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  </w:t>
      </w:r>
    </w:p>
    <w:p w:rsidR="00D9608B" w:rsidRDefault="00D9608B" w14:paraId="3E8E17CD" w14:textId="77777777"/>
    <w:p w:rsidRPr="00D2477E" w:rsidR="00D9608B" w:rsidRDefault="00D9608B" w14:paraId="6C33FA0C" w14:textId="77777777">
      <w:pPr>
        <w:rPr>
          <w:b/>
        </w:rPr>
      </w:pPr>
      <w:r w:rsidRPr="00D2477E">
        <w:rPr>
          <w:b/>
        </w:rPr>
        <w:t>18.</w:t>
      </w:r>
      <w:r w:rsidRPr="00D2477E">
        <w:rPr>
          <w:b/>
        </w:rPr>
        <w:tab/>
      </w:r>
      <w:r w:rsidRPr="00D2477E">
        <w:rPr>
          <w:b/>
          <w:u w:val="single"/>
        </w:rPr>
        <w:t>Exceptions to the Certification Statement</w:t>
      </w:r>
    </w:p>
    <w:p w:rsidR="00D9608B" w:rsidRDefault="00D9608B" w14:paraId="210C91C0" w14:textId="77777777"/>
    <w:p w:rsidR="007D638B" w:rsidP="00B85C83" w:rsidRDefault="00B85C83" w14:paraId="7A404219" w14:textId="77777777">
      <w:pPr>
        <w:ind w:left="720"/>
      </w:pPr>
      <w:r w:rsidRPr="00B85C83">
        <w:t>There are no exceptions to the certification statement</w:t>
      </w:r>
      <w:r w:rsidR="00D9608B">
        <w:t>.</w:t>
      </w:r>
    </w:p>
    <w:p w:rsidR="007D638B" w:rsidRDefault="007D638B" w14:paraId="0E34A0A3" w14:textId="77777777"/>
    <w:p w:rsidR="00EA746B" w:rsidRDefault="00EA746B" w14:paraId="140341E4" w14:textId="77777777"/>
    <w:p w:rsidR="00EA746B" w:rsidRDefault="00EA746B" w14:paraId="5C0395E7" w14:textId="77777777">
      <w:r w:rsidRPr="00D2477E">
        <w:rPr>
          <w:b/>
          <w:u w:val="single"/>
        </w:rPr>
        <w:t>Note</w:t>
      </w:r>
      <w:r>
        <w:t>: the following paragraph applies to all of the collections of information in this submission:</w:t>
      </w:r>
    </w:p>
    <w:p w:rsidR="00EA746B" w:rsidRDefault="00EA746B" w14:paraId="109AA31A" w14:textId="77777777"/>
    <w:p w:rsidR="00C82C2E" w:rsidRDefault="00EA746B" w14:paraId="176FCA4E" w14:textId="77777777">
      <w: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C82C2E" w:rsidSect="00177D7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32882" w14:textId="77777777" w:rsidR="00FD1836" w:rsidRDefault="00FD1836">
      <w:r>
        <w:separator/>
      </w:r>
    </w:p>
  </w:endnote>
  <w:endnote w:type="continuationSeparator" w:id="0">
    <w:p w14:paraId="0BAE6689" w14:textId="77777777" w:rsidR="00FD1836" w:rsidRDefault="00FD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1340" w14:textId="77777777" w:rsidR="004B5274" w:rsidRDefault="004B5274" w:rsidP="00A75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1832C" w14:textId="77777777" w:rsidR="004B5274" w:rsidRDefault="004B5274" w:rsidP="004E1B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48CE" w14:textId="77777777" w:rsidR="004B5274" w:rsidRDefault="004B5274" w:rsidP="00A75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25C4">
      <w:rPr>
        <w:rStyle w:val="PageNumber"/>
        <w:noProof/>
      </w:rPr>
      <w:t>1</w:t>
    </w:r>
    <w:r>
      <w:rPr>
        <w:rStyle w:val="PageNumber"/>
      </w:rPr>
      <w:fldChar w:fldCharType="end"/>
    </w:r>
  </w:p>
  <w:p w14:paraId="3E9FE46C" w14:textId="77777777" w:rsidR="004B5274" w:rsidRDefault="004B5274" w:rsidP="004E1B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CC1B" w14:textId="77777777" w:rsidR="00FD1836" w:rsidRDefault="00FD1836">
      <w:r>
        <w:separator/>
      </w:r>
    </w:p>
  </w:footnote>
  <w:footnote w:type="continuationSeparator" w:id="0">
    <w:p w14:paraId="1DF52C01" w14:textId="77777777" w:rsidR="00FD1836" w:rsidRDefault="00FD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15F51"/>
    <w:multiLevelType w:val="hybridMultilevel"/>
    <w:tmpl w:val="D0C48B3A"/>
    <w:lvl w:ilvl="0" w:tplc="F5A41576">
      <w:start w:val="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67"/>
    <w:rsid w:val="00001FDA"/>
    <w:rsid w:val="000376A0"/>
    <w:rsid w:val="00044924"/>
    <w:rsid w:val="00057EEC"/>
    <w:rsid w:val="000A610B"/>
    <w:rsid w:val="000C5A3C"/>
    <w:rsid w:val="000D3C95"/>
    <w:rsid w:val="00117148"/>
    <w:rsid w:val="00173AF9"/>
    <w:rsid w:val="00177D74"/>
    <w:rsid w:val="001A41DE"/>
    <w:rsid w:val="001B051A"/>
    <w:rsid w:val="001C5384"/>
    <w:rsid w:val="001C7F0D"/>
    <w:rsid w:val="001D1ABC"/>
    <w:rsid w:val="0020644B"/>
    <w:rsid w:val="002218B8"/>
    <w:rsid w:val="00264D72"/>
    <w:rsid w:val="002A4B37"/>
    <w:rsid w:val="002D2B77"/>
    <w:rsid w:val="00302A4C"/>
    <w:rsid w:val="00345A70"/>
    <w:rsid w:val="00366F07"/>
    <w:rsid w:val="003A0E6F"/>
    <w:rsid w:val="003A3C4C"/>
    <w:rsid w:val="003C11B1"/>
    <w:rsid w:val="004021A7"/>
    <w:rsid w:val="00405CDE"/>
    <w:rsid w:val="0042205B"/>
    <w:rsid w:val="00422429"/>
    <w:rsid w:val="004232D8"/>
    <w:rsid w:val="004625C4"/>
    <w:rsid w:val="00473CAE"/>
    <w:rsid w:val="00485CF4"/>
    <w:rsid w:val="004B2E1B"/>
    <w:rsid w:val="004B5274"/>
    <w:rsid w:val="004E1BB8"/>
    <w:rsid w:val="00525B67"/>
    <w:rsid w:val="00543312"/>
    <w:rsid w:val="0057161F"/>
    <w:rsid w:val="005A75E2"/>
    <w:rsid w:val="005C4F55"/>
    <w:rsid w:val="00605DAC"/>
    <w:rsid w:val="006174A2"/>
    <w:rsid w:val="00673B1D"/>
    <w:rsid w:val="00693C3A"/>
    <w:rsid w:val="006C4995"/>
    <w:rsid w:val="00780ADA"/>
    <w:rsid w:val="007B72B0"/>
    <w:rsid w:val="007D638B"/>
    <w:rsid w:val="007E20C5"/>
    <w:rsid w:val="007E25D7"/>
    <w:rsid w:val="007E518B"/>
    <w:rsid w:val="007F30E0"/>
    <w:rsid w:val="00802000"/>
    <w:rsid w:val="00810E94"/>
    <w:rsid w:val="008172A2"/>
    <w:rsid w:val="008256E2"/>
    <w:rsid w:val="00850184"/>
    <w:rsid w:val="008A2C8D"/>
    <w:rsid w:val="008B4250"/>
    <w:rsid w:val="008C0979"/>
    <w:rsid w:val="008C740C"/>
    <w:rsid w:val="008F07CF"/>
    <w:rsid w:val="009058F9"/>
    <w:rsid w:val="009333FB"/>
    <w:rsid w:val="009D657B"/>
    <w:rsid w:val="00A026A9"/>
    <w:rsid w:val="00A059E8"/>
    <w:rsid w:val="00A679AE"/>
    <w:rsid w:val="00A758CE"/>
    <w:rsid w:val="00A76EEA"/>
    <w:rsid w:val="00A906E6"/>
    <w:rsid w:val="00B0026E"/>
    <w:rsid w:val="00B06AB0"/>
    <w:rsid w:val="00B554A2"/>
    <w:rsid w:val="00B64B8B"/>
    <w:rsid w:val="00B8234A"/>
    <w:rsid w:val="00B85BAF"/>
    <w:rsid w:val="00B85C83"/>
    <w:rsid w:val="00BA34C2"/>
    <w:rsid w:val="00BE6987"/>
    <w:rsid w:val="00BF2715"/>
    <w:rsid w:val="00C030D1"/>
    <w:rsid w:val="00C07A64"/>
    <w:rsid w:val="00C07B1A"/>
    <w:rsid w:val="00C16287"/>
    <w:rsid w:val="00C2131D"/>
    <w:rsid w:val="00C82C2E"/>
    <w:rsid w:val="00CB77D3"/>
    <w:rsid w:val="00CC55FF"/>
    <w:rsid w:val="00CD5004"/>
    <w:rsid w:val="00CD6886"/>
    <w:rsid w:val="00D077EF"/>
    <w:rsid w:val="00D2477E"/>
    <w:rsid w:val="00D30790"/>
    <w:rsid w:val="00D352B0"/>
    <w:rsid w:val="00D74923"/>
    <w:rsid w:val="00D9608B"/>
    <w:rsid w:val="00E43F6C"/>
    <w:rsid w:val="00E716CC"/>
    <w:rsid w:val="00EA746B"/>
    <w:rsid w:val="00F00CCA"/>
    <w:rsid w:val="00F645E6"/>
    <w:rsid w:val="00F65314"/>
    <w:rsid w:val="00F71A32"/>
    <w:rsid w:val="00FD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CA6764"/>
  <w15:chartTrackingRefBased/>
  <w15:docId w15:val="{41C9AFF9-A608-414F-8931-86542D60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1BB8"/>
    <w:rPr>
      <w:rFonts w:ascii="MS Shell Dlg" w:hAnsi="MS Shell Dlg" w:cs="MS Shell Dlg"/>
      <w:sz w:val="16"/>
      <w:szCs w:val="16"/>
    </w:rPr>
  </w:style>
  <w:style w:type="paragraph" w:styleId="Footer">
    <w:name w:val="footer"/>
    <w:basedOn w:val="Normal"/>
    <w:rsid w:val="004E1BB8"/>
    <w:pPr>
      <w:tabs>
        <w:tab w:val="center" w:pos="4320"/>
        <w:tab w:val="right" w:pos="8640"/>
      </w:tabs>
    </w:pPr>
  </w:style>
  <w:style w:type="character" w:styleId="PageNumber">
    <w:name w:val="page number"/>
    <w:basedOn w:val="DefaultParagraphFont"/>
    <w:rsid w:val="004E1BB8"/>
  </w:style>
  <w:style w:type="table" w:styleId="TableGrid">
    <w:name w:val="Table Grid"/>
    <w:basedOn w:val="TableNormal"/>
    <w:rsid w:val="00850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LocalUser</dc:creator>
  <cp:keywords/>
  <dc:description/>
  <cp:lastModifiedBy>Clark, Spencer</cp:lastModifiedBy>
  <cp:revision>2</cp:revision>
  <cp:lastPrinted>2007-09-14T20:40:00Z</cp:lastPrinted>
  <dcterms:created xsi:type="dcterms:W3CDTF">2020-11-27T20:24:00Z</dcterms:created>
  <dcterms:modified xsi:type="dcterms:W3CDTF">2020-11-27T20:24:00Z</dcterms:modified>
</cp:coreProperties>
</file>