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15" w:rsidP="00CA297A" w:rsidRDefault="00061715" w14:paraId="7C31A0EF" w14:textId="3D0869C3">
      <w:pPr>
        <w:pStyle w:val="Title"/>
      </w:pPr>
      <w:r>
        <w:t>Office of the Comptroller of the Currency</w:t>
      </w:r>
    </w:p>
    <w:p w:rsidR="00473806" w:rsidP="00CA297A" w:rsidRDefault="00473806" w14:paraId="06CE30DD" w14:textId="77777777">
      <w:pPr>
        <w:pStyle w:val="Title"/>
      </w:pPr>
    </w:p>
    <w:p w:rsidR="009D0184" w:rsidP="00CA297A" w:rsidRDefault="009D0184" w14:paraId="16F7DA40" w14:textId="70EC17EA">
      <w:pPr>
        <w:pStyle w:val="Title"/>
      </w:pPr>
      <w:r>
        <w:t>Supporting Statement</w:t>
      </w:r>
    </w:p>
    <w:p w:rsidR="00473806" w:rsidP="00CA297A" w:rsidRDefault="00473806" w14:paraId="2C5E69AA" w14:textId="77777777">
      <w:pPr>
        <w:pStyle w:val="Title"/>
      </w:pPr>
    </w:p>
    <w:p w:rsidR="00473806" w:rsidP="00473806" w:rsidRDefault="00771D0D" w14:paraId="357AB916" w14:textId="401B4327">
      <w:pPr>
        <w:ind w:firstLine="720"/>
        <w:jc w:val="center"/>
        <w:rPr>
          <w:b/>
        </w:rPr>
      </w:pPr>
      <w:r w:rsidRPr="00473806">
        <w:rPr>
          <w:b/>
        </w:rPr>
        <w:t>Voluntary Supervisory Conversion Application:</w:t>
      </w:r>
    </w:p>
    <w:p w:rsidR="00771D0D" w:rsidP="00473806" w:rsidRDefault="00771D0D" w14:paraId="3827BC8D" w14:textId="6513809A">
      <w:pPr>
        <w:ind w:firstLine="720"/>
        <w:jc w:val="center"/>
        <w:rPr>
          <w:b/>
        </w:rPr>
      </w:pPr>
      <w:r w:rsidRPr="00473806">
        <w:rPr>
          <w:b/>
        </w:rPr>
        <w:t>Successor Savings Association Roles</w:t>
      </w:r>
    </w:p>
    <w:p w:rsidRPr="00473806" w:rsidR="00473806" w:rsidP="00473806" w:rsidRDefault="00473806" w14:paraId="38398A2F" w14:textId="77777777">
      <w:pPr>
        <w:ind w:firstLine="720"/>
        <w:jc w:val="center"/>
        <w:rPr>
          <w:b/>
        </w:rPr>
      </w:pPr>
    </w:p>
    <w:p w:rsidR="009D0184" w:rsidP="00CA297A" w:rsidRDefault="00662CFA" w14:paraId="7DBE94FC" w14:textId="0F0C8A3E">
      <w:pPr>
        <w:jc w:val="center"/>
        <w:rPr>
          <w:b/>
          <w:bCs/>
        </w:rPr>
      </w:pPr>
      <w:r>
        <w:rPr>
          <w:b/>
          <w:bCs/>
        </w:rPr>
        <w:t>OMB Control No.</w:t>
      </w:r>
      <w:r w:rsidR="009D0184">
        <w:rPr>
          <w:b/>
          <w:bCs/>
        </w:rPr>
        <w:t xml:space="preserve"> 1557-</w:t>
      </w:r>
      <w:r w:rsidR="00771D0D">
        <w:rPr>
          <w:b/>
          <w:bCs/>
        </w:rPr>
        <w:t>NEW</w:t>
      </w:r>
    </w:p>
    <w:p w:rsidRPr="00662CFA" w:rsidR="00EB169D" w:rsidP="00CA297A" w:rsidRDefault="00EB169D" w14:paraId="13667685" w14:textId="77777777">
      <w:pPr>
        <w:pStyle w:val="HTMLPreformatted"/>
        <w:rPr>
          <w:rFonts w:ascii="Times New Roman" w:hAnsi="Times New Roman" w:cs="Times New Roman"/>
          <w:b/>
          <w:sz w:val="24"/>
          <w:szCs w:val="24"/>
        </w:rPr>
      </w:pPr>
    </w:p>
    <w:p w:rsidR="00EB2A30" w:rsidP="00EB2A30" w:rsidRDefault="00EB2A30" w14:paraId="5CDD803E" w14:textId="77777777">
      <w:pPr>
        <w:rPr>
          <w:b/>
          <w:bCs/>
        </w:rPr>
      </w:pPr>
      <w:r>
        <w:rPr>
          <w:b/>
          <w:bCs/>
        </w:rPr>
        <w:t>A.  Justification.</w:t>
      </w:r>
    </w:p>
    <w:p w:rsidR="00EB2A30" w:rsidP="00EB2A30" w:rsidRDefault="00EB2A30" w14:paraId="388D9FA5" w14:textId="77777777"/>
    <w:p w:rsidR="00EB2A30" w:rsidP="00EB2A30" w:rsidRDefault="00EB2A30" w14:paraId="2C323D9B" w14:textId="77777777">
      <w:pPr>
        <w:rPr>
          <w:b/>
          <w:bCs/>
          <w:i/>
          <w:iCs/>
        </w:rPr>
      </w:pPr>
      <w:r>
        <w:rPr>
          <w:b/>
          <w:bCs/>
          <w:i/>
          <w:iCs/>
        </w:rPr>
        <w:t>1.  Circumstances that make the collection necessary:</w:t>
      </w:r>
    </w:p>
    <w:p w:rsidR="00271825" w:rsidP="00CA297A" w:rsidRDefault="00271825" w14:paraId="1E7233C9" w14:textId="77777777"/>
    <w:p w:rsidRPr="005A4AE5" w:rsidR="00600A45" w:rsidP="005A4AE5" w:rsidRDefault="005A4AE5" w14:paraId="71B797BE" w14:textId="52EB8BF1">
      <w:pPr>
        <w:pStyle w:val="BodyText"/>
        <w:ind w:firstLine="720"/>
        <w:rPr>
          <w:bCs/>
          <w:i w:val="0"/>
          <w:szCs w:val="24"/>
        </w:rPr>
      </w:pPr>
      <w:r>
        <w:rPr>
          <w:i w:val="0"/>
          <w:szCs w:val="24"/>
        </w:rPr>
        <w:t>This ICR relates to a</w:t>
      </w:r>
      <w:r w:rsidRPr="005A4AE5">
        <w:rPr>
          <w:i w:val="0"/>
          <w:szCs w:val="24"/>
        </w:rPr>
        <w:t xml:space="preserve"> </w:t>
      </w:r>
      <w:r w:rsidR="003B7860">
        <w:rPr>
          <w:i w:val="0"/>
          <w:szCs w:val="24"/>
        </w:rPr>
        <w:t>final</w:t>
      </w:r>
      <w:r w:rsidRPr="005A4AE5">
        <w:rPr>
          <w:i w:val="0"/>
          <w:szCs w:val="24"/>
        </w:rPr>
        <w:t xml:space="preserve"> rule that implement</w:t>
      </w:r>
      <w:r w:rsidR="003B7860">
        <w:rPr>
          <w:i w:val="0"/>
          <w:szCs w:val="24"/>
        </w:rPr>
        <w:t xml:space="preserve">s </w:t>
      </w:r>
      <w:r w:rsidRPr="005A4AE5">
        <w:rPr>
          <w:i w:val="0"/>
          <w:szCs w:val="24"/>
        </w:rPr>
        <w:t xml:space="preserve">changes recommended in the March 2017 </w:t>
      </w:r>
      <w:r w:rsidRPr="005A4AE5">
        <w:rPr>
          <w:bCs/>
          <w:i w:val="0"/>
          <w:szCs w:val="24"/>
        </w:rPr>
        <w:t>Economic Growth and Regulatory Paperwork Reduction Act</w:t>
      </w:r>
      <w:r w:rsidRPr="005A4AE5">
        <w:rPr>
          <w:i w:val="0"/>
          <w:szCs w:val="24"/>
        </w:rPr>
        <w:t xml:space="preserve"> report, </w:t>
      </w:r>
      <w:r w:rsidRPr="005A4AE5">
        <w:rPr>
          <w:bCs/>
          <w:i w:val="0"/>
          <w:szCs w:val="24"/>
        </w:rPr>
        <w:t xml:space="preserve">including the repeal of the OCC’s employment contract rule for Federal savings associations, and amend the OCC’s fiduciary rules. The </w:t>
      </w:r>
      <w:r w:rsidR="003B7860">
        <w:rPr>
          <w:bCs/>
          <w:i w:val="0"/>
          <w:szCs w:val="24"/>
        </w:rPr>
        <w:t>r</w:t>
      </w:r>
      <w:r w:rsidRPr="005A4AE5">
        <w:rPr>
          <w:bCs/>
          <w:i w:val="0"/>
          <w:szCs w:val="24"/>
        </w:rPr>
        <w:t>ule also amend</w:t>
      </w:r>
      <w:r w:rsidR="003B7860">
        <w:rPr>
          <w:bCs/>
          <w:i w:val="0"/>
          <w:szCs w:val="24"/>
        </w:rPr>
        <w:t>s</w:t>
      </w:r>
      <w:r w:rsidRPr="005A4AE5">
        <w:rPr>
          <w:bCs/>
          <w:i w:val="0"/>
          <w:szCs w:val="24"/>
        </w:rPr>
        <w:t xml:space="preserve"> the OCC’s rule for conversions from mutual to stock form of a savings association to reduce burden, increase flexibility, and update cross-references.</w:t>
      </w:r>
    </w:p>
    <w:p w:rsidR="005A4AE5" w:rsidP="00EB2A30" w:rsidRDefault="005A4AE5" w14:paraId="5871ACF7" w14:textId="77777777">
      <w:pPr>
        <w:pStyle w:val="BodyText"/>
        <w:rPr>
          <w:b/>
          <w:bCs/>
        </w:rPr>
      </w:pPr>
    </w:p>
    <w:p w:rsidR="00EB2A30" w:rsidP="00EB2A30" w:rsidRDefault="00EB2A30" w14:paraId="2B4537D4" w14:textId="77777777">
      <w:pPr>
        <w:pStyle w:val="BodyText"/>
        <w:rPr>
          <w:b/>
          <w:bCs/>
        </w:rPr>
      </w:pPr>
      <w:r>
        <w:rPr>
          <w:b/>
          <w:bCs/>
        </w:rPr>
        <w:t>2.  Use of the information:</w:t>
      </w:r>
    </w:p>
    <w:p w:rsidR="00C13C88" w:rsidP="00C13C88" w:rsidRDefault="00C13C88" w14:paraId="0A3F5F92" w14:textId="77777777"/>
    <w:p w:rsidR="00C13C88" w:rsidP="00933BD5" w:rsidRDefault="00C13C88" w14:paraId="3C420947" w14:textId="655B5238">
      <w:pPr>
        <w:ind w:firstLine="720"/>
      </w:pPr>
      <w:r>
        <w:t xml:space="preserve">The </w:t>
      </w:r>
      <w:r w:rsidR="003B7860">
        <w:t>rule</w:t>
      </w:r>
      <w:r>
        <w:t xml:space="preserve"> add</w:t>
      </w:r>
      <w:r w:rsidR="003B7860">
        <w:t>s</w:t>
      </w:r>
      <w:r>
        <w:t xml:space="preserve"> a new § 192.660(e)(3) to require that the voluntary supervisory conversion application include a statement indicating the role in the successor savings association each director, officer, and affiliate of the savings association or associate of the director or officer will have after the conversion.  This burden for this requirement will be added to the existing information collection for OCC’s Licensing Manual.</w:t>
      </w:r>
    </w:p>
    <w:p w:rsidR="00EB169D" w:rsidP="00CA297A" w:rsidRDefault="00EB169D" w14:paraId="3E5B836B" w14:textId="77777777"/>
    <w:p w:rsidR="00EB2A30" w:rsidP="00EB2A30" w:rsidRDefault="00EB2A30" w14:paraId="57CD6C72" w14:textId="77777777">
      <w:pPr>
        <w:rPr>
          <w:b/>
          <w:bCs/>
          <w:i/>
          <w:iCs/>
        </w:rPr>
      </w:pPr>
      <w:r>
        <w:rPr>
          <w:b/>
          <w:bCs/>
          <w:i/>
          <w:iCs/>
        </w:rPr>
        <w:t>3.  Consideration of the use of improved information technology:</w:t>
      </w:r>
    </w:p>
    <w:p w:rsidR="00EB169D" w:rsidP="00CA297A" w:rsidRDefault="00EB169D" w14:paraId="7EC643AD" w14:textId="77777777"/>
    <w:p w:rsidR="000D72FD" w:rsidP="00CA297A" w:rsidRDefault="000D72FD" w14:paraId="171F4421" w14:textId="77777777">
      <w:pPr>
        <w:ind w:firstLine="720"/>
      </w:pPr>
      <w:r>
        <w:t>Institutions may use any method of improved information technology that meets the requirements of the regulation.</w:t>
      </w:r>
    </w:p>
    <w:p w:rsidR="00EB169D" w:rsidP="00CA297A" w:rsidRDefault="00EB169D" w14:paraId="25855844" w14:textId="77777777">
      <w:pPr>
        <w:pStyle w:val="BodyText"/>
      </w:pPr>
    </w:p>
    <w:p w:rsidR="00EB2A30" w:rsidP="00EB2A30" w:rsidRDefault="00EB2A30" w14:paraId="0797FDFA" w14:textId="77777777">
      <w:pPr>
        <w:rPr>
          <w:b/>
          <w:bCs/>
          <w:i/>
          <w:iCs/>
        </w:rPr>
      </w:pPr>
      <w:r>
        <w:rPr>
          <w:b/>
          <w:bCs/>
          <w:i/>
          <w:iCs/>
        </w:rPr>
        <w:t>4.  Efforts to identify duplication:</w:t>
      </w:r>
    </w:p>
    <w:p w:rsidR="000D72FD" w:rsidP="00E91422" w:rsidRDefault="000D72FD" w14:paraId="6CF7080E" w14:textId="77777777"/>
    <w:p w:rsidR="000D72FD" w:rsidP="00CA297A" w:rsidRDefault="000D72FD" w14:paraId="5BFCEFAE" w14:textId="6E14851E">
      <w:pPr>
        <w:ind w:firstLine="720"/>
      </w:pPr>
      <w:r>
        <w:t>The required information is not available from any other source.</w:t>
      </w:r>
    </w:p>
    <w:p w:rsidR="00EB169D" w:rsidP="00CA297A" w:rsidRDefault="00EB169D" w14:paraId="1183C3F3" w14:textId="77777777"/>
    <w:p w:rsidR="002E7BD2" w:rsidP="002E7BD2" w:rsidRDefault="002E7BD2" w14:paraId="0700FDAC"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2E7BD2" w:rsidP="002E7BD2" w:rsidRDefault="002E7BD2" w14:paraId="4C107265" w14:textId="77777777"/>
    <w:p w:rsidR="002E7BD2" w:rsidP="002E7BD2" w:rsidRDefault="002E7BD2" w14:paraId="2E016E66" w14:textId="77777777">
      <w:pPr>
        <w:ind w:firstLine="720"/>
        <w:rPr>
          <w:color w:val="000000"/>
        </w:rPr>
      </w:pPr>
      <w:r>
        <w:rPr>
          <w:color w:val="000000"/>
        </w:rPr>
        <w:t>There are no alternatives that would result in lowering the burden on small institutions, while still accomplishing the purpose of the rule.</w:t>
      </w:r>
    </w:p>
    <w:p w:rsidR="00EA6EAB" w:rsidP="00CA297A" w:rsidRDefault="00EA6EAB" w14:paraId="2641FEED" w14:textId="77777777">
      <w:pPr>
        <w:rPr>
          <w:b/>
          <w:bCs/>
        </w:rPr>
      </w:pPr>
    </w:p>
    <w:p w:rsidR="00EB2A30" w:rsidP="00EB2A30" w:rsidRDefault="00EB2A30" w14:paraId="5FF9E42C" w14:textId="77777777">
      <w:pPr>
        <w:pStyle w:val="BodyText"/>
        <w:rPr>
          <w:b/>
          <w:bCs/>
        </w:rPr>
      </w:pPr>
      <w:r>
        <w:rPr>
          <w:b/>
          <w:bCs/>
        </w:rPr>
        <w:t xml:space="preserve">6.  Consequences to the </w:t>
      </w:r>
      <w:r w:rsidR="00E21663">
        <w:rPr>
          <w:b/>
          <w:bCs/>
        </w:rPr>
        <w:t>f</w:t>
      </w:r>
      <w:r>
        <w:rPr>
          <w:b/>
          <w:bCs/>
        </w:rPr>
        <w:t>ederal program if the collection were conducted less frequently:</w:t>
      </w:r>
    </w:p>
    <w:p w:rsidR="000D72FD" w:rsidP="00CA297A" w:rsidRDefault="000D72FD" w14:paraId="10B3618D" w14:textId="77777777">
      <w:pPr>
        <w:ind w:firstLine="720"/>
      </w:pPr>
    </w:p>
    <w:p w:rsidR="000D72FD" w:rsidP="00CA297A" w:rsidRDefault="000D72FD" w14:paraId="4CB21179" w14:textId="3C79672E">
      <w:pPr>
        <w:ind w:firstLine="720"/>
      </w:pPr>
      <w:r>
        <w:t>Less frequent preparation or disclosure could impair OCC supervision</w:t>
      </w:r>
      <w:r w:rsidR="00C067A6">
        <w:t>.</w:t>
      </w:r>
    </w:p>
    <w:p w:rsidR="005F32D0" w:rsidP="00EB2A30" w:rsidRDefault="005F32D0" w14:paraId="6D6F5BBE" w14:textId="77777777">
      <w:pPr>
        <w:pStyle w:val="BodyText"/>
        <w:rPr>
          <w:b/>
          <w:bCs/>
        </w:rPr>
      </w:pPr>
    </w:p>
    <w:p w:rsidR="00EB2A30" w:rsidP="00EB2A30" w:rsidRDefault="00EB2A30" w14:paraId="641F7B7C" w14:textId="77777777">
      <w:pPr>
        <w:pStyle w:val="BodyText"/>
        <w:rPr>
          <w:b/>
          <w:bCs/>
        </w:rPr>
      </w:pPr>
      <w:r>
        <w:rPr>
          <w:b/>
          <w:bCs/>
        </w:rPr>
        <w:lastRenderedPageBreak/>
        <w:t xml:space="preserve">7.  Special circumstances that would cause an information collection to be conducted in a manner inconsistent with 5 CFR </w:t>
      </w:r>
      <w:r w:rsidR="002E7BD2">
        <w:rPr>
          <w:b/>
          <w:bCs/>
        </w:rPr>
        <w:t>p</w:t>
      </w:r>
      <w:r>
        <w:rPr>
          <w:b/>
          <w:bCs/>
        </w:rPr>
        <w:t>art 1320:</w:t>
      </w:r>
    </w:p>
    <w:p w:rsidR="00EB169D" w:rsidP="00CA297A" w:rsidRDefault="00EB169D" w14:paraId="26D140CE" w14:textId="77777777">
      <w:pPr>
        <w:rPr>
          <w:b/>
          <w:bCs/>
        </w:rPr>
      </w:pPr>
    </w:p>
    <w:p w:rsidR="00EB169D" w:rsidP="00CA297A" w:rsidRDefault="00EB169D" w14:paraId="44AFE2DF" w14:textId="77777777">
      <w:r>
        <w:rPr>
          <w:b/>
          <w:bCs/>
        </w:rPr>
        <w:tab/>
      </w:r>
      <w:r>
        <w:t xml:space="preserve">These information collections are conducted in a manner consistent with the requirements of 5 </w:t>
      </w:r>
      <w:r w:rsidR="005625AA">
        <w:t xml:space="preserve">CFR </w:t>
      </w:r>
      <w:r w:rsidR="00EB2A30">
        <w:t xml:space="preserve">part </w:t>
      </w:r>
      <w:r w:rsidR="005625AA">
        <w:t>1320</w:t>
      </w:r>
      <w:r>
        <w:t>.</w:t>
      </w:r>
    </w:p>
    <w:p w:rsidR="00EB169D" w:rsidP="00CA297A" w:rsidRDefault="00EB169D" w14:paraId="2A9F5C28" w14:textId="77777777">
      <w:pPr>
        <w:rPr>
          <w:b/>
          <w:bCs/>
        </w:rPr>
      </w:pPr>
    </w:p>
    <w:p w:rsidR="00AA1086" w:rsidP="00AA1086" w:rsidRDefault="00AA1086" w14:paraId="3E9F2786" w14:textId="77777777">
      <w:pPr>
        <w:pStyle w:val="BodyText"/>
        <w:rPr>
          <w:b/>
          <w:bCs/>
        </w:rPr>
      </w:pPr>
      <w:r>
        <w:rPr>
          <w:b/>
          <w:bCs/>
        </w:rPr>
        <w:t>8.  Efforts to consult with persons outside the agency:</w:t>
      </w:r>
    </w:p>
    <w:p w:rsidR="00EB169D" w:rsidP="0089383F" w:rsidRDefault="00EB169D" w14:paraId="7ABC13F9" w14:textId="77777777">
      <w:pPr>
        <w:rPr>
          <w:b/>
          <w:bCs/>
        </w:rPr>
      </w:pPr>
    </w:p>
    <w:p w:rsidR="007A6068" w:rsidP="0089383F" w:rsidRDefault="007A6068" w14:paraId="572FE688" w14:textId="36510DBD">
      <w:pPr>
        <w:pStyle w:val="Default"/>
      </w:pPr>
      <w:r>
        <w:tab/>
      </w:r>
      <w:r w:rsidR="00C13C88">
        <w:t>The information collection was published for 60 days of comment as part of a notice of proposed rulemaking.</w:t>
      </w:r>
      <w:r w:rsidR="00A94A91">
        <w:t xml:space="preserve">  No comments were received on the information collection requirements.</w:t>
      </w:r>
      <w:bookmarkStart w:name="_GoBack" w:id="0"/>
      <w:bookmarkEnd w:id="0"/>
    </w:p>
    <w:p w:rsidR="00C13C88" w:rsidP="0089383F" w:rsidRDefault="00C13C88" w14:paraId="5558CD1D" w14:textId="77777777">
      <w:pPr>
        <w:pStyle w:val="Default"/>
      </w:pPr>
    </w:p>
    <w:p w:rsidR="00B3053A" w:rsidP="007A6068" w:rsidRDefault="00B3053A" w14:paraId="63ABDFB9" w14:textId="77777777">
      <w:pPr>
        <w:rPr>
          <w:b/>
          <w:bCs/>
        </w:rPr>
      </w:pPr>
      <w:r>
        <w:rPr>
          <w:b/>
          <w:bCs/>
        </w:rPr>
        <w:t>9.  Payment or gift to respondents:</w:t>
      </w:r>
    </w:p>
    <w:p w:rsidR="00EB169D" w:rsidP="00CA297A" w:rsidRDefault="00EB169D" w14:paraId="53B2A0C3" w14:textId="77777777">
      <w:pPr>
        <w:rPr>
          <w:b/>
          <w:bCs/>
        </w:rPr>
      </w:pPr>
    </w:p>
    <w:p w:rsidR="00EB169D" w:rsidP="00CA297A" w:rsidRDefault="00EB169D" w14:paraId="06CE298B" w14:textId="77777777">
      <w:r>
        <w:rPr>
          <w:b/>
          <w:bCs/>
        </w:rPr>
        <w:tab/>
      </w:r>
      <w:r w:rsidR="00E6241D">
        <w:t>There are</w:t>
      </w:r>
      <w:r>
        <w:t xml:space="preserve"> no payment</w:t>
      </w:r>
      <w:r w:rsidR="00E6241D">
        <w:t>s</w:t>
      </w:r>
      <w:r>
        <w:t xml:space="preserve"> to respondents.</w:t>
      </w:r>
    </w:p>
    <w:p w:rsidR="00EB169D" w:rsidP="00CA297A" w:rsidRDefault="00EB169D" w14:paraId="2E1C5EA9" w14:textId="77777777">
      <w:pPr>
        <w:rPr>
          <w:b/>
          <w:bCs/>
        </w:rPr>
      </w:pPr>
    </w:p>
    <w:p w:rsidR="00B3053A" w:rsidP="00B3053A" w:rsidRDefault="00B3053A" w14:paraId="116856D5" w14:textId="77777777">
      <w:pPr>
        <w:pStyle w:val="BodyText"/>
        <w:rPr>
          <w:b/>
          <w:bCs/>
        </w:rPr>
      </w:pPr>
      <w:r>
        <w:rPr>
          <w:b/>
          <w:bCs/>
        </w:rPr>
        <w:t>10.  Any assurance of confidentiality:</w:t>
      </w:r>
    </w:p>
    <w:p w:rsidR="00EB169D" w:rsidP="00CA297A" w:rsidRDefault="00EB169D" w14:paraId="6AD7F042" w14:textId="77777777">
      <w:pPr>
        <w:rPr>
          <w:b/>
          <w:bCs/>
        </w:rPr>
      </w:pPr>
    </w:p>
    <w:p w:rsidR="00EB169D" w:rsidP="00CA297A" w:rsidRDefault="00EB169D" w14:paraId="79290DBB" w14:textId="77777777">
      <w:r>
        <w:rPr>
          <w:b/>
          <w:bCs/>
        </w:rPr>
        <w:tab/>
      </w:r>
      <w:r w:rsidR="00121FE6">
        <w:t>The information will be kept confidential to the extent permitted by law.</w:t>
      </w:r>
    </w:p>
    <w:p w:rsidR="00EB169D" w:rsidP="00CA297A" w:rsidRDefault="00EB169D" w14:paraId="3700C595" w14:textId="77777777"/>
    <w:p w:rsidR="00B3053A" w:rsidP="00B3053A" w:rsidRDefault="00B3053A" w14:paraId="33A8A857" w14:textId="77777777">
      <w:pPr>
        <w:pStyle w:val="BodyText"/>
        <w:rPr>
          <w:b/>
          <w:bCs/>
        </w:rPr>
      </w:pPr>
      <w:r>
        <w:rPr>
          <w:b/>
          <w:bCs/>
        </w:rPr>
        <w:t>11.  Justification for questions of a sensitive nature:</w:t>
      </w:r>
    </w:p>
    <w:p w:rsidR="00EB169D" w:rsidP="00CA297A" w:rsidRDefault="00EB169D" w14:paraId="684EE8D2" w14:textId="77777777"/>
    <w:p w:rsidR="00EB169D" w:rsidP="00CA297A" w:rsidRDefault="00EB169D" w14:paraId="3646AA9D" w14:textId="77777777">
      <w:r>
        <w:tab/>
        <w:t>There are no questions of a sensitive nature.</w:t>
      </w:r>
    </w:p>
    <w:p w:rsidR="008C4374" w:rsidP="00CA297A" w:rsidRDefault="008C4374" w14:paraId="500C1935" w14:textId="77777777"/>
    <w:p w:rsidR="00374343" w:rsidP="00C067A6" w:rsidRDefault="00A72969" w14:paraId="3DE17BC3" w14:textId="465EC8B0">
      <w:pPr>
        <w:rPr>
          <w:b/>
          <w:bCs/>
          <w:i/>
          <w:iCs/>
        </w:rPr>
      </w:pPr>
      <w:r w:rsidRPr="00A72969">
        <w:rPr>
          <w:b/>
          <w:bCs/>
          <w:i/>
          <w:iCs/>
        </w:rPr>
        <w:t>12.  Burden estimate:</w:t>
      </w:r>
      <w:r w:rsidR="00C067A6">
        <w:rPr>
          <w:b/>
          <w:bCs/>
          <w:i/>
          <w:iCs/>
        </w:rPr>
        <w:t xml:space="preserve"> </w:t>
      </w:r>
    </w:p>
    <w:p w:rsidR="00C13C88" w:rsidP="00C067A6" w:rsidRDefault="00C13C88" w14:paraId="3D45D364" w14:textId="3ACB79CC">
      <w:pPr>
        <w:rPr>
          <w:b/>
          <w:bCs/>
          <w:i/>
          <w:iCs/>
        </w:rPr>
      </w:pPr>
    </w:p>
    <w:p w:rsidR="00C13C88" w:rsidP="00C13C88" w:rsidRDefault="00C13C88" w14:paraId="0FF72C52" w14:textId="77777777">
      <w:pPr>
        <w:spacing w:line="480" w:lineRule="auto"/>
        <w:ind w:firstLine="720"/>
      </w:pPr>
      <w:r>
        <w:rPr>
          <w:u w:val="single"/>
        </w:rPr>
        <w:t>Estimated Number of Respondents</w:t>
      </w:r>
      <w:r>
        <w:t>:  1.</w:t>
      </w:r>
    </w:p>
    <w:p w:rsidR="00C13C88" w:rsidP="00C13C88" w:rsidRDefault="00C13C88" w14:paraId="186BF034" w14:textId="77777777">
      <w:pPr>
        <w:spacing w:line="480" w:lineRule="auto"/>
        <w:ind w:firstLine="720"/>
      </w:pPr>
      <w:r>
        <w:rPr>
          <w:u w:val="single"/>
        </w:rPr>
        <w:t>Estimated Burden per Respondent</w:t>
      </w:r>
      <w:r>
        <w:t>:  2 hours.</w:t>
      </w:r>
    </w:p>
    <w:p w:rsidR="00C13C88" w:rsidP="00C13C88" w:rsidRDefault="00C13C88" w14:paraId="7FEAA705" w14:textId="77777777">
      <w:pPr>
        <w:spacing w:line="480" w:lineRule="auto"/>
        <w:ind w:firstLine="720"/>
      </w:pPr>
      <w:r>
        <w:rPr>
          <w:u w:val="single"/>
        </w:rPr>
        <w:t>Estimated Total Annual Burden</w:t>
      </w:r>
      <w:r>
        <w:t>:  2 hours.</w:t>
      </w:r>
    </w:p>
    <w:p w:rsidR="00C13C88" w:rsidP="00C067A6" w:rsidRDefault="00C13C88" w14:paraId="2B0C521D" w14:textId="77777777">
      <w:pPr>
        <w:rPr>
          <w:b/>
          <w:bCs/>
          <w:i/>
          <w:iCs/>
        </w:rPr>
      </w:pPr>
    </w:p>
    <w:p w:rsidR="00E6241D" w:rsidP="00CA297A" w:rsidRDefault="00E6241D" w14:paraId="386AD7CA" w14:textId="457F80B2">
      <w:pPr>
        <w:rPr>
          <w:b/>
          <w:bCs/>
          <w:i/>
          <w:iCs/>
        </w:rPr>
      </w:pPr>
      <w:r>
        <w:rPr>
          <w:b/>
          <w:bCs/>
          <w:i/>
          <w:iCs/>
        </w:rPr>
        <w:t>Cost of Hour Burden to Respondents:</w:t>
      </w:r>
    </w:p>
    <w:p w:rsidR="00183B20" w:rsidP="00CA297A" w:rsidRDefault="00183B20" w14:paraId="4778FABD" w14:textId="0BB7F454">
      <w:pPr>
        <w:rPr>
          <w:b/>
          <w:bCs/>
          <w:i/>
          <w:iCs/>
        </w:rPr>
      </w:pPr>
    </w:p>
    <w:p w:rsidRPr="00183B20" w:rsidR="00183B20" w:rsidP="00CA297A" w:rsidRDefault="00183B20" w14:paraId="2B24F449" w14:textId="7E8EC60E">
      <w:pPr>
        <w:rPr>
          <w:bCs/>
          <w:iCs/>
        </w:rPr>
      </w:pPr>
      <w:r>
        <w:rPr>
          <w:bCs/>
          <w:iCs/>
        </w:rPr>
        <w:t>2 x $11</w:t>
      </w:r>
      <w:r w:rsidR="003B7860">
        <w:rPr>
          <w:bCs/>
          <w:iCs/>
        </w:rPr>
        <w:t>5.19</w:t>
      </w:r>
      <w:r>
        <w:rPr>
          <w:bCs/>
          <w:iCs/>
        </w:rPr>
        <w:t xml:space="preserve"> = $2</w:t>
      </w:r>
      <w:r w:rsidR="003B7860">
        <w:rPr>
          <w:bCs/>
          <w:iCs/>
        </w:rPr>
        <w:t>30.35</w:t>
      </w:r>
    </w:p>
    <w:p w:rsidR="00183B20" w:rsidP="00CA297A" w:rsidRDefault="00183B20" w14:paraId="2F24AE1F" w14:textId="77777777">
      <w:pPr>
        <w:rPr>
          <w:b/>
          <w:bCs/>
          <w:i/>
          <w:iCs/>
        </w:rPr>
      </w:pPr>
    </w:p>
    <w:p w:rsidRPr="0064167F" w:rsidR="003B7860" w:rsidP="003B7860" w:rsidRDefault="003B7860" w14:paraId="205D63C8" w14:textId="77777777">
      <w:pPr>
        <w:rPr>
          <w:szCs w:val="24"/>
        </w:rPr>
      </w:pPr>
      <w:r>
        <w:rPr>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Cs w:val="24"/>
        </w:rPr>
        <w:t>nondepository</w:t>
      </w:r>
      <w:proofErr w:type="spellEnd"/>
      <w:r>
        <w:rPr>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A72969" w:rsidR="00A72969" w:rsidP="00A72969" w:rsidRDefault="00A72969" w14:paraId="30EC89E3" w14:textId="77777777">
      <w:pPr>
        <w:tabs>
          <w:tab w:val="left" w:pos="-1440"/>
        </w:tabs>
        <w:rPr>
          <w:b/>
          <w:bCs/>
          <w:i/>
          <w:iCs/>
          <w:szCs w:val="24"/>
        </w:rPr>
      </w:pPr>
    </w:p>
    <w:p w:rsidR="00CC442E" w:rsidP="00A72969" w:rsidRDefault="00A72969" w14:paraId="7D72A925" w14:textId="77777777">
      <w:pPr>
        <w:tabs>
          <w:tab w:val="left" w:pos="-1440"/>
        </w:tabs>
        <w:rPr>
          <w:b/>
          <w:bCs/>
          <w:i/>
          <w:szCs w:val="24"/>
        </w:rPr>
      </w:pPr>
      <w:r w:rsidRPr="00A72969">
        <w:rPr>
          <w:b/>
          <w:bCs/>
          <w:i/>
          <w:iCs/>
          <w:szCs w:val="24"/>
        </w:rPr>
        <w:t>13.  Estimate of total annual costs to respondents (excluding cost of hour burden in Item #12):</w:t>
      </w:r>
    </w:p>
    <w:p w:rsidR="00826C1D" w:rsidP="00A322EE" w:rsidRDefault="00CC442E" w14:paraId="32CFEEEC" w14:textId="77777777">
      <w:pPr>
        <w:tabs>
          <w:tab w:val="left" w:pos="-1440"/>
        </w:tabs>
        <w:rPr>
          <w:b/>
          <w:bCs/>
          <w:i/>
          <w:szCs w:val="24"/>
        </w:rPr>
      </w:pPr>
      <w:r>
        <w:rPr>
          <w:b/>
          <w:bCs/>
          <w:i/>
          <w:szCs w:val="24"/>
        </w:rPr>
        <w:lastRenderedPageBreak/>
        <w:tab/>
      </w:r>
    </w:p>
    <w:p w:rsidRPr="00CC442E" w:rsidR="00CC442E" w:rsidP="00A322EE" w:rsidRDefault="00826C1D" w14:paraId="6E0D9E96" w14:textId="77777777">
      <w:pPr>
        <w:tabs>
          <w:tab w:val="left" w:pos="-1440"/>
        </w:tabs>
        <w:rPr>
          <w:bCs/>
          <w:szCs w:val="24"/>
        </w:rPr>
      </w:pPr>
      <w:r>
        <w:rPr>
          <w:b/>
          <w:bCs/>
          <w:i/>
          <w:szCs w:val="24"/>
        </w:rPr>
        <w:tab/>
      </w:r>
      <w:r w:rsidR="00CC442E">
        <w:rPr>
          <w:bCs/>
          <w:szCs w:val="24"/>
        </w:rPr>
        <w:t>None.</w:t>
      </w:r>
    </w:p>
    <w:p w:rsidRPr="00E5013B" w:rsidR="00EB169D" w:rsidP="00CA297A" w:rsidRDefault="00EB169D" w14:paraId="1B89CBF1" w14:textId="77777777">
      <w:pPr>
        <w:pStyle w:val="Header"/>
        <w:tabs>
          <w:tab w:val="clear" w:pos="4320"/>
          <w:tab w:val="clear" w:pos="8640"/>
        </w:tabs>
        <w:rPr>
          <w:color w:val="000000"/>
        </w:rPr>
      </w:pPr>
      <w:r w:rsidRPr="00E5013B">
        <w:rPr>
          <w:color w:val="000000"/>
        </w:rPr>
        <w:tab/>
      </w:r>
    </w:p>
    <w:p w:rsidR="00B3053A" w:rsidP="00B3053A" w:rsidRDefault="00B3053A" w14:paraId="1061A250" w14:textId="77777777">
      <w:pPr>
        <w:pStyle w:val="BodyText"/>
        <w:rPr>
          <w:b/>
          <w:bCs/>
        </w:rPr>
      </w:pPr>
      <w:r>
        <w:rPr>
          <w:b/>
          <w:bCs/>
        </w:rPr>
        <w:t xml:space="preserve">14.  Estimate of annualized costs to the </w:t>
      </w:r>
      <w:r w:rsidR="00E21663">
        <w:rPr>
          <w:b/>
          <w:bCs/>
        </w:rPr>
        <w:t>f</w:t>
      </w:r>
      <w:r>
        <w:rPr>
          <w:b/>
          <w:bCs/>
        </w:rPr>
        <w:t>ederal government:</w:t>
      </w:r>
    </w:p>
    <w:p w:rsidR="00EB169D" w:rsidP="00CA297A" w:rsidRDefault="00EB169D" w14:paraId="0C9C8EAA" w14:textId="77777777"/>
    <w:p w:rsidR="00B3053A" w:rsidP="00CA297A" w:rsidRDefault="00B3053A" w14:paraId="6D19BAB0" w14:textId="77777777">
      <w:r>
        <w:tab/>
        <w:t>None.</w:t>
      </w:r>
    </w:p>
    <w:p w:rsidR="00B3053A" w:rsidP="00CA297A" w:rsidRDefault="00B3053A" w14:paraId="0F1BF537" w14:textId="77777777"/>
    <w:p w:rsidR="00B3053A" w:rsidP="00B3053A" w:rsidRDefault="00B3053A" w14:paraId="3E9AFB73" w14:textId="77777777">
      <w:pPr>
        <w:pStyle w:val="BodyText"/>
        <w:rPr>
          <w:b/>
          <w:bCs/>
        </w:rPr>
      </w:pPr>
      <w:r>
        <w:rPr>
          <w:b/>
          <w:bCs/>
        </w:rPr>
        <w:t>15.  Change in burden:</w:t>
      </w:r>
    </w:p>
    <w:p w:rsidR="00C8088D" w:rsidP="00CA297A" w:rsidRDefault="00C8088D" w14:paraId="44920E86" w14:textId="77777777"/>
    <w:p w:rsidR="0041092E" w:rsidP="00CA297A" w:rsidRDefault="00ED4AE3" w14:paraId="4ED2C8ED" w14:textId="73D9F6FF">
      <w:pPr>
        <w:rPr>
          <w:szCs w:val="24"/>
        </w:rPr>
      </w:pPr>
      <w:r>
        <w:t xml:space="preserve">           </w:t>
      </w:r>
      <w:r w:rsidR="00C8088D">
        <w:t xml:space="preserve">The increase in burden is due to </w:t>
      </w:r>
      <w:r>
        <w:t xml:space="preserve">a </w:t>
      </w:r>
      <w:r w:rsidR="00374343">
        <w:t>new regulation.</w:t>
      </w:r>
    </w:p>
    <w:p w:rsidR="008C4015" w:rsidP="00CA297A" w:rsidRDefault="008C4015" w14:paraId="5F45C78B" w14:textId="77777777">
      <w:r>
        <w:tab/>
      </w:r>
    </w:p>
    <w:p w:rsidR="00B3053A" w:rsidP="00B3053A" w:rsidRDefault="00B3053A" w14:paraId="1304FB5C" w14:textId="77777777">
      <w:pPr>
        <w:pStyle w:val="BodyText"/>
        <w:rPr>
          <w:b/>
          <w:bCs/>
        </w:rPr>
      </w:pPr>
      <w:r>
        <w:rPr>
          <w:b/>
          <w:bCs/>
        </w:rPr>
        <w:t>16.  Information regarding collections whose results are to be published for statistical use:</w:t>
      </w:r>
    </w:p>
    <w:p w:rsidR="00EB169D" w:rsidP="00CA297A" w:rsidRDefault="00EB169D" w14:paraId="412BC66C" w14:textId="77777777"/>
    <w:p w:rsidR="00EB169D" w:rsidP="00CA297A" w:rsidRDefault="00EB169D" w14:paraId="4767FA72" w14:textId="77777777">
      <w:r>
        <w:tab/>
      </w:r>
      <w:r w:rsidR="00F55A41">
        <w:t>T</w:t>
      </w:r>
      <w:r>
        <w:t>he information</w:t>
      </w:r>
      <w:r w:rsidR="00F55A41">
        <w:t xml:space="preserve"> will not be used</w:t>
      </w:r>
      <w:r>
        <w:t xml:space="preserve"> for statistical purposes.</w:t>
      </w:r>
    </w:p>
    <w:p w:rsidR="007E75C4" w:rsidP="00CA297A" w:rsidRDefault="007E75C4" w14:paraId="7AFFBFC0" w14:textId="77777777"/>
    <w:p w:rsidR="00B3053A" w:rsidP="00B3053A" w:rsidRDefault="00B3053A" w14:paraId="406C2EDF" w14:textId="77777777">
      <w:pPr>
        <w:pStyle w:val="BodyText"/>
        <w:rPr>
          <w:b/>
          <w:bCs/>
        </w:rPr>
      </w:pPr>
      <w:r>
        <w:rPr>
          <w:b/>
          <w:bCs/>
        </w:rPr>
        <w:t>17.  Reasons for not displaying OMB approval expiration date:</w:t>
      </w:r>
    </w:p>
    <w:p w:rsidR="00EB169D" w:rsidP="00CA297A" w:rsidRDefault="00EB169D" w14:paraId="114F0040" w14:textId="77777777"/>
    <w:p w:rsidR="00EB169D" w:rsidP="00826C1D" w:rsidRDefault="00F55A41" w14:paraId="2A7E3C2B" w14:textId="25D17714">
      <w:pPr>
        <w:ind w:firstLine="720"/>
      </w:pPr>
      <w:r>
        <w:t>Not applicable.</w:t>
      </w:r>
    </w:p>
    <w:p w:rsidR="005F32D0" w:rsidP="00DC2634" w:rsidRDefault="005F32D0" w14:paraId="47D70075" w14:textId="77777777">
      <w:pPr>
        <w:pStyle w:val="BodyText"/>
        <w:rPr>
          <w:b/>
          <w:bCs/>
        </w:rPr>
      </w:pPr>
    </w:p>
    <w:p w:rsidRPr="00DC2634" w:rsidR="00DC2634" w:rsidP="00DC2634" w:rsidRDefault="00DC2634" w14:paraId="1E39633F" w14:textId="77777777">
      <w:pPr>
        <w:pStyle w:val="BodyText"/>
        <w:rPr>
          <w:b/>
          <w:bCs/>
        </w:rPr>
      </w:pPr>
      <w:r>
        <w:rPr>
          <w:b/>
          <w:bCs/>
        </w:rPr>
        <w:t>18.  Exceptions to the certification statement:</w:t>
      </w:r>
    </w:p>
    <w:p w:rsidR="00EB169D" w:rsidP="00CA297A" w:rsidRDefault="00EB169D" w14:paraId="1AA11A17" w14:textId="77777777"/>
    <w:p w:rsidR="00EB169D" w:rsidP="00CA297A" w:rsidRDefault="00F55A41" w14:paraId="3172B2A8" w14:textId="77777777">
      <w:pPr>
        <w:ind w:firstLine="720"/>
      </w:pPr>
      <w:r>
        <w:t>Not applicable.</w:t>
      </w:r>
    </w:p>
    <w:p w:rsidR="00AD60A6" w:rsidP="00CA297A" w:rsidRDefault="00AD60A6" w14:paraId="183CA9C1" w14:textId="77777777">
      <w:pPr>
        <w:ind w:firstLine="720"/>
      </w:pPr>
    </w:p>
    <w:p w:rsidR="00A322EE" w:rsidP="00A322EE" w:rsidRDefault="00A322EE" w14:paraId="6A4918F8" w14:textId="77777777">
      <w:pPr>
        <w:pStyle w:val="BodyText"/>
        <w:rPr>
          <w:b/>
          <w:szCs w:val="24"/>
        </w:rPr>
      </w:pPr>
      <w:r>
        <w:rPr>
          <w:b/>
          <w:szCs w:val="24"/>
        </w:rPr>
        <w:t>B.  Collections of Information Employing Statistical Methods</w:t>
      </w:r>
    </w:p>
    <w:p w:rsidR="00EB169D" w:rsidP="00CA297A" w:rsidRDefault="00EB169D" w14:paraId="114FC35B" w14:textId="77777777"/>
    <w:p w:rsidR="00EB169D" w:rsidP="00CA297A" w:rsidRDefault="00EB169D" w14:paraId="3C0624B2" w14:textId="77777777">
      <w:r>
        <w:tab/>
        <w:t>Not applicable.</w:t>
      </w:r>
    </w:p>
    <w:p w:rsidR="009D0184" w:rsidP="00CA297A" w:rsidRDefault="009D0184" w14:paraId="52BA81B3" w14:textId="77777777"/>
    <w:p w:rsidR="00EB2A30" w:rsidP="00EB2A30" w:rsidRDefault="00EB2A30" w14:paraId="580EA357" w14:textId="77777777">
      <w:r>
        <w:tab/>
      </w:r>
    </w:p>
    <w:sectPr w:rsidR="00EB2A30" w:rsidSect="00235D7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36FBF" w14:textId="77777777" w:rsidR="00E95B05" w:rsidRDefault="00E95B05">
      <w:r>
        <w:separator/>
      </w:r>
    </w:p>
  </w:endnote>
  <w:endnote w:type="continuationSeparator" w:id="0">
    <w:p w14:paraId="786C001B" w14:textId="77777777" w:rsidR="00E95B05" w:rsidRDefault="00E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47F"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232B7" w14:textId="77777777" w:rsidR="00F44BCF" w:rsidRDefault="00F4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C256" w14:textId="77777777" w:rsidR="00F44BCF" w:rsidRDefault="00F44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7373">
      <w:rPr>
        <w:rStyle w:val="PageNumber"/>
        <w:noProof/>
      </w:rPr>
      <w:t>2</w:t>
    </w:r>
    <w:r>
      <w:rPr>
        <w:rStyle w:val="PageNumber"/>
      </w:rPr>
      <w:fldChar w:fldCharType="end"/>
    </w:r>
  </w:p>
  <w:p w14:paraId="6A784551" w14:textId="77777777" w:rsidR="00F44BCF" w:rsidRDefault="00F4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92639" w14:textId="77777777" w:rsidR="00E95B05" w:rsidRDefault="00E95B05">
      <w:r>
        <w:separator/>
      </w:r>
    </w:p>
  </w:footnote>
  <w:footnote w:type="continuationSeparator" w:id="0">
    <w:p w14:paraId="5576E4D4" w14:textId="77777777" w:rsidR="00E95B05" w:rsidRDefault="00E9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A7FAC"/>
    <w:multiLevelType w:val="hybridMultilevel"/>
    <w:tmpl w:val="83524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B8039FC"/>
    <w:multiLevelType w:val="hybridMultilevel"/>
    <w:tmpl w:val="F8A0CE4E"/>
    <w:lvl w:ilvl="0" w:tplc="30DCF1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030BC"/>
    <w:multiLevelType w:val="hybridMultilevel"/>
    <w:tmpl w:val="0EF8A0C0"/>
    <w:lvl w:ilvl="0" w:tplc="D5407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1"/>
  </w:num>
  <w:num w:numId="21">
    <w:abstractNumId w:val="9"/>
  </w:num>
  <w:num w:numId="22">
    <w:abstractNumId w:val="7"/>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1B"/>
    <w:rsid w:val="00015D7F"/>
    <w:rsid w:val="000505CB"/>
    <w:rsid w:val="00052F1F"/>
    <w:rsid w:val="000534A9"/>
    <w:rsid w:val="00061715"/>
    <w:rsid w:val="00066BCC"/>
    <w:rsid w:val="00066BF8"/>
    <w:rsid w:val="000765B5"/>
    <w:rsid w:val="000767F1"/>
    <w:rsid w:val="000878C8"/>
    <w:rsid w:val="000A08DC"/>
    <w:rsid w:val="000A4B96"/>
    <w:rsid w:val="000A686F"/>
    <w:rsid w:val="000B7341"/>
    <w:rsid w:val="000C2AAE"/>
    <w:rsid w:val="000C2BB4"/>
    <w:rsid w:val="000C3649"/>
    <w:rsid w:val="000C3929"/>
    <w:rsid w:val="000D0285"/>
    <w:rsid w:val="000D1213"/>
    <w:rsid w:val="000D58CE"/>
    <w:rsid w:val="000D68E4"/>
    <w:rsid w:val="000D72FD"/>
    <w:rsid w:val="000E0F1B"/>
    <w:rsid w:val="000E53CC"/>
    <w:rsid w:val="000E6F15"/>
    <w:rsid w:val="00100319"/>
    <w:rsid w:val="00113097"/>
    <w:rsid w:val="00117556"/>
    <w:rsid w:val="0012053B"/>
    <w:rsid w:val="00121FE6"/>
    <w:rsid w:val="00122250"/>
    <w:rsid w:val="00126DD3"/>
    <w:rsid w:val="001422E4"/>
    <w:rsid w:val="00147A4D"/>
    <w:rsid w:val="00153504"/>
    <w:rsid w:val="00154C6B"/>
    <w:rsid w:val="00154EFD"/>
    <w:rsid w:val="001565D0"/>
    <w:rsid w:val="0016634F"/>
    <w:rsid w:val="001729D4"/>
    <w:rsid w:val="00172EB0"/>
    <w:rsid w:val="001823CF"/>
    <w:rsid w:val="00183B20"/>
    <w:rsid w:val="00184476"/>
    <w:rsid w:val="00185F25"/>
    <w:rsid w:val="001860DF"/>
    <w:rsid w:val="00186758"/>
    <w:rsid w:val="00191547"/>
    <w:rsid w:val="00196798"/>
    <w:rsid w:val="001A643A"/>
    <w:rsid w:val="001B3D85"/>
    <w:rsid w:val="001B6A0C"/>
    <w:rsid w:val="001C322A"/>
    <w:rsid w:val="001E46DC"/>
    <w:rsid w:val="001E6FA4"/>
    <w:rsid w:val="0020003F"/>
    <w:rsid w:val="00217501"/>
    <w:rsid w:val="002179DF"/>
    <w:rsid w:val="00225B12"/>
    <w:rsid w:val="00225B5A"/>
    <w:rsid w:val="002272FF"/>
    <w:rsid w:val="00235D73"/>
    <w:rsid w:val="00237965"/>
    <w:rsid w:val="00262ED4"/>
    <w:rsid w:val="00270945"/>
    <w:rsid w:val="00271825"/>
    <w:rsid w:val="002773E8"/>
    <w:rsid w:val="002B4869"/>
    <w:rsid w:val="002B4F85"/>
    <w:rsid w:val="002C127E"/>
    <w:rsid w:val="002C3D07"/>
    <w:rsid w:val="002D0E0B"/>
    <w:rsid w:val="002E26B4"/>
    <w:rsid w:val="002E3DBD"/>
    <w:rsid w:val="002E51A6"/>
    <w:rsid w:val="002E5BF0"/>
    <w:rsid w:val="002E61D4"/>
    <w:rsid w:val="002E7BD2"/>
    <w:rsid w:val="002F19F1"/>
    <w:rsid w:val="003007BE"/>
    <w:rsid w:val="00311D39"/>
    <w:rsid w:val="00314739"/>
    <w:rsid w:val="00315522"/>
    <w:rsid w:val="0031681A"/>
    <w:rsid w:val="00320556"/>
    <w:rsid w:val="00325069"/>
    <w:rsid w:val="00326609"/>
    <w:rsid w:val="00352350"/>
    <w:rsid w:val="003610E4"/>
    <w:rsid w:val="00374343"/>
    <w:rsid w:val="0038030F"/>
    <w:rsid w:val="003865C0"/>
    <w:rsid w:val="00391389"/>
    <w:rsid w:val="00397D38"/>
    <w:rsid w:val="003A3738"/>
    <w:rsid w:val="003B0D4D"/>
    <w:rsid w:val="003B44B2"/>
    <w:rsid w:val="003B6B93"/>
    <w:rsid w:val="003B7860"/>
    <w:rsid w:val="003C18A5"/>
    <w:rsid w:val="003C259A"/>
    <w:rsid w:val="003C5F31"/>
    <w:rsid w:val="003D1FB4"/>
    <w:rsid w:val="003D3486"/>
    <w:rsid w:val="003D7B7B"/>
    <w:rsid w:val="004011E9"/>
    <w:rsid w:val="0040633E"/>
    <w:rsid w:val="004067B3"/>
    <w:rsid w:val="00407FCE"/>
    <w:rsid w:val="0041092E"/>
    <w:rsid w:val="00411EC9"/>
    <w:rsid w:val="00413F1A"/>
    <w:rsid w:val="0042112B"/>
    <w:rsid w:val="00440090"/>
    <w:rsid w:val="00441EDD"/>
    <w:rsid w:val="0045397B"/>
    <w:rsid w:val="0045553C"/>
    <w:rsid w:val="00456D5F"/>
    <w:rsid w:val="004669CF"/>
    <w:rsid w:val="00466C09"/>
    <w:rsid w:val="004707D0"/>
    <w:rsid w:val="00470814"/>
    <w:rsid w:val="00472B3E"/>
    <w:rsid w:val="00473806"/>
    <w:rsid w:val="00490068"/>
    <w:rsid w:val="00495EA2"/>
    <w:rsid w:val="004A1442"/>
    <w:rsid w:val="004A7081"/>
    <w:rsid w:val="004D4CDE"/>
    <w:rsid w:val="004D7DB3"/>
    <w:rsid w:val="004E1085"/>
    <w:rsid w:val="004E5ADD"/>
    <w:rsid w:val="004F38FF"/>
    <w:rsid w:val="004F6DC7"/>
    <w:rsid w:val="00500863"/>
    <w:rsid w:val="00512454"/>
    <w:rsid w:val="00531A8E"/>
    <w:rsid w:val="005377B2"/>
    <w:rsid w:val="00542866"/>
    <w:rsid w:val="0055015E"/>
    <w:rsid w:val="0055601B"/>
    <w:rsid w:val="005602D2"/>
    <w:rsid w:val="005625AA"/>
    <w:rsid w:val="0056764A"/>
    <w:rsid w:val="00577EE3"/>
    <w:rsid w:val="00580433"/>
    <w:rsid w:val="005816AF"/>
    <w:rsid w:val="00582B8E"/>
    <w:rsid w:val="0058734C"/>
    <w:rsid w:val="0059351F"/>
    <w:rsid w:val="005A3181"/>
    <w:rsid w:val="005A4AE5"/>
    <w:rsid w:val="005B0751"/>
    <w:rsid w:val="005B2946"/>
    <w:rsid w:val="005B7957"/>
    <w:rsid w:val="005C4ED4"/>
    <w:rsid w:val="005D4AFC"/>
    <w:rsid w:val="005D5D98"/>
    <w:rsid w:val="005E2274"/>
    <w:rsid w:val="005F32D0"/>
    <w:rsid w:val="005F3E10"/>
    <w:rsid w:val="00600A45"/>
    <w:rsid w:val="00605E0A"/>
    <w:rsid w:val="006254B6"/>
    <w:rsid w:val="006304B2"/>
    <w:rsid w:val="006342A3"/>
    <w:rsid w:val="00644867"/>
    <w:rsid w:val="006507E5"/>
    <w:rsid w:val="00651AA7"/>
    <w:rsid w:val="00657CF5"/>
    <w:rsid w:val="00662CFA"/>
    <w:rsid w:val="00663745"/>
    <w:rsid w:val="00665335"/>
    <w:rsid w:val="00671E84"/>
    <w:rsid w:val="00697545"/>
    <w:rsid w:val="006A4A97"/>
    <w:rsid w:val="006B0D20"/>
    <w:rsid w:val="006B119F"/>
    <w:rsid w:val="006B467E"/>
    <w:rsid w:val="006C7AA9"/>
    <w:rsid w:val="006E103C"/>
    <w:rsid w:val="006E5423"/>
    <w:rsid w:val="006F4E8C"/>
    <w:rsid w:val="006F717D"/>
    <w:rsid w:val="00713CDB"/>
    <w:rsid w:val="00715403"/>
    <w:rsid w:val="0072647C"/>
    <w:rsid w:val="00727300"/>
    <w:rsid w:val="00742002"/>
    <w:rsid w:val="00771D0D"/>
    <w:rsid w:val="00772DDB"/>
    <w:rsid w:val="00780E53"/>
    <w:rsid w:val="0078420D"/>
    <w:rsid w:val="00794946"/>
    <w:rsid w:val="007A2084"/>
    <w:rsid w:val="007A26F1"/>
    <w:rsid w:val="007A6068"/>
    <w:rsid w:val="007C68CF"/>
    <w:rsid w:val="007D3FBB"/>
    <w:rsid w:val="007D5274"/>
    <w:rsid w:val="007E03E0"/>
    <w:rsid w:val="007E1345"/>
    <w:rsid w:val="007E75C4"/>
    <w:rsid w:val="007F4C57"/>
    <w:rsid w:val="00801B92"/>
    <w:rsid w:val="0080475A"/>
    <w:rsid w:val="00813F6C"/>
    <w:rsid w:val="00816ACE"/>
    <w:rsid w:val="00826C1D"/>
    <w:rsid w:val="008344E2"/>
    <w:rsid w:val="00844A3E"/>
    <w:rsid w:val="00846962"/>
    <w:rsid w:val="00850632"/>
    <w:rsid w:val="00855399"/>
    <w:rsid w:val="00855DDF"/>
    <w:rsid w:val="00857116"/>
    <w:rsid w:val="00865929"/>
    <w:rsid w:val="00873B40"/>
    <w:rsid w:val="00874CE8"/>
    <w:rsid w:val="0088253C"/>
    <w:rsid w:val="0088259F"/>
    <w:rsid w:val="00887D55"/>
    <w:rsid w:val="008907C5"/>
    <w:rsid w:val="00891980"/>
    <w:rsid w:val="0089383F"/>
    <w:rsid w:val="008A5CAD"/>
    <w:rsid w:val="008B1355"/>
    <w:rsid w:val="008B3D25"/>
    <w:rsid w:val="008C278A"/>
    <w:rsid w:val="008C4015"/>
    <w:rsid w:val="008C4374"/>
    <w:rsid w:val="008D0D67"/>
    <w:rsid w:val="008E3432"/>
    <w:rsid w:val="008E6014"/>
    <w:rsid w:val="008F1255"/>
    <w:rsid w:val="0090173E"/>
    <w:rsid w:val="00903387"/>
    <w:rsid w:val="00912653"/>
    <w:rsid w:val="00921F0F"/>
    <w:rsid w:val="00925A6E"/>
    <w:rsid w:val="00926FF8"/>
    <w:rsid w:val="0093102A"/>
    <w:rsid w:val="00932078"/>
    <w:rsid w:val="00933BD5"/>
    <w:rsid w:val="00940360"/>
    <w:rsid w:val="009439F5"/>
    <w:rsid w:val="009450C6"/>
    <w:rsid w:val="009465AA"/>
    <w:rsid w:val="0095197D"/>
    <w:rsid w:val="00951A93"/>
    <w:rsid w:val="00952C4F"/>
    <w:rsid w:val="009562AA"/>
    <w:rsid w:val="00986166"/>
    <w:rsid w:val="00993CD3"/>
    <w:rsid w:val="00994BB7"/>
    <w:rsid w:val="009950D9"/>
    <w:rsid w:val="0099546B"/>
    <w:rsid w:val="009A6A6A"/>
    <w:rsid w:val="009B5CE1"/>
    <w:rsid w:val="009C0EA1"/>
    <w:rsid w:val="009C132A"/>
    <w:rsid w:val="009D0184"/>
    <w:rsid w:val="009F595E"/>
    <w:rsid w:val="009F6A0E"/>
    <w:rsid w:val="00A019C4"/>
    <w:rsid w:val="00A02EDB"/>
    <w:rsid w:val="00A04FE5"/>
    <w:rsid w:val="00A133B8"/>
    <w:rsid w:val="00A322EE"/>
    <w:rsid w:val="00A47475"/>
    <w:rsid w:val="00A546DB"/>
    <w:rsid w:val="00A56FE0"/>
    <w:rsid w:val="00A624E2"/>
    <w:rsid w:val="00A66970"/>
    <w:rsid w:val="00A7025F"/>
    <w:rsid w:val="00A72969"/>
    <w:rsid w:val="00A94A91"/>
    <w:rsid w:val="00AA1086"/>
    <w:rsid w:val="00AA1616"/>
    <w:rsid w:val="00AA46D1"/>
    <w:rsid w:val="00AB0960"/>
    <w:rsid w:val="00AC7373"/>
    <w:rsid w:val="00AC7797"/>
    <w:rsid w:val="00AC7FAB"/>
    <w:rsid w:val="00AD60A6"/>
    <w:rsid w:val="00AD7AB1"/>
    <w:rsid w:val="00B0432D"/>
    <w:rsid w:val="00B10082"/>
    <w:rsid w:val="00B200EF"/>
    <w:rsid w:val="00B20774"/>
    <w:rsid w:val="00B2183D"/>
    <w:rsid w:val="00B25EEC"/>
    <w:rsid w:val="00B3053A"/>
    <w:rsid w:val="00B4076C"/>
    <w:rsid w:val="00B40AF6"/>
    <w:rsid w:val="00B5115D"/>
    <w:rsid w:val="00B51D45"/>
    <w:rsid w:val="00B5475C"/>
    <w:rsid w:val="00B65374"/>
    <w:rsid w:val="00B71445"/>
    <w:rsid w:val="00B73680"/>
    <w:rsid w:val="00B813A4"/>
    <w:rsid w:val="00BA400B"/>
    <w:rsid w:val="00BA68C6"/>
    <w:rsid w:val="00BB4FB9"/>
    <w:rsid w:val="00BB66CE"/>
    <w:rsid w:val="00BC0BC2"/>
    <w:rsid w:val="00BC2677"/>
    <w:rsid w:val="00BD1581"/>
    <w:rsid w:val="00BD7055"/>
    <w:rsid w:val="00BE142D"/>
    <w:rsid w:val="00BE22BE"/>
    <w:rsid w:val="00C05B78"/>
    <w:rsid w:val="00C05EF2"/>
    <w:rsid w:val="00C067A6"/>
    <w:rsid w:val="00C13C88"/>
    <w:rsid w:val="00C23F2B"/>
    <w:rsid w:val="00C25E87"/>
    <w:rsid w:val="00C30097"/>
    <w:rsid w:val="00C32003"/>
    <w:rsid w:val="00C50CD4"/>
    <w:rsid w:val="00C673D7"/>
    <w:rsid w:val="00C77EEE"/>
    <w:rsid w:val="00C8088D"/>
    <w:rsid w:val="00C846BA"/>
    <w:rsid w:val="00C92047"/>
    <w:rsid w:val="00C92E31"/>
    <w:rsid w:val="00CA297A"/>
    <w:rsid w:val="00CA3915"/>
    <w:rsid w:val="00CC442E"/>
    <w:rsid w:val="00CC47CD"/>
    <w:rsid w:val="00CC5DBB"/>
    <w:rsid w:val="00CE6F17"/>
    <w:rsid w:val="00CF0C12"/>
    <w:rsid w:val="00CF254A"/>
    <w:rsid w:val="00D05CF1"/>
    <w:rsid w:val="00D35F32"/>
    <w:rsid w:val="00D43929"/>
    <w:rsid w:val="00D43D86"/>
    <w:rsid w:val="00D52EAF"/>
    <w:rsid w:val="00D56C91"/>
    <w:rsid w:val="00D56F32"/>
    <w:rsid w:val="00D57034"/>
    <w:rsid w:val="00D67B3B"/>
    <w:rsid w:val="00D7588F"/>
    <w:rsid w:val="00D92F92"/>
    <w:rsid w:val="00D93863"/>
    <w:rsid w:val="00D94819"/>
    <w:rsid w:val="00DA2183"/>
    <w:rsid w:val="00DA626B"/>
    <w:rsid w:val="00DC2634"/>
    <w:rsid w:val="00DC7042"/>
    <w:rsid w:val="00DE3031"/>
    <w:rsid w:val="00DE3CA4"/>
    <w:rsid w:val="00DF1B30"/>
    <w:rsid w:val="00E00991"/>
    <w:rsid w:val="00E0444C"/>
    <w:rsid w:val="00E21663"/>
    <w:rsid w:val="00E22D8E"/>
    <w:rsid w:val="00E54A9B"/>
    <w:rsid w:val="00E61420"/>
    <w:rsid w:val="00E6241D"/>
    <w:rsid w:val="00E705B9"/>
    <w:rsid w:val="00E74431"/>
    <w:rsid w:val="00E82D41"/>
    <w:rsid w:val="00E87C81"/>
    <w:rsid w:val="00E91422"/>
    <w:rsid w:val="00E95B05"/>
    <w:rsid w:val="00EA11CB"/>
    <w:rsid w:val="00EA1A63"/>
    <w:rsid w:val="00EA23B2"/>
    <w:rsid w:val="00EA2570"/>
    <w:rsid w:val="00EA6EAB"/>
    <w:rsid w:val="00EB169D"/>
    <w:rsid w:val="00EB2A30"/>
    <w:rsid w:val="00EC5265"/>
    <w:rsid w:val="00ED4AE3"/>
    <w:rsid w:val="00ED5D45"/>
    <w:rsid w:val="00EE05B0"/>
    <w:rsid w:val="00EE5397"/>
    <w:rsid w:val="00EE5B80"/>
    <w:rsid w:val="00EE6F14"/>
    <w:rsid w:val="00EF7521"/>
    <w:rsid w:val="00F071F8"/>
    <w:rsid w:val="00F07E2A"/>
    <w:rsid w:val="00F15BA0"/>
    <w:rsid w:val="00F17198"/>
    <w:rsid w:val="00F33CE7"/>
    <w:rsid w:val="00F3696A"/>
    <w:rsid w:val="00F3696B"/>
    <w:rsid w:val="00F401D1"/>
    <w:rsid w:val="00F42C54"/>
    <w:rsid w:val="00F44BCF"/>
    <w:rsid w:val="00F461A2"/>
    <w:rsid w:val="00F46789"/>
    <w:rsid w:val="00F5555E"/>
    <w:rsid w:val="00F55A41"/>
    <w:rsid w:val="00F561F0"/>
    <w:rsid w:val="00F83FDF"/>
    <w:rsid w:val="00F902DE"/>
    <w:rsid w:val="00F9314D"/>
    <w:rsid w:val="00FA1A3D"/>
    <w:rsid w:val="00FA6CF1"/>
    <w:rsid w:val="00FA7641"/>
    <w:rsid w:val="00FB1192"/>
    <w:rsid w:val="00FB2F23"/>
    <w:rsid w:val="00FB706E"/>
    <w:rsid w:val="00FD1204"/>
    <w:rsid w:val="00FE1396"/>
    <w:rsid w:val="00FE4406"/>
    <w:rsid w:val="00FE4E18"/>
    <w:rsid w:val="00FE57D0"/>
    <w:rsid w:val="00FE5D33"/>
    <w:rsid w:val="00FF3F21"/>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2C82A"/>
  <w15:docId w15:val="{E4E8F03A-4ACA-4CB7-9911-D5D7F063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uiPriority w:val="99"/>
    <w:rsid w:val="00235D73"/>
    <w:rPr>
      <w:vertAlign w:val="superscript"/>
    </w:rPr>
  </w:style>
  <w:style w:type="paragraph" w:styleId="FootnoteText">
    <w:name w:val="footnote text"/>
    <w:aliases w:val="ft"/>
    <w:basedOn w:val="Normal"/>
    <w:link w:val="FootnoteTextChar"/>
    <w:uiPriority w:val="99"/>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 w:val="num" w:pos="360"/>
      </w:tabs>
      <w:spacing w:line="480" w:lineRule="auto"/>
      <w:ind w:firstLine="0"/>
    </w:pPr>
  </w:style>
  <w:style w:type="paragraph" w:customStyle="1" w:styleId="ArticleLevela">
    <w:name w:val="Article Level (a)"/>
    <w:basedOn w:val="Normal"/>
    <w:rsid w:val="00235D73"/>
    <w:pPr>
      <w:numPr>
        <w:ilvl w:val="2"/>
        <w:numId w:val="14"/>
      </w:numPr>
      <w:tabs>
        <w:tab w:val="clear" w:pos="1440"/>
        <w:tab w:val="num" w:pos="360"/>
      </w:tabs>
      <w:spacing w:line="480" w:lineRule="auto"/>
      <w:ind w:left="2160" w:firstLine="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link w:val="TitleChar"/>
    <w:qFormat/>
    <w:rsid w:val="00235D73"/>
    <w:pPr>
      <w:jc w:val="center"/>
    </w:pPr>
    <w:rPr>
      <w:b/>
      <w:bCs/>
    </w:rPr>
  </w:style>
  <w:style w:type="paragraph" w:styleId="BodyText">
    <w:name w:val="Body Text"/>
    <w:basedOn w:val="Normal"/>
    <w:link w:val="BodyTextChar"/>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uiPriority w:val="99"/>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 w:type="character" w:customStyle="1" w:styleId="TitleChar">
    <w:name w:val="Title Char"/>
    <w:basedOn w:val="DefaultParagraphFont"/>
    <w:link w:val="Title"/>
    <w:rsid w:val="00EB2A30"/>
    <w:rPr>
      <w:b/>
      <w:bCs/>
      <w:sz w:val="24"/>
    </w:rPr>
  </w:style>
  <w:style w:type="character" w:customStyle="1" w:styleId="BodyTextChar">
    <w:name w:val="Body Text Char"/>
    <w:basedOn w:val="DefaultParagraphFont"/>
    <w:link w:val="BodyText"/>
    <w:rsid w:val="00EB2A30"/>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379062859">
      <w:bodyDiv w:val="1"/>
      <w:marLeft w:val="0"/>
      <w:marRight w:val="0"/>
      <w:marTop w:val="0"/>
      <w:marBottom w:val="0"/>
      <w:divBdr>
        <w:top w:val="none" w:sz="0" w:space="0" w:color="auto"/>
        <w:left w:val="none" w:sz="0" w:space="0" w:color="auto"/>
        <w:bottom w:val="none" w:sz="0" w:space="0" w:color="auto"/>
        <w:right w:val="none" w:sz="0" w:space="0" w:color="auto"/>
      </w:divBdr>
    </w:div>
    <w:div w:id="542592825">
      <w:bodyDiv w:val="1"/>
      <w:marLeft w:val="0"/>
      <w:marRight w:val="0"/>
      <w:marTop w:val="0"/>
      <w:marBottom w:val="0"/>
      <w:divBdr>
        <w:top w:val="none" w:sz="0" w:space="0" w:color="auto"/>
        <w:left w:val="none" w:sz="0" w:space="0" w:color="auto"/>
        <w:bottom w:val="none" w:sz="0" w:space="0" w:color="auto"/>
        <w:right w:val="none" w:sz="0" w:space="0" w:color="auto"/>
      </w:divBdr>
    </w:div>
    <w:div w:id="613630338">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 w:id="19584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40AB-1504-49BA-AE0A-46BA7AA7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Gottlieb, Mary</cp:lastModifiedBy>
  <cp:revision>4</cp:revision>
  <cp:lastPrinted>2019-01-22T18:46:00Z</cp:lastPrinted>
  <dcterms:created xsi:type="dcterms:W3CDTF">2020-07-07T16:58:00Z</dcterms:created>
  <dcterms:modified xsi:type="dcterms:W3CDTF">2020-07-07T17:08:00Z</dcterms:modified>
</cp:coreProperties>
</file>