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Pr="00C61BE1" w:rsidR="006A229A" w:rsidP="006A229A" w:rsidRDefault="006A229A" w14:paraId="400F3015" w14:textId="77777777">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of </w:t>
      </w:r>
    </w:p>
    <w:p w:rsidRPr="00DA2D6B" w:rsidR="006A229A" w:rsidP="006A229A" w:rsidRDefault="006A229A" w14:paraId="21B471DE" w14:textId="77777777">
      <w:pPr>
        <w:jc w:val="center"/>
        <w:rPr>
          <w:rFonts w:ascii="Times New Roman" w:hAnsi="Times New Roman"/>
          <w:b/>
          <w:bCs/>
          <w:color w:val="FF0000"/>
        </w:rPr>
      </w:pPr>
      <w:r w:rsidRPr="00C61BE1">
        <w:rPr>
          <w:rFonts w:ascii="Times New Roman" w:hAnsi="Times New Roman"/>
          <w:b/>
        </w:rPr>
        <w:t>Section 212(e) of the Immigration and Nationality Act</w:t>
      </w:r>
    </w:p>
    <w:p w:rsidRPr="00097DF5" w:rsidR="00B553AD" w:rsidP="00B553AD" w:rsidRDefault="006A229A" w14:paraId="32FE0076" w14:textId="0261D81A">
      <w:pPr>
        <w:jc w:val="center"/>
        <w:rPr>
          <w:rFonts w:ascii="Times New Roman" w:hAnsi="Times New Roman"/>
          <w:b/>
          <w:bCs/>
        </w:rPr>
      </w:pPr>
      <w:r>
        <w:rPr>
          <w:rFonts w:ascii="Times New Roman" w:hAnsi="Times New Roman"/>
          <w:b/>
          <w:bCs/>
        </w:rPr>
        <w:t>OMB Control No.: 1615-0030</w:t>
      </w:r>
    </w:p>
    <w:p w:rsidRPr="00097DF5" w:rsidR="00B553AD" w:rsidP="00B553AD" w:rsidRDefault="006A229A" w14:paraId="556475C0" w14:textId="34161C2B">
      <w:pPr>
        <w:jc w:val="center"/>
        <w:rPr>
          <w:rFonts w:ascii="Times New Roman" w:hAnsi="Times New Roman"/>
          <w:b/>
          <w:bCs/>
        </w:rPr>
      </w:pPr>
      <w:r>
        <w:rPr>
          <w:rFonts w:ascii="Times New Roman" w:hAnsi="Times New Roman"/>
          <w:b/>
          <w:bCs/>
        </w:rPr>
        <w:t>COLLECTION INSTRUMENT(S): I-612</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6474AE" w:rsidP="006474AE" w:rsidRDefault="006474AE" w14:paraId="529827B0" w14:textId="77777777">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914A5D" w:rsidR="006474AE" w:rsidP="006474AE" w:rsidRDefault="006474AE" w14:paraId="2AEE9E6F" w14:textId="77777777">
      <w:pPr>
        <w:ind w:left="720"/>
        <w:rPr>
          <w:rFonts w:ascii="Times New Roman" w:hAnsi="Times New Roman"/>
        </w:rPr>
      </w:pPr>
      <w:r>
        <w:rPr>
          <w:rFonts w:ascii="Times New Roman" w:hAnsi="Times New Roman"/>
        </w:rPr>
        <w:t>USCIS will use the information collected by the form I-612 to make a determination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00494557" w:rsidP="00914A5D" w:rsidRDefault="00A51FAF" w14:paraId="0246EFA2" w14:textId="1ED1D385">
      <w:pPr>
        <w:tabs>
          <w:tab w:val="left" w:pos="-1440"/>
        </w:tabs>
        <w:ind w:left="720"/>
        <w:rPr>
          <w:rFonts w:ascii="Times New Roman" w:hAnsi="Times New Roman"/>
        </w:rPr>
      </w:pPr>
      <w:r>
        <w:rPr>
          <w:rFonts w:ascii="Times New Roman" w:hAnsi="Times New Roman"/>
        </w:rPr>
        <w:t xml:space="preserve">The form I-612 is available at </w:t>
      </w:r>
      <w:hyperlink w:history="1" r:id="rId10">
        <w:r w:rsidRPr="00DA3385">
          <w:rPr>
            <w:rStyle w:val="Hyperlink"/>
            <w:rFonts w:ascii="Times New Roman" w:hAnsi="Times New Roman"/>
          </w:rPr>
          <w:t>http://www.uscis.gov/files/form/i-612.pdf</w:t>
        </w:r>
      </w:hyperlink>
      <w:r>
        <w:rPr>
          <w:rFonts w:ascii="Times New Roman" w:hAnsi="Times New Roman"/>
        </w:rPr>
        <w:t xml:space="preserve"> and the respondent can access, complete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lastRenderedPageBreak/>
        <w:t>exemption to the GPEA compliance requirement and for the continued granting of a 2-year approval as the form can be accessed, completed and saved electronically</w:t>
      </w:r>
    </w:p>
    <w:p w:rsidRPr="00914A5D" w:rsidR="00A51FAF" w:rsidP="00914A5D" w:rsidRDefault="00A51FAF" w14:paraId="72AC6689"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4E5572" w:rsidP="004E5572" w:rsidRDefault="004E5572" w14:paraId="03D652E9" w14:textId="77777777">
      <w:pPr>
        <w:tabs>
          <w:tab w:val="left" w:pos="-1440"/>
        </w:tabs>
        <w:rPr>
          <w:rFonts w:ascii="Times New Roman" w:hAnsi="Times New Roman"/>
        </w:rPr>
      </w:pPr>
    </w:p>
    <w:p w:rsidRPr="00AB5995" w:rsidR="00813D6F" w:rsidP="00813D6F" w:rsidRDefault="00813D6F" w14:paraId="3DCB0D24" w14:textId="77777777">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AB5995" w:rsidR="001D1D4E" w:rsidP="001D1D4E" w:rsidRDefault="001D1D4E" w14:paraId="39312900" w14:textId="77777777">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001D1D4E" w:rsidP="001D1D4E" w:rsidRDefault="001D1D4E" w14:paraId="4321C1AC" w14:textId="77777777">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  USCIS would not be able to consider circumstances that would allow for a waiver of the requirement to reside outside of the United States for a specific </w:t>
      </w:r>
      <w:proofErr w:type="gramStart"/>
      <w:r>
        <w:rPr>
          <w:rFonts w:ascii="Times New Roman" w:hAnsi="Times New Roman"/>
        </w:rPr>
        <w:t>period of time</w:t>
      </w:r>
      <w:proofErr w:type="gramEnd"/>
      <w:r>
        <w:rPr>
          <w:rFonts w:ascii="Times New Roman" w:hAnsi="Times New Roman"/>
        </w:rPr>
        <w:t>.</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00253060" w:rsidP="00E4472B" w:rsidRDefault="00253060" w14:paraId="481399C6" w14:textId="42DD4E25">
      <w:pPr>
        <w:tabs>
          <w:tab w:val="left" w:pos="-1440"/>
        </w:tabs>
        <w:ind w:left="720"/>
        <w:rPr>
          <w:rFonts w:ascii="Times New Roman" w:hAnsi="Times New Roman"/>
        </w:rPr>
      </w:pPr>
      <w:r w:rsidRPr="00253060">
        <w:rPr>
          <w:rFonts w:ascii="Times New Roman" w:hAnsi="Times New Roman"/>
        </w:rPr>
        <w:t>On November 14, 2019, USCIS published a Notice of Proposed Rulemaking in the Federal Register at 84 FR 62280.</w:t>
      </w:r>
    </w:p>
    <w:p w:rsidR="00D13A70" w:rsidP="00E4472B" w:rsidRDefault="00D13A70" w14:paraId="3F0BAB19" w14:textId="3DAFA6C3">
      <w:pPr>
        <w:tabs>
          <w:tab w:val="left" w:pos="-1440"/>
        </w:tabs>
        <w:ind w:left="720"/>
        <w:rPr>
          <w:rFonts w:ascii="Times New Roman" w:hAnsi="Times New Roman"/>
        </w:rPr>
      </w:pPr>
    </w:p>
    <w:p w:rsidRPr="00D13A70" w:rsidR="00D13A70" w:rsidP="00D13A70" w:rsidRDefault="00D13A70" w14:paraId="169D6806" w14:textId="73B3FC59">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bookmarkStart w:name="_GoBack" w:id="0"/>
      <w:r>
        <w:rPr>
          <w:rFonts w:ascii="Times New Roman" w:hAnsi="Times New Roman"/>
          <w:color w:val="000000" w:themeColor="text1"/>
        </w:rPr>
        <w:t>85</w:t>
      </w:r>
      <w:r w:rsidR="00564806">
        <w:rPr>
          <w:rFonts w:ascii="Times New Roman" w:hAnsi="Times New Roman"/>
          <w:color w:val="000000" w:themeColor="text1"/>
        </w:rPr>
        <w:t xml:space="preserve"> FR</w:t>
      </w:r>
      <w:r>
        <w:rPr>
          <w:rFonts w:ascii="Times New Roman" w:hAnsi="Times New Roman"/>
          <w:color w:val="000000" w:themeColor="text1"/>
        </w:rPr>
        <w:t xml:space="preserve"> 46788</w:t>
      </w:r>
      <w:r w:rsidR="00564806">
        <w:rPr>
          <w:rFonts w:ascii="Times New Roman" w:hAnsi="Times New Roman"/>
          <w:color w:val="000000" w:themeColor="text1"/>
        </w:rPr>
        <w:t>.</w:t>
      </w:r>
    </w:p>
    <w:bookmarkEnd w:id="0"/>
    <w:p w:rsidRPr="00914A5D" w:rsidR="002C5FC5" w:rsidP="00DC1428" w:rsidRDefault="00E4472B" w14:paraId="4053CD51" w14:textId="7DB57A7F">
      <w:pPr>
        <w:tabs>
          <w:tab w:val="left" w:pos="-1440"/>
        </w:tabs>
        <w:ind w:left="720"/>
        <w:rPr>
          <w:rFonts w:ascii="Times New Roman" w:hAnsi="Times New Roman"/>
        </w:rPr>
      </w:pPr>
      <w:r w:rsidRPr="00E4472B">
        <w:rPr>
          <w:rFonts w:ascii="Times New Roman" w:hAnsi="Times New Roman"/>
        </w:rPr>
        <w:t> </w:t>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7CAC79B" w14:textId="77777777">
      <w:pPr>
        <w:ind w:left="720"/>
        <w:rPr>
          <w:rFonts w:ascii="Times New Roman" w:hAnsi="Times New Roman"/>
        </w:rPr>
      </w:pPr>
    </w:p>
    <w:p w:rsidRPr="00914A5D" w:rsidR="00792B9D" w:rsidP="00914A5D" w:rsidRDefault="00792B9D" w14:paraId="39587D5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lastRenderedPageBreak/>
        <w:t>the assurance in statute, regulation or agency policy.</w:t>
      </w:r>
    </w:p>
    <w:p w:rsidRPr="00914A5D" w:rsidR="001A595D" w:rsidP="00914A5D" w:rsidRDefault="001A595D" w14:paraId="12CD7283" w14:textId="77777777">
      <w:pPr>
        <w:tabs>
          <w:tab w:val="left" w:pos="-1440"/>
        </w:tabs>
        <w:ind w:left="720"/>
        <w:rPr>
          <w:rFonts w:ascii="Times New Roman" w:hAnsi="Times New Roman"/>
        </w:rPr>
      </w:pPr>
    </w:p>
    <w:p w:rsidR="00CA5286" w:rsidP="00CA5286" w:rsidRDefault="00CA5286" w14:paraId="06CDDF7D"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CA5286" w:rsidP="00CA5286" w:rsidRDefault="00CA5286" w14:paraId="23036440" w14:textId="77777777">
      <w:pPr>
        <w:tabs>
          <w:tab w:val="left" w:pos="-1440"/>
        </w:tabs>
        <w:ind w:left="720"/>
        <w:rPr>
          <w:rFonts w:ascii="Times New Roman" w:hAnsi="Times New Roman"/>
        </w:rPr>
      </w:pPr>
    </w:p>
    <w:p w:rsidR="00CA5286" w:rsidP="00CA5286" w:rsidRDefault="00CA5286" w14:paraId="5429BAAC" w14:textId="77777777">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rsidR="00CA5286" w:rsidP="00CA5286" w:rsidRDefault="00CA5286" w14:paraId="5FEB4701" w14:textId="77777777">
      <w:pPr>
        <w:tabs>
          <w:tab w:val="left" w:pos="-1440"/>
        </w:tabs>
        <w:ind w:left="720"/>
        <w:rPr>
          <w:rFonts w:ascii="Times New Roman" w:hAnsi="Times New Roman" w:cstheme="minorBidi"/>
          <w:sz w:val="22"/>
          <w:szCs w:val="22"/>
        </w:rPr>
      </w:pPr>
    </w:p>
    <w:p w:rsidR="00CA5286" w:rsidP="00CA5286" w:rsidRDefault="00CA5286" w14:paraId="600FC821" w14:textId="77777777">
      <w:pPr>
        <w:pStyle w:val="ListParagraph"/>
        <w:widowControl/>
        <w:numPr>
          <w:ilvl w:val="0"/>
          <w:numId w:val="9"/>
        </w:numPr>
        <w:tabs>
          <w:tab w:val="left" w:pos="-1440"/>
        </w:tabs>
        <w:autoSpaceDE/>
        <w:adjustRightInd/>
        <w:spacing w:after="200" w:line="276" w:lineRule="auto"/>
        <w:rPr>
          <w:rFonts w:ascii="Times New Roman" w:hAnsi="Times New Roman"/>
          <w:b/>
        </w:rPr>
      </w:pPr>
      <w:r>
        <w:rPr>
          <w:rFonts w:ascii="Times New Roman" w:hAnsi="Times New Roman"/>
          <w:color w:val="000000"/>
        </w:rPr>
        <w:t>DHS/USCIS/PIA 016(a) Computer Linked Application Information Management System (CLAIMS 3) and Associated Systems.</w:t>
      </w:r>
    </w:p>
    <w:p w:rsidR="00CA5286" w:rsidP="00CA5286" w:rsidRDefault="00CA5286" w14:paraId="587D80DD" w14:textId="77777777">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rsidR="00CA5286" w:rsidP="00CA5286" w:rsidRDefault="00CA5286" w14:paraId="61C5872F" w14:textId="77777777">
      <w:pPr>
        <w:tabs>
          <w:tab w:val="left" w:pos="-1440"/>
        </w:tabs>
        <w:ind w:left="720"/>
        <w:rPr>
          <w:rFonts w:ascii="Times New Roman" w:hAnsi="Times New Roman" w:cstheme="minorBidi"/>
          <w:sz w:val="22"/>
          <w:szCs w:val="22"/>
        </w:rPr>
      </w:pPr>
    </w:p>
    <w:p w:rsidR="00CA5286" w:rsidP="00CA5286" w:rsidRDefault="00CA5286" w14:paraId="71DFFB4D" w14:textId="77777777">
      <w:pPr>
        <w:pStyle w:val="ListParagraph"/>
        <w:widowControl/>
        <w:numPr>
          <w:ilvl w:val="0"/>
          <w:numId w:val="10"/>
        </w:numPr>
        <w:autoSpaceDE/>
        <w:adjustRightInd/>
        <w:spacing w:after="200" w:line="276" w:lineRule="auto"/>
        <w:rPr>
          <w:rFonts w:ascii="Times New Roman" w:hAnsi="Times New Roman"/>
          <w:color w:val="000000"/>
        </w:rPr>
      </w:pPr>
      <w:r>
        <w:rPr>
          <w:rFonts w:ascii="Times New Roman" w:hAnsi="Times New Roman"/>
          <w:color w:val="000000"/>
        </w:rPr>
        <w:t xml:space="preserve">DHS/USCIS/ICE/CBP-001 –Alien File, Index, and National File Tracking System of Records, September 18, 2017, 82 FR 43556; </w:t>
      </w:r>
    </w:p>
    <w:p w:rsidRPr="00CA5286" w:rsidR="001A595D" w:rsidP="00CA5286" w:rsidRDefault="00CA5286" w14:paraId="413DDCD7" w14:textId="0D7DF9A2">
      <w:pPr>
        <w:pStyle w:val="ListParagraph"/>
        <w:widowControl/>
        <w:numPr>
          <w:ilvl w:val="0"/>
          <w:numId w:val="10"/>
        </w:numPr>
        <w:autoSpaceDE/>
        <w:adjustRightInd/>
        <w:spacing w:after="200" w:line="276" w:lineRule="auto"/>
        <w:rPr>
          <w:rFonts w:ascii="Times New Roman" w:hAnsi="Times New Roman"/>
          <w:color w:val="000000"/>
        </w:rPr>
      </w:pPr>
      <w:r>
        <w:rPr>
          <w:rFonts w:ascii="Times New Roman" w:hAnsi="Times New Roman"/>
          <w:color w:val="000000"/>
        </w:rPr>
        <w:t>DHS/USCIS-007 Benefits Information System, October 19, 2016 81 FR 72069.</w:t>
      </w: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00A76CAF" w:rsidP="00A76CAF" w:rsidRDefault="00B27061" w14:paraId="100319B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w:t>
      </w:r>
      <w:r w:rsidR="00A76CAF">
        <w:rPr>
          <w:rFonts w:ascii="Times New Roman" w:hAnsi="Times New Roman"/>
          <w:b/>
        </w:rPr>
        <w:t xml:space="preserve"> </w:t>
      </w:r>
      <w:r w:rsidR="00A76CAF">
        <w:rPr>
          <w:rFonts w:ascii="Times New Roman" w:hAnsi="Times New Roman"/>
          <w:b/>
        </w:rPr>
        <w:lastRenderedPageBreak/>
        <w:t>collection activities should not be included here.  Instead, this cost should be included in Item 14.</w:t>
      </w:r>
    </w:p>
    <w:p w:rsidR="00A76CAF" w:rsidP="00914A5D" w:rsidRDefault="00A76CAF" w14:paraId="5B13274F" w14:textId="77777777">
      <w:pPr>
        <w:tabs>
          <w:tab w:val="left" w:pos="-1440"/>
          <w:tab w:val="left" w:pos="1080"/>
        </w:tabs>
        <w:ind w:left="1080" w:hanging="360"/>
        <w:rPr>
          <w:rFonts w:ascii="Times New Roman" w:hAnsi="Times New Roman"/>
          <w:b/>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A76CAF" w:rsidTr="00A76CAF" w14:paraId="639B1E82" w14:textId="77777777">
        <w:trPr>
          <w:trHeight w:val="330"/>
        </w:trPr>
        <w:tc>
          <w:tcPr>
            <w:tcW w:w="1360" w:type="dxa"/>
            <w:tcBorders>
              <w:top w:val="single" w:color="auto" w:sz="8" w:space="0"/>
              <w:left w:val="single" w:color="auto" w:sz="8" w:space="0"/>
              <w:bottom w:val="single" w:color="auto" w:sz="8" w:space="0"/>
              <w:right w:val="single" w:color="auto" w:sz="8" w:space="0"/>
            </w:tcBorders>
            <w:noWrap/>
            <w:vAlign w:val="center"/>
            <w:hideMark/>
          </w:tcPr>
          <w:p w:rsidR="00A76CAF" w:rsidRDefault="00A76CAF" w14:paraId="6221A2F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94" w:type="dxa"/>
            <w:tcBorders>
              <w:top w:val="single" w:color="auto" w:sz="8" w:space="0"/>
              <w:left w:val="nil"/>
              <w:bottom w:val="single" w:color="auto" w:sz="8" w:space="0"/>
              <w:right w:val="single" w:color="auto" w:sz="8" w:space="0"/>
            </w:tcBorders>
            <w:noWrap/>
            <w:vAlign w:val="bottom"/>
            <w:hideMark/>
          </w:tcPr>
          <w:p w:rsidR="00A76CAF" w:rsidRDefault="00A76CAF" w14:paraId="3F762C4F"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 </w:t>
            </w:r>
          </w:p>
        </w:tc>
        <w:tc>
          <w:tcPr>
            <w:tcW w:w="1239" w:type="dxa"/>
            <w:tcBorders>
              <w:top w:val="single" w:color="auto" w:sz="8" w:space="0"/>
              <w:left w:val="nil"/>
              <w:bottom w:val="single" w:color="auto" w:sz="8" w:space="0"/>
              <w:right w:val="single" w:color="auto" w:sz="8" w:space="0"/>
            </w:tcBorders>
            <w:noWrap/>
            <w:vAlign w:val="bottom"/>
            <w:hideMark/>
          </w:tcPr>
          <w:p w:rsidR="00A76CAF" w:rsidRDefault="00A76CAF" w14:paraId="338EA439"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A</w:t>
            </w:r>
          </w:p>
        </w:tc>
        <w:tc>
          <w:tcPr>
            <w:tcW w:w="1161" w:type="dxa"/>
            <w:tcBorders>
              <w:top w:val="single" w:color="auto" w:sz="8" w:space="0"/>
              <w:left w:val="nil"/>
              <w:bottom w:val="single" w:color="auto" w:sz="8" w:space="0"/>
              <w:right w:val="single" w:color="auto" w:sz="8" w:space="0"/>
            </w:tcBorders>
            <w:noWrap/>
            <w:vAlign w:val="bottom"/>
            <w:hideMark/>
          </w:tcPr>
          <w:p w:rsidR="00A76CAF" w:rsidRDefault="00A76CAF" w14:paraId="023EEA2A"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B</w:t>
            </w:r>
          </w:p>
        </w:tc>
        <w:tc>
          <w:tcPr>
            <w:tcW w:w="1166" w:type="dxa"/>
            <w:tcBorders>
              <w:top w:val="single" w:color="auto" w:sz="8" w:space="0"/>
              <w:left w:val="nil"/>
              <w:bottom w:val="single" w:color="auto" w:sz="8" w:space="0"/>
              <w:right w:val="single" w:color="auto" w:sz="8" w:space="0"/>
            </w:tcBorders>
            <w:noWrap/>
            <w:vAlign w:val="bottom"/>
            <w:hideMark/>
          </w:tcPr>
          <w:p w:rsidR="00A76CAF" w:rsidRDefault="00A76CAF" w14:paraId="42A9FD5D"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C (=</w:t>
            </w:r>
            <w:proofErr w:type="spellStart"/>
            <w:r>
              <w:rPr>
                <w:rFonts w:ascii="Calibri" w:hAnsi="Calibri" w:cs="Calibri"/>
                <w:color w:val="000000"/>
                <w:sz w:val="20"/>
                <w:szCs w:val="20"/>
              </w:rPr>
              <w:t>AxB</w:t>
            </w:r>
            <w:proofErr w:type="spellEnd"/>
            <w:r>
              <w:rPr>
                <w:rFonts w:ascii="Calibri" w:hAnsi="Calibri" w:cs="Calibri"/>
                <w:color w:val="000000"/>
                <w:sz w:val="20"/>
                <w:szCs w:val="20"/>
              </w:rPr>
              <w:t>)</w:t>
            </w:r>
          </w:p>
        </w:tc>
        <w:tc>
          <w:tcPr>
            <w:tcW w:w="1350" w:type="dxa"/>
            <w:tcBorders>
              <w:top w:val="single" w:color="auto" w:sz="8" w:space="0"/>
              <w:left w:val="nil"/>
              <w:bottom w:val="single" w:color="auto" w:sz="8" w:space="0"/>
              <w:right w:val="single" w:color="auto" w:sz="8" w:space="0"/>
            </w:tcBorders>
            <w:noWrap/>
            <w:vAlign w:val="bottom"/>
            <w:hideMark/>
          </w:tcPr>
          <w:p w:rsidR="00A76CAF" w:rsidRDefault="00A76CAF" w14:paraId="0E69A3CB"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D</w:t>
            </w:r>
          </w:p>
        </w:tc>
        <w:tc>
          <w:tcPr>
            <w:tcW w:w="1363" w:type="dxa"/>
            <w:tcBorders>
              <w:top w:val="single" w:color="auto" w:sz="8" w:space="0"/>
              <w:left w:val="nil"/>
              <w:bottom w:val="single" w:color="auto" w:sz="8" w:space="0"/>
              <w:right w:val="single" w:color="auto" w:sz="8" w:space="0"/>
            </w:tcBorders>
            <w:noWrap/>
            <w:vAlign w:val="bottom"/>
            <w:hideMark/>
          </w:tcPr>
          <w:p w:rsidR="00A76CAF" w:rsidRDefault="00A76CAF" w14:paraId="05BD6669"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E (=</w:t>
            </w:r>
            <w:proofErr w:type="spellStart"/>
            <w:r>
              <w:rPr>
                <w:rFonts w:ascii="Calibri" w:hAnsi="Calibri" w:cs="Calibri"/>
                <w:color w:val="000000"/>
                <w:sz w:val="20"/>
                <w:szCs w:val="20"/>
              </w:rPr>
              <w:t>CxD</w:t>
            </w:r>
            <w:proofErr w:type="spellEnd"/>
            <w:r>
              <w:rPr>
                <w:rFonts w:ascii="Calibri" w:hAnsi="Calibri" w:cs="Calibri"/>
                <w:color w:val="000000"/>
                <w:sz w:val="20"/>
                <w:szCs w:val="20"/>
              </w:rPr>
              <w:t>)</w:t>
            </w:r>
          </w:p>
        </w:tc>
        <w:tc>
          <w:tcPr>
            <w:tcW w:w="960" w:type="dxa"/>
            <w:tcBorders>
              <w:top w:val="single" w:color="auto" w:sz="8" w:space="0"/>
              <w:left w:val="nil"/>
              <w:bottom w:val="single" w:color="auto" w:sz="8" w:space="0"/>
              <w:right w:val="single" w:color="auto" w:sz="8" w:space="0"/>
            </w:tcBorders>
            <w:noWrap/>
            <w:vAlign w:val="bottom"/>
            <w:hideMark/>
          </w:tcPr>
          <w:p w:rsidR="00A76CAF" w:rsidRDefault="00A76CAF" w14:paraId="4E0E7E72"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F</w:t>
            </w:r>
          </w:p>
        </w:tc>
        <w:tc>
          <w:tcPr>
            <w:tcW w:w="1277" w:type="dxa"/>
            <w:tcBorders>
              <w:top w:val="single" w:color="auto" w:sz="8" w:space="0"/>
              <w:left w:val="nil"/>
              <w:bottom w:val="single" w:color="auto" w:sz="8" w:space="0"/>
              <w:right w:val="single" w:color="auto" w:sz="8" w:space="0"/>
            </w:tcBorders>
            <w:noWrap/>
            <w:vAlign w:val="bottom"/>
            <w:hideMark/>
          </w:tcPr>
          <w:p w:rsidR="00A76CAF" w:rsidRDefault="00A76CAF" w14:paraId="1D15AD03" w14:textId="77777777">
            <w:pPr>
              <w:widowControl/>
              <w:autoSpaceDE/>
              <w:adjustRightInd/>
              <w:jc w:val="center"/>
              <w:rPr>
                <w:rFonts w:ascii="Calibri" w:hAnsi="Calibri" w:cs="Calibri"/>
                <w:color w:val="000000"/>
                <w:sz w:val="20"/>
                <w:szCs w:val="20"/>
              </w:rPr>
            </w:pPr>
            <w:r>
              <w:rPr>
                <w:rFonts w:ascii="Calibri" w:hAnsi="Calibri" w:cs="Calibri"/>
                <w:color w:val="000000"/>
                <w:sz w:val="20"/>
                <w:szCs w:val="20"/>
              </w:rPr>
              <w:t>(=</w:t>
            </w:r>
            <w:proofErr w:type="spellStart"/>
            <w:r>
              <w:rPr>
                <w:rFonts w:ascii="Calibri" w:hAnsi="Calibri" w:cs="Calibri"/>
                <w:color w:val="000000"/>
                <w:sz w:val="20"/>
                <w:szCs w:val="20"/>
              </w:rPr>
              <w:t>ExF</w:t>
            </w:r>
            <w:proofErr w:type="spellEnd"/>
            <w:r>
              <w:rPr>
                <w:rFonts w:ascii="Calibri" w:hAnsi="Calibri" w:cs="Calibri"/>
                <w:color w:val="000000"/>
                <w:sz w:val="20"/>
                <w:szCs w:val="20"/>
              </w:rPr>
              <w:t>)</w:t>
            </w:r>
          </w:p>
        </w:tc>
      </w:tr>
      <w:tr w:rsidR="00A76CAF" w:rsidTr="00A76CAF" w14:paraId="7ABB57D8" w14:textId="77777777">
        <w:trPr>
          <w:trHeight w:val="1905"/>
        </w:trPr>
        <w:tc>
          <w:tcPr>
            <w:tcW w:w="1360" w:type="dxa"/>
            <w:tcBorders>
              <w:top w:val="nil"/>
              <w:left w:val="single" w:color="auto" w:sz="8" w:space="0"/>
              <w:bottom w:val="single" w:color="auto" w:sz="8" w:space="0"/>
              <w:right w:val="single" w:color="auto" w:sz="8" w:space="0"/>
            </w:tcBorders>
            <w:vAlign w:val="center"/>
            <w:hideMark/>
          </w:tcPr>
          <w:p w:rsidR="00A76CAF" w:rsidRDefault="00A76CAF" w14:paraId="50EE59E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Type of Respondent</w:t>
            </w:r>
          </w:p>
        </w:tc>
        <w:tc>
          <w:tcPr>
            <w:tcW w:w="1394" w:type="dxa"/>
            <w:tcBorders>
              <w:top w:val="nil"/>
              <w:left w:val="nil"/>
              <w:bottom w:val="single" w:color="auto" w:sz="8" w:space="0"/>
              <w:right w:val="single" w:color="auto" w:sz="8" w:space="0"/>
            </w:tcBorders>
            <w:vAlign w:val="center"/>
            <w:hideMark/>
          </w:tcPr>
          <w:p w:rsidR="00A76CAF" w:rsidRDefault="00A76CAF" w14:paraId="62FD1790"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vAlign w:val="center"/>
            <w:hideMark/>
          </w:tcPr>
          <w:p w:rsidR="00A76CAF" w:rsidRDefault="00A76CAF" w14:paraId="227DE52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vAlign w:val="center"/>
            <w:hideMark/>
          </w:tcPr>
          <w:p w:rsidR="00A76CAF" w:rsidRDefault="00A76CAF" w14:paraId="52CDBE79"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of Responses per Respondent</w:t>
            </w:r>
          </w:p>
        </w:tc>
        <w:tc>
          <w:tcPr>
            <w:tcW w:w="1166" w:type="dxa"/>
            <w:tcBorders>
              <w:top w:val="nil"/>
              <w:left w:val="nil"/>
              <w:bottom w:val="single" w:color="auto" w:sz="8" w:space="0"/>
              <w:right w:val="single" w:color="auto" w:sz="8" w:space="0"/>
            </w:tcBorders>
            <w:vAlign w:val="center"/>
            <w:hideMark/>
          </w:tcPr>
          <w:p w:rsidR="00A76CAF" w:rsidRDefault="00A76CAF" w14:paraId="3A10FA9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350" w:type="dxa"/>
            <w:tcBorders>
              <w:top w:val="nil"/>
              <w:left w:val="nil"/>
              <w:bottom w:val="single" w:color="auto" w:sz="8" w:space="0"/>
              <w:right w:val="single" w:color="auto" w:sz="8" w:space="0"/>
            </w:tcBorders>
            <w:vAlign w:val="center"/>
            <w:hideMark/>
          </w:tcPr>
          <w:p w:rsidR="00A76CAF" w:rsidRDefault="00A76CAF" w14:paraId="386ACD33"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Avg. Burden per Response (in hours)</w:t>
            </w:r>
          </w:p>
        </w:tc>
        <w:tc>
          <w:tcPr>
            <w:tcW w:w="1363" w:type="dxa"/>
            <w:tcBorders>
              <w:top w:val="nil"/>
              <w:left w:val="nil"/>
              <w:bottom w:val="single" w:color="auto" w:sz="8" w:space="0"/>
              <w:right w:val="single" w:color="auto" w:sz="8" w:space="0"/>
            </w:tcBorders>
            <w:vAlign w:val="center"/>
            <w:hideMark/>
          </w:tcPr>
          <w:p w:rsidR="00A76CAF" w:rsidRDefault="00A76CAF" w14:paraId="744EDC8A"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vAlign w:val="center"/>
            <w:hideMark/>
          </w:tcPr>
          <w:p w:rsidR="00A76CAF" w:rsidRDefault="00A76CAF" w14:paraId="106F911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Avg. Hourly Wage Rate*</w:t>
            </w:r>
          </w:p>
        </w:tc>
        <w:tc>
          <w:tcPr>
            <w:tcW w:w="1277" w:type="dxa"/>
            <w:tcBorders>
              <w:top w:val="nil"/>
              <w:left w:val="nil"/>
              <w:bottom w:val="single" w:color="auto" w:sz="8" w:space="0"/>
              <w:right w:val="single" w:color="auto" w:sz="8" w:space="0"/>
            </w:tcBorders>
            <w:vAlign w:val="center"/>
            <w:hideMark/>
          </w:tcPr>
          <w:p w:rsidR="00A76CAF" w:rsidRDefault="00A76CAF" w14:paraId="231F16D3"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 Annual Respondent Cost</w:t>
            </w:r>
          </w:p>
        </w:tc>
      </w:tr>
      <w:tr w:rsidR="00A76CAF" w:rsidTr="00A76CAF" w14:paraId="27BE489B" w14:textId="77777777">
        <w:trPr>
          <w:trHeight w:val="330"/>
        </w:trPr>
        <w:tc>
          <w:tcPr>
            <w:tcW w:w="1360" w:type="dxa"/>
            <w:tcBorders>
              <w:top w:val="nil"/>
              <w:left w:val="single" w:color="auto" w:sz="8" w:space="0"/>
              <w:bottom w:val="single" w:color="auto" w:sz="8" w:space="0"/>
              <w:right w:val="single" w:color="auto" w:sz="8" w:space="0"/>
            </w:tcBorders>
            <w:vAlign w:val="center"/>
            <w:hideMark/>
          </w:tcPr>
          <w:p w:rsidR="00A76CAF" w:rsidRDefault="00A76CAF" w14:paraId="0025E658"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vAlign w:val="center"/>
            <w:hideMark/>
          </w:tcPr>
          <w:p w:rsidR="00A76CAF" w:rsidRDefault="00A76CAF" w14:paraId="49026E99"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r>
              <w:rPr>
                <w:rFonts w:ascii="Times New Roman" w:hAnsi="Times New Roman"/>
                <w:sz w:val="20"/>
                <w:szCs w:val="20"/>
              </w:rPr>
              <w:t>Application for Waiver of the Foreign Residence Requirement of Section 212(e) of the Immigration and Nationality Act</w:t>
            </w:r>
            <w:r>
              <w:rPr>
                <w:rFonts w:ascii="Times New Roman" w:hAnsi="Times New Roman"/>
                <w:bCs/>
                <w:color w:val="000000"/>
                <w:sz w:val="20"/>
                <w:szCs w:val="20"/>
              </w:rPr>
              <w:t xml:space="preserve"> / I-612</w:t>
            </w:r>
          </w:p>
        </w:tc>
        <w:tc>
          <w:tcPr>
            <w:tcW w:w="1239" w:type="dxa"/>
            <w:tcBorders>
              <w:top w:val="nil"/>
              <w:left w:val="nil"/>
              <w:bottom w:val="single" w:color="auto" w:sz="8" w:space="0"/>
              <w:right w:val="single" w:color="auto" w:sz="8" w:space="0"/>
            </w:tcBorders>
            <w:vAlign w:val="center"/>
            <w:hideMark/>
          </w:tcPr>
          <w:p w:rsidR="00A76CAF" w:rsidRDefault="00A76CAF" w14:paraId="7D59B90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161" w:type="dxa"/>
            <w:tcBorders>
              <w:top w:val="nil"/>
              <w:left w:val="nil"/>
              <w:bottom w:val="single" w:color="auto" w:sz="8" w:space="0"/>
              <w:right w:val="single" w:color="auto" w:sz="8" w:space="0"/>
            </w:tcBorders>
            <w:vAlign w:val="center"/>
            <w:hideMark/>
          </w:tcPr>
          <w:p w:rsidR="00A76CAF" w:rsidRDefault="00A76CAF" w14:paraId="761B1FEB"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1</w:t>
            </w:r>
          </w:p>
        </w:tc>
        <w:tc>
          <w:tcPr>
            <w:tcW w:w="1166" w:type="dxa"/>
            <w:tcBorders>
              <w:top w:val="nil"/>
              <w:left w:val="nil"/>
              <w:bottom w:val="single" w:color="auto" w:sz="8" w:space="0"/>
              <w:right w:val="single" w:color="auto" w:sz="8" w:space="0"/>
            </w:tcBorders>
            <w:vAlign w:val="center"/>
            <w:hideMark/>
          </w:tcPr>
          <w:p w:rsidR="00A76CAF" w:rsidRDefault="00A76CAF" w14:paraId="09A4825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color="auto" w:sz="8" w:space="0"/>
              <w:right w:val="single" w:color="auto" w:sz="8" w:space="0"/>
            </w:tcBorders>
            <w:vAlign w:val="center"/>
            <w:hideMark/>
          </w:tcPr>
          <w:p w:rsidR="00A76CAF" w:rsidRDefault="00A76CAF" w14:paraId="072A1DB4"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.333 </w:t>
            </w:r>
          </w:p>
        </w:tc>
        <w:tc>
          <w:tcPr>
            <w:tcW w:w="1363" w:type="dxa"/>
            <w:tcBorders>
              <w:top w:val="nil"/>
              <w:left w:val="nil"/>
              <w:bottom w:val="single" w:color="auto" w:sz="8" w:space="0"/>
              <w:right w:val="single" w:color="auto" w:sz="8" w:space="0"/>
            </w:tcBorders>
            <w:vAlign w:val="center"/>
            <w:hideMark/>
          </w:tcPr>
          <w:p w:rsidR="00A76CAF" w:rsidRDefault="00A76CAF" w14:paraId="75C235C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color="auto" w:sz="8" w:space="0"/>
              <w:right w:val="single" w:color="auto" w:sz="8" w:space="0"/>
            </w:tcBorders>
            <w:vAlign w:val="center"/>
            <w:hideMark/>
          </w:tcPr>
          <w:p w:rsidR="00A76CAF" w:rsidRDefault="00A76CAF" w14:paraId="36967773"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$35.54 </w:t>
            </w:r>
          </w:p>
        </w:tc>
        <w:tc>
          <w:tcPr>
            <w:tcW w:w="1277" w:type="dxa"/>
            <w:tcBorders>
              <w:top w:val="nil"/>
              <w:left w:val="nil"/>
              <w:bottom w:val="single" w:color="auto" w:sz="8" w:space="0"/>
              <w:right w:val="single" w:color="auto" w:sz="8" w:space="0"/>
            </w:tcBorders>
            <w:vAlign w:val="center"/>
            <w:hideMark/>
          </w:tcPr>
          <w:p w:rsidR="00A76CAF" w:rsidRDefault="00A76CAF" w14:paraId="4571545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$85,225</w:t>
            </w:r>
          </w:p>
        </w:tc>
      </w:tr>
      <w:tr w:rsidR="00A76CAF" w:rsidTr="00A76CAF" w14:paraId="08908D6C" w14:textId="77777777">
        <w:trPr>
          <w:trHeight w:val="330"/>
        </w:trPr>
        <w:tc>
          <w:tcPr>
            <w:tcW w:w="1360" w:type="dxa"/>
            <w:tcBorders>
              <w:top w:val="nil"/>
              <w:left w:val="single" w:color="auto" w:sz="8" w:space="0"/>
              <w:bottom w:val="single" w:color="auto" w:sz="8" w:space="0"/>
              <w:right w:val="single" w:color="auto" w:sz="8" w:space="0"/>
            </w:tcBorders>
            <w:vAlign w:val="center"/>
            <w:hideMark/>
          </w:tcPr>
          <w:p w:rsidR="00A76CAF" w:rsidRDefault="00A76CAF" w14:paraId="49F42D76"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w:t>
            </w:r>
          </w:p>
        </w:tc>
        <w:tc>
          <w:tcPr>
            <w:tcW w:w="1394" w:type="dxa"/>
            <w:tcBorders>
              <w:top w:val="nil"/>
              <w:left w:val="nil"/>
              <w:bottom w:val="single" w:color="auto" w:sz="8" w:space="0"/>
              <w:right w:val="single" w:color="auto" w:sz="8" w:space="0"/>
            </w:tcBorders>
            <w:shd w:val="clear" w:color="auto" w:fill="000000" w:themeFill="text1"/>
            <w:vAlign w:val="center"/>
            <w:hideMark/>
          </w:tcPr>
          <w:p w:rsidR="00A76CAF" w:rsidRDefault="00A76CAF" w14:paraId="3780E8D3"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00A76CAF" w:rsidRDefault="00A76CAF" w14:paraId="6770C223"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1,244 </w:t>
            </w:r>
          </w:p>
        </w:tc>
        <w:tc>
          <w:tcPr>
            <w:tcW w:w="1161" w:type="dxa"/>
            <w:tcBorders>
              <w:top w:val="nil"/>
              <w:left w:val="nil"/>
              <w:bottom w:val="single" w:color="auto" w:sz="8" w:space="0"/>
              <w:right w:val="single" w:color="auto" w:sz="8" w:space="0"/>
            </w:tcBorders>
            <w:shd w:val="clear" w:color="auto" w:fill="000000" w:themeFill="text1"/>
            <w:vAlign w:val="center"/>
            <w:hideMark/>
          </w:tcPr>
          <w:p w:rsidR="00A76CAF" w:rsidRDefault="00A76CAF" w14:paraId="6BD4B099"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166" w:type="dxa"/>
            <w:tcBorders>
              <w:top w:val="nil"/>
              <w:left w:val="nil"/>
              <w:bottom w:val="single" w:color="auto" w:sz="8" w:space="0"/>
              <w:right w:val="single" w:color="auto" w:sz="8" w:space="0"/>
            </w:tcBorders>
            <w:vAlign w:val="center"/>
            <w:hideMark/>
          </w:tcPr>
          <w:p w:rsidR="00A76CAF" w:rsidRDefault="00A76CAF" w14:paraId="5987CF6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color="auto" w:sz="8" w:space="0"/>
              <w:right w:val="single" w:color="auto" w:sz="8" w:space="0"/>
            </w:tcBorders>
            <w:shd w:val="clear" w:color="auto" w:fill="000000" w:themeFill="text1"/>
            <w:vAlign w:val="center"/>
            <w:hideMark/>
          </w:tcPr>
          <w:p w:rsidR="00A76CAF" w:rsidRDefault="00A76CAF" w14:paraId="4A2C5299"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vAlign w:val="center"/>
            <w:hideMark/>
          </w:tcPr>
          <w:p w:rsidR="00A76CAF" w:rsidRDefault="00A76CAF" w14:paraId="2169898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color="auto" w:sz="8" w:space="0"/>
              <w:right w:val="single" w:color="auto" w:sz="8" w:space="0"/>
            </w:tcBorders>
            <w:shd w:val="clear" w:color="auto" w:fill="000000" w:themeFill="text1"/>
            <w:vAlign w:val="center"/>
            <w:hideMark/>
          </w:tcPr>
          <w:p w:rsidR="00A76CAF" w:rsidRDefault="00A76CAF" w14:paraId="68CEDB7C"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277" w:type="dxa"/>
            <w:tcBorders>
              <w:top w:val="nil"/>
              <w:left w:val="nil"/>
              <w:bottom w:val="single" w:color="auto" w:sz="8" w:space="0"/>
              <w:right w:val="single" w:color="auto" w:sz="8" w:space="0"/>
            </w:tcBorders>
            <w:vAlign w:val="center"/>
            <w:hideMark/>
          </w:tcPr>
          <w:p w:rsidR="00A76CAF" w:rsidRDefault="00A76CAF" w14:paraId="62C70826"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$85,225</w:t>
            </w:r>
          </w:p>
        </w:tc>
      </w:tr>
    </w:tbl>
    <w:p w:rsidRPr="00A76CAF" w:rsidR="00A76CAF" w:rsidP="00A76CAF" w:rsidRDefault="00A76CAF" w14:paraId="11F1AE97" w14:textId="47CCDC18">
      <w:pPr>
        <w:tabs>
          <w:tab w:val="left" w:pos="-1440"/>
          <w:tab w:val="left" w:pos="1080"/>
        </w:tabs>
        <w:rPr>
          <w:rFonts w:ascii="Times New Roman" w:hAnsi="Times New Roman"/>
          <w:b/>
        </w:rPr>
      </w:pPr>
    </w:p>
    <w:p w:rsidRPr="00215244" w:rsidR="00B553AD" w:rsidP="002C5FC5" w:rsidRDefault="00B553AD" w14:paraId="5F96C31A" w14:textId="23C0283E">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lastRenderedPageBreak/>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Pr="000B00D2" w:rsidR="00DC0D8F" w:rsidP="0070535C" w:rsidRDefault="00DC0D8F" w14:paraId="3DECB0F9" w14:textId="4D078380">
      <w:pPr>
        <w:tabs>
          <w:tab w:val="left" w:pos="-1440"/>
        </w:tabs>
        <w:ind w:left="720"/>
        <w:rPr>
          <w:rFonts w:ascii="Times New Roman" w:hAnsi="Times New Roman"/>
        </w:rPr>
      </w:pPr>
      <w:r w:rsidRPr="00A927ED">
        <w:rPr>
          <w:rFonts w:ascii="Times New Roman" w:hAnsi="Times New Roman"/>
        </w:rPr>
        <w:t>USCIS estimates that the respondent cost for postage and to obtain copies of documents (and have translated, if necessary) in support of this application would be $</w:t>
      </w:r>
      <w:r>
        <w:rPr>
          <w:rFonts w:ascii="Times New Roman" w:hAnsi="Times New Roman"/>
        </w:rPr>
        <w:t>882,000</w:t>
      </w:r>
      <w:r w:rsidRPr="00A927ED">
        <w:rPr>
          <w:rFonts w:ascii="Times New Roman" w:hAnsi="Times New Roman"/>
        </w:rPr>
        <w:t xml:space="preserve"> and is estimated </w:t>
      </w:r>
      <w:r>
        <w:rPr>
          <w:rFonts w:ascii="Times New Roman" w:hAnsi="Times New Roman"/>
        </w:rPr>
        <w:t>by multiplying</w:t>
      </w:r>
      <w:r w:rsidRPr="00A927ED">
        <w:rPr>
          <w:rFonts w:ascii="Times New Roman" w:hAnsi="Times New Roman"/>
        </w:rPr>
        <w:t xml:space="preserve"> </w:t>
      </w:r>
      <w:r>
        <w:rPr>
          <w:rFonts w:ascii="Times New Roman" w:hAnsi="Times New Roman"/>
        </w:rPr>
        <w:t>7,200</w:t>
      </w:r>
      <w:r w:rsidRPr="00A927ED">
        <w:rPr>
          <w:rFonts w:ascii="Times New Roman" w:hAnsi="Times New Roman"/>
        </w:rPr>
        <w:t xml:space="preserve"> respondents </w:t>
      </w:r>
      <w:r>
        <w:rPr>
          <w:rFonts w:ascii="Times New Roman" w:hAnsi="Times New Roman"/>
        </w:rPr>
        <w:t>by an estimated rate of $122.50</w:t>
      </w:r>
      <w:r w:rsidRPr="00A927ED">
        <w:rPr>
          <w:rFonts w:ascii="Times New Roman" w:hAnsi="Times New Roman"/>
        </w:rPr>
        <w:t>.</w:t>
      </w:r>
      <w:r>
        <w:rPr>
          <w:rFonts w:ascii="Times New Roman" w:hAnsi="Times New Roman"/>
          <w:color w:val="FF0000"/>
        </w:rPr>
        <w:t xml:space="preserve">  </w:t>
      </w:r>
      <w:r w:rsidRPr="00A927ED">
        <w:rPr>
          <w:rFonts w:ascii="Times New Roman" w:hAnsi="Times New Roman"/>
          <w:i/>
        </w:rPr>
        <w:t>For informational purposes, there is a fee of $</w:t>
      </w:r>
      <w:r w:rsidR="00A76CAF">
        <w:rPr>
          <w:rFonts w:ascii="Times New Roman" w:hAnsi="Times New Roman"/>
          <w:i/>
        </w:rPr>
        <w:t>5</w:t>
      </w:r>
      <w:r w:rsidR="004D45EF">
        <w:rPr>
          <w:rFonts w:ascii="Times New Roman" w:hAnsi="Times New Roman"/>
          <w:i/>
        </w:rPr>
        <w:t>1</w:t>
      </w:r>
      <w:r w:rsidR="00A76CAF">
        <w:rPr>
          <w:rFonts w:ascii="Times New Roman" w:hAnsi="Times New Roman"/>
          <w:i/>
        </w:rPr>
        <w:t>5</w:t>
      </w:r>
      <w:r w:rsidRPr="00A927ED">
        <w:rPr>
          <w:rFonts w:ascii="Times New Roman" w:hAnsi="Times New Roman"/>
          <w:i/>
        </w:rPr>
        <w:t xml:space="preserve"> that each respondent must submit with the application.</w:t>
      </w:r>
    </w:p>
    <w:p w:rsidRPr="00AF45F2" w:rsidR="00B27061" w:rsidP="00914A5D" w:rsidRDefault="00B27061" w14:paraId="61CC177B" w14:textId="77777777">
      <w:pPr>
        <w:ind w:left="1440" w:hanging="720"/>
        <w:rPr>
          <w:rFonts w:ascii="Times New Roman" w:hAnsi="Times New Roman"/>
        </w:rPr>
      </w:pPr>
    </w:p>
    <w:p w:rsidRPr="0029577A" w:rsidR="006049A7" w:rsidP="00914A5D" w:rsidRDefault="00B27061" w14:paraId="6DADB5F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C2A3D8A" w14:textId="77777777">
      <w:pPr>
        <w:tabs>
          <w:tab w:val="left" w:pos="-1440"/>
        </w:tabs>
        <w:ind w:left="720"/>
        <w:rPr>
          <w:rFonts w:ascii="Times New Roman" w:hAnsi="Times New Roman"/>
        </w:rPr>
      </w:pPr>
    </w:p>
    <w:p w:rsidRPr="00A927ED" w:rsidR="00117B73" w:rsidP="002C5FC5" w:rsidRDefault="00117B73" w14:paraId="12305DC5" w14:textId="32FA80EB">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sidR="00A76CAF">
        <w:rPr>
          <w:rFonts w:ascii="Times New Roman" w:hAnsi="Times New Roman"/>
        </w:rPr>
        <w:t>5</w:t>
      </w:r>
      <w:r w:rsidR="004D45EF">
        <w:rPr>
          <w:rFonts w:ascii="Times New Roman" w:hAnsi="Times New Roman"/>
        </w:rPr>
        <w:t>1</w:t>
      </w:r>
      <w:r w:rsidR="00A76CAF">
        <w:rPr>
          <w:rFonts w:ascii="Times New Roman" w:hAnsi="Times New Roman"/>
        </w:rPr>
        <w:t>5</w:t>
      </w:r>
      <w:r w:rsidRPr="00A927ED">
        <w:rPr>
          <w:rFonts w:ascii="Times New Roman" w:hAnsi="Times New Roman"/>
        </w:rPr>
        <w:t xml:space="preserve"> x </w:t>
      </w:r>
      <w:r>
        <w:rPr>
          <w:rFonts w:ascii="Times New Roman" w:hAnsi="Times New Roman"/>
        </w:rPr>
        <w:t>7,200</w:t>
      </w:r>
      <w:r w:rsidRPr="00A927ED">
        <w:rPr>
          <w:rFonts w:ascii="Times New Roman" w:hAnsi="Times New Roman"/>
        </w:rPr>
        <w:t xml:space="preserve"> = $</w:t>
      </w:r>
      <w:r w:rsidR="00A76CAF">
        <w:rPr>
          <w:rFonts w:ascii="Times New Roman" w:hAnsi="Times New Roman"/>
        </w:rPr>
        <w:t>3,</w:t>
      </w:r>
      <w:r w:rsidR="004D45EF">
        <w:rPr>
          <w:rFonts w:ascii="Times New Roman" w:hAnsi="Times New Roman"/>
        </w:rPr>
        <w:t>605</w:t>
      </w:r>
      <w:r w:rsidR="00A76CAF">
        <w:rPr>
          <w:rFonts w:ascii="Times New Roman" w:hAnsi="Times New Roman"/>
        </w:rPr>
        <w:t>,000.</w:t>
      </w:r>
    </w:p>
    <w:p w:rsidRPr="00914A5D" w:rsidR="00CA5DA5" w:rsidP="00914A5D" w:rsidRDefault="00CA5DA5" w14:paraId="00BCE468" w14:textId="77777777">
      <w:pPr>
        <w:tabs>
          <w:tab w:val="left" w:pos="-1440"/>
        </w:tabs>
        <w:ind w:left="720"/>
        <w:rPr>
          <w:rFonts w:ascii="Times New Roman" w:hAnsi="Times New Roman"/>
        </w:rPr>
      </w:pPr>
    </w:p>
    <w:p w:rsidRPr="00914A5D" w:rsidR="00B27061" w:rsidP="00914A5D" w:rsidRDefault="00B27061" w14:paraId="4B7CF9C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1487EA18" w14:textId="77777777">
      <w:pPr>
        <w:tabs>
          <w:tab w:val="left" w:pos="-1440"/>
        </w:tabs>
        <w:ind w:left="720"/>
        <w:rPr>
          <w:rFonts w:ascii="Times New Roman" w:hAnsi="Times New Roman"/>
        </w:rPr>
      </w:pPr>
    </w:p>
    <w:p w:rsidRPr="00CC7998" w:rsidR="00423B6E" w:rsidP="00423B6E" w:rsidRDefault="00CC7998" w14:paraId="397F734E" w14:textId="4C5DEE21">
      <w:pPr>
        <w:ind w:left="720"/>
        <w:rPr>
          <w:rFonts w:ascii="Times New Roman" w:hAnsi="Times New Roman"/>
        </w:rPr>
      </w:pPr>
      <w:r w:rsidRPr="00CC7998">
        <w:rPr>
          <w:rFonts w:ascii="Times New Roman" w:hAnsi="Times New Roman"/>
        </w:rPr>
        <w:t>There is no change to the hour or cost burden estimates associated with this collection of information</w:t>
      </w:r>
      <w:r w:rsidRPr="00CC7998" w:rsidR="00423B6E">
        <w:rPr>
          <w:rFonts w:ascii="Times New Roman" w:hAnsi="Times New Roman"/>
        </w:rPr>
        <w:t>.</w:t>
      </w:r>
    </w:p>
    <w:p w:rsidRPr="0029577A" w:rsidR="00CD6472" w:rsidP="00914A5D" w:rsidRDefault="00CD6472" w14:paraId="268200E6" w14:textId="77777777">
      <w:pPr>
        <w:ind w:left="720"/>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920AF2">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9DBC9" w14:textId="77777777" w:rsidR="001302C5" w:rsidRDefault="001302C5">
      <w:r>
        <w:separator/>
      </w:r>
    </w:p>
  </w:endnote>
  <w:endnote w:type="continuationSeparator" w:id="0">
    <w:p w14:paraId="635ADDCA" w14:textId="77777777" w:rsidR="001302C5" w:rsidRDefault="0013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232793" w:rsidRDefault="00232793">
    <w:pPr>
      <w:spacing w:line="240" w:lineRule="exact"/>
    </w:pPr>
  </w:p>
  <w:p w14:paraId="6F78E9FD" w14:textId="534B9C24"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62743">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8F0B" w14:textId="77777777" w:rsidR="001302C5" w:rsidRDefault="001302C5">
      <w:r>
        <w:separator/>
      </w:r>
    </w:p>
  </w:footnote>
  <w:footnote w:type="continuationSeparator" w:id="0">
    <w:p w14:paraId="37136DD8" w14:textId="77777777" w:rsidR="001302C5" w:rsidRDefault="00130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CE386F"/>
    <w:multiLevelType w:val="hybridMultilevel"/>
    <w:tmpl w:val="70480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FB10BB"/>
    <w:multiLevelType w:val="hybridMultilevel"/>
    <w:tmpl w:val="06F0A7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54E35"/>
    <w:rsid w:val="0006240B"/>
    <w:rsid w:val="000712DA"/>
    <w:rsid w:val="00080CE0"/>
    <w:rsid w:val="00093DB1"/>
    <w:rsid w:val="000A42FA"/>
    <w:rsid w:val="000B00D2"/>
    <w:rsid w:val="000B594A"/>
    <w:rsid w:val="000C52F1"/>
    <w:rsid w:val="000D6040"/>
    <w:rsid w:val="000E24BC"/>
    <w:rsid w:val="000E2E71"/>
    <w:rsid w:val="000F1A9A"/>
    <w:rsid w:val="000F3A73"/>
    <w:rsid w:val="000F5FB0"/>
    <w:rsid w:val="0010769F"/>
    <w:rsid w:val="00117B73"/>
    <w:rsid w:val="001302C5"/>
    <w:rsid w:val="00152072"/>
    <w:rsid w:val="00163136"/>
    <w:rsid w:val="00165737"/>
    <w:rsid w:val="00175094"/>
    <w:rsid w:val="001771A2"/>
    <w:rsid w:val="0019320E"/>
    <w:rsid w:val="001A595D"/>
    <w:rsid w:val="001A6198"/>
    <w:rsid w:val="001A6D21"/>
    <w:rsid w:val="001B0568"/>
    <w:rsid w:val="001B4120"/>
    <w:rsid w:val="001C73B6"/>
    <w:rsid w:val="001D1D4E"/>
    <w:rsid w:val="001D4B66"/>
    <w:rsid w:val="00204887"/>
    <w:rsid w:val="00215244"/>
    <w:rsid w:val="002273BA"/>
    <w:rsid w:val="00232793"/>
    <w:rsid w:val="00253060"/>
    <w:rsid w:val="00255B16"/>
    <w:rsid w:val="00280949"/>
    <w:rsid w:val="0029577A"/>
    <w:rsid w:val="002A4A73"/>
    <w:rsid w:val="002B688A"/>
    <w:rsid w:val="002C5D64"/>
    <w:rsid w:val="002C5FC5"/>
    <w:rsid w:val="002D01EC"/>
    <w:rsid w:val="002E199D"/>
    <w:rsid w:val="002E7594"/>
    <w:rsid w:val="00305A71"/>
    <w:rsid w:val="0031345B"/>
    <w:rsid w:val="00324023"/>
    <w:rsid w:val="0037585D"/>
    <w:rsid w:val="003944DB"/>
    <w:rsid w:val="003A0F52"/>
    <w:rsid w:val="003D0876"/>
    <w:rsid w:val="003F24A3"/>
    <w:rsid w:val="004162F7"/>
    <w:rsid w:val="00423B6E"/>
    <w:rsid w:val="00473436"/>
    <w:rsid w:val="004774E6"/>
    <w:rsid w:val="00494557"/>
    <w:rsid w:val="004D45EF"/>
    <w:rsid w:val="004E5572"/>
    <w:rsid w:val="004F3779"/>
    <w:rsid w:val="0051414E"/>
    <w:rsid w:val="00525E40"/>
    <w:rsid w:val="0054585A"/>
    <w:rsid w:val="005543AD"/>
    <w:rsid w:val="00556229"/>
    <w:rsid w:val="00564806"/>
    <w:rsid w:val="00584DC7"/>
    <w:rsid w:val="00590B61"/>
    <w:rsid w:val="005B6129"/>
    <w:rsid w:val="005C3DD7"/>
    <w:rsid w:val="005E4BCB"/>
    <w:rsid w:val="005E7D24"/>
    <w:rsid w:val="00600091"/>
    <w:rsid w:val="00603702"/>
    <w:rsid w:val="006049A7"/>
    <w:rsid w:val="0063018C"/>
    <w:rsid w:val="006474AE"/>
    <w:rsid w:val="00662686"/>
    <w:rsid w:val="00677E07"/>
    <w:rsid w:val="006A0CC6"/>
    <w:rsid w:val="006A229A"/>
    <w:rsid w:val="006B0B31"/>
    <w:rsid w:val="006B2572"/>
    <w:rsid w:val="006B38F6"/>
    <w:rsid w:val="006B56DD"/>
    <w:rsid w:val="006C79B6"/>
    <w:rsid w:val="006E606E"/>
    <w:rsid w:val="006F083F"/>
    <w:rsid w:val="00703B09"/>
    <w:rsid w:val="0070535C"/>
    <w:rsid w:val="00711A21"/>
    <w:rsid w:val="00714E77"/>
    <w:rsid w:val="007312F9"/>
    <w:rsid w:val="0073337A"/>
    <w:rsid w:val="00733AB1"/>
    <w:rsid w:val="00734FA5"/>
    <w:rsid w:val="007356FA"/>
    <w:rsid w:val="00742952"/>
    <w:rsid w:val="00745A07"/>
    <w:rsid w:val="00763210"/>
    <w:rsid w:val="00765E88"/>
    <w:rsid w:val="00792517"/>
    <w:rsid w:val="00792B9D"/>
    <w:rsid w:val="007A0B92"/>
    <w:rsid w:val="007A41FD"/>
    <w:rsid w:val="007B32A5"/>
    <w:rsid w:val="007B44CD"/>
    <w:rsid w:val="007C03A1"/>
    <w:rsid w:val="007D0923"/>
    <w:rsid w:val="007E6F17"/>
    <w:rsid w:val="007F5988"/>
    <w:rsid w:val="00807BA2"/>
    <w:rsid w:val="00810CEE"/>
    <w:rsid w:val="00813D6F"/>
    <w:rsid w:val="00815023"/>
    <w:rsid w:val="008255EE"/>
    <w:rsid w:val="00833B6C"/>
    <w:rsid w:val="0083723C"/>
    <w:rsid w:val="008A4764"/>
    <w:rsid w:val="008D7291"/>
    <w:rsid w:val="008F233F"/>
    <w:rsid w:val="008F74F4"/>
    <w:rsid w:val="009147A2"/>
    <w:rsid w:val="00914A5D"/>
    <w:rsid w:val="00920AF2"/>
    <w:rsid w:val="00921351"/>
    <w:rsid w:val="00934AB2"/>
    <w:rsid w:val="009556EE"/>
    <w:rsid w:val="00962743"/>
    <w:rsid w:val="009654E3"/>
    <w:rsid w:val="00974223"/>
    <w:rsid w:val="009C3116"/>
    <w:rsid w:val="009D1DF6"/>
    <w:rsid w:val="009D5D2B"/>
    <w:rsid w:val="009F15D0"/>
    <w:rsid w:val="00A05B27"/>
    <w:rsid w:val="00A26598"/>
    <w:rsid w:val="00A3466A"/>
    <w:rsid w:val="00A51FAF"/>
    <w:rsid w:val="00A5237F"/>
    <w:rsid w:val="00A56B2D"/>
    <w:rsid w:val="00A631E5"/>
    <w:rsid w:val="00A705B5"/>
    <w:rsid w:val="00A76CAF"/>
    <w:rsid w:val="00AA20FB"/>
    <w:rsid w:val="00AA76BC"/>
    <w:rsid w:val="00AB6710"/>
    <w:rsid w:val="00AE18D4"/>
    <w:rsid w:val="00AF43AC"/>
    <w:rsid w:val="00AF45F2"/>
    <w:rsid w:val="00B0571D"/>
    <w:rsid w:val="00B1471A"/>
    <w:rsid w:val="00B23A20"/>
    <w:rsid w:val="00B27061"/>
    <w:rsid w:val="00B31EBB"/>
    <w:rsid w:val="00B45F16"/>
    <w:rsid w:val="00B553AD"/>
    <w:rsid w:val="00B635A9"/>
    <w:rsid w:val="00B7349D"/>
    <w:rsid w:val="00B7362B"/>
    <w:rsid w:val="00B7756A"/>
    <w:rsid w:val="00B802BE"/>
    <w:rsid w:val="00B82238"/>
    <w:rsid w:val="00BB3D46"/>
    <w:rsid w:val="00BB7327"/>
    <w:rsid w:val="00BD1E93"/>
    <w:rsid w:val="00BD3260"/>
    <w:rsid w:val="00BE3C63"/>
    <w:rsid w:val="00C031B6"/>
    <w:rsid w:val="00C04531"/>
    <w:rsid w:val="00C2236B"/>
    <w:rsid w:val="00C25438"/>
    <w:rsid w:val="00C55FA3"/>
    <w:rsid w:val="00C62A1F"/>
    <w:rsid w:val="00C7360E"/>
    <w:rsid w:val="00C9224C"/>
    <w:rsid w:val="00CA5286"/>
    <w:rsid w:val="00CA5DA5"/>
    <w:rsid w:val="00CC2485"/>
    <w:rsid w:val="00CC5D81"/>
    <w:rsid w:val="00CC7998"/>
    <w:rsid w:val="00CD6146"/>
    <w:rsid w:val="00CD6472"/>
    <w:rsid w:val="00CD6D53"/>
    <w:rsid w:val="00CE366B"/>
    <w:rsid w:val="00D13A70"/>
    <w:rsid w:val="00D15779"/>
    <w:rsid w:val="00D22B13"/>
    <w:rsid w:val="00D25A84"/>
    <w:rsid w:val="00D72618"/>
    <w:rsid w:val="00D80E94"/>
    <w:rsid w:val="00D81C4D"/>
    <w:rsid w:val="00D82C0F"/>
    <w:rsid w:val="00D90BD1"/>
    <w:rsid w:val="00D928C9"/>
    <w:rsid w:val="00DA2D6B"/>
    <w:rsid w:val="00DC0D8F"/>
    <w:rsid w:val="00DC1428"/>
    <w:rsid w:val="00DE08FF"/>
    <w:rsid w:val="00DF3C4B"/>
    <w:rsid w:val="00DF7207"/>
    <w:rsid w:val="00E056B6"/>
    <w:rsid w:val="00E15619"/>
    <w:rsid w:val="00E4472B"/>
    <w:rsid w:val="00E61E1B"/>
    <w:rsid w:val="00E7684A"/>
    <w:rsid w:val="00E85831"/>
    <w:rsid w:val="00E85D6D"/>
    <w:rsid w:val="00E91139"/>
    <w:rsid w:val="00EA1FB2"/>
    <w:rsid w:val="00EC3504"/>
    <w:rsid w:val="00F52E3D"/>
    <w:rsid w:val="00FA1AFF"/>
    <w:rsid w:val="00FA3B38"/>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4F96CD"/>
  <w15:docId w15:val="{DADE327E-3657-43BB-B459-43FBD45E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E4472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2C5FC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6371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1325078">
      <w:bodyDiv w:val="1"/>
      <w:marLeft w:val="0"/>
      <w:marRight w:val="0"/>
      <w:marTop w:val="0"/>
      <w:marBottom w:val="0"/>
      <w:divBdr>
        <w:top w:val="none" w:sz="0" w:space="0" w:color="auto"/>
        <w:left w:val="none" w:sz="0" w:space="0" w:color="auto"/>
        <w:bottom w:val="none" w:sz="0" w:space="0" w:color="auto"/>
        <w:right w:val="none" w:sz="0" w:space="0" w:color="auto"/>
      </w:divBdr>
    </w:div>
    <w:div w:id="1342203481">
      <w:bodyDiv w:val="1"/>
      <w:marLeft w:val="0"/>
      <w:marRight w:val="0"/>
      <w:marTop w:val="0"/>
      <w:marBottom w:val="0"/>
      <w:divBdr>
        <w:top w:val="none" w:sz="0" w:space="0" w:color="auto"/>
        <w:left w:val="none" w:sz="0" w:space="0" w:color="auto"/>
        <w:bottom w:val="none" w:sz="0" w:space="0" w:color="auto"/>
        <w:right w:val="none" w:sz="0" w:space="0" w:color="auto"/>
      </w:divBdr>
    </w:div>
    <w:div w:id="177197453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472939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16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61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DA6EA079-AB31-49A8-B317-6843915DD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3.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14736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Avendano, Manuel A</cp:lastModifiedBy>
  <cp:revision>5</cp:revision>
  <cp:lastPrinted>2010-05-14T15:20:00Z</cp:lastPrinted>
  <dcterms:created xsi:type="dcterms:W3CDTF">2019-11-27T19:54:00Z</dcterms:created>
  <dcterms:modified xsi:type="dcterms:W3CDTF">2020-08-03T20:20:00Z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