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4D46B3" w:rsidP="00A94D59" w:rsidRDefault="004D46B3" w14:paraId="04310C3B" w14:textId="77777777">
      <w:pPr>
        <w:pStyle w:val="NoSpacing"/>
        <w:jc w:val="center"/>
        <w:rPr>
          <w:b/>
          <w:bCs/>
          <w:sz w:val="28"/>
          <w:szCs w:val="28"/>
        </w:rPr>
      </w:pPr>
    </w:p>
    <w:p w:rsidR="004D46B3" w:rsidP="00A94D59" w:rsidRDefault="004D46B3" w14:paraId="198122F3" w14:textId="757D5181">
      <w:pPr>
        <w:pStyle w:val="NoSpacing"/>
        <w:jc w:val="center"/>
        <w:rPr>
          <w:b/>
          <w:bCs/>
          <w:sz w:val="28"/>
          <w:szCs w:val="28"/>
        </w:rPr>
      </w:pPr>
      <w:r>
        <w:rPr>
          <w:b/>
          <w:bCs/>
          <w:sz w:val="28"/>
          <w:szCs w:val="28"/>
        </w:rPr>
        <w:t xml:space="preserve">Governors Emergency Education Relief </w:t>
      </w:r>
      <w:r w:rsidR="00583B4F">
        <w:rPr>
          <w:b/>
          <w:bCs/>
          <w:sz w:val="28"/>
          <w:szCs w:val="28"/>
        </w:rPr>
        <w:t xml:space="preserve">(GEER) Fund </w:t>
      </w:r>
      <w:r w:rsidR="00797385">
        <w:rPr>
          <w:b/>
          <w:bCs/>
          <w:sz w:val="28"/>
          <w:szCs w:val="28"/>
        </w:rPr>
        <w:t xml:space="preserve">Recipient </w:t>
      </w:r>
      <w:r w:rsidR="00583B4F">
        <w:rPr>
          <w:b/>
          <w:bCs/>
          <w:sz w:val="28"/>
          <w:szCs w:val="28"/>
        </w:rPr>
        <w:t>Data Collection Form</w:t>
      </w:r>
    </w:p>
    <w:p w:rsidRPr="00A94D59" w:rsidR="00941EF1" w:rsidP="00A94D59" w:rsidRDefault="00583B4F" w14:paraId="7019DD02" w14:textId="5F48581A">
      <w:pPr>
        <w:pStyle w:val="NoSpacing"/>
        <w:jc w:val="center"/>
        <w:rPr>
          <w:sz w:val="20"/>
          <w:szCs w:val="20"/>
        </w:rPr>
      </w:pPr>
      <w:r>
        <w:rPr>
          <w:b/>
          <w:bCs/>
          <w:sz w:val="28"/>
          <w:szCs w:val="28"/>
        </w:rPr>
        <w:t xml:space="preserve">Response to </w:t>
      </w:r>
      <w:r w:rsidR="0035641B">
        <w:rPr>
          <w:b/>
          <w:bCs/>
          <w:sz w:val="28"/>
          <w:szCs w:val="28"/>
        </w:rPr>
        <w:t xml:space="preserve">60-Day </w:t>
      </w:r>
      <w:r>
        <w:rPr>
          <w:b/>
          <w:bCs/>
          <w:sz w:val="28"/>
          <w:szCs w:val="28"/>
        </w:rPr>
        <w:t xml:space="preserve">Public Comments </w:t>
      </w:r>
    </w:p>
    <w:tbl>
      <w:tblPr>
        <w:tblStyle w:val="TableGrid"/>
        <w:tblW w:w="14665" w:type="dxa"/>
        <w:tblLayout w:type="fixed"/>
        <w:tblLook w:val="04A0" w:firstRow="1" w:lastRow="0" w:firstColumn="1" w:lastColumn="0" w:noHBand="0" w:noVBand="1"/>
      </w:tblPr>
      <w:tblGrid>
        <w:gridCol w:w="1169"/>
        <w:gridCol w:w="1346"/>
        <w:gridCol w:w="6120"/>
        <w:gridCol w:w="6030"/>
      </w:tblGrid>
      <w:tr w:rsidRPr="00181671" w:rsidR="002A57A8" w:rsidTr="00D80687" w14:paraId="1323A13C" w14:textId="77777777">
        <w:trPr>
          <w:tblHeader/>
        </w:trPr>
        <w:tc>
          <w:tcPr>
            <w:tcW w:w="1169" w:type="dxa"/>
          </w:tcPr>
          <w:p w:rsidRPr="00181671" w:rsidR="009631CA" w:rsidP="00D768AD" w:rsidRDefault="009631CA" w14:paraId="65BD1B8F" w14:textId="77777777">
            <w:pPr>
              <w:jc w:val="center"/>
              <w:rPr>
                <w:rFonts w:ascii="Calibri" w:hAnsi="Calibri" w:eastAsia="Times New Roman" w:cs="Calibri"/>
                <w:b/>
                <w:bCs/>
                <w:sz w:val="22"/>
                <w:szCs w:val="22"/>
              </w:rPr>
            </w:pPr>
            <w:r w:rsidRPr="00181671">
              <w:rPr>
                <w:rFonts w:ascii="Calibri" w:hAnsi="Calibri" w:eastAsia="Times New Roman" w:cs="Calibri"/>
                <w:b/>
                <w:bCs/>
                <w:sz w:val="22"/>
                <w:szCs w:val="22"/>
              </w:rPr>
              <w:t>Document</w:t>
            </w:r>
          </w:p>
        </w:tc>
        <w:tc>
          <w:tcPr>
            <w:tcW w:w="1346" w:type="dxa"/>
          </w:tcPr>
          <w:p w:rsidR="002D5936" w:rsidP="00D768AD" w:rsidRDefault="009631CA" w14:paraId="5AF444E0" w14:textId="77777777">
            <w:pPr>
              <w:jc w:val="center"/>
              <w:rPr>
                <w:rFonts w:ascii="Calibri" w:hAnsi="Calibri" w:eastAsia="Times New Roman" w:cs="Calibri"/>
                <w:b/>
                <w:bCs/>
                <w:sz w:val="22"/>
                <w:szCs w:val="22"/>
              </w:rPr>
            </w:pPr>
            <w:r w:rsidRPr="00181671">
              <w:rPr>
                <w:rFonts w:ascii="Calibri" w:hAnsi="Calibri" w:eastAsia="Times New Roman" w:cs="Calibri"/>
                <w:b/>
                <w:bCs/>
                <w:sz w:val="22"/>
                <w:szCs w:val="22"/>
              </w:rPr>
              <w:t>Name</w:t>
            </w:r>
            <w:r>
              <w:rPr>
                <w:rFonts w:ascii="Calibri" w:hAnsi="Calibri" w:eastAsia="Times New Roman" w:cs="Calibri"/>
                <w:b/>
                <w:bCs/>
                <w:sz w:val="22"/>
                <w:szCs w:val="22"/>
              </w:rPr>
              <w:t>/</w:t>
            </w:r>
          </w:p>
          <w:p w:rsidRPr="00181671" w:rsidR="009631CA" w:rsidP="00D768AD" w:rsidRDefault="009631CA" w14:paraId="22D723FA" w14:textId="6549CAC1">
            <w:pPr>
              <w:jc w:val="center"/>
              <w:rPr>
                <w:rFonts w:ascii="Calibri" w:hAnsi="Calibri" w:eastAsia="Times New Roman" w:cs="Calibri"/>
                <w:b/>
                <w:bCs/>
                <w:sz w:val="22"/>
                <w:szCs w:val="22"/>
              </w:rPr>
            </w:pPr>
            <w:r w:rsidRPr="00181671">
              <w:rPr>
                <w:rFonts w:ascii="Calibri" w:hAnsi="Calibri" w:eastAsia="Times New Roman" w:cs="Calibri"/>
                <w:b/>
                <w:bCs/>
                <w:sz w:val="22"/>
                <w:szCs w:val="22"/>
              </w:rPr>
              <w:t>Affiliation</w:t>
            </w:r>
          </w:p>
        </w:tc>
        <w:tc>
          <w:tcPr>
            <w:tcW w:w="6120" w:type="dxa"/>
          </w:tcPr>
          <w:p w:rsidRPr="00181671" w:rsidR="009631CA" w:rsidP="00D768AD" w:rsidRDefault="009631CA" w14:paraId="328BFE4B" w14:textId="77777777">
            <w:pPr>
              <w:jc w:val="center"/>
              <w:rPr>
                <w:rFonts w:ascii="Calibri" w:hAnsi="Calibri" w:eastAsia="Times New Roman" w:cs="Calibri"/>
                <w:b/>
                <w:bCs/>
                <w:sz w:val="22"/>
                <w:szCs w:val="22"/>
              </w:rPr>
            </w:pPr>
            <w:r w:rsidRPr="00181671">
              <w:rPr>
                <w:rFonts w:ascii="Calibri" w:hAnsi="Calibri" w:eastAsia="Times New Roman" w:cs="Calibri"/>
                <w:b/>
                <w:bCs/>
                <w:sz w:val="22"/>
                <w:szCs w:val="22"/>
              </w:rPr>
              <w:t>Comment</w:t>
            </w:r>
          </w:p>
        </w:tc>
        <w:tc>
          <w:tcPr>
            <w:tcW w:w="6030" w:type="dxa"/>
          </w:tcPr>
          <w:p w:rsidRPr="00181671" w:rsidR="009631CA" w:rsidP="00D768AD" w:rsidRDefault="009631CA" w14:paraId="3FA7603C" w14:textId="321ACF04">
            <w:pPr>
              <w:jc w:val="center"/>
              <w:rPr>
                <w:rFonts w:ascii="Calibri" w:hAnsi="Calibri" w:eastAsia="Times New Roman" w:cs="Calibri"/>
                <w:b/>
                <w:bCs/>
                <w:sz w:val="22"/>
                <w:szCs w:val="22"/>
              </w:rPr>
            </w:pPr>
            <w:r w:rsidRPr="00181671">
              <w:rPr>
                <w:rFonts w:ascii="Calibri" w:hAnsi="Calibri" w:eastAsia="Times New Roman" w:cs="Calibri"/>
                <w:b/>
                <w:bCs/>
                <w:sz w:val="22"/>
                <w:szCs w:val="22"/>
              </w:rPr>
              <w:t xml:space="preserve">Response </w:t>
            </w:r>
          </w:p>
        </w:tc>
      </w:tr>
      <w:tr w:rsidRPr="00C601C5" w:rsidR="007A3591" w:rsidTr="00D80687" w14:paraId="28E6AE26" w14:textId="77777777">
        <w:tc>
          <w:tcPr>
            <w:tcW w:w="1169" w:type="dxa"/>
            <w:vMerge w:val="restart"/>
          </w:tcPr>
          <w:p w:rsidRPr="00181671" w:rsidR="007A3591" w:rsidP="00D768AD" w:rsidRDefault="007A3591" w14:paraId="58ED408E" w14:textId="709CF6E3">
            <w:pPr>
              <w:rPr>
                <w:rFonts w:ascii="Calibri" w:hAnsi="Calibri" w:cs="Calibri"/>
                <w:sz w:val="18"/>
                <w:szCs w:val="18"/>
              </w:rPr>
            </w:pPr>
            <w:r w:rsidRPr="00181671">
              <w:rPr>
                <w:rFonts w:ascii="Calibri" w:hAnsi="Calibri" w:cs="Calibri"/>
                <w:sz w:val="18"/>
                <w:szCs w:val="18"/>
              </w:rPr>
              <w:t>ED-2020-SCC-012</w:t>
            </w:r>
            <w:r>
              <w:rPr>
                <w:rFonts w:ascii="Calibri" w:hAnsi="Calibri" w:cs="Calibri"/>
                <w:sz w:val="18"/>
                <w:szCs w:val="18"/>
              </w:rPr>
              <w:t>3</w:t>
            </w:r>
            <w:r w:rsidRPr="00181671">
              <w:rPr>
                <w:rFonts w:ascii="Calibri" w:hAnsi="Calibri" w:cs="Calibri"/>
                <w:sz w:val="18"/>
                <w:szCs w:val="18"/>
              </w:rPr>
              <w:t>-000</w:t>
            </w:r>
            <w:r>
              <w:rPr>
                <w:rFonts w:ascii="Calibri" w:hAnsi="Calibri" w:cs="Calibri"/>
                <w:sz w:val="18"/>
                <w:szCs w:val="18"/>
              </w:rPr>
              <w:t>5</w:t>
            </w:r>
          </w:p>
          <w:p w:rsidRPr="00181671" w:rsidR="007A3591" w:rsidP="00D768AD" w:rsidRDefault="007A3591" w14:paraId="20D2658C" w14:textId="77777777">
            <w:pPr>
              <w:rPr>
                <w:rFonts w:ascii="Calibri" w:hAnsi="Calibri" w:cs="Calibri"/>
                <w:sz w:val="18"/>
                <w:szCs w:val="18"/>
              </w:rPr>
            </w:pPr>
          </w:p>
        </w:tc>
        <w:tc>
          <w:tcPr>
            <w:tcW w:w="1346" w:type="dxa"/>
            <w:vMerge w:val="restart"/>
          </w:tcPr>
          <w:p w:rsidRPr="009E44D5" w:rsidR="007A3591" w:rsidP="00D768AD" w:rsidRDefault="007A3591" w14:paraId="74A285E1" w14:textId="12F326EF">
            <w:pPr>
              <w:rPr>
                <w:rFonts w:ascii="Calibri" w:hAnsi="Calibri" w:cs="Calibri"/>
                <w:sz w:val="20"/>
                <w:szCs w:val="20"/>
              </w:rPr>
            </w:pPr>
            <w:r>
              <w:rPr>
                <w:rFonts w:ascii="Calibri" w:hAnsi="Calibri" w:cs="Calibri"/>
                <w:sz w:val="20"/>
                <w:szCs w:val="20"/>
              </w:rPr>
              <w:t>Utah K-12 CARES Coordination Leadership</w:t>
            </w:r>
          </w:p>
        </w:tc>
        <w:tc>
          <w:tcPr>
            <w:tcW w:w="6120" w:type="dxa"/>
          </w:tcPr>
          <w:p w:rsidR="007A3591" w:rsidP="00B16C25" w:rsidRDefault="007A3591" w14:paraId="45C6BFD9" w14:textId="77777777">
            <w:pPr>
              <w:rPr>
                <w:sz w:val="20"/>
                <w:szCs w:val="20"/>
              </w:rPr>
            </w:pPr>
            <w:r w:rsidRPr="00404792">
              <w:rPr>
                <w:b/>
                <w:sz w:val="20"/>
                <w:szCs w:val="20"/>
              </w:rPr>
              <w:t>Section 4: LEA GEER Funds</w:t>
            </w:r>
            <w:r w:rsidRPr="00090DE9">
              <w:rPr>
                <w:b/>
                <w:bCs/>
                <w:sz w:val="20"/>
                <w:szCs w:val="20"/>
              </w:rPr>
              <w:t>. (1)</w:t>
            </w:r>
            <w:r w:rsidRPr="00090DE9">
              <w:rPr>
                <w:b/>
                <w:sz w:val="20"/>
                <w:szCs w:val="20"/>
              </w:rPr>
              <w:t xml:space="preserve"> </w:t>
            </w:r>
            <w:r w:rsidRPr="00090DE9">
              <w:rPr>
                <w:sz w:val="20"/>
                <w:szCs w:val="20"/>
              </w:rPr>
              <w:t xml:space="preserve">The final column of the draft table for reporting in question 4, the table requests that the SEA reports </w:t>
            </w:r>
            <w:r w:rsidRPr="00090DE9">
              <w:rPr>
                <w:i/>
                <w:sz w:val="20"/>
                <w:szCs w:val="20"/>
              </w:rPr>
              <w:t>“Purposes for which the funds were expended by the LEA (Select all Annual Survey of School System Finances (form F-33) categories that apply)”</w:t>
            </w:r>
            <w:r w:rsidRPr="00090DE9">
              <w:rPr>
                <w:sz w:val="20"/>
                <w:szCs w:val="20"/>
              </w:rPr>
              <w:t xml:space="preserve">. It is not clear how these specific finance codes align with the existing SEA </w:t>
            </w:r>
            <w:proofErr w:type="spellStart"/>
            <w:r w:rsidRPr="00090DE9">
              <w:rPr>
                <w:sz w:val="20"/>
                <w:szCs w:val="20"/>
              </w:rPr>
              <w:t>base</w:t>
            </w:r>
            <w:proofErr w:type="spellEnd"/>
            <w:r w:rsidRPr="00090DE9">
              <w:rPr>
                <w:sz w:val="20"/>
                <w:szCs w:val="20"/>
              </w:rPr>
              <w:t xml:space="preserve"> budget table, or the specific use cases that were defined by the SEA for GEER funding.</w:t>
            </w:r>
            <w:r w:rsidRPr="00404792">
              <w:rPr>
                <w:sz w:val="20"/>
                <w:szCs w:val="20"/>
              </w:rPr>
              <w:t xml:space="preserve"> </w:t>
            </w:r>
            <w:r>
              <w:rPr>
                <w:sz w:val="20"/>
                <w:szCs w:val="20"/>
              </w:rPr>
              <w:t xml:space="preserve"> </w:t>
            </w:r>
          </w:p>
          <w:p w:rsidR="007A3591" w:rsidP="00B16C25" w:rsidRDefault="007A3591" w14:paraId="6DC7D280" w14:textId="77777777">
            <w:pPr>
              <w:rPr>
                <w:b/>
                <w:sz w:val="20"/>
                <w:szCs w:val="20"/>
              </w:rPr>
            </w:pPr>
          </w:p>
          <w:p w:rsidR="007A3591" w:rsidP="00B16C25" w:rsidRDefault="007A3591" w14:paraId="6928FE84" w14:textId="77777777">
            <w:pPr>
              <w:rPr>
                <w:b/>
                <w:bCs/>
                <w:sz w:val="20"/>
                <w:szCs w:val="20"/>
              </w:rPr>
            </w:pPr>
          </w:p>
          <w:p w:rsidR="007A3591" w:rsidP="00B16C25" w:rsidRDefault="007A3591" w14:paraId="28F0F6C2" w14:textId="77777777">
            <w:pPr>
              <w:rPr>
                <w:b/>
                <w:bCs/>
                <w:sz w:val="20"/>
                <w:szCs w:val="20"/>
              </w:rPr>
            </w:pPr>
          </w:p>
          <w:p w:rsidRPr="00404792" w:rsidR="007A3591" w:rsidP="00B16C25" w:rsidRDefault="007A3591" w14:paraId="19F6F90F" w14:textId="6E286525">
            <w:pPr>
              <w:rPr>
                <w:rFonts w:ascii="Calibri" w:hAnsi="Calibri" w:cs="Calibri"/>
                <w:sz w:val="20"/>
                <w:szCs w:val="20"/>
              </w:rPr>
            </w:pPr>
          </w:p>
        </w:tc>
        <w:tc>
          <w:tcPr>
            <w:tcW w:w="6030" w:type="dxa"/>
          </w:tcPr>
          <w:p w:rsidRPr="00327C0A" w:rsidR="00D73003" w:rsidP="00D73003" w:rsidRDefault="00D73003" w14:paraId="034A866B" w14:textId="77D4C3AA">
            <w:pPr>
              <w:rPr>
                <w:rFonts w:ascii="Calibri" w:hAnsi="Calibri" w:eastAsia="Times New Roman" w:cs="Calibri"/>
                <w:sz w:val="20"/>
                <w:szCs w:val="20"/>
              </w:rPr>
            </w:pPr>
            <w:r w:rsidRPr="00206380">
              <w:rPr>
                <w:rFonts w:ascii="Calibri" w:hAnsi="Calibri" w:eastAsia="Times New Roman" w:cs="Calibri"/>
                <w:sz w:val="20"/>
                <w:szCs w:val="20"/>
              </w:rPr>
              <w:t>ED</w:t>
            </w:r>
            <w:r>
              <w:rPr>
                <w:rFonts w:ascii="Calibri" w:hAnsi="Calibri" w:eastAsia="Times New Roman" w:cs="Calibri"/>
                <w:sz w:val="20"/>
                <w:szCs w:val="20"/>
              </w:rPr>
              <w:t xml:space="preserve"> acknowledges </w:t>
            </w:r>
            <w:r w:rsidR="008F0A21">
              <w:rPr>
                <w:rFonts w:ascii="Calibri" w:hAnsi="Calibri" w:eastAsia="Times New Roman" w:cs="Calibri"/>
                <w:sz w:val="20"/>
                <w:szCs w:val="20"/>
              </w:rPr>
              <w:t xml:space="preserve">that GEER spending </w:t>
            </w:r>
            <w:r>
              <w:rPr>
                <w:rFonts w:ascii="Calibri" w:hAnsi="Calibri" w:eastAsia="Times New Roman" w:cs="Calibri"/>
                <w:sz w:val="20"/>
                <w:szCs w:val="20"/>
              </w:rPr>
              <w:t xml:space="preserve">does not necessarily align with the F-33. As a result of a number of comments about difficulty applying the F-33 to </w:t>
            </w:r>
            <w:r w:rsidR="00D3094E">
              <w:rPr>
                <w:rFonts w:ascii="Calibri" w:hAnsi="Calibri" w:eastAsia="Times New Roman" w:cs="Calibri"/>
                <w:sz w:val="20"/>
                <w:szCs w:val="20"/>
              </w:rPr>
              <w:t xml:space="preserve">GEER and </w:t>
            </w:r>
            <w:r>
              <w:rPr>
                <w:rFonts w:ascii="Calibri" w:hAnsi="Calibri" w:eastAsia="Times New Roman" w:cs="Calibri"/>
                <w:sz w:val="20"/>
                <w:szCs w:val="20"/>
              </w:rPr>
              <w:t xml:space="preserve">ESSER funding streams and to reduce burden, ED has revised the instrument so that the categories are now generally aligned with the ESSER authorized uses of funds </w:t>
            </w:r>
            <w:r w:rsidR="00D3094E">
              <w:rPr>
                <w:rFonts w:ascii="Calibri" w:hAnsi="Calibri" w:eastAsia="Times New Roman" w:cs="Calibri"/>
                <w:sz w:val="20"/>
                <w:szCs w:val="20"/>
              </w:rPr>
              <w:t xml:space="preserve">for both GEER and ESSER </w:t>
            </w:r>
            <w:r>
              <w:rPr>
                <w:rFonts w:ascii="Calibri" w:hAnsi="Calibri" w:eastAsia="Times New Roman" w:cs="Calibri"/>
                <w:sz w:val="20"/>
                <w:szCs w:val="20"/>
              </w:rPr>
              <w:t xml:space="preserve">as follows.  </w:t>
            </w:r>
          </w:p>
          <w:p w:rsidR="00D73003" w:rsidP="00D73003" w:rsidRDefault="00D73003" w14:paraId="5D135D16" w14:textId="77777777">
            <w:pPr>
              <w:rPr>
                <w:sz w:val="20"/>
                <w:szCs w:val="20"/>
              </w:rPr>
            </w:pPr>
            <w:r w:rsidRPr="00B32E44">
              <w:rPr>
                <w:sz w:val="20"/>
                <w:szCs w:val="20"/>
              </w:rPr>
              <w:t xml:space="preserve">1. </w:t>
            </w:r>
            <w:r w:rsidRPr="00B32E44">
              <w:rPr>
                <w:b/>
                <w:bCs/>
                <w:sz w:val="20"/>
                <w:szCs w:val="20"/>
              </w:rPr>
              <w:t>Purchasing educational technology</w:t>
            </w:r>
            <w:r w:rsidRPr="00B32E44">
              <w:rPr>
                <w:sz w:val="20"/>
                <w:szCs w:val="20"/>
              </w:rPr>
              <w:t xml:space="preserve"> (including hardware, software, and connectivity), which may include assistive technology or adaptive equipment.</w:t>
            </w:r>
          </w:p>
          <w:p w:rsidRPr="009C1CBF" w:rsidR="00D73003" w:rsidP="00D73003" w:rsidRDefault="00D73003" w14:paraId="4AE6EE8D" w14:textId="77777777">
            <w:pPr>
              <w:rPr>
                <w:sz w:val="20"/>
                <w:szCs w:val="20"/>
              </w:rPr>
            </w:pPr>
            <w:r w:rsidRPr="009C1CBF">
              <w:rPr>
                <w:sz w:val="20"/>
                <w:szCs w:val="20"/>
              </w:rPr>
              <w:t xml:space="preserve">2. Activities focused specifically to addressing the </w:t>
            </w:r>
            <w:r w:rsidRPr="00FE6EC6">
              <w:rPr>
                <w:b/>
                <w:sz w:val="20"/>
                <w:szCs w:val="20"/>
              </w:rPr>
              <w:t>u</w:t>
            </w:r>
            <w:r w:rsidRPr="009C1CBF">
              <w:rPr>
                <w:b/>
                <w:bCs/>
                <w:sz w:val="20"/>
                <w:szCs w:val="20"/>
              </w:rPr>
              <w:t>nique needs of low-income children or students, children with disabilities, English learners, racial and ethnic minorities, students experiencing homelessness, and foster care youth</w:t>
            </w:r>
          </w:p>
          <w:p w:rsidRPr="009C1CBF" w:rsidR="00D73003" w:rsidP="00D73003" w:rsidRDefault="00D73003" w14:paraId="185A6B85" w14:textId="77777777">
            <w:pPr>
              <w:spacing w:line="259" w:lineRule="auto"/>
              <w:rPr>
                <w:sz w:val="20"/>
                <w:szCs w:val="20"/>
              </w:rPr>
            </w:pPr>
            <w:r w:rsidRPr="009C1CBF">
              <w:rPr>
                <w:sz w:val="20"/>
                <w:szCs w:val="20"/>
              </w:rPr>
              <w:t xml:space="preserve">3. Providing </w:t>
            </w:r>
            <w:r w:rsidRPr="009C1CBF">
              <w:rPr>
                <w:b/>
                <w:bCs/>
                <w:sz w:val="20"/>
                <w:szCs w:val="20"/>
              </w:rPr>
              <w:t>mental health services and supports</w:t>
            </w:r>
            <w:r w:rsidRPr="009C1CBF">
              <w:rPr>
                <w:sz w:val="20"/>
                <w:szCs w:val="20"/>
              </w:rPr>
              <w:t>.</w:t>
            </w:r>
          </w:p>
          <w:p w:rsidRPr="009C1CBF" w:rsidR="00D73003" w:rsidP="00D73003" w:rsidRDefault="00D73003" w14:paraId="5FDB8E0E" w14:textId="77777777">
            <w:pPr>
              <w:spacing w:line="259" w:lineRule="auto"/>
              <w:rPr>
                <w:sz w:val="20"/>
                <w:szCs w:val="20"/>
              </w:rPr>
            </w:pPr>
            <w:r w:rsidRPr="009C1CBF">
              <w:rPr>
                <w:sz w:val="20"/>
                <w:szCs w:val="20"/>
              </w:rPr>
              <w:t xml:space="preserve">4. </w:t>
            </w:r>
            <w:r w:rsidRPr="009C1CBF">
              <w:rPr>
                <w:b/>
                <w:bCs/>
                <w:sz w:val="20"/>
                <w:szCs w:val="20"/>
              </w:rPr>
              <w:t>Sanitization and minimizing the spread of infectious diseases</w:t>
            </w:r>
            <w:r w:rsidRPr="009C1CBF">
              <w:rPr>
                <w:sz w:val="20"/>
                <w:szCs w:val="20"/>
              </w:rPr>
              <w:t>, including cleaning supplies and staff training to address sanitization and minimizing the spread of infectious diseases.</w:t>
            </w:r>
          </w:p>
          <w:p w:rsidRPr="009C1CBF" w:rsidR="00D73003" w:rsidP="00D73003" w:rsidRDefault="00D73003" w14:paraId="04E58688" w14:textId="77777777">
            <w:pPr>
              <w:spacing w:line="259" w:lineRule="auto"/>
              <w:rPr>
                <w:sz w:val="20"/>
                <w:szCs w:val="20"/>
              </w:rPr>
            </w:pPr>
            <w:r w:rsidRPr="009C1CBF">
              <w:rPr>
                <w:sz w:val="20"/>
                <w:szCs w:val="20"/>
              </w:rPr>
              <w:t xml:space="preserve">5. </w:t>
            </w:r>
            <w:r w:rsidRPr="009C1CBF">
              <w:rPr>
                <w:b/>
                <w:bCs/>
                <w:sz w:val="20"/>
                <w:szCs w:val="20"/>
              </w:rPr>
              <w:t>Summer learning and supplemental afterschool programs</w:t>
            </w:r>
            <w:r w:rsidRPr="009C1CBF">
              <w:rPr>
                <w:sz w:val="20"/>
                <w:szCs w:val="20"/>
              </w:rPr>
              <w:t>.</w:t>
            </w:r>
          </w:p>
          <w:p w:rsidR="00D73003" w:rsidP="00D73003" w:rsidRDefault="00D73003" w14:paraId="7466C1E8" w14:textId="77777777">
            <w:pPr>
              <w:rPr>
                <w:sz w:val="20"/>
                <w:szCs w:val="20"/>
              </w:rPr>
            </w:pPr>
            <w:r w:rsidRPr="009C1CBF">
              <w:rPr>
                <w:sz w:val="20"/>
                <w:szCs w:val="20"/>
              </w:rPr>
              <w:t xml:space="preserve">6. </w:t>
            </w:r>
            <w:r w:rsidRPr="009C1CBF">
              <w:rPr>
                <w:b/>
                <w:sz w:val="20"/>
                <w:szCs w:val="20"/>
              </w:rPr>
              <w:t>Other</w:t>
            </w:r>
            <w:r w:rsidRPr="009C1CBF">
              <w:rPr>
                <w:sz w:val="20"/>
                <w:szCs w:val="20"/>
              </w:rPr>
              <w:t xml:space="preserve"> (uses of funds not included above).</w:t>
            </w:r>
          </w:p>
          <w:p w:rsidRPr="00AC6B63" w:rsidR="007A3591" w:rsidP="004A20B6" w:rsidRDefault="007A3591" w14:paraId="32BD72B7" w14:textId="00101036">
            <w:pPr>
              <w:pStyle w:val="NoSpacing"/>
              <w:rPr>
                <w:sz w:val="20"/>
                <w:szCs w:val="20"/>
              </w:rPr>
            </w:pPr>
          </w:p>
        </w:tc>
      </w:tr>
      <w:tr w:rsidRPr="00C601C5" w:rsidR="003571CA" w:rsidTr="00D80687" w14:paraId="6CF7B89B" w14:textId="77777777">
        <w:tc>
          <w:tcPr>
            <w:tcW w:w="1169" w:type="dxa"/>
            <w:vMerge/>
          </w:tcPr>
          <w:p w:rsidRPr="00181671" w:rsidR="003571CA" w:rsidP="003571CA" w:rsidRDefault="003571CA" w14:paraId="7B64C5E7" w14:textId="77777777">
            <w:pPr>
              <w:rPr>
                <w:rFonts w:ascii="Calibri" w:hAnsi="Calibri" w:cs="Calibri"/>
                <w:sz w:val="18"/>
                <w:szCs w:val="18"/>
              </w:rPr>
            </w:pPr>
          </w:p>
        </w:tc>
        <w:tc>
          <w:tcPr>
            <w:tcW w:w="1346" w:type="dxa"/>
            <w:vMerge/>
          </w:tcPr>
          <w:p w:rsidR="003571CA" w:rsidP="003571CA" w:rsidRDefault="003571CA" w14:paraId="64091F75" w14:textId="77777777">
            <w:pPr>
              <w:rPr>
                <w:rFonts w:ascii="Calibri" w:hAnsi="Calibri" w:cs="Calibri"/>
                <w:sz w:val="20"/>
                <w:szCs w:val="20"/>
              </w:rPr>
            </w:pPr>
          </w:p>
        </w:tc>
        <w:tc>
          <w:tcPr>
            <w:tcW w:w="6120" w:type="dxa"/>
          </w:tcPr>
          <w:p w:rsidRPr="009F5925" w:rsidR="003571CA" w:rsidP="003571CA" w:rsidRDefault="003571CA" w14:paraId="4D08C51D" w14:textId="473D9E0B">
            <w:pPr>
              <w:rPr>
                <w:b/>
                <w:sz w:val="20"/>
                <w:szCs w:val="20"/>
              </w:rPr>
            </w:pPr>
            <w:r w:rsidRPr="009F5925">
              <w:rPr>
                <w:b/>
                <w:sz w:val="20"/>
                <w:szCs w:val="20"/>
              </w:rPr>
              <w:t xml:space="preserve">Section 8: Full-Time Equivalent Positions. </w:t>
            </w:r>
            <w:r w:rsidRPr="009F5925">
              <w:rPr>
                <w:bCs/>
                <w:sz w:val="20"/>
                <w:szCs w:val="20"/>
              </w:rPr>
              <w:t>Is</w:t>
            </w:r>
            <w:r w:rsidRPr="009F5925">
              <w:rPr>
                <w:sz w:val="20"/>
                <w:szCs w:val="20"/>
              </w:rPr>
              <w:t xml:space="preserve"> question #8 asking how many FTEs were employed at the LEA subgrantee on March 13, 2020 and how many are employed now as a high-level data set, or if the question is specific to how many FTEs were funded by GEER as of March 13, 2020 (zero) and then those that have been added based on GEER funding at the time of reporting? We would seek additional details about the requirement and an example to clarify what is being requested. In considering the goal of this question, we do not think that the data requested in question #8 will directly inform the additional FTE that is specific to GEER funding. We are requesting additional clarity around whether the FTE information requested is specific to FTE funded using GEER funds.</w:t>
            </w:r>
          </w:p>
        </w:tc>
        <w:tc>
          <w:tcPr>
            <w:tcW w:w="6030" w:type="dxa"/>
          </w:tcPr>
          <w:p w:rsidRPr="167E6C74" w:rsidR="003571CA" w:rsidP="003571CA" w:rsidRDefault="003571CA" w14:paraId="647EBBCE" w14:textId="6B35E1EF">
            <w:pPr>
              <w:rPr>
                <w:rFonts w:ascii="Calibri" w:hAnsi="Calibri" w:eastAsia="Times New Roman" w:cs="Calibri"/>
                <w:b/>
                <w:sz w:val="20"/>
                <w:szCs w:val="20"/>
              </w:rPr>
            </w:pPr>
            <w:r>
              <w:rPr>
                <w:rStyle w:val="normaltextrun"/>
                <w:rFonts w:ascii="Calibri" w:hAnsi="Calibri" w:cs="Calibri"/>
                <w:color w:val="000000"/>
                <w:sz w:val="20"/>
                <w:szCs w:val="20"/>
                <w:shd w:val="clear" w:color="auto" w:fill="FFFFFF"/>
              </w:rPr>
              <w:t>ED acknowledges the need for clarification in the question about Full-Time Equivalent (FTE) Positions. ED has revised the instructions for this item to now read, “</w:t>
            </w:r>
            <w:r w:rsidRPr="00413AF9">
              <w:rPr>
                <w:rStyle w:val="normaltextrun"/>
                <w:rFonts w:ascii="Calibri" w:hAnsi="Calibri" w:cs="Calibri"/>
                <w:i/>
                <w:iCs/>
                <w:color w:val="000000"/>
                <w:sz w:val="20"/>
                <w:szCs w:val="20"/>
                <w:shd w:val="clear" w:color="auto" w:fill="FFFFFF"/>
              </w:rPr>
              <w:t>(The number of FTE positions includes all staff regardless of whether the position is funded by Federal, State, local, or other funds—and equals the sum of the number of full-time positions plus the full-time equivalent of the number of part-time positions.)</w:t>
            </w:r>
            <w:r>
              <w:rPr>
                <w:rStyle w:val="normaltextrun"/>
                <w:rFonts w:ascii="Calibri" w:hAnsi="Calibri" w:cs="Calibri"/>
                <w:color w:val="000000"/>
                <w:sz w:val="20"/>
                <w:szCs w:val="20"/>
                <w:shd w:val="clear" w:color="auto" w:fill="FFFFFF"/>
              </w:rPr>
              <w:t xml:space="preserve">”    </w:t>
            </w:r>
          </w:p>
        </w:tc>
      </w:tr>
      <w:tr w:rsidRPr="00C601C5" w:rsidR="003571CA" w:rsidTr="00D80687" w14:paraId="092385D1" w14:textId="77777777">
        <w:tc>
          <w:tcPr>
            <w:tcW w:w="1169" w:type="dxa"/>
            <w:vMerge w:val="restart"/>
          </w:tcPr>
          <w:p w:rsidRPr="00181671" w:rsidR="003571CA" w:rsidP="003571CA" w:rsidRDefault="003571CA" w14:paraId="02EC6709" w14:textId="33CD33E1">
            <w:pPr>
              <w:rPr>
                <w:rFonts w:ascii="Calibri" w:hAnsi="Calibri" w:cs="Calibri"/>
                <w:sz w:val="18"/>
                <w:szCs w:val="18"/>
              </w:rPr>
            </w:pPr>
            <w:r w:rsidRPr="00181671">
              <w:rPr>
                <w:rFonts w:ascii="Calibri" w:hAnsi="Calibri" w:cs="Calibri"/>
                <w:sz w:val="18"/>
                <w:szCs w:val="18"/>
              </w:rPr>
              <w:lastRenderedPageBreak/>
              <w:t>ED-2020-SCC-012</w:t>
            </w:r>
            <w:r>
              <w:rPr>
                <w:rFonts w:ascii="Calibri" w:hAnsi="Calibri" w:cs="Calibri"/>
                <w:sz w:val="18"/>
                <w:szCs w:val="18"/>
              </w:rPr>
              <w:t>3</w:t>
            </w:r>
            <w:r w:rsidRPr="00181671">
              <w:rPr>
                <w:rFonts w:ascii="Calibri" w:hAnsi="Calibri" w:cs="Calibri"/>
                <w:sz w:val="18"/>
                <w:szCs w:val="18"/>
              </w:rPr>
              <w:t>-000</w:t>
            </w:r>
            <w:r>
              <w:rPr>
                <w:rFonts w:ascii="Calibri" w:hAnsi="Calibri" w:cs="Calibri"/>
                <w:sz w:val="18"/>
                <w:szCs w:val="18"/>
              </w:rPr>
              <w:t>6</w:t>
            </w:r>
          </w:p>
          <w:p w:rsidRPr="00181671" w:rsidR="003571CA" w:rsidP="003571CA" w:rsidRDefault="003571CA" w14:paraId="6C55886D" w14:textId="77777777">
            <w:pPr>
              <w:rPr>
                <w:rFonts w:ascii="Calibri" w:hAnsi="Calibri" w:cs="Calibri"/>
                <w:sz w:val="18"/>
                <w:szCs w:val="18"/>
              </w:rPr>
            </w:pPr>
          </w:p>
        </w:tc>
        <w:tc>
          <w:tcPr>
            <w:tcW w:w="1346" w:type="dxa"/>
            <w:vMerge w:val="restart"/>
          </w:tcPr>
          <w:p w:rsidRPr="00633437" w:rsidR="003571CA" w:rsidP="003571CA" w:rsidRDefault="003571CA" w14:paraId="285FA753" w14:textId="7613542C">
            <w:pPr>
              <w:rPr>
                <w:rFonts w:ascii="Calibri" w:hAnsi="Calibri" w:cs="Calibri"/>
                <w:color w:val="000000"/>
                <w:sz w:val="20"/>
                <w:szCs w:val="20"/>
              </w:rPr>
            </w:pPr>
            <w:r w:rsidRPr="00633437">
              <w:rPr>
                <w:rFonts w:ascii="Calibri" w:hAnsi="Calibri" w:cs="Calibri"/>
                <w:color w:val="000000"/>
                <w:sz w:val="20"/>
                <w:szCs w:val="20"/>
              </w:rPr>
              <w:t>NY State Education Department</w:t>
            </w:r>
          </w:p>
        </w:tc>
        <w:tc>
          <w:tcPr>
            <w:tcW w:w="6120" w:type="dxa"/>
          </w:tcPr>
          <w:p w:rsidRPr="00864197" w:rsidR="003571CA" w:rsidP="003571CA" w:rsidRDefault="003571CA" w14:paraId="58B7503B" w14:textId="04755709">
            <w:pPr>
              <w:pStyle w:val="Default"/>
              <w:rPr>
                <w:rFonts w:asciiTheme="minorHAnsi" w:hAnsiTheme="minorHAnsi" w:cstheme="minorHAnsi"/>
                <w:sz w:val="20"/>
                <w:szCs w:val="20"/>
              </w:rPr>
            </w:pPr>
            <w:r w:rsidRPr="00591E75">
              <w:rPr>
                <w:rFonts w:asciiTheme="minorHAnsi" w:hAnsiTheme="minorHAnsi" w:cstheme="minorHAnsi"/>
                <w:b/>
                <w:bCs/>
                <w:sz w:val="20"/>
                <w:szCs w:val="20"/>
              </w:rPr>
              <w:t xml:space="preserve">Chart: LEA Awarded GEER Funds from the State </w:t>
            </w:r>
            <w:r w:rsidRPr="00864197">
              <w:rPr>
                <w:rFonts w:asciiTheme="minorHAnsi" w:hAnsiTheme="minorHAnsi" w:cstheme="minorHAnsi"/>
                <w:b/>
                <w:bCs/>
                <w:sz w:val="20"/>
                <w:szCs w:val="20"/>
              </w:rPr>
              <w:t>(Question 4, page 2)</w:t>
            </w:r>
            <w:r w:rsidRPr="00864197">
              <w:rPr>
                <w:rFonts w:asciiTheme="minorHAnsi" w:hAnsiTheme="minorHAnsi" w:cstheme="minorHAnsi"/>
                <w:sz w:val="20"/>
                <w:szCs w:val="20"/>
              </w:rPr>
              <w:t xml:space="preserve"> Recommendation: The Department requests that USDE revise the chart to remove the choices listed in the fifth column, “How did the LEA calculate the proportional share of GEER funds reserved to provide </w:t>
            </w:r>
            <w:r w:rsidRPr="00D80687">
              <w:rPr>
                <w:rFonts w:asciiTheme="minorHAnsi" w:hAnsiTheme="minorHAnsi" w:cstheme="minorHAnsi"/>
                <w:sz w:val="20"/>
                <w:szCs w:val="20"/>
              </w:rPr>
              <w:t>equitable services</w:t>
            </w:r>
            <w:r w:rsidRPr="002A57A8">
              <w:rPr>
                <w:rFonts w:asciiTheme="minorHAnsi" w:hAnsiTheme="minorHAnsi" w:cstheme="minorHAnsi"/>
                <w:sz w:val="20"/>
                <w:szCs w:val="20"/>
              </w:rPr>
              <w:t xml:space="preserve"> to non-public</w:t>
            </w:r>
            <w:r w:rsidRPr="00864197">
              <w:rPr>
                <w:rFonts w:asciiTheme="minorHAnsi" w:hAnsiTheme="minorHAnsi" w:cstheme="minorHAnsi"/>
                <w:sz w:val="20"/>
                <w:szCs w:val="20"/>
              </w:rPr>
              <w:t xml:space="preserve"> school students and teachers?” </w:t>
            </w:r>
          </w:p>
          <w:p w:rsidRPr="00C36CAB" w:rsidR="003571CA" w:rsidP="003571CA" w:rsidRDefault="003571CA" w14:paraId="78A2DA04" w14:textId="7EB0F003">
            <w:pPr>
              <w:pStyle w:val="Default"/>
              <w:rPr>
                <w:rFonts w:ascii="Calibri" w:hAnsi="Calibri" w:cs="Calibri"/>
                <w:sz w:val="20"/>
                <w:szCs w:val="20"/>
              </w:rPr>
            </w:pPr>
            <w:r w:rsidRPr="00864197">
              <w:rPr>
                <w:rFonts w:asciiTheme="minorHAnsi" w:hAnsiTheme="minorHAnsi" w:cstheme="minorHAnsi"/>
                <w:sz w:val="20"/>
                <w:szCs w:val="20"/>
              </w:rPr>
              <w:t>Department recommends that the chart be included in the ESSER Recipient Data Collection Form.</w:t>
            </w:r>
          </w:p>
        </w:tc>
        <w:tc>
          <w:tcPr>
            <w:tcW w:w="6030" w:type="dxa"/>
          </w:tcPr>
          <w:p w:rsidRPr="007723A5" w:rsidR="003571CA" w:rsidP="003571CA" w:rsidRDefault="00016ADA" w14:paraId="1A92B481" w14:textId="74E44878">
            <w:pPr>
              <w:rPr>
                <w:rFonts w:ascii="Calibri" w:hAnsi="Calibri" w:eastAsia="Times New Roman" w:cs="Calibri"/>
                <w:sz w:val="20"/>
                <w:szCs w:val="20"/>
              </w:rPr>
            </w:pPr>
            <w:r>
              <w:rPr>
                <w:rFonts w:ascii="Calibri" w:hAnsi="Calibri" w:eastAsia="Times New Roman" w:cs="Calibri"/>
                <w:sz w:val="20"/>
                <w:szCs w:val="20"/>
              </w:rPr>
              <w:t xml:space="preserve">ED acknowledges that rescission of the Interim Final Rules necessitated changes to the annual reporting form. The form has been updated to address several public comments and to make technical edits. </w:t>
            </w:r>
            <w:r w:rsidRPr="00282807">
              <w:rPr>
                <w:rFonts w:ascii="Calibri" w:hAnsi="Calibri" w:eastAsia="Times New Roman" w:cs="Calibri"/>
                <w:sz w:val="20"/>
                <w:szCs w:val="20"/>
              </w:rPr>
              <w:t>ED removed</w:t>
            </w:r>
            <w:r>
              <w:rPr>
                <w:rFonts w:ascii="Calibri" w:hAnsi="Calibri" w:eastAsia="Times New Roman" w:cs="Calibri"/>
                <w:sz w:val="20"/>
                <w:szCs w:val="20"/>
              </w:rPr>
              <w:t xml:space="preserve"> the </w:t>
            </w:r>
            <w:r w:rsidRPr="00282807">
              <w:rPr>
                <w:rFonts w:ascii="Calibri" w:hAnsi="Calibri" w:eastAsia="Times New Roman" w:cs="Calibri"/>
                <w:sz w:val="20"/>
                <w:szCs w:val="20"/>
              </w:rPr>
              <w:t>items addressing</w:t>
            </w:r>
            <w:r>
              <w:rPr>
                <w:rFonts w:ascii="Calibri" w:hAnsi="Calibri" w:eastAsia="Times New Roman" w:cs="Calibri"/>
                <w:sz w:val="20"/>
                <w:szCs w:val="20"/>
              </w:rPr>
              <w:t xml:space="preserve"> calculations of</w:t>
            </w:r>
            <w:r w:rsidRPr="00282807">
              <w:rPr>
                <w:rFonts w:ascii="Calibri" w:hAnsi="Calibri" w:eastAsia="Times New Roman" w:cs="Calibri"/>
                <w:sz w:val="20"/>
                <w:szCs w:val="20"/>
              </w:rPr>
              <w:t xml:space="preserve"> the </w:t>
            </w:r>
            <w:r w:rsidRPr="5642BF09">
              <w:rPr>
                <w:color w:val="000000" w:themeColor="text1"/>
                <w:sz w:val="20"/>
                <w:szCs w:val="20"/>
              </w:rPr>
              <w:t xml:space="preserve">proportional share of </w:t>
            </w:r>
            <w:r>
              <w:rPr>
                <w:color w:val="000000" w:themeColor="text1"/>
                <w:sz w:val="20"/>
                <w:szCs w:val="20"/>
              </w:rPr>
              <w:t>GEER</w:t>
            </w:r>
            <w:r w:rsidRPr="5642BF09">
              <w:rPr>
                <w:color w:val="000000" w:themeColor="text1"/>
                <w:sz w:val="20"/>
                <w:szCs w:val="20"/>
              </w:rPr>
              <w:t xml:space="preserve"> subgrant funds to provide equitable services to non-public school students and teachers.</w:t>
            </w:r>
          </w:p>
        </w:tc>
      </w:tr>
      <w:tr w:rsidRPr="00C601C5" w:rsidR="003571CA" w:rsidTr="00D80687" w14:paraId="093B6C0D" w14:textId="77777777">
        <w:tc>
          <w:tcPr>
            <w:tcW w:w="1169" w:type="dxa"/>
            <w:vMerge/>
          </w:tcPr>
          <w:p w:rsidRPr="00181671" w:rsidR="003571CA" w:rsidP="003571CA" w:rsidRDefault="003571CA" w14:paraId="1DD6CF8A" w14:textId="77777777">
            <w:pPr>
              <w:rPr>
                <w:rFonts w:ascii="Calibri" w:hAnsi="Calibri" w:cs="Calibri"/>
                <w:sz w:val="18"/>
                <w:szCs w:val="18"/>
              </w:rPr>
            </w:pPr>
          </w:p>
        </w:tc>
        <w:tc>
          <w:tcPr>
            <w:tcW w:w="1346" w:type="dxa"/>
            <w:vMerge/>
          </w:tcPr>
          <w:p w:rsidRPr="00633437" w:rsidR="003571CA" w:rsidP="003571CA" w:rsidRDefault="003571CA" w14:paraId="54E4AFBB" w14:textId="77777777">
            <w:pPr>
              <w:rPr>
                <w:rFonts w:ascii="Calibri" w:hAnsi="Calibri" w:cs="Calibri"/>
                <w:color w:val="000000"/>
                <w:sz w:val="20"/>
                <w:szCs w:val="20"/>
              </w:rPr>
            </w:pPr>
          </w:p>
        </w:tc>
        <w:tc>
          <w:tcPr>
            <w:tcW w:w="6120" w:type="dxa"/>
          </w:tcPr>
          <w:p w:rsidRPr="00591E75" w:rsidR="003571CA" w:rsidP="003571CA" w:rsidRDefault="003571CA" w14:paraId="64368787" w14:textId="541D2ED8">
            <w:pPr>
              <w:pStyle w:val="Default"/>
              <w:rPr>
                <w:rFonts w:asciiTheme="minorHAnsi" w:hAnsiTheme="minorHAnsi" w:cstheme="minorHAnsi"/>
                <w:b/>
                <w:bCs/>
                <w:sz w:val="20"/>
                <w:szCs w:val="20"/>
              </w:rPr>
            </w:pPr>
            <w:r w:rsidRPr="00186DF6">
              <w:rPr>
                <w:rFonts w:asciiTheme="minorHAnsi" w:hAnsiTheme="minorHAnsi" w:cstheme="minorHAnsi"/>
                <w:b/>
                <w:bCs/>
                <w:sz w:val="20"/>
                <w:szCs w:val="20"/>
              </w:rPr>
              <w:t xml:space="preserve">Full Time Equivalent (FTE) Positions </w:t>
            </w:r>
            <w:r w:rsidRPr="00C70FEE">
              <w:rPr>
                <w:rFonts w:asciiTheme="minorHAnsi" w:hAnsiTheme="minorHAnsi" w:cstheme="minorHAnsi"/>
                <w:sz w:val="20"/>
                <w:szCs w:val="20"/>
              </w:rPr>
              <w:t xml:space="preserve"> Recommendation</w:t>
            </w:r>
            <w:r w:rsidRPr="002A57A8">
              <w:rPr>
                <w:rFonts w:asciiTheme="minorHAnsi" w:hAnsiTheme="minorHAnsi" w:cstheme="minorHAnsi"/>
                <w:sz w:val="20"/>
                <w:szCs w:val="20"/>
              </w:rPr>
              <w:t>: The Department requests that USDE clarify whether USDE is seeking reporting of all FTE positions within an LEA, FTE positions that can be funded by GEER (such as janitorial staff supporting cleaning/sanitizing of buildings), or just instructional positions.</w:t>
            </w:r>
            <w:r w:rsidRPr="00186DF6">
              <w:rPr>
                <w:rFonts w:asciiTheme="minorHAnsi" w:hAnsiTheme="minorHAnsi" w:cstheme="minorHAnsi"/>
                <w:sz w:val="20"/>
                <w:szCs w:val="20"/>
              </w:rPr>
              <w:t xml:space="preserve"> </w:t>
            </w:r>
          </w:p>
        </w:tc>
        <w:tc>
          <w:tcPr>
            <w:tcW w:w="6030" w:type="dxa"/>
          </w:tcPr>
          <w:p w:rsidRPr="00DE5965" w:rsidR="003571CA" w:rsidP="003571CA" w:rsidRDefault="00787749" w14:paraId="1AFA23C8" w14:textId="15EE47A9">
            <w:pPr>
              <w:rPr>
                <w:rFonts w:ascii="Calibri" w:hAnsi="Calibri" w:eastAsia="Times New Roman" w:cs="Calibri"/>
                <w:sz w:val="20"/>
                <w:szCs w:val="20"/>
              </w:rPr>
            </w:pPr>
            <w:r>
              <w:rPr>
                <w:rStyle w:val="normaltextrun"/>
                <w:rFonts w:ascii="Calibri" w:hAnsi="Calibri" w:cs="Calibri"/>
                <w:color w:val="000000"/>
                <w:sz w:val="20"/>
                <w:szCs w:val="20"/>
                <w:shd w:val="clear" w:color="auto" w:fill="FFFFFF"/>
              </w:rPr>
              <w:t>ED acknowledges the need for clarification in the question about Full-Time Equivalent (FTE) Positions. ED has revised the instructions for this item to now read, “</w:t>
            </w:r>
            <w:r w:rsidRPr="00413AF9">
              <w:rPr>
                <w:rStyle w:val="normaltextrun"/>
                <w:rFonts w:ascii="Calibri" w:hAnsi="Calibri" w:cs="Calibri"/>
                <w:i/>
                <w:iCs/>
                <w:color w:val="000000"/>
                <w:sz w:val="20"/>
                <w:szCs w:val="20"/>
                <w:shd w:val="clear" w:color="auto" w:fill="FFFFFF"/>
              </w:rPr>
              <w:t>(The number of FTE positions includes all staff regardless of whether the position is funded by Federal, State, local, or other funds—and equals the sum of the number of full-time positions plus the full-time equivalent of the number of part-time positions.)</w:t>
            </w:r>
            <w:r>
              <w:rPr>
                <w:rStyle w:val="normaltextrun"/>
                <w:rFonts w:ascii="Calibri" w:hAnsi="Calibri" w:cs="Calibri"/>
                <w:color w:val="000000"/>
                <w:sz w:val="20"/>
                <w:szCs w:val="20"/>
                <w:shd w:val="clear" w:color="auto" w:fill="FFFFFF"/>
              </w:rPr>
              <w:t>”</w:t>
            </w:r>
          </w:p>
        </w:tc>
      </w:tr>
      <w:tr w:rsidRPr="00C601C5" w:rsidR="003571CA" w:rsidTr="00D80687" w14:paraId="4C1BF8DA" w14:textId="77777777">
        <w:tc>
          <w:tcPr>
            <w:tcW w:w="1169" w:type="dxa"/>
            <w:vMerge/>
          </w:tcPr>
          <w:p w:rsidRPr="00181671" w:rsidR="003571CA" w:rsidP="003571CA" w:rsidRDefault="003571CA" w14:paraId="30C8CD59" w14:textId="77777777">
            <w:pPr>
              <w:rPr>
                <w:rFonts w:ascii="Calibri" w:hAnsi="Calibri" w:cs="Calibri"/>
                <w:sz w:val="18"/>
                <w:szCs w:val="18"/>
              </w:rPr>
            </w:pPr>
          </w:p>
        </w:tc>
        <w:tc>
          <w:tcPr>
            <w:tcW w:w="1346" w:type="dxa"/>
            <w:vMerge/>
          </w:tcPr>
          <w:p w:rsidRPr="00633437" w:rsidR="003571CA" w:rsidP="003571CA" w:rsidRDefault="003571CA" w14:paraId="227AA8F3" w14:textId="77777777">
            <w:pPr>
              <w:rPr>
                <w:rFonts w:ascii="Calibri" w:hAnsi="Calibri" w:cs="Calibri"/>
                <w:color w:val="000000"/>
                <w:sz w:val="20"/>
                <w:szCs w:val="20"/>
              </w:rPr>
            </w:pPr>
          </w:p>
        </w:tc>
        <w:tc>
          <w:tcPr>
            <w:tcW w:w="6120" w:type="dxa"/>
          </w:tcPr>
          <w:p w:rsidRPr="00591E75" w:rsidR="003571CA" w:rsidP="003571CA" w:rsidRDefault="003571CA" w14:paraId="56B02F0B" w14:textId="321F8261">
            <w:pPr>
              <w:pStyle w:val="Default"/>
              <w:rPr>
                <w:rFonts w:asciiTheme="minorHAnsi" w:hAnsiTheme="minorHAnsi" w:cstheme="minorHAnsi"/>
                <w:b/>
                <w:bCs/>
                <w:sz w:val="20"/>
                <w:szCs w:val="20"/>
              </w:rPr>
            </w:pPr>
            <w:r w:rsidRPr="00186DF6">
              <w:rPr>
                <w:rFonts w:asciiTheme="minorHAnsi" w:hAnsiTheme="minorHAnsi" w:cstheme="minorHAnsi"/>
                <w:b/>
                <w:bCs/>
                <w:sz w:val="20"/>
                <w:szCs w:val="20"/>
              </w:rPr>
              <w:t>Chart related to how the State meets the “Maintenance of Effort” requirements in Section 18008 of the CARES Act.)</w:t>
            </w:r>
            <w:r w:rsidRPr="00186DF6">
              <w:rPr>
                <w:rFonts w:asciiTheme="minorHAnsi" w:hAnsiTheme="minorHAnsi" w:cstheme="minorHAnsi"/>
                <w:sz w:val="20"/>
                <w:szCs w:val="20"/>
              </w:rPr>
              <w:t xml:space="preserve"> </w:t>
            </w:r>
            <w:r>
              <w:rPr>
                <w:rFonts w:asciiTheme="minorHAnsi" w:hAnsiTheme="minorHAnsi" w:cstheme="minorHAnsi"/>
                <w:sz w:val="20"/>
                <w:szCs w:val="20"/>
              </w:rPr>
              <w:t xml:space="preserve"> </w:t>
            </w:r>
            <w:r w:rsidRPr="00186DF6">
              <w:rPr>
                <w:rFonts w:asciiTheme="minorHAnsi" w:hAnsiTheme="minorHAnsi" w:cstheme="minorHAnsi"/>
                <w:sz w:val="20"/>
                <w:szCs w:val="20"/>
              </w:rPr>
              <w:t xml:space="preserve">Recommendation: </w:t>
            </w:r>
            <w:r w:rsidRPr="00DE5965">
              <w:rPr>
                <w:rFonts w:asciiTheme="minorHAnsi" w:hAnsiTheme="minorHAnsi" w:cstheme="minorHAnsi"/>
                <w:sz w:val="20"/>
                <w:szCs w:val="20"/>
              </w:rPr>
              <w:t>The Department requests that USDE remove the Maintenance of Effort chart and instead ask States to report on the Maintenance of Effort for both GEER and ESSER funds only on the existing templates.</w:t>
            </w:r>
            <w:r>
              <w:rPr>
                <w:rFonts w:asciiTheme="minorHAnsi" w:hAnsiTheme="minorHAnsi" w:cstheme="minorHAnsi"/>
                <w:sz w:val="20"/>
                <w:szCs w:val="20"/>
              </w:rPr>
              <w:t xml:space="preserve"> </w:t>
            </w:r>
          </w:p>
        </w:tc>
        <w:tc>
          <w:tcPr>
            <w:tcW w:w="6030" w:type="dxa"/>
          </w:tcPr>
          <w:p w:rsidRPr="00DE5965" w:rsidR="003571CA" w:rsidP="003571CA" w:rsidRDefault="00632EEB" w14:paraId="40099EC0" w14:textId="591E6836">
            <w:pPr>
              <w:rPr>
                <w:rFonts w:ascii="Calibri" w:hAnsi="Calibri" w:eastAsia="Times New Roman" w:cs="Calibri"/>
                <w:sz w:val="20"/>
                <w:szCs w:val="20"/>
              </w:rPr>
            </w:pPr>
            <w:r>
              <w:rPr>
                <w:rFonts w:ascii="Calibri" w:hAnsi="Calibri" w:eastAsia="Times New Roman" w:cs="Calibri"/>
                <w:sz w:val="20"/>
                <w:szCs w:val="20"/>
              </w:rPr>
              <w:t>ED acknowledges the NYSED request to remove the Maintenance of Effort question</w:t>
            </w:r>
            <w:r w:rsidR="007F711B">
              <w:rPr>
                <w:rFonts w:ascii="Calibri" w:hAnsi="Calibri" w:eastAsia="Times New Roman" w:cs="Calibri"/>
                <w:sz w:val="20"/>
                <w:szCs w:val="20"/>
              </w:rPr>
              <w:t>. ED has removed this question.</w:t>
            </w:r>
          </w:p>
        </w:tc>
      </w:tr>
      <w:tr w:rsidRPr="00C601C5" w:rsidR="003571CA" w:rsidTr="00404652" w14:paraId="05E36393" w14:textId="77777777">
        <w:tc>
          <w:tcPr>
            <w:tcW w:w="1169" w:type="dxa"/>
            <w:vMerge/>
          </w:tcPr>
          <w:p w:rsidRPr="00181671" w:rsidR="003571CA" w:rsidP="003571CA" w:rsidRDefault="003571CA" w14:paraId="49192C54" w14:textId="77777777">
            <w:pPr>
              <w:rPr>
                <w:rFonts w:ascii="Calibri" w:hAnsi="Calibri" w:cs="Calibri"/>
                <w:sz w:val="18"/>
                <w:szCs w:val="18"/>
              </w:rPr>
            </w:pPr>
          </w:p>
        </w:tc>
        <w:tc>
          <w:tcPr>
            <w:tcW w:w="1346" w:type="dxa"/>
            <w:vMerge/>
            <w:tcBorders>
              <w:bottom w:val="nil"/>
            </w:tcBorders>
          </w:tcPr>
          <w:p w:rsidRPr="00633437" w:rsidR="003571CA" w:rsidP="003571CA" w:rsidRDefault="003571CA" w14:paraId="65C66157" w14:textId="77777777">
            <w:pPr>
              <w:rPr>
                <w:rFonts w:ascii="Calibri" w:hAnsi="Calibri" w:cs="Calibri"/>
                <w:color w:val="000000"/>
                <w:sz w:val="20"/>
                <w:szCs w:val="20"/>
              </w:rPr>
            </w:pPr>
          </w:p>
        </w:tc>
        <w:tc>
          <w:tcPr>
            <w:tcW w:w="6120" w:type="dxa"/>
          </w:tcPr>
          <w:p w:rsidRPr="00A659DB" w:rsidR="003571CA" w:rsidP="003571CA" w:rsidRDefault="003571CA" w14:paraId="069123BF" w14:textId="29C3949E">
            <w:pPr>
              <w:pStyle w:val="Default"/>
              <w:rPr>
                <w:rFonts w:asciiTheme="minorHAnsi" w:hAnsiTheme="minorHAnsi" w:cstheme="minorHAnsi"/>
                <w:b/>
                <w:bCs/>
                <w:sz w:val="20"/>
                <w:szCs w:val="20"/>
              </w:rPr>
            </w:pPr>
            <w:r w:rsidRPr="00A659DB">
              <w:rPr>
                <w:rFonts w:asciiTheme="minorHAnsi" w:hAnsiTheme="minorHAnsi" w:cstheme="minorHAnsi"/>
                <w:b/>
                <w:bCs/>
                <w:sz w:val="20"/>
                <w:szCs w:val="20"/>
              </w:rPr>
              <w:t>Timeline for Submission of the GEER Recipient Data Collection Form in Appendix A</w:t>
            </w:r>
            <w:r>
              <w:rPr>
                <w:rFonts w:asciiTheme="minorHAnsi" w:hAnsiTheme="minorHAnsi" w:cstheme="minorHAnsi"/>
                <w:b/>
                <w:bCs/>
                <w:sz w:val="20"/>
                <w:szCs w:val="20"/>
              </w:rPr>
              <w:t>:</w:t>
            </w:r>
            <w:r w:rsidRPr="00A659DB">
              <w:rPr>
                <w:rFonts w:asciiTheme="minorHAnsi" w:hAnsiTheme="minorHAnsi" w:cstheme="minorHAnsi"/>
                <w:b/>
                <w:bCs/>
                <w:sz w:val="20"/>
                <w:szCs w:val="20"/>
              </w:rPr>
              <w:t xml:space="preserve"> </w:t>
            </w:r>
            <w:r w:rsidRPr="00A659DB">
              <w:rPr>
                <w:rFonts w:asciiTheme="minorHAnsi" w:hAnsiTheme="minorHAnsi" w:cstheme="minorHAnsi"/>
                <w:sz w:val="20"/>
                <w:szCs w:val="20"/>
              </w:rPr>
              <w:t>Recommendation: The Department requests that USDE revise the timeline for the submission of the GEER Recipient Data Collection Form, to have the first submission deadline changed to January 31, 2022. NYSED issued the LEA application for GEER funds in July 2020 with a submission deadline of August 31, 2020. The delay in issuing the application was due to USDE’s delayed issuance of guidance on how to determine equitable shares for non-public schools; and the subsequent issuance of USDE’s Interim Final Rule that determined how SEAs should assure that equitable services were provided by LEAs. Further, on September 4, 2020, the U.S. District Court for the District of Columbia issued an order to vacate the USDE’s Interim Final Rule. As a result, NYSED will need to re-issue the funding application to align with the summary judgement, and therefore expenditure data on the use of ESSER funds will not be available until the Spring of 2021.The Department proposes that the USDE combine the first two proposed reports into one report due on January 31, 2022. This change will ensure that the expenditure data reported will provide useful information to the USDE</w:t>
            </w:r>
            <w:r w:rsidRPr="00A659DB">
              <w:rPr>
                <w:rFonts w:asciiTheme="minorHAnsi" w:hAnsiTheme="minorHAnsi" w:cstheme="minorHAnsi"/>
                <w:b/>
                <w:bCs/>
                <w:sz w:val="20"/>
                <w:szCs w:val="20"/>
              </w:rPr>
              <w:t xml:space="preserve">. </w:t>
            </w:r>
          </w:p>
        </w:tc>
        <w:tc>
          <w:tcPr>
            <w:tcW w:w="6030" w:type="dxa"/>
          </w:tcPr>
          <w:p w:rsidRPr="00F000C3" w:rsidR="003571CA" w:rsidP="003571CA" w:rsidRDefault="0097196E" w14:paraId="09150166" w14:textId="216182B4">
            <w:pPr>
              <w:rPr>
                <w:rFonts w:ascii="Calibri" w:hAnsi="Calibri" w:eastAsia="Times New Roman" w:cs="Calibri"/>
                <w:sz w:val="20"/>
                <w:szCs w:val="20"/>
              </w:rPr>
            </w:pPr>
            <w:r w:rsidRPr="00FC640D">
              <w:rPr>
                <w:rFonts w:ascii="Calibri" w:hAnsi="Calibri" w:eastAsia="Times New Roman" w:cs="Calibri"/>
                <w:sz w:val="20"/>
                <w:szCs w:val="20"/>
              </w:rPr>
              <w:t xml:space="preserve">ED acknowledges that </w:t>
            </w:r>
            <w:r w:rsidR="002A146D">
              <w:rPr>
                <w:rFonts w:ascii="Calibri" w:hAnsi="Calibri" w:eastAsia="Times New Roman" w:cs="Calibri"/>
                <w:sz w:val="20"/>
                <w:szCs w:val="20"/>
              </w:rPr>
              <w:t>states will be at different stages of implementation</w:t>
            </w:r>
            <w:r w:rsidR="006560F0">
              <w:rPr>
                <w:rFonts w:ascii="Calibri" w:hAnsi="Calibri" w:eastAsia="Times New Roman" w:cs="Calibri"/>
                <w:sz w:val="20"/>
                <w:szCs w:val="20"/>
              </w:rPr>
              <w:t xml:space="preserve"> in year one and </w:t>
            </w:r>
            <w:r>
              <w:rPr>
                <w:rFonts w:ascii="Calibri" w:hAnsi="Calibri" w:eastAsia="Times New Roman" w:cs="Calibri"/>
                <w:sz w:val="20"/>
                <w:szCs w:val="20"/>
              </w:rPr>
              <w:t xml:space="preserve">delays for many reasons could affect the ability of states to respond to certain items on the GEER annual reporting form. </w:t>
            </w:r>
            <w:r w:rsidRPr="00FC640D">
              <w:rPr>
                <w:rFonts w:ascii="Calibri" w:hAnsi="Calibri" w:eastAsia="Times New Roman" w:cs="Calibri"/>
                <w:sz w:val="20"/>
                <w:szCs w:val="20"/>
              </w:rPr>
              <w:t xml:space="preserve">However, it is important for grantees to report information regarding the early implementation of </w:t>
            </w:r>
            <w:r>
              <w:rPr>
                <w:rFonts w:ascii="Calibri" w:hAnsi="Calibri" w:eastAsia="Times New Roman" w:cs="Calibri"/>
                <w:sz w:val="20"/>
                <w:szCs w:val="20"/>
              </w:rPr>
              <w:t>GEER</w:t>
            </w:r>
            <w:r w:rsidRPr="00FC640D">
              <w:rPr>
                <w:rFonts w:ascii="Calibri" w:hAnsi="Calibri" w:eastAsia="Times New Roman" w:cs="Calibri"/>
                <w:sz w:val="20"/>
                <w:szCs w:val="20"/>
              </w:rPr>
              <w:t xml:space="preserve"> to inform the Department’s monitoring and technical assistance and to provide transparency to the public about uses of the </w:t>
            </w:r>
            <w:r>
              <w:rPr>
                <w:rFonts w:ascii="Calibri" w:hAnsi="Calibri" w:eastAsia="Times New Roman" w:cs="Calibri"/>
                <w:sz w:val="20"/>
                <w:szCs w:val="20"/>
              </w:rPr>
              <w:t>GEER</w:t>
            </w:r>
            <w:r w:rsidRPr="00FC640D">
              <w:rPr>
                <w:rFonts w:ascii="Calibri" w:hAnsi="Calibri" w:eastAsia="Times New Roman" w:cs="Calibri"/>
                <w:sz w:val="20"/>
                <w:szCs w:val="20"/>
              </w:rPr>
              <w:t xml:space="preserve"> funds.</w:t>
            </w:r>
          </w:p>
        </w:tc>
      </w:tr>
      <w:tr w:rsidRPr="00C601C5" w:rsidR="003571CA" w:rsidTr="000E2C66" w14:paraId="7D7BA2F6" w14:textId="77777777">
        <w:tc>
          <w:tcPr>
            <w:tcW w:w="1169" w:type="dxa"/>
            <w:vMerge/>
          </w:tcPr>
          <w:p w:rsidRPr="00181671" w:rsidR="003571CA" w:rsidP="003571CA" w:rsidRDefault="003571CA" w14:paraId="6DED0A53" w14:textId="77777777">
            <w:pPr>
              <w:rPr>
                <w:rFonts w:ascii="Calibri" w:hAnsi="Calibri" w:cs="Calibri"/>
                <w:sz w:val="18"/>
                <w:szCs w:val="18"/>
              </w:rPr>
            </w:pPr>
          </w:p>
        </w:tc>
        <w:tc>
          <w:tcPr>
            <w:tcW w:w="1346" w:type="dxa"/>
            <w:vMerge w:val="restart"/>
            <w:tcBorders>
              <w:top w:val="nil"/>
              <w:bottom w:val="nil"/>
              <w:right w:val="single" w:color="auto" w:sz="4" w:space="0"/>
            </w:tcBorders>
          </w:tcPr>
          <w:p w:rsidRPr="00633437" w:rsidR="003571CA" w:rsidP="003571CA" w:rsidRDefault="003571CA" w14:paraId="39B20A1D" w14:textId="77777777">
            <w:pPr>
              <w:rPr>
                <w:rFonts w:ascii="Calibri" w:hAnsi="Calibri" w:cs="Calibri"/>
                <w:color w:val="000000"/>
                <w:sz w:val="20"/>
                <w:szCs w:val="20"/>
              </w:rPr>
            </w:pPr>
          </w:p>
        </w:tc>
        <w:tc>
          <w:tcPr>
            <w:tcW w:w="6120" w:type="dxa"/>
            <w:tcBorders>
              <w:left w:val="single" w:color="auto" w:sz="4" w:space="0"/>
            </w:tcBorders>
          </w:tcPr>
          <w:p w:rsidRPr="00A659DB" w:rsidR="003571CA" w:rsidP="003571CA" w:rsidRDefault="003571CA" w14:paraId="4BFFB0AA" w14:textId="3B081F69">
            <w:pPr>
              <w:pStyle w:val="Default"/>
              <w:rPr>
                <w:rFonts w:asciiTheme="minorHAnsi" w:hAnsiTheme="minorHAnsi" w:cstheme="minorHAnsi"/>
                <w:sz w:val="20"/>
                <w:szCs w:val="20"/>
              </w:rPr>
            </w:pPr>
            <w:r w:rsidRPr="00A659DB">
              <w:rPr>
                <w:rFonts w:asciiTheme="minorHAnsi" w:hAnsiTheme="minorHAnsi" w:cstheme="minorHAnsi"/>
                <w:b/>
                <w:bCs/>
                <w:sz w:val="20"/>
                <w:szCs w:val="20"/>
              </w:rPr>
              <w:t>Resource chart in Appendix B, entitled “Purposes for which the LEA GEER Funds were expended from (Annual Survey of School System Finances (form F-33) categories.”</w:t>
            </w:r>
            <w:r w:rsidRPr="00A659DB">
              <w:rPr>
                <w:rFonts w:asciiTheme="minorHAnsi" w:hAnsiTheme="minorHAnsi" w:cstheme="minorHAnsi"/>
                <w:sz w:val="20"/>
                <w:szCs w:val="20"/>
              </w:rPr>
              <w:t xml:space="preserve"> </w:t>
            </w:r>
          </w:p>
          <w:p w:rsidR="003571CA" w:rsidP="003571CA" w:rsidRDefault="003571CA" w14:paraId="7E3ACD07" w14:textId="2B29441F">
            <w:pPr>
              <w:pStyle w:val="Default"/>
              <w:rPr>
                <w:rFonts w:asciiTheme="minorHAnsi" w:hAnsiTheme="minorHAnsi" w:cstheme="minorHAnsi"/>
                <w:b/>
                <w:bCs/>
                <w:sz w:val="20"/>
                <w:szCs w:val="20"/>
              </w:rPr>
            </w:pPr>
            <w:r w:rsidRPr="00A659DB">
              <w:rPr>
                <w:rFonts w:asciiTheme="minorHAnsi" w:hAnsiTheme="minorHAnsi" w:cstheme="minorHAnsi"/>
                <w:sz w:val="20"/>
                <w:szCs w:val="20"/>
              </w:rPr>
              <w:t>Recommendation: The Department requests that USDE keep this extremely helpful resource chart within the Form. Additionally, the Department recommends that the chart be included in the ESSER Recipient Data Collection Form.</w:t>
            </w:r>
          </w:p>
        </w:tc>
        <w:tc>
          <w:tcPr>
            <w:tcW w:w="6030" w:type="dxa"/>
          </w:tcPr>
          <w:p w:rsidRPr="00327C0A" w:rsidR="006C5108" w:rsidP="006C5108" w:rsidRDefault="006C5108" w14:paraId="4153490F" w14:textId="7C646B80">
            <w:pPr>
              <w:rPr>
                <w:rFonts w:ascii="Calibri" w:hAnsi="Calibri" w:eastAsia="Times New Roman" w:cs="Calibri"/>
                <w:sz w:val="20"/>
                <w:szCs w:val="20"/>
              </w:rPr>
            </w:pPr>
            <w:r w:rsidRPr="00206380">
              <w:rPr>
                <w:rFonts w:ascii="Calibri" w:hAnsi="Calibri" w:eastAsia="Times New Roman" w:cs="Calibri"/>
                <w:sz w:val="20"/>
                <w:szCs w:val="20"/>
              </w:rPr>
              <w:t>ED</w:t>
            </w:r>
            <w:r>
              <w:rPr>
                <w:rFonts w:ascii="Calibri" w:hAnsi="Calibri" w:eastAsia="Times New Roman" w:cs="Calibri"/>
                <w:sz w:val="20"/>
                <w:szCs w:val="20"/>
              </w:rPr>
              <w:t xml:space="preserve"> appreciates the commentor’s </w:t>
            </w:r>
            <w:r w:rsidR="006828C2">
              <w:rPr>
                <w:rFonts w:ascii="Calibri" w:hAnsi="Calibri" w:eastAsia="Times New Roman" w:cs="Calibri"/>
                <w:sz w:val="20"/>
                <w:szCs w:val="20"/>
              </w:rPr>
              <w:t>opinion that the chart in Appendix B was helpful. However, a</w:t>
            </w:r>
            <w:r>
              <w:rPr>
                <w:rFonts w:ascii="Calibri" w:hAnsi="Calibri" w:eastAsia="Times New Roman" w:cs="Calibri"/>
                <w:sz w:val="20"/>
                <w:szCs w:val="20"/>
              </w:rPr>
              <w:t>s a result of a number of comments about difficulty applying the F-33 to GEER and ESSER funding streams and to reduce burden, ED has revised the instrument so that the categories are now generally aligned with the ESSER authorized uses of funds for both GEER and ESSER</w:t>
            </w:r>
            <w:r w:rsidR="006828C2">
              <w:rPr>
                <w:rFonts w:ascii="Calibri" w:hAnsi="Calibri" w:eastAsia="Times New Roman" w:cs="Calibri"/>
                <w:sz w:val="20"/>
                <w:szCs w:val="20"/>
              </w:rPr>
              <w:t>.</w:t>
            </w:r>
          </w:p>
          <w:p w:rsidRPr="00F000C3" w:rsidR="003571CA" w:rsidP="003571CA" w:rsidRDefault="003571CA" w14:paraId="30D88539" w14:textId="73EF606E">
            <w:pPr>
              <w:rPr>
                <w:rFonts w:ascii="Calibri" w:hAnsi="Calibri" w:eastAsia="Times New Roman" w:cs="Calibri"/>
                <w:sz w:val="20"/>
                <w:szCs w:val="20"/>
              </w:rPr>
            </w:pPr>
          </w:p>
        </w:tc>
      </w:tr>
      <w:tr w:rsidRPr="00C601C5" w:rsidR="00D346C1" w:rsidTr="000E2C66" w14:paraId="1F2B171A" w14:textId="77777777">
        <w:tc>
          <w:tcPr>
            <w:tcW w:w="1169" w:type="dxa"/>
            <w:vMerge/>
          </w:tcPr>
          <w:p w:rsidRPr="00181671" w:rsidR="00D346C1" w:rsidP="00D346C1" w:rsidRDefault="00D346C1" w14:paraId="671AE9EB" w14:textId="77777777">
            <w:pPr>
              <w:rPr>
                <w:rFonts w:ascii="Calibri" w:hAnsi="Calibri" w:cs="Calibri"/>
                <w:sz w:val="18"/>
                <w:szCs w:val="18"/>
              </w:rPr>
            </w:pPr>
          </w:p>
        </w:tc>
        <w:tc>
          <w:tcPr>
            <w:tcW w:w="1346" w:type="dxa"/>
            <w:vMerge/>
            <w:tcBorders>
              <w:top w:val="nil"/>
              <w:bottom w:val="single" w:color="auto" w:sz="4" w:space="0"/>
              <w:right w:val="single" w:color="auto" w:sz="4" w:space="0"/>
            </w:tcBorders>
          </w:tcPr>
          <w:p w:rsidRPr="00633437" w:rsidR="00D346C1" w:rsidP="00D346C1" w:rsidRDefault="00D346C1" w14:paraId="0E8CD276" w14:textId="77777777">
            <w:pPr>
              <w:rPr>
                <w:rFonts w:ascii="Calibri" w:hAnsi="Calibri" w:cs="Calibri"/>
                <w:color w:val="000000"/>
                <w:sz w:val="20"/>
                <w:szCs w:val="20"/>
              </w:rPr>
            </w:pPr>
          </w:p>
        </w:tc>
        <w:tc>
          <w:tcPr>
            <w:tcW w:w="6120" w:type="dxa"/>
            <w:tcBorders>
              <w:left w:val="single" w:color="auto" w:sz="4" w:space="0"/>
            </w:tcBorders>
          </w:tcPr>
          <w:p w:rsidRPr="00A659DB" w:rsidR="00D346C1" w:rsidP="00D346C1" w:rsidRDefault="00D346C1" w14:paraId="4B72B688" w14:textId="2732A79C">
            <w:pPr>
              <w:pStyle w:val="Default"/>
              <w:rPr>
                <w:rFonts w:asciiTheme="minorHAnsi" w:hAnsiTheme="minorHAnsi" w:cstheme="minorHAnsi"/>
                <w:b/>
                <w:bCs/>
                <w:sz w:val="20"/>
                <w:szCs w:val="20"/>
              </w:rPr>
            </w:pPr>
            <w:r w:rsidRPr="00A659DB">
              <w:rPr>
                <w:rFonts w:asciiTheme="minorHAnsi" w:hAnsiTheme="minorHAnsi" w:cstheme="minorHAnsi"/>
                <w:b/>
                <w:bCs/>
                <w:sz w:val="20"/>
                <w:szCs w:val="20"/>
              </w:rPr>
              <w:t xml:space="preserve">Applicable Reporting Period provided in Appendix A (page 6) </w:t>
            </w:r>
            <w:r w:rsidRPr="00A659DB">
              <w:rPr>
                <w:rFonts w:asciiTheme="minorHAnsi" w:hAnsiTheme="minorHAnsi" w:cstheme="minorHAnsi"/>
                <w:sz w:val="20"/>
                <w:szCs w:val="20"/>
              </w:rPr>
              <w:t>Recommendation: The Department requests that USDE provide clarification on whether the USDE is requesting data on expenditures solely from the reporting period (e.g., 2nd Annual report from October 1, 2020 through September 30, 2021) , or if the USDE is requesting a cumulative set of data for the reporting period and the prior reporting periods (e.g. 2nd Annual report includes all expenditures, beginning with March 13, 2020 up through September 30, 2021).</w:t>
            </w:r>
          </w:p>
        </w:tc>
        <w:tc>
          <w:tcPr>
            <w:tcW w:w="6030" w:type="dxa"/>
          </w:tcPr>
          <w:p w:rsidRPr="00981F1C" w:rsidR="00D346C1" w:rsidP="00D346C1" w:rsidRDefault="00D346C1" w14:paraId="0AD16C0E" w14:textId="3632C6F9">
            <w:pPr>
              <w:rPr>
                <w:rFonts w:ascii="Calibri" w:hAnsi="Calibri" w:eastAsia="Times New Roman" w:cs="Calibri"/>
                <w:sz w:val="20"/>
                <w:szCs w:val="20"/>
                <w:highlight w:val="cyan"/>
              </w:rPr>
            </w:pPr>
            <w:r w:rsidRPr="00AC2534">
              <w:rPr>
                <w:rFonts w:ascii="Calibri" w:hAnsi="Calibri" w:cs="Calibri"/>
                <w:sz w:val="20"/>
                <w:szCs w:val="20"/>
              </w:rPr>
              <w:t xml:space="preserve">ED </w:t>
            </w:r>
            <w:r>
              <w:rPr>
                <w:rFonts w:ascii="Calibri" w:hAnsi="Calibri" w:cs="Calibri"/>
                <w:sz w:val="20"/>
                <w:szCs w:val="20"/>
              </w:rPr>
              <w:t xml:space="preserve">acknowledges the commentor’s lack of clarity about the applicable reporting period. The instructions say, “This report should be completed based on activities in the applicable reporting period.” Therefore, the reporting form is </w:t>
            </w:r>
            <w:r w:rsidRPr="00AC2534">
              <w:rPr>
                <w:rFonts w:ascii="Calibri" w:hAnsi="Calibri" w:cs="Calibri"/>
                <w:sz w:val="20"/>
                <w:szCs w:val="20"/>
              </w:rPr>
              <w:t>requesting data on expenditures</w:t>
            </w:r>
            <w:r>
              <w:rPr>
                <w:rFonts w:ascii="Calibri" w:hAnsi="Calibri" w:cs="Calibri"/>
                <w:sz w:val="20"/>
                <w:szCs w:val="20"/>
              </w:rPr>
              <w:t xml:space="preserve"> only</w:t>
            </w:r>
            <w:r w:rsidRPr="00AC2534">
              <w:rPr>
                <w:rFonts w:ascii="Calibri" w:hAnsi="Calibri" w:cs="Calibri"/>
                <w:sz w:val="20"/>
                <w:szCs w:val="20"/>
              </w:rPr>
              <w:t xml:space="preserve"> from the applicable reporting period</w:t>
            </w:r>
            <w:r>
              <w:rPr>
                <w:rFonts w:ascii="Calibri" w:hAnsi="Calibri" w:cs="Calibri"/>
                <w:sz w:val="20"/>
                <w:szCs w:val="20"/>
              </w:rPr>
              <w:t xml:space="preserve"> and not cumulatively.</w:t>
            </w:r>
          </w:p>
        </w:tc>
      </w:tr>
      <w:tr w:rsidRPr="008A0F31" w:rsidR="00D346C1" w:rsidTr="00404652" w14:paraId="41DF144B" w14:textId="77777777">
        <w:trPr>
          <w:trHeight w:val="1754"/>
        </w:trPr>
        <w:tc>
          <w:tcPr>
            <w:tcW w:w="1169" w:type="dxa"/>
            <w:vMerge w:val="restart"/>
          </w:tcPr>
          <w:p w:rsidRPr="00181671" w:rsidR="00D346C1" w:rsidP="00D346C1" w:rsidRDefault="00D346C1" w14:paraId="32D16B4F" w14:textId="17067FC2">
            <w:pPr>
              <w:rPr>
                <w:rFonts w:ascii="Calibri" w:hAnsi="Calibri" w:cs="Calibri"/>
                <w:sz w:val="18"/>
                <w:szCs w:val="18"/>
              </w:rPr>
            </w:pPr>
            <w:r w:rsidRPr="00181671">
              <w:rPr>
                <w:rFonts w:ascii="Calibri" w:hAnsi="Calibri" w:cs="Calibri"/>
                <w:sz w:val="18"/>
                <w:szCs w:val="18"/>
              </w:rPr>
              <w:t>ED-2020-</w:t>
            </w:r>
            <w:r>
              <w:rPr>
                <w:rFonts w:ascii="Calibri" w:hAnsi="Calibri" w:cs="Calibri"/>
                <w:sz w:val="18"/>
                <w:szCs w:val="18"/>
              </w:rPr>
              <w:t>SCC-0123-0007</w:t>
            </w:r>
          </w:p>
        </w:tc>
        <w:tc>
          <w:tcPr>
            <w:tcW w:w="1346" w:type="dxa"/>
            <w:vMerge w:val="restart"/>
            <w:tcBorders>
              <w:top w:val="single" w:color="auto" w:sz="4" w:space="0"/>
            </w:tcBorders>
          </w:tcPr>
          <w:p w:rsidRPr="00606BA1" w:rsidR="00D346C1" w:rsidP="00D346C1" w:rsidRDefault="00D346C1" w14:paraId="270E7B02" w14:textId="343EF679">
            <w:pPr>
              <w:rPr>
                <w:rFonts w:cstheme="minorHAnsi"/>
                <w:sz w:val="20"/>
                <w:szCs w:val="20"/>
              </w:rPr>
            </w:pPr>
            <w:r w:rsidRPr="00606BA1">
              <w:rPr>
                <w:rFonts w:cstheme="minorHAnsi"/>
                <w:sz w:val="20"/>
                <w:szCs w:val="20"/>
              </w:rPr>
              <w:t>Utah State Board of Education</w:t>
            </w:r>
          </w:p>
        </w:tc>
        <w:tc>
          <w:tcPr>
            <w:tcW w:w="6120" w:type="dxa"/>
          </w:tcPr>
          <w:p w:rsidRPr="00DC6E1F" w:rsidR="00D346C1" w:rsidP="00D346C1" w:rsidRDefault="00D346C1" w14:paraId="7191D63D" w14:textId="50842581">
            <w:pPr>
              <w:pStyle w:val="Default"/>
              <w:rPr>
                <w:rFonts w:cstheme="minorHAnsi"/>
                <w:sz w:val="20"/>
                <w:szCs w:val="20"/>
              </w:rPr>
            </w:pPr>
            <w:r w:rsidRPr="00D86DF9">
              <w:rPr>
                <w:rFonts w:asciiTheme="minorHAnsi" w:hAnsiTheme="minorHAnsi" w:cstheme="minorHAnsi"/>
                <w:b/>
                <w:bCs/>
                <w:sz w:val="20"/>
                <w:szCs w:val="20"/>
              </w:rPr>
              <w:t>Section 4: LEA GEER Funds</w:t>
            </w:r>
            <w:r w:rsidRPr="00D86DF9">
              <w:rPr>
                <w:rFonts w:asciiTheme="minorHAnsi" w:hAnsiTheme="minorHAnsi" w:cstheme="minorHAnsi"/>
                <w:sz w:val="20"/>
                <w:szCs w:val="20"/>
              </w:rPr>
              <w:t xml:space="preserve">  The final column of the draft table for reporting in question 4, the table requests that the SEA reports </w:t>
            </w:r>
            <w:r>
              <w:rPr>
                <w:rFonts w:asciiTheme="minorHAnsi" w:hAnsiTheme="minorHAnsi" w:cstheme="minorHAnsi"/>
                <w:sz w:val="20"/>
                <w:szCs w:val="20"/>
              </w:rPr>
              <w:t>“</w:t>
            </w:r>
            <w:r w:rsidRPr="00CF6116">
              <w:rPr>
                <w:rFonts w:asciiTheme="minorHAnsi" w:hAnsiTheme="minorHAnsi" w:cstheme="minorHAnsi"/>
                <w:i/>
                <w:iCs/>
                <w:sz w:val="20"/>
                <w:szCs w:val="20"/>
              </w:rPr>
              <w:t>Purposes for which the funds were expended by the LEA (Select all Annual Survey of School System Finances (form F-33) categories that apply)”</w:t>
            </w:r>
            <w:r w:rsidRPr="00CF6116">
              <w:rPr>
                <w:rFonts w:asciiTheme="minorHAnsi" w:hAnsiTheme="minorHAnsi" w:cstheme="minorHAnsi"/>
                <w:sz w:val="20"/>
                <w:szCs w:val="20"/>
              </w:rPr>
              <w:t xml:space="preserve">. It is not clear how these specific finance codes align with the existing SEA </w:t>
            </w:r>
            <w:proofErr w:type="spellStart"/>
            <w:r w:rsidRPr="00CF6116">
              <w:rPr>
                <w:rFonts w:asciiTheme="minorHAnsi" w:hAnsiTheme="minorHAnsi" w:cstheme="minorHAnsi"/>
                <w:sz w:val="20"/>
                <w:szCs w:val="20"/>
              </w:rPr>
              <w:t>base</w:t>
            </w:r>
            <w:proofErr w:type="spellEnd"/>
            <w:r w:rsidRPr="00CF6116">
              <w:rPr>
                <w:rFonts w:asciiTheme="minorHAnsi" w:hAnsiTheme="minorHAnsi" w:cstheme="minorHAnsi"/>
                <w:sz w:val="20"/>
                <w:szCs w:val="20"/>
              </w:rPr>
              <w:t xml:space="preserve"> budget table, or the specific use cases that were defined by the SEA for GEER funding.</w:t>
            </w:r>
            <w:r w:rsidRPr="00D86DF9">
              <w:rPr>
                <w:rFonts w:asciiTheme="minorHAnsi" w:hAnsiTheme="minorHAnsi" w:cstheme="minorHAnsi"/>
                <w:sz w:val="20"/>
                <w:szCs w:val="20"/>
              </w:rPr>
              <w:t xml:space="preserve"> </w:t>
            </w:r>
            <w:r w:rsidRPr="00E33954">
              <w:rPr>
                <w:rFonts w:cstheme="minorHAnsi"/>
                <w:sz w:val="20"/>
                <w:szCs w:val="20"/>
              </w:rPr>
              <w:t xml:space="preserve"> </w:t>
            </w:r>
          </w:p>
        </w:tc>
        <w:tc>
          <w:tcPr>
            <w:tcW w:w="6030" w:type="dxa"/>
          </w:tcPr>
          <w:p w:rsidRPr="00327C0A" w:rsidR="006133C3" w:rsidP="006133C3" w:rsidRDefault="006133C3" w14:paraId="78EE32F5" w14:textId="77777777">
            <w:pPr>
              <w:rPr>
                <w:rFonts w:ascii="Calibri" w:hAnsi="Calibri" w:eastAsia="Times New Roman" w:cs="Calibri"/>
                <w:sz w:val="20"/>
                <w:szCs w:val="20"/>
              </w:rPr>
            </w:pPr>
            <w:r w:rsidRPr="00206380">
              <w:rPr>
                <w:rFonts w:ascii="Calibri" w:hAnsi="Calibri" w:eastAsia="Times New Roman" w:cs="Calibri"/>
                <w:sz w:val="20"/>
                <w:szCs w:val="20"/>
              </w:rPr>
              <w:t>ED</w:t>
            </w:r>
            <w:r>
              <w:rPr>
                <w:rFonts w:ascii="Calibri" w:hAnsi="Calibri" w:eastAsia="Times New Roman" w:cs="Calibri"/>
                <w:sz w:val="20"/>
                <w:szCs w:val="20"/>
              </w:rPr>
              <w:t xml:space="preserve"> acknowledges that GEER spending does not necessarily align with the F-33. As a result of a number of comments about difficulty applying the F-33 to GEER and ESSER funding streams and to reduce burden, ED has revised the instrument so that the categories are now generally aligned with the ESSER authorized uses of funds for both GEER and ESSER as follows.  </w:t>
            </w:r>
          </w:p>
          <w:p w:rsidR="006133C3" w:rsidP="006133C3" w:rsidRDefault="006133C3" w14:paraId="6525E75A" w14:textId="77777777">
            <w:pPr>
              <w:rPr>
                <w:sz w:val="20"/>
                <w:szCs w:val="20"/>
              </w:rPr>
            </w:pPr>
            <w:r w:rsidRPr="00B32E44">
              <w:rPr>
                <w:sz w:val="20"/>
                <w:szCs w:val="20"/>
              </w:rPr>
              <w:t xml:space="preserve">1. </w:t>
            </w:r>
            <w:r w:rsidRPr="00B32E44">
              <w:rPr>
                <w:b/>
                <w:bCs/>
                <w:sz w:val="20"/>
                <w:szCs w:val="20"/>
              </w:rPr>
              <w:t>Purchasing educational technology</w:t>
            </w:r>
            <w:r w:rsidRPr="00B32E44">
              <w:rPr>
                <w:sz w:val="20"/>
                <w:szCs w:val="20"/>
              </w:rPr>
              <w:t xml:space="preserve"> (including hardware, software, and connectivity), which may include assistive technology or adaptive equipment.</w:t>
            </w:r>
          </w:p>
          <w:p w:rsidRPr="009C1CBF" w:rsidR="006133C3" w:rsidP="006133C3" w:rsidRDefault="006133C3" w14:paraId="7A2943C7" w14:textId="77777777">
            <w:pPr>
              <w:rPr>
                <w:sz w:val="20"/>
                <w:szCs w:val="20"/>
              </w:rPr>
            </w:pPr>
            <w:r w:rsidRPr="009C1CBF">
              <w:rPr>
                <w:sz w:val="20"/>
                <w:szCs w:val="20"/>
              </w:rPr>
              <w:t xml:space="preserve">2. Activities focused specifically to addressing the </w:t>
            </w:r>
            <w:r w:rsidRPr="00FE6EC6">
              <w:rPr>
                <w:b/>
                <w:sz w:val="20"/>
                <w:szCs w:val="20"/>
              </w:rPr>
              <w:t>u</w:t>
            </w:r>
            <w:r w:rsidRPr="009C1CBF">
              <w:rPr>
                <w:b/>
                <w:bCs/>
                <w:sz w:val="20"/>
                <w:szCs w:val="20"/>
              </w:rPr>
              <w:t>nique needs of low-income children or students, children with disabilities, English learners, racial and ethnic minorities, students experiencing homelessness, and foster care youth</w:t>
            </w:r>
          </w:p>
          <w:p w:rsidRPr="009C1CBF" w:rsidR="006133C3" w:rsidP="006133C3" w:rsidRDefault="006133C3" w14:paraId="1C1A3290" w14:textId="77777777">
            <w:pPr>
              <w:spacing w:line="259" w:lineRule="auto"/>
              <w:rPr>
                <w:sz w:val="20"/>
                <w:szCs w:val="20"/>
              </w:rPr>
            </w:pPr>
            <w:r w:rsidRPr="009C1CBF">
              <w:rPr>
                <w:sz w:val="20"/>
                <w:szCs w:val="20"/>
              </w:rPr>
              <w:t xml:space="preserve">3. Providing </w:t>
            </w:r>
            <w:r w:rsidRPr="009C1CBF">
              <w:rPr>
                <w:b/>
                <w:bCs/>
                <w:sz w:val="20"/>
                <w:szCs w:val="20"/>
              </w:rPr>
              <w:t>mental health services and supports</w:t>
            </w:r>
            <w:r w:rsidRPr="009C1CBF">
              <w:rPr>
                <w:sz w:val="20"/>
                <w:szCs w:val="20"/>
              </w:rPr>
              <w:t>.</w:t>
            </w:r>
          </w:p>
          <w:p w:rsidRPr="009C1CBF" w:rsidR="006133C3" w:rsidP="006133C3" w:rsidRDefault="006133C3" w14:paraId="34128F29" w14:textId="77777777">
            <w:pPr>
              <w:spacing w:line="259" w:lineRule="auto"/>
              <w:rPr>
                <w:sz w:val="20"/>
                <w:szCs w:val="20"/>
              </w:rPr>
            </w:pPr>
            <w:r w:rsidRPr="009C1CBF">
              <w:rPr>
                <w:sz w:val="20"/>
                <w:szCs w:val="20"/>
              </w:rPr>
              <w:t xml:space="preserve">4. </w:t>
            </w:r>
            <w:r w:rsidRPr="009C1CBF">
              <w:rPr>
                <w:b/>
                <w:bCs/>
                <w:sz w:val="20"/>
                <w:szCs w:val="20"/>
              </w:rPr>
              <w:t>Sanitization and minimizing the spread of infectious diseases</w:t>
            </w:r>
            <w:r w:rsidRPr="009C1CBF">
              <w:rPr>
                <w:sz w:val="20"/>
                <w:szCs w:val="20"/>
              </w:rPr>
              <w:t>, including cleaning supplies and staff training to address sanitization and minimizing the spread of infectious diseases.</w:t>
            </w:r>
          </w:p>
          <w:p w:rsidRPr="009C1CBF" w:rsidR="006133C3" w:rsidP="006133C3" w:rsidRDefault="006133C3" w14:paraId="470AF15C" w14:textId="77777777">
            <w:pPr>
              <w:spacing w:line="259" w:lineRule="auto"/>
              <w:rPr>
                <w:sz w:val="20"/>
                <w:szCs w:val="20"/>
              </w:rPr>
            </w:pPr>
            <w:r w:rsidRPr="009C1CBF">
              <w:rPr>
                <w:sz w:val="20"/>
                <w:szCs w:val="20"/>
              </w:rPr>
              <w:t xml:space="preserve">5. </w:t>
            </w:r>
            <w:r w:rsidRPr="009C1CBF">
              <w:rPr>
                <w:b/>
                <w:bCs/>
                <w:sz w:val="20"/>
                <w:szCs w:val="20"/>
              </w:rPr>
              <w:t>Summer learning and supplemental afterschool programs</w:t>
            </w:r>
            <w:r w:rsidRPr="009C1CBF">
              <w:rPr>
                <w:sz w:val="20"/>
                <w:szCs w:val="20"/>
              </w:rPr>
              <w:t>.</w:t>
            </w:r>
          </w:p>
          <w:p w:rsidR="006133C3" w:rsidP="006133C3" w:rsidRDefault="006133C3" w14:paraId="09DA2B9E" w14:textId="77777777">
            <w:pPr>
              <w:rPr>
                <w:sz w:val="20"/>
                <w:szCs w:val="20"/>
              </w:rPr>
            </w:pPr>
            <w:r w:rsidRPr="009C1CBF">
              <w:rPr>
                <w:sz w:val="20"/>
                <w:szCs w:val="20"/>
              </w:rPr>
              <w:t xml:space="preserve">6. </w:t>
            </w:r>
            <w:r w:rsidRPr="009C1CBF">
              <w:rPr>
                <w:b/>
                <w:sz w:val="20"/>
                <w:szCs w:val="20"/>
              </w:rPr>
              <w:t>Other</w:t>
            </w:r>
            <w:r w:rsidRPr="009C1CBF">
              <w:rPr>
                <w:sz w:val="20"/>
                <w:szCs w:val="20"/>
              </w:rPr>
              <w:t xml:space="preserve"> (uses of funds not included above).</w:t>
            </w:r>
          </w:p>
          <w:p w:rsidRPr="00137E75" w:rsidR="00D346C1" w:rsidP="00D346C1" w:rsidRDefault="00D346C1" w14:paraId="6D146121" w14:textId="0023CFF9">
            <w:pPr>
              <w:rPr>
                <w:rFonts w:ascii="Calibri" w:hAnsi="Calibri" w:eastAsia="Times New Roman" w:cs="Calibri"/>
                <w:sz w:val="20"/>
                <w:szCs w:val="20"/>
              </w:rPr>
            </w:pPr>
          </w:p>
        </w:tc>
      </w:tr>
      <w:tr w:rsidRPr="008A0F31" w:rsidR="00893D00" w:rsidTr="00D80687" w14:paraId="1BB0BE47" w14:textId="77777777">
        <w:trPr>
          <w:trHeight w:val="2771"/>
        </w:trPr>
        <w:tc>
          <w:tcPr>
            <w:tcW w:w="1169" w:type="dxa"/>
            <w:vMerge/>
          </w:tcPr>
          <w:p w:rsidRPr="00181671" w:rsidR="00893D00" w:rsidP="00893D00" w:rsidRDefault="00893D00" w14:paraId="3A63325B" w14:textId="77777777">
            <w:pPr>
              <w:rPr>
                <w:rFonts w:ascii="Calibri" w:hAnsi="Calibri" w:cs="Calibri"/>
                <w:sz w:val="18"/>
                <w:szCs w:val="18"/>
              </w:rPr>
            </w:pPr>
          </w:p>
        </w:tc>
        <w:tc>
          <w:tcPr>
            <w:tcW w:w="1346" w:type="dxa"/>
            <w:vMerge/>
          </w:tcPr>
          <w:p w:rsidRPr="00606BA1" w:rsidR="00893D00" w:rsidP="00893D00" w:rsidRDefault="00893D00" w14:paraId="0A8FA10F" w14:textId="77777777">
            <w:pPr>
              <w:rPr>
                <w:rFonts w:cstheme="minorHAnsi"/>
                <w:sz w:val="20"/>
                <w:szCs w:val="20"/>
              </w:rPr>
            </w:pPr>
          </w:p>
        </w:tc>
        <w:tc>
          <w:tcPr>
            <w:tcW w:w="6120" w:type="dxa"/>
          </w:tcPr>
          <w:p w:rsidRPr="00EE666D" w:rsidR="00893D00" w:rsidP="00893D00" w:rsidRDefault="00893D00" w14:paraId="679F7689" w14:textId="52150A99">
            <w:pPr>
              <w:pStyle w:val="NoSpacing"/>
              <w:rPr>
                <w:sz w:val="20"/>
                <w:szCs w:val="20"/>
              </w:rPr>
            </w:pPr>
            <w:r w:rsidRPr="00EE666D">
              <w:rPr>
                <w:sz w:val="20"/>
                <w:szCs w:val="20"/>
              </w:rPr>
              <w:t>Section 8: Full-Time Equivalent Positions</w:t>
            </w:r>
            <w:r>
              <w:rPr>
                <w:sz w:val="20"/>
                <w:szCs w:val="20"/>
              </w:rPr>
              <w:t>:</w:t>
            </w:r>
            <w:r w:rsidRPr="00EE666D">
              <w:rPr>
                <w:sz w:val="20"/>
                <w:szCs w:val="20"/>
              </w:rPr>
              <w:t xml:space="preserve"> the draft reporting requirements asks the SEA to provide the full-time equivalent (FTE) positions as of March 13, 2020 and the FTE positions as of the last day of the reporting period. It is not clear if that information is sought as a baseline from the entire system or specific to GEER funding. For example, is the question asking how many FTEs were employed at the LEA subgrantee on March 13, 2020 and how many are employed now as a high-level data set, or if the question is specific to how many FTEs were funded by GEER as of March 13, 2020 (zero) and then those that have been added based on GEER funding at the time of reporting? </w:t>
            </w:r>
          </w:p>
          <w:p w:rsidRPr="00EE666D" w:rsidR="00893D00" w:rsidP="00893D00" w:rsidRDefault="00893D00" w14:paraId="43226150" w14:textId="6B935449">
            <w:pPr>
              <w:pStyle w:val="NoSpacing"/>
              <w:rPr>
                <w:sz w:val="20"/>
                <w:szCs w:val="20"/>
              </w:rPr>
            </w:pPr>
            <w:r w:rsidRPr="00EE666D">
              <w:rPr>
                <w:sz w:val="20"/>
                <w:szCs w:val="20"/>
              </w:rPr>
              <w:t>We would seek additional details about the requirement and an example to clarify what is being requested. In considering the goal of this question, we do not think that the data requested in question #8 will directly inform the additional FTE that is specific to GEER funding. We are requesting additional clarity around whether the FTE information requested is specific to FTE funded using GEER funds</w:t>
            </w:r>
          </w:p>
        </w:tc>
        <w:tc>
          <w:tcPr>
            <w:tcW w:w="6030" w:type="dxa"/>
          </w:tcPr>
          <w:p w:rsidRPr="00137E75" w:rsidR="00893D00" w:rsidP="00893D00" w:rsidRDefault="00893D00" w14:paraId="18FC21FE" w14:textId="3825E806">
            <w:pPr>
              <w:rPr>
                <w:rFonts w:ascii="Calibri" w:hAnsi="Calibri" w:eastAsia="Times New Roman" w:cs="Calibri"/>
                <w:sz w:val="20"/>
                <w:szCs w:val="20"/>
              </w:rPr>
            </w:pPr>
            <w:r>
              <w:rPr>
                <w:rStyle w:val="normaltextrun"/>
                <w:rFonts w:ascii="Calibri" w:hAnsi="Calibri" w:cs="Calibri"/>
                <w:color w:val="000000"/>
                <w:sz w:val="20"/>
                <w:szCs w:val="20"/>
                <w:shd w:val="clear" w:color="auto" w:fill="FFFFFF"/>
              </w:rPr>
              <w:t>ED acknowledges the need for clarification in the question about Full-Time Equivalent (FTE) Positions. ED has revised the instructions for this item to now read, “</w:t>
            </w:r>
            <w:r w:rsidRPr="00413AF9">
              <w:rPr>
                <w:rStyle w:val="normaltextrun"/>
                <w:rFonts w:ascii="Calibri" w:hAnsi="Calibri" w:cs="Calibri"/>
                <w:i/>
                <w:iCs/>
                <w:color w:val="000000"/>
                <w:sz w:val="20"/>
                <w:szCs w:val="20"/>
                <w:shd w:val="clear" w:color="auto" w:fill="FFFFFF"/>
              </w:rPr>
              <w:t>(The number of FTE positions includes all staff regardless of whether the position is funded by Federal, State, local, or other funds—and equals the sum of the number of full-time positions plus the full-time equivalent of the number of part-time positions.)</w:t>
            </w:r>
            <w:r>
              <w:rPr>
                <w:rStyle w:val="normaltextrun"/>
                <w:rFonts w:ascii="Calibri" w:hAnsi="Calibri" w:cs="Calibri"/>
                <w:color w:val="000000"/>
                <w:sz w:val="20"/>
                <w:szCs w:val="20"/>
                <w:shd w:val="clear" w:color="auto" w:fill="FFFFFF"/>
              </w:rPr>
              <w:t>”</w:t>
            </w:r>
          </w:p>
        </w:tc>
      </w:tr>
      <w:tr w:rsidRPr="008A0F31" w:rsidR="00893D00" w:rsidTr="00D80687" w14:paraId="7CE2B475" w14:textId="77777777">
        <w:tc>
          <w:tcPr>
            <w:tcW w:w="1169" w:type="dxa"/>
          </w:tcPr>
          <w:p w:rsidRPr="00181671" w:rsidR="00893D00" w:rsidP="00893D00" w:rsidRDefault="00893D00" w14:paraId="65624A04" w14:textId="62BDAC0B">
            <w:pPr>
              <w:rPr>
                <w:rFonts w:ascii="Calibri" w:hAnsi="Calibri" w:cs="Calibri"/>
                <w:sz w:val="18"/>
                <w:szCs w:val="18"/>
              </w:rPr>
            </w:pPr>
            <w:r w:rsidRPr="00404BA0">
              <w:rPr>
                <w:rFonts w:ascii="Calibri" w:hAnsi="Calibri" w:cs="Calibri"/>
                <w:sz w:val="18"/>
                <w:szCs w:val="18"/>
              </w:rPr>
              <w:t>ED-2020-SCC-0123-000</w:t>
            </w:r>
            <w:r>
              <w:rPr>
                <w:rFonts w:ascii="Calibri" w:hAnsi="Calibri" w:cs="Calibri"/>
                <w:sz w:val="18"/>
                <w:szCs w:val="18"/>
              </w:rPr>
              <w:t>8</w:t>
            </w:r>
          </w:p>
        </w:tc>
        <w:tc>
          <w:tcPr>
            <w:tcW w:w="1346" w:type="dxa"/>
          </w:tcPr>
          <w:p w:rsidRPr="00C76A5B" w:rsidR="00893D00" w:rsidP="00893D00" w:rsidRDefault="00893D00" w14:paraId="06BE7B22" w14:textId="3445D594">
            <w:pPr>
              <w:rPr>
                <w:rFonts w:cstheme="minorHAnsi"/>
                <w:sz w:val="20"/>
                <w:szCs w:val="20"/>
              </w:rPr>
            </w:pPr>
            <w:proofErr w:type="spellStart"/>
            <w:r w:rsidRPr="00C76A5B">
              <w:rPr>
                <w:rFonts w:cstheme="minorHAnsi"/>
                <w:sz w:val="20"/>
                <w:szCs w:val="20"/>
              </w:rPr>
              <w:t>PostSec</w:t>
            </w:r>
            <w:proofErr w:type="spellEnd"/>
            <w:r w:rsidRPr="00C76A5B">
              <w:rPr>
                <w:rFonts w:cstheme="minorHAnsi"/>
                <w:sz w:val="20"/>
                <w:szCs w:val="20"/>
              </w:rPr>
              <w:t xml:space="preserve"> Data</w:t>
            </w:r>
          </w:p>
        </w:tc>
        <w:tc>
          <w:tcPr>
            <w:tcW w:w="6120" w:type="dxa"/>
          </w:tcPr>
          <w:p w:rsidRPr="00EE666D" w:rsidR="00893D00" w:rsidP="00893D00" w:rsidRDefault="00893D00" w14:paraId="54868E9C" w14:textId="1BFFF054">
            <w:pPr>
              <w:pStyle w:val="NoSpacing"/>
              <w:rPr>
                <w:sz w:val="20"/>
                <w:szCs w:val="20"/>
              </w:rPr>
            </w:pPr>
            <w:r w:rsidRPr="00EE666D">
              <w:rPr>
                <w:sz w:val="20"/>
                <w:szCs w:val="20"/>
              </w:rPr>
              <w:t xml:space="preserve">The comment submission from </w:t>
            </w:r>
            <w:proofErr w:type="spellStart"/>
            <w:r w:rsidRPr="00EE666D">
              <w:rPr>
                <w:sz w:val="20"/>
                <w:szCs w:val="20"/>
              </w:rPr>
              <w:t>PostSec</w:t>
            </w:r>
            <w:proofErr w:type="spellEnd"/>
            <w:r w:rsidRPr="00EE666D">
              <w:rPr>
                <w:sz w:val="20"/>
                <w:szCs w:val="20"/>
              </w:rPr>
              <w:t xml:space="preserve"> Data pertains to the </w:t>
            </w:r>
            <w:r w:rsidRPr="00EE666D">
              <w:rPr>
                <w:rStyle w:val="normaltextrun"/>
                <w:sz w:val="20"/>
                <w:szCs w:val="20"/>
              </w:rPr>
              <w:t>Higher Education Emergency Relief Fund (HEERF) Data Collection Form</w:t>
            </w:r>
            <w:r w:rsidRPr="00EE666D">
              <w:rPr>
                <w:rStyle w:val="eop"/>
                <w:sz w:val="20"/>
                <w:szCs w:val="20"/>
              </w:rPr>
              <w:t> </w:t>
            </w:r>
          </w:p>
        </w:tc>
        <w:tc>
          <w:tcPr>
            <w:tcW w:w="6030" w:type="dxa"/>
          </w:tcPr>
          <w:p w:rsidRPr="008A0F31" w:rsidR="00893D00" w:rsidP="00893D00" w:rsidRDefault="00893D00" w14:paraId="4919C68C" w14:textId="2A884E34">
            <w:pPr>
              <w:rPr>
                <w:rFonts w:ascii="Calibri" w:hAnsi="Calibri" w:eastAsia="Times New Roman" w:cs="Calibri"/>
                <w:sz w:val="20"/>
                <w:szCs w:val="20"/>
              </w:rPr>
            </w:pPr>
            <w:r>
              <w:rPr>
                <w:rFonts w:ascii="Calibri" w:hAnsi="Calibri" w:eastAsia="Times New Roman" w:cs="Calibri"/>
                <w:sz w:val="20"/>
                <w:szCs w:val="20"/>
              </w:rPr>
              <w:t>Comment addressed in response to comments regarding HEERF</w:t>
            </w:r>
          </w:p>
        </w:tc>
      </w:tr>
      <w:tr w:rsidRPr="008A0F31" w:rsidR="00893D00" w:rsidTr="00D80687" w14:paraId="0F0A0080" w14:textId="77777777">
        <w:tc>
          <w:tcPr>
            <w:tcW w:w="1169" w:type="dxa"/>
          </w:tcPr>
          <w:p w:rsidRPr="00181671" w:rsidR="00893D00" w:rsidP="00893D00" w:rsidRDefault="00893D00" w14:paraId="2031F746" w14:textId="7D5D826E">
            <w:pPr>
              <w:rPr>
                <w:rFonts w:ascii="Calibri" w:hAnsi="Calibri" w:cs="Calibri"/>
                <w:sz w:val="18"/>
                <w:szCs w:val="18"/>
              </w:rPr>
            </w:pPr>
            <w:r w:rsidRPr="00404BA0">
              <w:rPr>
                <w:rFonts w:ascii="Calibri" w:hAnsi="Calibri" w:cs="Calibri"/>
                <w:sz w:val="18"/>
                <w:szCs w:val="18"/>
              </w:rPr>
              <w:t>ED-2020-SCC-0123-000</w:t>
            </w:r>
            <w:r>
              <w:rPr>
                <w:rFonts w:ascii="Calibri" w:hAnsi="Calibri" w:cs="Calibri"/>
                <w:sz w:val="18"/>
                <w:szCs w:val="18"/>
              </w:rPr>
              <w:t>9</w:t>
            </w:r>
          </w:p>
        </w:tc>
        <w:tc>
          <w:tcPr>
            <w:tcW w:w="1346" w:type="dxa"/>
          </w:tcPr>
          <w:p w:rsidRPr="004B07E4" w:rsidR="00893D00" w:rsidP="00893D00" w:rsidRDefault="00893D00" w14:paraId="37E7FB31" w14:textId="4179C0B6">
            <w:pPr>
              <w:rPr>
                <w:rFonts w:cstheme="minorHAnsi"/>
                <w:sz w:val="20"/>
                <w:szCs w:val="20"/>
              </w:rPr>
            </w:pPr>
            <w:r w:rsidRPr="004B07E4">
              <w:rPr>
                <w:rFonts w:cstheme="minorHAnsi"/>
                <w:sz w:val="20"/>
                <w:szCs w:val="20"/>
              </w:rPr>
              <w:t>California Department of Education</w:t>
            </w:r>
          </w:p>
        </w:tc>
        <w:tc>
          <w:tcPr>
            <w:tcW w:w="6120" w:type="dxa"/>
          </w:tcPr>
          <w:p w:rsidRPr="00A52FFD" w:rsidR="00893D00" w:rsidP="00893D00" w:rsidRDefault="00893D00" w14:paraId="599C5A92" w14:textId="5E7B9CA5">
            <w:pPr>
              <w:autoSpaceDE w:val="0"/>
              <w:autoSpaceDN w:val="0"/>
              <w:adjustRightInd w:val="0"/>
              <w:rPr>
                <w:rFonts w:cstheme="minorHAnsi"/>
                <w:color w:val="000000"/>
                <w:sz w:val="20"/>
                <w:szCs w:val="20"/>
              </w:rPr>
            </w:pPr>
            <w:r>
              <w:rPr>
                <w:rFonts w:cstheme="minorHAnsi"/>
                <w:color w:val="000000"/>
                <w:sz w:val="20"/>
                <w:szCs w:val="20"/>
              </w:rPr>
              <w:t>The CDE asks that the U.S. Department of Education reduce or eliminate administrative burden wherever possible as states and local educational agencies (LEAs) focus on maintaining s</w:t>
            </w:r>
            <w:r w:rsidRPr="00767CBD">
              <w:rPr>
                <w:rFonts w:cstheme="minorHAnsi"/>
                <w:color w:val="000000"/>
                <w:sz w:val="20"/>
                <w:szCs w:val="20"/>
              </w:rPr>
              <w:t>tudent safety and fulfilling a vast array of other reporting requirements. In addition to the COVID-19 pandemic, California has been burdened with major fires and many LEAs are spending an unprecedented amount of time in meeting these challenges.  California appreciates</w:t>
            </w:r>
            <w:r>
              <w:rPr>
                <w:rFonts w:cstheme="minorHAnsi"/>
                <w:color w:val="000000"/>
                <w:sz w:val="20"/>
                <w:szCs w:val="20"/>
              </w:rPr>
              <w:t xml:space="preserve"> the chance to work with our federal partners to ensure that reporting for the ESSER Fund is accurate. The CDE believes the burden for states and LEAs can be minimized by utilizing existing state data collection elements.</w:t>
            </w:r>
          </w:p>
        </w:tc>
        <w:tc>
          <w:tcPr>
            <w:tcW w:w="6030" w:type="dxa"/>
          </w:tcPr>
          <w:p w:rsidRPr="008A0F31" w:rsidR="00893D00" w:rsidP="00893D00" w:rsidRDefault="00383AB7" w14:paraId="5E4B6FB9" w14:textId="1A6C642E">
            <w:pPr>
              <w:rPr>
                <w:rFonts w:ascii="Calibri" w:hAnsi="Calibri" w:eastAsia="Times New Roman" w:cs="Calibri"/>
                <w:sz w:val="20"/>
                <w:szCs w:val="20"/>
              </w:rPr>
            </w:pPr>
            <w:r w:rsidRPr="001344EA">
              <w:rPr>
                <w:rFonts w:ascii="Calibri" w:hAnsi="Calibri" w:eastAsia="Times New Roman" w:cs="Calibri"/>
                <w:sz w:val="20"/>
                <w:szCs w:val="20"/>
              </w:rPr>
              <w:t xml:space="preserve">ED appreciates the many burdens faced by the California SEA, districts, and schools in addressing not only the COVID-19 pandemic but challenges resulting from major fires. Nevertheless, </w:t>
            </w:r>
            <w:r>
              <w:rPr>
                <w:rFonts w:ascii="Calibri" w:hAnsi="Calibri" w:eastAsia="Times New Roman" w:cs="Calibri"/>
                <w:sz w:val="20"/>
                <w:szCs w:val="20"/>
              </w:rPr>
              <w:t>ED is</w:t>
            </w:r>
            <w:r w:rsidRPr="001344EA">
              <w:rPr>
                <w:rFonts w:ascii="Calibri" w:hAnsi="Calibri" w:eastAsia="Times New Roman" w:cs="Calibri"/>
                <w:sz w:val="20"/>
                <w:szCs w:val="20"/>
              </w:rPr>
              <w:t xml:space="preserve"> accountable for reporting </w:t>
            </w:r>
            <w:r>
              <w:rPr>
                <w:rFonts w:ascii="Calibri" w:hAnsi="Calibri" w:eastAsia="Times New Roman" w:cs="Calibri"/>
                <w:sz w:val="20"/>
                <w:szCs w:val="20"/>
              </w:rPr>
              <w:t xml:space="preserve">to Congress and the public </w:t>
            </w:r>
            <w:r w:rsidRPr="001344EA">
              <w:rPr>
                <w:rFonts w:ascii="Calibri" w:hAnsi="Calibri" w:eastAsia="Times New Roman" w:cs="Calibri"/>
                <w:sz w:val="20"/>
                <w:szCs w:val="20"/>
              </w:rPr>
              <w:t>on how funds appropriated through this significant inv</w:t>
            </w:r>
            <w:r w:rsidRPr="00A01DE5">
              <w:rPr>
                <w:rFonts w:ascii="Calibri" w:hAnsi="Calibri" w:eastAsia="Times New Roman" w:cs="Calibri"/>
                <w:sz w:val="20"/>
                <w:szCs w:val="20"/>
              </w:rPr>
              <w:t>estment are being used and cannot delay this reporting requirement. As with all ED grant programs, SEA</w:t>
            </w:r>
            <w:r w:rsidRPr="00A01DE5" w:rsidR="00A01DE5">
              <w:rPr>
                <w:rFonts w:ascii="Calibri" w:hAnsi="Calibri" w:eastAsia="Times New Roman" w:cs="Calibri"/>
                <w:sz w:val="20"/>
                <w:szCs w:val="20"/>
              </w:rPr>
              <w:t>s</w:t>
            </w:r>
            <w:r w:rsidRPr="00A01DE5">
              <w:rPr>
                <w:rFonts w:ascii="Calibri" w:hAnsi="Calibri" w:eastAsia="Times New Roman" w:cs="Calibri"/>
                <w:sz w:val="20"/>
                <w:szCs w:val="20"/>
              </w:rPr>
              <w:t xml:space="preserve"> may request extensions to data submission</w:t>
            </w:r>
            <w:r w:rsidRPr="00A01DE5" w:rsidR="00A01DE5">
              <w:rPr>
                <w:rFonts w:ascii="Calibri" w:hAnsi="Calibri" w:eastAsia="Times New Roman" w:cs="Calibri"/>
                <w:sz w:val="20"/>
                <w:szCs w:val="20"/>
              </w:rPr>
              <w:t>s</w:t>
            </w:r>
            <w:r w:rsidRPr="00A01DE5">
              <w:rPr>
                <w:rFonts w:ascii="Calibri" w:hAnsi="Calibri" w:eastAsia="Times New Roman" w:cs="Calibri"/>
                <w:sz w:val="20"/>
                <w:szCs w:val="20"/>
              </w:rPr>
              <w:t xml:space="preserve"> based on extenuating circumstances.</w:t>
            </w:r>
          </w:p>
        </w:tc>
      </w:tr>
      <w:tr w:rsidRPr="008A0F31" w:rsidR="00893D00" w:rsidTr="00D80687" w14:paraId="1386F824" w14:textId="77777777">
        <w:tc>
          <w:tcPr>
            <w:tcW w:w="1169" w:type="dxa"/>
          </w:tcPr>
          <w:p w:rsidRPr="00404BA0" w:rsidR="00893D00" w:rsidP="00893D00" w:rsidRDefault="00893D00" w14:paraId="012079B7" w14:textId="3F2ACDE0">
            <w:pPr>
              <w:rPr>
                <w:rFonts w:ascii="Calibri" w:hAnsi="Calibri" w:cs="Calibri"/>
                <w:sz w:val="18"/>
                <w:szCs w:val="18"/>
              </w:rPr>
            </w:pPr>
            <w:r w:rsidRPr="00404BA0">
              <w:rPr>
                <w:rFonts w:ascii="Calibri" w:hAnsi="Calibri" w:cs="Calibri"/>
                <w:sz w:val="18"/>
                <w:szCs w:val="18"/>
              </w:rPr>
              <w:t>ED-2020-SCC-0123-00</w:t>
            </w:r>
            <w:r>
              <w:rPr>
                <w:rFonts w:ascii="Calibri" w:hAnsi="Calibri" w:cs="Calibri"/>
                <w:sz w:val="18"/>
                <w:szCs w:val="18"/>
              </w:rPr>
              <w:t>10</w:t>
            </w:r>
          </w:p>
        </w:tc>
        <w:tc>
          <w:tcPr>
            <w:tcW w:w="1346" w:type="dxa"/>
          </w:tcPr>
          <w:p w:rsidRPr="004B07E4" w:rsidR="00893D00" w:rsidP="00893D00" w:rsidRDefault="00893D00" w14:paraId="55EA030C" w14:textId="3801E26E">
            <w:pPr>
              <w:rPr>
                <w:rFonts w:cstheme="minorHAnsi"/>
                <w:sz w:val="20"/>
                <w:szCs w:val="20"/>
              </w:rPr>
            </w:pPr>
            <w:r>
              <w:rPr>
                <w:rFonts w:cstheme="minorHAnsi"/>
                <w:sz w:val="20"/>
                <w:szCs w:val="20"/>
              </w:rPr>
              <w:t>Anonymous</w:t>
            </w:r>
          </w:p>
        </w:tc>
        <w:tc>
          <w:tcPr>
            <w:tcW w:w="6120" w:type="dxa"/>
          </w:tcPr>
          <w:p w:rsidR="00893D00" w:rsidP="00893D00" w:rsidRDefault="00893D00" w14:paraId="0D83CB97" w14:textId="6D2CCC0C">
            <w:pPr>
              <w:autoSpaceDE w:val="0"/>
              <w:autoSpaceDN w:val="0"/>
              <w:adjustRightInd w:val="0"/>
              <w:rPr>
                <w:rFonts w:cstheme="minorHAnsi"/>
                <w:color w:val="000000"/>
                <w:sz w:val="20"/>
                <w:szCs w:val="20"/>
              </w:rPr>
            </w:pPr>
            <w:r>
              <w:rPr>
                <w:rFonts w:cstheme="minorHAnsi"/>
                <w:color w:val="000000"/>
                <w:sz w:val="20"/>
                <w:szCs w:val="20"/>
              </w:rPr>
              <w:t>Not applicable</w:t>
            </w:r>
          </w:p>
        </w:tc>
        <w:tc>
          <w:tcPr>
            <w:tcW w:w="6030" w:type="dxa"/>
          </w:tcPr>
          <w:p w:rsidR="00893D00" w:rsidP="00893D00" w:rsidRDefault="00893D00" w14:paraId="142611D6" w14:textId="6D0D98AA">
            <w:pPr>
              <w:rPr>
                <w:rFonts w:ascii="Calibri" w:hAnsi="Calibri" w:cs="Calibri"/>
                <w:sz w:val="20"/>
                <w:szCs w:val="20"/>
                <w:highlight w:val="yellow"/>
              </w:rPr>
            </w:pPr>
            <w:r w:rsidRPr="006214CA">
              <w:rPr>
                <w:rFonts w:ascii="Calibri" w:hAnsi="Calibri" w:cs="Calibri"/>
                <w:sz w:val="20"/>
                <w:szCs w:val="20"/>
              </w:rPr>
              <w:t>No response necessary</w:t>
            </w:r>
          </w:p>
        </w:tc>
      </w:tr>
    </w:tbl>
    <w:p w:rsidR="009631CA" w:rsidP="009631CA" w:rsidRDefault="009631CA" w14:paraId="7B133CB6" w14:textId="2C0D1578">
      <w:pPr>
        <w:pStyle w:val="NoSpacing"/>
      </w:pPr>
    </w:p>
    <w:p w:rsidR="009631CA" w:rsidRDefault="009631CA" w14:paraId="0CFD601C" w14:textId="77777777"/>
    <w:sectPr w:rsidR="009631CA" w:rsidSect="0023413A">
      <w:headerReference w:type="default" r:id="rId10"/>
      <w:footerReference w:type="default" r:id="rId11"/>
      <w:pgSz w:w="15840" w:h="12240" w:orient="landscape"/>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EE523DC" w14:textId="77777777" w:rsidR="00A2737D" w:rsidRDefault="00A2737D" w:rsidP="00A57662">
      <w:pPr>
        <w:spacing w:after="0" w:line="240" w:lineRule="auto"/>
      </w:pPr>
      <w:r>
        <w:separator/>
      </w:r>
    </w:p>
  </w:endnote>
  <w:endnote w:type="continuationSeparator" w:id="0">
    <w:p w14:paraId="274E70A2" w14:textId="77777777" w:rsidR="00A2737D" w:rsidRDefault="00A2737D" w:rsidP="00A57662">
      <w:pPr>
        <w:spacing w:after="0" w:line="240" w:lineRule="auto"/>
      </w:pPr>
      <w:r>
        <w:continuationSeparator/>
      </w:r>
    </w:p>
  </w:endnote>
  <w:endnote w:type="continuationNotice" w:id="1">
    <w:p w14:paraId="4C2070B6" w14:textId="77777777" w:rsidR="00A2737D" w:rsidRDefault="00A2737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2024085177"/>
      <w:docPartObj>
        <w:docPartGallery w:val="Page Numbers (Bottom of Page)"/>
        <w:docPartUnique/>
      </w:docPartObj>
    </w:sdtPr>
    <w:sdtEndPr>
      <w:rPr>
        <w:noProof/>
      </w:rPr>
    </w:sdtEndPr>
    <w:sdtContent>
      <w:p w14:paraId="52181CD3" w14:textId="38BCF270" w:rsidR="00A57662" w:rsidRDefault="00A57662">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0B6CE3B9" w14:textId="77777777" w:rsidR="00A57662" w:rsidRDefault="00A5766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653E131" w14:textId="77777777" w:rsidR="00A2737D" w:rsidRDefault="00A2737D" w:rsidP="00A57662">
      <w:pPr>
        <w:spacing w:after="0" w:line="240" w:lineRule="auto"/>
      </w:pPr>
      <w:r>
        <w:separator/>
      </w:r>
    </w:p>
  </w:footnote>
  <w:footnote w:type="continuationSeparator" w:id="0">
    <w:p w14:paraId="1685C690" w14:textId="77777777" w:rsidR="00A2737D" w:rsidRDefault="00A2737D" w:rsidP="00A57662">
      <w:pPr>
        <w:spacing w:after="0" w:line="240" w:lineRule="auto"/>
      </w:pPr>
      <w:r>
        <w:continuationSeparator/>
      </w:r>
    </w:p>
  </w:footnote>
  <w:footnote w:type="continuationNotice" w:id="1">
    <w:p w14:paraId="383A253F" w14:textId="77777777" w:rsidR="00A2737D" w:rsidRDefault="00A2737D">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39B5CD4" w14:textId="01E5C340" w:rsidR="00684D16" w:rsidRDefault="00895B73">
    <w:pPr>
      <w:pStyle w:val="Header"/>
    </w:pPr>
    <w:r>
      <w:tab/>
    </w:r>
    <w:r>
      <w:tab/>
    </w:r>
    <w:r>
      <w:tab/>
    </w:r>
    <w:r>
      <w:tab/>
    </w:r>
    <w:r>
      <w:tab/>
    </w:r>
    <w:r>
      <w:tab/>
      <w:t>Draft (10/</w:t>
    </w:r>
    <w:r w:rsidR="00090FAF">
      <w:t>25</w:t>
    </w:r>
    <w:r>
      <w:t>/20)</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E332BB16"/>
    <w:multiLevelType w:val="hybridMultilevel"/>
    <w:tmpl w:val="9799833C"/>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A201810"/>
    <w:multiLevelType w:val="hybridMultilevel"/>
    <w:tmpl w:val="71F686DA"/>
    <w:lvl w:ilvl="0" w:tplc="C4101240">
      <w:start w:val="1"/>
      <w:numFmt w:val="bullet"/>
      <w:lvlText w:val=""/>
      <w:lvlJc w:val="left"/>
      <w:pPr>
        <w:ind w:left="720" w:hanging="360"/>
      </w:pPr>
      <w:rPr>
        <w:rFonts w:ascii="Symbol" w:eastAsia="Times New Roman" w:hAnsi="Symbol"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62E7628"/>
    <w:multiLevelType w:val="hybridMultilevel"/>
    <w:tmpl w:val="A95060F5"/>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16E21C6B"/>
    <w:multiLevelType w:val="hybridMultilevel"/>
    <w:tmpl w:val="DBCCACA6"/>
    <w:lvl w:ilvl="0" w:tplc="6576FFD2">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55D63186"/>
    <w:multiLevelType w:val="hybridMultilevel"/>
    <w:tmpl w:val="63121CDC"/>
    <w:lvl w:ilvl="0" w:tplc="C4101240">
      <w:start w:val="1"/>
      <w:numFmt w:val="bullet"/>
      <w:lvlText w:val=""/>
      <w:lvlJc w:val="left"/>
      <w:pPr>
        <w:ind w:left="720" w:hanging="360"/>
      </w:pPr>
      <w:rPr>
        <w:rFonts w:ascii="Symbol" w:eastAsia="Times New Roman" w:hAnsi="Symbol"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7C52516"/>
    <w:multiLevelType w:val="hybridMultilevel"/>
    <w:tmpl w:val="C8BE0C2F"/>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15:restartNumberingAfterBreak="0">
    <w:nsid w:val="69C27EB1"/>
    <w:multiLevelType w:val="hybridMultilevel"/>
    <w:tmpl w:val="4E1E6C50"/>
    <w:lvl w:ilvl="0" w:tplc="3A0AF79A">
      <w:start w:val="1"/>
      <w:numFmt w:val="bullet"/>
      <w:lvlText w:val="●"/>
      <w:lvlJc w:val="left"/>
      <w:pPr>
        <w:ind w:left="360" w:hanging="360"/>
      </w:pPr>
      <w:rPr>
        <w:u w:val="none"/>
      </w:rPr>
    </w:lvl>
    <w:lvl w:ilvl="1" w:tplc="9732E7A0">
      <w:start w:val="1"/>
      <w:numFmt w:val="bullet"/>
      <w:lvlText w:val="○"/>
      <w:lvlJc w:val="left"/>
      <w:pPr>
        <w:ind w:left="1080" w:hanging="360"/>
      </w:pPr>
      <w:rPr>
        <w:u w:val="none"/>
      </w:rPr>
    </w:lvl>
    <w:lvl w:ilvl="2" w:tplc="6C42B87E">
      <w:start w:val="1"/>
      <w:numFmt w:val="bullet"/>
      <w:lvlText w:val="■"/>
      <w:lvlJc w:val="left"/>
      <w:pPr>
        <w:ind w:left="1800" w:hanging="360"/>
      </w:pPr>
      <w:rPr>
        <w:u w:val="none"/>
      </w:rPr>
    </w:lvl>
    <w:lvl w:ilvl="3" w:tplc="63089296">
      <w:start w:val="1"/>
      <w:numFmt w:val="bullet"/>
      <w:lvlText w:val="●"/>
      <w:lvlJc w:val="left"/>
      <w:pPr>
        <w:ind w:left="2520" w:hanging="360"/>
      </w:pPr>
      <w:rPr>
        <w:u w:val="none"/>
      </w:rPr>
    </w:lvl>
    <w:lvl w:ilvl="4" w:tplc="01DE0AD4">
      <w:start w:val="1"/>
      <w:numFmt w:val="bullet"/>
      <w:lvlText w:val="○"/>
      <w:lvlJc w:val="left"/>
      <w:pPr>
        <w:ind w:left="3240" w:hanging="360"/>
      </w:pPr>
      <w:rPr>
        <w:u w:val="none"/>
      </w:rPr>
    </w:lvl>
    <w:lvl w:ilvl="5" w:tplc="C9E04346">
      <w:start w:val="1"/>
      <w:numFmt w:val="bullet"/>
      <w:lvlText w:val="■"/>
      <w:lvlJc w:val="left"/>
      <w:pPr>
        <w:ind w:left="3960" w:hanging="360"/>
      </w:pPr>
      <w:rPr>
        <w:u w:val="none"/>
      </w:rPr>
    </w:lvl>
    <w:lvl w:ilvl="6" w:tplc="4E48A1F6">
      <w:start w:val="1"/>
      <w:numFmt w:val="bullet"/>
      <w:lvlText w:val="●"/>
      <w:lvlJc w:val="left"/>
      <w:pPr>
        <w:ind w:left="4680" w:hanging="360"/>
      </w:pPr>
      <w:rPr>
        <w:u w:val="none"/>
      </w:rPr>
    </w:lvl>
    <w:lvl w:ilvl="7" w:tplc="ECC87BDE">
      <w:start w:val="1"/>
      <w:numFmt w:val="bullet"/>
      <w:lvlText w:val="○"/>
      <w:lvlJc w:val="left"/>
      <w:pPr>
        <w:ind w:left="5400" w:hanging="360"/>
      </w:pPr>
      <w:rPr>
        <w:u w:val="none"/>
      </w:rPr>
    </w:lvl>
    <w:lvl w:ilvl="8" w:tplc="6BF27E60">
      <w:start w:val="1"/>
      <w:numFmt w:val="bullet"/>
      <w:lvlText w:val="■"/>
      <w:lvlJc w:val="left"/>
      <w:pPr>
        <w:ind w:left="6120" w:hanging="360"/>
      </w:pPr>
      <w:rPr>
        <w:u w:val="none"/>
      </w:rPr>
    </w:lvl>
  </w:abstractNum>
  <w:abstractNum w:abstractNumId="7" w15:restartNumberingAfterBreak="0">
    <w:nsid w:val="722F4901"/>
    <w:multiLevelType w:val="hybridMultilevel"/>
    <w:tmpl w:val="576EA9C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7C9ADB28"/>
    <w:multiLevelType w:val="hybridMultilevel"/>
    <w:tmpl w:val="0879EFFA"/>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abstractNumId w:val="6"/>
  </w:num>
  <w:num w:numId="2">
    <w:abstractNumId w:val="0"/>
  </w:num>
  <w:num w:numId="3">
    <w:abstractNumId w:val="2"/>
  </w:num>
  <w:num w:numId="4">
    <w:abstractNumId w:val="8"/>
  </w:num>
  <w:num w:numId="5">
    <w:abstractNumId w:val="5"/>
  </w:num>
  <w:num w:numId="6">
    <w:abstractNumId w:val="4"/>
  </w:num>
  <w:num w:numId="7">
    <w:abstractNumId w:val="1"/>
  </w:num>
  <w:num w:numId="8">
    <w:abstractNumId w:val="3"/>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31CA"/>
    <w:rsid w:val="00013DC3"/>
    <w:rsid w:val="00014969"/>
    <w:rsid w:val="00016ADA"/>
    <w:rsid w:val="00033A9A"/>
    <w:rsid w:val="000425EC"/>
    <w:rsid w:val="000554CF"/>
    <w:rsid w:val="00065080"/>
    <w:rsid w:val="00070939"/>
    <w:rsid w:val="000730CC"/>
    <w:rsid w:val="000908E6"/>
    <w:rsid w:val="00090DE9"/>
    <w:rsid w:val="00090FAF"/>
    <w:rsid w:val="000917CE"/>
    <w:rsid w:val="00093207"/>
    <w:rsid w:val="000A1844"/>
    <w:rsid w:val="000A2D39"/>
    <w:rsid w:val="000A3001"/>
    <w:rsid w:val="000C0B48"/>
    <w:rsid w:val="000C7D86"/>
    <w:rsid w:val="000E2C66"/>
    <w:rsid w:val="000F1E5C"/>
    <w:rsid w:val="000F2560"/>
    <w:rsid w:val="000F64A5"/>
    <w:rsid w:val="0010756D"/>
    <w:rsid w:val="0012307E"/>
    <w:rsid w:val="0012535B"/>
    <w:rsid w:val="00137E75"/>
    <w:rsid w:val="00145E49"/>
    <w:rsid w:val="00150AFC"/>
    <w:rsid w:val="001749DE"/>
    <w:rsid w:val="001823F9"/>
    <w:rsid w:val="00186DF6"/>
    <w:rsid w:val="001876B7"/>
    <w:rsid w:val="00194D65"/>
    <w:rsid w:val="001A0C44"/>
    <w:rsid w:val="001A55BE"/>
    <w:rsid w:val="001A6C4B"/>
    <w:rsid w:val="001E3FB0"/>
    <w:rsid w:val="001F7D25"/>
    <w:rsid w:val="00204CB3"/>
    <w:rsid w:val="00206380"/>
    <w:rsid w:val="00211FA1"/>
    <w:rsid w:val="00217FA1"/>
    <w:rsid w:val="002236BF"/>
    <w:rsid w:val="002243E7"/>
    <w:rsid w:val="0023008F"/>
    <w:rsid w:val="002322AA"/>
    <w:rsid w:val="0023413A"/>
    <w:rsid w:val="00240523"/>
    <w:rsid w:val="002464BD"/>
    <w:rsid w:val="00265A9A"/>
    <w:rsid w:val="002A146D"/>
    <w:rsid w:val="002A57A8"/>
    <w:rsid w:val="002D5936"/>
    <w:rsid w:val="002D68A6"/>
    <w:rsid w:val="002F7012"/>
    <w:rsid w:val="0032324A"/>
    <w:rsid w:val="00335D00"/>
    <w:rsid w:val="00337876"/>
    <w:rsid w:val="0034466E"/>
    <w:rsid w:val="00345FE5"/>
    <w:rsid w:val="0035641B"/>
    <w:rsid w:val="003571CA"/>
    <w:rsid w:val="00361F65"/>
    <w:rsid w:val="00362310"/>
    <w:rsid w:val="0036683B"/>
    <w:rsid w:val="00371A0E"/>
    <w:rsid w:val="00383AB7"/>
    <w:rsid w:val="003E2537"/>
    <w:rsid w:val="00404652"/>
    <w:rsid w:val="00404792"/>
    <w:rsid w:val="00414228"/>
    <w:rsid w:val="00415331"/>
    <w:rsid w:val="00415C37"/>
    <w:rsid w:val="00421AC6"/>
    <w:rsid w:val="004236DD"/>
    <w:rsid w:val="004309B1"/>
    <w:rsid w:val="00430D95"/>
    <w:rsid w:val="00431F08"/>
    <w:rsid w:val="004339F6"/>
    <w:rsid w:val="00435655"/>
    <w:rsid w:val="00446833"/>
    <w:rsid w:val="00451B41"/>
    <w:rsid w:val="004675DA"/>
    <w:rsid w:val="00467D16"/>
    <w:rsid w:val="00475D4C"/>
    <w:rsid w:val="0047771A"/>
    <w:rsid w:val="00495B3C"/>
    <w:rsid w:val="004A1F72"/>
    <w:rsid w:val="004A202B"/>
    <w:rsid w:val="004A20B6"/>
    <w:rsid w:val="004B07E4"/>
    <w:rsid w:val="004B5CD5"/>
    <w:rsid w:val="004D1104"/>
    <w:rsid w:val="004D46B3"/>
    <w:rsid w:val="00500ECC"/>
    <w:rsid w:val="005030A4"/>
    <w:rsid w:val="00513D80"/>
    <w:rsid w:val="005345FA"/>
    <w:rsid w:val="005520EA"/>
    <w:rsid w:val="00554E72"/>
    <w:rsid w:val="00561D13"/>
    <w:rsid w:val="00566A87"/>
    <w:rsid w:val="00583B4F"/>
    <w:rsid w:val="00591E75"/>
    <w:rsid w:val="0059617B"/>
    <w:rsid w:val="005D6C72"/>
    <w:rsid w:val="005E4683"/>
    <w:rsid w:val="005F3298"/>
    <w:rsid w:val="005F55D5"/>
    <w:rsid w:val="00606BA1"/>
    <w:rsid w:val="006133C3"/>
    <w:rsid w:val="006214CA"/>
    <w:rsid w:val="00625156"/>
    <w:rsid w:val="00627643"/>
    <w:rsid w:val="00631334"/>
    <w:rsid w:val="00632EEB"/>
    <w:rsid w:val="00633437"/>
    <w:rsid w:val="0064448D"/>
    <w:rsid w:val="006560F0"/>
    <w:rsid w:val="00662946"/>
    <w:rsid w:val="006723C7"/>
    <w:rsid w:val="006823CB"/>
    <w:rsid w:val="006828C2"/>
    <w:rsid w:val="00684D16"/>
    <w:rsid w:val="00696A50"/>
    <w:rsid w:val="006A41D8"/>
    <w:rsid w:val="006A6077"/>
    <w:rsid w:val="006B06B3"/>
    <w:rsid w:val="006B6CFF"/>
    <w:rsid w:val="006C1515"/>
    <w:rsid w:val="006C1B3D"/>
    <w:rsid w:val="006C5108"/>
    <w:rsid w:val="006C5840"/>
    <w:rsid w:val="007051F3"/>
    <w:rsid w:val="00714B3A"/>
    <w:rsid w:val="007215EA"/>
    <w:rsid w:val="00734940"/>
    <w:rsid w:val="00752ED0"/>
    <w:rsid w:val="007543BD"/>
    <w:rsid w:val="00767CBD"/>
    <w:rsid w:val="00770D34"/>
    <w:rsid w:val="007723A5"/>
    <w:rsid w:val="00773F04"/>
    <w:rsid w:val="00775A41"/>
    <w:rsid w:val="00787467"/>
    <w:rsid w:val="00787749"/>
    <w:rsid w:val="00796058"/>
    <w:rsid w:val="00797385"/>
    <w:rsid w:val="00797414"/>
    <w:rsid w:val="007A3591"/>
    <w:rsid w:val="007A4F2E"/>
    <w:rsid w:val="007B691D"/>
    <w:rsid w:val="007C27E3"/>
    <w:rsid w:val="007C5FC7"/>
    <w:rsid w:val="007F711B"/>
    <w:rsid w:val="008067D5"/>
    <w:rsid w:val="008077EC"/>
    <w:rsid w:val="00810F59"/>
    <w:rsid w:val="00814916"/>
    <w:rsid w:val="00815F36"/>
    <w:rsid w:val="00844214"/>
    <w:rsid w:val="00857B11"/>
    <w:rsid w:val="00861E2B"/>
    <w:rsid w:val="00864197"/>
    <w:rsid w:val="0086587E"/>
    <w:rsid w:val="00867AD0"/>
    <w:rsid w:val="008937EA"/>
    <w:rsid w:val="00893D00"/>
    <w:rsid w:val="00895B73"/>
    <w:rsid w:val="008B0E55"/>
    <w:rsid w:val="008B6DE7"/>
    <w:rsid w:val="008B75DB"/>
    <w:rsid w:val="008C1EC7"/>
    <w:rsid w:val="008C51C9"/>
    <w:rsid w:val="008C6CBA"/>
    <w:rsid w:val="008D18DC"/>
    <w:rsid w:val="008D361B"/>
    <w:rsid w:val="008D5186"/>
    <w:rsid w:val="008F0A21"/>
    <w:rsid w:val="00913FE6"/>
    <w:rsid w:val="009344FF"/>
    <w:rsid w:val="00936212"/>
    <w:rsid w:val="00941EF1"/>
    <w:rsid w:val="0095364A"/>
    <w:rsid w:val="0095713E"/>
    <w:rsid w:val="0096044B"/>
    <w:rsid w:val="009631CA"/>
    <w:rsid w:val="00967CEF"/>
    <w:rsid w:val="0097196E"/>
    <w:rsid w:val="00981F1C"/>
    <w:rsid w:val="009837C7"/>
    <w:rsid w:val="00985329"/>
    <w:rsid w:val="00992409"/>
    <w:rsid w:val="0099436D"/>
    <w:rsid w:val="009A3745"/>
    <w:rsid w:val="009B6C21"/>
    <w:rsid w:val="009C00C6"/>
    <w:rsid w:val="009C6477"/>
    <w:rsid w:val="009D460E"/>
    <w:rsid w:val="009E0FEB"/>
    <w:rsid w:val="009E5998"/>
    <w:rsid w:val="009E7F3A"/>
    <w:rsid w:val="009F5925"/>
    <w:rsid w:val="00A01DE5"/>
    <w:rsid w:val="00A2737D"/>
    <w:rsid w:val="00A430F1"/>
    <w:rsid w:val="00A44D5B"/>
    <w:rsid w:val="00A460B1"/>
    <w:rsid w:val="00A47081"/>
    <w:rsid w:val="00A52FFD"/>
    <w:rsid w:val="00A55FE3"/>
    <w:rsid w:val="00A57662"/>
    <w:rsid w:val="00A63E8C"/>
    <w:rsid w:val="00A659DB"/>
    <w:rsid w:val="00A8140C"/>
    <w:rsid w:val="00A84552"/>
    <w:rsid w:val="00A84EA5"/>
    <w:rsid w:val="00A93BE8"/>
    <w:rsid w:val="00A94D59"/>
    <w:rsid w:val="00AB2585"/>
    <w:rsid w:val="00AC16C2"/>
    <w:rsid w:val="00AC2263"/>
    <w:rsid w:val="00AC2F01"/>
    <w:rsid w:val="00AC4999"/>
    <w:rsid w:val="00AC4ED0"/>
    <w:rsid w:val="00AC6B63"/>
    <w:rsid w:val="00AF3853"/>
    <w:rsid w:val="00B16C25"/>
    <w:rsid w:val="00B22EE6"/>
    <w:rsid w:val="00B23227"/>
    <w:rsid w:val="00B32E44"/>
    <w:rsid w:val="00B43967"/>
    <w:rsid w:val="00B452DC"/>
    <w:rsid w:val="00B56740"/>
    <w:rsid w:val="00B77246"/>
    <w:rsid w:val="00B77283"/>
    <w:rsid w:val="00B77CF2"/>
    <w:rsid w:val="00B92773"/>
    <w:rsid w:val="00BB3E32"/>
    <w:rsid w:val="00BB6F68"/>
    <w:rsid w:val="00BC1947"/>
    <w:rsid w:val="00BC58EE"/>
    <w:rsid w:val="00BD0ABF"/>
    <w:rsid w:val="00BF2DF1"/>
    <w:rsid w:val="00C04626"/>
    <w:rsid w:val="00C476C2"/>
    <w:rsid w:val="00C51287"/>
    <w:rsid w:val="00C6477A"/>
    <w:rsid w:val="00C70FEE"/>
    <w:rsid w:val="00C72C2E"/>
    <w:rsid w:val="00C73940"/>
    <w:rsid w:val="00C73F16"/>
    <w:rsid w:val="00C76A5B"/>
    <w:rsid w:val="00CA27B1"/>
    <w:rsid w:val="00CA42E1"/>
    <w:rsid w:val="00CF390D"/>
    <w:rsid w:val="00CF6116"/>
    <w:rsid w:val="00CF7863"/>
    <w:rsid w:val="00D20A93"/>
    <w:rsid w:val="00D2258E"/>
    <w:rsid w:val="00D3094E"/>
    <w:rsid w:val="00D32830"/>
    <w:rsid w:val="00D346C1"/>
    <w:rsid w:val="00D52B90"/>
    <w:rsid w:val="00D61155"/>
    <w:rsid w:val="00D6357B"/>
    <w:rsid w:val="00D662D5"/>
    <w:rsid w:val="00D73003"/>
    <w:rsid w:val="00D7318C"/>
    <w:rsid w:val="00D73ECA"/>
    <w:rsid w:val="00D763B9"/>
    <w:rsid w:val="00D768AD"/>
    <w:rsid w:val="00D80687"/>
    <w:rsid w:val="00D84449"/>
    <w:rsid w:val="00D86DF9"/>
    <w:rsid w:val="00D96214"/>
    <w:rsid w:val="00DC1F30"/>
    <w:rsid w:val="00DC6A17"/>
    <w:rsid w:val="00DC6E1F"/>
    <w:rsid w:val="00DD2BB6"/>
    <w:rsid w:val="00DE5965"/>
    <w:rsid w:val="00DF0DA7"/>
    <w:rsid w:val="00DF380C"/>
    <w:rsid w:val="00E02BCF"/>
    <w:rsid w:val="00E301CF"/>
    <w:rsid w:val="00E323FC"/>
    <w:rsid w:val="00E33954"/>
    <w:rsid w:val="00E637DD"/>
    <w:rsid w:val="00E807EE"/>
    <w:rsid w:val="00E86F8C"/>
    <w:rsid w:val="00E87A54"/>
    <w:rsid w:val="00EA2B31"/>
    <w:rsid w:val="00EB4F64"/>
    <w:rsid w:val="00EB722A"/>
    <w:rsid w:val="00EC5592"/>
    <w:rsid w:val="00ED20F4"/>
    <w:rsid w:val="00EE4FAC"/>
    <w:rsid w:val="00EE5547"/>
    <w:rsid w:val="00EE666D"/>
    <w:rsid w:val="00F000C3"/>
    <w:rsid w:val="00F06B0C"/>
    <w:rsid w:val="00F10CBB"/>
    <w:rsid w:val="00F2291E"/>
    <w:rsid w:val="00F546B8"/>
    <w:rsid w:val="00F70C8B"/>
    <w:rsid w:val="00F87486"/>
    <w:rsid w:val="00FB19A0"/>
    <w:rsid w:val="00FC031D"/>
    <w:rsid w:val="00FD0059"/>
    <w:rsid w:val="00FD7866"/>
    <w:rsid w:val="00FE0AFE"/>
    <w:rsid w:val="00FF0E8A"/>
    <w:rsid w:val="00FF402D"/>
    <w:rsid w:val="0B298D41"/>
    <w:rsid w:val="0E47883E"/>
    <w:rsid w:val="12284CE4"/>
    <w:rsid w:val="167E6C74"/>
    <w:rsid w:val="1D9B1A99"/>
    <w:rsid w:val="1EFBA6BB"/>
    <w:rsid w:val="29202826"/>
    <w:rsid w:val="2A401C30"/>
    <w:rsid w:val="41BA002A"/>
    <w:rsid w:val="4C5E3E0E"/>
    <w:rsid w:val="4C676E85"/>
    <w:rsid w:val="53E8F0BC"/>
    <w:rsid w:val="590BCA0F"/>
    <w:rsid w:val="5B79D43B"/>
    <w:rsid w:val="5EBDCB73"/>
    <w:rsid w:val="691D83C2"/>
    <w:rsid w:val="79CB88AC"/>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C01017"/>
  <w15:chartTrackingRefBased/>
  <w15:docId w15:val="{D93D45B7-B2B8-45B8-815A-20635F6A6E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9631CA"/>
    <w:pPr>
      <w:spacing w:after="0" w:line="240" w:lineRule="auto"/>
    </w:pPr>
  </w:style>
  <w:style w:type="character" w:customStyle="1" w:styleId="apple-converted-space">
    <w:name w:val="apple-converted-space"/>
    <w:basedOn w:val="DefaultParagraphFont"/>
    <w:rsid w:val="009631CA"/>
  </w:style>
  <w:style w:type="table" w:styleId="TableGrid">
    <w:name w:val="Table Grid"/>
    <w:basedOn w:val="TableNormal"/>
    <w:uiPriority w:val="39"/>
    <w:rsid w:val="009631CA"/>
    <w:pPr>
      <w:spacing w:after="0" w:line="240" w:lineRule="auto"/>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C76A5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76A5B"/>
    <w:rPr>
      <w:rFonts w:ascii="Segoe UI" w:hAnsi="Segoe UI" w:cs="Segoe UI"/>
      <w:sz w:val="18"/>
      <w:szCs w:val="18"/>
    </w:rPr>
  </w:style>
  <w:style w:type="paragraph" w:styleId="Header">
    <w:name w:val="header"/>
    <w:basedOn w:val="Normal"/>
    <w:link w:val="HeaderChar"/>
    <w:uiPriority w:val="99"/>
    <w:unhideWhenUsed/>
    <w:rsid w:val="00A57662"/>
    <w:pPr>
      <w:tabs>
        <w:tab w:val="center" w:pos="4680"/>
        <w:tab w:val="right" w:pos="9360"/>
      </w:tabs>
      <w:spacing w:after="0" w:line="240" w:lineRule="auto"/>
    </w:pPr>
  </w:style>
  <w:style w:type="character" w:customStyle="1" w:styleId="HeaderChar">
    <w:name w:val="Header Char"/>
    <w:basedOn w:val="DefaultParagraphFont"/>
    <w:link w:val="Header"/>
    <w:uiPriority w:val="99"/>
    <w:rsid w:val="00A57662"/>
  </w:style>
  <w:style w:type="paragraph" w:styleId="Footer">
    <w:name w:val="footer"/>
    <w:basedOn w:val="Normal"/>
    <w:link w:val="FooterChar"/>
    <w:uiPriority w:val="99"/>
    <w:unhideWhenUsed/>
    <w:rsid w:val="00A57662"/>
    <w:pPr>
      <w:tabs>
        <w:tab w:val="center" w:pos="4680"/>
        <w:tab w:val="right" w:pos="9360"/>
      </w:tabs>
      <w:spacing w:after="0" w:line="240" w:lineRule="auto"/>
    </w:pPr>
  </w:style>
  <w:style w:type="character" w:customStyle="1" w:styleId="FooterChar">
    <w:name w:val="Footer Char"/>
    <w:basedOn w:val="DefaultParagraphFont"/>
    <w:link w:val="Footer"/>
    <w:uiPriority w:val="99"/>
    <w:rsid w:val="00A57662"/>
  </w:style>
  <w:style w:type="paragraph" w:customStyle="1" w:styleId="Default">
    <w:name w:val="Default"/>
    <w:rsid w:val="009837C7"/>
    <w:pPr>
      <w:autoSpaceDE w:val="0"/>
      <w:autoSpaceDN w:val="0"/>
      <w:adjustRightInd w:val="0"/>
      <w:spacing w:after="0" w:line="240" w:lineRule="auto"/>
    </w:pPr>
    <w:rPr>
      <w:rFonts w:ascii="Arial" w:hAnsi="Arial" w:cs="Arial"/>
      <w:color w:val="000000"/>
      <w:sz w:val="24"/>
      <w:szCs w:val="24"/>
    </w:rPr>
  </w:style>
  <w:style w:type="paragraph" w:styleId="ListParagraph">
    <w:name w:val="List Paragraph"/>
    <w:basedOn w:val="Normal"/>
    <w:uiPriority w:val="34"/>
    <w:qFormat/>
    <w:rsid w:val="00714B3A"/>
    <w:pPr>
      <w:ind w:left="720"/>
      <w:contextualSpacing/>
    </w:pPr>
  </w:style>
  <w:style w:type="character" w:styleId="CommentReference">
    <w:name w:val="annotation reference"/>
    <w:basedOn w:val="DefaultParagraphFont"/>
    <w:uiPriority w:val="99"/>
    <w:semiHidden/>
    <w:unhideWhenUsed/>
    <w:rsid w:val="00194D65"/>
    <w:rPr>
      <w:sz w:val="16"/>
      <w:szCs w:val="16"/>
    </w:rPr>
  </w:style>
  <w:style w:type="paragraph" w:styleId="CommentText">
    <w:name w:val="annotation text"/>
    <w:basedOn w:val="Normal"/>
    <w:link w:val="CommentTextChar"/>
    <w:uiPriority w:val="99"/>
    <w:unhideWhenUsed/>
    <w:rsid w:val="00194D65"/>
    <w:pPr>
      <w:spacing w:line="240" w:lineRule="auto"/>
    </w:pPr>
    <w:rPr>
      <w:sz w:val="20"/>
      <w:szCs w:val="20"/>
    </w:rPr>
  </w:style>
  <w:style w:type="character" w:customStyle="1" w:styleId="CommentTextChar">
    <w:name w:val="Comment Text Char"/>
    <w:basedOn w:val="DefaultParagraphFont"/>
    <w:link w:val="CommentText"/>
    <w:uiPriority w:val="99"/>
    <w:rsid w:val="00194D65"/>
    <w:rPr>
      <w:sz w:val="20"/>
      <w:szCs w:val="20"/>
    </w:rPr>
  </w:style>
  <w:style w:type="paragraph" w:styleId="CommentSubject">
    <w:name w:val="annotation subject"/>
    <w:basedOn w:val="CommentText"/>
    <w:next w:val="CommentText"/>
    <w:link w:val="CommentSubjectChar"/>
    <w:uiPriority w:val="99"/>
    <w:semiHidden/>
    <w:unhideWhenUsed/>
    <w:rsid w:val="00194D65"/>
    <w:rPr>
      <w:b/>
      <w:bCs/>
    </w:rPr>
  </w:style>
  <w:style w:type="character" w:customStyle="1" w:styleId="CommentSubjectChar">
    <w:name w:val="Comment Subject Char"/>
    <w:basedOn w:val="CommentTextChar"/>
    <w:link w:val="CommentSubject"/>
    <w:uiPriority w:val="99"/>
    <w:semiHidden/>
    <w:rsid w:val="00194D65"/>
    <w:rPr>
      <w:b/>
      <w:bCs/>
      <w:sz w:val="20"/>
      <w:szCs w:val="20"/>
    </w:rPr>
  </w:style>
  <w:style w:type="character" w:customStyle="1" w:styleId="normaltextrun">
    <w:name w:val="normaltextrun"/>
    <w:basedOn w:val="DefaultParagraphFont"/>
    <w:rsid w:val="001823F9"/>
  </w:style>
  <w:style w:type="character" w:customStyle="1" w:styleId="eop">
    <w:name w:val="eop"/>
    <w:basedOn w:val="DefaultParagraphFont"/>
    <w:rsid w:val="001823F9"/>
  </w:style>
  <w:style w:type="character" w:styleId="UnresolvedMention">
    <w:name w:val="Unresolved Mention"/>
    <w:basedOn w:val="DefaultParagraphFont"/>
    <w:uiPriority w:val="99"/>
    <w:unhideWhenUsed/>
    <w:rsid w:val="00FB19A0"/>
    <w:rPr>
      <w:color w:val="605E5C"/>
      <w:shd w:val="clear" w:color="auto" w:fill="E1DFDD"/>
    </w:rPr>
  </w:style>
  <w:style w:type="character" w:styleId="Mention">
    <w:name w:val="Mention"/>
    <w:basedOn w:val="DefaultParagraphFont"/>
    <w:uiPriority w:val="99"/>
    <w:unhideWhenUsed/>
    <w:rsid w:val="00FB19A0"/>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CF4B222E705DF647AFC9C675A462835C" ma:contentTypeVersion="7" ma:contentTypeDescription="Create a new document." ma:contentTypeScope="" ma:versionID="36ea71f6eeb17e101adfdc03af2cd3a0">
  <xsd:schema xmlns:xsd="http://www.w3.org/2001/XMLSchema" xmlns:xs="http://www.w3.org/2001/XMLSchema" xmlns:p="http://schemas.microsoft.com/office/2006/metadata/properties" xmlns:ns2="913fafb8-8ecc-40e4-9d76-36f25eb14c54" targetNamespace="http://schemas.microsoft.com/office/2006/metadata/properties" ma:root="true" ma:fieldsID="8dd47d8e733c8eba6d413d60bd1cdce2" ns2:_="">
    <xsd:import namespace="913fafb8-8ecc-40e4-9d76-36f25eb14c54"/>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13fafb8-8ecc-40e4-9d76-36f25eb14c5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BE05F50-74A8-4281-AF1B-5E3BED8B43B1}">
  <ds:schemaRefs>
    <ds:schemaRef ds:uri="http://schemas.microsoft.com/sharepoint/v3/contenttype/forms"/>
  </ds:schemaRefs>
</ds:datastoreItem>
</file>

<file path=customXml/itemProps2.xml><?xml version="1.0" encoding="utf-8"?>
<ds:datastoreItem xmlns:ds="http://schemas.openxmlformats.org/officeDocument/2006/customXml" ds:itemID="{62319796-2A96-46F5-8221-255C0E9FF9C3}">
  <ds:schemaRefs>
    <ds:schemaRef ds:uri="http://purl.org/dc/dcmitype/"/>
    <ds:schemaRef ds:uri="http://schemas.microsoft.com/office/2006/metadata/properties"/>
    <ds:schemaRef ds:uri="http://schemas.openxmlformats.org/package/2006/metadata/core-properties"/>
    <ds:schemaRef ds:uri="913fafb8-8ecc-40e4-9d76-36f25eb14c54"/>
    <ds:schemaRef ds:uri="http://purl.org/dc/elements/1.1/"/>
    <ds:schemaRef ds:uri="http://www.w3.org/XML/1998/namespace"/>
    <ds:schemaRef ds:uri="http://purl.org/dc/terms/"/>
    <ds:schemaRef ds:uri="http://schemas.microsoft.com/office/infopath/2007/PartnerControls"/>
    <ds:schemaRef ds:uri="http://schemas.microsoft.com/office/2006/documentManagement/types"/>
  </ds:schemaRefs>
</ds:datastoreItem>
</file>

<file path=customXml/itemProps3.xml><?xml version="1.0" encoding="utf-8"?>
<ds:datastoreItem xmlns:ds="http://schemas.openxmlformats.org/officeDocument/2006/customXml" ds:itemID="{EE5D8486-A7DB-4178-A803-55E024BD3DA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13fafb8-8ecc-40e4-9d76-36f25eb14c5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1925</Words>
  <Characters>10979</Characters>
  <Application>Microsoft Office Word</Application>
  <DocSecurity>4</DocSecurity>
  <Lines>91</Lines>
  <Paragraphs>25</Paragraphs>
  <ScaleCrop>false</ScaleCrop>
  <Company/>
  <LinksUpToDate>false</LinksUpToDate>
  <CharactersWithSpaces>12879</CharactersWithSpaces>
  <SharedDoc>false</SharedDoc>
  <HLinks>
    <vt:vector size="18" baseType="variant">
      <vt:variant>
        <vt:i4>6422559</vt:i4>
      </vt:variant>
      <vt:variant>
        <vt:i4>6</vt:i4>
      </vt:variant>
      <vt:variant>
        <vt:i4>0</vt:i4>
      </vt:variant>
      <vt:variant>
        <vt:i4>5</vt:i4>
      </vt:variant>
      <vt:variant>
        <vt:lpwstr>mailto:Sharon.Boivin@ed.gov</vt:lpwstr>
      </vt:variant>
      <vt:variant>
        <vt:lpwstr/>
      </vt:variant>
      <vt:variant>
        <vt:i4>5439541</vt:i4>
      </vt:variant>
      <vt:variant>
        <vt:i4>3</vt:i4>
      </vt:variant>
      <vt:variant>
        <vt:i4>0</vt:i4>
      </vt:variant>
      <vt:variant>
        <vt:i4>5</vt:i4>
      </vt:variant>
      <vt:variant>
        <vt:lpwstr>mailto:Brent.Madoo@ed.gov</vt:lpwstr>
      </vt:variant>
      <vt:variant>
        <vt:lpwstr/>
      </vt:variant>
      <vt:variant>
        <vt:i4>6422559</vt:i4>
      </vt:variant>
      <vt:variant>
        <vt:i4>0</vt:i4>
      </vt:variant>
      <vt:variant>
        <vt:i4>0</vt:i4>
      </vt:variant>
      <vt:variant>
        <vt:i4>5</vt:i4>
      </vt:variant>
      <vt:variant>
        <vt:lpwstr>mailto:Sharon.Boivin@ed.gov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Bogart, Joanne</dc:creator>
  <cp:keywords/>
  <dc:description/>
  <cp:lastModifiedBy>Kate</cp:lastModifiedBy>
  <cp:revision>2</cp:revision>
  <dcterms:created xsi:type="dcterms:W3CDTF">2020-11-02T14:51:00Z</dcterms:created>
  <dcterms:modified xsi:type="dcterms:W3CDTF">2020-11-02T14:51:00Z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0x010100CF4B222E705DF647AFC9C675A462835C</vt:lpwstr>
  </property>
</Properties>
</file>