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5FD58917">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1840-NEW</w:t>
      </w:r>
    </w:p>
    <w:p w:rsidRPr="00196A81" w:rsidR="00EA1767" w:rsidP="00BF1380" w:rsidRDefault="00EA1767" w14:paraId="56DDEF03" w14:textId="7F613E6C">
      <w:pPr>
        <w:pStyle w:val="Header"/>
        <w:rPr>
          <w:rFonts w:ascii="Times New Roman" w:hAnsi="Times New Roman"/>
          <w:szCs w:val="24"/>
        </w:rPr>
      </w:pPr>
      <w:r w:rsidRPr="00196A81">
        <w:rPr>
          <w:rFonts w:ascii="Times New Roman" w:hAnsi="Times New Roman"/>
          <w:szCs w:val="24"/>
        </w:rPr>
        <w:t xml:space="preserve">Revised: </w:t>
      </w:r>
      <w:r w:rsidR="00815683">
        <w:rPr>
          <w:rFonts w:ascii="Times New Roman" w:hAnsi="Times New Roman"/>
          <w:szCs w:val="24"/>
        </w:rPr>
        <w:t>7/16</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196A81" w:rsidR="0014781D" w:rsidP="00BF1380" w:rsidRDefault="0014781D" w14:paraId="756FF568" w14:textId="77777777">
      <w:pPr>
        <w:rPr>
          <w:rFonts w:ascii="Times New Roman" w:hAnsi="Times New Roman"/>
          <w:szCs w:val="24"/>
        </w:rPr>
      </w:pPr>
    </w:p>
    <w:p w:rsidRPr="00E74165" w:rsidR="0014781D" w:rsidP="00BF1380" w:rsidRDefault="0014781D" w14:paraId="63267D95" w14:textId="2D23B1F7">
      <w:pPr>
        <w:rPr>
          <w:rFonts w:ascii="Times New Roman" w:hAnsi="Times New Roman"/>
          <w:szCs w:val="24"/>
        </w:rPr>
      </w:pPr>
      <w:r w:rsidRPr="00196A81">
        <w:rPr>
          <w:rFonts w:ascii="Times New Roman" w:hAnsi="Times New Roman"/>
          <w:szCs w:val="24"/>
        </w:rPr>
        <w:t>Section 18004(a)(1) of the CARES Act, Pub. L. No. 116-136 (March 27, 2020), authorizes the Secretary of Education to allocate formula grant funds to participating institutions of higher education (IHEs).  Section 18004(c) of the CARES Act requires the IHEs to use no less than fifty percent of the funds received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Pr="00E74165" w:rsidR="0004501A" w:rsidP="00BF1380" w:rsidRDefault="0004501A" w14:paraId="65B5A688" w14:textId="04C29F6E">
      <w:pPr>
        <w:rPr>
          <w:rFonts w:ascii="Times New Roman" w:hAnsi="Times New Roman"/>
          <w:szCs w:val="24"/>
        </w:rPr>
      </w:pPr>
    </w:p>
    <w:p w:rsidRPr="00E74165" w:rsidR="00E74165" w:rsidP="00E74165" w:rsidRDefault="00E74165" w14:paraId="59DA43AF" w14:textId="77777777">
      <w:pPr>
        <w:rPr>
          <w:rFonts w:ascii="Times New Roman" w:hAnsi="Times New Roman"/>
        </w:rPr>
      </w:pPr>
      <w:r w:rsidRPr="00E74165">
        <w:rPr>
          <w:rFonts w:ascii="Times New Roman" w:hAnsi="Times New Roman"/>
        </w:rPr>
        <w:t>This collection includes application materials for those institutions not included in the original formula-based allocation table under 18004(a)(1) because the requisite Integrated Postsecondary Education Data System (IPEDS) enrollment data and Federal Student Aid (FSA) Pell data were not available.</w:t>
      </w:r>
    </w:p>
    <w:p w:rsidRPr="00E74165"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C16769" w14:paraId="78B0B0D4" w14:textId="4B803AC6">
      <w:pPr>
        <w:rPr>
          <w:rFonts w:ascii="Times New Roman" w:hAnsi="Times New Roman"/>
          <w:szCs w:val="24"/>
        </w:rPr>
      </w:pPr>
      <w:r>
        <w:rPr>
          <w:rFonts w:ascii="Times New Roman" w:hAnsi="Times New Roman"/>
          <w:szCs w:val="24"/>
        </w:rPr>
        <w:t>This information will be used to determine formula allocations under 18004(a)(1) for institutions that have not yet received an allocation under that section.</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37C07277">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 xml:space="preserve"> via e-mail and Grants.gov.</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26DF6B0A">
      <w:pPr>
        <w:tabs>
          <w:tab w:val="left" w:pos="-720"/>
        </w:tabs>
        <w:suppressAutoHyphens/>
        <w:rPr>
          <w:rFonts w:ascii="Times New Roman" w:hAnsi="Times New Roman"/>
          <w:szCs w:val="24"/>
        </w:rPr>
      </w:pPr>
      <w:r w:rsidRPr="00196A81">
        <w:rPr>
          <w:rFonts w:ascii="Times New Roman" w:hAnsi="Times New Roman"/>
          <w:szCs w:val="24"/>
        </w:rPr>
        <w:t>If this collection is not allowed to proceed, the Department will not be able to fulfill the mandates of the CARES Act</w:t>
      </w:r>
      <w:r w:rsidR="00794567">
        <w:rPr>
          <w:rFonts w:ascii="Times New Roman" w:hAnsi="Times New Roman"/>
          <w:szCs w:val="24"/>
        </w:rPr>
        <w:t>,</w:t>
      </w:r>
      <w:r w:rsidRPr="00196A81">
        <w:rPr>
          <w:rFonts w:ascii="Times New Roman" w:hAnsi="Times New Roman"/>
          <w:szCs w:val="24"/>
        </w:rPr>
        <w:t xml:space="preserve"> and institutions and their students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lastRenderedPageBreak/>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6856D2" w:rsidR="00E66550" w:rsidP="00BF1380" w:rsidRDefault="006856D2" w14:paraId="56DDEF32" w14:textId="5E0EFDE1">
      <w:pPr>
        <w:tabs>
          <w:tab w:val="left" w:pos="-720"/>
          <w:tab w:val="left" w:pos="0"/>
        </w:tabs>
        <w:suppressAutoHyphens/>
        <w:rPr>
          <w:rFonts w:ascii="Times New Roman" w:hAnsi="Times New Roman"/>
        </w:rPr>
      </w:pPr>
      <w:r w:rsidRPr="006856D2">
        <w:rPr>
          <w:rFonts w:ascii="Times New Roman" w:hAnsi="Times New Roman"/>
        </w:rPr>
        <w:t>The Department is requesting an emergency clearance from OMB by July 17 and will publish an emergency notice with a 60 day comment period for the regular collection, and an eventual 30 day comment period as required by 5 CFR 1320.8(d), to solicit public comments on the regular information collection.</w:t>
      </w:r>
    </w:p>
    <w:p w:rsidRPr="006856D2" w:rsidR="006856D2" w:rsidP="00BF1380" w:rsidRDefault="006856D2" w14:paraId="002E8A5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lastRenderedPageBreak/>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w:t>
      </w:r>
      <w:r w:rsidRPr="00196A81">
        <w:rPr>
          <w:rStyle w:val="a"/>
          <w:rFonts w:ascii="Times New Roman" w:hAnsi="Times New Roman"/>
          <w:b/>
          <w:szCs w:val="24"/>
        </w:rPr>
        <w:lastRenderedPageBreak/>
        <w:t>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193C1F" w:rsidTr="007A7678" w14:paraId="56DDEF68" w14:textId="77777777">
        <w:tc>
          <w:tcPr>
            <w:tcW w:w="1345" w:type="dxa"/>
          </w:tcPr>
          <w:p w:rsidRPr="00196A81" w:rsidR="00193C1F" w:rsidP="00193C1F" w:rsidRDefault="00193C1F"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193C1F" w:rsidP="00193C1F" w:rsidRDefault="00193C1F"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93C1F" w:rsidP="00193C1F" w:rsidRDefault="00193C1F"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93C1F" w:rsidP="00193C1F" w:rsidRDefault="00193C1F" w14:paraId="56DDEF62" w14:textId="76846B48">
            <w:pPr>
              <w:tabs>
                <w:tab w:val="left" w:pos="0"/>
              </w:tabs>
              <w:rPr>
                <w:rFonts w:ascii="Times New Roman" w:hAnsi="Times New Roman"/>
                <w:szCs w:val="24"/>
              </w:rPr>
            </w:pPr>
            <w:r>
              <w:rPr>
                <w:rFonts w:ascii="Times New Roman" w:hAnsi="Times New Roman"/>
                <w:szCs w:val="24"/>
              </w:rPr>
              <w:t>36</w:t>
            </w:r>
          </w:p>
        </w:tc>
        <w:tc>
          <w:tcPr>
            <w:tcW w:w="1249" w:type="dxa"/>
          </w:tcPr>
          <w:p w:rsidRPr="00196A81" w:rsidR="00193C1F" w:rsidP="00193C1F" w:rsidRDefault="00193C1F" w14:paraId="56DDEF63" w14:textId="1942F973">
            <w:pPr>
              <w:tabs>
                <w:tab w:val="left" w:pos="0"/>
              </w:tabs>
              <w:rPr>
                <w:rFonts w:ascii="Times New Roman" w:hAnsi="Times New Roman"/>
                <w:szCs w:val="24"/>
              </w:rPr>
            </w:pPr>
            <w:r>
              <w:rPr>
                <w:rFonts w:ascii="Times New Roman" w:hAnsi="Times New Roman"/>
                <w:szCs w:val="24"/>
              </w:rPr>
              <w:t>36</w:t>
            </w:r>
          </w:p>
        </w:tc>
        <w:tc>
          <w:tcPr>
            <w:tcW w:w="1248" w:type="dxa"/>
          </w:tcPr>
          <w:p w:rsidRPr="00196A81" w:rsidR="00193C1F" w:rsidP="00193C1F" w:rsidRDefault="00193C1F" w14:paraId="56DDEF64" w14:textId="2606A094">
            <w:pPr>
              <w:tabs>
                <w:tab w:val="left" w:pos="0"/>
              </w:tabs>
              <w:rPr>
                <w:rFonts w:ascii="Times New Roman" w:hAnsi="Times New Roman"/>
                <w:szCs w:val="24"/>
              </w:rPr>
            </w:pPr>
            <w:r>
              <w:rPr>
                <w:rFonts w:ascii="Times New Roman" w:hAnsi="Times New Roman"/>
                <w:szCs w:val="24"/>
              </w:rPr>
              <w:t>1.5</w:t>
            </w:r>
          </w:p>
        </w:tc>
        <w:tc>
          <w:tcPr>
            <w:tcW w:w="1249" w:type="dxa"/>
          </w:tcPr>
          <w:p w:rsidRPr="00196A81" w:rsidR="00193C1F" w:rsidP="00193C1F" w:rsidRDefault="003C61E2" w14:paraId="56DDEF65" w14:textId="66551632">
            <w:pPr>
              <w:tabs>
                <w:tab w:val="left" w:pos="0"/>
              </w:tabs>
              <w:rPr>
                <w:rFonts w:ascii="Times New Roman" w:hAnsi="Times New Roman"/>
                <w:szCs w:val="24"/>
              </w:rPr>
            </w:pPr>
            <w:r>
              <w:rPr>
                <w:rFonts w:ascii="Times New Roman" w:hAnsi="Times New Roman"/>
                <w:szCs w:val="24"/>
              </w:rPr>
              <w:t>54</w:t>
            </w:r>
          </w:p>
        </w:tc>
        <w:tc>
          <w:tcPr>
            <w:tcW w:w="1249" w:type="dxa"/>
          </w:tcPr>
          <w:p w:rsidRPr="00196A81" w:rsidR="00193C1F" w:rsidP="00193C1F" w:rsidRDefault="00193C1F"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193C1F" w:rsidP="00193C1F" w:rsidRDefault="004C1696" w14:paraId="56DDEF67" w14:textId="1A3744CB">
            <w:pPr>
              <w:tabs>
                <w:tab w:val="left" w:pos="0"/>
              </w:tabs>
              <w:rPr>
                <w:rFonts w:ascii="Times New Roman" w:hAnsi="Times New Roman"/>
                <w:szCs w:val="24"/>
              </w:rPr>
            </w:pPr>
            <w:r>
              <w:rPr>
                <w:rFonts w:ascii="Times New Roman" w:hAnsi="Times New Roman"/>
                <w:szCs w:val="24"/>
              </w:rPr>
              <w:t>$2,449</w:t>
            </w:r>
          </w:p>
        </w:tc>
      </w:tr>
      <w:tr w:rsidRPr="00196A81" w:rsidR="00193C1F" w:rsidTr="007A7678" w14:paraId="56DDEF72" w14:textId="77777777">
        <w:tc>
          <w:tcPr>
            <w:tcW w:w="1345" w:type="dxa"/>
          </w:tcPr>
          <w:p w:rsidRPr="00196A81" w:rsidR="00193C1F" w:rsidP="00193C1F" w:rsidRDefault="00193C1F"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193C1F" w:rsidP="00193C1F" w:rsidRDefault="00193C1F"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93C1F" w:rsidP="00193C1F" w:rsidRDefault="00193C1F"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93C1F" w:rsidP="00193C1F" w:rsidRDefault="00193C1F" w14:paraId="56DDEF6C" w14:textId="1D3CA801">
            <w:pPr>
              <w:tabs>
                <w:tab w:val="left" w:pos="0"/>
              </w:tabs>
              <w:rPr>
                <w:rFonts w:ascii="Times New Roman" w:hAnsi="Times New Roman"/>
                <w:szCs w:val="24"/>
              </w:rPr>
            </w:pPr>
            <w:r>
              <w:rPr>
                <w:rFonts w:ascii="Times New Roman" w:hAnsi="Times New Roman"/>
                <w:szCs w:val="24"/>
              </w:rPr>
              <w:t>32</w:t>
            </w:r>
          </w:p>
        </w:tc>
        <w:tc>
          <w:tcPr>
            <w:tcW w:w="1249" w:type="dxa"/>
          </w:tcPr>
          <w:p w:rsidRPr="00196A81" w:rsidR="00193C1F" w:rsidP="00193C1F" w:rsidRDefault="00193C1F" w14:paraId="56DDEF6D" w14:textId="39686D2C">
            <w:pPr>
              <w:tabs>
                <w:tab w:val="left" w:pos="0"/>
              </w:tabs>
              <w:rPr>
                <w:rFonts w:ascii="Times New Roman" w:hAnsi="Times New Roman"/>
                <w:szCs w:val="24"/>
              </w:rPr>
            </w:pPr>
            <w:r>
              <w:rPr>
                <w:rFonts w:ascii="Times New Roman" w:hAnsi="Times New Roman"/>
                <w:szCs w:val="24"/>
              </w:rPr>
              <w:t>32</w:t>
            </w:r>
          </w:p>
        </w:tc>
        <w:tc>
          <w:tcPr>
            <w:tcW w:w="1248" w:type="dxa"/>
          </w:tcPr>
          <w:p w:rsidRPr="00196A81" w:rsidR="00193C1F" w:rsidP="00193C1F" w:rsidRDefault="00193C1F" w14:paraId="56DDEF6E" w14:textId="6F1C5845">
            <w:pPr>
              <w:tabs>
                <w:tab w:val="left" w:pos="0"/>
              </w:tabs>
              <w:rPr>
                <w:rFonts w:ascii="Times New Roman" w:hAnsi="Times New Roman"/>
                <w:szCs w:val="24"/>
              </w:rPr>
            </w:pPr>
            <w:r>
              <w:rPr>
                <w:rFonts w:ascii="Times New Roman" w:hAnsi="Times New Roman"/>
                <w:szCs w:val="24"/>
              </w:rPr>
              <w:t>1.5</w:t>
            </w:r>
          </w:p>
        </w:tc>
        <w:tc>
          <w:tcPr>
            <w:tcW w:w="1249" w:type="dxa"/>
          </w:tcPr>
          <w:p w:rsidRPr="00196A81" w:rsidR="00193C1F" w:rsidP="00193C1F" w:rsidRDefault="003C61E2" w14:paraId="56DDEF6F" w14:textId="0F783D65">
            <w:pPr>
              <w:pStyle w:val="EndnoteText"/>
              <w:tabs>
                <w:tab w:val="clear" w:pos="-720"/>
                <w:tab w:val="left" w:pos="0"/>
              </w:tabs>
              <w:suppressAutoHyphens w:val="0"/>
              <w:rPr>
                <w:rFonts w:ascii="Times New Roman" w:hAnsi="Times New Roman"/>
                <w:szCs w:val="24"/>
              </w:rPr>
            </w:pPr>
            <w:r>
              <w:rPr>
                <w:rFonts w:ascii="Times New Roman" w:hAnsi="Times New Roman"/>
                <w:szCs w:val="24"/>
              </w:rPr>
              <w:t>48</w:t>
            </w:r>
          </w:p>
        </w:tc>
        <w:tc>
          <w:tcPr>
            <w:tcW w:w="1249" w:type="dxa"/>
          </w:tcPr>
          <w:p w:rsidRPr="00196A81" w:rsidR="00193C1F" w:rsidP="00193C1F" w:rsidRDefault="00193C1F"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193C1F" w:rsidP="00193C1F" w:rsidRDefault="004C1696" w14:paraId="56DDEF71" w14:textId="559BE52E">
            <w:pPr>
              <w:tabs>
                <w:tab w:val="left" w:pos="0"/>
              </w:tabs>
              <w:rPr>
                <w:rFonts w:ascii="Times New Roman" w:hAnsi="Times New Roman"/>
                <w:szCs w:val="24"/>
              </w:rPr>
            </w:pPr>
            <w:r>
              <w:rPr>
                <w:rFonts w:ascii="Times New Roman" w:hAnsi="Times New Roman"/>
                <w:szCs w:val="24"/>
              </w:rPr>
              <w:t>$2,177</w:t>
            </w:r>
          </w:p>
        </w:tc>
      </w:tr>
      <w:tr w:rsidRPr="00196A81" w:rsidR="004C1696" w:rsidTr="007A7678" w14:paraId="2718491B" w14:textId="77777777">
        <w:tc>
          <w:tcPr>
            <w:tcW w:w="1345" w:type="dxa"/>
          </w:tcPr>
          <w:p w:rsidRPr="009073CC" w:rsidR="004C1696" w:rsidP="004C1696" w:rsidRDefault="004C1696" w14:paraId="360E6A78" w14:textId="68B67066">
            <w:pPr>
              <w:tabs>
                <w:tab w:val="left" w:pos="0"/>
              </w:tabs>
              <w:rPr>
                <w:rFonts w:ascii="Times New Roman" w:hAnsi="Times New Roman"/>
                <w:szCs w:val="24"/>
              </w:rPr>
            </w:pPr>
            <w:r w:rsidRPr="009073CC">
              <w:rPr>
                <w:rFonts w:ascii="Times New Roman" w:hAnsi="Times New Roman"/>
                <w:iCs/>
                <w:szCs w:val="24"/>
              </w:rPr>
              <w:t>For Profit Institutions</w:t>
            </w:r>
          </w:p>
        </w:tc>
        <w:tc>
          <w:tcPr>
            <w:tcW w:w="1248" w:type="dxa"/>
          </w:tcPr>
          <w:p w:rsidRPr="00196A81" w:rsidR="004C1696" w:rsidP="004C1696" w:rsidRDefault="004C1696" w14:paraId="6217576E" w14:textId="1C1266BC">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1696" w:rsidP="004C1696" w:rsidRDefault="004C1696" w14:paraId="34820EFF" w14:textId="4122328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8A1394" w:rsidR="004C1696" w:rsidP="004C1696" w:rsidRDefault="004C1696" w14:paraId="7C862606" w14:textId="6D2E55D5">
            <w:pPr>
              <w:tabs>
                <w:tab w:val="left" w:pos="0"/>
              </w:tabs>
              <w:rPr>
                <w:rFonts w:ascii="Times New Roman" w:hAnsi="Times New Roman"/>
                <w:szCs w:val="24"/>
              </w:rPr>
            </w:pPr>
            <w:r>
              <w:rPr>
                <w:rFonts w:ascii="Times New Roman" w:hAnsi="Times New Roman"/>
                <w:szCs w:val="24"/>
              </w:rPr>
              <w:t>32</w:t>
            </w:r>
          </w:p>
        </w:tc>
        <w:tc>
          <w:tcPr>
            <w:tcW w:w="1249" w:type="dxa"/>
          </w:tcPr>
          <w:p w:rsidRPr="008A1394" w:rsidR="004C1696" w:rsidP="004C1696" w:rsidRDefault="004C1696" w14:paraId="416DA8C5" w14:textId="7630F3E4">
            <w:pPr>
              <w:tabs>
                <w:tab w:val="left" w:pos="0"/>
              </w:tabs>
              <w:rPr>
                <w:rFonts w:ascii="Times New Roman" w:hAnsi="Times New Roman"/>
                <w:szCs w:val="24"/>
              </w:rPr>
            </w:pPr>
            <w:r>
              <w:rPr>
                <w:rFonts w:ascii="Times New Roman" w:hAnsi="Times New Roman"/>
                <w:szCs w:val="24"/>
              </w:rPr>
              <w:t>32</w:t>
            </w:r>
          </w:p>
        </w:tc>
        <w:tc>
          <w:tcPr>
            <w:tcW w:w="1248" w:type="dxa"/>
          </w:tcPr>
          <w:p w:rsidRPr="008A1394" w:rsidR="004C1696" w:rsidP="004C1696" w:rsidRDefault="004C1696" w14:paraId="26F05952" w14:textId="2D735291">
            <w:pPr>
              <w:tabs>
                <w:tab w:val="left" w:pos="0"/>
              </w:tabs>
              <w:rPr>
                <w:rFonts w:ascii="Times New Roman" w:hAnsi="Times New Roman"/>
                <w:szCs w:val="24"/>
              </w:rPr>
            </w:pPr>
            <w:r>
              <w:rPr>
                <w:rFonts w:ascii="Times New Roman" w:hAnsi="Times New Roman"/>
                <w:szCs w:val="24"/>
              </w:rPr>
              <w:t>1.5</w:t>
            </w:r>
          </w:p>
        </w:tc>
        <w:tc>
          <w:tcPr>
            <w:tcW w:w="1249" w:type="dxa"/>
          </w:tcPr>
          <w:p w:rsidRPr="008A1394" w:rsidR="004C1696" w:rsidP="004C1696" w:rsidRDefault="004C1696" w14:paraId="6D9F6AC4" w14:textId="0308EA6F">
            <w:pPr>
              <w:pStyle w:val="EndnoteText"/>
              <w:tabs>
                <w:tab w:val="clear" w:pos="-720"/>
                <w:tab w:val="left" w:pos="0"/>
              </w:tabs>
              <w:suppressAutoHyphens w:val="0"/>
              <w:rPr>
                <w:rFonts w:ascii="Times New Roman" w:hAnsi="Times New Roman"/>
                <w:szCs w:val="24"/>
              </w:rPr>
            </w:pPr>
            <w:r>
              <w:rPr>
                <w:rFonts w:ascii="Times New Roman" w:hAnsi="Times New Roman"/>
                <w:szCs w:val="24"/>
              </w:rPr>
              <w:t>48</w:t>
            </w:r>
          </w:p>
        </w:tc>
        <w:tc>
          <w:tcPr>
            <w:tcW w:w="1249" w:type="dxa"/>
          </w:tcPr>
          <w:p w:rsidRPr="00196A81" w:rsidR="004C1696" w:rsidP="004C1696" w:rsidRDefault="004C1696" w14:paraId="17CFC217" w14:textId="56BBBC8A">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8A1394" w:rsidR="004C1696" w:rsidP="004C1696" w:rsidRDefault="004C1696" w14:paraId="18559A97" w14:textId="2A8D5D22">
            <w:pPr>
              <w:tabs>
                <w:tab w:val="left" w:pos="0"/>
              </w:tabs>
              <w:rPr>
                <w:rFonts w:ascii="Times New Roman" w:hAnsi="Times New Roman"/>
                <w:szCs w:val="24"/>
              </w:rPr>
            </w:pPr>
            <w:r>
              <w:rPr>
                <w:rFonts w:ascii="Times New Roman" w:hAnsi="Times New Roman"/>
                <w:szCs w:val="24"/>
              </w:rPr>
              <w:t>$2,177</w:t>
            </w:r>
          </w:p>
        </w:tc>
      </w:tr>
      <w:tr w:rsidRPr="00196A81" w:rsidR="004C1696" w:rsidTr="007A7678" w14:paraId="56DDEF90" w14:textId="77777777">
        <w:tc>
          <w:tcPr>
            <w:tcW w:w="1345" w:type="dxa"/>
          </w:tcPr>
          <w:p w:rsidRPr="00196A81" w:rsidR="004C1696" w:rsidP="004C1696" w:rsidRDefault="004C1696" w14:paraId="56DDEF87" w14:textId="77777777">
            <w:pPr>
              <w:tabs>
                <w:tab w:val="left" w:pos="0"/>
              </w:tabs>
              <w:jc w:val="center"/>
              <w:rPr>
                <w:rFonts w:ascii="Times New Roman" w:hAnsi="Times New Roman"/>
                <w:szCs w:val="24"/>
              </w:rPr>
            </w:pPr>
            <w:r w:rsidRPr="00196A81">
              <w:rPr>
                <w:rFonts w:ascii="Times New Roman" w:hAnsi="Times New Roman"/>
                <w:szCs w:val="24"/>
              </w:rPr>
              <w:t>Annualized Totals</w:t>
            </w:r>
          </w:p>
        </w:tc>
        <w:tc>
          <w:tcPr>
            <w:tcW w:w="1248" w:type="dxa"/>
          </w:tcPr>
          <w:p w:rsidRPr="00196A81" w:rsidR="004C1696" w:rsidP="004C1696" w:rsidRDefault="004C1696"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1696" w:rsidP="004C1696" w:rsidRDefault="004C1696"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1696" w:rsidP="004C1696" w:rsidRDefault="004C1696" w14:paraId="56DDEF8A" w14:textId="60AD6590">
            <w:pPr>
              <w:tabs>
                <w:tab w:val="left" w:pos="0"/>
              </w:tabs>
              <w:rPr>
                <w:rFonts w:ascii="Times New Roman" w:hAnsi="Times New Roman"/>
                <w:szCs w:val="24"/>
              </w:rPr>
            </w:pPr>
            <w:r>
              <w:rPr>
                <w:rFonts w:ascii="Times New Roman" w:hAnsi="Times New Roman"/>
                <w:szCs w:val="24"/>
              </w:rPr>
              <w:t>100</w:t>
            </w:r>
          </w:p>
        </w:tc>
        <w:tc>
          <w:tcPr>
            <w:tcW w:w="1249" w:type="dxa"/>
          </w:tcPr>
          <w:p w:rsidRPr="00196A81" w:rsidR="004C1696" w:rsidP="004C1696" w:rsidRDefault="004C1696" w14:paraId="56DDEF8B" w14:textId="4F0979E6">
            <w:pPr>
              <w:tabs>
                <w:tab w:val="left" w:pos="0"/>
              </w:tabs>
              <w:rPr>
                <w:rFonts w:ascii="Times New Roman" w:hAnsi="Times New Roman"/>
                <w:szCs w:val="24"/>
              </w:rPr>
            </w:pPr>
            <w:r>
              <w:rPr>
                <w:rFonts w:ascii="Times New Roman" w:hAnsi="Times New Roman"/>
                <w:szCs w:val="24"/>
              </w:rPr>
              <w:t>100</w:t>
            </w:r>
          </w:p>
        </w:tc>
        <w:tc>
          <w:tcPr>
            <w:tcW w:w="1248" w:type="dxa"/>
          </w:tcPr>
          <w:p w:rsidRPr="00196A81" w:rsidR="004C1696" w:rsidP="004C1696" w:rsidRDefault="004C1696"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96A81" w:rsidR="004C1696" w:rsidP="004C1696" w:rsidRDefault="004C1696" w14:paraId="56DDEF8D" w14:textId="191B18FE">
            <w:pPr>
              <w:tabs>
                <w:tab w:val="left" w:pos="0"/>
              </w:tabs>
              <w:rPr>
                <w:rFonts w:ascii="Times New Roman" w:hAnsi="Times New Roman"/>
                <w:szCs w:val="24"/>
              </w:rPr>
            </w:pPr>
            <w:r>
              <w:rPr>
                <w:rFonts w:ascii="Times New Roman" w:hAnsi="Times New Roman"/>
                <w:szCs w:val="24"/>
              </w:rPr>
              <w:t>150</w:t>
            </w:r>
          </w:p>
        </w:tc>
        <w:tc>
          <w:tcPr>
            <w:tcW w:w="1249" w:type="dxa"/>
          </w:tcPr>
          <w:p w:rsidRPr="00196A81" w:rsidR="004C1696" w:rsidP="004C1696" w:rsidRDefault="004C1696"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tcPr>
          <w:p w:rsidRPr="00196A81" w:rsidR="004C1696" w:rsidP="004C1696" w:rsidRDefault="004D4096" w14:paraId="56DDEF8F" w14:textId="24C5F94A">
            <w:pPr>
              <w:tabs>
                <w:tab w:val="left" w:pos="0"/>
              </w:tabs>
              <w:rPr>
                <w:rFonts w:ascii="Times New Roman" w:hAnsi="Times New Roman"/>
                <w:szCs w:val="24"/>
              </w:rPr>
            </w:pPr>
            <w:r>
              <w:rPr>
                <w:rFonts w:ascii="Times New Roman" w:hAnsi="Times New Roman"/>
                <w:szCs w:val="24"/>
              </w:rPr>
              <w:t>$6,803</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9D48E2" w:rsidRDefault="004D4096" w14:paraId="173B3435" w14:textId="6C7FA33C">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it will take 100 respondents 150 total hours to complete and submit the required forms.</w:t>
      </w: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196A81" w:rsidR="00043C32" w:rsidP="009D48E2"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w:t>
      </w:r>
      <w:r w:rsidRPr="00196A81">
        <w:rPr>
          <w:rFonts w:ascii="Times New Roman" w:hAnsi="Times New Roman"/>
          <w:b/>
          <w:szCs w:val="24"/>
        </w:rPr>
        <w:lastRenderedPageBreak/>
        <w:t>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w:t>
      </w:r>
      <w:r w:rsidRPr="00196A81">
        <w:rPr>
          <w:rFonts w:ascii="Times New Roman" w:hAnsi="Times New Roman"/>
          <w:b/>
          <w:szCs w:val="24"/>
        </w:rPr>
        <w:lastRenderedPageBreak/>
        <w:t>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96A81" w:rsidR="00800D30" w:rsidP="009D48E2" w:rsidRDefault="00800D30" w14:paraId="56DDEFA5" w14:textId="77777777">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4C2350" w:rsidR="0052073E" w:rsidP="00BF1380" w:rsidRDefault="004C2350" w14:paraId="56DDEFAE" w14:textId="60C23A66">
            <w:pPr>
              <w:tabs>
                <w:tab w:val="left" w:pos="-720"/>
                <w:tab w:val="left" w:pos="0"/>
              </w:tabs>
              <w:suppressAutoHyphens/>
              <w:rPr>
                <w:rFonts w:ascii="Times New Roman" w:hAnsi="Times New Roman"/>
                <w:bCs/>
                <w:szCs w:val="24"/>
              </w:rPr>
            </w:pPr>
            <w:r w:rsidRPr="004C2350">
              <w:rPr>
                <w:rFonts w:ascii="Times New Roman" w:hAnsi="Times New Roman"/>
                <w:bCs/>
                <w:szCs w:val="24"/>
              </w:rPr>
              <w:t>150</w:t>
            </w: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4C2350" w:rsidR="0052073E" w:rsidP="00BF1380" w:rsidRDefault="004C2350" w14:paraId="56DDEFB3" w14:textId="262D0F8A">
            <w:pPr>
              <w:tabs>
                <w:tab w:val="left" w:pos="-720"/>
                <w:tab w:val="left" w:pos="0"/>
              </w:tabs>
              <w:suppressAutoHyphens/>
              <w:rPr>
                <w:rFonts w:ascii="Times New Roman" w:hAnsi="Times New Roman"/>
                <w:bCs/>
                <w:szCs w:val="24"/>
              </w:rPr>
            </w:pPr>
            <w:r w:rsidRPr="004C2350">
              <w:rPr>
                <w:rFonts w:ascii="Times New Roman" w:hAnsi="Times New Roman"/>
                <w:bCs/>
                <w:szCs w:val="24"/>
              </w:rPr>
              <w:t>100</w:t>
            </w: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9D48E2" w:rsidRDefault="004C2350" w14:paraId="7BCE9FE1" w14:textId="1CA88EC0">
      <w:pPr>
        <w:tabs>
          <w:tab w:val="left" w:pos="-720"/>
          <w:tab w:val="left" w:pos="0"/>
        </w:tabs>
        <w:suppressAutoHyphens/>
        <w:spacing w:after="120"/>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E373E" w14:textId="77777777" w:rsidR="00BA218A" w:rsidRDefault="00BA218A" w:rsidP="00043C32">
      <w:r>
        <w:separator/>
      </w:r>
    </w:p>
  </w:endnote>
  <w:endnote w:type="continuationSeparator" w:id="0">
    <w:p w14:paraId="2419EBA1" w14:textId="77777777" w:rsidR="00BA218A" w:rsidRDefault="00BA218A"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683928">
    <w:pPr>
      <w:spacing w:before="140" w:line="100" w:lineRule="exact"/>
      <w:rPr>
        <w:sz w:val="10"/>
      </w:rPr>
    </w:pPr>
  </w:p>
  <w:p w14:paraId="56DDEFC9" w14:textId="77777777" w:rsidR="00386054" w:rsidRDefault="00683928">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96EE3" w14:textId="77777777" w:rsidR="00BA218A" w:rsidRDefault="00BA218A" w:rsidP="00043C32">
      <w:r>
        <w:separator/>
      </w:r>
    </w:p>
  </w:footnote>
  <w:footnote w:type="continuationSeparator" w:id="0">
    <w:p w14:paraId="417CEDB2" w14:textId="77777777" w:rsidR="00BA218A" w:rsidRDefault="00BA218A"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804"/>
    <w:rsid w:val="00035ED5"/>
    <w:rsid w:val="00043C32"/>
    <w:rsid w:val="000446F5"/>
    <w:rsid w:val="0004501A"/>
    <w:rsid w:val="00047953"/>
    <w:rsid w:val="00063A39"/>
    <w:rsid w:val="00093017"/>
    <w:rsid w:val="000B5BBA"/>
    <w:rsid w:val="000C2793"/>
    <w:rsid w:val="0014781D"/>
    <w:rsid w:val="0015687E"/>
    <w:rsid w:val="001616E7"/>
    <w:rsid w:val="001634C5"/>
    <w:rsid w:val="001824F3"/>
    <w:rsid w:val="00193C1F"/>
    <w:rsid w:val="00196A81"/>
    <w:rsid w:val="001A55BB"/>
    <w:rsid w:val="001A6AE0"/>
    <w:rsid w:val="001B4FCB"/>
    <w:rsid w:val="001B5E30"/>
    <w:rsid w:val="001C73C0"/>
    <w:rsid w:val="001E79BD"/>
    <w:rsid w:val="001F391A"/>
    <w:rsid w:val="002149F3"/>
    <w:rsid w:val="00217E2B"/>
    <w:rsid w:val="00221318"/>
    <w:rsid w:val="002225CC"/>
    <w:rsid w:val="00224A3B"/>
    <w:rsid w:val="002313E2"/>
    <w:rsid w:val="00240A39"/>
    <w:rsid w:val="00242055"/>
    <w:rsid w:val="00246FE9"/>
    <w:rsid w:val="00250100"/>
    <w:rsid w:val="0025791C"/>
    <w:rsid w:val="00262A69"/>
    <w:rsid w:val="00270AF7"/>
    <w:rsid w:val="002A0084"/>
    <w:rsid w:val="002A3221"/>
    <w:rsid w:val="002C3520"/>
    <w:rsid w:val="002E14E0"/>
    <w:rsid w:val="002F0981"/>
    <w:rsid w:val="002F55E5"/>
    <w:rsid w:val="0032078A"/>
    <w:rsid w:val="0032539E"/>
    <w:rsid w:val="00335670"/>
    <w:rsid w:val="00337880"/>
    <w:rsid w:val="0035262A"/>
    <w:rsid w:val="003658B8"/>
    <w:rsid w:val="00382E93"/>
    <w:rsid w:val="003860E4"/>
    <w:rsid w:val="003B1545"/>
    <w:rsid w:val="003C61E2"/>
    <w:rsid w:val="003F3EA6"/>
    <w:rsid w:val="00400F78"/>
    <w:rsid w:val="00412915"/>
    <w:rsid w:val="004237B8"/>
    <w:rsid w:val="00442E07"/>
    <w:rsid w:val="004B1AEE"/>
    <w:rsid w:val="004C1696"/>
    <w:rsid w:val="004C227C"/>
    <w:rsid w:val="004C2350"/>
    <w:rsid w:val="004D4096"/>
    <w:rsid w:val="0052073E"/>
    <w:rsid w:val="00534B4A"/>
    <w:rsid w:val="00575DDA"/>
    <w:rsid w:val="00581C11"/>
    <w:rsid w:val="005C1165"/>
    <w:rsid w:val="00616F79"/>
    <w:rsid w:val="00665232"/>
    <w:rsid w:val="00683928"/>
    <w:rsid w:val="0068567A"/>
    <w:rsid w:val="006856D2"/>
    <w:rsid w:val="006A292A"/>
    <w:rsid w:val="006A38F7"/>
    <w:rsid w:val="006A4EBB"/>
    <w:rsid w:val="006B4172"/>
    <w:rsid w:val="006D32B9"/>
    <w:rsid w:val="007118A4"/>
    <w:rsid w:val="00713B69"/>
    <w:rsid w:val="00755D99"/>
    <w:rsid w:val="00756FD3"/>
    <w:rsid w:val="00765392"/>
    <w:rsid w:val="00790E3E"/>
    <w:rsid w:val="00794567"/>
    <w:rsid w:val="007A7678"/>
    <w:rsid w:val="007C0A4C"/>
    <w:rsid w:val="007C3424"/>
    <w:rsid w:val="007F6104"/>
    <w:rsid w:val="00800D30"/>
    <w:rsid w:val="00807D1A"/>
    <w:rsid w:val="00815683"/>
    <w:rsid w:val="00860E11"/>
    <w:rsid w:val="00874EFE"/>
    <w:rsid w:val="00882126"/>
    <w:rsid w:val="008933F1"/>
    <w:rsid w:val="008A1394"/>
    <w:rsid w:val="008D0601"/>
    <w:rsid w:val="008D1F11"/>
    <w:rsid w:val="008E5919"/>
    <w:rsid w:val="008E74C4"/>
    <w:rsid w:val="00905951"/>
    <w:rsid w:val="009073CC"/>
    <w:rsid w:val="00912D2C"/>
    <w:rsid w:val="00916EE4"/>
    <w:rsid w:val="00920F63"/>
    <w:rsid w:val="009243F3"/>
    <w:rsid w:val="00925B95"/>
    <w:rsid w:val="0093366B"/>
    <w:rsid w:val="00934185"/>
    <w:rsid w:val="00946126"/>
    <w:rsid w:val="00952DF9"/>
    <w:rsid w:val="0095421D"/>
    <w:rsid w:val="00960C86"/>
    <w:rsid w:val="009767AF"/>
    <w:rsid w:val="00981F58"/>
    <w:rsid w:val="00986D0A"/>
    <w:rsid w:val="009B26BD"/>
    <w:rsid w:val="009C23D7"/>
    <w:rsid w:val="009D48E2"/>
    <w:rsid w:val="009E3E86"/>
    <w:rsid w:val="00A118A2"/>
    <w:rsid w:val="00A23F26"/>
    <w:rsid w:val="00A4001C"/>
    <w:rsid w:val="00A40AAB"/>
    <w:rsid w:val="00A46D01"/>
    <w:rsid w:val="00A6459A"/>
    <w:rsid w:val="00A70816"/>
    <w:rsid w:val="00A73590"/>
    <w:rsid w:val="00A7636D"/>
    <w:rsid w:val="00A76C3D"/>
    <w:rsid w:val="00A9138E"/>
    <w:rsid w:val="00AC1C89"/>
    <w:rsid w:val="00AC3695"/>
    <w:rsid w:val="00AC639D"/>
    <w:rsid w:val="00AD381B"/>
    <w:rsid w:val="00AE5430"/>
    <w:rsid w:val="00AF5B5B"/>
    <w:rsid w:val="00AF5D1A"/>
    <w:rsid w:val="00B017F9"/>
    <w:rsid w:val="00B07213"/>
    <w:rsid w:val="00B10A05"/>
    <w:rsid w:val="00B265D8"/>
    <w:rsid w:val="00B326A3"/>
    <w:rsid w:val="00B5339C"/>
    <w:rsid w:val="00B54167"/>
    <w:rsid w:val="00B60D84"/>
    <w:rsid w:val="00B623A1"/>
    <w:rsid w:val="00B62E06"/>
    <w:rsid w:val="00B64B1D"/>
    <w:rsid w:val="00B9671B"/>
    <w:rsid w:val="00BA1D31"/>
    <w:rsid w:val="00BA218A"/>
    <w:rsid w:val="00BA4301"/>
    <w:rsid w:val="00BF1380"/>
    <w:rsid w:val="00C164D3"/>
    <w:rsid w:val="00C16769"/>
    <w:rsid w:val="00C20670"/>
    <w:rsid w:val="00C224FD"/>
    <w:rsid w:val="00C41664"/>
    <w:rsid w:val="00C86713"/>
    <w:rsid w:val="00C875E8"/>
    <w:rsid w:val="00C92035"/>
    <w:rsid w:val="00C95DBB"/>
    <w:rsid w:val="00CB44DA"/>
    <w:rsid w:val="00CC2A72"/>
    <w:rsid w:val="00CC3FB5"/>
    <w:rsid w:val="00CD2067"/>
    <w:rsid w:val="00CD47BC"/>
    <w:rsid w:val="00D1677E"/>
    <w:rsid w:val="00D34984"/>
    <w:rsid w:val="00D36C35"/>
    <w:rsid w:val="00D66A30"/>
    <w:rsid w:val="00D67E1A"/>
    <w:rsid w:val="00D75313"/>
    <w:rsid w:val="00D80B60"/>
    <w:rsid w:val="00D90557"/>
    <w:rsid w:val="00DC3A4D"/>
    <w:rsid w:val="00DD1696"/>
    <w:rsid w:val="00DD2C0A"/>
    <w:rsid w:val="00DF11C8"/>
    <w:rsid w:val="00E16ACD"/>
    <w:rsid w:val="00E17134"/>
    <w:rsid w:val="00E22868"/>
    <w:rsid w:val="00E25EBC"/>
    <w:rsid w:val="00E3375E"/>
    <w:rsid w:val="00E542AE"/>
    <w:rsid w:val="00E66550"/>
    <w:rsid w:val="00E74165"/>
    <w:rsid w:val="00E83DFB"/>
    <w:rsid w:val="00E877BF"/>
    <w:rsid w:val="00EA1767"/>
    <w:rsid w:val="00EB0929"/>
    <w:rsid w:val="00EB0C51"/>
    <w:rsid w:val="00EB0FA5"/>
    <w:rsid w:val="00EC01DD"/>
    <w:rsid w:val="00EC35E3"/>
    <w:rsid w:val="00ED7195"/>
    <w:rsid w:val="00F0414F"/>
    <w:rsid w:val="00F070F3"/>
    <w:rsid w:val="00F27525"/>
    <w:rsid w:val="00F27AAF"/>
    <w:rsid w:val="00F31941"/>
    <w:rsid w:val="00F31BEC"/>
    <w:rsid w:val="00F5782B"/>
    <w:rsid w:val="00F7313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02e41e38-1731-4866-b09a-6257d8bc047f"/>
    <ds:schemaRef ds:uri="f87c7b8b-c0e7-4b77-a067-2c707fd1239f"/>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5EEA3847-B0BC-48A6-912E-6D934D9CE447}">
  <ds:schemaRefs>
    <ds:schemaRef ds:uri="http://schemas.openxmlformats.org/officeDocument/2006/bibliography"/>
  </ds:schemaRefs>
</ds:datastoreItem>
</file>

<file path=customXml/itemProps4.xml><?xml version="1.0" encoding="utf-8"?>
<ds:datastoreItem xmlns:ds="http://schemas.openxmlformats.org/officeDocument/2006/customXml" ds:itemID="{CC710688-87D1-4971-A974-BF517AE8E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2592</Words>
  <Characters>14779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2020-07-16T20:02:00Z</dcterms:created>
  <dcterms:modified xsi:type="dcterms:W3CDTF">2020-07-16T20:02:00Z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