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68E1" w:rsidR="006A29C1" w:rsidP="009D19CF" w:rsidRDefault="006A29C1" w14:paraId="32D41168" w14:textId="099850AF">
      <w:pPr>
        <w:pStyle w:val="Title"/>
        <w:spacing w:before="240"/>
        <w:rPr>
          <w:szCs w:val="24"/>
        </w:rPr>
      </w:pPr>
      <w:r w:rsidRPr="005468E1">
        <w:rPr>
          <w:szCs w:val="24"/>
        </w:rPr>
        <w:t>SUPPORTING STATEMENT</w:t>
      </w:r>
    </w:p>
    <w:p w:rsidRPr="005468E1" w:rsidR="006A29C1" w:rsidP="009D19CF" w:rsidRDefault="006A29C1" w14:paraId="32D41169" w14:textId="77777777">
      <w:pPr>
        <w:tabs>
          <w:tab w:val="center" w:pos="4680"/>
        </w:tabs>
        <w:spacing w:before="240"/>
        <w:jc w:val="center"/>
        <w:rPr>
          <w:b/>
          <w:szCs w:val="24"/>
        </w:rPr>
      </w:pPr>
      <w:r w:rsidRPr="005468E1">
        <w:rPr>
          <w:b/>
          <w:szCs w:val="24"/>
        </w:rPr>
        <w:t>Information Collection for the Teacher Education Assistance for College and Higher Education Grant Program</w:t>
      </w:r>
      <w:r w:rsidRPr="005468E1" w:rsidR="00DE4C86">
        <w:rPr>
          <w:b/>
          <w:szCs w:val="24"/>
        </w:rPr>
        <w:t xml:space="preserve"> (TEACH Grant Program)</w:t>
      </w:r>
    </w:p>
    <w:p w:rsidRPr="005468E1" w:rsidR="006A29C1" w:rsidP="009D19CF" w:rsidRDefault="00DE4C86" w14:paraId="32D4116A" w14:textId="11D580F0">
      <w:pPr>
        <w:tabs>
          <w:tab w:val="center" w:pos="4680"/>
        </w:tabs>
        <w:spacing w:before="240"/>
        <w:jc w:val="center"/>
        <w:rPr>
          <w:szCs w:val="24"/>
        </w:rPr>
      </w:pPr>
      <w:r w:rsidRPr="005468E1">
        <w:rPr>
          <w:b/>
          <w:szCs w:val="24"/>
        </w:rPr>
        <w:t xml:space="preserve">TEACH Grant Program </w:t>
      </w:r>
      <w:r w:rsidR="00C547F6">
        <w:rPr>
          <w:b/>
          <w:szCs w:val="24"/>
        </w:rPr>
        <w:t xml:space="preserve">Obligation </w:t>
      </w:r>
      <w:r w:rsidR="00F85CE5">
        <w:rPr>
          <w:b/>
          <w:szCs w:val="24"/>
        </w:rPr>
        <w:t>to Repay Grant</w:t>
      </w:r>
    </w:p>
    <w:p w:rsidRPr="005468E1" w:rsidR="006A29C1" w:rsidP="009D19CF" w:rsidRDefault="00283350" w14:paraId="32D4116B" w14:textId="77777777">
      <w:pPr>
        <w:spacing w:before="240"/>
        <w:rPr>
          <w:szCs w:val="24"/>
        </w:rPr>
      </w:pPr>
      <w:r w:rsidRPr="005468E1">
        <w:rPr>
          <w:b/>
          <w:szCs w:val="24"/>
        </w:rPr>
        <w:t xml:space="preserve">A. </w:t>
      </w:r>
      <w:r w:rsidRPr="005468E1" w:rsidR="006A29C1">
        <w:rPr>
          <w:b/>
          <w:szCs w:val="24"/>
        </w:rPr>
        <w:t>Justification</w:t>
      </w:r>
    </w:p>
    <w:p w:rsidRPr="005468E1" w:rsidR="004D1978" w:rsidP="009D19CF" w:rsidRDefault="00283350" w14:paraId="32D4116C" w14:textId="363950B1">
      <w:pPr>
        <w:spacing w:before="240"/>
        <w:rPr>
          <w:szCs w:val="24"/>
        </w:rPr>
      </w:pPr>
      <w:r w:rsidRPr="005468E1">
        <w:rPr>
          <w:b/>
          <w:szCs w:val="24"/>
        </w:rPr>
        <w:t xml:space="preserve">1. </w:t>
      </w:r>
      <w:r w:rsidRPr="00F55567" w:rsidR="00F55567">
        <w:rPr>
          <w:b/>
          <w:bCs/>
          <w:szCs w:val="24"/>
        </w:rPr>
        <w:t>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F55567" w:rsidR="00F55567">
        <w:rPr>
          <w:rStyle w:val="FootnoteReference"/>
          <w:b/>
          <w:bCs/>
          <w:szCs w:val="24"/>
        </w:rPr>
        <w:footnoteReference w:id="1"/>
      </w:r>
      <w:r w:rsidRPr="00F55567" w:rsidR="00F55567">
        <w:rPr>
          <w:b/>
          <w:bCs/>
          <w:szCs w:val="24"/>
        </w:rPr>
        <w:t xml:space="preserve">. Specify the review type of the collection (new, revision, extension, reinstatement with change, reinstatement without change). If revised, briefly specify the changes.  If a rulemaking is involved, make note of the </w:t>
      </w:r>
      <w:proofErr w:type="gramStart"/>
      <w:r w:rsidRPr="00F55567" w:rsidR="00F55567">
        <w:rPr>
          <w:b/>
          <w:bCs/>
          <w:szCs w:val="24"/>
        </w:rPr>
        <w:t>sections</w:t>
      </w:r>
      <w:proofErr w:type="gramEnd"/>
      <w:r w:rsidRPr="00F55567" w:rsidR="00F55567">
        <w:rPr>
          <w:b/>
          <w:bCs/>
          <w:szCs w:val="24"/>
        </w:rPr>
        <w:t xml:space="preserve"> or changed sections, if applicable.</w:t>
      </w:r>
    </w:p>
    <w:p w:rsidR="00BD3703" w:rsidP="00BD3703" w:rsidRDefault="00DE4C86" w14:paraId="2AE1F3F5" w14:textId="45900A4E">
      <w:pPr>
        <w:pStyle w:val="BodyTextIndent"/>
        <w:spacing w:before="240" w:after="0"/>
        <w:ind w:firstLine="0"/>
        <w:rPr>
          <w:szCs w:val="24"/>
        </w:rPr>
      </w:pPr>
      <w:bookmarkStart w:name="_Hlk23155377" w:id="0"/>
      <w:r w:rsidRPr="005468E1">
        <w:rPr>
          <w:szCs w:val="24"/>
        </w:rPr>
        <w:t xml:space="preserve">The College Cost Reduction and Access Act (Public Law 110-84) (the CCRAA) established the Teacher Education Assistance for College and Higher Education (TEACH) Grant Program under Part A of the Higher Education Act </w:t>
      </w:r>
      <w:r w:rsidRPr="005468E1" w:rsidR="00283350">
        <w:rPr>
          <w:szCs w:val="24"/>
        </w:rPr>
        <w:t xml:space="preserve">of 1965, as amended (the HEA). </w:t>
      </w:r>
      <w:r w:rsidR="009A1079">
        <w:rPr>
          <w:szCs w:val="24"/>
        </w:rPr>
        <w:t xml:space="preserve"> </w:t>
      </w:r>
      <w:r w:rsidRPr="005468E1" w:rsidR="00FF4B29">
        <w:rPr>
          <w:szCs w:val="24"/>
        </w:rPr>
        <w:t>The regulations governing the TEACH Grant Program are in 34 CFR 686.</w:t>
      </w:r>
      <w:r w:rsidR="00FF4B29">
        <w:rPr>
          <w:szCs w:val="24"/>
        </w:rPr>
        <w:t xml:space="preserve">  </w:t>
      </w:r>
    </w:p>
    <w:p w:rsidR="00613920" w:rsidP="00613920" w:rsidRDefault="00BD3703" w14:paraId="0ADC4913" w14:textId="017DDCD6">
      <w:pPr>
        <w:pStyle w:val="BodyTextIndent"/>
        <w:spacing w:before="240" w:after="0"/>
        <w:ind w:firstLine="0"/>
        <w:rPr>
          <w:szCs w:val="24"/>
        </w:rPr>
      </w:pPr>
      <w:r w:rsidRPr="005468E1">
        <w:rPr>
          <w:szCs w:val="24"/>
        </w:rPr>
        <w:t xml:space="preserve">The TEACH Grant Program provides grants of up to $4,000 per year to undergraduate and graduate students who are completing, or who intend to complete, coursework necessary to begin a career in teaching. </w:t>
      </w:r>
      <w:r>
        <w:rPr>
          <w:szCs w:val="24"/>
        </w:rPr>
        <w:t xml:space="preserve"> </w:t>
      </w:r>
      <w:r w:rsidRPr="00613920" w:rsidR="00613920">
        <w:rPr>
          <w:szCs w:val="24"/>
        </w:rPr>
        <w:t xml:space="preserve">In exchange for receiving a TEACH Grant, a grant recipient must agree to complete a teaching service obligation and must regularly provide documentation of his or her progress toward satisfying the service obligation.  If a grant recipient fails to complete the service obligation or does not meet requirements for documenting the service obligation, the TEACH Grants that the individual received are converted to a Direct Unsubsidized Loan that must be repaid, with interest charged from the date of each TEACH Grant disbursement.  </w:t>
      </w:r>
    </w:p>
    <w:p w:rsidR="001E33CA" w:rsidP="009A1079" w:rsidRDefault="001E33CA" w14:paraId="79CDD1E7" w14:textId="6D7AE7E1">
      <w:pPr>
        <w:pStyle w:val="BodyTextIndent"/>
        <w:spacing w:before="240" w:after="0"/>
        <w:ind w:firstLine="0"/>
        <w:rPr>
          <w:szCs w:val="24"/>
        </w:rPr>
      </w:pPr>
      <w:r w:rsidRPr="009A1079">
        <w:rPr>
          <w:szCs w:val="24"/>
        </w:rPr>
        <w:t xml:space="preserve">The TEACH Grant Program was included for review in </w:t>
      </w:r>
      <w:r w:rsidRPr="009A1079" w:rsidR="00A11924">
        <w:rPr>
          <w:szCs w:val="24"/>
        </w:rPr>
        <w:t xml:space="preserve">the </w:t>
      </w:r>
      <w:r w:rsidRPr="009A1079">
        <w:rPr>
          <w:szCs w:val="24"/>
        </w:rPr>
        <w:t xml:space="preserve">Negotiated Rulemaking which took place </w:t>
      </w:r>
      <w:r w:rsidRPr="009A1079" w:rsidR="00CD59C4">
        <w:rPr>
          <w:szCs w:val="24"/>
        </w:rPr>
        <w:t>in early 2019.  The review occurred, in part, in response to a report by the Government Accountability Office which found concerns with the conversion</w:t>
      </w:r>
      <w:r w:rsidRPr="009A1079" w:rsidR="00171DDD">
        <w:rPr>
          <w:szCs w:val="24"/>
        </w:rPr>
        <w:t xml:space="preserve"> rates </w:t>
      </w:r>
      <w:r w:rsidRPr="009A1079" w:rsidR="00CD59C4">
        <w:rPr>
          <w:szCs w:val="24"/>
        </w:rPr>
        <w:t xml:space="preserve">of the TEACH Grants to Direct Unsubsidized Loans.  Additionally, a report conducted for the Department by the American Institutes for Research identified </w:t>
      </w:r>
      <w:r w:rsidRPr="009A1079" w:rsidR="00171DDD">
        <w:rPr>
          <w:szCs w:val="24"/>
        </w:rPr>
        <w:t>multiple factors for the conversion of the TEACH Grants to loans including a lack of understanding of the service obligation and of the need for annual certification of qualifying teaching</w:t>
      </w:r>
      <w:r w:rsidRPr="009A1079" w:rsidR="009C4501">
        <w:rPr>
          <w:szCs w:val="24"/>
        </w:rPr>
        <w:t xml:space="preserve">.  </w:t>
      </w:r>
      <w:r w:rsidRPr="009A1079" w:rsidR="00A11924">
        <w:rPr>
          <w:szCs w:val="24"/>
        </w:rPr>
        <w:t>Addressing the concerns raised by these studies, the Department and negotiators developed proposed amendments to</w:t>
      </w:r>
      <w:r w:rsidRPr="009A1079" w:rsidR="00171DDD">
        <w:rPr>
          <w:szCs w:val="24"/>
        </w:rPr>
        <w:t xml:space="preserve"> </w:t>
      </w:r>
      <w:r w:rsidR="00BB652B">
        <w:rPr>
          <w:szCs w:val="24"/>
        </w:rPr>
        <w:t xml:space="preserve">simplify </w:t>
      </w:r>
      <w:r w:rsidRPr="009A1079" w:rsidR="00A11924">
        <w:rPr>
          <w:szCs w:val="24"/>
        </w:rPr>
        <w:t>the current TEACH Grant regulation to improve program understanding to reduce grant-to-loan conversions</w:t>
      </w:r>
      <w:r w:rsidR="00BB652B">
        <w:rPr>
          <w:szCs w:val="24"/>
        </w:rPr>
        <w:t>, as well as to update, strengthen, and clarify other areas of the TEACH Grant Program regulations.</w:t>
      </w:r>
      <w:r w:rsidR="00A11924">
        <w:rPr>
          <w:szCs w:val="24"/>
        </w:rPr>
        <w:t xml:space="preserve"> </w:t>
      </w:r>
    </w:p>
    <w:p w:rsidRPr="00015E1E" w:rsidR="00AE2608" w:rsidP="00AE2608" w:rsidRDefault="00AE2608" w14:paraId="14AC76A7" w14:textId="5A35A8B1">
      <w:pPr>
        <w:spacing w:before="240"/>
        <w:rPr>
          <w:szCs w:val="24"/>
        </w:rPr>
      </w:pPr>
      <w:r w:rsidRPr="00015E1E">
        <w:rPr>
          <w:szCs w:val="24"/>
        </w:rPr>
        <w:t xml:space="preserve">The </w:t>
      </w:r>
      <w:r w:rsidR="00C03D22">
        <w:rPr>
          <w:szCs w:val="24"/>
        </w:rPr>
        <w:t>final</w:t>
      </w:r>
      <w:r w:rsidRPr="00015E1E">
        <w:rPr>
          <w:szCs w:val="24"/>
        </w:rPr>
        <w:t xml:space="preserve"> regulations simplify the rules governing when a TEACH Grant will be converted to a Direct Unsubsidized Loan, as well as provide for annual notifications from the Secretary to the recipient regarding the status of a recipient’s TEACH Grant service obligation.  Under the </w:t>
      </w:r>
      <w:r w:rsidR="00C03D22">
        <w:rPr>
          <w:szCs w:val="24"/>
        </w:rPr>
        <w:t>final</w:t>
      </w:r>
      <w:r w:rsidRPr="00015E1E">
        <w:rPr>
          <w:szCs w:val="24"/>
        </w:rPr>
        <w:t xml:space="preserve"> </w:t>
      </w:r>
      <w:r w:rsidRPr="00015E1E">
        <w:rPr>
          <w:szCs w:val="24"/>
        </w:rPr>
        <w:lastRenderedPageBreak/>
        <w:t xml:space="preserve">regulations, a TEACH Grant recipient could request conversion if the recipient decides not to fulfill the TEACH Grant obligations for any reason or if the recipient fails to begin or maintain qualifying teaching service within a timeframe to complete the service obligation in the requisite eight-year period.  Additionally, the </w:t>
      </w:r>
      <w:r w:rsidR="00C03D22">
        <w:rPr>
          <w:szCs w:val="24"/>
        </w:rPr>
        <w:t>final</w:t>
      </w:r>
      <w:r w:rsidRPr="00015E1E">
        <w:rPr>
          <w:szCs w:val="24"/>
        </w:rPr>
        <w:t xml:space="preserve"> regulations describe the notifications the Secretary </w:t>
      </w:r>
      <w:r w:rsidR="00C03D22">
        <w:rPr>
          <w:szCs w:val="24"/>
        </w:rPr>
        <w:t>will</w:t>
      </w:r>
      <w:r w:rsidRPr="00015E1E">
        <w:rPr>
          <w:szCs w:val="24"/>
        </w:rPr>
        <w:t xml:space="preserve"> annually send to all TEACH Grant recipients regarding the service obligation requirements. </w:t>
      </w:r>
    </w:p>
    <w:p w:rsidRPr="005468E1" w:rsidR="00BD3703" w:rsidP="00BD3703" w:rsidRDefault="00BD3703" w14:paraId="5A5C91A9" w14:textId="3C270B3A">
      <w:pPr>
        <w:pStyle w:val="BodyTextIndent"/>
        <w:spacing w:before="240" w:after="0"/>
        <w:ind w:firstLine="0"/>
        <w:rPr>
          <w:szCs w:val="24"/>
        </w:rPr>
      </w:pPr>
      <w:r>
        <w:rPr>
          <w:szCs w:val="24"/>
        </w:rPr>
        <w:t xml:space="preserve">The Department is requesting </w:t>
      </w:r>
      <w:r w:rsidR="00C547F6">
        <w:rPr>
          <w:szCs w:val="24"/>
        </w:rPr>
        <w:t>approval of a new</w:t>
      </w:r>
      <w:r>
        <w:rPr>
          <w:szCs w:val="24"/>
        </w:rPr>
        <w:t xml:space="preserve"> information collection for the </w:t>
      </w:r>
      <w:r w:rsidR="00C547F6">
        <w:rPr>
          <w:szCs w:val="24"/>
        </w:rPr>
        <w:t xml:space="preserve">TEACH Grant </w:t>
      </w:r>
      <w:r w:rsidR="00AE2608">
        <w:rPr>
          <w:szCs w:val="24"/>
        </w:rPr>
        <w:t>Obligation to Repay the Grant</w:t>
      </w:r>
      <w:r w:rsidRPr="005468E1">
        <w:rPr>
          <w:szCs w:val="24"/>
        </w:rPr>
        <w:t xml:space="preserve"> </w:t>
      </w:r>
      <w:r w:rsidR="00C03D22">
        <w:rPr>
          <w:szCs w:val="24"/>
        </w:rPr>
        <w:t>i</w:t>
      </w:r>
      <w:r w:rsidR="00C547F6">
        <w:rPr>
          <w:szCs w:val="24"/>
        </w:rPr>
        <w:t>n</w:t>
      </w:r>
      <w:r w:rsidRPr="005468E1">
        <w:rPr>
          <w:szCs w:val="24"/>
        </w:rPr>
        <w:t xml:space="preserve"> 34 CFR 686.</w:t>
      </w:r>
      <w:r w:rsidR="00C547F6">
        <w:rPr>
          <w:szCs w:val="24"/>
        </w:rPr>
        <w:t>4</w:t>
      </w:r>
      <w:r w:rsidR="00AE2608">
        <w:rPr>
          <w:szCs w:val="24"/>
        </w:rPr>
        <w:t>3</w:t>
      </w:r>
      <w:r w:rsidRPr="005468E1">
        <w:rPr>
          <w:szCs w:val="24"/>
        </w:rPr>
        <w:t xml:space="preserve">. </w:t>
      </w:r>
      <w:r>
        <w:rPr>
          <w:szCs w:val="24"/>
        </w:rPr>
        <w:t xml:space="preserve"> </w:t>
      </w:r>
    </w:p>
    <w:bookmarkEnd w:id="0"/>
    <w:p w:rsidRPr="005468E1" w:rsidR="006A29C1" w:rsidP="009D19CF" w:rsidRDefault="00283350" w14:paraId="32D41170" w14:textId="77777777">
      <w:pPr>
        <w:pStyle w:val="BodyTextIndent"/>
        <w:spacing w:before="240" w:after="0"/>
        <w:ind w:firstLine="0"/>
        <w:rPr>
          <w:szCs w:val="24"/>
        </w:rPr>
      </w:pPr>
      <w:r w:rsidRPr="005468E1">
        <w:rPr>
          <w:b/>
          <w:szCs w:val="24"/>
        </w:rPr>
        <w:t xml:space="preserve">2. </w:t>
      </w:r>
      <w:r w:rsidRPr="005468E1" w:rsidR="004D1978">
        <w:rPr>
          <w:b/>
          <w:szCs w:val="24"/>
        </w:rPr>
        <w:t xml:space="preserve">Indicate how, by whom, and for what purpose </w:t>
      </w:r>
      <w:r w:rsidRPr="005468E1">
        <w:rPr>
          <w:b/>
          <w:szCs w:val="24"/>
        </w:rPr>
        <w:t xml:space="preserve">the information is to be used. </w:t>
      </w:r>
      <w:r w:rsidRPr="005468E1" w:rsidR="004D1978">
        <w:rPr>
          <w:b/>
          <w:szCs w:val="24"/>
        </w:rPr>
        <w:t>Except for a new collection, indicate the actual use the agency has made of the information received from the current collection.</w:t>
      </w:r>
    </w:p>
    <w:p w:rsidR="009A3893" w:rsidP="001A3FE4" w:rsidRDefault="009A3893" w14:paraId="6D56A12D" w14:textId="7379E07E">
      <w:pPr>
        <w:spacing w:before="240"/>
        <w:rPr>
          <w:szCs w:val="24"/>
        </w:rPr>
      </w:pPr>
      <w:r w:rsidRPr="00ED405D">
        <w:rPr>
          <w:szCs w:val="24"/>
        </w:rPr>
        <w:t xml:space="preserve">The </w:t>
      </w:r>
      <w:r w:rsidR="00C03D22">
        <w:rPr>
          <w:szCs w:val="24"/>
        </w:rPr>
        <w:t>final</w:t>
      </w:r>
      <w:r w:rsidRPr="00ED405D" w:rsidR="00ED405D">
        <w:rPr>
          <w:szCs w:val="24"/>
        </w:rPr>
        <w:t xml:space="preserve"> </w:t>
      </w:r>
      <w:r w:rsidRPr="00ED405D">
        <w:rPr>
          <w:szCs w:val="24"/>
        </w:rPr>
        <w:t xml:space="preserve">change to </w:t>
      </w:r>
      <w:r w:rsidRPr="00ED405D" w:rsidR="00ED405D">
        <w:rPr>
          <w:szCs w:val="24"/>
        </w:rPr>
        <w:t xml:space="preserve">34 CFR </w:t>
      </w:r>
      <w:r w:rsidRPr="00ED405D">
        <w:rPr>
          <w:szCs w:val="24"/>
        </w:rPr>
        <w:t>68</w:t>
      </w:r>
      <w:r w:rsidRPr="00ED405D" w:rsidR="00ED405D">
        <w:rPr>
          <w:szCs w:val="24"/>
        </w:rPr>
        <w:t>6.43</w:t>
      </w:r>
      <w:r w:rsidRPr="00ED405D">
        <w:rPr>
          <w:szCs w:val="24"/>
        </w:rPr>
        <w:t xml:space="preserve"> require</w:t>
      </w:r>
      <w:r w:rsidRPr="00ED405D" w:rsidR="00ED405D">
        <w:rPr>
          <w:szCs w:val="24"/>
        </w:rPr>
        <w:t>s the</w:t>
      </w:r>
      <w:r w:rsidR="00ED405D">
        <w:rPr>
          <w:szCs w:val="24"/>
        </w:rPr>
        <w:t xml:space="preserve"> Department to annually notify TEACH Grant recipients of </w:t>
      </w:r>
      <w:r w:rsidRPr="00015E1E" w:rsidR="00ED405D">
        <w:rPr>
          <w:szCs w:val="24"/>
        </w:rPr>
        <w:t xml:space="preserve">status of </w:t>
      </w:r>
      <w:r w:rsidR="00ED405D">
        <w:rPr>
          <w:szCs w:val="24"/>
        </w:rPr>
        <w:t>their</w:t>
      </w:r>
      <w:r w:rsidRPr="00015E1E" w:rsidR="00ED405D">
        <w:rPr>
          <w:szCs w:val="24"/>
        </w:rPr>
        <w:t xml:space="preserve"> TEACH Grant service obligation.  Under the </w:t>
      </w:r>
      <w:r w:rsidR="00C03D22">
        <w:rPr>
          <w:szCs w:val="24"/>
        </w:rPr>
        <w:t>final</w:t>
      </w:r>
      <w:r w:rsidRPr="00015E1E" w:rsidR="00ED405D">
        <w:rPr>
          <w:szCs w:val="24"/>
        </w:rPr>
        <w:t xml:space="preserve"> regulations, a TEACH Grant recipient could request conversion if the recipient decides not to fulfill the TEACH Grant obligations for any reason or if the recipient fails to begin or maintain qualifying teaching service within a timeframe to complete the service obligation in the requisite eight-year period.  </w:t>
      </w:r>
      <w:r w:rsidR="00ED405D">
        <w:rPr>
          <w:szCs w:val="24"/>
        </w:rPr>
        <w:t>The reviewing of this information will require minimal burden on the part of the recipient.</w:t>
      </w:r>
    </w:p>
    <w:p w:rsidR="001A3FE4" w:rsidP="001A3FE4" w:rsidRDefault="00283350" w14:paraId="6F8437EA" w14:textId="6C9A0FA2">
      <w:pPr>
        <w:spacing w:before="240"/>
        <w:rPr>
          <w:b/>
          <w:szCs w:val="24"/>
        </w:rPr>
      </w:pPr>
      <w:r w:rsidRPr="005468E1">
        <w:rPr>
          <w:b/>
          <w:szCs w:val="24"/>
        </w:rPr>
        <w:t xml:space="preserve">3. </w:t>
      </w:r>
      <w:r w:rsidRPr="005468E1" w:rsidR="004D1978">
        <w:rPr>
          <w:b/>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w:t>
      </w:r>
      <w:r w:rsidRPr="005468E1">
        <w:rPr>
          <w:b/>
          <w:szCs w:val="24"/>
        </w:rPr>
        <w:t xml:space="preserve">ting this means of collection. </w:t>
      </w:r>
      <w:r w:rsidRPr="005468E1" w:rsidR="004D1978">
        <w:rPr>
          <w:b/>
          <w:szCs w:val="24"/>
        </w:rPr>
        <w:t>Also describe any consideration given to using technology to reduce burden.</w:t>
      </w:r>
    </w:p>
    <w:p w:rsidRPr="001A3FE4" w:rsidR="001A3FE4" w:rsidP="001A3FE4" w:rsidRDefault="001A3FE4" w14:paraId="494363A4" w14:textId="6B428E9B">
      <w:pPr>
        <w:spacing w:before="240"/>
        <w:rPr>
          <w:b/>
          <w:szCs w:val="24"/>
        </w:rPr>
      </w:pPr>
      <w:r w:rsidRPr="001A3FE4">
        <w:rPr>
          <w:iCs/>
          <w:szCs w:val="24"/>
        </w:rPr>
        <w:t>Th</w:t>
      </w:r>
      <w:r w:rsidR="00ED405D">
        <w:rPr>
          <w:iCs/>
          <w:szCs w:val="24"/>
        </w:rPr>
        <w:t>is</w:t>
      </w:r>
      <w:r w:rsidRPr="001A3FE4">
        <w:rPr>
          <w:iCs/>
          <w:szCs w:val="24"/>
        </w:rPr>
        <w:t xml:space="preserve"> information </w:t>
      </w:r>
      <w:r w:rsidR="00ED405D">
        <w:rPr>
          <w:iCs/>
          <w:szCs w:val="24"/>
        </w:rPr>
        <w:t xml:space="preserve">collection </w:t>
      </w:r>
      <w:r w:rsidRPr="001A3FE4">
        <w:rPr>
          <w:iCs/>
          <w:szCs w:val="24"/>
        </w:rPr>
        <w:t xml:space="preserve">does not involve the use of technological processes.  </w:t>
      </w:r>
    </w:p>
    <w:p w:rsidRPr="005468E1" w:rsidR="006A29C1" w:rsidP="009D19CF" w:rsidRDefault="00283350" w14:paraId="32D41177" w14:textId="77777777">
      <w:pPr>
        <w:spacing w:before="240"/>
        <w:rPr>
          <w:szCs w:val="24"/>
        </w:rPr>
      </w:pPr>
      <w:r w:rsidRPr="005468E1">
        <w:rPr>
          <w:b/>
          <w:szCs w:val="24"/>
        </w:rPr>
        <w:t xml:space="preserve">4. </w:t>
      </w:r>
      <w:r w:rsidRPr="005468E1" w:rsidR="004D1978">
        <w:rPr>
          <w:b/>
          <w:szCs w:val="24"/>
        </w:rPr>
        <w:t>Describe ef</w:t>
      </w:r>
      <w:r w:rsidRPr="005468E1">
        <w:rPr>
          <w:b/>
          <w:szCs w:val="24"/>
        </w:rPr>
        <w:t xml:space="preserve">forts to identify duplication. </w:t>
      </w:r>
      <w:r w:rsidRPr="005468E1" w:rsidR="004D1978">
        <w:rPr>
          <w:b/>
          <w:szCs w:val="24"/>
        </w:rPr>
        <w:t>Show specifically why any similar information already available cannot be used or modified for use for the purposes described in Item 2 above</w:t>
      </w:r>
    </w:p>
    <w:p w:rsidRPr="005468E1" w:rsidR="006A29C1" w:rsidP="009D19CF" w:rsidRDefault="00A03A48" w14:paraId="32D41178" w14:textId="77777777">
      <w:pPr>
        <w:spacing w:before="240"/>
        <w:rPr>
          <w:snapToGrid/>
          <w:szCs w:val="24"/>
        </w:rPr>
      </w:pPr>
      <w:bookmarkStart w:name="_Hlk23155622" w:id="1"/>
      <w:r w:rsidRPr="005468E1">
        <w:rPr>
          <w:snapToGrid/>
          <w:szCs w:val="24"/>
        </w:rPr>
        <w:t>T</w:t>
      </w:r>
      <w:r w:rsidRPr="005468E1" w:rsidR="00DE4C86">
        <w:rPr>
          <w:snapToGrid/>
          <w:szCs w:val="24"/>
        </w:rPr>
        <w:t>here is no information available from other sources that can be used for the purposes described in Item 2.</w:t>
      </w:r>
    </w:p>
    <w:bookmarkEnd w:id="1"/>
    <w:p w:rsidRPr="005468E1" w:rsidR="006A29C1" w:rsidP="009D19CF" w:rsidRDefault="00283350" w14:paraId="32D41179" w14:textId="62100B39">
      <w:pPr>
        <w:spacing w:before="240"/>
        <w:rPr>
          <w:szCs w:val="24"/>
        </w:rPr>
      </w:pPr>
      <w:r w:rsidRPr="005468E1">
        <w:rPr>
          <w:b/>
          <w:szCs w:val="24"/>
        </w:rPr>
        <w:t xml:space="preserve">5. </w:t>
      </w:r>
      <w:r w:rsidRPr="00D8364F" w:rsidR="00F55567">
        <w:rPr>
          <w:b/>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Pr="005468E1" w:rsidR="006A29C1" w:rsidP="009D19CF" w:rsidRDefault="006A29C1" w14:paraId="32D4117A" w14:textId="77777777">
      <w:pPr>
        <w:spacing w:before="240"/>
        <w:rPr>
          <w:szCs w:val="24"/>
        </w:rPr>
      </w:pPr>
      <w:bookmarkStart w:name="_Hlk23155638" w:id="2"/>
      <w:r w:rsidRPr="005468E1">
        <w:rPr>
          <w:szCs w:val="24"/>
        </w:rPr>
        <w:t>No small businesses are affected by this information collection.</w:t>
      </w:r>
    </w:p>
    <w:bookmarkEnd w:id="2"/>
    <w:p w:rsidRPr="005468E1" w:rsidR="006A29C1" w:rsidP="009D19CF" w:rsidRDefault="00283350" w14:paraId="32D4117B" w14:textId="77777777">
      <w:pPr>
        <w:spacing w:before="240"/>
        <w:rPr>
          <w:szCs w:val="24"/>
        </w:rPr>
      </w:pPr>
      <w:r w:rsidRPr="005468E1">
        <w:rPr>
          <w:b/>
          <w:szCs w:val="24"/>
        </w:rPr>
        <w:t xml:space="preserve">6. </w:t>
      </w:r>
      <w:r w:rsidRPr="005468E1" w:rsidR="004D1978">
        <w:rPr>
          <w:b/>
          <w:szCs w:val="24"/>
        </w:rPr>
        <w:t xml:space="preserve">Describe the consequences to Federal program or policy activities if the collection is not conducted or is conducted less frequently, as well as any technical or legal obstacles to </w:t>
      </w:r>
      <w:r w:rsidRPr="005468E1" w:rsidR="004D1978">
        <w:rPr>
          <w:b/>
          <w:szCs w:val="24"/>
        </w:rPr>
        <w:lastRenderedPageBreak/>
        <w:t>reducing burden.</w:t>
      </w:r>
    </w:p>
    <w:p w:rsidRPr="005468E1" w:rsidR="006A29C1" w:rsidP="009D19CF" w:rsidRDefault="00ED405D" w14:paraId="32D4117C" w14:textId="3AE4DC0E">
      <w:pPr>
        <w:spacing w:before="240"/>
        <w:rPr>
          <w:szCs w:val="24"/>
        </w:rPr>
      </w:pPr>
      <w:bookmarkStart w:name="_Hlk23155660" w:id="3"/>
      <w:r>
        <w:rPr>
          <w:szCs w:val="24"/>
        </w:rPr>
        <w:t xml:space="preserve">The </w:t>
      </w:r>
      <w:r w:rsidR="00C03D22">
        <w:rPr>
          <w:szCs w:val="24"/>
        </w:rPr>
        <w:t>final</w:t>
      </w:r>
      <w:r>
        <w:rPr>
          <w:szCs w:val="24"/>
        </w:rPr>
        <w:t xml:space="preserve"> regulations require the Department annually notify TEACH Grant recipients of </w:t>
      </w:r>
      <w:r w:rsidRPr="00015E1E">
        <w:rPr>
          <w:szCs w:val="24"/>
        </w:rPr>
        <w:t xml:space="preserve">status of </w:t>
      </w:r>
      <w:r>
        <w:rPr>
          <w:szCs w:val="24"/>
        </w:rPr>
        <w:t>their</w:t>
      </w:r>
      <w:r w:rsidRPr="00015E1E">
        <w:rPr>
          <w:szCs w:val="24"/>
        </w:rPr>
        <w:t xml:space="preserve"> TEACH Grant service obligation.  </w:t>
      </w:r>
      <w:r>
        <w:rPr>
          <w:szCs w:val="24"/>
        </w:rPr>
        <w:t xml:space="preserve">Without this information collection, the Department </w:t>
      </w:r>
      <w:r w:rsidR="00C03D22">
        <w:rPr>
          <w:szCs w:val="24"/>
        </w:rPr>
        <w:t>will</w:t>
      </w:r>
      <w:r>
        <w:rPr>
          <w:szCs w:val="24"/>
        </w:rPr>
        <w:t xml:space="preserve"> not be able to meet its regulatory requirements</w:t>
      </w:r>
      <w:r w:rsidRPr="005468E1" w:rsidR="00DE4C86">
        <w:rPr>
          <w:szCs w:val="24"/>
        </w:rPr>
        <w:t>.</w:t>
      </w:r>
    </w:p>
    <w:bookmarkEnd w:id="3"/>
    <w:p w:rsidRPr="005468E1" w:rsidR="004D1978" w:rsidP="009D19CF" w:rsidRDefault="00283350" w14:paraId="32D4117D" w14:textId="77777777">
      <w:pPr>
        <w:tabs>
          <w:tab w:val="left" w:pos="-720"/>
        </w:tabs>
        <w:suppressAutoHyphens/>
        <w:spacing w:before="240"/>
        <w:rPr>
          <w:b/>
          <w:szCs w:val="24"/>
        </w:rPr>
      </w:pPr>
      <w:r w:rsidRPr="005468E1">
        <w:rPr>
          <w:b/>
          <w:szCs w:val="24"/>
        </w:rPr>
        <w:t xml:space="preserve">7. </w:t>
      </w:r>
      <w:r w:rsidRPr="005468E1" w:rsidR="004D1978">
        <w:rPr>
          <w:b/>
          <w:szCs w:val="24"/>
        </w:rPr>
        <w:t>Explain any special circumstances that would cause an information collection to be conducted in a manner:</w:t>
      </w:r>
    </w:p>
    <w:p w:rsidRPr="005468E1" w:rsidR="004D1978" w:rsidP="00AB5284" w:rsidRDefault="004D1978" w14:paraId="32D4117E" w14:textId="77777777">
      <w:pPr>
        <w:widowControl/>
        <w:numPr>
          <w:ilvl w:val="0"/>
          <w:numId w:val="5"/>
        </w:numPr>
        <w:tabs>
          <w:tab w:val="left" w:pos="-720"/>
          <w:tab w:val="left" w:pos="1247"/>
        </w:tabs>
        <w:suppressAutoHyphens/>
        <w:spacing w:before="120"/>
        <w:rPr>
          <w:b/>
          <w:szCs w:val="24"/>
        </w:rPr>
      </w:pPr>
      <w:r w:rsidRPr="005468E1">
        <w:rPr>
          <w:b/>
          <w:szCs w:val="24"/>
        </w:rPr>
        <w:t>Requiring respondents to report information to the agency more often than quarterly;</w:t>
      </w:r>
    </w:p>
    <w:p w:rsidRPr="005468E1" w:rsidR="004D1978" w:rsidP="00AB5284" w:rsidRDefault="004D1978" w14:paraId="32D4117F" w14:textId="77777777">
      <w:pPr>
        <w:widowControl/>
        <w:numPr>
          <w:ilvl w:val="0"/>
          <w:numId w:val="5"/>
        </w:numPr>
        <w:tabs>
          <w:tab w:val="left" w:pos="-720"/>
          <w:tab w:val="left" w:pos="1247"/>
        </w:tabs>
        <w:suppressAutoHyphens/>
        <w:spacing w:before="120"/>
        <w:rPr>
          <w:b/>
          <w:szCs w:val="24"/>
        </w:rPr>
      </w:pPr>
      <w:r w:rsidRPr="005468E1">
        <w:rPr>
          <w:b/>
          <w:szCs w:val="24"/>
        </w:rPr>
        <w:t>Requiring respondents to prepare a written response to a collection of information in fewer than 30 days after receipt of it;</w:t>
      </w:r>
    </w:p>
    <w:p w:rsidRPr="005468E1" w:rsidR="004D1978" w:rsidP="00AB5284" w:rsidRDefault="004D1978" w14:paraId="32D41180" w14:textId="77777777">
      <w:pPr>
        <w:widowControl/>
        <w:numPr>
          <w:ilvl w:val="0"/>
          <w:numId w:val="5"/>
        </w:numPr>
        <w:tabs>
          <w:tab w:val="left" w:pos="-720"/>
          <w:tab w:val="left" w:pos="1247"/>
        </w:tabs>
        <w:suppressAutoHyphens/>
        <w:spacing w:before="120"/>
        <w:rPr>
          <w:b/>
          <w:szCs w:val="24"/>
        </w:rPr>
      </w:pPr>
      <w:r w:rsidRPr="005468E1">
        <w:rPr>
          <w:b/>
          <w:szCs w:val="24"/>
        </w:rPr>
        <w:t>Requiring respondents to submit more than an original and two copies of any document;</w:t>
      </w:r>
    </w:p>
    <w:p w:rsidRPr="005468E1" w:rsidR="004D1978" w:rsidP="00AB5284" w:rsidRDefault="004D1978" w14:paraId="32D41181" w14:textId="77777777">
      <w:pPr>
        <w:widowControl/>
        <w:numPr>
          <w:ilvl w:val="0"/>
          <w:numId w:val="5"/>
        </w:numPr>
        <w:tabs>
          <w:tab w:val="left" w:pos="-720"/>
          <w:tab w:val="left" w:pos="1247"/>
        </w:tabs>
        <w:suppressAutoHyphens/>
        <w:spacing w:before="120"/>
        <w:rPr>
          <w:b/>
          <w:szCs w:val="24"/>
        </w:rPr>
      </w:pPr>
      <w:r w:rsidRPr="005468E1">
        <w:rPr>
          <w:b/>
          <w:szCs w:val="24"/>
        </w:rPr>
        <w:t>Requiring respondents to retain records, other than health, medical, government contract, grant-in-aid, or tax records for more than three years;</w:t>
      </w:r>
    </w:p>
    <w:p w:rsidRPr="005468E1" w:rsidR="004D1978" w:rsidP="00AB5284" w:rsidRDefault="004D1978" w14:paraId="32D41182" w14:textId="77777777">
      <w:pPr>
        <w:widowControl/>
        <w:numPr>
          <w:ilvl w:val="0"/>
          <w:numId w:val="5"/>
        </w:numPr>
        <w:tabs>
          <w:tab w:val="left" w:pos="-720"/>
          <w:tab w:val="left" w:pos="1247"/>
        </w:tabs>
        <w:suppressAutoHyphens/>
        <w:spacing w:before="120"/>
        <w:rPr>
          <w:b/>
          <w:szCs w:val="24"/>
        </w:rPr>
      </w:pPr>
      <w:r w:rsidRPr="005468E1">
        <w:rPr>
          <w:b/>
          <w:szCs w:val="24"/>
        </w:rPr>
        <w:t>In connection with a statistical survey, that is not designed to produce valid and reliable results than can be generalized to the universe of study;</w:t>
      </w:r>
    </w:p>
    <w:p w:rsidRPr="005468E1" w:rsidR="004D1978" w:rsidP="00AB5284" w:rsidRDefault="004D1978" w14:paraId="32D41183" w14:textId="77777777">
      <w:pPr>
        <w:widowControl/>
        <w:numPr>
          <w:ilvl w:val="0"/>
          <w:numId w:val="5"/>
        </w:numPr>
        <w:tabs>
          <w:tab w:val="left" w:pos="-720"/>
          <w:tab w:val="left" w:pos="1247"/>
        </w:tabs>
        <w:suppressAutoHyphens/>
        <w:spacing w:before="120"/>
        <w:rPr>
          <w:b/>
          <w:szCs w:val="24"/>
        </w:rPr>
      </w:pPr>
      <w:r w:rsidRPr="005468E1">
        <w:rPr>
          <w:b/>
          <w:szCs w:val="24"/>
        </w:rPr>
        <w:t>Requiring the use of a statistical data classification that has not been reviewed and approved by OMB;</w:t>
      </w:r>
    </w:p>
    <w:p w:rsidRPr="005468E1" w:rsidR="004D1978" w:rsidP="00AB5284" w:rsidRDefault="004D1978" w14:paraId="32D41184" w14:textId="77777777">
      <w:pPr>
        <w:widowControl/>
        <w:numPr>
          <w:ilvl w:val="0"/>
          <w:numId w:val="5"/>
        </w:numPr>
        <w:tabs>
          <w:tab w:val="left" w:pos="-720"/>
          <w:tab w:val="left" w:pos="1247"/>
        </w:tabs>
        <w:suppressAutoHyphens/>
        <w:spacing w:before="120"/>
        <w:rPr>
          <w:b/>
          <w:szCs w:val="24"/>
        </w:rPr>
      </w:pPr>
      <w:r w:rsidRPr="005468E1">
        <w:rPr>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5468E1" w:rsidR="004D1978" w:rsidP="00AB5284" w:rsidRDefault="004D1978" w14:paraId="32D41185" w14:textId="77777777">
      <w:pPr>
        <w:widowControl/>
        <w:numPr>
          <w:ilvl w:val="0"/>
          <w:numId w:val="5"/>
        </w:numPr>
        <w:tabs>
          <w:tab w:val="left" w:pos="-720"/>
          <w:tab w:val="left" w:pos="1247"/>
        </w:tabs>
        <w:suppressAutoHyphens/>
        <w:spacing w:before="120"/>
        <w:rPr>
          <w:szCs w:val="24"/>
        </w:rPr>
      </w:pPr>
      <w:r w:rsidRPr="005468E1">
        <w:rPr>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468E1" w:rsidR="006A29C1" w:rsidP="009D19CF" w:rsidRDefault="006A29C1" w14:paraId="32D41186" w14:textId="77777777">
      <w:pPr>
        <w:spacing w:before="240"/>
        <w:rPr>
          <w:szCs w:val="24"/>
        </w:rPr>
      </w:pPr>
      <w:bookmarkStart w:name="_Hlk23155714" w:id="4"/>
      <w:r w:rsidRPr="005468E1">
        <w:rPr>
          <w:szCs w:val="24"/>
        </w:rPr>
        <w:t xml:space="preserve">The collection of this information will be conducted in a manner that does not involve any of the </w:t>
      </w:r>
      <w:r w:rsidRPr="005468E1" w:rsidR="00AE20F9">
        <w:rPr>
          <w:szCs w:val="24"/>
        </w:rPr>
        <w:t xml:space="preserve">above conditions. </w:t>
      </w:r>
    </w:p>
    <w:bookmarkEnd w:id="4"/>
    <w:p w:rsidRPr="005468E1" w:rsidR="004D1978" w:rsidP="009D19CF" w:rsidRDefault="00283350" w14:paraId="32D41187" w14:textId="2FB75FE9">
      <w:pPr>
        <w:spacing w:before="240"/>
        <w:rPr>
          <w:b/>
          <w:szCs w:val="24"/>
        </w:rPr>
      </w:pPr>
      <w:r w:rsidRPr="005468E1">
        <w:rPr>
          <w:b/>
          <w:szCs w:val="24"/>
        </w:rPr>
        <w:t xml:space="preserve">8. </w:t>
      </w:r>
      <w:r w:rsidRPr="00D8364F" w:rsidR="00F55567">
        <w:rPr>
          <w:b/>
          <w:bCs/>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5468E1" w:rsidR="004D1978">
        <w:rPr>
          <w:b/>
          <w:szCs w:val="24"/>
        </w:rPr>
        <w:t>.</w:t>
      </w:r>
    </w:p>
    <w:p w:rsidRPr="005468E1" w:rsidR="004D1978" w:rsidP="009D19CF" w:rsidRDefault="004D1978" w14:paraId="32D41188" w14:textId="77777777">
      <w:pPr>
        <w:tabs>
          <w:tab w:val="left" w:pos="-720"/>
        </w:tabs>
        <w:suppressAutoHyphens/>
        <w:spacing w:before="240"/>
        <w:rPr>
          <w:rStyle w:val="a"/>
          <w:b/>
          <w:szCs w:val="24"/>
        </w:rPr>
      </w:pPr>
      <w:r w:rsidRPr="005468E1">
        <w:rPr>
          <w:rStyle w:val="a"/>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5468E1" w:rsidR="006A29C1" w:rsidP="009D19CF" w:rsidRDefault="004D1978" w14:paraId="32D41189" w14:textId="77777777">
      <w:pPr>
        <w:spacing w:before="240"/>
        <w:rPr>
          <w:szCs w:val="24"/>
        </w:rPr>
      </w:pPr>
      <w:r w:rsidRPr="005468E1">
        <w:rPr>
          <w:rStyle w:val="a"/>
          <w:b/>
          <w:szCs w:val="24"/>
        </w:rPr>
        <w:t xml:space="preserve">Consultation with representatives of those from whom information is to be obtained or those who must compile records should occur at least once every 3 years – even if the </w:t>
      </w:r>
      <w:r w:rsidRPr="005468E1">
        <w:rPr>
          <w:rStyle w:val="a"/>
          <w:b/>
          <w:szCs w:val="24"/>
        </w:rPr>
        <w:lastRenderedPageBreak/>
        <w:t>collection of information activity is</w:t>
      </w:r>
      <w:r w:rsidRPr="005468E1" w:rsidR="00283350">
        <w:rPr>
          <w:rStyle w:val="a"/>
          <w:b/>
          <w:szCs w:val="24"/>
        </w:rPr>
        <w:t xml:space="preserve"> the same as in prior periods. </w:t>
      </w:r>
      <w:r w:rsidRPr="005468E1">
        <w:rPr>
          <w:rStyle w:val="a"/>
          <w:b/>
          <w:szCs w:val="24"/>
        </w:rPr>
        <w:t>There may be circumstances that may preclude consult</w:t>
      </w:r>
      <w:r w:rsidRPr="005468E1" w:rsidR="00283350">
        <w:rPr>
          <w:rStyle w:val="a"/>
          <w:b/>
          <w:szCs w:val="24"/>
        </w:rPr>
        <w:t xml:space="preserve">ation in a specific situation. </w:t>
      </w:r>
      <w:r w:rsidRPr="005468E1">
        <w:rPr>
          <w:rStyle w:val="a"/>
          <w:b/>
          <w:szCs w:val="24"/>
        </w:rPr>
        <w:t>These circumstances should be explained.</w:t>
      </w:r>
    </w:p>
    <w:p w:rsidRPr="005468E1" w:rsidR="00AB5284" w:rsidP="00AB5284" w:rsidRDefault="00DE4C86" w14:paraId="32D4118A" w14:textId="1F787F8D">
      <w:pPr>
        <w:spacing w:before="240"/>
        <w:rPr>
          <w:szCs w:val="24"/>
        </w:rPr>
      </w:pPr>
      <w:bookmarkStart w:name="_Hlk23155738" w:id="5"/>
      <w:r w:rsidRPr="005468E1">
        <w:rPr>
          <w:szCs w:val="24"/>
        </w:rPr>
        <w:t>The</w:t>
      </w:r>
      <w:r w:rsidR="001A3FE4">
        <w:rPr>
          <w:szCs w:val="24"/>
        </w:rPr>
        <w:t xml:space="preserve">se </w:t>
      </w:r>
      <w:r w:rsidR="00C03D22">
        <w:rPr>
          <w:szCs w:val="24"/>
        </w:rPr>
        <w:t>final</w:t>
      </w:r>
      <w:r w:rsidR="00ED405D">
        <w:rPr>
          <w:szCs w:val="24"/>
        </w:rPr>
        <w:t xml:space="preserve"> regulations </w:t>
      </w:r>
      <w:r w:rsidRPr="005468E1" w:rsidR="00A03A48">
        <w:rPr>
          <w:szCs w:val="24"/>
        </w:rPr>
        <w:t xml:space="preserve">governing the TEACH Grant Program were </w:t>
      </w:r>
      <w:r w:rsidRPr="005468E1">
        <w:rPr>
          <w:szCs w:val="24"/>
        </w:rPr>
        <w:t xml:space="preserve">developed </w:t>
      </w:r>
      <w:r w:rsidRPr="005468E1" w:rsidR="00A03A48">
        <w:rPr>
          <w:szCs w:val="24"/>
        </w:rPr>
        <w:t xml:space="preserve">through </w:t>
      </w:r>
      <w:r w:rsidRPr="005468E1">
        <w:rPr>
          <w:szCs w:val="24"/>
        </w:rPr>
        <w:t>ne</w:t>
      </w:r>
      <w:r w:rsidRPr="005468E1" w:rsidR="00A03A48">
        <w:rPr>
          <w:szCs w:val="24"/>
        </w:rPr>
        <w:t>gotiated rulemaking</w:t>
      </w:r>
      <w:r w:rsidR="00AB5284">
        <w:rPr>
          <w:szCs w:val="24"/>
        </w:rPr>
        <w:t xml:space="preserve"> which include the changes to </w:t>
      </w:r>
      <w:r w:rsidRPr="005468E1" w:rsidR="00A03A48">
        <w:rPr>
          <w:szCs w:val="24"/>
        </w:rPr>
        <w:t xml:space="preserve">the currently approved </w:t>
      </w:r>
      <w:r w:rsidR="00AB5284">
        <w:rPr>
          <w:snapToGrid/>
          <w:szCs w:val="24"/>
        </w:rPr>
        <w:t xml:space="preserve">Agreement as attached to this clearance package. </w:t>
      </w:r>
      <w:r w:rsidRPr="005468E1" w:rsidR="00283350">
        <w:rPr>
          <w:szCs w:val="24"/>
        </w:rPr>
        <w:t xml:space="preserve"> </w:t>
      </w:r>
      <w:r w:rsidR="00EF31EE">
        <w:rPr>
          <w:szCs w:val="24"/>
        </w:rPr>
        <w:t>The public was provided the opportunity to comment on the burden assessment and changes to the form with the publication of the Notice of Proposed Rulemaking.  No further changes have been made to this form or burden assessment.</w:t>
      </w:r>
    </w:p>
    <w:bookmarkEnd w:id="5"/>
    <w:p w:rsidRPr="005468E1" w:rsidR="006A29C1" w:rsidP="009D19CF" w:rsidRDefault="00283350" w14:paraId="32D4118C" w14:textId="7BB714DD">
      <w:pPr>
        <w:spacing w:before="240"/>
        <w:rPr>
          <w:szCs w:val="24"/>
        </w:rPr>
      </w:pPr>
      <w:r w:rsidRPr="005468E1">
        <w:rPr>
          <w:b/>
          <w:szCs w:val="24"/>
        </w:rPr>
        <w:t xml:space="preserve">9. </w:t>
      </w:r>
      <w:r w:rsidRPr="005468E1" w:rsidR="004D1978">
        <w:rPr>
          <w:rStyle w:val="a"/>
          <w:b/>
          <w:szCs w:val="24"/>
        </w:rPr>
        <w:t>Explain any decision to provide any payment or gift to respondents, other than remuneration of contractors or grantees</w:t>
      </w:r>
      <w:r w:rsidR="00F55567">
        <w:rPr>
          <w:rStyle w:val="a"/>
          <w:b/>
          <w:szCs w:val="24"/>
        </w:rPr>
        <w:t xml:space="preserve"> with meaningful justification</w:t>
      </w:r>
      <w:r w:rsidRPr="005468E1" w:rsidR="004D1978">
        <w:rPr>
          <w:rStyle w:val="a"/>
          <w:b/>
          <w:szCs w:val="24"/>
        </w:rPr>
        <w:t>.</w:t>
      </w:r>
    </w:p>
    <w:p w:rsidRPr="005468E1" w:rsidR="006A29C1" w:rsidP="009D19CF" w:rsidRDefault="006A29C1" w14:paraId="32D4118D" w14:textId="77777777">
      <w:pPr>
        <w:spacing w:before="240"/>
        <w:rPr>
          <w:szCs w:val="24"/>
        </w:rPr>
      </w:pPr>
      <w:bookmarkStart w:name="_Hlk23155829" w:id="6"/>
      <w:r w:rsidRPr="005468E1">
        <w:rPr>
          <w:szCs w:val="24"/>
        </w:rPr>
        <w:t>No payments or gifts will be provided to respondents.</w:t>
      </w:r>
    </w:p>
    <w:bookmarkEnd w:id="6"/>
    <w:p w:rsidRPr="005468E1" w:rsidR="006A29C1" w:rsidP="009D19CF" w:rsidRDefault="00283350" w14:paraId="32D4118E" w14:textId="04278BE4">
      <w:pPr>
        <w:spacing w:before="240"/>
        <w:rPr>
          <w:szCs w:val="24"/>
        </w:rPr>
      </w:pPr>
      <w:r w:rsidRPr="005468E1">
        <w:rPr>
          <w:b/>
          <w:szCs w:val="24"/>
        </w:rPr>
        <w:t xml:space="preserve">10. </w:t>
      </w:r>
      <w:r w:rsidRPr="00D8364F" w:rsidR="00F55567">
        <w:rPr>
          <w:b/>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D8364F" w:rsidR="00F55567">
        <w:rPr>
          <w:rStyle w:val="FootnoteReference"/>
          <w:b/>
          <w:bCs/>
          <w:szCs w:val="24"/>
        </w:rPr>
        <w:footnoteReference w:id="2"/>
      </w:r>
      <w:r w:rsidRPr="00D8364F" w:rsidR="00F55567">
        <w:rPr>
          <w:b/>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Pr="005468E1" w:rsidR="006A29C1" w:rsidP="009D19CF" w:rsidRDefault="00ED405D" w14:paraId="32D4118F" w14:textId="59E092B4">
      <w:pPr>
        <w:spacing w:before="240"/>
        <w:rPr>
          <w:szCs w:val="24"/>
        </w:rPr>
      </w:pPr>
      <w:bookmarkStart w:name="_Hlk23155858" w:id="7"/>
      <w:r>
        <w:rPr>
          <w:szCs w:val="24"/>
        </w:rPr>
        <w:t>There is no assurance of confidentiality.</w:t>
      </w:r>
    </w:p>
    <w:bookmarkEnd w:id="7"/>
    <w:p w:rsidRPr="005468E1" w:rsidR="006A29C1" w:rsidP="009D19CF" w:rsidRDefault="00283350" w14:paraId="32D41190" w14:textId="77777777">
      <w:pPr>
        <w:spacing w:before="240"/>
        <w:rPr>
          <w:szCs w:val="24"/>
        </w:rPr>
      </w:pPr>
      <w:r w:rsidRPr="005468E1">
        <w:rPr>
          <w:b/>
          <w:szCs w:val="24"/>
        </w:rPr>
        <w:t xml:space="preserve">11. </w:t>
      </w:r>
      <w:r w:rsidRPr="005468E1" w:rsidR="004D1978">
        <w:rPr>
          <w:b/>
          <w:szCs w:val="24"/>
        </w:rPr>
        <w:t>Provide additional justification for any questions of a sensitive nature, such as sexual behavior and attitudes, religious beliefs, and other matters that ar</w:t>
      </w:r>
      <w:r w:rsidRPr="005468E1">
        <w:rPr>
          <w:b/>
          <w:szCs w:val="24"/>
        </w:rPr>
        <w:t xml:space="preserve">e commonly considered private. </w:t>
      </w:r>
      <w:r w:rsidRPr="005468E1" w:rsidR="004D1978">
        <w:rPr>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468E1" w:rsidR="006A29C1" w:rsidP="009D19CF" w:rsidRDefault="00DE4C86" w14:paraId="32D41191" w14:textId="11C4D0A6">
      <w:pPr>
        <w:spacing w:before="240"/>
        <w:rPr>
          <w:szCs w:val="24"/>
        </w:rPr>
      </w:pPr>
      <w:bookmarkStart w:name="_Hlk23155890" w:id="8"/>
      <w:r w:rsidRPr="005468E1">
        <w:rPr>
          <w:szCs w:val="24"/>
        </w:rPr>
        <w:t xml:space="preserve">The </w:t>
      </w:r>
      <w:r w:rsidR="00ED405D">
        <w:rPr>
          <w:snapToGrid/>
          <w:szCs w:val="24"/>
        </w:rPr>
        <w:t>regulations</w:t>
      </w:r>
      <w:r w:rsidRPr="005468E1">
        <w:rPr>
          <w:szCs w:val="24"/>
        </w:rPr>
        <w:t xml:space="preserve"> do not require a borrower to provide any information that </w:t>
      </w:r>
      <w:r w:rsidR="00C03D22">
        <w:rPr>
          <w:szCs w:val="24"/>
        </w:rPr>
        <w:t xml:space="preserve">are </w:t>
      </w:r>
      <w:r w:rsidRPr="005468E1">
        <w:rPr>
          <w:szCs w:val="24"/>
        </w:rPr>
        <w:t>considered sensitive.</w:t>
      </w:r>
    </w:p>
    <w:bookmarkEnd w:id="8"/>
    <w:p w:rsidRPr="005468E1" w:rsidR="004D1978" w:rsidP="009D19CF" w:rsidRDefault="00283350" w14:paraId="32D41192" w14:textId="77777777">
      <w:pPr>
        <w:tabs>
          <w:tab w:val="left" w:pos="-720"/>
        </w:tabs>
        <w:suppressAutoHyphens/>
        <w:spacing w:before="240"/>
        <w:rPr>
          <w:rStyle w:val="a"/>
          <w:b/>
          <w:szCs w:val="24"/>
        </w:rPr>
      </w:pPr>
      <w:r w:rsidRPr="005468E1">
        <w:rPr>
          <w:b/>
          <w:szCs w:val="24"/>
        </w:rPr>
        <w:t xml:space="preserve">12. </w:t>
      </w:r>
      <w:r w:rsidRPr="005468E1" w:rsidR="004D1978">
        <w:rPr>
          <w:rStyle w:val="a"/>
          <w:b/>
          <w:szCs w:val="24"/>
        </w:rPr>
        <w:t>Provide estimates of the hour burden of the c</w:t>
      </w:r>
      <w:r w:rsidRPr="005468E1">
        <w:rPr>
          <w:rStyle w:val="a"/>
          <w:b/>
          <w:szCs w:val="24"/>
        </w:rPr>
        <w:t xml:space="preserve">ollection of information. </w:t>
      </w:r>
      <w:r w:rsidRPr="005468E1" w:rsidR="004D1978">
        <w:rPr>
          <w:rStyle w:val="a"/>
          <w:b/>
          <w:szCs w:val="24"/>
        </w:rPr>
        <w:t>The statement should :</w:t>
      </w:r>
    </w:p>
    <w:p w:rsidRPr="00F55567" w:rsidR="004D1978" w:rsidP="002814C6" w:rsidRDefault="00F55567" w14:paraId="32D41193" w14:textId="6E7725BD">
      <w:pPr>
        <w:widowControl/>
        <w:numPr>
          <w:ilvl w:val="0"/>
          <w:numId w:val="6"/>
        </w:numPr>
        <w:tabs>
          <w:tab w:val="clear" w:pos="1060"/>
          <w:tab w:val="left" w:pos="-720"/>
          <w:tab w:val="num" w:pos="720"/>
          <w:tab w:val="left" w:pos="1247"/>
        </w:tabs>
        <w:suppressAutoHyphens/>
        <w:ind w:left="720"/>
        <w:rPr>
          <w:rStyle w:val="a"/>
          <w:b/>
          <w:bCs/>
          <w:szCs w:val="24"/>
        </w:rPr>
      </w:pPr>
      <w:r w:rsidRPr="00D8364F">
        <w:rPr>
          <w:rStyle w:val="a"/>
          <w:b/>
          <w:bCs/>
          <w:szCs w:val="24"/>
        </w:rPr>
        <w:t xml:space="preserve">Indicate the number of respondents by affected public type (federal government, individuals or households, private sector – businesses or other for-profit, private </w:t>
      </w:r>
      <w:r w:rsidRPr="00D8364F">
        <w:rPr>
          <w:rStyle w:val="a"/>
          <w:b/>
          <w:bCs/>
          <w:szCs w:val="24"/>
        </w:rPr>
        <w:lastRenderedPageBreak/>
        <w:t>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5468E1" w:rsidR="004D1978" w:rsidP="002814C6" w:rsidRDefault="00F55567" w14:paraId="32D41194" w14:textId="46F0616A">
      <w:pPr>
        <w:widowControl/>
        <w:numPr>
          <w:ilvl w:val="0"/>
          <w:numId w:val="6"/>
        </w:numPr>
        <w:tabs>
          <w:tab w:val="clear" w:pos="1060"/>
          <w:tab w:val="left" w:pos="-720"/>
          <w:tab w:val="num" w:pos="720"/>
          <w:tab w:val="left" w:pos="1247"/>
        </w:tabs>
        <w:suppressAutoHyphens/>
        <w:spacing w:before="240"/>
        <w:ind w:left="720"/>
        <w:rPr>
          <w:rStyle w:val="a"/>
          <w:b/>
          <w:szCs w:val="24"/>
        </w:rPr>
      </w:pPr>
      <w:r w:rsidRPr="00F55567">
        <w:rPr>
          <w:rStyle w:val="a"/>
          <w:b/>
          <w:bCs/>
          <w:szCs w:val="24"/>
        </w:rPr>
        <w:t xml:space="preserve">If this request for approval covers more than one form, provide separate hour burden estimates for each </w:t>
      </w:r>
      <w:proofErr w:type="gramStart"/>
      <w:r w:rsidRPr="00F55567">
        <w:rPr>
          <w:rStyle w:val="a"/>
          <w:b/>
          <w:bCs/>
          <w:szCs w:val="24"/>
        </w:rPr>
        <w:t>form</w:t>
      </w:r>
      <w:proofErr w:type="gramEnd"/>
      <w:r w:rsidRPr="00F55567">
        <w:rPr>
          <w:rStyle w:val="a"/>
          <w:b/>
          <w:bCs/>
          <w:szCs w:val="24"/>
        </w:rPr>
        <w:t xml:space="preserve"> and aggregate the hour burdens in the ROCIS IC Burden Analysis Table.  (The table should at minimum include Respondent types, IC activity, Respondent and Responses, Hours/Response, and Total Hours)</w:t>
      </w:r>
      <w:r w:rsidRPr="005468E1" w:rsidR="004D1978">
        <w:rPr>
          <w:rStyle w:val="a"/>
          <w:b/>
          <w:szCs w:val="24"/>
        </w:rPr>
        <w:t>.</w:t>
      </w:r>
    </w:p>
    <w:p w:rsidRPr="005468E1" w:rsidR="004D1978" w:rsidP="002814C6" w:rsidRDefault="004D1978" w14:paraId="32D41195" w14:textId="77777777">
      <w:pPr>
        <w:widowControl/>
        <w:numPr>
          <w:ilvl w:val="0"/>
          <w:numId w:val="6"/>
        </w:numPr>
        <w:tabs>
          <w:tab w:val="clear" w:pos="1060"/>
          <w:tab w:val="left" w:pos="-720"/>
          <w:tab w:val="num" w:pos="720"/>
          <w:tab w:val="left" w:pos="1247"/>
        </w:tabs>
        <w:suppressAutoHyphens/>
        <w:spacing w:before="240"/>
        <w:ind w:left="720"/>
        <w:rPr>
          <w:b/>
          <w:szCs w:val="24"/>
        </w:rPr>
      </w:pPr>
      <w:r w:rsidRPr="005468E1">
        <w:rPr>
          <w:rStyle w:val="a"/>
          <w:b/>
          <w:szCs w:val="24"/>
        </w:rPr>
        <w:t>Provide estimates of annualized cost to respondents of the hour burdens for collections of information, identifying and using appropriate wage rate categorie</w:t>
      </w:r>
      <w:r w:rsidRPr="005468E1" w:rsidR="00283350">
        <w:rPr>
          <w:rStyle w:val="a"/>
          <w:b/>
          <w:szCs w:val="24"/>
        </w:rPr>
        <w:t xml:space="preserve">s. </w:t>
      </w:r>
      <w:r w:rsidRPr="005468E1">
        <w:rPr>
          <w:rStyle w:val="a"/>
          <w:b/>
          <w:szCs w:val="24"/>
        </w:rPr>
        <w:t>The cost of contracting out or paying outside parties for information collection activities should not be included here.  Instead, this cost should be included in Item 14.</w:t>
      </w:r>
    </w:p>
    <w:p w:rsidRPr="004A4921" w:rsidR="004A4921" w:rsidP="004A4921" w:rsidRDefault="004A4921" w14:paraId="57EB5D58" w14:textId="77777777">
      <w:pPr>
        <w:spacing w:before="240"/>
        <w:rPr>
          <w:szCs w:val="24"/>
        </w:rPr>
      </w:pPr>
      <w:bookmarkStart w:name="_Hlk23155915" w:id="9"/>
      <w:r w:rsidRPr="004A4921">
        <w:rPr>
          <w:szCs w:val="24"/>
          <w:u w:val="single"/>
        </w:rPr>
        <w:t>Section 686.43 – Obligation to repay the grant</w:t>
      </w:r>
      <w:r w:rsidRPr="004A4921">
        <w:rPr>
          <w:szCs w:val="24"/>
        </w:rPr>
        <w:t>.</w:t>
      </w:r>
    </w:p>
    <w:p w:rsidRPr="004A4921" w:rsidR="004A4921" w:rsidP="004A4921" w:rsidRDefault="004A4921" w14:paraId="7B68EA08" w14:textId="3A2BC0E4">
      <w:pPr>
        <w:spacing w:before="240"/>
        <w:rPr>
          <w:szCs w:val="24"/>
        </w:rPr>
      </w:pPr>
      <w:r w:rsidRPr="004A4921">
        <w:rPr>
          <w:szCs w:val="24"/>
          <w:u w:val="single"/>
        </w:rPr>
        <w:t>Requirements</w:t>
      </w:r>
      <w:r w:rsidRPr="004A4921">
        <w:rPr>
          <w:szCs w:val="24"/>
        </w:rPr>
        <w:t xml:space="preserve">:  The </w:t>
      </w:r>
      <w:r w:rsidR="00C03D22">
        <w:rPr>
          <w:szCs w:val="24"/>
        </w:rPr>
        <w:t>final</w:t>
      </w:r>
      <w:r w:rsidRPr="004A4921">
        <w:rPr>
          <w:szCs w:val="24"/>
        </w:rPr>
        <w:t xml:space="preserve"> regulations simplify the rules governing when a TEACH Grant will be converted to a Direct Unsubsidized Loan, as well as provide for annual notifications from the Secretary to the recipient regarding the status of a recipient’s TEACH Grant service obligation.  Under the </w:t>
      </w:r>
      <w:r w:rsidR="00937E14">
        <w:rPr>
          <w:szCs w:val="24"/>
        </w:rPr>
        <w:t>final</w:t>
      </w:r>
      <w:r w:rsidRPr="004A4921">
        <w:rPr>
          <w:szCs w:val="24"/>
        </w:rPr>
        <w:t xml:space="preserve"> regulations, a TEACH Grant recipient could request conversion if the recipient decides not to fulfill the TEACH Grant obligations for any reason or if the recipient fails to begin or maintain qualifying teaching service within a timeframe to complete the service obligation in the requisite eight-year period.  Additionally, the </w:t>
      </w:r>
      <w:r w:rsidR="00C03D22">
        <w:rPr>
          <w:szCs w:val="24"/>
        </w:rPr>
        <w:t>final</w:t>
      </w:r>
      <w:r w:rsidRPr="004A4921">
        <w:rPr>
          <w:szCs w:val="24"/>
        </w:rPr>
        <w:t xml:space="preserve"> regulations describe the notifications the Secretary </w:t>
      </w:r>
      <w:r w:rsidR="00C03D22">
        <w:rPr>
          <w:szCs w:val="24"/>
        </w:rPr>
        <w:t>will</w:t>
      </w:r>
      <w:r w:rsidRPr="004A4921">
        <w:rPr>
          <w:szCs w:val="24"/>
        </w:rPr>
        <w:t xml:space="preserve"> annually send to all TEACH Grant recipients regarding the service obligation requirements. </w:t>
      </w:r>
    </w:p>
    <w:p w:rsidRPr="004A4921" w:rsidR="004A4921" w:rsidP="004A4921" w:rsidRDefault="004A4921" w14:paraId="02E738C9" w14:textId="62379E81">
      <w:pPr>
        <w:spacing w:before="240"/>
        <w:rPr>
          <w:szCs w:val="24"/>
        </w:rPr>
      </w:pPr>
      <w:r w:rsidRPr="004A4921">
        <w:rPr>
          <w:szCs w:val="24"/>
          <w:u w:val="single"/>
        </w:rPr>
        <w:t>Burden Calculation</w:t>
      </w:r>
      <w:r w:rsidRPr="004A4921">
        <w:rPr>
          <w:szCs w:val="24"/>
        </w:rPr>
        <w:t xml:space="preserve">:  We believe that the </w:t>
      </w:r>
      <w:r w:rsidR="00C03D22">
        <w:rPr>
          <w:szCs w:val="24"/>
        </w:rPr>
        <w:t>final</w:t>
      </w:r>
      <w:r w:rsidRPr="004A4921">
        <w:rPr>
          <w:szCs w:val="24"/>
        </w:rPr>
        <w:t xml:space="preserve"> regulations require action on the part of TEACH grant recipients.  Based on Department data during the 2018 calendar year there were 52,989 TEACH Grant recipients who submitted evidence of completed teaching service.  We estimate that an additional 25 percent of that figure or about 13,247 grant recipients </w:t>
      </w:r>
      <w:r w:rsidR="00C03D22">
        <w:rPr>
          <w:szCs w:val="24"/>
        </w:rPr>
        <w:t>will</w:t>
      </w:r>
      <w:r w:rsidRPr="004A4921">
        <w:rPr>
          <w:szCs w:val="24"/>
        </w:rPr>
        <w:t xml:space="preserve"> be working toward their teaching obligation for a total of 66,236 grant recipients who </w:t>
      </w:r>
      <w:r w:rsidR="00C03D22">
        <w:rPr>
          <w:szCs w:val="24"/>
        </w:rPr>
        <w:t>will</w:t>
      </w:r>
      <w:r w:rsidRPr="004A4921">
        <w:rPr>
          <w:szCs w:val="24"/>
        </w:rPr>
        <w:t xml:space="preserve"> receive the annual notice from the Secretary as required under §686.43(a)(2).  We estimate that grant recipients require 10 minutes (.17 hours) to review the information provided in each annual notice.  We estimate the total burden of 11,260 hours (66,236 X .17 hours).  </w:t>
      </w:r>
    </w:p>
    <w:p w:rsidRPr="004A4921" w:rsidR="004A4921" w:rsidP="004A4921" w:rsidRDefault="004A4921" w14:paraId="7B7A1E81" w14:textId="6BB18F1E">
      <w:pPr>
        <w:spacing w:before="240"/>
        <w:rPr>
          <w:szCs w:val="24"/>
        </w:rPr>
      </w:pPr>
      <w:r w:rsidRPr="004A4921">
        <w:rPr>
          <w:szCs w:val="24"/>
        </w:rPr>
        <w:t xml:space="preserve">There </w:t>
      </w:r>
      <w:r w:rsidR="00C03D22">
        <w:rPr>
          <w:szCs w:val="24"/>
        </w:rPr>
        <w:t>will</w:t>
      </w:r>
      <w:r w:rsidRPr="004A4921">
        <w:rPr>
          <w:szCs w:val="24"/>
        </w:rPr>
        <w:t xml:space="preserve"> be burden on those recipients who are notified that their TEACH Grant will be converted to a loan if the recipient does not submit required documentation to show that they are satisfying the service obligation.  Based on the Department’s data, during calendar year 2018 </w:t>
      </w:r>
      <w:r w:rsidRPr="004A4921">
        <w:rPr>
          <w:szCs w:val="24"/>
        </w:rPr>
        <w:lastRenderedPageBreak/>
        <w:t>there were a total of 10,591 TEACH Grant recipients whose grants were converted to loans based on the recipients’ voluntary request, or because the recipient was out of time to perform the service obligation or because the recipient did not provide evidence of meeting the service obligation as required under §686.43(a)(4).  We estimate that grant recipients require 10 minutes (.17 hours) to review the information in the notice.  We estimate the total burden of 1,800 burden hours (10,591 X .17 hours).</w:t>
      </w:r>
    </w:p>
    <w:p w:rsidRPr="004A4921" w:rsidR="004A4921" w:rsidP="004A4921" w:rsidRDefault="004A4921" w14:paraId="16F13082" w14:textId="71B7FD3D">
      <w:pPr>
        <w:spacing w:before="240"/>
        <w:rPr>
          <w:szCs w:val="24"/>
        </w:rPr>
      </w:pPr>
      <w:r w:rsidRPr="004A4921">
        <w:rPr>
          <w:szCs w:val="24"/>
        </w:rPr>
        <w:t xml:space="preserve">Additionally, there </w:t>
      </w:r>
      <w:r w:rsidR="00C03D22">
        <w:rPr>
          <w:szCs w:val="24"/>
        </w:rPr>
        <w:t>will</w:t>
      </w:r>
      <w:r w:rsidRPr="004A4921">
        <w:rPr>
          <w:szCs w:val="24"/>
        </w:rPr>
        <w:t xml:space="preserve"> be burden on any TEACH Grant recipient whose grant was involuntarily converted to a Direct Unsubsidized Loan to request reconsideration from the Secretary.  Based on the Department’s data, during calendar year 2018 there were 282 correctable conversions of TEACH Grants into loans.  We estimate that a recipient </w:t>
      </w:r>
      <w:r w:rsidR="00C03D22">
        <w:rPr>
          <w:szCs w:val="24"/>
        </w:rPr>
        <w:t>will</w:t>
      </w:r>
      <w:r w:rsidRPr="004A4921">
        <w:rPr>
          <w:szCs w:val="24"/>
        </w:rPr>
        <w:t xml:space="preserve"> require 15 minutes (.25 hours) to gather documentation to present to the Secretary and make such a request as required under §686.43(a)(5).  We estimate a total burden of 71 burden hours (282 X .25 hours).  </w:t>
      </w:r>
    </w:p>
    <w:p w:rsidR="004A4921" w:rsidP="004A4921" w:rsidRDefault="004A4921" w14:paraId="3DDE9629" w14:textId="06BC65D1">
      <w:pPr>
        <w:spacing w:before="240"/>
        <w:rPr>
          <w:szCs w:val="24"/>
        </w:rPr>
      </w:pPr>
      <w:r w:rsidRPr="004A4921">
        <w:rPr>
          <w:szCs w:val="24"/>
        </w:rPr>
        <w:t>We estimate a total burden of 13,131 burden hours under OMB Control Number 1845-</w:t>
      </w:r>
      <w:r w:rsidR="00D9004B">
        <w:rPr>
          <w:szCs w:val="24"/>
        </w:rPr>
        <w:t>0157</w:t>
      </w:r>
      <w:r w:rsidRPr="004A4921">
        <w:rPr>
          <w:szCs w:val="24"/>
        </w:rPr>
        <w:t>.</w:t>
      </w:r>
    </w:p>
    <w:p w:rsidRPr="004A4921" w:rsidR="004A4921" w:rsidP="004A4921" w:rsidRDefault="004A4921" w14:paraId="761C53F8" w14:textId="77777777">
      <w:pPr>
        <w:spacing w:before="240"/>
        <w:rPr>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Pr="004A4921" w:rsidR="004A4921" w:rsidTr="007E2B1B" w14:paraId="4C2CFE8C" w14:textId="77777777">
        <w:tc>
          <w:tcPr>
            <w:tcW w:w="1870" w:type="dxa"/>
          </w:tcPr>
          <w:p w:rsidRPr="004A4921" w:rsidR="004A4921" w:rsidP="004A4921" w:rsidRDefault="004A4921" w14:paraId="3DE33E00" w14:textId="6C4C14E2">
            <w:pPr>
              <w:rPr>
                <w:rFonts w:ascii="Times New Roman" w:hAnsi="Times New Roman" w:cs="Times New Roman"/>
                <w:szCs w:val="24"/>
              </w:rPr>
            </w:pPr>
            <w:r>
              <w:rPr>
                <w:rFonts w:ascii="Times New Roman" w:hAnsi="Times New Roman" w:cs="Times New Roman"/>
                <w:szCs w:val="24"/>
              </w:rPr>
              <w:t>E</w:t>
            </w:r>
            <w:r w:rsidRPr="004A4921">
              <w:rPr>
                <w:rFonts w:ascii="Times New Roman" w:hAnsi="Times New Roman" w:cs="Times New Roman"/>
                <w:szCs w:val="24"/>
              </w:rPr>
              <w:t>ntity</w:t>
            </w:r>
          </w:p>
        </w:tc>
        <w:tc>
          <w:tcPr>
            <w:tcW w:w="1870" w:type="dxa"/>
          </w:tcPr>
          <w:p w:rsidRPr="004A4921" w:rsidR="004A4921" w:rsidP="004A4921" w:rsidRDefault="004A4921" w14:paraId="51CE6396" w14:textId="77777777">
            <w:pPr>
              <w:rPr>
                <w:rFonts w:ascii="Times New Roman" w:hAnsi="Times New Roman" w:cs="Times New Roman"/>
                <w:szCs w:val="24"/>
              </w:rPr>
            </w:pPr>
            <w:r w:rsidRPr="004A4921">
              <w:rPr>
                <w:rFonts w:ascii="Times New Roman" w:hAnsi="Times New Roman" w:cs="Times New Roman"/>
                <w:szCs w:val="24"/>
              </w:rPr>
              <w:t>Respondent</w:t>
            </w:r>
          </w:p>
        </w:tc>
        <w:tc>
          <w:tcPr>
            <w:tcW w:w="1870" w:type="dxa"/>
          </w:tcPr>
          <w:p w:rsidRPr="004A4921" w:rsidR="004A4921" w:rsidP="004A4921" w:rsidRDefault="004A4921" w14:paraId="75CF464F" w14:textId="77777777">
            <w:pPr>
              <w:rPr>
                <w:rFonts w:ascii="Times New Roman" w:hAnsi="Times New Roman" w:cs="Times New Roman"/>
                <w:szCs w:val="24"/>
              </w:rPr>
            </w:pPr>
            <w:r w:rsidRPr="004A4921">
              <w:rPr>
                <w:rFonts w:ascii="Times New Roman" w:hAnsi="Times New Roman" w:cs="Times New Roman"/>
                <w:szCs w:val="24"/>
              </w:rPr>
              <w:t>Responses</w:t>
            </w:r>
          </w:p>
        </w:tc>
        <w:tc>
          <w:tcPr>
            <w:tcW w:w="1870" w:type="dxa"/>
          </w:tcPr>
          <w:p w:rsidRPr="004A4921" w:rsidR="004A4921" w:rsidP="004A4921" w:rsidRDefault="004A4921" w14:paraId="2BC93638" w14:textId="77777777">
            <w:pPr>
              <w:rPr>
                <w:rFonts w:ascii="Times New Roman" w:hAnsi="Times New Roman" w:cs="Times New Roman"/>
                <w:szCs w:val="24"/>
              </w:rPr>
            </w:pPr>
            <w:r w:rsidRPr="004A4921">
              <w:rPr>
                <w:rFonts w:ascii="Times New Roman" w:hAnsi="Times New Roman" w:cs="Times New Roman"/>
                <w:szCs w:val="24"/>
              </w:rPr>
              <w:t>Time to Respond</w:t>
            </w:r>
          </w:p>
        </w:tc>
        <w:tc>
          <w:tcPr>
            <w:tcW w:w="1870" w:type="dxa"/>
          </w:tcPr>
          <w:p w:rsidRPr="004A4921" w:rsidR="004A4921" w:rsidP="004A4921" w:rsidRDefault="004A4921" w14:paraId="6131BD03" w14:textId="77777777">
            <w:pPr>
              <w:rPr>
                <w:rFonts w:ascii="Times New Roman" w:hAnsi="Times New Roman" w:cs="Times New Roman"/>
                <w:szCs w:val="24"/>
              </w:rPr>
            </w:pPr>
            <w:r w:rsidRPr="004A4921">
              <w:rPr>
                <w:rFonts w:ascii="Times New Roman" w:hAnsi="Times New Roman" w:cs="Times New Roman"/>
                <w:szCs w:val="24"/>
              </w:rPr>
              <w:t>Burden Hours</w:t>
            </w:r>
          </w:p>
        </w:tc>
      </w:tr>
      <w:tr w:rsidRPr="004A4921" w:rsidR="004A4921" w:rsidTr="007E2B1B" w14:paraId="05007687" w14:textId="77777777">
        <w:tc>
          <w:tcPr>
            <w:tcW w:w="1870" w:type="dxa"/>
          </w:tcPr>
          <w:p w:rsidRPr="004A4921" w:rsidR="004A4921" w:rsidP="004A4921" w:rsidRDefault="004A4921" w14:paraId="752E0E42" w14:textId="77777777">
            <w:pPr>
              <w:rPr>
                <w:rFonts w:ascii="Times New Roman" w:hAnsi="Times New Roman" w:cs="Times New Roman"/>
                <w:szCs w:val="24"/>
              </w:rPr>
            </w:pPr>
            <w:r w:rsidRPr="004A4921">
              <w:rPr>
                <w:rFonts w:ascii="Times New Roman" w:hAnsi="Times New Roman" w:cs="Times New Roman"/>
                <w:szCs w:val="24"/>
              </w:rPr>
              <w:t>Individual</w:t>
            </w:r>
          </w:p>
          <w:p w:rsidRPr="004A4921" w:rsidR="004A4921" w:rsidP="004A4921" w:rsidRDefault="004A4921" w14:paraId="02E5EC2C" w14:textId="77777777">
            <w:pPr>
              <w:rPr>
                <w:rFonts w:ascii="Times New Roman" w:hAnsi="Times New Roman" w:cs="Times New Roman"/>
                <w:szCs w:val="24"/>
              </w:rPr>
            </w:pPr>
            <w:r w:rsidRPr="004A4921">
              <w:rPr>
                <w:rFonts w:ascii="Times New Roman" w:hAnsi="Times New Roman" w:cs="Times New Roman"/>
                <w:szCs w:val="24"/>
              </w:rPr>
              <w:t>(a)(2)</w:t>
            </w:r>
          </w:p>
        </w:tc>
        <w:tc>
          <w:tcPr>
            <w:tcW w:w="1870" w:type="dxa"/>
          </w:tcPr>
          <w:p w:rsidRPr="004A4921" w:rsidR="004A4921" w:rsidP="004A4921" w:rsidRDefault="004A4921" w14:paraId="49A20091" w14:textId="77777777">
            <w:pPr>
              <w:rPr>
                <w:rFonts w:ascii="Times New Roman" w:hAnsi="Times New Roman" w:cs="Times New Roman"/>
                <w:szCs w:val="24"/>
              </w:rPr>
            </w:pPr>
            <w:r w:rsidRPr="004A4921">
              <w:rPr>
                <w:rFonts w:ascii="Times New Roman" w:hAnsi="Times New Roman" w:cs="Times New Roman"/>
                <w:szCs w:val="24"/>
              </w:rPr>
              <w:t>66,236</w:t>
            </w:r>
          </w:p>
        </w:tc>
        <w:tc>
          <w:tcPr>
            <w:tcW w:w="1870" w:type="dxa"/>
          </w:tcPr>
          <w:p w:rsidRPr="004A4921" w:rsidR="004A4921" w:rsidP="004A4921" w:rsidRDefault="004A4921" w14:paraId="66FC9770" w14:textId="77777777">
            <w:pPr>
              <w:jc w:val="both"/>
              <w:rPr>
                <w:rFonts w:ascii="Times New Roman" w:hAnsi="Times New Roman" w:cs="Times New Roman"/>
                <w:szCs w:val="24"/>
              </w:rPr>
            </w:pPr>
            <w:r w:rsidRPr="004A4921">
              <w:rPr>
                <w:rFonts w:ascii="Times New Roman" w:hAnsi="Times New Roman" w:cs="Times New Roman"/>
                <w:szCs w:val="24"/>
              </w:rPr>
              <w:t>66,236</w:t>
            </w:r>
          </w:p>
        </w:tc>
        <w:tc>
          <w:tcPr>
            <w:tcW w:w="1870" w:type="dxa"/>
          </w:tcPr>
          <w:p w:rsidRPr="004A4921" w:rsidR="004A4921" w:rsidP="004A4921" w:rsidRDefault="004A4921" w14:paraId="034A8F97" w14:textId="77777777">
            <w:pPr>
              <w:rPr>
                <w:rFonts w:ascii="Times New Roman" w:hAnsi="Times New Roman" w:cs="Times New Roman"/>
                <w:szCs w:val="24"/>
              </w:rPr>
            </w:pPr>
            <w:r w:rsidRPr="004A4921">
              <w:rPr>
                <w:rFonts w:ascii="Times New Roman" w:hAnsi="Times New Roman" w:cs="Times New Roman"/>
                <w:szCs w:val="24"/>
              </w:rPr>
              <w:t>.17 hours</w:t>
            </w:r>
          </w:p>
        </w:tc>
        <w:tc>
          <w:tcPr>
            <w:tcW w:w="1870" w:type="dxa"/>
          </w:tcPr>
          <w:p w:rsidRPr="004A4921" w:rsidR="004A4921" w:rsidP="004A4921" w:rsidRDefault="004A4921" w14:paraId="5E73368C" w14:textId="77777777">
            <w:pPr>
              <w:rPr>
                <w:rFonts w:ascii="Times New Roman" w:hAnsi="Times New Roman" w:cs="Times New Roman"/>
                <w:szCs w:val="24"/>
              </w:rPr>
            </w:pPr>
            <w:r w:rsidRPr="004A4921">
              <w:rPr>
                <w:rFonts w:ascii="Times New Roman" w:hAnsi="Times New Roman" w:cs="Times New Roman"/>
                <w:szCs w:val="24"/>
              </w:rPr>
              <w:t>11,260</w:t>
            </w:r>
          </w:p>
        </w:tc>
      </w:tr>
      <w:tr w:rsidRPr="004A4921" w:rsidR="004A4921" w:rsidTr="007E2B1B" w14:paraId="7F818CF4" w14:textId="77777777">
        <w:tc>
          <w:tcPr>
            <w:tcW w:w="1870" w:type="dxa"/>
          </w:tcPr>
          <w:p w:rsidRPr="004A4921" w:rsidR="004A4921" w:rsidP="004A4921" w:rsidRDefault="004A4921" w14:paraId="7DCFBF1A" w14:textId="77777777">
            <w:pPr>
              <w:rPr>
                <w:rFonts w:ascii="Times New Roman" w:hAnsi="Times New Roman" w:cs="Times New Roman"/>
                <w:szCs w:val="24"/>
              </w:rPr>
            </w:pPr>
            <w:r w:rsidRPr="004A4921">
              <w:rPr>
                <w:rFonts w:ascii="Times New Roman" w:hAnsi="Times New Roman" w:cs="Times New Roman"/>
                <w:szCs w:val="24"/>
              </w:rPr>
              <w:t>Individual</w:t>
            </w:r>
          </w:p>
          <w:p w:rsidRPr="004A4921" w:rsidR="004A4921" w:rsidP="004A4921" w:rsidRDefault="004A4921" w14:paraId="25E35324" w14:textId="77777777">
            <w:pPr>
              <w:rPr>
                <w:rFonts w:ascii="Times New Roman" w:hAnsi="Times New Roman" w:cs="Times New Roman"/>
                <w:szCs w:val="24"/>
              </w:rPr>
            </w:pPr>
            <w:r w:rsidRPr="004A4921">
              <w:rPr>
                <w:rFonts w:ascii="Times New Roman" w:hAnsi="Times New Roman" w:cs="Times New Roman"/>
                <w:szCs w:val="24"/>
              </w:rPr>
              <w:t>(a)(4)</w:t>
            </w:r>
          </w:p>
        </w:tc>
        <w:tc>
          <w:tcPr>
            <w:tcW w:w="1870" w:type="dxa"/>
          </w:tcPr>
          <w:p w:rsidRPr="004A4921" w:rsidR="004A4921" w:rsidP="004A4921" w:rsidRDefault="004A4921" w14:paraId="1CF947F3" w14:textId="77777777">
            <w:pPr>
              <w:rPr>
                <w:rFonts w:ascii="Times New Roman" w:hAnsi="Times New Roman" w:cs="Times New Roman"/>
                <w:szCs w:val="24"/>
              </w:rPr>
            </w:pPr>
            <w:r w:rsidRPr="004A4921">
              <w:rPr>
                <w:rFonts w:ascii="Times New Roman" w:hAnsi="Times New Roman" w:cs="Times New Roman"/>
                <w:szCs w:val="24"/>
              </w:rPr>
              <w:t xml:space="preserve">  *</w:t>
            </w:r>
          </w:p>
        </w:tc>
        <w:tc>
          <w:tcPr>
            <w:tcW w:w="1870" w:type="dxa"/>
          </w:tcPr>
          <w:p w:rsidRPr="004A4921" w:rsidR="004A4921" w:rsidP="004A4921" w:rsidRDefault="004A4921" w14:paraId="2249EDC7" w14:textId="77777777">
            <w:pPr>
              <w:rPr>
                <w:rFonts w:ascii="Times New Roman" w:hAnsi="Times New Roman" w:cs="Times New Roman"/>
                <w:szCs w:val="24"/>
              </w:rPr>
            </w:pPr>
            <w:r w:rsidRPr="004A4921">
              <w:rPr>
                <w:rFonts w:ascii="Times New Roman" w:hAnsi="Times New Roman" w:cs="Times New Roman"/>
                <w:szCs w:val="24"/>
              </w:rPr>
              <w:t>10,591</w:t>
            </w:r>
          </w:p>
        </w:tc>
        <w:tc>
          <w:tcPr>
            <w:tcW w:w="1870" w:type="dxa"/>
          </w:tcPr>
          <w:p w:rsidRPr="004A4921" w:rsidR="004A4921" w:rsidP="004A4921" w:rsidRDefault="004A4921" w14:paraId="09339D20" w14:textId="77777777">
            <w:pPr>
              <w:rPr>
                <w:rFonts w:ascii="Times New Roman" w:hAnsi="Times New Roman" w:cs="Times New Roman"/>
                <w:szCs w:val="24"/>
              </w:rPr>
            </w:pPr>
            <w:r w:rsidRPr="004A4921">
              <w:rPr>
                <w:rFonts w:ascii="Times New Roman" w:hAnsi="Times New Roman" w:cs="Times New Roman"/>
                <w:szCs w:val="24"/>
              </w:rPr>
              <w:t>.17 hours</w:t>
            </w:r>
          </w:p>
        </w:tc>
        <w:tc>
          <w:tcPr>
            <w:tcW w:w="1870" w:type="dxa"/>
          </w:tcPr>
          <w:p w:rsidRPr="004A4921" w:rsidR="004A4921" w:rsidP="004A4921" w:rsidRDefault="004A4921" w14:paraId="1C1F8016" w14:textId="77777777">
            <w:pPr>
              <w:rPr>
                <w:rFonts w:ascii="Times New Roman" w:hAnsi="Times New Roman" w:cs="Times New Roman"/>
                <w:szCs w:val="24"/>
              </w:rPr>
            </w:pPr>
            <w:r w:rsidRPr="004A4921">
              <w:rPr>
                <w:rFonts w:ascii="Times New Roman" w:hAnsi="Times New Roman" w:cs="Times New Roman"/>
                <w:szCs w:val="24"/>
              </w:rPr>
              <w:t xml:space="preserve"> 1,800</w:t>
            </w:r>
          </w:p>
        </w:tc>
      </w:tr>
      <w:tr w:rsidRPr="004A4921" w:rsidR="004A4921" w:rsidTr="007E2B1B" w14:paraId="136F9270" w14:textId="77777777">
        <w:tc>
          <w:tcPr>
            <w:tcW w:w="1870" w:type="dxa"/>
          </w:tcPr>
          <w:p w:rsidRPr="004A4921" w:rsidR="004A4921" w:rsidP="004A4921" w:rsidRDefault="004A4921" w14:paraId="280958FD" w14:textId="77777777">
            <w:pPr>
              <w:rPr>
                <w:rFonts w:ascii="Times New Roman" w:hAnsi="Times New Roman" w:cs="Times New Roman"/>
                <w:szCs w:val="24"/>
              </w:rPr>
            </w:pPr>
            <w:r w:rsidRPr="004A4921">
              <w:rPr>
                <w:rFonts w:ascii="Times New Roman" w:hAnsi="Times New Roman" w:cs="Times New Roman"/>
                <w:szCs w:val="24"/>
              </w:rPr>
              <w:t>Individual</w:t>
            </w:r>
          </w:p>
          <w:p w:rsidRPr="004A4921" w:rsidR="004A4921" w:rsidP="004A4921" w:rsidRDefault="004A4921" w14:paraId="09A7AE91" w14:textId="77777777">
            <w:pPr>
              <w:rPr>
                <w:rFonts w:ascii="Times New Roman" w:hAnsi="Times New Roman" w:cs="Times New Roman"/>
                <w:szCs w:val="24"/>
              </w:rPr>
            </w:pPr>
            <w:r w:rsidRPr="004A4921">
              <w:rPr>
                <w:rFonts w:ascii="Times New Roman" w:hAnsi="Times New Roman" w:cs="Times New Roman"/>
                <w:szCs w:val="24"/>
              </w:rPr>
              <w:t>(a)(5)</w:t>
            </w:r>
          </w:p>
        </w:tc>
        <w:tc>
          <w:tcPr>
            <w:tcW w:w="1870" w:type="dxa"/>
          </w:tcPr>
          <w:p w:rsidRPr="004A4921" w:rsidR="004A4921" w:rsidP="004A4921" w:rsidRDefault="004A4921" w14:paraId="00E09D30" w14:textId="77777777">
            <w:pPr>
              <w:rPr>
                <w:rFonts w:ascii="Times New Roman" w:hAnsi="Times New Roman" w:cs="Times New Roman"/>
                <w:szCs w:val="24"/>
              </w:rPr>
            </w:pPr>
            <w:r w:rsidRPr="004A4921">
              <w:rPr>
                <w:rFonts w:ascii="Times New Roman" w:hAnsi="Times New Roman" w:cs="Times New Roman"/>
                <w:szCs w:val="24"/>
              </w:rPr>
              <w:t xml:space="preserve">  *</w:t>
            </w:r>
          </w:p>
        </w:tc>
        <w:tc>
          <w:tcPr>
            <w:tcW w:w="1870" w:type="dxa"/>
          </w:tcPr>
          <w:p w:rsidRPr="004A4921" w:rsidR="004A4921" w:rsidP="004A4921" w:rsidRDefault="004A4921" w14:paraId="43FAE9DE" w14:textId="77777777">
            <w:pPr>
              <w:rPr>
                <w:rFonts w:ascii="Times New Roman" w:hAnsi="Times New Roman" w:cs="Times New Roman"/>
                <w:szCs w:val="24"/>
              </w:rPr>
            </w:pPr>
            <w:r w:rsidRPr="004A4921">
              <w:rPr>
                <w:rFonts w:ascii="Times New Roman" w:hAnsi="Times New Roman" w:cs="Times New Roman"/>
                <w:szCs w:val="24"/>
              </w:rPr>
              <w:t xml:space="preserve">   282</w:t>
            </w:r>
          </w:p>
        </w:tc>
        <w:tc>
          <w:tcPr>
            <w:tcW w:w="1870" w:type="dxa"/>
          </w:tcPr>
          <w:p w:rsidRPr="004A4921" w:rsidR="004A4921" w:rsidP="004A4921" w:rsidRDefault="004A4921" w14:paraId="0BEAC2AB" w14:textId="77777777">
            <w:pPr>
              <w:rPr>
                <w:rFonts w:ascii="Times New Roman" w:hAnsi="Times New Roman" w:cs="Times New Roman"/>
                <w:szCs w:val="24"/>
              </w:rPr>
            </w:pPr>
            <w:r w:rsidRPr="004A4921">
              <w:rPr>
                <w:rFonts w:ascii="Times New Roman" w:hAnsi="Times New Roman" w:cs="Times New Roman"/>
                <w:szCs w:val="24"/>
              </w:rPr>
              <w:t>.25 hours</w:t>
            </w:r>
          </w:p>
        </w:tc>
        <w:tc>
          <w:tcPr>
            <w:tcW w:w="1870" w:type="dxa"/>
          </w:tcPr>
          <w:p w:rsidRPr="004A4921" w:rsidR="004A4921" w:rsidP="004A4921" w:rsidRDefault="004A4921" w14:paraId="483AD0F8" w14:textId="77777777">
            <w:pPr>
              <w:rPr>
                <w:rFonts w:ascii="Times New Roman" w:hAnsi="Times New Roman" w:cs="Times New Roman"/>
                <w:szCs w:val="24"/>
              </w:rPr>
            </w:pPr>
            <w:r w:rsidRPr="004A4921">
              <w:rPr>
                <w:rFonts w:ascii="Times New Roman" w:hAnsi="Times New Roman" w:cs="Times New Roman"/>
                <w:szCs w:val="24"/>
              </w:rPr>
              <w:t xml:space="preserve">    71</w:t>
            </w:r>
          </w:p>
        </w:tc>
      </w:tr>
      <w:tr w:rsidRPr="004A4921" w:rsidR="004A4921" w:rsidTr="007E2B1B" w14:paraId="6B76A77E" w14:textId="77777777">
        <w:tc>
          <w:tcPr>
            <w:tcW w:w="1870" w:type="dxa"/>
          </w:tcPr>
          <w:p w:rsidRPr="004A4921" w:rsidR="004A4921" w:rsidP="004A4921" w:rsidRDefault="004A4921" w14:paraId="3A518C15" w14:textId="77777777">
            <w:pPr>
              <w:rPr>
                <w:rFonts w:ascii="Times New Roman" w:hAnsi="Times New Roman" w:cs="Times New Roman"/>
                <w:b/>
                <w:bCs/>
                <w:szCs w:val="24"/>
              </w:rPr>
            </w:pPr>
            <w:r w:rsidRPr="004A4921">
              <w:rPr>
                <w:rFonts w:ascii="Times New Roman" w:hAnsi="Times New Roman" w:cs="Times New Roman"/>
                <w:b/>
                <w:bCs/>
                <w:szCs w:val="24"/>
              </w:rPr>
              <w:t>TOTAL</w:t>
            </w:r>
          </w:p>
        </w:tc>
        <w:tc>
          <w:tcPr>
            <w:tcW w:w="1870" w:type="dxa"/>
          </w:tcPr>
          <w:p w:rsidRPr="004A4921" w:rsidR="004A4921" w:rsidP="004A4921" w:rsidRDefault="004A4921" w14:paraId="6577E0B6" w14:textId="77777777">
            <w:pPr>
              <w:rPr>
                <w:rFonts w:ascii="Times New Roman" w:hAnsi="Times New Roman" w:cs="Times New Roman"/>
                <w:b/>
                <w:bCs/>
                <w:szCs w:val="24"/>
              </w:rPr>
            </w:pPr>
            <w:r w:rsidRPr="004A4921">
              <w:rPr>
                <w:rFonts w:ascii="Times New Roman" w:hAnsi="Times New Roman" w:cs="Times New Roman"/>
                <w:b/>
                <w:bCs/>
                <w:szCs w:val="24"/>
              </w:rPr>
              <w:t>66,236</w:t>
            </w:r>
          </w:p>
        </w:tc>
        <w:tc>
          <w:tcPr>
            <w:tcW w:w="1870" w:type="dxa"/>
          </w:tcPr>
          <w:p w:rsidRPr="004A4921" w:rsidR="004A4921" w:rsidP="004A4921" w:rsidRDefault="004A4921" w14:paraId="42F49337" w14:textId="2E7F6B42">
            <w:pPr>
              <w:rPr>
                <w:rFonts w:ascii="Times New Roman" w:hAnsi="Times New Roman" w:cs="Times New Roman"/>
                <w:b/>
                <w:bCs/>
                <w:szCs w:val="24"/>
              </w:rPr>
            </w:pPr>
            <w:r w:rsidRPr="004A4921">
              <w:rPr>
                <w:rFonts w:ascii="Times New Roman" w:hAnsi="Times New Roman" w:cs="Times New Roman"/>
                <w:b/>
                <w:bCs/>
                <w:szCs w:val="24"/>
              </w:rPr>
              <w:t>7</w:t>
            </w:r>
            <w:r w:rsidR="00D9004B">
              <w:rPr>
                <w:rFonts w:ascii="Times New Roman" w:hAnsi="Times New Roman" w:cs="Times New Roman"/>
                <w:b/>
                <w:bCs/>
                <w:szCs w:val="24"/>
              </w:rPr>
              <w:t>7</w:t>
            </w:r>
            <w:r w:rsidRPr="004A4921">
              <w:rPr>
                <w:rFonts w:ascii="Times New Roman" w:hAnsi="Times New Roman" w:cs="Times New Roman"/>
                <w:b/>
                <w:bCs/>
                <w:szCs w:val="24"/>
              </w:rPr>
              <w:t>,109</w:t>
            </w:r>
          </w:p>
        </w:tc>
        <w:tc>
          <w:tcPr>
            <w:tcW w:w="1870" w:type="dxa"/>
          </w:tcPr>
          <w:p w:rsidRPr="004A4921" w:rsidR="004A4921" w:rsidP="004A4921" w:rsidRDefault="004A4921" w14:paraId="3BC06A71" w14:textId="77777777">
            <w:pPr>
              <w:rPr>
                <w:rFonts w:ascii="Times New Roman" w:hAnsi="Times New Roman" w:cs="Times New Roman"/>
                <w:szCs w:val="24"/>
              </w:rPr>
            </w:pPr>
          </w:p>
        </w:tc>
        <w:tc>
          <w:tcPr>
            <w:tcW w:w="1870" w:type="dxa"/>
          </w:tcPr>
          <w:p w:rsidRPr="004A4921" w:rsidR="004A4921" w:rsidP="004A4921" w:rsidRDefault="004A4921" w14:paraId="5FC03323" w14:textId="77777777">
            <w:pPr>
              <w:rPr>
                <w:rFonts w:ascii="Times New Roman" w:hAnsi="Times New Roman" w:cs="Times New Roman"/>
                <w:b/>
                <w:bCs/>
                <w:szCs w:val="24"/>
              </w:rPr>
            </w:pPr>
            <w:r w:rsidRPr="004A4921">
              <w:rPr>
                <w:rFonts w:ascii="Times New Roman" w:hAnsi="Times New Roman" w:cs="Times New Roman"/>
                <w:b/>
                <w:bCs/>
                <w:szCs w:val="24"/>
              </w:rPr>
              <w:t>13,131</w:t>
            </w:r>
          </w:p>
        </w:tc>
      </w:tr>
    </w:tbl>
    <w:p w:rsidRPr="004A4921" w:rsidR="004A4921" w:rsidP="004A4921" w:rsidRDefault="004A4921" w14:paraId="43DD81C7" w14:textId="6C950740">
      <w:pPr>
        <w:spacing w:before="240"/>
        <w:rPr>
          <w:szCs w:val="24"/>
        </w:rPr>
      </w:pPr>
      <w:r w:rsidRPr="004A4921">
        <w:rPr>
          <w:szCs w:val="24"/>
        </w:rPr>
        <w:t>*Thes</w:t>
      </w:r>
      <w:r>
        <w:rPr>
          <w:szCs w:val="24"/>
        </w:rPr>
        <w:t>e</w:t>
      </w:r>
      <w:r w:rsidRPr="004A4921">
        <w:rPr>
          <w:szCs w:val="24"/>
        </w:rPr>
        <w:t xml:space="preserve"> respondents </w:t>
      </w:r>
      <w:r w:rsidR="00C03D22">
        <w:rPr>
          <w:szCs w:val="24"/>
        </w:rPr>
        <w:t>are</w:t>
      </w:r>
      <w:r w:rsidRPr="004A4921">
        <w:rPr>
          <w:szCs w:val="24"/>
        </w:rPr>
        <w:t xml:space="preserve"> part of the universe of respondents who receive the annual notifications and are not summed to avoid duplication of respondents.</w:t>
      </w:r>
    </w:p>
    <w:p w:rsidRPr="004A4921" w:rsidR="003254F7" w:rsidP="009D19CF" w:rsidRDefault="00F50666" w14:paraId="32D41196" w14:textId="3C6008D5">
      <w:pPr>
        <w:pStyle w:val="Footer"/>
        <w:tabs>
          <w:tab w:val="clear" w:pos="4320"/>
          <w:tab w:val="clear" w:pos="8640"/>
        </w:tabs>
        <w:spacing w:before="240"/>
        <w:rPr>
          <w:b/>
          <w:bCs/>
          <w:szCs w:val="24"/>
        </w:rPr>
      </w:pPr>
      <w:r w:rsidRPr="004A4921">
        <w:rPr>
          <w:b/>
          <w:bCs/>
          <w:szCs w:val="24"/>
        </w:rPr>
        <w:t>Total for information collection</w:t>
      </w:r>
      <w:r w:rsidR="004A4921">
        <w:rPr>
          <w:b/>
          <w:bCs/>
          <w:szCs w:val="24"/>
        </w:rPr>
        <w:t xml:space="preserve"> 1845-</w:t>
      </w:r>
      <w:r w:rsidR="00D9004B">
        <w:rPr>
          <w:b/>
          <w:bCs/>
          <w:szCs w:val="24"/>
        </w:rPr>
        <w:t>0157</w:t>
      </w:r>
      <w:r w:rsidRPr="004A4921">
        <w:rPr>
          <w:b/>
          <w:bCs/>
          <w:szCs w:val="24"/>
        </w:rPr>
        <w:t>:</w:t>
      </w:r>
    </w:p>
    <w:tbl>
      <w:tblPr>
        <w:tblStyle w:val="TableGrid"/>
        <w:tblW w:w="0" w:type="auto"/>
        <w:tblLook w:val="04A0" w:firstRow="1" w:lastRow="0" w:firstColumn="1" w:lastColumn="0" w:noHBand="0" w:noVBand="1"/>
      </w:tblPr>
      <w:tblGrid>
        <w:gridCol w:w="1870"/>
        <w:gridCol w:w="1870"/>
        <w:gridCol w:w="1870"/>
        <w:gridCol w:w="1870"/>
      </w:tblGrid>
      <w:tr w:rsidRPr="002E6984" w:rsidR="00F50666" w:rsidTr="00166BF4" w14:paraId="252CBBB3" w14:textId="77777777">
        <w:tc>
          <w:tcPr>
            <w:tcW w:w="1870" w:type="dxa"/>
          </w:tcPr>
          <w:p w:rsidRPr="002E6984" w:rsidR="00F50666" w:rsidP="00166BF4" w:rsidRDefault="00F50666" w14:paraId="6D43D842" w14:textId="77777777">
            <w:pPr>
              <w:rPr>
                <w:rFonts w:ascii="Times New Roman" w:hAnsi="Times New Roman" w:cs="Times New Roman"/>
                <w:szCs w:val="24"/>
              </w:rPr>
            </w:pPr>
            <w:r w:rsidRPr="002E6984">
              <w:rPr>
                <w:rFonts w:ascii="Times New Roman" w:hAnsi="Times New Roman" w:cs="Times New Roman"/>
                <w:szCs w:val="24"/>
              </w:rPr>
              <w:t>Entity</w:t>
            </w:r>
          </w:p>
        </w:tc>
        <w:tc>
          <w:tcPr>
            <w:tcW w:w="1870" w:type="dxa"/>
          </w:tcPr>
          <w:p w:rsidRPr="002E6984" w:rsidR="00F50666" w:rsidP="00166BF4" w:rsidRDefault="00F50666" w14:paraId="5ECC592E" w14:textId="77777777">
            <w:pPr>
              <w:rPr>
                <w:rFonts w:ascii="Times New Roman" w:hAnsi="Times New Roman" w:cs="Times New Roman"/>
                <w:szCs w:val="24"/>
              </w:rPr>
            </w:pPr>
            <w:r w:rsidRPr="002E6984">
              <w:rPr>
                <w:rFonts w:ascii="Times New Roman" w:hAnsi="Times New Roman" w:cs="Times New Roman"/>
                <w:szCs w:val="24"/>
              </w:rPr>
              <w:t>Respondent</w:t>
            </w:r>
          </w:p>
        </w:tc>
        <w:tc>
          <w:tcPr>
            <w:tcW w:w="1870" w:type="dxa"/>
          </w:tcPr>
          <w:p w:rsidRPr="002E6984" w:rsidR="00F50666" w:rsidP="00166BF4" w:rsidRDefault="00F50666" w14:paraId="608627A1" w14:textId="77777777">
            <w:pPr>
              <w:rPr>
                <w:rFonts w:ascii="Times New Roman" w:hAnsi="Times New Roman" w:cs="Times New Roman"/>
                <w:szCs w:val="24"/>
              </w:rPr>
            </w:pPr>
            <w:r w:rsidRPr="002E6984">
              <w:rPr>
                <w:rFonts w:ascii="Times New Roman" w:hAnsi="Times New Roman" w:cs="Times New Roman"/>
                <w:szCs w:val="24"/>
              </w:rPr>
              <w:t>Responses</w:t>
            </w:r>
          </w:p>
        </w:tc>
        <w:tc>
          <w:tcPr>
            <w:tcW w:w="1870" w:type="dxa"/>
          </w:tcPr>
          <w:p w:rsidRPr="002E6984" w:rsidR="00F50666" w:rsidP="00166BF4" w:rsidRDefault="00F50666" w14:paraId="6472DA47" w14:textId="77777777">
            <w:pPr>
              <w:rPr>
                <w:rFonts w:ascii="Times New Roman" w:hAnsi="Times New Roman" w:cs="Times New Roman"/>
                <w:szCs w:val="24"/>
              </w:rPr>
            </w:pPr>
            <w:r w:rsidRPr="002E6984">
              <w:rPr>
                <w:rFonts w:ascii="Times New Roman" w:hAnsi="Times New Roman" w:cs="Times New Roman"/>
                <w:szCs w:val="24"/>
              </w:rPr>
              <w:t>Burden Hours</w:t>
            </w:r>
          </w:p>
        </w:tc>
      </w:tr>
      <w:tr w:rsidRPr="002E6984" w:rsidR="004A4921" w:rsidTr="00166BF4" w14:paraId="5B1AA7EF" w14:textId="77777777">
        <w:tc>
          <w:tcPr>
            <w:tcW w:w="1870" w:type="dxa"/>
          </w:tcPr>
          <w:p w:rsidRPr="002E6984" w:rsidR="004A4921" w:rsidP="004A4921" w:rsidRDefault="004A4921" w14:paraId="402976B4" w14:textId="77777777">
            <w:pPr>
              <w:rPr>
                <w:rFonts w:ascii="Times New Roman" w:hAnsi="Times New Roman" w:cs="Times New Roman"/>
                <w:szCs w:val="24"/>
              </w:rPr>
            </w:pPr>
            <w:r w:rsidRPr="002E6984">
              <w:rPr>
                <w:rFonts w:ascii="Times New Roman" w:hAnsi="Times New Roman" w:cs="Times New Roman"/>
                <w:szCs w:val="24"/>
              </w:rPr>
              <w:t>Individual</w:t>
            </w:r>
          </w:p>
        </w:tc>
        <w:tc>
          <w:tcPr>
            <w:tcW w:w="1870" w:type="dxa"/>
          </w:tcPr>
          <w:p w:rsidRPr="004A4921" w:rsidR="004A4921" w:rsidP="004A4921" w:rsidRDefault="004A4921" w14:paraId="11BBA578" w14:textId="3881177E">
            <w:pPr>
              <w:rPr>
                <w:rFonts w:ascii="Times New Roman" w:hAnsi="Times New Roman" w:cs="Times New Roman"/>
                <w:szCs w:val="24"/>
              </w:rPr>
            </w:pPr>
            <w:r w:rsidRPr="004A4921">
              <w:rPr>
                <w:rFonts w:ascii="Times New Roman" w:hAnsi="Times New Roman" w:cs="Times New Roman"/>
                <w:szCs w:val="24"/>
              </w:rPr>
              <w:t>66,236</w:t>
            </w:r>
          </w:p>
        </w:tc>
        <w:tc>
          <w:tcPr>
            <w:tcW w:w="1870" w:type="dxa"/>
          </w:tcPr>
          <w:p w:rsidRPr="004A4921" w:rsidR="004A4921" w:rsidP="004A4921" w:rsidRDefault="004A4921" w14:paraId="66C7AA68" w14:textId="3B3EF2D5">
            <w:pPr>
              <w:rPr>
                <w:rFonts w:ascii="Times New Roman" w:hAnsi="Times New Roman" w:cs="Times New Roman"/>
                <w:szCs w:val="24"/>
              </w:rPr>
            </w:pPr>
            <w:r w:rsidRPr="004A4921">
              <w:rPr>
                <w:rFonts w:ascii="Times New Roman" w:hAnsi="Times New Roman" w:cs="Times New Roman"/>
                <w:szCs w:val="24"/>
              </w:rPr>
              <w:t>7</w:t>
            </w:r>
            <w:r w:rsidR="00D9004B">
              <w:rPr>
                <w:rFonts w:ascii="Times New Roman" w:hAnsi="Times New Roman" w:cs="Times New Roman"/>
                <w:szCs w:val="24"/>
              </w:rPr>
              <w:t>7</w:t>
            </w:r>
            <w:r w:rsidRPr="004A4921">
              <w:rPr>
                <w:rFonts w:ascii="Times New Roman" w:hAnsi="Times New Roman" w:cs="Times New Roman"/>
                <w:szCs w:val="24"/>
              </w:rPr>
              <w:t>,109</w:t>
            </w:r>
          </w:p>
        </w:tc>
        <w:tc>
          <w:tcPr>
            <w:tcW w:w="1870" w:type="dxa"/>
          </w:tcPr>
          <w:p w:rsidRPr="004A4921" w:rsidR="004A4921" w:rsidP="004A4921" w:rsidRDefault="004A4921" w14:paraId="232199EC" w14:textId="413616A7">
            <w:pPr>
              <w:rPr>
                <w:rFonts w:ascii="Times New Roman" w:hAnsi="Times New Roman" w:cs="Times New Roman"/>
                <w:szCs w:val="24"/>
              </w:rPr>
            </w:pPr>
            <w:r w:rsidRPr="004A4921">
              <w:rPr>
                <w:rFonts w:ascii="Times New Roman" w:hAnsi="Times New Roman" w:cs="Times New Roman"/>
                <w:szCs w:val="24"/>
              </w:rPr>
              <w:t>13,131</w:t>
            </w:r>
          </w:p>
        </w:tc>
      </w:tr>
      <w:tr w:rsidRPr="002E6984" w:rsidR="004A4921" w:rsidTr="00166BF4" w14:paraId="2CD6DF5F" w14:textId="77777777">
        <w:tc>
          <w:tcPr>
            <w:tcW w:w="1870" w:type="dxa"/>
          </w:tcPr>
          <w:p w:rsidRPr="002E6984" w:rsidR="004A4921" w:rsidP="004A4921" w:rsidRDefault="004A4921" w14:paraId="28A95451" w14:textId="77777777">
            <w:pPr>
              <w:rPr>
                <w:rFonts w:ascii="Times New Roman" w:hAnsi="Times New Roman" w:cs="Times New Roman"/>
                <w:b/>
                <w:bCs/>
                <w:szCs w:val="24"/>
              </w:rPr>
            </w:pPr>
            <w:r w:rsidRPr="002E6984">
              <w:rPr>
                <w:rFonts w:ascii="Times New Roman" w:hAnsi="Times New Roman" w:cs="Times New Roman"/>
                <w:b/>
                <w:bCs/>
                <w:szCs w:val="24"/>
              </w:rPr>
              <w:t>TOTAL</w:t>
            </w:r>
          </w:p>
        </w:tc>
        <w:tc>
          <w:tcPr>
            <w:tcW w:w="1870" w:type="dxa"/>
          </w:tcPr>
          <w:p w:rsidRPr="00F50666" w:rsidR="004A4921" w:rsidP="004A4921" w:rsidRDefault="004A4921" w14:paraId="03146EC3" w14:textId="7BC124DF">
            <w:pPr>
              <w:rPr>
                <w:rFonts w:ascii="Times New Roman" w:hAnsi="Times New Roman" w:cs="Times New Roman"/>
                <w:b/>
                <w:bCs/>
                <w:szCs w:val="24"/>
              </w:rPr>
            </w:pPr>
            <w:r w:rsidRPr="00716E8F">
              <w:rPr>
                <w:rFonts w:ascii="Times New Roman" w:hAnsi="Times New Roman" w:cs="Times New Roman"/>
                <w:b/>
                <w:bCs/>
                <w:szCs w:val="24"/>
              </w:rPr>
              <w:t>66,236</w:t>
            </w:r>
          </w:p>
        </w:tc>
        <w:tc>
          <w:tcPr>
            <w:tcW w:w="1870" w:type="dxa"/>
          </w:tcPr>
          <w:p w:rsidRPr="00F50666" w:rsidR="004A4921" w:rsidP="004A4921" w:rsidRDefault="004A4921" w14:paraId="41E9DF52" w14:textId="28CCBE9D">
            <w:pPr>
              <w:rPr>
                <w:rFonts w:ascii="Times New Roman" w:hAnsi="Times New Roman" w:cs="Times New Roman"/>
                <w:b/>
                <w:bCs/>
                <w:szCs w:val="24"/>
              </w:rPr>
            </w:pPr>
            <w:r w:rsidRPr="00226DE9">
              <w:rPr>
                <w:rFonts w:ascii="Times New Roman" w:hAnsi="Times New Roman" w:cs="Times New Roman"/>
                <w:b/>
                <w:bCs/>
                <w:szCs w:val="24"/>
              </w:rPr>
              <w:t>7</w:t>
            </w:r>
            <w:r w:rsidR="00D9004B">
              <w:rPr>
                <w:rFonts w:ascii="Times New Roman" w:hAnsi="Times New Roman" w:cs="Times New Roman"/>
                <w:b/>
                <w:bCs/>
                <w:szCs w:val="24"/>
              </w:rPr>
              <w:t>7</w:t>
            </w:r>
            <w:r w:rsidRPr="00226DE9">
              <w:rPr>
                <w:rFonts w:ascii="Times New Roman" w:hAnsi="Times New Roman" w:cs="Times New Roman"/>
                <w:b/>
                <w:bCs/>
                <w:szCs w:val="24"/>
              </w:rPr>
              <w:t>,109</w:t>
            </w:r>
          </w:p>
        </w:tc>
        <w:tc>
          <w:tcPr>
            <w:tcW w:w="1870" w:type="dxa"/>
          </w:tcPr>
          <w:p w:rsidRPr="00F50666" w:rsidR="004A4921" w:rsidP="004A4921" w:rsidRDefault="004A4921" w14:paraId="76FB96D8" w14:textId="226D97B0">
            <w:pPr>
              <w:rPr>
                <w:rFonts w:ascii="Times New Roman" w:hAnsi="Times New Roman" w:cs="Times New Roman"/>
                <w:b/>
                <w:bCs/>
                <w:szCs w:val="24"/>
              </w:rPr>
            </w:pPr>
            <w:r w:rsidRPr="00943543">
              <w:rPr>
                <w:rFonts w:ascii="Times New Roman" w:hAnsi="Times New Roman" w:cs="Times New Roman"/>
                <w:b/>
                <w:bCs/>
                <w:szCs w:val="24"/>
              </w:rPr>
              <w:t>13,131</w:t>
            </w:r>
          </w:p>
        </w:tc>
      </w:tr>
    </w:tbl>
    <w:p w:rsidRPr="005468E1" w:rsidR="00F50666" w:rsidP="009D19CF" w:rsidRDefault="00F50666" w14:paraId="2F2A1B36" w14:textId="77777777">
      <w:pPr>
        <w:pStyle w:val="Footer"/>
        <w:tabs>
          <w:tab w:val="clear" w:pos="4320"/>
          <w:tab w:val="clear" w:pos="8640"/>
        </w:tabs>
        <w:spacing w:before="240"/>
        <w:rPr>
          <w:szCs w:val="24"/>
        </w:rPr>
      </w:pPr>
    </w:p>
    <w:bookmarkEnd w:id="9"/>
    <w:p w:rsidRPr="005468E1" w:rsidR="004D1978" w:rsidP="009D19CF" w:rsidRDefault="00283350" w14:paraId="32D41197" w14:textId="77777777">
      <w:pPr>
        <w:tabs>
          <w:tab w:val="left" w:pos="-720"/>
        </w:tabs>
        <w:suppressAutoHyphens/>
        <w:spacing w:before="240"/>
        <w:rPr>
          <w:b/>
          <w:szCs w:val="24"/>
        </w:rPr>
      </w:pPr>
      <w:r w:rsidRPr="005468E1">
        <w:rPr>
          <w:b/>
          <w:szCs w:val="24"/>
        </w:rPr>
        <w:t xml:space="preserve">13. </w:t>
      </w:r>
      <w:r w:rsidRPr="005468E1" w:rsidR="004D1978">
        <w:rPr>
          <w:rStyle w:val="a"/>
          <w:b/>
          <w:szCs w:val="24"/>
        </w:rPr>
        <w:t xml:space="preserve">Provide an estimate of the total annual cost burden to respondents or record keepers resulting from </w:t>
      </w:r>
      <w:r w:rsidRPr="005468E1">
        <w:rPr>
          <w:rStyle w:val="a"/>
          <w:b/>
          <w:szCs w:val="24"/>
        </w:rPr>
        <w:t xml:space="preserve">the collection of information. </w:t>
      </w:r>
      <w:r w:rsidRPr="005468E1" w:rsidR="004D1978">
        <w:rPr>
          <w:rStyle w:val="a"/>
          <w:b/>
          <w:szCs w:val="24"/>
        </w:rPr>
        <w:t>(Do not include the cost of any hour burden shown in Items 12 and 14.)</w:t>
      </w:r>
    </w:p>
    <w:p w:rsidRPr="005468E1" w:rsidR="004D1978" w:rsidP="009D19CF" w:rsidRDefault="004D1978" w14:paraId="32D41198" w14:textId="77777777">
      <w:pPr>
        <w:widowControl/>
        <w:numPr>
          <w:ilvl w:val="0"/>
          <w:numId w:val="7"/>
        </w:numPr>
        <w:tabs>
          <w:tab w:val="left" w:pos="-720"/>
          <w:tab w:val="left" w:pos="1247"/>
        </w:tabs>
        <w:suppressAutoHyphens/>
        <w:spacing w:before="240"/>
        <w:rPr>
          <w:b/>
          <w:szCs w:val="24"/>
        </w:rPr>
      </w:pPr>
      <w:r w:rsidRPr="005468E1">
        <w:rPr>
          <w:b/>
          <w:szCs w:val="24"/>
        </w:rPr>
        <w:t>The cost estimate should be split into two components: (a) a total capital and start-up cost component (annualized over its expected useful life); and (b) a total operation and maintenance and p</w:t>
      </w:r>
      <w:r w:rsidRPr="005468E1" w:rsidR="00283350">
        <w:rPr>
          <w:b/>
          <w:szCs w:val="24"/>
        </w:rPr>
        <w:t xml:space="preserve">urchase of services component. </w:t>
      </w:r>
      <w:r w:rsidRPr="005468E1">
        <w:rPr>
          <w:b/>
          <w:szCs w:val="24"/>
        </w:rPr>
        <w:t xml:space="preserve">The estimates should </w:t>
      </w:r>
      <w:proofErr w:type="gramStart"/>
      <w:r w:rsidRPr="005468E1">
        <w:rPr>
          <w:b/>
          <w:szCs w:val="24"/>
        </w:rPr>
        <w:t>take into account</w:t>
      </w:r>
      <w:proofErr w:type="gramEnd"/>
      <w:r w:rsidRPr="005468E1">
        <w:rPr>
          <w:b/>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w:t>
      </w:r>
      <w:r w:rsidRPr="005468E1" w:rsidR="00283350">
        <w:rPr>
          <w:b/>
          <w:szCs w:val="24"/>
        </w:rPr>
        <w:t xml:space="preserve"> which </w:t>
      </w:r>
      <w:r w:rsidRPr="005468E1" w:rsidR="00283350">
        <w:rPr>
          <w:b/>
          <w:szCs w:val="24"/>
        </w:rPr>
        <w:lastRenderedPageBreak/>
        <w:t xml:space="preserve">costs will be incurred. </w:t>
      </w:r>
      <w:r w:rsidRPr="005468E1">
        <w:rPr>
          <w:b/>
          <w:szCs w:val="24"/>
        </w:rPr>
        <w:t xml:space="preserve">Capital and start-up costs include, among other items, preparations for collecting information such as purchasing computers and software; monitoring, sampling, </w:t>
      </w:r>
      <w:proofErr w:type="gramStart"/>
      <w:r w:rsidRPr="005468E1">
        <w:rPr>
          <w:b/>
          <w:szCs w:val="24"/>
        </w:rPr>
        <w:t>drilling</w:t>
      </w:r>
      <w:proofErr w:type="gramEnd"/>
      <w:r w:rsidRPr="005468E1">
        <w:rPr>
          <w:b/>
          <w:szCs w:val="24"/>
        </w:rPr>
        <w:t xml:space="preserve"> and testing equipment; and acquiring and maintaining record storage facilities.</w:t>
      </w:r>
    </w:p>
    <w:p w:rsidRPr="005468E1" w:rsidR="004D1978" w:rsidP="009D19CF" w:rsidRDefault="004D1978" w14:paraId="32D41199" w14:textId="77777777">
      <w:pPr>
        <w:widowControl/>
        <w:numPr>
          <w:ilvl w:val="0"/>
          <w:numId w:val="7"/>
        </w:numPr>
        <w:tabs>
          <w:tab w:val="left" w:pos="-720"/>
          <w:tab w:val="left" w:pos="1247"/>
        </w:tabs>
        <w:suppressAutoHyphens/>
        <w:spacing w:before="240"/>
        <w:rPr>
          <w:b/>
          <w:szCs w:val="24"/>
        </w:rPr>
      </w:pPr>
      <w:r w:rsidRPr="005468E1">
        <w:rPr>
          <w:b/>
          <w:szCs w:val="24"/>
        </w:rPr>
        <w:t>If cost estimates are expected to vary widely, agencies should present ranges of cost burdens and explain</w:t>
      </w:r>
      <w:r w:rsidRPr="005468E1" w:rsidR="00283350">
        <w:rPr>
          <w:b/>
          <w:szCs w:val="24"/>
        </w:rPr>
        <w:t xml:space="preserve"> the reasons for the variance. </w:t>
      </w:r>
      <w:r w:rsidRPr="005468E1">
        <w:rPr>
          <w:b/>
          <w:szCs w:val="24"/>
        </w:rPr>
        <w:t>The cost of contracting out information collection services should be a part of t</w:t>
      </w:r>
      <w:r w:rsidRPr="005468E1" w:rsidR="00283350">
        <w:rPr>
          <w:b/>
          <w:szCs w:val="24"/>
        </w:rPr>
        <w:t xml:space="preserve">his cost burden estimate. </w:t>
      </w:r>
      <w:r w:rsidRPr="005468E1">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55567" w:rsidR="004D1978" w:rsidP="009D19CF" w:rsidRDefault="004D1978" w14:paraId="32D4119A" w14:textId="32C207E8">
      <w:pPr>
        <w:widowControl/>
        <w:numPr>
          <w:ilvl w:val="0"/>
          <w:numId w:val="7"/>
        </w:numPr>
        <w:tabs>
          <w:tab w:val="left" w:pos="-720"/>
          <w:tab w:val="left" w:pos="1247"/>
        </w:tabs>
        <w:suppressAutoHyphens/>
        <w:spacing w:before="240"/>
        <w:rPr>
          <w:b/>
          <w:bCs/>
          <w:szCs w:val="24"/>
        </w:rPr>
      </w:pPr>
      <w:r w:rsidRPr="005468E1">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00F55567">
        <w:rPr>
          <w:b/>
          <w:szCs w:val="24"/>
        </w:rPr>
        <w:t xml:space="preserve"> </w:t>
      </w:r>
      <w:r w:rsidRPr="00F55567" w:rsidR="00F55567">
        <w:rPr>
          <w:b/>
          <w:bCs/>
          <w:szCs w:val="24"/>
        </w:rPr>
        <w:t>Also, these estimates should not include the hourly costs (i.e., the monetization of the hours) captured above in Item 12</w:t>
      </w:r>
    </w:p>
    <w:p w:rsidRPr="005468E1" w:rsidR="00AE20F9" w:rsidP="000827D1" w:rsidRDefault="00AE20F9" w14:paraId="32D4119B" w14:textId="77777777">
      <w:pPr>
        <w:tabs>
          <w:tab w:val="left" w:pos="-720"/>
        </w:tabs>
        <w:suppressAutoHyphens/>
        <w:spacing w:before="240"/>
        <w:ind w:left="1440"/>
        <w:rPr>
          <w:szCs w:val="24"/>
        </w:rPr>
      </w:pPr>
      <w:r w:rsidRPr="005468E1">
        <w:rPr>
          <w:szCs w:val="24"/>
        </w:rPr>
        <w:t>Total Annualized Capital/Startup Cost:</w:t>
      </w:r>
      <w:r w:rsidRPr="005468E1">
        <w:rPr>
          <w:szCs w:val="24"/>
        </w:rPr>
        <w:tab/>
        <w:t>0</w:t>
      </w:r>
    </w:p>
    <w:p w:rsidRPr="005468E1" w:rsidR="00AE20F9" w:rsidP="000827D1" w:rsidRDefault="00AE20F9" w14:paraId="32D4119C" w14:textId="58D9CA61">
      <w:pPr>
        <w:tabs>
          <w:tab w:val="left" w:pos="-720"/>
        </w:tabs>
        <w:suppressAutoHyphens/>
        <w:spacing w:before="240"/>
        <w:ind w:left="1440"/>
        <w:rPr>
          <w:szCs w:val="24"/>
        </w:rPr>
      </w:pPr>
      <w:r w:rsidRPr="005468E1">
        <w:rPr>
          <w:szCs w:val="24"/>
        </w:rPr>
        <w:t>Total Annual Costs (O&amp;M):</w:t>
      </w:r>
      <w:r w:rsidRPr="005468E1">
        <w:rPr>
          <w:szCs w:val="24"/>
        </w:rPr>
        <w:tab/>
      </w:r>
      <w:r w:rsidR="000827D1">
        <w:rPr>
          <w:szCs w:val="24"/>
        </w:rPr>
        <w:tab/>
      </w:r>
      <w:r w:rsidRPr="005468E1">
        <w:rPr>
          <w:szCs w:val="24"/>
        </w:rPr>
        <w:tab/>
        <w:t>0</w:t>
      </w:r>
    </w:p>
    <w:p w:rsidRPr="005468E1" w:rsidR="00AE20F9" w:rsidP="000827D1" w:rsidRDefault="00AE20F9" w14:paraId="32D4119D" w14:textId="31C50444">
      <w:pPr>
        <w:tabs>
          <w:tab w:val="left" w:pos="-720"/>
        </w:tabs>
        <w:suppressAutoHyphens/>
        <w:spacing w:before="240"/>
        <w:ind w:left="1440"/>
        <w:rPr>
          <w:szCs w:val="24"/>
        </w:rPr>
      </w:pPr>
      <w:r w:rsidRPr="005468E1">
        <w:rPr>
          <w:szCs w:val="24"/>
        </w:rPr>
        <w:tab/>
      </w:r>
      <w:r w:rsidRPr="005468E1">
        <w:rPr>
          <w:szCs w:val="24"/>
        </w:rPr>
        <w:tab/>
      </w:r>
      <w:r w:rsidRPr="005468E1">
        <w:rPr>
          <w:szCs w:val="24"/>
        </w:rPr>
        <w:tab/>
      </w:r>
      <w:r w:rsidR="000827D1">
        <w:rPr>
          <w:szCs w:val="24"/>
        </w:rPr>
        <w:tab/>
      </w:r>
      <w:r w:rsidRPr="005468E1">
        <w:rPr>
          <w:szCs w:val="24"/>
        </w:rPr>
        <w:tab/>
        <w:t xml:space="preserve">   ______</w:t>
      </w:r>
    </w:p>
    <w:p w:rsidRPr="005468E1" w:rsidR="00AE20F9" w:rsidP="000827D1" w:rsidRDefault="00AE20F9" w14:paraId="32D4119E" w14:textId="6E41776C">
      <w:pPr>
        <w:tabs>
          <w:tab w:val="left" w:pos="-720"/>
        </w:tabs>
        <w:suppressAutoHyphens/>
        <w:spacing w:before="240"/>
        <w:ind w:left="1440"/>
        <w:rPr>
          <w:szCs w:val="24"/>
        </w:rPr>
      </w:pPr>
      <w:r w:rsidRPr="005468E1">
        <w:rPr>
          <w:szCs w:val="24"/>
        </w:rPr>
        <w:t>Total Annualized Costs Requested:</w:t>
      </w:r>
      <w:r w:rsidR="000827D1">
        <w:rPr>
          <w:szCs w:val="24"/>
        </w:rPr>
        <w:tab/>
      </w:r>
      <w:r w:rsidRPr="005468E1">
        <w:rPr>
          <w:szCs w:val="24"/>
        </w:rPr>
        <w:tab/>
        <w:t>0</w:t>
      </w:r>
    </w:p>
    <w:p w:rsidRPr="005468E1" w:rsidR="00AE20F9" w:rsidP="009D19CF" w:rsidRDefault="00AE20F9" w14:paraId="32D4119F" w14:textId="77777777">
      <w:pPr>
        <w:spacing w:before="240"/>
        <w:rPr>
          <w:szCs w:val="24"/>
        </w:rPr>
      </w:pPr>
      <w:bookmarkStart w:name="_Hlk23155973" w:id="10"/>
      <w:r w:rsidRPr="005468E1">
        <w:rPr>
          <w:szCs w:val="24"/>
        </w:rPr>
        <w:t>There are no capital/startup costs to respondents, nor are there any annual costs to respondents associated with operating or maintaining systems or purchasing services.</w:t>
      </w:r>
    </w:p>
    <w:bookmarkEnd w:id="10"/>
    <w:p w:rsidR="006A29C1" w:rsidP="009D19CF" w:rsidRDefault="00283350" w14:paraId="32D411A1" w14:textId="2FCE7961">
      <w:pPr>
        <w:spacing w:before="240"/>
        <w:rPr>
          <w:rStyle w:val="a"/>
          <w:b/>
          <w:szCs w:val="24"/>
        </w:rPr>
      </w:pPr>
      <w:r w:rsidRPr="005468E1">
        <w:rPr>
          <w:b/>
          <w:szCs w:val="24"/>
        </w:rPr>
        <w:t xml:space="preserve">14. </w:t>
      </w:r>
      <w:r w:rsidRPr="005468E1" w:rsidR="004D1978">
        <w:rPr>
          <w:rStyle w:val="a"/>
          <w:b/>
          <w:szCs w:val="24"/>
        </w:rPr>
        <w:t xml:space="preserve">Provide estimates of annualized cost to </w:t>
      </w:r>
      <w:r w:rsidRPr="005468E1">
        <w:rPr>
          <w:rStyle w:val="a"/>
          <w:b/>
          <w:szCs w:val="24"/>
        </w:rPr>
        <w:t xml:space="preserve">the Federal government. </w:t>
      </w:r>
      <w:r w:rsidRPr="005468E1" w:rsidR="004D1978">
        <w:rPr>
          <w:rStyle w:val="a"/>
          <w:b/>
          <w:szCs w:val="24"/>
        </w:rPr>
        <w:t>Also, provide a description of the method used to estimate cost, which should include quantification of hours, operational expenses (such as equipment, overhead, printing, and support staff), and any other expense that would not have been incurred without t</w:t>
      </w:r>
      <w:r w:rsidRPr="005468E1">
        <w:rPr>
          <w:rStyle w:val="a"/>
          <w:b/>
          <w:szCs w:val="24"/>
        </w:rPr>
        <w:t xml:space="preserve">his collection of information. </w:t>
      </w:r>
      <w:r w:rsidRPr="005468E1" w:rsidR="004D1978">
        <w:rPr>
          <w:rStyle w:val="a"/>
          <w:b/>
          <w:szCs w:val="24"/>
        </w:rPr>
        <w:t>Agencies also may aggregate cost estimates from Items 12, 13, and 14 in a single table.</w:t>
      </w:r>
    </w:p>
    <w:p w:rsidR="00D73614" w:rsidP="00D73614" w:rsidRDefault="00D73614" w14:paraId="0A870935" w14:textId="77777777">
      <w:pPr>
        <w:rPr>
          <w:szCs w:val="24"/>
        </w:rPr>
      </w:pPr>
    </w:p>
    <w:p w:rsidR="00D73614" w:rsidP="00D73614" w:rsidRDefault="00D73614" w14:paraId="546F6823" w14:textId="0ED38FEF">
      <w:pPr>
        <w:rPr>
          <w:snapToGrid/>
          <w:sz w:val="22"/>
        </w:rPr>
      </w:pPr>
      <w:r>
        <w:t xml:space="preserve">There is no significant annualized cost to the federal government.  The Department’s contract with its TEACH Grant servicer is not based on a fee-for-service model; rather, the Department pays the servicer based on performance metrics.  The government incurs no additional costs merely as a result of this information collection. </w:t>
      </w:r>
    </w:p>
    <w:p w:rsidRPr="005468E1" w:rsidR="006A29C1" w:rsidP="009D19CF" w:rsidRDefault="004D1978" w14:paraId="32D411A3" w14:textId="520F0E8B">
      <w:pPr>
        <w:spacing w:before="240"/>
        <w:rPr>
          <w:szCs w:val="24"/>
        </w:rPr>
      </w:pPr>
      <w:r w:rsidRPr="005468E1">
        <w:rPr>
          <w:b/>
          <w:szCs w:val="24"/>
        </w:rPr>
        <w:t xml:space="preserve">15. </w:t>
      </w:r>
      <w:r w:rsidRPr="00D8364F" w:rsidR="00F55567">
        <w:rPr>
          <w:b/>
          <w:b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w:t>
      </w:r>
      <w:r w:rsidRPr="00D8364F" w:rsidR="00F55567">
        <w:rPr>
          <w:b/>
          <w:bCs/>
          <w:szCs w:val="24"/>
        </w:rPr>
        <w:lastRenderedPageBreak/>
        <w:t>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rsidRPr="005468E1" w:rsidR="003254F7" w:rsidP="009D19CF" w:rsidRDefault="003254F7" w14:paraId="32D411A4" w14:textId="3D3AABC4">
      <w:pPr>
        <w:spacing w:before="240"/>
        <w:rPr>
          <w:szCs w:val="24"/>
        </w:rPr>
      </w:pPr>
      <w:bookmarkStart w:name="_Hlk23156042" w:id="11"/>
      <w:r w:rsidRPr="005468E1">
        <w:rPr>
          <w:szCs w:val="24"/>
        </w:rPr>
        <w:t xml:space="preserve">The Department is </w:t>
      </w:r>
      <w:r w:rsidR="00F55567">
        <w:rPr>
          <w:szCs w:val="24"/>
        </w:rPr>
        <w:t xml:space="preserve">requesting a </w:t>
      </w:r>
      <w:r w:rsidR="00F50666">
        <w:rPr>
          <w:szCs w:val="24"/>
        </w:rPr>
        <w:t xml:space="preserve">program change due to new regulatory requirements.  This new collection is estimated at a burden of </w:t>
      </w:r>
      <w:r w:rsidR="004A4921">
        <w:rPr>
          <w:szCs w:val="24"/>
        </w:rPr>
        <w:t>13,131</w:t>
      </w:r>
      <w:r w:rsidR="00F50666">
        <w:rPr>
          <w:szCs w:val="24"/>
        </w:rPr>
        <w:t xml:space="preserve"> hours for </w:t>
      </w:r>
      <w:r w:rsidR="004A4921">
        <w:rPr>
          <w:szCs w:val="24"/>
        </w:rPr>
        <w:t>6,236</w:t>
      </w:r>
      <w:r w:rsidR="00F50666">
        <w:rPr>
          <w:szCs w:val="24"/>
        </w:rPr>
        <w:t xml:space="preserve"> respondents and </w:t>
      </w:r>
      <w:r w:rsidR="004A4921">
        <w:rPr>
          <w:szCs w:val="24"/>
        </w:rPr>
        <w:t>7</w:t>
      </w:r>
      <w:r w:rsidR="00D9004B">
        <w:rPr>
          <w:szCs w:val="24"/>
        </w:rPr>
        <w:t>7</w:t>
      </w:r>
      <w:r w:rsidR="004A4921">
        <w:rPr>
          <w:szCs w:val="24"/>
        </w:rPr>
        <w:t xml:space="preserve">,109 </w:t>
      </w:r>
      <w:r w:rsidR="00F50666">
        <w:rPr>
          <w:szCs w:val="24"/>
        </w:rPr>
        <w:t>responses.</w:t>
      </w:r>
    </w:p>
    <w:bookmarkEnd w:id="11"/>
    <w:p w:rsidRPr="005468E1" w:rsidR="006A29C1" w:rsidP="009D19CF" w:rsidRDefault="00283350" w14:paraId="32D411A5" w14:textId="120DE39F">
      <w:pPr>
        <w:spacing w:before="240"/>
        <w:rPr>
          <w:szCs w:val="24"/>
        </w:rPr>
      </w:pPr>
      <w:r w:rsidRPr="005468E1">
        <w:rPr>
          <w:b/>
          <w:szCs w:val="24"/>
        </w:rPr>
        <w:t xml:space="preserve">16. </w:t>
      </w:r>
      <w:r w:rsidRPr="00D8364F" w:rsidR="00F55567">
        <w:rPr>
          <w:rStyle w:val="a"/>
          <w:b/>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468E1" w:rsidR="006A29C1" w:rsidP="009D19CF" w:rsidRDefault="006A29C1" w14:paraId="32D411A6" w14:textId="77777777">
      <w:pPr>
        <w:spacing w:before="240"/>
        <w:rPr>
          <w:szCs w:val="24"/>
        </w:rPr>
      </w:pPr>
      <w:bookmarkStart w:name="_Hlk23156086" w:id="12"/>
      <w:r w:rsidRPr="005468E1">
        <w:rPr>
          <w:szCs w:val="24"/>
        </w:rPr>
        <w:t>The results of this information collection will not be published.</w:t>
      </w:r>
    </w:p>
    <w:bookmarkEnd w:id="12"/>
    <w:p w:rsidRPr="005468E1" w:rsidR="006A29C1" w:rsidP="009D19CF" w:rsidRDefault="00283350" w14:paraId="32D411A7" w14:textId="77777777">
      <w:pPr>
        <w:spacing w:before="240"/>
        <w:rPr>
          <w:szCs w:val="24"/>
        </w:rPr>
      </w:pPr>
      <w:r w:rsidRPr="005468E1">
        <w:rPr>
          <w:b/>
          <w:szCs w:val="24"/>
        </w:rPr>
        <w:t xml:space="preserve">17. </w:t>
      </w:r>
      <w:r w:rsidRPr="005468E1" w:rsidR="004D1978">
        <w:rPr>
          <w:rStyle w:val="a"/>
          <w:b/>
          <w:szCs w:val="24"/>
        </w:rPr>
        <w:t>If seeking approval to not display the expiration date for OMB approval of the information collection, explain the reasons that display would be inappropriate.</w:t>
      </w:r>
    </w:p>
    <w:p w:rsidRPr="005468E1" w:rsidR="006A29C1" w:rsidP="009D19CF" w:rsidRDefault="006A29C1" w14:paraId="32D411A8" w14:textId="77777777">
      <w:pPr>
        <w:spacing w:before="240"/>
        <w:rPr>
          <w:szCs w:val="24"/>
        </w:rPr>
      </w:pPr>
      <w:bookmarkStart w:name="_Hlk23156101" w:id="13"/>
      <w:r w:rsidRPr="005468E1">
        <w:rPr>
          <w:szCs w:val="24"/>
        </w:rPr>
        <w:t>The Department is not seeking this approval.</w:t>
      </w:r>
    </w:p>
    <w:bookmarkEnd w:id="13"/>
    <w:p w:rsidRPr="005468E1" w:rsidR="006A29C1" w:rsidP="009D19CF" w:rsidRDefault="00283350" w14:paraId="32D411A9" w14:textId="77777777">
      <w:pPr>
        <w:spacing w:before="240"/>
        <w:rPr>
          <w:b/>
          <w:szCs w:val="24"/>
        </w:rPr>
      </w:pPr>
      <w:r w:rsidRPr="005468E1">
        <w:rPr>
          <w:b/>
          <w:szCs w:val="24"/>
        </w:rPr>
        <w:t xml:space="preserve">18. </w:t>
      </w:r>
      <w:r w:rsidRPr="005468E1" w:rsidR="004D1978">
        <w:rPr>
          <w:rStyle w:val="a"/>
          <w:b/>
          <w:szCs w:val="24"/>
        </w:rPr>
        <w:t>Explain each exception to the certification statement identified in the Certification of Paperwork Reduction Act.</w:t>
      </w:r>
    </w:p>
    <w:p w:rsidRPr="005468E1" w:rsidR="006A29C1" w:rsidP="009D19CF" w:rsidRDefault="006A29C1" w14:paraId="32D411AA" w14:textId="77777777">
      <w:pPr>
        <w:spacing w:before="240"/>
        <w:rPr>
          <w:szCs w:val="24"/>
        </w:rPr>
      </w:pPr>
      <w:bookmarkStart w:name="_Hlk23156118" w:id="14"/>
      <w:r w:rsidRPr="005468E1">
        <w:rPr>
          <w:szCs w:val="24"/>
        </w:rPr>
        <w:t xml:space="preserve">The Department is not requesting any exceptions to the Certification for Paperwork Reduction </w:t>
      </w:r>
      <w:r w:rsidRPr="005468E1" w:rsidR="0024546A">
        <w:rPr>
          <w:szCs w:val="24"/>
        </w:rPr>
        <w:t>Act Submissions</w:t>
      </w:r>
      <w:r w:rsidRPr="005468E1">
        <w:rPr>
          <w:szCs w:val="24"/>
        </w:rPr>
        <w:t>.</w:t>
      </w:r>
    </w:p>
    <w:bookmarkEnd w:id="14"/>
    <w:sectPr w:rsidRPr="005468E1" w:rsidR="006A29C1" w:rsidSect="009D19CF">
      <w:headerReference w:type="default" r:id="rId10"/>
      <w:footerReference w:type="even" r:id="rId11"/>
      <w:footerReference w:type="default" r:id="rId12"/>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D411AF" w14:textId="77777777" w:rsidR="00952A6A" w:rsidRPr="001032C9" w:rsidRDefault="00952A6A" w:rsidP="006A29C1">
      <w:r>
        <w:separator/>
      </w:r>
    </w:p>
  </w:endnote>
  <w:endnote w:type="continuationSeparator" w:id="0">
    <w:p w14:paraId="32D411B0" w14:textId="77777777" w:rsidR="00952A6A" w:rsidRPr="001032C9" w:rsidRDefault="00952A6A" w:rsidP="006A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3"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D411B4" w14:textId="77777777" w:rsidR="00C301FB" w:rsidRDefault="00C301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5" w14:textId="77777777" w:rsidR="00C301FB" w:rsidRDefault="00C301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54F7">
      <w:rPr>
        <w:rStyle w:val="PageNumber"/>
        <w:noProof/>
      </w:rPr>
      <w:t>6</w:t>
    </w:r>
    <w:r>
      <w:rPr>
        <w:rStyle w:val="PageNumber"/>
      </w:rPr>
      <w:fldChar w:fldCharType="end"/>
    </w:r>
  </w:p>
  <w:p w14:paraId="32D411B6" w14:textId="77777777" w:rsidR="00C301FB" w:rsidRDefault="00C30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D411AD" w14:textId="77777777" w:rsidR="00952A6A" w:rsidRPr="001032C9" w:rsidRDefault="00952A6A" w:rsidP="006A29C1">
      <w:r>
        <w:separator/>
      </w:r>
    </w:p>
  </w:footnote>
  <w:footnote w:type="continuationSeparator" w:id="0">
    <w:p w14:paraId="32D411AE" w14:textId="77777777" w:rsidR="00952A6A" w:rsidRPr="001032C9" w:rsidRDefault="00952A6A" w:rsidP="006A29C1">
      <w:r>
        <w:continuationSeparator/>
      </w:r>
    </w:p>
  </w:footnote>
  <w:footnote w:id="1">
    <w:p w14:paraId="4FD9546A" w14:textId="77777777" w:rsidR="00F55567" w:rsidRDefault="00F55567" w:rsidP="00F55567">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C2E6DB6" w14:textId="77777777" w:rsidR="00F55567" w:rsidRDefault="00F55567" w:rsidP="00F5556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411B2" w14:textId="5206DF73" w:rsidR="0056640A" w:rsidRDefault="009D19CF">
    <w:pPr>
      <w:pStyle w:val="Header"/>
    </w:pPr>
    <w:r>
      <w:t>Tracking and OMB Number: ( ) 1845-</w:t>
    </w:r>
    <w:r w:rsidR="00C03D22">
      <w:t>0157</w:t>
    </w:r>
    <w:r>
      <w:tab/>
    </w:r>
    <w:r>
      <w:tab/>
    </w:r>
    <w:r w:rsidR="00262FD8">
      <w:t>7/1</w:t>
    </w:r>
    <w:r w:rsidR="00C03D22">
      <w:t>/2020</w:t>
    </w:r>
  </w:p>
  <w:p w14:paraId="57216C99" w14:textId="66AF886C" w:rsidR="009D19CF" w:rsidRDefault="009D19CF">
    <w:pPr>
      <w:pStyle w:val="Header"/>
    </w:pPr>
    <w:r>
      <w:t>RIN Number: 1840-</w:t>
    </w:r>
    <w:r w:rsidR="007A3117">
      <w:t xml:space="preserve">AD40, 1840-AD44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183E26F7"/>
    <w:multiLevelType w:val="hybridMultilevel"/>
    <w:tmpl w:val="2D6CE930"/>
    <w:lvl w:ilvl="0" w:tplc="FB20BE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970FE4"/>
    <w:multiLevelType w:val="hybridMultilevel"/>
    <w:tmpl w:val="2D6CE930"/>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4D0C18E9"/>
    <w:multiLevelType w:val="hybridMultilevel"/>
    <w:tmpl w:val="ABE01E2A"/>
    <w:lvl w:ilvl="0" w:tplc="65D86E92">
      <w:start w:val="1"/>
      <w:numFmt w:val="bullet"/>
      <w:lvlText w:val=""/>
      <w:lvlJc w:val="left"/>
      <w:pPr>
        <w:tabs>
          <w:tab w:val="num" w:pos="432"/>
        </w:tabs>
        <w:ind w:left="360"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E5E3C"/>
    <w:multiLevelType w:val="singleLevel"/>
    <w:tmpl w:val="D0AA9BEC"/>
    <w:lvl w:ilvl="0">
      <w:start w:val="5"/>
      <w:numFmt w:val="decimal"/>
      <w:lvlText w:val="%1."/>
      <w:lvlJc w:val="left"/>
      <w:pPr>
        <w:tabs>
          <w:tab w:val="num" w:pos="1440"/>
        </w:tabs>
        <w:ind w:left="1440" w:hanging="720"/>
      </w:pPr>
      <w:rPr>
        <w:rFonts w:hint="default"/>
      </w:rPr>
    </w:lvl>
  </w:abstractNum>
  <w:num w:numId="1">
    <w:abstractNumId w:val="6"/>
  </w:num>
  <w:num w:numId="2">
    <w:abstractNumId w:val="1"/>
  </w:num>
  <w:num w:numId="3">
    <w:abstractNumId w:val="2"/>
  </w:num>
  <w:num w:numId="4">
    <w:abstractNumId w:val="5"/>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037"/>
    <w:rsid w:val="00001AEC"/>
    <w:rsid w:val="000135AA"/>
    <w:rsid w:val="00021D71"/>
    <w:rsid w:val="000827D1"/>
    <w:rsid w:val="000F2BC1"/>
    <w:rsid w:val="00166A4E"/>
    <w:rsid w:val="00171DDD"/>
    <w:rsid w:val="001807EA"/>
    <w:rsid w:val="00196A09"/>
    <w:rsid w:val="001A3FE4"/>
    <w:rsid w:val="001E33CA"/>
    <w:rsid w:val="0024546A"/>
    <w:rsid w:val="00262FD8"/>
    <w:rsid w:val="002725B0"/>
    <w:rsid w:val="002814C6"/>
    <w:rsid w:val="00283350"/>
    <w:rsid w:val="00287A68"/>
    <w:rsid w:val="003178BF"/>
    <w:rsid w:val="003254F7"/>
    <w:rsid w:val="0042010B"/>
    <w:rsid w:val="004A4921"/>
    <w:rsid w:val="004C4BB4"/>
    <w:rsid w:val="004D1978"/>
    <w:rsid w:val="0050190B"/>
    <w:rsid w:val="005228AA"/>
    <w:rsid w:val="005468E1"/>
    <w:rsid w:val="0056640A"/>
    <w:rsid w:val="005671AD"/>
    <w:rsid w:val="005834BE"/>
    <w:rsid w:val="00586684"/>
    <w:rsid w:val="005953AB"/>
    <w:rsid w:val="005A727B"/>
    <w:rsid w:val="005B091B"/>
    <w:rsid w:val="005B28A2"/>
    <w:rsid w:val="00606506"/>
    <w:rsid w:val="00613920"/>
    <w:rsid w:val="00632B91"/>
    <w:rsid w:val="006A29C1"/>
    <w:rsid w:val="006D6125"/>
    <w:rsid w:val="006F21BE"/>
    <w:rsid w:val="007060BD"/>
    <w:rsid w:val="00726D66"/>
    <w:rsid w:val="007469C8"/>
    <w:rsid w:val="007A3117"/>
    <w:rsid w:val="008B12CD"/>
    <w:rsid w:val="008C451F"/>
    <w:rsid w:val="008D72E8"/>
    <w:rsid w:val="00937E14"/>
    <w:rsid w:val="00952A6A"/>
    <w:rsid w:val="00954037"/>
    <w:rsid w:val="009A1079"/>
    <w:rsid w:val="009A1DE8"/>
    <w:rsid w:val="009A3893"/>
    <w:rsid w:val="009C4501"/>
    <w:rsid w:val="009D19CF"/>
    <w:rsid w:val="009F2B41"/>
    <w:rsid w:val="00A00C04"/>
    <w:rsid w:val="00A03A48"/>
    <w:rsid w:val="00A11924"/>
    <w:rsid w:val="00A20505"/>
    <w:rsid w:val="00A327A4"/>
    <w:rsid w:val="00A7343B"/>
    <w:rsid w:val="00A741AA"/>
    <w:rsid w:val="00AB5284"/>
    <w:rsid w:val="00AC3CEF"/>
    <w:rsid w:val="00AE20F9"/>
    <w:rsid w:val="00AE2608"/>
    <w:rsid w:val="00AF5E83"/>
    <w:rsid w:val="00BB2CD7"/>
    <w:rsid w:val="00BB652B"/>
    <w:rsid w:val="00BD3703"/>
    <w:rsid w:val="00C03D22"/>
    <w:rsid w:val="00C301FB"/>
    <w:rsid w:val="00C547F6"/>
    <w:rsid w:val="00C67747"/>
    <w:rsid w:val="00CD59C4"/>
    <w:rsid w:val="00D148F9"/>
    <w:rsid w:val="00D43FED"/>
    <w:rsid w:val="00D73614"/>
    <w:rsid w:val="00D879D0"/>
    <w:rsid w:val="00D9004B"/>
    <w:rsid w:val="00DE4C86"/>
    <w:rsid w:val="00E235C4"/>
    <w:rsid w:val="00EB739A"/>
    <w:rsid w:val="00ED186D"/>
    <w:rsid w:val="00ED405D"/>
    <w:rsid w:val="00EE59D9"/>
    <w:rsid w:val="00EF31EE"/>
    <w:rsid w:val="00F50666"/>
    <w:rsid w:val="00F53933"/>
    <w:rsid w:val="00F55567"/>
    <w:rsid w:val="00F80592"/>
    <w:rsid w:val="00F85CE5"/>
    <w:rsid w:val="00FF4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2D41168"/>
  <w15:docId w15:val="{51E0D236-F90E-4A32-BD6B-DE66F7F2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Title">
    <w:name w:val="Title"/>
    <w:basedOn w:val="Normal"/>
    <w:qFormat/>
    <w:pPr>
      <w:tabs>
        <w:tab w:val="center" w:pos="4680"/>
      </w:tabs>
      <w:jc w:val="center"/>
    </w:pPr>
    <w:rPr>
      <w:b/>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customStyle="1" w:styleId="a">
    <w:name w:val="À"/>
    <w:basedOn w:val="DefaultParagraphFont"/>
    <w:uiPriority w:val="99"/>
    <w:rsid w:val="004D1978"/>
  </w:style>
  <w:style w:type="paragraph" w:styleId="BodyTextIndent">
    <w:name w:val="Body Text Indent"/>
    <w:basedOn w:val="Normal"/>
    <w:link w:val="BodyTextIndentChar"/>
    <w:semiHidden/>
    <w:rsid w:val="00DE4C86"/>
    <w:pPr>
      <w:widowControl/>
      <w:spacing w:after="120"/>
      <w:ind w:firstLine="360"/>
    </w:pPr>
    <w:rPr>
      <w:snapToGrid/>
    </w:rPr>
  </w:style>
  <w:style w:type="character" w:customStyle="1" w:styleId="BodyTextIndentChar">
    <w:name w:val="Body Text Indent Char"/>
    <w:link w:val="BodyTextIndent"/>
    <w:semiHidden/>
    <w:rsid w:val="00DE4C86"/>
    <w:rPr>
      <w:sz w:val="24"/>
    </w:rPr>
  </w:style>
  <w:style w:type="paragraph" w:styleId="Header">
    <w:name w:val="header"/>
    <w:basedOn w:val="Normal"/>
    <w:link w:val="HeaderChar"/>
    <w:uiPriority w:val="99"/>
    <w:unhideWhenUsed/>
    <w:rsid w:val="0056640A"/>
    <w:pPr>
      <w:tabs>
        <w:tab w:val="center" w:pos="4680"/>
        <w:tab w:val="right" w:pos="9360"/>
      </w:tabs>
    </w:pPr>
  </w:style>
  <w:style w:type="character" w:customStyle="1" w:styleId="HeaderChar">
    <w:name w:val="Header Char"/>
    <w:basedOn w:val="DefaultParagraphFont"/>
    <w:link w:val="Header"/>
    <w:uiPriority w:val="99"/>
    <w:rsid w:val="0056640A"/>
    <w:rPr>
      <w:snapToGrid w:val="0"/>
      <w:sz w:val="24"/>
    </w:rPr>
  </w:style>
  <w:style w:type="paragraph" w:styleId="FootnoteText">
    <w:name w:val="footnote text"/>
    <w:basedOn w:val="Normal"/>
    <w:link w:val="FootnoteTextChar"/>
    <w:uiPriority w:val="99"/>
    <w:semiHidden/>
    <w:rsid w:val="00F55567"/>
    <w:pPr>
      <w:widowControl/>
      <w:tabs>
        <w:tab w:val="left" w:pos="-720"/>
      </w:tabs>
      <w:suppressAutoHyphens/>
    </w:pPr>
    <w:rPr>
      <w:rFonts w:ascii="Courier" w:hAnsi="Courier"/>
      <w:snapToGrid/>
    </w:rPr>
  </w:style>
  <w:style w:type="character" w:customStyle="1" w:styleId="FootnoteTextChar">
    <w:name w:val="Footnote Text Char"/>
    <w:basedOn w:val="DefaultParagraphFont"/>
    <w:link w:val="FootnoteText"/>
    <w:uiPriority w:val="99"/>
    <w:semiHidden/>
    <w:rsid w:val="00F55567"/>
    <w:rPr>
      <w:rFonts w:ascii="Courier" w:hAnsi="Courier"/>
      <w:sz w:val="24"/>
    </w:rPr>
  </w:style>
  <w:style w:type="paragraph" w:styleId="BalloonText">
    <w:name w:val="Balloon Text"/>
    <w:basedOn w:val="Normal"/>
    <w:link w:val="BalloonTextChar"/>
    <w:uiPriority w:val="99"/>
    <w:semiHidden/>
    <w:unhideWhenUsed/>
    <w:rsid w:val="00BB6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52B"/>
    <w:rPr>
      <w:rFonts w:ascii="Segoe UI" w:hAnsi="Segoe UI" w:cs="Segoe UI"/>
      <w:snapToGrid w:val="0"/>
      <w:sz w:val="18"/>
      <w:szCs w:val="18"/>
    </w:rPr>
  </w:style>
  <w:style w:type="paragraph" w:styleId="ListParagraph">
    <w:name w:val="List Paragraph"/>
    <w:basedOn w:val="Normal"/>
    <w:uiPriority w:val="34"/>
    <w:qFormat/>
    <w:rsid w:val="00613920"/>
    <w:pPr>
      <w:widowControl/>
      <w:spacing w:after="200" w:line="276" w:lineRule="auto"/>
      <w:ind w:left="720"/>
    </w:pPr>
    <w:rPr>
      <w:rFonts w:ascii="Calibri" w:eastAsia="Calibri" w:hAnsi="Calibri"/>
      <w:snapToGrid/>
      <w:sz w:val="22"/>
      <w:szCs w:val="22"/>
    </w:rPr>
  </w:style>
  <w:style w:type="table" w:styleId="TableGrid">
    <w:name w:val="Table Grid"/>
    <w:basedOn w:val="TableNormal"/>
    <w:uiPriority w:val="39"/>
    <w:rsid w:val="00D43FE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14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12CC57-9889-4471-8A34-B40A847D249B}">
  <ds:schemaRefs>
    <ds:schemaRef ds:uri="http://schemas.microsoft.com/office/2006/documentManagement/types"/>
    <ds:schemaRef ds:uri="http://purl.org/dc/dcmitype/"/>
    <ds:schemaRef ds:uri="f87c7b8b-c0e7-4b77-a067-2c707fd1239f"/>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02e41e38-1731-4866-b09a-6257d8bc047f"/>
    <ds:schemaRef ds:uri="http://purl.org/dc/terms/"/>
    <ds:schemaRef ds:uri="http://purl.org/dc/elements/1.1/"/>
  </ds:schemaRefs>
</ds:datastoreItem>
</file>

<file path=customXml/itemProps2.xml><?xml version="1.0" encoding="utf-8"?>
<ds:datastoreItem xmlns:ds="http://schemas.openxmlformats.org/officeDocument/2006/customXml" ds:itemID="{334AA30A-F0C1-47CD-831E-DFE2DAFE925C}">
  <ds:schemaRefs>
    <ds:schemaRef ds:uri="http://schemas.microsoft.com/sharepoint/v3/contenttype/forms"/>
  </ds:schemaRefs>
</ds:datastoreItem>
</file>

<file path=customXml/itemProps3.xml><?xml version="1.0" encoding="utf-8"?>
<ds:datastoreItem xmlns:ds="http://schemas.openxmlformats.org/officeDocument/2006/customXml" ds:itemID="{ED9A19A6-7472-40A8-A764-EC1544B8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3235</Words>
  <Characters>18116</Characters>
  <Application>Microsoft Office Word</Application>
  <DocSecurity>4</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Education</Company>
  <LinksUpToDate>false</LinksUpToDate>
  <CharactersWithSpaces>21309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Brian L. Smith</dc:creator>
  <cp:lastModifiedBy>Mullan, Kate</cp:lastModifiedBy>
  <cp:revision>2</cp:revision>
  <cp:lastPrinted>2019-12-03T16:51:00Z</cp:lastPrinted>
  <dcterms:created xsi:type="dcterms:W3CDTF">2020-07-17T17:40:00Z</dcterms:created>
  <dcterms:modified xsi:type="dcterms:W3CDTF">2020-07-17T17:40:00Z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