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EBF" w:rsidR="00463EBF" w:rsidP="002E5BB6" w:rsidRDefault="00463EBF" w14:paraId="0AD0C0F1" w14:textId="77777777">
      <w:r w:rsidRPr="00463EBF">
        <w:rPr>
          <w:noProof/>
        </w:rPr>
        <w:drawing>
          <wp:inline distT="0" distB="0" distL="0" distR="0" wp14:anchorId="04096F40" wp14:editId="78FD8CF0">
            <wp:extent cx="6981825"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ver_Banne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1825" cy="600075"/>
                    </a:xfrm>
                    <a:prstGeom prst="rect">
                      <a:avLst/>
                    </a:prstGeom>
                    <a:noFill/>
                    <a:ln>
                      <a:noFill/>
                    </a:ln>
                  </pic:spPr>
                </pic:pic>
              </a:graphicData>
            </a:graphic>
          </wp:inline>
        </w:drawing>
      </w:r>
    </w:p>
    <w:p w:rsidRPr="00463EBF" w:rsidR="00463EBF" w:rsidP="002E5BB6" w:rsidRDefault="00463EBF" w14:paraId="0586A137" w14:textId="77777777">
      <w:pPr>
        <w:pStyle w:val="CoverPage-Title"/>
        <w:contextualSpacing w:val="0"/>
      </w:pPr>
      <w:r w:rsidRPr="00463EBF">
        <w:t>Evaluation of the Innovative Assessment Demonstration Authority Pilot Program-Preliminary Activities</w:t>
      </w:r>
    </w:p>
    <w:p w:rsidRPr="002E5BB6" w:rsidR="00463EBF" w:rsidP="002E5BB6" w:rsidRDefault="00463EBF" w14:paraId="18E36F48" w14:textId="412092F9">
      <w:pPr>
        <w:spacing w:before="1200" w:after="240"/>
        <w:ind w:left="720"/>
        <w:contextualSpacing/>
        <w:rPr>
          <w:rFonts w:ascii="Franklin Gothic Medium" w:hAnsi="Franklin Gothic Medium" w:eastAsia="Times New Roman" w:cs="Times New Roman"/>
          <w:color w:val="003C79"/>
          <w:sz w:val="32"/>
          <w:szCs w:val="28"/>
        </w:rPr>
      </w:pPr>
      <w:r w:rsidRPr="002E5BB6">
        <w:rPr>
          <w:rFonts w:ascii="Franklin Gothic Medium" w:hAnsi="Franklin Gothic Medium" w:eastAsia="Times New Roman" w:cs="Times New Roman"/>
          <w:color w:val="003C79"/>
          <w:sz w:val="32"/>
          <w:szCs w:val="28"/>
        </w:rPr>
        <w:t xml:space="preserve">Supporting Statement for Paperwork Reduction Act Submission </w:t>
      </w:r>
    </w:p>
    <w:p w:rsidRPr="00463EBF" w:rsidR="00463EBF" w:rsidP="002E5BB6" w:rsidRDefault="00463EBF" w14:paraId="38443489" w14:textId="77777777">
      <w:pPr>
        <w:pStyle w:val="CoverPage-Part"/>
        <w:spacing w:before="240"/>
        <w:ind w:left="1814" w:hanging="1094"/>
      </w:pPr>
      <w:r w:rsidRPr="00463EBF">
        <w:t>PART A: Justification</w:t>
      </w:r>
    </w:p>
    <w:p w:rsidRPr="002E5BB6" w:rsidR="00463EBF" w:rsidP="002E5BB6" w:rsidRDefault="00031FEA" w14:paraId="2BA03E1E" w14:textId="4FD0F79C">
      <w:pPr>
        <w:spacing w:after="360" w:line="320" w:lineRule="atLeast"/>
        <w:ind w:left="720"/>
        <w:rPr>
          <w:rFonts w:ascii="Franklin Gothic Medium" w:hAnsi="Franklin Gothic Medium" w:eastAsia="Times New Roman" w:cs="Times New Roman"/>
          <w:b/>
          <w:color w:val="003C79"/>
          <w:sz w:val="24"/>
          <w:szCs w:val="20"/>
        </w:rPr>
      </w:pPr>
      <w:r w:rsidRPr="002E5BB6">
        <w:rPr>
          <w:rFonts w:ascii="Franklin Gothic Medium" w:hAnsi="Franklin Gothic Medium" w:eastAsia="Times New Roman" w:cs="Times New Roman"/>
          <w:b/>
          <w:color w:val="003C79"/>
          <w:sz w:val="24"/>
          <w:szCs w:val="20"/>
        </w:rPr>
        <w:t>July</w:t>
      </w:r>
      <w:r w:rsidRPr="002E5BB6" w:rsidR="003D330C">
        <w:rPr>
          <w:rFonts w:ascii="Franklin Gothic Medium" w:hAnsi="Franklin Gothic Medium" w:eastAsia="Times New Roman" w:cs="Times New Roman"/>
          <w:b/>
          <w:color w:val="003C79"/>
          <w:sz w:val="24"/>
          <w:szCs w:val="20"/>
        </w:rPr>
        <w:t xml:space="preserve"> 2020 </w:t>
      </w:r>
    </w:p>
    <w:p w:rsidRPr="002E5BB6" w:rsidR="00463EBF" w:rsidP="002E5BB6" w:rsidRDefault="00463EBF" w14:paraId="3D7BD047" w14:textId="77777777">
      <w:pPr>
        <w:spacing w:before="240" w:after="0" w:line="240" w:lineRule="auto"/>
        <w:ind w:left="720"/>
        <w:rPr>
          <w:rFonts w:ascii="Franklin Gothic Medium" w:hAnsi="Franklin Gothic Medium" w:eastAsia="Times New Roman" w:cs="Times New Roman"/>
          <w:color w:val="003C79"/>
          <w:sz w:val="24"/>
          <w:szCs w:val="20"/>
        </w:rPr>
      </w:pPr>
      <w:r w:rsidRPr="002E5BB6">
        <w:rPr>
          <w:rFonts w:ascii="Franklin Gothic Medium" w:hAnsi="Franklin Gothic Medium" w:eastAsia="Times New Roman" w:cs="Times New Roman"/>
          <w:color w:val="003C79"/>
          <w:sz w:val="24"/>
          <w:szCs w:val="20"/>
        </w:rPr>
        <w:t>Contract # 91990019C0059</w:t>
      </w:r>
    </w:p>
    <w:p w:rsidRPr="002E5BB6" w:rsidR="00463EBF" w:rsidP="002E5BB6" w:rsidRDefault="00463EBF" w14:paraId="51F2034B" w14:textId="77777777">
      <w:pPr>
        <w:spacing w:before="60" w:after="60"/>
        <w:ind w:left="720"/>
        <w:rPr>
          <w:rFonts w:ascii="Franklin Gothic Book" w:hAnsi="Franklin Gothic Book" w:eastAsia="Times New Roman" w:cs="Times New Roman"/>
          <w:color w:val="003C79"/>
          <w:szCs w:val="24"/>
        </w:rPr>
      </w:pPr>
    </w:p>
    <w:p w:rsidRPr="002E5BB6" w:rsidR="00463EBF" w:rsidP="002E5BB6" w:rsidRDefault="00463EBF" w14:paraId="4C75235F" w14:textId="77777777">
      <w:pPr>
        <w:spacing w:before="60" w:after="60"/>
        <w:ind w:left="720"/>
        <w:rPr>
          <w:rFonts w:ascii="Franklin Gothic Book" w:hAnsi="Franklin Gothic Book" w:eastAsia="Times New Roman" w:cs="Times New Roman"/>
          <w:color w:val="003C79"/>
          <w:szCs w:val="24"/>
        </w:rPr>
      </w:pPr>
    </w:p>
    <w:p w:rsidRPr="002E5BB6" w:rsidR="00463EBF" w:rsidP="002E5BB6" w:rsidRDefault="00463EBF" w14:paraId="44DAC628" w14:textId="77777777">
      <w:pPr>
        <w:spacing w:before="60" w:after="60"/>
        <w:ind w:left="720"/>
        <w:rPr>
          <w:rFonts w:ascii="Franklin Gothic Book" w:hAnsi="Franklin Gothic Book" w:eastAsia="Times New Roman" w:cs="Times New Roman"/>
          <w:color w:val="003C79"/>
          <w:szCs w:val="24"/>
        </w:rPr>
      </w:pPr>
    </w:p>
    <w:p w:rsidRPr="002E5BB6" w:rsidR="00463EBF" w:rsidP="002E5BB6" w:rsidRDefault="00463EBF" w14:paraId="17F0D3C9" w14:textId="77777777">
      <w:pPr>
        <w:spacing w:before="240" w:after="0" w:line="240" w:lineRule="auto"/>
        <w:ind w:left="720"/>
        <w:rPr>
          <w:rFonts w:ascii="Franklin Gothic Medium" w:hAnsi="Franklin Gothic Medium" w:eastAsia="Times New Roman" w:cs="Times New Roman"/>
          <w:color w:val="003C79"/>
          <w:sz w:val="24"/>
          <w:szCs w:val="20"/>
        </w:rPr>
      </w:pPr>
      <w:r w:rsidRPr="002E5BB6">
        <w:rPr>
          <w:rFonts w:ascii="Franklin Gothic Medium" w:hAnsi="Franklin Gothic Medium" w:eastAsia="Times New Roman" w:cs="Times New Roman"/>
          <w:color w:val="003C79"/>
          <w:sz w:val="24"/>
          <w:szCs w:val="20"/>
        </w:rPr>
        <w:t>Submitted to:</w:t>
      </w:r>
    </w:p>
    <w:p w:rsidRPr="002E5BB6" w:rsidR="00463EBF" w:rsidP="002E5BB6" w:rsidRDefault="00463EBF" w14:paraId="0CF9850A"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Institute of Education Sciences</w:t>
      </w:r>
    </w:p>
    <w:p w:rsidRPr="002E5BB6" w:rsidR="00463EBF" w:rsidP="002E5BB6" w:rsidRDefault="00463EBF" w14:paraId="5B717AE4"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U.S. Department of Education</w:t>
      </w:r>
    </w:p>
    <w:p w:rsidRPr="002E5BB6" w:rsidR="00463EBF" w:rsidP="002E5BB6" w:rsidRDefault="00463EBF" w14:paraId="2B8467C1" w14:textId="77777777">
      <w:pPr>
        <w:spacing w:before="240" w:after="0" w:line="240" w:lineRule="auto"/>
        <w:ind w:left="720"/>
        <w:rPr>
          <w:rFonts w:ascii="Franklin Gothic Medium" w:hAnsi="Franklin Gothic Medium" w:eastAsia="Times New Roman" w:cs="Times New Roman"/>
          <w:color w:val="003C79"/>
          <w:sz w:val="24"/>
          <w:szCs w:val="20"/>
        </w:rPr>
      </w:pPr>
      <w:r w:rsidRPr="002E5BB6">
        <w:rPr>
          <w:rFonts w:ascii="Franklin Gothic Medium" w:hAnsi="Franklin Gothic Medium" w:eastAsia="Times New Roman" w:cs="Times New Roman"/>
          <w:color w:val="003C79"/>
          <w:sz w:val="24"/>
          <w:szCs w:val="20"/>
        </w:rPr>
        <w:t>Submitted by:</w:t>
      </w:r>
    </w:p>
    <w:p w:rsidRPr="002E5BB6" w:rsidR="00463EBF" w:rsidP="002E5BB6" w:rsidRDefault="00463EBF" w14:paraId="118D124F"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Westat</w:t>
      </w:r>
    </w:p>
    <w:p w:rsidRPr="002E5BB6" w:rsidR="00463EBF" w:rsidP="002E5BB6" w:rsidRDefault="00463EBF" w14:paraId="6C042734"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An Employee-Owned Research Corporation®</w:t>
      </w:r>
    </w:p>
    <w:p w:rsidRPr="002E5BB6" w:rsidR="00463EBF" w:rsidP="002E5BB6" w:rsidRDefault="00463EBF" w14:paraId="7660F32B"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1600 Research Boulevard</w:t>
      </w:r>
    </w:p>
    <w:p w:rsidRPr="002E5BB6" w:rsidR="00463EBF" w:rsidP="002E5BB6" w:rsidRDefault="00463EBF" w14:paraId="005DAD70"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Rockville, Maryland 20850-3129</w:t>
      </w:r>
    </w:p>
    <w:p w:rsidRPr="002E5BB6" w:rsidR="00463EBF" w:rsidP="002E5BB6" w:rsidRDefault="00463EBF" w14:paraId="24D35C0F" w14:textId="77777777">
      <w:pPr>
        <w:spacing w:before="60" w:after="60"/>
        <w:ind w:left="720"/>
        <w:rPr>
          <w:rFonts w:ascii="Franklin Gothic Book" w:hAnsi="Franklin Gothic Book" w:eastAsia="Times New Roman" w:cs="Times New Roman"/>
          <w:color w:val="003C79"/>
          <w:szCs w:val="24"/>
        </w:rPr>
      </w:pPr>
      <w:r w:rsidRPr="002E5BB6">
        <w:rPr>
          <w:rFonts w:ascii="Franklin Gothic Book" w:hAnsi="Franklin Gothic Book" w:eastAsia="Times New Roman" w:cs="Times New Roman"/>
          <w:color w:val="003C79"/>
          <w:szCs w:val="24"/>
        </w:rPr>
        <w:t>(301) 251-1500</w:t>
      </w:r>
    </w:p>
    <w:p w:rsidRPr="002E5BB6" w:rsidR="00463EBF" w:rsidP="002E5BB6" w:rsidRDefault="00463EBF" w14:paraId="5B7F7208" w14:textId="77777777">
      <w:pPr>
        <w:spacing w:before="60" w:after="60"/>
        <w:ind w:left="720"/>
        <w:rPr>
          <w:rFonts w:ascii="Franklin Gothic Book" w:hAnsi="Franklin Gothic Book" w:eastAsia="Times New Roman" w:cs="Times New Roman"/>
          <w:color w:val="003C79"/>
          <w:szCs w:val="24"/>
        </w:rPr>
        <w:sectPr w:rsidRPr="002E5BB6" w:rsidR="00463EBF" w:rsidSect="00463EBF">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432" w:left="720" w:header="432" w:footer="432" w:gutter="0"/>
          <w:cols w:space="720"/>
          <w:docGrid w:linePitch="360"/>
        </w:sectPr>
      </w:pPr>
    </w:p>
    <w:p w:rsidR="00A21E80" w:rsidP="002E5BB6" w:rsidRDefault="00A21E80" w14:paraId="7B87FAD9" w14:textId="1ADCCCD4">
      <w:pPr>
        <w:pStyle w:val="TC-TableofContentsHeading"/>
      </w:pPr>
      <w:r>
        <w:lastRenderedPageBreak/>
        <w:t>Contents</w:t>
      </w:r>
    </w:p>
    <w:p w:rsidR="00A21E80" w:rsidP="002E5BB6" w:rsidRDefault="00A21E80" w14:paraId="2CC1A5F3" w14:textId="503815C3">
      <w:pPr>
        <w:pStyle w:val="T0-ChapPgHd"/>
      </w:pPr>
      <w:r>
        <w:tab/>
        <w:t>Page</w:t>
      </w:r>
    </w:p>
    <w:p w:rsidRPr="00985FBE" w:rsidR="00423CD7" w:rsidP="002E5BB6" w:rsidRDefault="00463EBF" w14:paraId="4C2FBC4D" w14:textId="240AAA68">
      <w:pPr>
        <w:pStyle w:val="TOC2"/>
        <w:rPr>
          <w:rFonts w:eastAsiaTheme="minorEastAsia"/>
        </w:rPr>
      </w:pPr>
      <w:r w:rsidRPr="00423CD7">
        <w:fldChar w:fldCharType="begin"/>
      </w:r>
      <w:r w:rsidRPr="00985FBE">
        <w:instrText xml:space="preserve"> TOC \h \z \t "Heading 2,1,Heading 3,2" </w:instrText>
      </w:r>
      <w:r w:rsidRPr="00423CD7">
        <w:fldChar w:fldCharType="separate"/>
      </w:r>
      <w:hyperlink w:history="1" w:anchor="_Toc44917295">
        <w:r w:rsidRPr="00985FBE" w:rsidR="00423CD7">
          <w:rPr>
            <w:rStyle w:val="Hyperlink"/>
          </w:rPr>
          <w:t>A1.</w:t>
        </w:r>
        <w:r w:rsidRPr="00985FBE" w:rsidR="00423CD7">
          <w:rPr>
            <w:rFonts w:eastAsiaTheme="minorEastAsia"/>
          </w:rPr>
          <w:tab/>
        </w:r>
        <w:r w:rsidRPr="00985FBE" w:rsidR="00423CD7">
          <w:rPr>
            <w:rStyle w:val="Hyperlink"/>
          </w:rPr>
          <w:t>Circumstances Necessitating the Collection of Information</w:t>
        </w:r>
        <w:r w:rsidR="00423CD7">
          <w:rPr>
            <w:rStyle w:val="Hyperlink"/>
          </w:rPr>
          <w:tab/>
        </w:r>
        <w:r w:rsidRPr="00985FBE" w:rsidR="00423CD7">
          <w:rPr>
            <w:webHidden/>
          </w:rPr>
          <w:fldChar w:fldCharType="begin"/>
        </w:r>
        <w:r w:rsidRPr="00985FBE" w:rsidR="00423CD7">
          <w:rPr>
            <w:webHidden/>
          </w:rPr>
          <w:instrText xml:space="preserve"> PAGEREF _Toc44917295 \h </w:instrText>
        </w:r>
        <w:r w:rsidRPr="00985FBE" w:rsidR="00423CD7">
          <w:rPr>
            <w:webHidden/>
          </w:rPr>
        </w:r>
        <w:r w:rsidRPr="00985FBE" w:rsidR="00423CD7">
          <w:rPr>
            <w:webHidden/>
          </w:rPr>
          <w:fldChar w:fldCharType="separate"/>
        </w:r>
        <w:r w:rsidR="009C3ECD">
          <w:rPr>
            <w:webHidden/>
          </w:rPr>
          <w:t>1</w:t>
        </w:r>
        <w:r w:rsidRPr="00985FBE" w:rsidR="00423CD7">
          <w:rPr>
            <w:webHidden/>
          </w:rPr>
          <w:fldChar w:fldCharType="end"/>
        </w:r>
      </w:hyperlink>
    </w:p>
    <w:p w:rsidRPr="00985FBE" w:rsidR="00423CD7" w:rsidP="002E5BB6" w:rsidRDefault="00A4181F" w14:paraId="5E57B5F4" w14:textId="09F4DA1E">
      <w:pPr>
        <w:pStyle w:val="TOC2"/>
        <w:rPr>
          <w:rFonts w:eastAsiaTheme="minorEastAsia"/>
        </w:rPr>
      </w:pPr>
      <w:hyperlink w:history="1" w:anchor="_Toc44917296">
        <w:r w:rsidRPr="00985FBE" w:rsidR="00423CD7">
          <w:rPr>
            <w:rStyle w:val="Hyperlink"/>
          </w:rPr>
          <w:t>A2.</w:t>
        </w:r>
        <w:r w:rsidRPr="00985FBE" w:rsidR="00423CD7">
          <w:rPr>
            <w:rFonts w:eastAsiaTheme="minorEastAsia"/>
          </w:rPr>
          <w:tab/>
        </w:r>
        <w:r w:rsidRPr="00985FBE" w:rsidR="00423CD7">
          <w:rPr>
            <w:rStyle w:val="Hyperlink"/>
          </w:rPr>
          <w:t>Purpose and Use of Data</w:t>
        </w:r>
        <w:r w:rsidRPr="00985FBE" w:rsidR="00423CD7">
          <w:rPr>
            <w:webHidden/>
          </w:rPr>
          <w:tab/>
        </w:r>
        <w:r w:rsidRPr="00985FBE" w:rsidR="00423CD7">
          <w:rPr>
            <w:webHidden/>
          </w:rPr>
          <w:fldChar w:fldCharType="begin"/>
        </w:r>
        <w:r w:rsidRPr="00985FBE" w:rsidR="00423CD7">
          <w:rPr>
            <w:webHidden/>
          </w:rPr>
          <w:instrText xml:space="preserve"> PAGEREF _Toc44917296 \h </w:instrText>
        </w:r>
        <w:r w:rsidRPr="00985FBE" w:rsidR="00423CD7">
          <w:rPr>
            <w:webHidden/>
          </w:rPr>
        </w:r>
        <w:r w:rsidRPr="00985FBE" w:rsidR="00423CD7">
          <w:rPr>
            <w:webHidden/>
          </w:rPr>
          <w:fldChar w:fldCharType="separate"/>
        </w:r>
        <w:r w:rsidR="009C3ECD">
          <w:rPr>
            <w:webHidden/>
          </w:rPr>
          <w:t>1</w:t>
        </w:r>
        <w:r w:rsidRPr="00985FBE" w:rsidR="00423CD7">
          <w:rPr>
            <w:webHidden/>
          </w:rPr>
          <w:fldChar w:fldCharType="end"/>
        </w:r>
      </w:hyperlink>
    </w:p>
    <w:p w:rsidRPr="00423CD7" w:rsidR="00423CD7" w:rsidP="002E5BB6" w:rsidRDefault="00A4181F" w14:paraId="65EC45A1" w14:textId="2AF9753D">
      <w:pPr>
        <w:pStyle w:val="TOC3"/>
        <w:rPr>
          <w:rFonts w:eastAsiaTheme="minorEastAsia"/>
        </w:rPr>
      </w:pPr>
      <w:hyperlink w:history="1" w:anchor="_Toc44917297">
        <w:r w:rsidRPr="00985FBE" w:rsidR="00423CD7">
          <w:rPr>
            <w:rStyle w:val="Hyperlink"/>
          </w:rPr>
          <w:t>A.2.1</w:t>
        </w:r>
        <w:r w:rsidRPr="00985FBE" w:rsidR="00423CD7">
          <w:rPr>
            <w:rFonts w:eastAsiaTheme="minorEastAsia"/>
          </w:rPr>
          <w:tab/>
        </w:r>
        <w:r w:rsidRPr="00985FBE" w:rsidR="00423CD7">
          <w:rPr>
            <w:rStyle w:val="Hyperlink"/>
          </w:rPr>
          <w:t>Data Collection Activities for Which Clearance is Requested as Part of this Package</w:t>
        </w:r>
        <w:r w:rsidRPr="00985FBE" w:rsidR="00423CD7">
          <w:rPr>
            <w:webHidden/>
          </w:rPr>
          <w:tab/>
        </w:r>
        <w:r w:rsidRPr="00985FBE" w:rsidR="00423CD7">
          <w:rPr>
            <w:webHidden/>
          </w:rPr>
          <w:fldChar w:fldCharType="begin"/>
        </w:r>
        <w:r w:rsidRPr="00985FBE" w:rsidR="00423CD7">
          <w:rPr>
            <w:webHidden/>
          </w:rPr>
          <w:instrText xml:space="preserve"> PAGEREF _Toc44917297 \h </w:instrText>
        </w:r>
        <w:r w:rsidRPr="00985FBE" w:rsidR="00423CD7">
          <w:rPr>
            <w:webHidden/>
          </w:rPr>
        </w:r>
        <w:r w:rsidRPr="00985FBE" w:rsidR="00423CD7">
          <w:rPr>
            <w:webHidden/>
          </w:rPr>
          <w:fldChar w:fldCharType="separate"/>
        </w:r>
        <w:r w:rsidR="009C3ECD">
          <w:rPr>
            <w:webHidden/>
          </w:rPr>
          <w:t>2</w:t>
        </w:r>
        <w:r w:rsidRPr="00985FBE" w:rsidR="00423CD7">
          <w:rPr>
            <w:webHidden/>
          </w:rPr>
          <w:fldChar w:fldCharType="end"/>
        </w:r>
      </w:hyperlink>
    </w:p>
    <w:p w:rsidRPr="00423CD7" w:rsidR="00423CD7" w:rsidP="002E5BB6" w:rsidRDefault="00A4181F" w14:paraId="34381239" w14:textId="7E187BBE">
      <w:pPr>
        <w:pStyle w:val="TOC3"/>
        <w:rPr>
          <w:rFonts w:eastAsiaTheme="minorEastAsia"/>
        </w:rPr>
      </w:pPr>
      <w:hyperlink w:history="1" w:anchor="_Toc44917298">
        <w:r w:rsidRPr="00423CD7" w:rsidR="00423CD7">
          <w:rPr>
            <w:rStyle w:val="Hyperlink"/>
          </w:rPr>
          <w:t>A.2.2</w:t>
        </w:r>
        <w:r w:rsidRPr="00423CD7" w:rsidR="00423CD7">
          <w:rPr>
            <w:rFonts w:eastAsiaTheme="minorEastAsia"/>
          </w:rPr>
          <w:tab/>
        </w:r>
        <w:r w:rsidRPr="00423CD7" w:rsidR="00423CD7">
          <w:rPr>
            <w:rStyle w:val="Hyperlink"/>
          </w:rPr>
          <w:t xml:space="preserve">Evaluation Activities for Which Clearance is not Requested as Part of this </w:t>
        </w:r>
        <w:r w:rsidRPr="00985FBE" w:rsidR="00423CD7">
          <w:t>Package</w:t>
        </w:r>
        <w:r w:rsidRPr="00E514AE" w:rsidR="00423CD7">
          <w:rPr>
            <w:rStyle w:val="Hyperlink"/>
          </w:rPr>
          <w:t xml:space="preserve"> (provided for context)</w:t>
        </w:r>
        <w:r w:rsidRPr="00E514AE" w:rsidR="00423CD7">
          <w:rPr>
            <w:webHidden/>
          </w:rPr>
          <w:tab/>
        </w:r>
        <w:r w:rsidRPr="00985FBE" w:rsidR="00423CD7">
          <w:rPr>
            <w:webHidden/>
          </w:rPr>
          <w:fldChar w:fldCharType="begin"/>
        </w:r>
        <w:r w:rsidRPr="00985FBE" w:rsidR="00423CD7">
          <w:rPr>
            <w:webHidden/>
          </w:rPr>
          <w:instrText xml:space="preserve"> PAGEREF _Toc44917298 \h </w:instrText>
        </w:r>
        <w:r w:rsidRPr="00985FBE" w:rsidR="00423CD7">
          <w:rPr>
            <w:webHidden/>
          </w:rPr>
        </w:r>
        <w:r w:rsidRPr="00985FBE" w:rsidR="00423CD7">
          <w:rPr>
            <w:webHidden/>
          </w:rPr>
          <w:fldChar w:fldCharType="separate"/>
        </w:r>
        <w:r w:rsidR="009C3ECD">
          <w:rPr>
            <w:webHidden/>
          </w:rPr>
          <w:t>3</w:t>
        </w:r>
        <w:r w:rsidRPr="00985FBE" w:rsidR="00423CD7">
          <w:rPr>
            <w:webHidden/>
          </w:rPr>
          <w:fldChar w:fldCharType="end"/>
        </w:r>
      </w:hyperlink>
    </w:p>
    <w:p w:rsidRPr="00985FBE" w:rsidR="00423CD7" w:rsidP="002E5BB6" w:rsidRDefault="00A4181F" w14:paraId="661FDB4A" w14:textId="08E9B6BF">
      <w:pPr>
        <w:pStyle w:val="TOC2"/>
        <w:rPr>
          <w:rFonts w:eastAsiaTheme="minorEastAsia"/>
        </w:rPr>
      </w:pPr>
      <w:hyperlink w:history="1" w:anchor="_Toc44917299">
        <w:r w:rsidRPr="00985FBE" w:rsidR="00423CD7">
          <w:rPr>
            <w:rStyle w:val="Hyperlink"/>
          </w:rPr>
          <w:t>A3.</w:t>
        </w:r>
        <w:r w:rsidRPr="00985FBE" w:rsidR="00423CD7">
          <w:rPr>
            <w:rFonts w:eastAsiaTheme="minorEastAsia"/>
          </w:rPr>
          <w:tab/>
        </w:r>
        <w:r w:rsidRPr="00985FBE" w:rsidR="00423CD7">
          <w:rPr>
            <w:rStyle w:val="Hyperlink"/>
          </w:rPr>
          <w:t>Use of Technology to Reduce Burden</w:t>
        </w:r>
        <w:r w:rsidRPr="00985FBE" w:rsidR="00423CD7">
          <w:rPr>
            <w:webHidden/>
          </w:rPr>
          <w:tab/>
        </w:r>
        <w:r w:rsidRPr="00985FBE" w:rsidR="00423CD7">
          <w:rPr>
            <w:webHidden/>
          </w:rPr>
          <w:fldChar w:fldCharType="begin"/>
        </w:r>
        <w:r w:rsidRPr="00985FBE" w:rsidR="00423CD7">
          <w:rPr>
            <w:webHidden/>
          </w:rPr>
          <w:instrText xml:space="preserve"> PAGEREF _Toc44917299 \h </w:instrText>
        </w:r>
        <w:r w:rsidRPr="00985FBE" w:rsidR="00423CD7">
          <w:rPr>
            <w:webHidden/>
          </w:rPr>
        </w:r>
        <w:r w:rsidRPr="00985FBE" w:rsidR="00423CD7">
          <w:rPr>
            <w:webHidden/>
          </w:rPr>
          <w:fldChar w:fldCharType="separate"/>
        </w:r>
        <w:r w:rsidR="009C3ECD">
          <w:rPr>
            <w:webHidden/>
          </w:rPr>
          <w:t>3</w:t>
        </w:r>
        <w:r w:rsidRPr="00985FBE" w:rsidR="00423CD7">
          <w:rPr>
            <w:webHidden/>
          </w:rPr>
          <w:fldChar w:fldCharType="end"/>
        </w:r>
      </w:hyperlink>
    </w:p>
    <w:p w:rsidRPr="00985FBE" w:rsidR="00423CD7" w:rsidP="002E5BB6" w:rsidRDefault="00A4181F" w14:paraId="6F2C83C4" w14:textId="35E1D5C3">
      <w:pPr>
        <w:pStyle w:val="TOC2"/>
        <w:rPr>
          <w:rFonts w:eastAsiaTheme="minorEastAsia"/>
        </w:rPr>
      </w:pPr>
      <w:hyperlink w:history="1" w:anchor="_Toc44917300">
        <w:r w:rsidRPr="00985FBE" w:rsidR="00423CD7">
          <w:rPr>
            <w:rStyle w:val="Hyperlink"/>
          </w:rPr>
          <w:t>A4.</w:t>
        </w:r>
        <w:r w:rsidRPr="00985FBE" w:rsidR="00423CD7">
          <w:rPr>
            <w:rFonts w:eastAsiaTheme="minorEastAsia"/>
          </w:rPr>
          <w:tab/>
        </w:r>
        <w:r w:rsidRPr="00985FBE" w:rsidR="00423CD7">
          <w:rPr>
            <w:rStyle w:val="Hyperlink"/>
          </w:rPr>
          <w:t>Efforts to Avoid Duplication of Effort</w:t>
        </w:r>
        <w:r w:rsidRPr="00985FBE" w:rsidR="00423CD7">
          <w:rPr>
            <w:webHidden/>
          </w:rPr>
          <w:tab/>
        </w:r>
        <w:r w:rsidRPr="00985FBE" w:rsidR="00423CD7">
          <w:rPr>
            <w:webHidden/>
          </w:rPr>
          <w:fldChar w:fldCharType="begin"/>
        </w:r>
        <w:r w:rsidRPr="00985FBE" w:rsidR="00423CD7">
          <w:rPr>
            <w:webHidden/>
          </w:rPr>
          <w:instrText xml:space="preserve"> PAGEREF _Toc44917300 \h </w:instrText>
        </w:r>
        <w:r w:rsidRPr="00985FBE" w:rsidR="00423CD7">
          <w:rPr>
            <w:webHidden/>
          </w:rPr>
        </w:r>
        <w:r w:rsidRPr="00985FBE" w:rsidR="00423CD7">
          <w:rPr>
            <w:webHidden/>
          </w:rPr>
          <w:fldChar w:fldCharType="separate"/>
        </w:r>
        <w:r w:rsidR="009C3ECD">
          <w:rPr>
            <w:webHidden/>
          </w:rPr>
          <w:t>4</w:t>
        </w:r>
        <w:r w:rsidRPr="00985FBE" w:rsidR="00423CD7">
          <w:rPr>
            <w:webHidden/>
          </w:rPr>
          <w:fldChar w:fldCharType="end"/>
        </w:r>
      </w:hyperlink>
    </w:p>
    <w:p w:rsidRPr="00985FBE" w:rsidR="00423CD7" w:rsidP="002E5BB6" w:rsidRDefault="00A4181F" w14:paraId="19C7E6E6" w14:textId="068B3F37">
      <w:pPr>
        <w:pStyle w:val="TOC2"/>
        <w:rPr>
          <w:rFonts w:eastAsiaTheme="minorEastAsia"/>
        </w:rPr>
      </w:pPr>
      <w:hyperlink w:history="1" w:anchor="_Toc44917301">
        <w:r w:rsidRPr="00985FBE" w:rsidR="00423CD7">
          <w:rPr>
            <w:rStyle w:val="Hyperlink"/>
          </w:rPr>
          <w:t>A5.</w:t>
        </w:r>
        <w:r w:rsidRPr="00985FBE" w:rsidR="00423CD7">
          <w:rPr>
            <w:rFonts w:eastAsiaTheme="minorEastAsia"/>
          </w:rPr>
          <w:tab/>
        </w:r>
        <w:r w:rsidRPr="00985FBE" w:rsidR="00423CD7">
          <w:rPr>
            <w:rStyle w:val="Hyperlink"/>
          </w:rPr>
          <w:t>Methods of Minimizing Burden on Small Entities</w:t>
        </w:r>
        <w:r w:rsidRPr="00985FBE" w:rsidR="00423CD7">
          <w:rPr>
            <w:webHidden/>
          </w:rPr>
          <w:tab/>
        </w:r>
        <w:r w:rsidRPr="00985FBE" w:rsidR="00423CD7">
          <w:rPr>
            <w:webHidden/>
          </w:rPr>
          <w:fldChar w:fldCharType="begin"/>
        </w:r>
        <w:r w:rsidRPr="00985FBE" w:rsidR="00423CD7">
          <w:rPr>
            <w:webHidden/>
          </w:rPr>
          <w:instrText xml:space="preserve"> PAGEREF _Toc44917301 \h </w:instrText>
        </w:r>
        <w:r w:rsidRPr="00985FBE" w:rsidR="00423CD7">
          <w:rPr>
            <w:webHidden/>
          </w:rPr>
        </w:r>
        <w:r w:rsidRPr="00985FBE" w:rsidR="00423CD7">
          <w:rPr>
            <w:webHidden/>
          </w:rPr>
          <w:fldChar w:fldCharType="separate"/>
        </w:r>
        <w:r w:rsidR="009C3ECD">
          <w:rPr>
            <w:webHidden/>
          </w:rPr>
          <w:t>4</w:t>
        </w:r>
        <w:r w:rsidRPr="00985FBE" w:rsidR="00423CD7">
          <w:rPr>
            <w:webHidden/>
          </w:rPr>
          <w:fldChar w:fldCharType="end"/>
        </w:r>
      </w:hyperlink>
    </w:p>
    <w:p w:rsidRPr="00985FBE" w:rsidR="00423CD7" w:rsidP="002E5BB6" w:rsidRDefault="00A4181F" w14:paraId="24F1C03A" w14:textId="2E64AC49">
      <w:pPr>
        <w:pStyle w:val="TOC2"/>
        <w:rPr>
          <w:rFonts w:eastAsiaTheme="minorEastAsia"/>
        </w:rPr>
      </w:pPr>
      <w:hyperlink w:history="1" w:anchor="_Toc44917302">
        <w:r w:rsidRPr="00985FBE" w:rsidR="00423CD7">
          <w:rPr>
            <w:rStyle w:val="Hyperlink"/>
          </w:rPr>
          <w:t>A6.</w:t>
        </w:r>
        <w:r w:rsidRPr="00985FBE" w:rsidR="00423CD7">
          <w:rPr>
            <w:rFonts w:eastAsiaTheme="minorEastAsia"/>
          </w:rPr>
          <w:tab/>
        </w:r>
        <w:r w:rsidRPr="00985FBE" w:rsidR="00423CD7">
          <w:rPr>
            <w:rStyle w:val="Hyperlink"/>
          </w:rPr>
          <w:t>Consequences of not Collecting Data</w:t>
        </w:r>
        <w:r w:rsidRPr="00985FBE" w:rsidR="00423CD7">
          <w:rPr>
            <w:webHidden/>
          </w:rPr>
          <w:tab/>
        </w:r>
        <w:r w:rsidRPr="00985FBE" w:rsidR="00423CD7">
          <w:rPr>
            <w:webHidden/>
          </w:rPr>
          <w:fldChar w:fldCharType="begin"/>
        </w:r>
        <w:r w:rsidRPr="00985FBE" w:rsidR="00423CD7">
          <w:rPr>
            <w:webHidden/>
          </w:rPr>
          <w:instrText xml:space="preserve"> PAGEREF _Toc44917302 \h </w:instrText>
        </w:r>
        <w:r w:rsidRPr="00985FBE" w:rsidR="00423CD7">
          <w:rPr>
            <w:webHidden/>
          </w:rPr>
        </w:r>
        <w:r w:rsidRPr="00985FBE" w:rsidR="00423CD7">
          <w:rPr>
            <w:webHidden/>
          </w:rPr>
          <w:fldChar w:fldCharType="separate"/>
        </w:r>
        <w:r w:rsidR="009C3ECD">
          <w:rPr>
            <w:webHidden/>
          </w:rPr>
          <w:t>4</w:t>
        </w:r>
        <w:r w:rsidRPr="00985FBE" w:rsidR="00423CD7">
          <w:rPr>
            <w:webHidden/>
          </w:rPr>
          <w:fldChar w:fldCharType="end"/>
        </w:r>
      </w:hyperlink>
    </w:p>
    <w:p w:rsidRPr="00985FBE" w:rsidR="00423CD7" w:rsidP="002E5BB6" w:rsidRDefault="00A4181F" w14:paraId="69682D29" w14:textId="3B6142CA">
      <w:pPr>
        <w:pStyle w:val="TOC2"/>
        <w:rPr>
          <w:rFonts w:eastAsiaTheme="minorEastAsia"/>
        </w:rPr>
      </w:pPr>
      <w:hyperlink w:history="1" w:anchor="_Toc44917303">
        <w:r w:rsidRPr="00985FBE" w:rsidR="00423CD7">
          <w:rPr>
            <w:rStyle w:val="Hyperlink"/>
          </w:rPr>
          <w:t>A7.</w:t>
        </w:r>
        <w:r w:rsidRPr="00985FBE" w:rsidR="00423CD7">
          <w:rPr>
            <w:rFonts w:eastAsiaTheme="minorEastAsia"/>
          </w:rPr>
          <w:tab/>
        </w:r>
        <w:r w:rsidRPr="00985FBE" w:rsidR="00423CD7">
          <w:rPr>
            <w:rStyle w:val="Hyperlink"/>
          </w:rPr>
          <w:t>Special Circumstances</w:t>
        </w:r>
        <w:r w:rsidRPr="00985FBE" w:rsidR="00423CD7">
          <w:rPr>
            <w:webHidden/>
          </w:rPr>
          <w:tab/>
        </w:r>
        <w:r w:rsidRPr="00985FBE" w:rsidR="00423CD7">
          <w:rPr>
            <w:webHidden/>
          </w:rPr>
          <w:fldChar w:fldCharType="begin"/>
        </w:r>
        <w:r w:rsidRPr="00985FBE" w:rsidR="00423CD7">
          <w:rPr>
            <w:webHidden/>
          </w:rPr>
          <w:instrText xml:space="preserve"> PAGEREF _Toc44917303 \h </w:instrText>
        </w:r>
        <w:r w:rsidRPr="00985FBE" w:rsidR="00423CD7">
          <w:rPr>
            <w:webHidden/>
          </w:rPr>
        </w:r>
        <w:r w:rsidRPr="00985FBE" w:rsidR="00423CD7">
          <w:rPr>
            <w:webHidden/>
          </w:rPr>
          <w:fldChar w:fldCharType="separate"/>
        </w:r>
        <w:r w:rsidR="009C3ECD">
          <w:rPr>
            <w:webHidden/>
          </w:rPr>
          <w:t>4</w:t>
        </w:r>
        <w:r w:rsidRPr="00985FBE" w:rsidR="00423CD7">
          <w:rPr>
            <w:webHidden/>
          </w:rPr>
          <w:fldChar w:fldCharType="end"/>
        </w:r>
      </w:hyperlink>
    </w:p>
    <w:p w:rsidRPr="00985FBE" w:rsidR="00423CD7" w:rsidP="002E5BB6" w:rsidRDefault="00A4181F" w14:paraId="5C9971A8" w14:textId="19339D05">
      <w:pPr>
        <w:pStyle w:val="TOC2"/>
        <w:rPr>
          <w:rFonts w:eastAsiaTheme="minorEastAsia"/>
        </w:rPr>
      </w:pPr>
      <w:hyperlink w:history="1" w:anchor="_Toc44917304">
        <w:r w:rsidRPr="00985FBE" w:rsidR="00423CD7">
          <w:rPr>
            <w:rStyle w:val="Hyperlink"/>
          </w:rPr>
          <w:t>A8.</w:t>
        </w:r>
        <w:r w:rsidRPr="00985FBE" w:rsidR="00423CD7">
          <w:rPr>
            <w:rFonts w:eastAsiaTheme="minorEastAsia"/>
          </w:rPr>
          <w:tab/>
        </w:r>
        <w:r w:rsidRPr="00985FBE" w:rsidR="00423CD7">
          <w:rPr>
            <w:rStyle w:val="Hyperlink"/>
          </w:rPr>
          <w:t>Federal Register Announcement and Consultation</w:t>
        </w:r>
        <w:r w:rsidRPr="00985FBE" w:rsidR="00423CD7">
          <w:rPr>
            <w:webHidden/>
          </w:rPr>
          <w:tab/>
        </w:r>
        <w:r w:rsidRPr="00985FBE" w:rsidR="00423CD7">
          <w:rPr>
            <w:webHidden/>
          </w:rPr>
          <w:fldChar w:fldCharType="begin"/>
        </w:r>
        <w:r w:rsidRPr="00985FBE" w:rsidR="00423CD7">
          <w:rPr>
            <w:webHidden/>
          </w:rPr>
          <w:instrText xml:space="preserve"> PAGEREF _Toc44917304 \h </w:instrText>
        </w:r>
        <w:r w:rsidRPr="00985FBE" w:rsidR="00423CD7">
          <w:rPr>
            <w:webHidden/>
          </w:rPr>
        </w:r>
        <w:r w:rsidRPr="00985FBE" w:rsidR="00423CD7">
          <w:rPr>
            <w:webHidden/>
          </w:rPr>
          <w:fldChar w:fldCharType="separate"/>
        </w:r>
        <w:r w:rsidR="009C3ECD">
          <w:rPr>
            <w:webHidden/>
          </w:rPr>
          <w:t>4</w:t>
        </w:r>
        <w:r w:rsidRPr="00985FBE" w:rsidR="00423CD7">
          <w:rPr>
            <w:webHidden/>
          </w:rPr>
          <w:fldChar w:fldCharType="end"/>
        </w:r>
      </w:hyperlink>
    </w:p>
    <w:p w:rsidRPr="00985FBE" w:rsidR="00423CD7" w:rsidP="002E5BB6" w:rsidRDefault="00A4181F" w14:paraId="05AA2C3A" w14:textId="38B110AD">
      <w:pPr>
        <w:pStyle w:val="TOC2"/>
        <w:rPr>
          <w:rFonts w:eastAsiaTheme="minorEastAsia"/>
        </w:rPr>
      </w:pPr>
      <w:hyperlink w:history="1" w:anchor="_Toc44917305">
        <w:r w:rsidRPr="00985FBE" w:rsidR="00423CD7">
          <w:rPr>
            <w:rStyle w:val="Hyperlink"/>
          </w:rPr>
          <w:t>A9.</w:t>
        </w:r>
        <w:r w:rsidRPr="00985FBE" w:rsidR="00423CD7">
          <w:rPr>
            <w:rFonts w:eastAsiaTheme="minorEastAsia"/>
          </w:rPr>
          <w:tab/>
        </w:r>
        <w:r w:rsidRPr="00985FBE" w:rsidR="00423CD7">
          <w:rPr>
            <w:rStyle w:val="Hyperlink"/>
          </w:rPr>
          <w:t>Payments or Gifts</w:t>
        </w:r>
        <w:r w:rsidRPr="00985FBE" w:rsidR="00423CD7">
          <w:rPr>
            <w:webHidden/>
          </w:rPr>
          <w:tab/>
        </w:r>
        <w:r w:rsidRPr="00985FBE" w:rsidR="00423CD7">
          <w:rPr>
            <w:webHidden/>
          </w:rPr>
          <w:fldChar w:fldCharType="begin"/>
        </w:r>
        <w:r w:rsidRPr="00985FBE" w:rsidR="00423CD7">
          <w:rPr>
            <w:webHidden/>
          </w:rPr>
          <w:instrText xml:space="preserve"> PAGEREF _Toc44917305 \h </w:instrText>
        </w:r>
        <w:r w:rsidRPr="00985FBE" w:rsidR="00423CD7">
          <w:rPr>
            <w:webHidden/>
          </w:rPr>
        </w:r>
        <w:r w:rsidRPr="00985FBE" w:rsidR="00423CD7">
          <w:rPr>
            <w:webHidden/>
          </w:rPr>
          <w:fldChar w:fldCharType="separate"/>
        </w:r>
        <w:r w:rsidR="009C3ECD">
          <w:rPr>
            <w:webHidden/>
          </w:rPr>
          <w:t>5</w:t>
        </w:r>
        <w:r w:rsidRPr="00985FBE" w:rsidR="00423CD7">
          <w:rPr>
            <w:webHidden/>
          </w:rPr>
          <w:fldChar w:fldCharType="end"/>
        </w:r>
      </w:hyperlink>
    </w:p>
    <w:p w:rsidRPr="00985FBE" w:rsidR="00423CD7" w:rsidP="002E5BB6" w:rsidRDefault="00A4181F" w14:paraId="6C6F59A6" w14:textId="37064F95">
      <w:pPr>
        <w:pStyle w:val="TOC2"/>
        <w:rPr>
          <w:rFonts w:eastAsiaTheme="minorEastAsia"/>
        </w:rPr>
      </w:pPr>
      <w:hyperlink w:history="1" w:anchor="_Toc44917306">
        <w:r w:rsidRPr="00985FBE" w:rsidR="00423CD7">
          <w:rPr>
            <w:rStyle w:val="Hyperlink"/>
          </w:rPr>
          <w:t>A10.</w:t>
        </w:r>
        <w:r w:rsidRPr="00985FBE" w:rsidR="00423CD7">
          <w:rPr>
            <w:rFonts w:eastAsiaTheme="minorEastAsia"/>
          </w:rPr>
          <w:tab/>
        </w:r>
        <w:r w:rsidRPr="00985FBE" w:rsidR="00423CD7">
          <w:rPr>
            <w:rStyle w:val="Hyperlink"/>
          </w:rPr>
          <w:t>Assurances of Confidentiality</w:t>
        </w:r>
        <w:r w:rsidRPr="00985FBE" w:rsidR="00423CD7">
          <w:rPr>
            <w:webHidden/>
          </w:rPr>
          <w:tab/>
        </w:r>
        <w:r w:rsidRPr="00985FBE" w:rsidR="00423CD7">
          <w:rPr>
            <w:webHidden/>
          </w:rPr>
          <w:fldChar w:fldCharType="begin"/>
        </w:r>
        <w:r w:rsidRPr="00985FBE" w:rsidR="00423CD7">
          <w:rPr>
            <w:webHidden/>
          </w:rPr>
          <w:instrText xml:space="preserve"> PAGEREF _Toc44917306 \h </w:instrText>
        </w:r>
        <w:r w:rsidRPr="00985FBE" w:rsidR="00423CD7">
          <w:rPr>
            <w:webHidden/>
          </w:rPr>
        </w:r>
        <w:r w:rsidRPr="00985FBE" w:rsidR="00423CD7">
          <w:rPr>
            <w:webHidden/>
          </w:rPr>
          <w:fldChar w:fldCharType="separate"/>
        </w:r>
        <w:r w:rsidR="009C3ECD">
          <w:rPr>
            <w:webHidden/>
          </w:rPr>
          <w:t>5</w:t>
        </w:r>
        <w:r w:rsidRPr="00985FBE" w:rsidR="00423CD7">
          <w:rPr>
            <w:webHidden/>
          </w:rPr>
          <w:fldChar w:fldCharType="end"/>
        </w:r>
      </w:hyperlink>
    </w:p>
    <w:p w:rsidRPr="00985FBE" w:rsidR="00423CD7" w:rsidP="002E5BB6" w:rsidRDefault="00A4181F" w14:paraId="06CF386F" w14:textId="6F926E10">
      <w:pPr>
        <w:pStyle w:val="TOC2"/>
        <w:rPr>
          <w:rFonts w:eastAsiaTheme="minorEastAsia"/>
        </w:rPr>
      </w:pPr>
      <w:hyperlink w:history="1" w:anchor="_Toc44917307">
        <w:r w:rsidRPr="00985FBE" w:rsidR="00423CD7">
          <w:rPr>
            <w:rStyle w:val="Hyperlink"/>
          </w:rPr>
          <w:t>A11.</w:t>
        </w:r>
        <w:r w:rsidRPr="00985FBE" w:rsidR="00423CD7">
          <w:rPr>
            <w:rFonts w:eastAsiaTheme="minorEastAsia"/>
          </w:rPr>
          <w:tab/>
        </w:r>
        <w:r w:rsidRPr="00985FBE" w:rsidR="00423CD7">
          <w:rPr>
            <w:rStyle w:val="Hyperlink"/>
          </w:rPr>
          <w:t>Justification for Sensitive Questions</w:t>
        </w:r>
        <w:r w:rsidRPr="00985FBE" w:rsidR="00423CD7">
          <w:rPr>
            <w:webHidden/>
          </w:rPr>
          <w:tab/>
        </w:r>
        <w:r w:rsidRPr="00985FBE" w:rsidR="00423CD7">
          <w:rPr>
            <w:webHidden/>
          </w:rPr>
          <w:fldChar w:fldCharType="begin"/>
        </w:r>
        <w:r w:rsidRPr="00985FBE" w:rsidR="00423CD7">
          <w:rPr>
            <w:webHidden/>
          </w:rPr>
          <w:instrText xml:space="preserve"> PAGEREF _Toc44917307 \h </w:instrText>
        </w:r>
        <w:r w:rsidRPr="00985FBE" w:rsidR="00423CD7">
          <w:rPr>
            <w:webHidden/>
          </w:rPr>
        </w:r>
        <w:r w:rsidRPr="00985FBE" w:rsidR="00423CD7">
          <w:rPr>
            <w:webHidden/>
          </w:rPr>
          <w:fldChar w:fldCharType="separate"/>
        </w:r>
        <w:r w:rsidR="009C3ECD">
          <w:rPr>
            <w:webHidden/>
          </w:rPr>
          <w:t>6</w:t>
        </w:r>
        <w:r w:rsidRPr="00985FBE" w:rsidR="00423CD7">
          <w:rPr>
            <w:webHidden/>
          </w:rPr>
          <w:fldChar w:fldCharType="end"/>
        </w:r>
      </w:hyperlink>
    </w:p>
    <w:p w:rsidRPr="00985FBE" w:rsidR="00423CD7" w:rsidP="002E5BB6" w:rsidRDefault="00A4181F" w14:paraId="56B4A901" w14:textId="156C9B42">
      <w:pPr>
        <w:pStyle w:val="TOC2"/>
        <w:rPr>
          <w:rFonts w:eastAsiaTheme="minorEastAsia"/>
        </w:rPr>
      </w:pPr>
      <w:hyperlink w:history="1" w:anchor="_Toc44917308">
        <w:r w:rsidRPr="00985FBE" w:rsidR="00423CD7">
          <w:rPr>
            <w:rStyle w:val="Hyperlink"/>
          </w:rPr>
          <w:t>A12.</w:t>
        </w:r>
        <w:r w:rsidRPr="00985FBE" w:rsidR="00423CD7">
          <w:rPr>
            <w:rFonts w:eastAsiaTheme="minorEastAsia"/>
          </w:rPr>
          <w:tab/>
        </w:r>
        <w:r w:rsidRPr="00985FBE" w:rsidR="00423CD7">
          <w:rPr>
            <w:rStyle w:val="Hyperlink"/>
          </w:rPr>
          <w:t>Estimates of Hours Burden</w:t>
        </w:r>
        <w:r w:rsidRPr="00985FBE" w:rsidR="00423CD7">
          <w:rPr>
            <w:webHidden/>
          </w:rPr>
          <w:tab/>
        </w:r>
        <w:r w:rsidRPr="00985FBE" w:rsidR="00423CD7">
          <w:rPr>
            <w:webHidden/>
          </w:rPr>
          <w:fldChar w:fldCharType="begin"/>
        </w:r>
        <w:r w:rsidRPr="00985FBE" w:rsidR="00423CD7">
          <w:rPr>
            <w:webHidden/>
          </w:rPr>
          <w:instrText xml:space="preserve"> PAGEREF _Toc44917308 \h </w:instrText>
        </w:r>
        <w:r w:rsidRPr="00985FBE" w:rsidR="00423CD7">
          <w:rPr>
            <w:webHidden/>
          </w:rPr>
        </w:r>
        <w:r w:rsidRPr="00985FBE" w:rsidR="00423CD7">
          <w:rPr>
            <w:webHidden/>
          </w:rPr>
          <w:fldChar w:fldCharType="separate"/>
        </w:r>
        <w:r w:rsidR="009C3ECD">
          <w:rPr>
            <w:webHidden/>
          </w:rPr>
          <w:t>6</w:t>
        </w:r>
        <w:r w:rsidRPr="00985FBE" w:rsidR="00423CD7">
          <w:rPr>
            <w:webHidden/>
          </w:rPr>
          <w:fldChar w:fldCharType="end"/>
        </w:r>
      </w:hyperlink>
    </w:p>
    <w:p w:rsidRPr="00985FBE" w:rsidR="00423CD7" w:rsidP="002E5BB6" w:rsidRDefault="00A4181F" w14:paraId="6BC46B6B" w14:textId="128F9198">
      <w:pPr>
        <w:pStyle w:val="TOC2"/>
        <w:rPr>
          <w:rFonts w:eastAsiaTheme="minorEastAsia"/>
        </w:rPr>
      </w:pPr>
      <w:hyperlink w:history="1" w:anchor="_Toc44917309">
        <w:r w:rsidRPr="00985FBE" w:rsidR="00423CD7">
          <w:rPr>
            <w:rStyle w:val="Hyperlink"/>
          </w:rPr>
          <w:t>A13.</w:t>
        </w:r>
        <w:r w:rsidRPr="00985FBE" w:rsidR="00423CD7">
          <w:rPr>
            <w:rFonts w:eastAsiaTheme="minorEastAsia"/>
          </w:rPr>
          <w:tab/>
        </w:r>
        <w:r w:rsidRPr="00985FBE" w:rsidR="00423CD7">
          <w:rPr>
            <w:rStyle w:val="Hyperlink"/>
          </w:rPr>
          <w:t>Estimate of Cost Burden to Respondents</w:t>
        </w:r>
        <w:r w:rsidRPr="00985FBE" w:rsidR="00423CD7">
          <w:rPr>
            <w:webHidden/>
          </w:rPr>
          <w:tab/>
        </w:r>
        <w:r w:rsidRPr="00985FBE" w:rsidR="00423CD7">
          <w:rPr>
            <w:webHidden/>
          </w:rPr>
          <w:fldChar w:fldCharType="begin"/>
        </w:r>
        <w:r w:rsidRPr="00985FBE" w:rsidR="00423CD7">
          <w:rPr>
            <w:webHidden/>
          </w:rPr>
          <w:instrText xml:space="preserve"> PAGEREF _Toc44917309 \h </w:instrText>
        </w:r>
        <w:r w:rsidRPr="00985FBE" w:rsidR="00423CD7">
          <w:rPr>
            <w:webHidden/>
          </w:rPr>
        </w:r>
        <w:r w:rsidRPr="00985FBE" w:rsidR="00423CD7">
          <w:rPr>
            <w:webHidden/>
          </w:rPr>
          <w:fldChar w:fldCharType="separate"/>
        </w:r>
        <w:r w:rsidR="009C3ECD">
          <w:rPr>
            <w:webHidden/>
          </w:rPr>
          <w:t>7</w:t>
        </w:r>
        <w:r w:rsidRPr="00985FBE" w:rsidR="00423CD7">
          <w:rPr>
            <w:webHidden/>
          </w:rPr>
          <w:fldChar w:fldCharType="end"/>
        </w:r>
      </w:hyperlink>
    </w:p>
    <w:p w:rsidRPr="00985FBE" w:rsidR="00423CD7" w:rsidP="002E5BB6" w:rsidRDefault="00A4181F" w14:paraId="6959E2D4" w14:textId="3E90D723">
      <w:pPr>
        <w:pStyle w:val="TOC2"/>
        <w:rPr>
          <w:rFonts w:eastAsiaTheme="minorEastAsia"/>
        </w:rPr>
      </w:pPr>
      <w:hyperlink w:history="1" w:anchor="_Toc44917310">
        <w:r w:rsidRPr="00985FBE" w:rsidR="00423CD7">
          <w:rPr>
            <w:rStyle w:val="Hyperlink"/>
          </w:rPr>
          <w:t>A14.</w:t>
        </w:r>
        <w:r w:rsidRPr="00985FBE" w:rsidR="00423CD7">
          <w:rPr>
            <w:rFonts w:eastAsiaTheme="minorEastAsia"/>
          </w:rPr>
          <w:tab/>
        </w:r>
        <w:r w:rsidRPr="00985FBE" w:rsidR="00423CD7">
          <w:rPr>
            <w:rStyle w:val="Hyperlink"/>
          </w:rPr>
          <w:t>Annualized Cost to the Federal Government</w:t>
        </w:r>
        <w:r w:rsidRPr="00985FBE" w:rsidR="00423CD7">
          <w:rPr>
            <w:webHidden/>
          </w:rPr>
          <w:tab/>
        </w:r>
        <w:r w:rsidRPr="00985FBE" w:rsidR="00423CD7">
          <w:rPr>
            <w:webHidden/>
          </w:rPr>
          <w:fldChar w:fldCharType="begin"/>
        </w:r>
        <w:r w:rsidRPr="00985FBE" w:rsidR="00423CD7">
          <w:rPr>
            <w:webHidden/>
          </w:rPr>
          <w:instrText xml:space="preserve"> PAGEREF _Toc44917310 \h </w:instrText>
        </w:r>
        <w:r w:rsidRPr="00985FBE" w:rsidR="00423CD7">
          <w:rPr>
            <w:webHidden/>
          </w:rPr>
        </w:r>
        <w:r w:rsidRPr="00985FBE" w:rsidR="00423CD7">
          <w:rPr>
            <w:webHidden/>
          </w:rPr>
          <w:fldChar w:fldCharType="separate"/>
        </w:r>
        <w:r w:rsidR="009C3ECD">
          <w:rPr>
            <w:webHidden/>
          </w:rPr>
          <w:t>7</w:t>
        </w:r>
        <w:r w:rsidRPr="00985FBE" w:rsidR="00423CD7">
          <w:rPr>
            <w:webHidden/>
          </w:rPr>
          <w:fldChar w:fldCharType="end"/>
        </w:r>
      </w:hyperlink>
    </w:p>
    <w:p w:rsidRPr="00985FBE" w:rsidR="00423CD7" w:rsidP="002E5BB6" w:rsidRDefault="00A4181F" w14:paraId="385FBBB4" w14:textId="01BFEDB5">
      <w:pPr>
        <w:pStyle w:val="TOC2"/>
        <w:rPr>
          <w:rFonts w:eastAsiaTheme="minorEastAsia"/>
        </w:rPr>
      </w:pPr>
      <w:hyperlink w:history="1" w:anchor="_Toc44917311">
        <w:r w:rsidRPr="00985FBE" w:rsidR="00423CD7">
          <w:rPr>
            <w:rStyle w:val="Hyperlink"/>
          </w:rPr>
          <w:t>A15.</w:t>
        </w:r>
        <w:r w:rsidRPr="00985FBE" w:rsidR="00423CD7">
          <w:rPr>
            <w:rFonts w:eastAsiaTheme="minorEastAsia"/>
          </w:rPr>
          <w:tab/>
        </w:r>
        <w:r w:rsidRPr="00985FBE" w:rsidR="00423CD7">
          <w:rPr>
            <w:rStyle w:val="Hyperlink"/>
          </w:rPr>
          <w:t>Reasons for Program Changes or Adjustments</w:t>
        </w:r>
        <w:r w:rsidRPr="00985FBE" w:rsidR="00423CD7">
          <w:rPr>
            <w:webHidden/>
          </w:rPr>
          <w:tab/>
        </w:r>
        <w:r w:rsidRPr="00985FBE" w:rsidR="00423CD7">
          <w:rPr>
            <w:webHidden/>
          </w:rPr>
          <w:fldChar w:fldCharType="begin"/>
        </w:r>
        <w:r w:rsidRPr="00985FBE" w:rsidR="00423CD7">
          <w:rPr>
            <w:webHidden/>
          </w:rPr>
          <w:instrText xml:space="preserve"> PAGEREF _Toc44917311 \h </w:instrText>
        </w:r>
        <w:r w:rsidRPr="00985FBE" w:rsidR="00423CD7">
          <w:rPr>
            <w:webHidden/>
          </w:rPr>
        </w:r>
        <w:r w:rsidRPr="00985FBE" w:rsidR="00423CD7">
          <w:rPr>
            <w:webHidden/>
          </w:rPr>
          <w:fldChar w:fldCharType="separate"/>
        </w:r>
        <w:r w:rsidR="009C3ECD">
          <w:rPr>
            <w:webHidden/>
          </w:rPr>
          <w:t>7</w:t>
        </w:r>
        <w:r w:rsidRPr="00985FBE" w:rsidR="00423CD7">
          <w:rPr>
            <w:webHidden/>
          </w:rPr>
          <w:fldChar w:fldCharType="end"/>
        </w:r>
      </w:hyperlink>
    </w:p>
    <w:p w:rsidRPr="00985FBE" w:rsidR="00423CD7" w:rsidP="002E5BB6" w:rsidRDefault="00A4181F" w14:paraId="4BB0B651" w14:textId="593171DF">
      <w:pPr>
        <w:pStyle w:val="TOC2"/>
        <w:rPr>
          <w:rFonts w:eastAsiaTheme="minorEastAsia"/>
        </w:rPr>
      </w:pPr>
      <w:hyperlink w:history="1" w:anchor="_Toc44917312">
        <w:r w:rsidRPr="00985FBE" w:rsidR="00423CD7">
          <w:rPr>
            <w:rStyle w:val="Hyperlink"/>
          </w:rPr>
          <w:t>A16.</w:t>
        </w:r>
        <w:r w:rsidRPr="00985FBE" w:rsidR="00423CD7">
          <w:rPr>
            <w:rFonts w:eastAsiaTheme="minorEastAsia"/>
          </w:rPr>
          <w:tab/>
        </w:r>
        <w:r w:rsidRPr="00985FBE" w:rsidR="00423CD7">
          <w:rPr>
            <w:rStyle w:val="Hyperlink"/>
          </w:rPr>
          <w:t>Plans for Tabulation and Publication of Results</w:t>
        </w:r>
        <w:r w:rsidRPr="00985FBE" w:rsidR="00423CD7">
          <w:rPr>
            <w:webHidden/>
          </w:rPr>
          <w:tab/>
        </w:r>
        <w:r w:rsidRPr="00985FBE" w:rsidR="00423CD7">
          <w:rPr>
            <w:webHidden/>
          </w:rPr>
          <w:fldChar w:fldCharType="begin"/>
        </w:r>
        <w:r w:rsidRPr="00985FBE" w:rsidR="00423CD7">
          <w:rPr>
            <w:webHidden/>
          </w:rPr>
          <w:instrText xml:space="preserve"> PAGEREF _Toc44917312 \h </w:instrText>
        </w:r>
        <w:r w:rsidRPr="00985FBE" w:rsidR="00423CD7">
          <w:rPr>
            <w:webHidden/>
          </w:rPr>
        </w:r>
        <w:r w:rsidRPr="00985FBE" w:rsidR="00423CD7">
          <w:rPr>
            <w:webHidden/>
          </w:rPr>
          <w:fldChar w:fldCharType="separate"/>
        </w:r>
        <w:r w:rsidR="009C3ECD">
          <w:rPr>
            <w:webHidden/>
          </w:rPr>
          <w:t>7</w:t>
        </w:r>
        <w:r w:rsidRPr="00985FBE" w:rsidR="00423CD7">
          <w:rPr>
            <w:webHidden/>
          </w:rPr>
          <w:fldChar w:fldCharType="end"/>
        </w:r>
      </w:hyperlink>
    </w:p>
    <w:p w:rsidRPr="00985FBE" w:rsidR="00423CD7" w:rsidP="002E5BB6" w:rsidRDefault="00A4181F" w14:paraId="554F17AB" w14:textId="3EE83895">
      <w:pPr>
        <w:pStyle w:val="TOC2"/>
        <w:rPr>
          <w:rFonts w:eastAsiaTheme="minorEastAsia"/>
        </w:rPr>
      </w:pPr>
      <w:hyperlink w:history="1" w:anchor="_Toc44917313">
        <w:r w:rsidRPr="00985FBE" w:rsidR="00423CD7">
          <w:rPr>
            <w:rStyle w:val="Hyperlink"/>
          </w:rPr>
          <w:t>A17.</w:t>
        </w:r>
        <w:r w:rsidRPr="00985FBE" w:rsidR="00423CD7">
          <w:rPr>
            <w:rFonts w:eastAsiaTheme="minorEastAsia"/>
          </w:rPr>
          <w:tab/>
        </w:r>
        <w:r w:rsidRPr="00985FBE" w:rsidR="00423CD7">
          <w:rPr>
            <w:rStyle w:val="Hyperlink"/>
          </w:rPr>
          <w:t>Approval not to Display the Expiration Date for OMB Approval</w:t>
        </w:r>
        <w:r w:rsidRPr="00985FBE" w:rsidR="00423CD7">
          <w:rPr>
            <w:webHidden/>
          </w:rPr>
          <w:tab/>
        </w:r>
        <w:r w:rsidRPr="00985FBE" w:rsidR="00423CD7">
          <w:rPr>
            <w:webHidden/>
          </w:rPr>
          <w:fldChar w:fldCharType="begin"/>
        </w:r>
        <w:r w:rsidRPr="00985FBE" w:rsidR="00423CD7">
          <w:rPr>
            <w:webHidden/>
          </w:rPr>
          <w:instrText xml:space="preserve"> PAGEREF _Toc44917313 \h </w:instrText>
        </w:r>
        <w:r w:rsidRPr="00985FBE" w:rsidR="00423CD7">
          <w:rPr>
            <w:webHidden/>
          </w:rPr>
        </w:r>
        <w:r w:rsidRPr="00985FBE" w:rsidR="00423CD7">
          <w:rPr>
            <w:webHidden/>
          </w:rPr>
          <w:fldChar w:fldCharType="separate"/>
        </w:r>
        <w:r w:rsidR="009C3ECD">
          <w:rPr>
            <w:webHidden/>
          </w:rPr>
          <w:t>8</w:t>
        </w:r>
        <w:r w:rsidRPr="00985FBE" w:rsidR="00423CD7">
          <w:rPr>
            <w:webHidden/>
          </w:rPr>
          <w:fldChar w:fldCharType="end"/>
        </w:r>
      </w:hyperlink>
    </w:p>
    <w:p w:rsidRPr="00985FBE" w:rsidR="00423CD7" w:rsidP="002E5BB6" w:rsidRDefault="00A4181F" w14:paraId="564BD795" w14:textId="3B01CB6E">
      <w:pPr>
        <w:pStyle w:val="TOC2"/>
        <w:rPr>
          <w:rFonts w:eastAsiaTheme="minorEastAsia"/>
        </w:rPr>
      </w:pPr>
      <w:hyperlink w:history="1" w:anchor="_Toc44917314">
        <w:r w:rsidRPr="00985FBE" w:rsidR="00423CD7">
          <w:rPr>
            <w:rStyle w:val="Hyperlink"/>
          </w:rPr>
          <w:t>A18.</w:t>
        </w:r>
        <w:r w:rsidRPr="00985FBE" w:rsidR="00423CD7">
          <w:rPr>
            <w:rFonts w:eastAsiaTheme="minorEastAsia"/>
          </w:rPr>
          <w:tab/>
        </w:r>
        <w:r w:rsidRPr="00985FBE" w:rsidR="00423CD7">
          <w:rPr>
            <w:rStyle w:val="Hyperlink"/>
          </w:rPr>
          <w:t>Exception to the Certification Statement</w:t>
        </w:r>
        <w:r w:rsidRPr="00985FBE" w:rsidR="00423CD7">
          <w:rPr>
            <w:webHidden/>
          </w:rPr>
          <w:tab/>
        </w:r>
        <w:r w:rsidRPr="00985FBE" w:rsidR="00423CD7">
          <w:rPr>
            <w:webHidden/>
          </w:rPr>
          <w:fldChar w:fldCharType="begin"/>
        </w:r>
        <w:r w:rsidRPr="00985FBE" w:rsidR="00423CD7">
          <w:rPr>
            <w:webHidden/>
          </w:rPr>
          <w:instrText xml:space="preserve"> PAGEREF _Toc44917314 \h </w:instrText>
        </w:r>
        <w:r w:rsidRPr="00985FBE" w:rsidR="00423CD7">
          <w:rPr>
            <w:webHidden/>
          </w:rPr>
        </w:r>
        <w:r w:rsidRPr="00985FBE" w:rsidR="00423CD7">
          <w:rPr>
            <w:webHidden/>
          </w:rPr>
          <w:fldChar w:fldCharType="separate"/>
        </w:r>
        <w:r w:rsidR="009C3ECD">
          <w:rPr>
            <w:webHidden/>
          </w:rPr>
          <w:t>8</w:t>
        </w:r>
        <w:r w:rsidRPr="00985FBE" w:rsidR="00423CD7">
          <w:rPr>
            <w:webHidden/>
          </w:rPr>
          <w:fldChar w:fldCharType="end"/>
        </w:r>
      </w:hyperlink>
    </w:p>
    <w:p w:rsidR="00423CD7" w:rsidP="000E7CA4" w:rsidRDefault="00463EBF" w14:paraId="12DC7844" w14:textId="160F1F7F">
      <w:pPr>
        <w:pStyle w:val="TOC2"/>
        <w:ind w:left="0" w:firstLine="0"/>
      </w:pPr>
      <w:r w:rsidRPr="00423CD7">
        <w:fldChar w:fldCharType="end"/>
      </w:r>
    </w:p>
    <w:p w:rsidR="00423CD7" w:rsidP="002E5BB6" w:rsidRDefault="00423CD7" w14:paraId="72901228" w14:textId="77777777">
      <w:pPr>
        <w:rPr>
          <w:rFonts w:eastAsia="Times New Roman"/>
          <w:noProof/>
          <w:u w:val="words"/>
        </w:rPr>
      </w:pPr>
      <w:r>
        <w:rPr>
          <w:noProof/>
        </w:rPr>
        <w:br w:type="page"/>
      </w:r>
    </w:p>
    <w:p w:rsidRPr="00E84028" w:rsidR="00E84028" w:rsidP="00E84028" w:rsidRDefault="00E84028" w14:paraId="121CA63E" w14:textId="6D65FDB5">
      <w:pPr>
        <w:tabs>
          <w:tab w:val="left" w:pos="1440"/>
          <w:tab w:val="right" w:leader="dot" w:pos="8208"/>
          <w:tab w:val="left" w:pos="8640"/>
        </w:tabs>
        <w:spacing w:after="240" w:line="240" w:lineRule="auto"/>
        <w:ind w:left="1440" w:right="1800" w:hanging="1152"/>
        <w:rPr>
          <w:rFonts w:eastAsia="Times New Roman"/>
        </w:rPr>
      </w:pPr>
      <w:r w:rsidRPr="00E84028">
        <w:rPr>
          <w:rFonts w:eastAsia="Times New Roman"/>
        </w:rPr>
        <w:lastRenderedPageBreak/>
        <w:t>Appendix A.</w:t>
      </w:r>
      <w:r w:rsidRPr="00E84028">
        <w:rPr>
          <w:rFonts w:eastAsia="Times New Roman"/>
        </w:rPr>
        <w:tab/>
        <w:t>Instructions for Preparing and Submitting the Teacher List</w:t>
      </w:r>
      <w:r w:rsidRPr="00E84028">
        <w:rPr>
          <w:rFonts w:eastAsia="Times New Roman"/>
        </w:rPr>
        <w:tab/>
      </w:r>
      <w:r w:rsidRPr="00E84028">
        <w:rPr>
          <w:rFonts w:eastAsia="Times New Roman"/>
        </w:rPr>
        <w:tab/>
        <w:t>A-</w:t>
      </w:r>
      <w:r>
        <w:rPr>
          <w:rFonts w:eastAsia="Times New Roman"/>
        </w:rPr>
        <w:t>1</w:t>
      </w:r>
    </w:p>
    <w:p w:rsidRPr="00E84028" w:rsidR="00E84028" w:rsidP="00E84028" w:rsidRDefault="00E84028" w14:paraId="702242B5" w14:textId="77777777">
      <w:pPr>
        <w:tabs>
          <w:tab w:val="left" w:pos="1440"/>
          <w:tab w:val="right" w:leader="dot" w:pos="8208"/>
          <w:tab w:val="left" w:pos="8640"/>
        </w:tabs>
        <w:spacing w:after="240" w:line="240" w:lineRule="auto"/>
        <w:ind w:left="1440" w:right="1800" w:hanging="1152"/>
        <w:rPr>
          <w:rFonts w:eastAsia="Times New Roman"/>
        </w:rPr>
      </w:pPr>
      <w:r w:rsidRPr="00E84028">
        <w:rPr>
          <w:rFonts w:eastAsia="Times New Roman"/>
        </w:rPr>
        <w:t>Appendix B.</w:t>
      </w:r>
      <w:r w:rsidRPr="00E84028">
        <w:rPr>
          <w:rFonts w:eastAsia="Times New Roman"/>
        </w:rPr>
        <w:tab/>
        <w:t>Notification Letters and Follow-up Emails</w:t>
      </w:r>
      <w:r w:rsidRPr="00E84028">
        <w:rPr>
          <w:rFonts w:eastAsia="Times New Roman"/>
        </w:rPr>
        <w:tab/>
      </w:r>
      <w:r w:rsidRPr="00E84028">
        <w:rPr>
          <w:rFonts w:eastAsia="Times New Roman"/>
        </w:rPr>
        <w:tab/>
        <w:t>B-1</w:t>
      </w:r>
    </w:p>
    <w:p w:rsidRPr="00463EBF" w:rsidR="00A21E80" w:rsidP="002E5BB6" w:rsidRDefault="00463EBF" w14:paraId="3F1F1A45" w14:textId="2EFE730A">
      <w:pPr>
        <w:pStyle w:val="T0-ChapPgHd"/>
      </w:pPr>
      <w:r>
        <w:rPr>
          <w:noProof/>
        </w:rPr>
        <w:t>Table</w:t>
      </w:r>
    </w:p>
    <w:p w:rsidR="00463EBF" w:rsidP="002E5BB6" w:rsidRDefault="003E076E" w14:paraId="65984B1C" w14:textId="21A7D618">
      <w:pPr>
        <w:pStyle w:val="TOC2"/>
      </w:pPr>
      <w:r>
        <w:t>A-</w:t>
      </w:r>
      <w:r w:rsidRPr="00463EBF" w:rsidR="00463EBF">
        <w:t>1</w:t>
      </w:r>
      <w:r w:rsidRPr="00463EBF" w:rsidR="00463EBF">
        <w:tab/>
        <w:t xml:space="preserve">Estimated </w:t>
      </w:r>
      <w:r w:rsidR="005C7AB0">
        <w:t>response time</w:t>
      </w:r>
      <w:r w:rsidRPr="00463EBF" w:rsidR="00463EBF">
        <w:t xml:space="preserve"> for preliminary activities</w:t>
      </w:r>
      <w:r w:rsidRPr="00463EBF" w:rsidR="00463EBF">
        <w:tab/>
      </w:r>
      <w:r w:rsidR="009C3ECD">
        <w:t>7</w:t>
      </w:r>
    </w:p>
    <w:p w:rsidRPr="00463EBF" w:rsidR="00A21E80" w:rsidP="002E5BB6" w:rsidRDefault="00A21E80" w14:paraId="30E827EE" w14:textId="77777777">
      <w:pPr>
        <w:sectPr w:rsidRPr="00463EBF" w:rsidR="00A21E80" w:rsidSect="00985FBE">
          <w:headerReference w:type="default" r:id="rId18"/>
          <w:footerReference w:type="default" r:id="rId19"/>
          <w:pgSz w:w="12240" w:h="15840"/>
          <w:pgMar w:top="1440" w:right="1440" w:bottom="1080" w:left="1440" w:header="720" w:footer="720" w:gutter="0"/>
          <w:cols w:space="720"/>
          <w:docGrid w:linePitch="360"/>
        </w:sectPr>
      </w:pPr>
    </w:p>
    <w:p w:rsidR="00271588" w:rsidP="002E5BB6" w:rsidRDefault="00271588" w14:paraId="3107CCB2" w14:textId="5DF02A4D">
      <w:pPr>
        <w:pStyle w:val="Title"/>
      </w:pPr>
      <w:r>
        <w:lastRenderedPageBreak/>
        <w:t>Part A. Justification</w:t>
      </w:r>
    </w:p>
    <w:p w:rsidR="00E514AE" w:rsidP="002E5BB6" w:rsidRDefault="00F77FBF" w14:paraId="54722FDD" w14:textId="517E3AC8">
      <w:pPr>
        <w:rPr>
          <w:color w:val="000000"/>
        </w:rPr>
      </w:pPr>
      <w:r w:rsidRPr="00541132">
        <w:t>Since 1994, federal law has required states to</w:t>
      </w:r>
      <w:r w:rsidRPr="00541132" w:rsidR="0029009B">
        <w:t xml:space="preserve"> regularly</w:t>
      </w:r>
      <w:r w:rsidRPr="00541132">
        <w:t xml:space="preserve"> administer assessments</w:t>
      </w:r>
      <w:r w:rsidRPr="00541132" w:rsidR="00FA094D">
        <w:t xml:space="preserve"> to students in selected grades and subjects</w:t>
      </w:r>
      <w:r w:rsidRPr="00541132" w:rsidR="00F04182">
        <w:t>.</w:t>
      </w:r>
      <w:r w:rsidRPr="00541132" w:rsidR="00EF6B62">
        <w:rPr>
          <w:rStyle w:val="FootnoteReference"/>
        </w:rPr>
        <w:footnoteReference w:id="1"/>
      </w:r>
      <w:r w:rsidRPr="00541132" w:rsidR="00F04182">
        <w:t xml:space="preserve"> The</w:t>
      </w:r>
      <w:r w:rsidRPr="00541132" w:rsidR="00EF6B62">
        <w:t xml:space="preserve"> purpose of these</w:t>
      </w:r>
      <w:r w:rsidRPr="00541132" w:rsidR="00F04182">
        <w:t xml:space="preserve"> assessments </w:t>
      </w:r>
      <w:r w:rsidRPr="00541132" w:rsidR="00EF6B62">
        <w:t>is</w:t>
      </w:r>
      <w:r w:rsidRPr="00541132">
        <w:t xml:space="preserve"> </w:t>
      </w:r>
      <w:r w:rsidRPr="00541132" w:rsidR="005D396D">
        <w:t xml:space="preserve">to </w:t>
      </w:r>
      <w:r w:rsidRPr="00541132" w:rsidR="00EF6B62">
        <w:t>inform</w:t>
      </w:r>
      <w:r w:rsidRPr="00541132" w:rsidR="005D396D">
        <w:t xml:space="preserve"> teaching and learning, and to hold </w:t>
      </w:r>
      <w:r w:rsidRPr="00423CD7" w:rsidR="005D396D">
        <w:t>schools</w:t>
      </w:r>
      <w:r w:rsidRPr="00541132" w:rsidR="005D396D">
        <w:t xml:space="preserve"> accountable for student performance</w:t>
      </w:r>
      <w:r w:rsidRPr="00541132" w:rsidR="00EF6B62">
        <w:t>.</w:t>
      </w:r>
      <w:r w:rsidRPr="00541132">
        <w:t xml:space="preserve"> </w:t>
      </w:r>
      <w:r w:rsidRPr="00541132" w:rsidR="00EA3B0E">
        <w:t xml:space="preserve">To improve the quality and usefulness of these assessments, </w:t>
      </w:r>
      <w:r w:rsidRPr="00541132" w:rsidR="00045689">
        <w:t>the law</w:t>
      </w:r>
      <w:r w:rsidRPr="00541132" w:rsidR="00D56D2E">
        <w:t xml:space="preserve"> was most recently</w:t>
      </w:r>
      <w:r w:rsidRPr="00541132" w:rsidR="00060C3A">
        <w:t xml:space="preserve"> updated in 2015</w:t>
      </w:r>
      <w:r w:rsidRPr="00541132" w:rsidR="00191ADC">
        <w:t xml:space="preserve"> </w:t>
      </w:r>
      <w:r w:rsidRPr="00541132" w:rsidR="00A31FC7">
        <w:t>to create an Innovative Assessment Demonstration Authority (IADA) Pilot Program.</w:t>
      </w:r>
      <w:r w:rsidRPr="00541132" w:rsidR="00060C3A">
        <w:t xml:space="preserve"> </w:t>
      </w:r>
      <w:r w:rsidRPr="00541132" w:rsidR="00D11C4A">
        <w:t xml:space="preserve">The program (Title I, Section 1204 of the </w:t>
      </w:r>
      <w:r w:rsidRPr="00541132" w:rsidR="00D11C4A">
        <w:rPr>
          <w:i/>
          <w:iCs/>
        </w:rPr>
        <w:t>Every Student Succeeds Act</w:t>
      </w:r>
      <w:r w:rsidRPr="00541132" w:rsidR="00D11C4A">
        <w:t xml:space="preserve">, or ESSA) allows the </w:t>
      </w:r>
      <w:r w:rsidRPr="00541132" w:rsidR="005D5DD8">
        <w:t>U.S. Department of Education (</w:t>
      </w:r>
      <w:r w:rsidRPr="00541132" w:rsidR="00A759AD">
        <w:t xml:space="preserve">the </w:t>
      </w:r>
      <w:r w:rsidRPr="002E5BB6" w:rsidR="00A759AD">
        <w:t>Department</w:t>
      </w:r>
      <w:r w:rsidRPr="00541132" w:rsidR="005D5DD8">
        <w:t>)</w:t>
      </w:r>
      <w:r w:rsidRPr="00541132" w:rsidR="00D11C4A">
        <w:t xml:space="preserve"> to </w:t>
      </w:r>
      <w:r w:rsidRPr="00541132" w:rsidR="00B22AF8">
        <w:t>exempt</w:t>
      </w:r>
      <w:r w:rsidRPr="00541132">
        <w:t xml:space="preserve"> </w:t>
      </w:r>
      <w:r w:rsidRPr="00541132" w:rsidR="009C1A55">
        <w:t>a handful of</w:t>
      </w:r>
      <w:r w:rsidRPr="00541132">
        <w:t xml:space="preserve"> states</w:t>
      </w:r>
      <w:r w:rsidRPr="00541132" w:rsidR="00B22AF8">
        <w:t xml:space="preserve"> from certain </w:t>
      </w:r>
      <w:r w:rsidRPr="00541132" w:rsidR="00B422C1">
        <w:t xml:space="preserve">testing requirements </w:t>
      </w:r>
      <w:r w:rsidRPr="00541132" w:rsidR="005D5DD8">
        <w:t>if they agree to</w:t>
      </w:r>
      <w:r w:rsidRPr="00541132" w:rsidR="00B422C1">
        <w:t xml:space="preserve"> pilot</w:t>
      </w:r>
      <w:r w:rsidRPr="00541132">
        <w:t xml:space="preserve"> new types of assessments</w:t>
      </w:r>
      <w:r w:rsidRPr="00541132" w:rsidR="009F24E2">
        <w:t>.</w:t>
      </w:r>
      <w:r w:rsidRPr="00541132">
        <w:t xml:space="preserve"> </w:t>
      </w:r>
      <w:r w:rsidRPr="00541132" w:rsidR="00031FEA">
        <w:t>The Department, through its Institute</w:t>
      </w:r>
      <w:r w:rsidRPr="00541132" w:rsidR="00A759AD">
        <w:t xml:space="preserve"> of</w:t>
      </w:r>
      <w:r w:rsidRPr="00541132" w:rsidR="00031FEA">
        <w:t xml:space="preserve"> Education Sciences (IES), is requesting clearance </w:t>
      </w:r>
      <w:r w:rsidRPr="00541132" w:rsidR="00A759AD">
        <w:t xml:space="preserve">to recruit school districts and collect teacher lists for the Congressionally mandated evaluation of the IADA program. A second package will request clearance for </w:t>
      </w:r>
      <w:r w:rsidRPr="00541132" w:rsidR="00B10CDE">
        <w:t xml:space="preserve">district, principal, and teacher survey instruments and the collection of these data. </w:t>
      </w:r>
    </w:p>
    <w:p w:rsidRPr="00E514AE" w:rsidR="0013426A" w:rsidP="002E5BB6" w:rsidRDefault="0013426A" w14:paraId="252BE902" w14:textId="616E1562">
      <w:pPr>
        <w:pStyle w:val="Heading2"/>
        <w:rPr>
          <w:webHidden/>
        </w:rPr>
      </w:pPr>
      <w:bookmarkStart w:name="_Toc44917295" w:id="0"/>
      <w:r w:rsidRPr="00A21E80">
        <w:t>A1.</w:t>
      </w:r>
      <w:r w:rsidRPr="00E514AE" w:rsidR="00271588">
        <w:tab/>
      </w:r>
      <w:r w:rsidRPr="00E514AE">
        <w:t xml:space="preserve">Circumstances </w:t>
      </w:r>
      <w:r w:rsidRPr="00E514AE" w:rsidR="00271588">
        <w:t>N</w:t>
      </w:r>
      <w:r w:rsidRPr="00E514AE">
        <w:t xml:space="preserve">ecessitating the </w:t>
      </w:r>
      <w:r w:rsidRPr="00E514AE" w:rsidR="00271588">
        <w:t>C</w:t>
      </w:r>
      <w:r w:rsidRPr="00E514AE">
        <w:t xml:space="preserve">ollection of </w:t>
      </w:r>
      <w:r w:rsidRPr="00E514AE" w:rsidR="00271588">
        <w:t>I</w:t>
      </w:r>
      <w:r w:rsidRPr="00E514AE">
        <w:t>nformation</w:t>
      </w:r>
      <w:bookmarkEnd w:id="0"/>
    </w:p>
    <w:p w:rsidR="00D87E37" w:rsidP="002E5BB6" w:rsidRDefault="00985408" w14:paraId="19432969" w14:textId="15058EE0">
      <w:r w:rsidRPr="00E514AE">
        <w:t xml:space="preserve">Congress mandates </w:t>
      </w:r>
      <w:r w:rsidR="00854718">
        <w:t>two reports on the</w:t>
      </w:r>
      <w:r w:rsidRPr="00E514AE" w:rsidR="00CB5A4E">
        <w:t xml:space="preserve"> </w:t>
      </w:r>
      <w:r w:rsidRPr="00E514AE" w:rsidR="00A94129">
        <w:t xml:space="preserve">IADA </w:t>
      </w:r>
      <w:r w:rsidR="00854718">
        <w:t>program</w:t>
      </w:r>
      <w:r w:rsidRPr="00E514AE" w:rsidR="00CD17C8">
        <w:t>:</w:t>
      </w:r>
      <w:r w:rsidRPr="00E514AE" w:rsidR="006B254D">
        <w:t xml:space="preserve"> (1) </w:t>
      </w:r>
      <w:r w:rsidR="00854718">
        <w:t>a Progress Report</w:t>
      </w:r>
      <w:r w:rsidRPr="00E514AE" w:rsidR="006B5A68">
        <w:t xml:space="preserve"> </w:t>
      </w:r>
      <w:r w:rsidR="00854718">
        <w:t>on</w:t>
      </w:r>
      <w:r w:rsidRPr="00E514AE" w:rsidR="006B5A68">
        <w:t xml:space="preserve"> </w:t>
      </w:r>
      <w:r w:rsidR="00854718">
        <w:t xml:space="preserve">pilot </w:t>
      </w:r>
      <w:r w:rsidRPr="00E514AE" w:rsidR="00942697">
        <w:t xml:space="preserve">states developing and implementing </w:t>
      </w:r>
      <w:r w:rsidRPr="00E514AE" w:rsidR="006B5A68">
        <w:t>innovative assessment system</w:t>
      </w:r>
      <w:r w:rsidRPr="00E514AE" w:rsidR="008E4588">
        <w:t>s</w:t>
      </w:r>
      <w:r w:rsidRPr="00E514AE">
        <w:t>,</w:t>
      </w:r>
      <w:r w:rsidRPr="00E514AE" w:rsidR="006B5A68">
        <w:t xml:space="preserve"> and </w:t>
      </w:r>
      <w:r w:rsidRPr="00E514AE" w:rsidR="006B254D">
        <w:t xml:space="preserve">(2) </w:t>
      </w:r>
      <w:r w:rsidR="00854718">
        <w:t>a B</w:t>
      </w:r>
      <w:r w:rsidRPr="00E514AE" w:rsidR="006B5A68">
        <w:t xml:space="preserve">est </w:t>
      </w:r>
      <w:r w:rsidR="00854718">
        <w:t>P</w:t>
      </w:r>
      <w:r w:rsidRPr="00E514AE" w:rsidR="006B5A68">
        <w:t>ractices</w:t>
      </w:r>
      <w:r w:rsidR="00854718">
        <w:t xml:space="preserve"> Report</w:t>
      </w:r>
      <w:r w:rsidRPr="00E514AE" w:rsidR="006B5A68">
        <w:t xml:space="preserve"> to inform future </w:t>
      </w:r>
      <w:r w:rsidRPr="00E514AE" w:rsidR="00942697">
        <w:t xml:space="preserve">development and </w:t>
      </w:r>
      <w:r w:rsidRPr="00E514AE" w:rsidR="006B5A68">
        <w:t xml:space="preserve">use of </w:t>
      </w:r>
      <w:r w:rsidRPr="00E514AE" w:rsidR="006B254D">
        <w:t xml:space="preserve">innovative assessment </w:t>
      </w:r>
      <w:r w:rsidRPr="00E514AE" w:rsidR="006B5A68">
        <w:t>systems</w:t>
      </w:r>
      <w:r w:rsidR="00854718">
        <w:t xml:space="preserve"> in more states</w:t>
      </w:r>
      <w:r w:rsidRPr="00E514AE" w:rsidR="006B5A68">
        <w:t>.</w:t>
      </w:r>
      <w:r w:rsidRPr="00E514AE" w:rsidR="00F77FBF">
        <w:t xml:space="preserve"> </w:t>
      </w:r>
      <w:r w:rsidRPr="00E514AE" w:rsidR="00897136">
        <w:t xml:space="preserve">The </w:t>
      </w:r>
      <w:r w:rsidRPr="00E514AE" w:rsidR="00F61F71">
        <w:t>P</w:t>
      </w:r>
      <w:r w:rsidRPr="00E514AE" w:rsidR="00573D52">
        <w:t xml:space="preserve">rogress </w:t>
      </w:r>
      <w:r w:rsidRPr="00E514AE" w:rsidR="00F61F71">
        <w:t>R</w:t>
      </w:r>
      <w:r w:rsidRPr="00E514AE" w:rsidR="00897136">
        <w:t>eport</w:t>
      </w:r>
      <w:r w:rsidRPr="00E514AE" w:rsidR="00544BDE">
        <w:t xml:space="preserve"> </w:t>
      </w:r>
      <w:r w:rsidRPr="00E514AE" w:rsidR="008E4588">
        <w:t xml:space="preserve">will </w:t>
      </w:r>
      <w:r w:rsidRPr="00E514AE" w:rsidR="00573D52">
        <w:t>be based</w:t>
      </w:r>
      <w:r w:rsidRPr="00E514AE" w:rsidR="00BC45AB">
        <w:t xml:space="preserve"> </w:t>
      </w:r>
      <w:r w:rsidRPr="00E514AE" w:rsidR="00052A61">
        <w:t xml:space="preserve">only </w:t>
      </w:r>
      <w:r w:rsidRPr="00E514AE" w:rsidR="00573D52">
        <w:t xml:space="preserve">on </w:t>
      </w:r>
      <w:r w:rsidRPr="00E514AE" w:rsidR="00544BDE">
        <w:t>existing documents</w:t>
      </w:r>
      <w:r w:rsidR="00854718">
        <w:t xml:space="preserve"> from pilot states</w:t>
      </w:r>
      <w:r w:rsidRPr="00E514AE" w:rsidR="00573D52">
        <w:t>, as required by ESSA</w:t>
      </w:r>
      <w:r w:rsidRPr="00E514AE" w:rsidR="006B254D">
        <w:t>. Th</w:t>
      </w:r>
      <w:r w:rsidRPr="00E514AE" w:rsidR="009A227A">
        <w:t>is</w:t>
      </w:r>
      <w:r w:rsidRPr="00E514AE" w:rsidR="006B254D">
        <w:t xml:space="preserve"> report </w:t>
      </w:r>
      <w:r w:rsidRPr="00E514AE" w:rsidR="00D9451D">
        <w:t>will guide</w:t>
      </w:r>
      <w:r w:rsidRPr="00E514AE" w:rsidR="00D52776">
        <w:t xml:space="preserve"> the Department</w:t>
      </w:r>
      <w:r w:rsidRPr="00E514AE" w:rsidR="006B254D">
        <w:t>’s technical assistance to</w:t>
      </w:r>
      <w:r w:rsidRPr="00E514AE" w:rsidR="00D9451D">
        <w:t xml:space="preserve"> p</w:t>
      </w:r>
      <w:r w:rsidR="00854718">
        <w:t>ilot states</w:t>
      </w:r>
      <w:r w:rsidRPr="00E514AE" w:rsidR="00D9451D">
        <w:t xml:space="preserve"> and inform </w:t>
      </w:r>
      <w:r w:rsidRPr="00E514AE" w:rsidR="00896CBD">
        <w:t>any expansion of</w:t>
      </w:r>
      <w:r w:rsidRPr="00E514AE" w:rsidR="00D9451D">
        <w:t xml:space="preserve"> the program beyond the </w:t>
      </w:r>
      <w:r w:rsidRPr="00E514AE" w:rsidR="00896CBD">
        <w:t>handful of pilot states</w:t>
      </w:r>
      <w:r w:rsidRPr="00E514AE" w:rsidR="00D9451D">
        <w:t xml:space="preserve">. </w:t>
      </w:r>
      <w:r w:rsidRPr="00E514AE" w:rsidR="00544BDE">
        <w:t>The</w:t>
      </w:r>
      <w:r w:rsidRPr="00E514AE" w:rsidR="005F602A">
        <w:t xml:space="preserve"> subsequent</w:t>
      </w:r>
      <w:r w:rsidRPr="00E514AE" w:rsidR="00544BDE">
        <w:t xml:space="preserve"> </w:t>
      </w:r>
      <w:r w:rsidRPr="00E514AE" w:rsidR="00F61F71">
        <w:t>B</w:t>
      </w:r>
      <w:r w:rsidRPr="00E514AE" w:rsidR="00F71EBF">
        <w:t xml:space="preserve">est </w:t>
      </w:r>
      <w:r w:rsidRPr="00E514AE" w:rsidR="00F61F71">
        <w:t>P</w:t>
      </w:r>
      <w:r w:rsidRPr="00E514AE" w:rsidR="00F71EBF">
        <w:t xml:space="preserve">ractices </w:t>
      </w:r>
      <w:r w:rsidRPr="00E514AE" w:rsidR="00F61F71">
        <w:t>R</w:t>
      </w:r>
      <w:r w:rsidRPr="00E514AE" w:rsidR="00544BDE">
        <w:t xml:space="preserve">eport will </w:t>
      </w:r>
      <w:r w:rsidRPr="00E514AE" w:rsidR="00054FBF">
        <w:t>add</w:t>
      </w:r>
      <w:r w:rsidRPr="00E514AE" w:rsidR="00363C08">
        <w:t>,</w:t>
      </w:r>
      <w:r w:rsidRPr="00E514AE" w:rsidR="00E66321">
        <w:t xml:space="preserve"> </w:t>
      </w:r>
      <w:r w:rsidRPr="00E514AE" w:rsidR="008366DE">
        <w:t>via surveys</w:t>
      </w:r>
      <w:r w:rsidRPr="00E514AE" w:rsidR="00363C08">
        <w:t xml:space="preserve">, </w:t>
      </w:r>
      <w:r w:rsidRPr="00E514AE" w:rsidR="00052A61">
        <w:t>th</w:t>
      </w:r>
      <w:r w:rsidRPr="00E514AE" w:rsidR="00AA0B1A">
        <w:t xml:space="preserve">e perspectives of </w:t>
      </w:r>
      <w:r w:rsidRPr="00E514AE" w:rsidR="00757068">
        <w:t>district leaders, principals, and teachers</w:t>
      </w:r>
      <w:r w:rsidRPr="00E514AE" w:rsidR="008E4588">
        <w:t xml:space="preserve"> </w:t>
      </w:r>
      <w:r w:rsidRPr="00E514AE" w:rsidR="009D1E28">
        <w:t xml:space="preserve">on </w:t>
      </w:r>
      <w:r w:rsidRPr="00E514AE" w:rsidR="00504896">
        <w:t xml:space="preserve">the </w:t>
      </w:r>
      <w:r w:rsidRPr="00E514AE" w:rsidR="00B865EF">
        <w:t xml:space="preserve">development, implementation, and outcomes of </w:t>
      </w:r>
      <w:r w:rsidRPr="00E514AE" w:rsidR="00504896">
        <w:t>IADA assessment</w:t>
      </w:r>
      <w:r w:rsidRPr="00E514AE" w:rsidR="009D1E28">
        <w:t>s</w:t>
      </w:r>
      <w:r w:rsidRPr="00E514AE" w:rsidR="00504896">
        <w:t>.</w:t>
      </w:r>
      <w:r w:rsidRPr="00E514AE" w:rsidR="00D87E37">
        <w:t xml:space="preserve"> </w:t>
      </w:r>
      <w:r w:rsidR="00854718">
        <w:t>Not only will the collection of this information</w:t>
      </w:r>
      <w:r w:rsidR="00F748C7">
        <w:t xml:space="preserve"> </w:t>
      </w:r>
      <w:r w:rsidR="00854718">
        <w:t>fulfill a Congressional mandate, it will</w:t>
      </w:r>
      <w:r w:rsidR="00F748C7">
        <w:t xml:space="preserve"> also</w:t>
      </w:r>
      <w:r w:rsidR="00854718">
        <w:t xml:space="preserve"> help the Department</w:t>
      </w:r>
      <w:r w:rsidR="00F748C7">
        <w:t xml:space="preserve"> appropriately</w:t>
      </w:r>
      <w:r w:rsidR="00854718">
        <w:t xml:space="preserve"> target its resources to </w:t>
      </w:r>
      <w:r w:rsidR="00F748C7">
        <w:t>tackle</w:t>
      </w:r>
      <w:r w:rsidR="00854718">
        <w:t xml:space="preserve"> the</w:t>
      </w:r>
      <w:r w:rsidR="00F748C7">
        <w:t xml:space="preserve"> largest barriers to adequate progress in pilot states, and provide a valuable guide for other </w:t>
      </w:r>
      <w:r w:rsidR="00854718">
        <w:t>states that</w:t>
      </w:r>
      <w:r w:rsidR="00F748C7">
        <w:t xml:space="preserve"> may want to develop a new assessment in the future.</w:t>
      </w:r>
      <w:r w:rsidR="00854718">
        <w:t xml:space="preserve"> </w:t>
      </w:r>
    </w:p>
    <w:p w:rsidRPr="00E514AE" w:rsidR="003F16BB" w:rsidP="002E5BB6" w:rsidRDefault="006A00B7" w14:paraId="1815868D" w14:textId="64CE7D80">
      <w:pPr>
        <w:pStyle w:val="Heading2"/>
      </w:pPr>
      <w:bookmarkStart w:name="_Toc44917296" w:id="1"/>
      <w:r w:rsidRPr="00E514AE">
        <w:t>A2.</w:t>
      </w:r>
      <w:r w:rsidRPr="00E514AE" w:rsidR="00271588">
        <w:tab/>
      </w:r>
      <w:r w:rsidRPr="00E514AE">
        <w:t xml:space="preserve">Purpose and </w:t>
      </w:r>
      <w:r w:rsidRPr="00E514AE" w:rsidR="00271588">
        <w:t>U</w:t>
      </w:r>
      <w:r w:rsidRPr="00E514AE">
        <w:t xml:space="preserve">se of </w:t>
      </w:r>
      <w:r w:rsidRPr="00E514AE" w:rsidR="00271588">
        <w:t>D</w:t>
      </w:r>
      <w:r w:rsidRPr="00E514AE">
        <w:t>ata</w:t>
      </w:r>
      <w:bookmarkEnd w:id="1"/>
    </w:p>
    <w:p w:rsidRPr="00236E1C" w:rsidR="00D52776" w:rsidP="002E5BB6" w:rsidRDefault="00D87E37" w14:paraId="4013C7EC" w14:textId="5521A795">
      <w:r w:rsidRPr="001872E8">
        <w:t xml:space="preserve">Westat and its partners HumRRO and Plus Alpha Research are conducting </w:t>
      </w:r>
      <w:r>
        <w:t xml:space="preserve">the evaluation. </w:t>
      </w:r>
      <w:r w:rsidRPr="00B44D92">
        <w:t xml:space="preserve">The evaluation </w:t>
      </w:r>
      <w:r>
        <w:t xml:space="preserve">will describe the </w:t>
      </w:r>
      <w:r w:rsidRPr="001406D7">
        <w:t>development</w:t>
      </w:r>
      <w:r>
        <w:t>,</w:t>
      </w:r>
      <w:r w:rsidRPr="001406D7">
        <w:t xml:space="preserve"> implementation</w:t>
      </w:r>
      <w:r>
        <w:t>, and outcomes</w:t>
      </w:r>
      <w:r w:rsidRPr="001406D7">
        <w:t xml:space="preserve"> of innovative assessments in the first four states approved for the p</w:t>
      </w:r>
      <w:r>
        <w:t>ilot</w:t>
      </w:r>
      <w:r w:rsidRPr="00B44D92">
        <w:t>.</w:t>
      </w:r>
      <w:r w:rsidR="00F748C7">
        <w:rPr>
          <w:rStyle w:val="FootnoteReference"/>
        </w:rPr>
        <w:footnoteReference w:id="2"/>
      </w:r>
      <w:r>
        <w:t xml:space="preserve"> </w:t>
      </w:r>
      <w:r w:rsidRPr="00B44D92" w:rsidR="00D52776">
        <w:t>The evaluation’s research questions are</w:t>
      </w:r>
      <w:r w:rsidRPr="00236E1C" w:rsidR="00D52776">
        <w:t>:</w:t>
      </w:r>
    </w:p>
    <w:p w:rsidRPr="00B44D92" w:rsidR="00D52776" w:rsidP="002E5BB6" w:rsidRDefault="00D52776" w14:paraId="51E990BC" w14:textId="2174762A">
      <w:pPr>
        <w:pStyle w:val="ListBullet2"/>
        <w:spacing w:after="120"/>
      </w:pPr>
      <w:r w:rsidRPr="000B6E66">
        <w:rPr>
          <w:b/>
        </w:rPr>
        <w:t>Are IADA states developing innovative assessment systems that meet federal requirements?</w:t>
      </w:r>
      <w:r>
        <w:rPr>
          <w:b/>
        </w:rPr>
        <w:t xml:space="preserve"> </w:t>
      </w:r>
      <w:r w:rsidRPr="000B6E66">
        <w:t>Are they developing technically compliant assessments</w:t>
      </w:r>
      <w:r w:rsidRPr="00B66909">
        <w:t xml:space="preserve">, </w:t>
      </w:r>
      <w:r>
        <w:t xml:space="preserve">systems of support for districts </w:t>
      </w:r>
      <w:r w:rsidRPr="00B66909">
        <w:t xml:space="preserve">and educators </w:t>
      </w:r>
      <w:r w:rsidRPr="00D138A7">
        <w:t xml:space="preserve">to implement the system, and systems of </w:t>
      </w:r>
      <w:r w:rsidRPr="00190C10">
        <w:t>accommodations and supports for students parti</w:t>
      </w:r>
      <w:r w:rsidRPr="00B44D92">
        <w:t xml:space="preserve">cipating in innovative assessments? How did </w:t>
      </w:r>
      <w:r w:rsidRPr="002E5BB6">
        <w:t>states</w:t>
      </w:r>
      <w:r w:rsidRPr="00B44D92">
        <w:t xml:space="preserve"> identify and address gaps in readiness or capacity for the innovative assessment system? What challenges did </w:t>
      </w:r>
      <w:r>
        <w:t>states</w:t>
      </w:r>
      <w:r w:rsidRPr="00B44D92">
        <w:t xml:space="preserve"> face in developing the system, and how were they addressed?</w:t>
      </w:r>
      <w:r w:rsidR="002E5BB6">
        <w:t xml:space="preserve"> </w:t>
      </w:r>
    </w:p>
    <w:p w:rsidRPr="00B44D92" w:rsidR="00D52776" w:rsidP="002E5BB6" w:rsidRDefault="00D52776" w14:paraId="08625AA3" w14:textId="77777777">
      <w:pPr>
        <w:pStyle w:val="ListBullet2"/>
        <w:spacing w:after="120"/>
      </w:pPr>
      <w:r w:rsidRPr="007733D5">
        <w:rPr>
          <w:b/>
        </w:rPr>
        <w:t>How are states, districts, and educators using data from the innovative assessment system to inform curriculum, instruction, and accountability?</w:t>
      </w:r>
      <w:r w:rsidRPr="00B44D92">
        <w:t xml:space="preserve"> What types of training and supports are available</w:t>
      </w:r>
      <w:r>
        <w:t xml:space="preserve"> to help districts</w:t>
      </w:r>
      <w:r w:rsidRPr="00B44D92">
        <w:t xml:space="preserve"> and educators understand the system and how to use its data to inform curriculum, instruction, and accountability?</w:t>
      </w:r>
      <w:r w:rsidRPr="00B44D92">
        <w:rPr>
          <w:color w:val="000000" w:themeColor="text1"/>
        </w:rPr>
        <w:t xml:space="preserve"> </w:t>
      </w:r>
    </w:p>
    <w:p w:rsidRPr="00B44D92" w:rsidR="00E514AE" w:rsidP="002E5BB6" w:rsidRDefault="00D52776" w14:paraId="13F9668C" w14:textId="61DFC2C7">
      <w:pPr>
        <w:pStyle w:val="ListBullet2"/>
        <w:spacing w:after="120"/>
      </w:pPr>
      <w:r w:rsidRPr="00B44D92">
        <w:rPr>
          <w:b/>
        </w:rPr>
        <w:lastRenderedPageBreak/>
        <w:t xml:space="preserve">Is the innovative assessment system </w:t>
      </w:r>
      <w:proofErr w:type="gramStart"/>
      <w:r w:rsidRPr="00B44D92">
        <w:rPr>
          <w:b/>
        </w:rPr>
        <w:t>considered</w:t>
      </w:r>
      <w:proofErr w:type="gramEnd"/>
      <w:r w:rsidRPr="00B44D92">
        <w:rPr>
          <w:b/>
        </w:rPr>
        <w:t xml:space="preserve"> an improvement compared to the state’s regular assessment system? </w:t>
      </w:r>
      <w:r w:rsidRPr="00B44D92">
        <w:t>Do states, districts, principals, and teachers consider the innovative system more useful than the regular system for informing curriculum, accountability, instruction, and engaging with families?</w:t>
      </w:r>
      <w:r w:rsidRPr="00B44D92">
        <w:rPr>
          <w:color w:val="000000" w:themeColor="text1"/>
        </w:rPr>
        <w:t xml:space="preserve"> Do they consider</w:t>
      </w:r>
      <w:r>
        <w:rPr>
          <w:color w:val="000000" w:themeColor="text1"/>
        </w:rPr>
        <w:t xml:space="preserve"> the</w:t>
      </w:r>
      <w:r w:rsidRPr="00B44D92">
        <w:rPr>
          <w:color w:val="000000" w:themeColor="text1"/>
        </w:rPr>
        <w:t xml:space="preserve"> innovative assessment system burdensome compared with the regular system?</w:t>
      </w:r>
      <w:r w:rsidRPr="00E514AE" w:rsidR="00E514AE">
        <w:t xml:space="preserve"> </w:t>
      </w:r>
    </w:p>
    <w:p w:rsidRPr="00B44D92" w:rsidR="00E514AE" w:rsidP="002E5BB6" w:rsidRDefault="00D52776" w14:paraId="00FEA331" w14:textId="43C7364A">
      <w:pPr>
        <w:pStyle w:val="ListBullet2"/>
        <w:spacing w:after="120"/>
      </w:pPr>
      <w:r w:rsidRPr="00B44D92">
        <w:rPr>
          <w:b/>
          <w:lang w:val="en"/>
        </w:rPr>
        <w:t>How are states planning for scale</w:t>
      </w:r>
      <w:r>
        <w:rPr>
          <w:b/>
          <w:lang w:val="en"/>
        </w:rPr>
        <w:t xml:space="preserve"> </w:t>
      </w:r>
      <w:r w:rsidRPr="00B44D92">
        <w:rPr>
          <w:b/>
          <w:lang w:val="en"/>
        </w:rPr>
        <w:t xml:space="preserve">up and sustainability? </w:t>
      </w:r>
      <w:r w:rsidRPr="00B44D92">
        <w:rPr>
          <w:lang w:val="en"/>
        </w:rPr>
        <w:t>How are states using the continuous improvement process to refine their systems? What challenges have they encountered in the scale-up process,</w:t>
      </w:r>
      <w:r>
        <w:rPr>
          <w:lang w:val="en"/>
        </w:rPr>
        <w:t xml:space="preserve"> and how were they</w:t>
      </w:r>
      <w:r w:rsidRPr="00B44D92">
        <w:rPr>
          <w:lang w:val="en"/>
        </w:rPr>
        <w:t xml:space="preserve"> addressed?</w:t>
      </w:r>
      <w:r w:rsidRPr="00E514AE" w:rsidR="00E514AE">
        <w:t xml:space="preserve"> </w:t>
      </w:r>
    </w:p>
    <w:p w:rsidRPr="00B44D92" w:rsidR="00A3484B" w:rsidP="002E5BB6" w:rsidRDefault="002F212C" w14:paraId="7044F9C8" w14:textId="049CFA08">
      <w:r w:rsidRPr="00B44D92">
        <w:t>To a</w:t>
      </w:r>
      <w:r w:rsidRPr="00B44D92" w:rsidR="00DE21AD">
        <w:t>ddress t</w:t>
      </w:r>
      <w:r w:rsidRPr="00B44D92">
        <w:t>he</w:t>
      </w:r>
      <w:r w:rsidRPr="00B44D92" w:rsidR="006439B5">
        <w:t xml:space="preserve"> evaluation’s</w:t>
      </w:r>
      <w:r w:rsidRPr="00B44D92">
        <w:t xml:space="preserve"> research </w:t>
      </w:r>
      <w:r w:rsidRPr="00B44D92" w:rsidR="006439B5">
        <w:t>questions</w:t>
      </w:r>
      <w:r w:rsidRPr="00B44D92" w:rsidR="00222A48">
        <w:t xml:space="preserve"> and draft the two </w:t>
      </w:r>
      <w:r w:rsidRPr="00B44D92" w:rsidR="00363C08">
        <w:t>Congressionally</w:t>
      </w:r>
      <w:r w:rsidR="00D94623">
        <w:t xml:space="preserve"> </w:t>
      </w:r>
      <w:r w:rsidRPr="00B44D92" w:rsidR="00006F7B">
        <w:t>mandated reports</w:t>
      </w:r>
      <w:r w:rsidRPr="00B44D92">
        <w:t xml:space="preserve">, the evaluation team will review </w:t>
      </w:r>
      <w:r w:rsidRPr="00B44D92" w:rsidR="007D5C12">
        <w:t>ex</w:t>
      </w:r>
      <w:r w:rsidR="007D5C12">
        <w:t>isting state</w:t>
      </w:r>
      <w:r w:rsidRPr="00B44D92" w:rsidR="007D5C12">
        <w:t xml:space="preserve"> </w:t>
      </w:r>
      <w:r w:rsidRPr="00B44D92">
        <w:t>documents</w:t>
      </w:r>
      <w:r w:rsidR="001C5A77">
        <w:t xml:space="preserve"> from Louisiana, New Hampshire, North Carolina, and Georgia</w:t>
      </w:r>
      <w:r w:rsidRPr="00B44D92">
        <w:t>; interview the</w:t>
      </w:r>
      <w:r w:rsidR="001C5A77">
        <w:t>se</w:t>
      </w:r>
      <w:r w:rsidRPr="00B44D92">
        <w:t xml:space="preserve"> state</w:t>
      </w:r>
      <w:r w:rsidR="001C5A77">
        <w:t>s’</w:t>
      </w:r>
      <w:r w:rsidRPr="00B44D92">
        <w:t xml:space="preserve"> IADA </w:t>
      </w:r>
      <w:r w:rsidRPr="00B44D92" w:rsidR="00DE21AD">
        <w:t>program directors</w:t>
      </w:r>
      <w:r w:rsidRPr="00B44D92">
        <w:t xml:space="preserve">; and administer web surveys to all </w:t>
      </w:r>
      <w:r w:rsidR="004C013D">
        <w:t xml:space="preserve">of </w:t>
      </w:r>
      <w:r w:rsidR="008900B8">
        <w:t>the</w:t>
      </w:r>
      <w:r w:rsidR="004C013D">
        <w:t xml:space="preserve"> pilot</w:t>
      </w:r>
      <w:r w:rsidR="008900B8">
        <w:t xml:space="preserve"> </w:t>
      </w:r>
      <w:r w:rsidRPr="00B44D92">
        <w:t xml:space="preserve">districts </w:t>
      </w:r>
      <w:r w:rsidR="008900B8">
        <w:t xml:space="preserve">from these </w:t>
      </w:r>
      <w:r w:rsidR="00261D68">
        <w:t xml:space="preserve">four </w:t>
      </w:r>
      <w:r w:rsidR="008900B8">
        <w:t>states,</w:t>
      </w:r>
      <w:r w:rsidRPr="00B44D92">
        <w:t xml:space="preserve"> and </w:t>
      </w:r>
      <w:r w:rsidR="00D542B7">
        <w:t>a sample</w:t>
      </w:r>
      <w:r w:rsidRPr="00B44D92" w:rsidR="00D542B7">
        <w:t xml:space="preserve"> </w:t>
      </w:r>
      <w:r w:rsidRPr="00B44D92">
        <w:t xml:space="preserve">of principals and </w:t>
      </w:r>
      <w:r w:rsidRPr="00B44D92" w:rsidR="00006F7B">
        <w:t xml:space="preserve">eligible </w:t>
      </w:r>
      <w:r w:rsidRPr="00B44D92">
        <w:t xml:space="preserve">teachers in </w:t>
      </w:r>
      <w:r w:rsidR="004C013D">
        <w:t>pilot</w:t>
      </w:r>
      <w:r w:rsidRPr="00B44D92" w:rsidR="004C013D">
        <w:t xml:space="preserve"> </w:t>
      </w:r>
      <w:r w:rsidRPr="00B44D92" w:rsidR="00DE21AD">
        <w:t>schools</w:t>
      </w:r>
      <w:r w:rsidRPr="00B44D92">
        <w:t xml:space="preserve">. </w:t>
      </w:r>
    </w:p>
    <w:p w:rsidRPr="00236E1C" w:rsidR="002F212C" w:rsidP="002E5BB6" w:rsidRDefault="00077DD9" w14:paraId="31AA85BE" w14:textId="5D433E40">
      <w:r w:rsidRPr="00B44D92">
        <w:t xml:space="preserve">Because states are to scale up the IADA program over time, the evaluation team will increase the number of districts, principals, and </w:t>
      </w:r>
      <w:r w:rsidRPr="00B44D92" w:rsidR="00E71D3E">
        <w:t xml:space="preserve">eligible </w:t>
      </w:r>
      <w:r w:rsidRPr="00B44D92">
        <w:t xml:space="preserve">teachers surveyed </w:t>
      </w:r>
      <w:r w:rsidRPr="00B44D92" w:rsidR="007B3DC3">
        <w:t xml:space="preserve">between the first and second data collection </w:t>
      </w:r>
      <w:r w:rsidRPr="00B44D92">
        <w:t xml:space="preserve">so that the findings from the second year will better represent the </w:t>
      </w:r>
      <w:r w:rsidRPr="00B44D92" w:rsidR="008A66CE">
        <w:t>mix of participants</w:t>
      </w:r>
      <w:r w:rsidRPr="00B44D92" w:rsidR="00743B37">
        <w:t xml:space="preserve"> at that time. </w:t>
      </w:r>
      <w:r w:rsidR="009F2B88">
        <w:t xml:space="preserve">All </w:t>
      </w:r>
      <w:r w:rsidR="001C28BC">
        <w:t xml:space="preserve">participating </w:t>
      </w:r>
      <w:r w:rsidR="009F2B88">
        <w:t>districts in the four pilot states</w:t>
      </w:r>
      <w:r w:rsidR="001C28BC">
        <w:t xml:space="preserve"> will be surveyed in each of the two survey years (</w:t>
      </w:r>
      <w:r w:rsidR="008B7843">
        <w:t>s</w:t>
      </w:r>
      <w:r w:rsidR="00247DBD">
        <w:t xml:space="preserve">pring 2021 and </w:t>
      </w:r>
      <w:r w:rsidR="008B7843">
        <w:t>s</w:t>
      </w:r>
      <w:r w:rsidR="00247DBD">
        <w:t>pring 2022)</w:t>
      </w:r>
      <w:r w:rsidR="001C28BC">
        <w:t>.</w:t>
      </w:r>
      <w:r w:rsidR="009F2B88">
        <w:t xml:space="preserve"> </w:t>
      </w:r>
      <w:r w:rsidR="00247DBD">
        <w:t>T</w:t>
      </w:r>
      <w:r w:rsidRPr="00B44D92" w:rsidR="00757388">
        <w:t>wo schools f</w:t>
      </w:r>
      <w:r w:rsidR="00247DBD">
        <w:t>rom</w:t>
      </w:r>
      <w:r w:rsidRPr="00B44D92" w:rsidR="00757388">
        <w:t xml:space="preserve"> each district</w:t>
      </w:r>
      <w:r w:rsidR="00247DBD">
        <w:t xml:space="preserve"> will be randomly sampled</w:t>
      </w:r>
      <w:r w:rsidRPr="00B44D92" w:rsidR="00757388">
        <w:t xml:space="preserve"> for the </w:t>
      </w:r>
      <w:r w:rsidR="008B7843">
        <w:t>s</w:t>
      </w:r>
      <w:r w:rsidRPr="00B44D92" w:rsidR="00757388">
        <w:t xml:space="preserve">pring 2021 data collection and </w:t>
      </w:r>
      <w:r w:rsidR="00AB3D87">
        <w:t xml:space="preserve">three schools per district for the </w:t>
      </w:r>
      <w:r w:rsidR="008B7843">
        <w:t>s</w:t>
      </w:r>
      <w:r w:rsidRPr="00B44D92" w:rsidR="00757388">
        <w:t>pring 2022</w:t>
      </w:r>
      <w:r w:rsidR="00AB3D87">
        <w:t xml:space="preserve"> data collection</w:t>
      </w:r>
      <w:r w:rsidRPr="00B44D92" w:rsidR="00757388">
        <w:t>.</w:t>
      </w:r>
      <w:r w:rsidR="00CB1209">
        <w:rPr>
          <w:rStyle w:val="FootnoteReference"/>
        </w:rPr>
        <w:footnoteReference w:id="3"/>
      </w:r>
      <w:r w:rsidRPr="00B44D92" w:rsidR="00757388">
        <w:t xml:space="preserve"> </w:t>
      </w:r>
      <w:r w:rsidR="00285B69">
        <w:t>A</w:t>
      </w:r>
      <w:r w:rsidR="00AB3D87">
        <w:t>pproximately five</w:t>
      </w:r>
      <w:r w:rsidRPr="00B44D92" w:rsidR="00757388">
        <w:t xml:space="preserve"> teachers per sampled school</w:t>
      </w:r>
      <w:r w:rsidR="00285B69">
        <w:t xml:space="preserve"> will be randomly selected in each year</w:t>
      </w:r>
      <w:r w:rsidRPr="00B44D92" w:rsidR="00757388">
        <w:t xml:space="preserve">. </w:t>
      </w:r>
      <w:r w:rsidRPr="00B44D92" w:rsidR="008C4302">
        <w:t>(See Part B for more information on the sampling approach.)</w:t>
      </w:r>
    </w:p>
    <w:p w:rsidR="000D6BAE" w:rsidP="002E5BB6" w:rsidRDefault="00B606A4" w14:paraId="50021A55" w14:textId="73C64D06">
      <w:pPr>
        <w:rPr>
          <w:i/>
        </w:rPr>
      </w:pPr>
      <w:r w:rsidRPr="00190C10">
        <w:t>The evaluation’s data collections</w:t>
      </w:r>
      <w:r w:rsidR="001D15FF">
        <w:t xml:space="preserve"> are listed below. </w:t>
      </w:r>
      <w:r w:rsidR="00AB61A0">
        <w:t>This</w:t>
      </w:r>
      <w:r w:rsidR="001D15FF">
        <w:t xml:space="preserve"> package</w:t>
      </w:r>
      <w:r w:rsidR="00AB61A0">
        <w:t xml:space="preserve"> only requests</w:t>
      </w:r>
      <w:r w:rsidR="001D15FF">
        <w:t xml:space="preserve"> clearance for</w:t>
      </w:r>
      <w:r w:rsidR="00AB61A0">
        <w:t xml:space="preserve"> </w:t>
      </w:r>
      <w:r w:rsidR="001D15FF">
        <w:t xml:space="preserve">district recruitment and teacher list collection. </w:t>
      </w:r>
      <w:r w:rsidR="00AB61A0">
        <w:t>T</w:t>
      </w:r>
      <w:r w:rsidR="00AB3D87">
        <w:t>he</w:t>
      </w:r>
      <w:r w:rsidR="001D15FF">
        <w:t xml:space="preserve"> remaining </w:t>
      </w:r>
      <w:r w:rsidR="00AB3D87">
        <w:t xml:space="preserve">data </w:t>
      </w:r>
      <w:r w:rsidR="001D15FF">
        <w:t xml:space="preserve">collections </w:t>
      </w:r>
      <w:r w:rsidR="00AB61A0">
        <w:t>are</w:t>
      </w:r>
      <w:r w:rsidR="001D15FF">
        <w:t xml:space="preserve"> provide</w:t>
      </w:r>
      <w:r w:rsidR="00AB61A0">
        <w:t>d</w:t>
      </w:r>
      <w:r w:rsidR="001D15FF">
        <w:t xml:space="preserve"> </w:t>
      </w:r>
      <w:r w:rsidR="00A94B75">
        <w:t>as context</w:t>
      </w:r>
      <w:r w:rsidR="001D15FF">
        <w:t>.</w:t>
      </w:r>
      <w:r w:rsidR="00FB318D">
        <w:t xml:space="preserve"> </w:t>
      </w:r>
      <w:r w:rsidR="00A94B75">
        <w:t xml:space="preserve">A follow-up package </w:t>
      </w:r>
      <w:r w:rsidR="00AB3100">
        <w:t xml:space="preserve">will request clearance for the survey instruments and </w:t>
      </w:r>
      <w:r w:rsidR="004634D0">
        <w:t>associated data collection</w:t>
      </w:r>
      <w:r w:rsidR="00734F49">
        <w:t xml:space="preserve"> procedures</w:t>
      </w:r>
      <w:r w:rsidR="00FB318D">
        <w:t xml:space="preserve">. </w:t>
      </w:r>
      <w:r w:rsidR="00C85F77">
        <w:t>The</w:t>
      </w:r>
      <w:r w:rsidR="00FB318D">
        <w:t xml:space="preserve"> state interviews </w:t>
      </w:r>
      <w:r w:rsidR="00C85F77">
        <w:t xml:space="preserve">and </w:t>
      </w:r>
      <w:r w:rsidR="00FB318D">
        <w:t>extant document review</w:t>
      </w:r>
      <w:r w:rsidR="00C85F77">
        <w:t xml:space="preserve">s are not part of the </w:t>
      </w:r>
      <w:r w:rsidR="00122673">
        <w:t>information collection request</w:t>
      </w:r>
      <w:r w:rsidR="00FB318D">
        <w:t xml:space="preserve"> because they rely on responses from </w:t>
      </w:r>
      <w:r w:rsidR="00122673">
        <w:t xml:space="preserve">fewer </w:t>
      </w:r>
      <w:r w:rsidR="00FB318D">
        <w:t xml:space="preserve">than nine </w:t>
      </w:r>
      <w:r w:rsidR="00122673">
        <w:t>entities</w:t>
      </w:r>
      <w:r w:rsidR="00FB318D">
        <w:t xml:space="preserve">. </w:t>
      </w:r>
    </w:p>
    <w:p w:rsidRPr="00423CD7" w:rsidR="00B0291B" w:rsidP="002E5BB6" w:rsidRDefault="00423CD7" w14:paraId="0062D1AF" w14:textId="00BB9BAD">
      <w:pPr>
        <w:pStyle w:val="Heading3"/>
      </w:pPr>
      <w:bookmarkStart w:name="_Toc44917297" w:id="2"/>
      <w:r w:rsidRPr="00423CD7">
        <w:t>A.2.1</w:t>
      </w:r>
      <w:r w:rsidRPr="00423CD7">
        <w:tab/>
      </w:r>
      <w:r w:rsidRPr="00423CD7" w:rsidR="00805703">
        <w:t xml:space="preserve">Data </w:t>
      </w:r>
      <w:r>
        <w:t>C</w:t>
      </w:r>
      <w:r w:rsidRPr="00423CD7" w:rsidR="00B0291B">
        <w:t xml:space="preserve">ollection </w:t>
      </w:r>
      <w:r>
        <w:t>A</w:t>
      </w:r>
      <w:r w:rsidRPr="00423CD7" w:rsidR="00B0291B">
        <w:t xml:space="preserve">ctivities for </w:t>
      </w:r>
      <w:r>
        <w:t>W</w:t>
      </w:r>
      <w:r w:rsidRPr="00423CD7" w:rsidR="00B0291B">
        <w:t xml:space="preserve">hich </w:t>
      </w:r>
      <w:r>
        <w:t>C</w:t>
      </w:r>
      <w:r w:rsidRPr="00423CD7" w:rsidR="00B0291B">
        <w:t xml:space="preserve">learance is </w:t>
      </w:r>
      <w:r>
        <w:t>R</w:t>
      </w:r>
      <w:r w:rsidRPr="00423CD7" w:rsidR="00B0291B">
        <w:t xml:space="preserve">equested </w:t>
      </w:r>
      <w:r w:rsidRPr="00423CD7" w:rsidR="00D91A0F">
        <w:t xml:space="preserve">as </w:t>
      </w:r>
      <w:r>
        <w:t>P</w:t>
      </w:r>
      <w:r w:rsidRPr="00423CD7" w:rsidR="00D91A0F">
        <w:t xml:space="preserve">art of </w:t>
      </w:r>
      <w:r w:rsidRPr="00423CD7" w:rsidR="00B0291B">
        <w:t xml:space="preserve">this </w:t>
      </w:r>
      <w:r>
        <w:t>P</w:t>
      </w:r>
      <w:r w:rsidRPr="00423CD7" w:rsidR="00B0291B">
        <w:t>ackage</w:t>
      </w:r>
      <w:bookmarkEnd w:id="2"/>
    </w:p>
    <w:p w:rsidRPr="002E5BB6" w:rsidR="00AC38A6" w:rsidP="002E5BB6" w:rsidRDefault="00AC38A6" w14:paraId="1314031B" w14:textId="44D95779">
      <w:pPr>
        <w:rPr>
          <w:b/>
        </w:rPr>
      </w:pPr>
      <w:r w:rsidRPr="005226F7">
        <w:rPr>
          <w:b/>
          <w:webHidden/>
        </w:rPr>
        <w:t xml:space="preserve">District </w:t>
      </w:r>
      <w:r w:rsidR="00CB1209">
        <w:rPr>
          <w:b/>
          <w:webHidden/>
        </w:rPr>
        <w:t>R</w:t>
      </w:r>
      <w:r w:rsidRPr="005226F7">
        <w:rPr>
          <w:b/>
          <w:webHidden/>
        </w:rPr>
        <w:t>ecruitment</w:t>
      </w:r>
      <w:r w:rsidR="00266AE6">
        <w:rPr>
          <w:b/>
          <w:webHidden/>
        </w:rPr>
        <w:t xml:space="preserve"> and Teacher </w:t>
      </w:r>
      <w:r w:rsidR="00CB1209">
        <w:rPr>
          <w:b/>
          <w:webHidden/>
        </w:rPr>
        <w:t>L</w:t>
      </w:r>
      <w:r w:rsidR="00266AE6">
        <w:rPr>
          <w:b/>
          <w:webHidden/>
        </w:rPr>
        <w:t>ists</w:t>
      </w:r>
      <w:r w:rsidRPr="005226F7">
        <w:rPr>
          <w:b/>
          <w:webHidden/>
        </w:rPr>
        <w:t xml:space="preserve">. </w:t>
      </w:r>
      <w:r w:rsidR="00242B8A">
        <w:rPr>
          <w:webHidden/>
        </w:rPr>
        <w:t>In February 2021, t</w:t>
      </w:r>
      <w:r w:rsidRPr="005226F7">
        <w:rPr>
          <w:webHidden/>
        </w:rPr>
        <w:t xml:space="preserve">he evaluation team will notify the Superintendent for each district participating in the IADA program of their selection into the study. We will ask the Superintendent to designate a District Coordinator </w:t>
      </w:r>
      <w:r w:rsidR="00AB3100">
        <w:rPr>
          <w:webHidden/>
        </w:rPr>
        <w:t>to assist the evaluation team with the data collection</w:t>
      </w:r>
      <w:r w:rsidR="001D15FF">
        <w:rPr>
          <w:webHidden/>
        </w:rPr>
        <w:t xml:space="preserve">. The Coordinator’s </w:t>
      </w:r>
      <w:r w:rsidR="005226F7">
        <w:rPr>
          <w:webHidden/>
        </w:rPr>
        <w:t xml:space="preserve">responsibilities will </w:t>
      </w:r>
      <w:r w:rsidR="00266AE6">
        <w:rPr>
          <w:webHidden/>
        </w:rPr>
        <w:t>be to provide</w:t>
      </w:r>
      <w:r w:rsidR="005226F7">
        <w:rPr>
          <w:webHidden/>
        </w:rPr>
        <w:t xml:space="preserve"> </w:t>
      </w:r>
      <w:r w:rsidR="001D15FF">
        <w:rPr>
          <w:webHidden/>
        </w:rPr>
        <w:t xml:space="preserve">a list of participating teachers </w:t>
      </w:r>
      <w:r w:rsidR="00266AE6">
        <w:rPr>
          <w:webHidden/>
        </w:rPr>
        <w:t xml:space="preserve">and their email addresses </w:t>
      </w:r>
      <w:r w:rsidRPr="005226F7" w:rsidR="005226F7">
        <w:t xml:space="preserve">for each </w:t>
      </w:r>
      <w:r w:rsidR="005226F7">
        <w:t>s</w:t>
      </w:r>
      <w:r w:rsidRPr="005226F7" w:rsidR="005226F7">
        <w:t xml:space="preserve">chool </w:t>
      </w:r>
      <w:r w:rsidR="005226F7">
        <w:t>sampled for the evaluation</w:t>
      </w:r>
      <w:r w:rsidR="00266AE6">
        <w:t xml:space="preserve"> (see Appendix </w:t>
      </w:r>
      <w:r w:rsidR="00811DBB">
        <w:t>A</w:t>
      </w:r>
      <w:r w:rsidR="00266AE6">
        <w:t xml:space="preserve"> for written instructions</w:t>
      </w:r>
      <w:r w:rsidR="004412FC">
        <w:t xml:space="preserve"> and Appendix B for accompanying notification letters </w:t>
      </w:r>
      <w:r w:rsidR="009C3ECD">
        <w:t xml:space="preserve">and follow-up emails </w:t>
      </w:r>
      <w:r w:rsidR="004412FC">
        <w:t>to the Superintendent and designated District Coordinator</w:t>
      </w:r>
      <w:r w:rsidR="00266AE6">
        <w:t>)</w:t>
      </w:r>
      <w:r w:rsidR="004F3924">
        <w:t xml:space="preserve">. </w:t>
      </w:r>
      <w:r w:rsidRPr="0083506B" w:rsidR="0080459C">
        <w:rPr>
          <w:rFonts w:eastAsia="Calibri"/>
        </w:rPr>
        <w:t>Participating teachers are those whose grade and subject (or course for high school teachers) is identified as part of the IADA program in the data collection year.</w:t>
      </w:r>
      <w:r w:rsidR="0080459C">
        <w:rPr>
          <w:rFonts w:eastAsia="Calibri"/>
        </w:rPr>
        <w:t xml:space="preserve"> </w:t>
      </w:r>
      <w:r w:rsidR="004F3924">
        <w:t xml:space="preserve">This information is needed </w:t>
      </w:r>
      <w:r w:rsidR="00266AE6">
        <w:t xml:space="preserve">to build the frame </w:t>
      </w:r>
      <w:r w:rsidR="00734F49">
        <w:t>from which</w:t>
      </w:r>
      <w:r w:rsidR="0053311E">
        <w:t xml:space="preserve"> teachers</w:t>
      </w:r>
      <w:r w:rsidR="00734F49">
        <w:t xml:space="preserve"> will be sampled</w:t>
      </w:r>
      <w:r w:rsidR="0053311E">
        <w:t>.</w:t>
      </w:r>
      <w:r w:rsidRPr="00196884" w:rsidR="00242C3D">
        <w:t xml:space="preserve"> </w:t>
      </w:r>
      <w:r w:rsidR="004F3924">
        <w:t xml:space="preserve">During the </w:t>
      </w:r>
      <w:r w:rsidR="0045590C">
        <w:t xml:space="preserve">ensuing </w:t>
      </w:r>
      <w:r w:rsidR="001C31E4">
        <w:t xml:space="preserve">survey </w:t>
      </w:r>
      <w:r w:rsidR="004F3924">
        <w:t>data collection stage</w:t>
      </w:r>
      <w:r w:rsidR="0045590C">
        <w:t xml:space="preserve"> later in spring 2021</w:t>
      </w:r>
      <w:r w:rsidR="004F3924">
        <w:t xml:space="preserve">, the Coordinator will encourage principals </w:t>
      </w:r>
      <w:r w:rsidR="001D15FF">
        <w:t>to complete their survey</w:t>
      </w:r>
      <w:r w:rsidR="004F3924">
        <w:t>s and work with sampled schools</w:t>
      </w:r>
      <w:r w:rsidR="001D15FF">
        <w:t xml:space="preserve"> to prompt teachers to complete their surveys.</w:t>
      </w:r>
      <w:r w:rsidR="0045590C">
        <w:t xml:space="preserve"> This process will be repeated </w:t>
      </w:r>
      <w:r w:rsidR="002739E3">
        <w:t>in the</w:t>
      </w:r>
      <w:r w:rsidR="0045590C">
        <w:t xml:space="preserve"> 2021-22 school year to similarly prepare for the evaluation’s second round of surveys in spring 2022.</w:t>
      </w:r>
    </w:p>
    <w:p w:rsidRPr="00423CD7" w:rsidR="001D15FF" w:rsidP="002E5BB6" w:rsidRDefault="00423CD7" w14:paraId="2D97BA65" w14:textId="4A4FB2DB">
      <w:pPr>
        <w:pStyle w:val="Heading3"/>
        <w:rPr>
          <w:webHidden/>
        </w:rPr>
      </w:pPr>
      <w:bookmarkStart w:name="_Toc44917298" w:id="3"/>
      <w:r>
        <w:rPr>
          <w:webHidden/>
        </w:rPr>
        <w:lastRenderedPageBreak/>
        <w:t>A.2.2</w:t>
      </w:r>
      <w:r>
        <w:rPr>
          <w:webHidden/>
        </w:rPr>
        <w:tab/>
      </w:r>
      <w:r w:rsidRPr="00423CD7" w:rsidR="00196B78">
        <w:rPr>
          <w:webHidden/>
        </w:rPr>
        <w:t>E</w:t>
      </w:r>
      <w:r w:rsidRPr="00423CD7" w:rsidR="00805703">
        <w:rPr>
          <w:webHidden/>
        </w:rPr>
        <w:t>valuation</w:t>
      </w:r>
      <w:r w:rsidRPr="00AA6BF5" w:rsidR="00805703">
        <w:rPr>
          <w:webHidden/>
        </w:rPr>
        <w:t xml:space="preserve"> </w:t>
      </w:r>
      <w:r>
        <w:rPr>
          <w:webHidden/>
        </w:rPr>
        <w:t>A</w:t>
      </w:r>
      <w:r w:rsidRPr="00AA6BF5" w:rsidR="00805703">
        <w:rPr>
          <w:webHidden/>
        </w:rPr>
        <w:t xml:space="preserve">ctivities for </w:t>
      </w:r>
      <w:r>
        <w:rPr>
          <w:webHidden/>
        </w:rPr>
        <w:t>W</w:t>
      </w:r>
      <w:r w:rsidRPr="00AA6BF5" w:rsidR="00805703">
        <w:rPr>
          <w:webHidden/>
        </w:rPr>
        <w:t xml:space="preserve">hich </w:t>
      </w:r>
      <w:r>
        <w:rPr>
          <w:webHidden/>
        </w:rPr>
        <w:t>C</w:t>
      </w:r>
      <w:r w:rsidRPr="00AA6BF5" w:rsidR="00805703">
        <w:rPr>
          <w:webHidden/>
        </w:rPr>
        <w:t xml:space="preserve">learance is </w:t>
      </w:r>
      <w:r w:rsidRPr="004324A6" w:rsidR="00805703">
        <w:rPr>
          <w:webHidden/>
        </w:rPr>
        <w:t>not</w:t>
      </w:r>
      <w:r w:rsidRPr="00AA6BF5" w:rsidR="00805703">
        <w:rPr>
          <w:webHidden/>
        </w:rPr>
        <w:t xml:space="preserve"> </w:t>
      </w:r>
      <w:r>
        <w:rPr>
          <w:webHidden/>
        </w:rPr>
        <w:t>R</w:t>
      </w:r>
      <w:r w:rsidRPr="00AA6BF5" w:rsidR="00805703">
        <w:rPr>
          <w:webHidden/>
        </w:rPr>
        <w:t xml:space="preserve">equested </w:t>
      </w:r>
      <w:r w:rsidRPr="00AA6BF5" w:rsidR="00D91A0F">
        <w:rPr>
          <w:webHidden/>
        </w:rPr>
        <w:t xml:space="preserve">as </w:t>
      </w:r>
      <w:r>
        <w:rPr>
          <w:webHidden/>
        </w:rPr>
        <w:t>P</w:t>
      </w:r>
      <w:r w:rsidRPr="00AA6BF5" w:rsidR="00D91A0F">
        <w:rPr>
          <w:webHidden/>
        </w:rPr>
        <w:t xml:space="preserve">art of this </w:t>
      </w:r>
      <w:r>
        <w:rPr>
          <w:webHidden/>
        </w:rPr>
        <w:t>P</w:t>
      </w:r>
      <w:r w:rsidRPr="00AA6BF5" w:rsidR="00D91A0F">
        <w:rPr>
          <w:webHidden/>
        </w:rPr>
        <w:t>ackage</w:t>
      </w:r>
      <w:r w:rsidR="00242C3D">
        <w:rPr>
          <w:webHidden/>
        </w:rPr>
        <w:t xml:space="preserve"> (provided for context)</w:t>
      </w:r>
      <w:bookmarkEnd w:id="3"/>
      <w:r w:rsidRPr="00AA6BF5" w:rsidR="00FB318D">
        <w:rPr>
          <w:webHidden/>
        </w:rPr>
        <w:t xml:space="preserve"> </w:t>
      </w:r>
    </w:p>
    <w:p w:rsidRPr="00236E1C" w:rsidR="0087519D" w:rsidP="002E5BB6" w:rsidRDefault="0087519D" w14:paraId="72DC549F" w14:textId="706242FD">
      <w:pPr>
        <w:rPr>
          <w:webHidden/>
        </w:rPr>
      </w:pPr>
      <w:r w:rsidRPr="00236E1C">
        <w:rPr>
          <w:b/>
          <w:webHidden/>
        </w:rPr>
        <w:t>District Lea</w:t>
      </w:r>
      <w:r w:rsidRPr="00196884">
        <w:rPr>
          <w:b/>
          <w:webHidden/>
        </w:rPr>
        <w:t>der Survey.</w:t>
      </w:r>
      <w:r w:rsidR="00463EBF">
        <w:rPr>
          <w:b/>
          <w:webHidden/>
        </w:rPr>
        <w:t xml:space="preserve"> </w:t>
      </w:r>
      <w:r w:rsidRPr="00D504EC">
        <w:rPr>
          <w:webHidden/>
        </w:rPr>
        <w:t>The d</w:t>
      </w:r>
      <w:r w:rsidRPr="00850CC8" w:rsidR="00773529">
        <w:rPr>
          <w:webHidden/>
        </w:rPr>
        <w:t>istrict leader survey</w:t>
      </w:r>
      <w:r w:rsidR="0045590C">
        <w:rPr>
          <w:webHidden/>
        </w:rPr>
        <w:t xml:space="preserve"> (to be administered in spring 2021 and spring 2022)</w:t>
      </w:r>
      <w:r w:rsidRPr="000B6E66">
        <w:rPr>
          <w:webHidden/>
        </w:rPr>
        <w:t xml:space="preserve"> will </w:t>
      </w:r>
      <w:r w:rsidR="00734F49">
        <w:rPr>
          <w:webHidden/>
        </w:rPr>
        <w:t>include topics aligned with the evaluation’s research questions, such as</w:t>
      </w:r>
      <w:r w:rsidRPr="000B6E66">
        <w:rPr>
          <w:webHidden/>
        </w:rPr>
        <w:t xml:space="preserve"> </w:t>
      </w:r>
      <w:r w:rsidRPr="000B6E66" w:rsidR="00EC5885">
        <w:rPr>
          <w:webHidden/>
        </w:rPr>
        <w:t>local education</w:t>
      </w:r>
      <w:r w:rsidRPr="000B6E66" w:rsidR="00E71D3E">
        <w:rPr>
          <w:webHidden/>
        </w:rPr>
        <w:t>al</w:t>
      </w:r>
      <w:r w:rsidRPr="000B6E66" w:rsidR="00EC5885">
        <w:rPr>
          <w:webHidden/>
        </w:rPr>
        <w:t xml:space="preserve"> agency </w:t>
      </w:r>
      <w:r w:rsidRPr="00B66909" w:rsidR="00EC5885">
        <w:rPr>
          <w:webHidden/>
        </w:rPr>
        <w:t>readiness and capacity to impleme</w:t>
      </w:r>
      <w:r w:rsidRPr="00D138A7" w:rsidR="00CB0C13">
        <w:rPr>
          <w:webHidden/>
        </w:rPr>
        <w:t xml:space="preserve">nt </w:t>
      </w:r>
      <w:r w:rsidRPr="00D138A7" w:rsidR="00E71D3E">
        <w:rPr>
          <w:webHidden/>
        </w:rPr>
        <w:t xml:space="preserve">the </w:t>
      </w:r>
      <w:r w:rsidRPr="00190C10" w:rsidR="00CB0C13">
        <w:rPr>
          <w:webHidden/>
        </w:rPr>
        <w:t>innovative assessment</w:t>
      </w:r>
      <w:r w:rsidRPr="00190C10" w:rsidR="00EC5885">
        <w:rPr>
          <w:webHidden/>
        </w:rPr>
        <w:t>, training and supports provided to district leaders to build their capacity to implement innovative assessment</w:t>
      </w:r>
      <w:r w:rsidRPr="00190C10" w:rsidR="00CB0C13">
        <w:rPr>
          <w:webHidden/>
        </w:rPr>
        <w:t xml:space="preserve">s </w:t>
      </w:r>
      <w:r w:rsidRPr="004C2F5C" w:rsidR="00EC5885">
        <w:rPr>
          <w:webHidden/>
        </w:rPr>
        <w:t xml:space="preserve">at the district level, and </w:t>
      </w:r>
      <w:r w:rsidRPr="00B44D92" w:rsidR="00E71D3E">
        <w:rPr>
          <w:webHidden/>
        </w:rPr>
        <w:t xml:space="preserve">the </w:t>
      </w:r>
      <w:r w:rsidRPr="00B44D92" w:rsidR="00EC5885">
        <w:rPr>
          <w:webHidden/>
        </w:rPr>
        <w:t>usefulness of innovative assessments for informing curricular decisions and improving accountability. T</w:t>
      </w:r>
      <w:r w:rsidRPr="00B44D92">
        <w:rPr>
          <w:webHidden/>
        </w:rPr>
        <w:t>he</w:t>
      </w:r>
      <w:r w:rsidRPr="00B44D92" w:rsidR="00A01A04">
        <w:rPr>
          <w:webHidden/>
        </w:rPr>
        <w:t xml:space="preserve"> </w:t>
      </w:r>
      <w:r w:rsidRPr="00B44D92" w:rsidR="00773529">
        <w:rPr>
          <w:webHidden/>
        </w:rPr>
        <w:t>district leader</w:t>
      </w:r>
      <w:r w:rsidRPr="00B44D92">
        <w:rPr>
          <w:webHidden/>
        </w:rPr>
        <w:t xml:space="preserve"> survey will be administered to </w:t>
      </w:r>
      <w:r w:rsidRPr="00B44D92" w:rsidR="0000776D">
        <w:rPr>
          <w:webHidden/>
        </w:rPr>
        <w:t xml:space="preserve">Superintendents of </w:t>
      </w:r>
      <w:r w:rsidRPr="00B44D92" w:rsidR="00773529">
        <w:rPr>
          <w:webHidden/>
        </w:rPr>
        <w:t xml:space="preserve">all </w:t>
      </w:r>
      <w:r w:rsidRPr="00B44D92" w:rsidR="0000776D">
        <w:rPr>
          <w:webHidden/>
        </w:rPr>
        <w:t xml:space="preserve">districts participating in IADA pilot programs </w:t>
      </w:r>
      <w:r w:rsidRPr="00B44D92" w:rsidR="006858E4">
        <w:rPr>
          <w:webHidden/>
        </w:rPr>
        <w:t>in the four evaluation states</w:t>
      </w:r>
      <w:r w:rsidRPr="00B44D92" w:rsidR="00CB0C13">
        <w:rPr>
          <w:webHidden/>
        </w:rPr>
        <w:t xml:space="preserve">. </w:t>
      </w:r>
      <w:r w:rsidR="004E282F">
        <w:rPr>
          <w:webHidden/>
        </w:rPr>
        <w:t>Others such as a district’s director of assessments may provide input to survey responses</w:t>
      </w:r>
      <w:r w:rsidR="00734F49">
        <w:rPr>
          <w:webHidden/>
        </w:rPr>
        <w:t xml:space="preserve"> but each district will ultimately submit one completed survey</w:t>
      </w:r>
      <w:r w:rsidR="004E282F">
        <w:rPr>
          <w:webHidden/>
        </w:rPr>
        <w:t xml:space="preserve">. A District Coordinator for the evaluation will coordinate response to the district survey. </w:t>
      </w:r>
    </w:p>
    <w:p w:rsidRPr="00B44D92" w:rsidR="0087519D" w:rsidP="002E5BB6" w:rsidRDefault="0087519D" w14:paraId="00F06523" w14:textId="36C9C0D8">
      <w:pPr>
        <w:rPr>
          <w:webHidden/>
        </w:rPr>
      </w:pPr>
      <w:r w:rsidRPr="00196884">
        <w:rPr>
          <w:b/>
          <w:webHidden/>
        </w:rPr>
        <w:t>School Leader Survey</w:t>
      </w:r>
      <w:r w:rsidRPr="00D504EC" w:rsidR="00EC5885">
        <w:rPr>
          <w:b/>
          <w:webHidden/>
        </w:rPr>
        <w:t>.</w:t>
      </w:r>
      <w:r w:rsidR="00463EBF">
        <w:rPr>
          <w:b/>
          <w:webHidden/>
        </w:rPr>
        <w:t xml:space="preserve"> </w:t>
      </w:r>
      <w:r w:rsidRPr="00850CC8" w:rsidR="00EC5885">
        <w:rPr>
          <w:webHidden/>
        </w:rPr>
        <w:t>Th</w:t>
      </w:r>
      <w:r w:rsidRPr="000B6E66" w:rsidR="00EC5885">
        <w:rPr>
          <w:webHidden/>
        </w:rPr>
        <w:t>e</w:t>
      </w:r>
      <w:r w:rsidRPr="000B6E66" w:rsidR="00773529">
        <w:rPr>
          <w:webHidden/>
        </w:rPr>
        <w:t xml:space="preserve"> school leader survey</w:t>
      </w:r>
      <w:r w:rsidRPr="000B6E66" w:rsidR="00EC5885">
        <w:rPr>
          <w:webHidden/>
        </w:rPr>
        <w:t xml:space="preserve"> </w:t>
      </w:r>
      <w:r w:rsidR="0045590C">
        <w:rPr>
          <w:webHidden/>
        </w:rPr>
        <w:t xml:space="preserve">(to be administered in spring 2021 and spring 2022) </w:t>
      </w:r>
      <w:r w:rsidRPr="000B6E66" w:rsidR="00EC5885">
        <w:rPr>
          <w:webHidden/>
        </w:rPr>
        <w:t xml:space="preserve">will </w:t>
      </w:r>
      <w:r w:rsidR="00734F49">
        <w:rPr>
          <w:webHidden/>
        </w:rPr>
        <w:t>include topics aligned with the evaluation’s research questions, such as</w:t>
      </w:r>
      <w:r w:rsidRPr="000B6E66" w:rsidR="00EC5885">
        <w:rPr>
          <w:webHidden/>
        </w:rPr>
        <w:t xml:space="preserve"> school readiness and capacity to implement innovative assessment</w:t>
      </w:r>
      <w:r w:rsidRPr="000B6E66" w:rsidR="00773529">
        <w:rPr>
          <w:webHidden/>
        </w:rPr>
        <w:t>s</w:t>
      </w:r>
      <w:r w:rsidRPr="00B66909" w:rsidR="000B6BAD">
        <w:rPr>
          <w:webHidden/>
        </w:rPr>
        <w:t>,</w:t>
      </w:r>
      <w:r w:rsidRPr="00B66909" w:rsidR="00EC5885">
        <w:rPr>
          <w:webHidden/>
        </w:rPr>
        <w:t xml:space="preserve"> training and supports provided to school leaders to build their capacity </w:t>
      </w:r>
      <w:r w:rsidR="00682AD0">
        <w:rPr>
          <w:webHidden/>
        </w:rPr>
        <w:t xml:space="preserve">to </w:t>
      </w:r>
      <w:r w:rsidRPr="00B66909" w:rsidR="00EC5885">
        <w:rPr>
          <w:webHidden/>
        </w:rPr>
        <w:t>implement innovative assessmen</w:t>
      </w:r>
      <w:r w:rsidRPr="00D138A7" w:rsidR="00773529">
        <w:rPr>
          <w:webHidden/>
        </w:rPr>
        <w:t>ts</w:t>
      </w:r>
      <w:r w:rsidRPr="00D138A7" w:rsidR="00EC5885">
        <w:rPr>
          <w:webHidden/>
        </w:rPr>
        <w:t xml:space="preserve"> </w:t>
      </w:r>
      <w:r w:rsidRPr="00190C10" w:rsidR="00773529">
        <w:rPr>
          <w:webHidden/>
        </w:rPr>
        <w:t>at the school</w:t>
      </w:r>
      <w:r w:rsidR="004F3924">
        <w:rPr>
          <w:webHidden/>
        </w:rPr>
        <w:t xml:space="preserve"> </w:t>
      </w:r>
      <w:r w:rsidRPr="00190C10" w:rsidR="00EC5885">
        <w:rPr>
          <w:webHidden/>
        </w:rPr>
        <w:t xml:space="preserve">level, </w:t>
      </w:r>
      <w:r w:rsidRPr="00190C10" w:rsidR="00773529">
        <w:rPr>
          <w:webHidden/>
        </w:rPr>
        <w:t>challenges in school-level implementation of innovative assessments, and</w:t>
      </w:r>
      <w:r w:rsidRPr="004C2F5C" w:rsidR="00EC5885">
        <w:rPr>
          <w:webHidden/>
        </w:rPr>
        <w:t xml:space="preserve"> usefulness of innovative assessments for informing </w:t>
      </w:r>
      <w:r w:rsidRPr="00B44D92" w:rsidR="00773529">
        <w:rPr>
          <w:webHidden/>
        </w:rPr>
        <w:t>curricular decisions and improving accountability. The school leader survey will be administered to a sample</w:t>
      </w:r>
      <w:r w:rsidRPr="00236E1C" w:rsidR="00773529">
        <w:rPr>
          <w:webHidden/>
        </w:rPr>
        <w:t xml:space="preserve"> of </w:t>
      </w:r>
      <w:r w:rsidRPr="00236E1C" w:rsidR="00F24047">
        <w:rPr>
          <w:webHidden/>
        </w:rPr>
        <w:t>pri</w:t>
      </w:r>
      <w:r w:rsidRPr="00196884" w:rsidR="00F24047">
        <w:rPr>
          <w:webHidden/>
        </w:rPr>
        <w:t xml:space="preserve">ncipals of </w:t>
      </w:r>
      <w:r w:rsidRPr="00D504EC" w:rsidR="00773529">
        <w:rPr>
          <w:webHidden/>
        </w:rPr>
        <w:t xml:space="preserve">schools participating in </w:t>
      </w:r>
      <w:r w:rsidRPr="00850CC8" w:rsidR="00CB0C13">
        <w:rPr>
          <w:webHidden/>
        </w:rPr>
        <w:t xml:space="preserve">the </w:t>
      </w:r>
      <w:r w:rsidRPr="000B6E66" w:rsidR="00773529">
        <w:rPr>
          <w:webHidden/>
        </w:rPr>
        <w:t xml:space="preserve">IADA pilot programs </w:t>
      </w:r>
      <w:r w:rsidRPr="000B6E66" w:rsidR="0088067F">
        <w:rPr>
          <w:webHidden/>
        </w:rPr>
        <w:t>within the participating districts</w:t>
      </w:r>
      <w:r w:rsidR="00262F6D">
        <w:rPr>
          <w:webHidden/>
        </w:rPr>
        <w:t xml:space="preserve"> in the four evaluation states</w:t>
      </w:r>
      <w:r w:rsidR="008A327E">
        <w:rPr>
          <w:webHidden/>
        </w:rPr>
        <w:t>.</w:t>
      </w:r>
    </w:p>
    <w:p w:rsidRPr="00190C10" w:rsidR="0087519D" w:rsidP="002E5BB6" w:rsidRDefault="0087519D" w14:paraId="30E0FDA8" w14:textId="3F9C7141">
      <w:pPr>
        <w:rPr>
          <w:webHidden/>
        </w:rPr>
      </w:pPr>
      <w:r w:rsidRPr="00B44D92">
        <w:rPr>
          <w:b/>
          <w:webHidden/>
        </w:rPr>
        <w:t>Classroom Teacher Survey</w:t>
      </w:r>
      <w:r w:rsidRPr="00B44D92" w:rsidR="00773529">
        <w:rPr>
          <w:b/>
          <w:webHidden/>
        </w:rPr>
        <w:t>.</w:t>
      </w:r>
      <w:r w:rsidR="00463EBF">
        <w:rPr>
          <w:b/>
          <w:webHidden/>
        </w:rPr>
        <w:t xml:space="preserve"> </w:t>
      </w:r>
      <w:r w:rsidRPr="00B44D92" w:rsidR="00773529">
        <w:rPr>
          <w:webHidden/>
        </w:rPr>
        <w:t>The classroom teacher survey</w:t>
      </w:r>
      <w:r w:rsidR="0045590C">
        <w:rPr>
          <w:webHidden/>
        </w:rPr>
        <w:t xml:space="preserve"> (to be administered in spring 2021 and spring 2022)</w:t>
      </w:r>
      <w:r w:rsidRPr="00B44D92" w:rsidR="00773529">
        <w:rPr>
          <w:webHidden/>
        </w:rPr>
        <w:t xml:space="preserve"> will </w:t>
      </w:r>
      <w:r w:rsidR="00734F49">
        <w:rPr>
          <w:webHidden/>
        </w:rPr>
        <w:t>include topics aligned with the evaluation’s research questions, such as</w:t>
      </w:r>
      <w:r w:rsidRPr="00B44D92" w:rsidR="00773529">
        <w:rPr>
          <w:webHidden/>
        </w:rPr>
        <w:t xml:space="preserve"> </w:t>
      </w:r>
      <w:r w:rsidRPr="00B44D92" w:rsidR="000B6BAD">
        <w:rPr>
          <w:webHidden/>
        </w:rPr>
        <w:t xml:space="preserve">teacher </w:t>
      </w:r>
      <w:r w:rsidRPr="00B44D92" w:rsidR="00773529">
        <w:rPr>
          <w:webHidden/>
        </w:rPr>
        <w:t>readiness to implement innovative assessments, training and supports provided to classroom teachers to build their capacity to implement innovativ</w:t>
      </w:r>
      <w:r w:rsidR="00B0291B">
        <w:rPr>
          <w:webHidden/>
        </w:rPr>
        <w:t xml:space="preserve">e assessments at the classroom </w:t>
      </w:r>
      <w:r w:rsidRPr="00B44D92" w:rsidR="00773529">
        <w:rPr>
          <w:webHidden/>
        </w:rPr>
        <w:t>level, challenges in classroom-level implementation of innovative assessments, accessibility of innovative assessments for students</w:t>
      </w:r>
      <w:r w:rsidR="00B0291B">
        <w:rPr>
          <w:webHidden/>
        </w:rPr>
        <w:t xml:space="preserve"> with disabilities and English </w:t>
      </w:r>
      <w:r w:rsidRPr="00B44D92" w:rsidR="00773529">
        <w:rPr>
          <w:webHidden/>
        </w:rPr>
        <w:t>learners, and usefulness of innovative assessments</w:t>
      </w:r>
      <w:r w:rsidRPr="00B44D92" w:rsidR="00CB0C13">
        <w:rPr>
          <w:webHidden/>
        </w:rPr>
        <w:t xml:space="preserve"> for informing instruction.</w:t>
      </w:r>
      <w:r w:rsidR="00463EBF">
        <w:rPr>
          <w:webHidden/>
        </w:rPr>
        <w:t xml:space="preserve"> </w:t>
      </w:r>
      <w:r w:rsidRPr="00B44D92" w:rsidR="00CB0C13">
        <w:rPr>
          <w:webHidden/>
        </w:rPr>
        <w:t xml:space="preserve">The classroom teacher survey will be administered to a sample of </w:t>
      </w:r>
      <w:r w:rsidR="00B0291B">
        <w:rPr>
          <w:webHidden/>
        </w:rPr>
        <w:t>participating t</w:t>
      </w:r>
      <w:r w:rsidRPr="00B44D92" w:rsidR="00CB0C13">
        <w:rPr>
          <w:webHidden/>
        </w:rPr>
        <w:t xml:space="preserve">eachers </w:t>
      </w:r>
      <w:r w:rsidR="00B0291B">
        <w:rPr>
          <w:webHidden/>
        </w:rPr>
        <w:t xml:space="preserve">in </w:t>
      </w:r>
      <w:r w:rsidRPr="00236E1C" w:rsidR="004B6609">
        <w:rPr>
          <w:webHidden/>
        </w:rPr>
        <w:t xml:space="preserve">sampled schools. </w:t>
      </w:r>
    </w:p>
    <w:p w:rsidRPr="00B44D92" w:rsidR="003616CE" w:rsidP="002E5BB6" w:rsidRDefault="003616CE" w14:paraId="15AC74B7" w14:textId="4970BD52">
      <w:pPr>
        <w:rPr>
          <w:webHidden/>
        </w:rPr>
      </w:pPr>
      <w:r w:rsidRPr="00190C10">
        <w:rPr>
          <w:b/>
          <w:webHidden/>
        </w:rPr>
        <w:t>SEA Interviews.</w:t>
      </w:r>
      <w:r w:rsidR="00463EBF">
        <w:rPr>
          <w:b/>
          <w:webHidden/>
        </w:rPr>
        <w:t xml:space="preserve"> </w:t>
      </w:r>
      <w:r w:rsidRPr="00236E1C">
        <w:rPr>
          <w:webHidden/>
        </w:rPr>
        <w:t>The interviews with IADA program directors in the four states in the evaluation</w:t>
      </w:r>
      <w:r w:rsidRPr="00D504EC">
        <w:rPr>
          <w:webHidden/>
        </w:rPr>
        <w:t xml:space="preserve"> </w:t>
      </w:r>
      <w:r w:rsidRPr="000B6E66">
        <w:rPr>
          <w:webHidden/>
        </w:rPr>
        <w:t>will</w:t>
      </w:r>
      <w:r w:rsidR="00734F49">
        <w:rPr>
          <w:webHidden/>
        </w:rPr>
        <w:t xml:space="preserve"> take place in the spring/summer of 2020, 2021, and 2022, and</w:t>
      </w:r>
      <w:r w:rsidRPr="000B6E66">
        <w:rPr>
          <w:webHidden/>
        </w:rPr>
        <w:t xml:space="preserve"> focus on their experiences during the school year that just completed. Topics will </w:t>
      </w:r>
      <w:r w:rsidR="00734F49">
        <w:rPr>
          <w:webHidden/>
        </w:rPr>
        <w:t>be aligned with the evaluation’s research questions, including</w:t>
      </w:r>
      <w:r w:rsidRPr="000B6E66">
        <w:rPr>
          <w:webHidden/>
        </w:rPr>
        <w:t xml:space="preserve"> </w:t>
      </w:r>
      <w:r w:rsidRPr="00B66909">
        <w:rPr>
          <w:webHidden/>
        </w:rPr>
        <w:t xml:space="preserve">efforts to evaluate state capacity and </w:t>
      </w:r>
      <w:r w:rsidR="00262F6D">
        <w:rPr>
          <w:webHidden/>
        </w:rPr>
        <w:t>district</w:t>
      </w:r>
      <w:r w:rsidRPr="00B66909" w:rsidR="00262F6D">
        <w:rPr>
          <w:webHidden/>
        </w:rPr>
        <w:t xml:space="preserve"> </w:t>
      </w:r>
      <w:r w:rsidRPr="00B66909">
        <w:rPr>
          <w:webHidden/>
        </w:rPr>
        <w:t>readiness to implement innovative assessments, development</w:t>
      </w:r>
      <w:r w:rsidRPr="00D138A7">
        <w:rPr>
          <w:webHidden/>
        </w:rPr>
        <w:t xml:space="preserve"> and continuous improvement of innovative assessments, and training and supports provided to build educator capacity to implement innovative assessments. </w:t>
      </w:r>
    </w:p>
    <w:p w:rsidRPr="00B44D92" w:rsidR="006A00B7" w:rsidP="002E5BB6" w:rsidRDefault="00196B78" w14:paraId="111DB835" w14:textId="51C4EE8D">
      <w:pPr>
        <w:rPr>
          <w:webHidden/>
        </w:rPr>
      </w:pPr>
      <w:r>
        <w:rPr>
          <w:b/>
          <w:webHidden/>
        </w:rPr>
        <w:t>Extant D</w:t>
      </w:r>
      <w:r w:rsidRPr="00B44D92" w:rsidR="00012B01">
        <w:rPr>
          <w:b/>
          <w:webHidden/>
        </w:rPr>
        <w:t xml:space="preserve">ata. </w:t>
      </w:r>
      <w:r w:rsidRPr="00B44D92" w:rsidR="00012B01">
        <w:rPr>
          <w:webHidden/>
        </w:rPr>
        <w:t>The study team will</w:t>
      </w:r>
      <w:r w:rsidR="00262F6D">
        <w:rPr>
          <w:webHidden/>
        </w:rPr>
        <w:t xml:space="preserve"> examine</w:t>
      </w:r>
      <w:r w:rsidRPr="00B44D92" w:rsidR="00012B01">
        <w:rPr>
          <w:webHidden/>
        </w:rPr>
        <w:t xml:space="preserve"> existing documents from the four IADA </w:t>
      </w:r>
      <w:r w:rsidRPr="00B44D92" w:rsidR="005F1F02">
        <w:rPr>
          <w:webHidden/>
        </w:rPr>
        <w:t>states</w:t>
      </w:r>
      <w:r w:rsidRPr="00B44D92" w:rsidR="001324AF">
        <w:rPr>
          <w:webHidden/>
        </w:rPr>
        <w:t xml:space="preserve"> to help determine if states are meeting the technical requirements of the innovative assessments</w:t>
      </w:r>
      <w:r w:rsidRPr="00B44D92" w:rsidR="005F1F02">
        <w:rPr>
          <w:webHidden/>
        </w:rPr>
        <w:t xml:space="preserve">. </w:t>
      </w:r>
      <w:r w:rsidRPr="00B44D92" w:rsidR="002C2CED">
        <w:rPr>
          <w:webHidden/>
        </w:rPr>
        <w:t>Examples of these documents</w:t>
      </w:r>
      <w:r w:rsidR="0045590C">
        <w:rPr>
          <w:webHidden/>
        </w:rPr>
        <w:t>, which will be collected in 2020, 2021, and 2022,</w:t>
      </w:r>
      <w:r w:rsidRPr="00B44D92" w:rsidR="002C2CED">
        <w:rPr>
          <w:webHidden/>
        </w:rPr>
        <w:t xml:space="preserve"> include </w:t>
      </w:r>
      <w:r w:rsidRPr="00B44D92" w:rsidR="00012B01">
        <w:rPr>
          <w:webHidden/>
        </w:rPr>
        <w:t xml:space="preserve">the state’s </w:t>
      </w:r>
      <w:r w:rsidRPr="00B44D92" w:rsidR="002C2CED">
        <w:rPr>
          <w:webHidden/>
        </w:rPr>
        <w:t xml:space="preserve">Annual </w:t>
      </w:r>
      <w:r w:rsidRPr="00B44D92" w:rsidR="00012B01">
        <w:t>Performance Report (APR)</w:t>
      </w:r>
      <w:r w:rsidRPr="00B44D92" w:rsidR="002C2CED">
        <w:t xml:space="preserve">; </w:t>
      </w:r>
      <w:r w:rsidRPr="00B44D92" w:rsidR="00012B01">
        <w:t>technical</w:t>
      </w:r>
      <w:r w:rsidRPr="00B44D92" w:rsidR="002C2CED">
        <w:t>, administration</w:t>
      </w:r>
      <w:r w:rsidRPr="00B44D92" w:rsidR="005F1F02">
        <w:t>,</w:t>
      </w:r>
      <w:r w:rsidRPr="00B44D92" w:rsidR="002C2CED">
        <w:t xml:space="preserve"> accommodation</w:t>
      </w:r>
      <w:r w:rsidRPr="00B44D92" w:rsidR="001324AF">
        <w:t>, and scorer</w:t>
      </w:r>
      <w:r w:rsidRPr="00B44D92" w:rsidR="00012B01">
        <w:t xml:space="preserve"> manual</w:t>
      </w:r>
      <w:r w:rsidRPr="00B44D92" w:rsidR="002C2CED">
        <w:t xml:space="preserve">s </w:t>
      </w:r>
      <w:r w:rsidRPr="00B44D92" w:rsidR="00012B01">
        <w:t>for the innovative assessment</w:t>
      </w:r>
      <w:r w:rsidRPr="00B44D92" w:rsidR="002C2CED">
        <w:t>;</w:t>
      </w:r>
      <w:r w:rsidRPr="00B44D92" w:rsidR="005F1F02">
        <w:t xml:space="preserve"> </w:t>
      </w:r>
      <w:r w:rsidRPr="00B44D92" w:rsidR="001324AF">
        <w:t xml:space="preserve">test specification documents; </w:t>
      </w:r>
      <w:r w:rsidRPr="00B44D92" w:rsidR="005F1F02">
        <w:t xml:space="preserve">and the state’s own </w:t>
      </w:r>
      <w:r w:rsidRPr="00B44D92" w:rsidR="001324AF">
        <w:t xml:space="preserve">IADA </w:t>
      </w:r>
      <w:r w:rsidRPr="00B44D92" w:rsidR="005F1F02">
        <w:t>evaluation report</w:t>
      </w:r>
      <w:r w:rsidR="00262F6D">
        <w:t>,</w:t>
      </w:r>
      <w:r w:rsidRPr="00B44D92" w:rsidR="00714958">
        <w:t xml:space="preserve"> if available</w:t>
      </w:r>
      <w:r w:rsidRPr="00B44D92" w:rsidR="005F1F02">
        <w:t>.</w:t>
      </w:r>
      <w:r w:rsidR="00463EBF">
        <w:t xml:space="preserve"> </w:t>
      </w:r>
    </w:p>
    <w:p w:rsidRPr="00B44D92" w:rsidR="00CB0C13" w:rsidP="002E5BB6" w:rsidRDefault="00CB0C13" w14:paraId="2E7D442A" w14:textId="02B01C49">
      <w:pPr>
        <w:pStyle w:val="Heading2"/>
      </w:pPr>
      <w:bookmarkStart w:name="_Toc44917299" w:id="4"/>
      <w:r w:rsidRPr="00B44D92">
        <w:t>A3.</w:t>
      </w:r>
      <w:r w:rsidR="00271588">
        <w:tab/>
      </w:r>
      <w:r w:rsidRPr="00B44D92">
        <w:t xml:space="preserve">Use of </w:t>
      </w:r>
      <w:r w:rsidR="00271588">
        <w:t>T</w:t>
      </w:r>
      <w:r w:rsidRPr="00B44D92">
        <w:t xml:space="preserve">echnology to </w:t>
      </w:r>
      <w:r w:rsidR="00271588">
        <w:t>R</w:t>
      </w:r>
      <w:r w:rsidRPr="00B44D92">
        <w:t xml:space="preserve">educe </w:t>
      </w:r>
      <w:r w:rsidR="00271588">
        <w:t>B</w:t>
      </w:r>
      <w:r w:rsidRPr="00B44D92">
        <w:t>urden</w:t>
      </w:r>
      <w:bookmarkEnd w:id="4"/>
    </w:p>
    <w:p w:rsidRPr="00B44D92" w:rsidR="004C6EDE" w:rsidP="002E5BB6" w:rsidRDefault="008C48C8" w14:paraId="5B5F9616" w14:textId="7B9E0DA4">
      <w:r w:rsidRPr="00B44D92">
        <w:t xml:space="preserve">The data collection plan is designed to obtain information in an efficient way that minimizes respondent burden. </w:t>
      </w:r>
      <w:r w:rsidRPr="00B44D92" w:rsidR="00725D4B">
        <w:t>D</w:t>
      </w:r>
      <w:r w:rsidR="00633D05">
        <w:t>istrict Co</w:t>
      </w:r>
      <w:r w:rsidRPr="00B44D92" w:rsidR="00725D4B">
        <w:t xml:space="preserve">ordinators will have the option </w:t>
      </w:r>
      <w:r w:rsidR="00C13581">
        <w:t>to submit</w:t>
      </w:r>
      <w:r w:rsidRPr="00B44D92" w:rsidR="00725D4B">
        <w:t xml:space="preserve"> teacher lists </w:t>
      </w:r>
      <w:r w:rsidR="004324A6">
        <w:t>electronically</w:t>
      </w:r>
      <w:r w:rsidRPr="00B44D92" w:rsidR="00725D4B">
        <w:t xml:space="preserve">. </w:t>
      </w:r>
      <w:r w:rsidRPr="00B44D92">
        <w:t>The email address</w:t>
      </w:r>
      <w:r w:rsidR="005311A2">
        <w:t>,</w:t>
      </w:r>
      <w:r w:rsidRPr="00B44D92">
        <w:t xml:space="preserve"> to which respondents can </w:t>
      </w:r>
      <w:r w:rsidR="004324A6">
        <w:t xml:space="preserve">electronically </w:t>
      </w:r>
      <w:r w:rsidRPr="00B44D92">
        <w:t>direct questions</w:t>
      </w:r>
      <w:r w:rsidR="005311A2">
        <w:t>,</w:t>
      </w:r>
      <w:r w:rsidRPr="00B44D92">
        <w:t xml:space="preserve"> will be included in the materials for preparing the teacher list.</w:t>
      </w:r>
      <w:r w:rsidRPr="00B44D92" w:rsidR="004C6EDE">
        <w:t xml:space="preserve"> </w:t>
      </w:r>
    </w:p>
    <w:p w:rsidR="00C03138" w:rsidP="002E5BB6" w:rsidRDefault="00E62416" w14:paraId="5ACCA016" w14:textId="0BD04FF0">
      <w:pPr>
        <w:pStyle w:val="Heading2"/>
      </w:pPr>
      <w:bookmarkStart w:name="_Toc44917300" w:id="5"/>
      <w:r w:rsidRPr="00196884">
        <w:lastRenderedPageBreak/>
        <w:t>A4.</w:t>
      </w:r>
      <w:r w:rsidR="00271588">
        <w:tab/>
      </w:r>
      <w:r w:rsidRPr="00196884">
        <w:t xml:space="preserve">Efforts to </w:t>
      </w:r>
      <w:r w:rsidR="00271588">
        <w:t>A</w:t>
      </w:r>
      <w:r w:rsidRPr="00196884">
        <w:t xml:space="preserve">void </w:t>
      </w:r>
      <w:r w:rsidR="00271588">
        <w:t>D</w:t>
      </w:r>
      <w:r w:rsidRPr="00196884">
        <w:t xml:space="preserve">uplication of </w:t>
      </w:r>
      <w:r w:rsidR="00271588">
        <w:t>E</w:t>
      </w:r>
      <w:r w:rsidRPr="00196884">
        <w:t>ffort</w:t>
      </w:r>
      <w:bookmarkEnd w:id="5"/>
    </w:p>
    <w:p w:rsidRPr="00C03138" w:rsidR="00E62416" w:rsidP="002E5BB6" w:rsidRDefault="00C03138" w14:paraId="317287DF" w14:textId="10513BEF">
      <w:pPr>
        <w:rPr>
          <w:b/>
        </w:rPr>
      </w:pPr>
      <w:r>
        <w:t>T</w:t>
      </w:r>
      <w:r w:rsidRPr="00236E1C">
        <w:t xml:space="preserve">here are no other sources </w:t>
      </w:r>
      <w:r w:rsidRPr="00196884">
        <w:t xml:space="preserve">that </w:t>
      </w:r>
      <w:r w:rsidR="004324A6">
        <w:t>systematically</w:t>
      </w:r>
      <w:r w:rsidR="00F06285">
        <w:t xml:space="preserve"> and comprehensively</w:t>
      </w:r>
      <w:r w:rsidR="004324A6">
        <w:t xml:space="preserve"> </w:t>
      </w:r>
      <w:r w:rsidRPr="00196884">
        <w:t xml:space="preserve">report </w:t>
      </w:r>
      <w:r w:rsidR="002C2C8C">
        <w:t>which</w:t>
      </w:r>
      <w:r w:rsidR="00F06285">
        <w:t xml:space="preserve"> schools and teachers are participating in the</w:t>
      </w:r>
      <w:r w:rsidR="002C2C8C">
        <w:t xml:space="preserve"> innovative assessment pilot</w:t>
      </w:r>
      <w:r w:rsidR="00FC5652">
        <w:t xml:space="preserve"> in each year</w:t>
      </w:r>
      <w:r w:rsidR="002C2C8C">
        <w:t>. This information is needed</w:t>
      </w:r>
      <w:r w:rsidR="00FC5652">
        <w:t xml:space="preserve"> to accurately draw a survey sample that will </w:t>
      </w:r>
      <w:r w:rsidR="00A0438D">
        <w:t>be representative of these participants’</w:t>
      </w:r>
      <w:r w:rsidRPr="000B6E66">
        <w:t xml:space="preserve"> perspectives</w:t>
      </w:r>
      <w:r>
        <w:t>.</w:t>
      </w:r>
      <w:r w:rsidRPr="00D504EC">
        <w:t xml:space="preserve"> </w:t>
      </w:r>
      <w:r w:rsidR="00196B78">
        <w:t>To avoid duplication of effort and minimize respondent burden, t</w:t>
      </w:r>
      <w:r>
        <w:t xml:space="preserve">he </w:t>
      </w:r>
      <w:r w:rsidRPr="000B6E66" w:rsidR="00E62416">
        <w:t>study</w:t>
      </w:r>
      <w:r w:rsidR="00FD0349">
        <w:t xml:space="preserve"> will rely as much as possible </w:t>
      </w:r>
      <w:r w:rsidRPr="000B6E66" w:rsidR="00E62416">
        <w:t xml:space="preserve">on </w:t>
      </w:r>
      <w:r w:rsidRPr="00B66909" w:rsidR="00E62416">
        <w:t>extant document</w:t>
      </w:r>
      <w:r w:rsidRPr="00B66909" w:rsidR="00395BC2">
        <w:t>s</w:t>
      </w:r>
      <w:r w:rsidR="00FD0349">
        <w:t>, such as the APR,</w:t>
      </w:r>
      <w:r w:rsidRPr="00B66909" w:rsidR="00395BC2">
        <w:t xml:space="preserve"> </w:t>
      </w:r>
      <w:r w:rsidRPr="00D138A7" w:rsidR="002C2FF6">
        <w:t xml:space="preserve">to </w:t>
      </w:r>
      <w:r w:rsidRPr="00D138A7" w:rsidR="00F600CA">
        <w:rPr>
          <w:webHidden/>
        </w:rPr>
        <w:t xml:space="preserve">help </w:t>
      </w:r>
      <w:r w:rsidR="00FD0349">
        <w:rPr>
          <w:webHidden/>
        </w:rPr>
        <w:t>identify participating districts and schools.</w:t>
      </w:r>
      <w:r w:rsidR="002E5BB6">
        <w:t xml:space="preserve"> </w:t>
      </w:r>
    </w:p>
    <w:p w:rsidRPr="00236E1C" w:rsidR="00E62416" w:rsidP="002E5BB6" w:rsidRDefault="00E62416" w14:paraId="63C0BA3F" w14:textId="79174F0B">
      <w:pPr>
        <w:pStyle w:val="Heading2"/>
      </w:pPr>
      <w:bookmarkStart w:name="_Toc44917301" w:id="6"/>
      <w:r w:rsidRPr="00236E1C">
        <w:t>A5.</w:t>
      </w:r>
      <w:r w:rsidR="00423CD7">
        <w:tab/>
      </w:r>
      <w:r w:rsidRPr="00236E1C">
        <w:t xml:space="preserve">Methods of </w:t>
      </w:r>
      <w:r w:rsidR="00423CD7">
        <w:t>M</w:t>
      </w:r>
      <w:r w:rsidRPr="00236E1C">
        <w:t xml:space="preserve">inimizing </w:t>
      </w:r>
      <w:r w:rsidR="00423CD7">
        <w:t>B</w:t>
      </w:r>
      <w:r w:rsidRPr="00236E1C">
        <w:t xml:space="preserve">urden on </w:t>
      </w:r>
      <w:r w:rsidR="00423CD7">
        <w:t>S</w:t>
      </w:r>
      <w:r w:rsidRPr="00236E1C">
        <w:t xml:space="preserve">mall </w:t>
      </w:r>
      <w:r w:rsidR="00423CD7">
        <w:t>E</w:t>
      </w:r>
      <w:r w:rsidRPr="00236E1C">
        <w:t>ntities</w:t>
      </w:r>
      <w:bookmarkEnd w:id="6"/>
    </w:p>
    <w:p w:rsidRPr="000B6E66" w:rsidR="006B79E9" w:rsidP="002E5BB6" w:rsidRDefault="00E62416" w14:paraId="52C0E925" w14:textId="797E3A45">
      <w:r w:rsidRPr="00196884">
        <w:t>No small businesses or entities will be involved as respondents.</w:t>
      </w:r>
      <w:r w:rsidR="00463EBF">
        <w:t xml:space="preserve"> </w:t>
      </w:r>
      <w:r w:rsidRPr="00196884">
        <w:t xml:space="preserve">Every effort will be made to minimize the burden on </w:t>
      </w:r>
      <w:r w:rsidR="00CC7B54">
        <w:t xml:space="preserve">all </w:t>
      </w:r>
      <w:r w:rsidRPr="00196884">
        <w:t>respondents</w:t>
      </w:r>
      <w:r w:rsidR="00CC7B54">
        <w:t>, whether they are from</w:t>
      </w:r>
      <w:r w:rsidR="009F29F1">
        <w:t xml:space="preserve"> larger or smaller districts and schools</w:t>
      </w:r>
      <w:r w:rsidRPr="00196884">
        <w:t xml:space="preserve">. </w:t>
      </w:r>
      <w:r w:rsidRPr="00D504EC" w:rsidR="00AA4E1A">
        <w:t xml:space="preserve">To minimize the burden on the </w:t>
      </w:r>
      <w:r w:rsidR="004A69E2">
        <w:t>D</w:t>
      </w:r>
      <w:r w:rsidRPr="00D504EC" w:rsidR="00AA4E1A">
        <w:t xml:space="preserve">istrict </w:t>
      </w:r>
      <w:r w:rsidR="004A69E2">
        <w:t>C</w:t>
      </w:r>
      <w:r w:rsidRPr="00D504EC" w:rsidR="00AA4E1A">
        <w:t xml:space="preserve">oordinator </w:t>
      </w:r>
      <w:r w:rsidRPr="000B6E66" w:rsidR="00AA4E1A">
        <w:t xml:space="preserve">for the teacher list collection, respondents have the option </w:t>
      </w:r>
      <w:r w:rsidR="002526AC">
        <w:t>to use</w:t>
      </w:r>
      <w:r w:rsidRPr="000B6E66" w:rsidR="00AA4E1A">
        <w:t xml:space="preserve"> existing staff lists, and edit</w:t>
      </w:r>
      <w:r w:rsidR="00273C9E">
        <w:t xml:space="preserve"> </w:t>
      </w:r>
      <w:r w:rsidRPr="000B6E66" w:rsidR="00AA4E1A">
        <w:t xml:space="preserve">them as needed to eliminate ineligible teachers. We will accept lists in all formats and assist respondents by telephone and email. </w:t>
      </w:r>
    </w:p>
    <w:p w:rsidRPr="00B44D92" w:rsidR="00CD16AA" w:rsidP="002E5BB6" w:rsidRDefault="00CD16AA" w14:paraId="1772C169" w14:textId="10CBC0D3">
      <w:pPr>
        <w:pStyle w:val="Heading2"/>
      </w:pPr>
      <w:bookmarkStart w:name="_Toc44917302" w:id="7"/>
      <w:r w:rsidRPr="00B44D92">
        <w:t>A6.</w:t>
      </w:r>
      <w:r w:rsidR="00423CD7">
        <w:tab/>
      </w:r>
      <w:r w:rsidRPr="00B44D92">
        <w:t xml:space="preserve">Consequences of </w:t>
      </w:r>
      <w:r w:rsidR="00423CD7">
        <w:t>n</w:t>
      </w:r>
      <w:r w:rsidRPr="00B44D92">
        <w:t xml:space="preserve">ot </w:t>
      </w:r>
      <w:r w:rsidR="00423CD7">
        <w:t>C</w:t>
      </w:r>
      <w:r w:rsidRPr="00B44D92">
        <w:t xml:space="preserve">ollecting </w:t>
      </w:r>
      <w:r w:rsidR="00423CD7">
        <w:t>D</w:t>
      </w:r>
      <w:r w:rsidRPr="00B44D92">
        <w:t>ata</w:t>
      </w:r>
      <w:bookmarkEnd w:id="7"/>
    </w:p>
    <w:p w:rsidRPr="00B44D92" w:rsidR="001F133D" w:rsidP="002E5BB6" w:rsidRDefault="006E5B8F" w14:paraId="1288DCF8" w14:textId="6F311CFC">
      <w:r w:rsidRPr="00B44D92">
        <w:t>If the district</w:t>
      </w:r>
      <w:r w:rsidR="009F29F1">
        <w:t xml:space="preserve"> recruitment and </w:t>
      </w:r>
      <w:r w:rsidR="00185DCC">
        <w:t xml:space="preserve">collection of </w:t>
      </w:r>
      <w:r w:rsidR="009F29F1">
        <w:t>teacher lists are not c</w:t>
      </w:r>
      <w:r w:rsidR="00185DCC">
        <w:t xml:space="preserve">onducted, then it will be impossible to accurately sample and represent the perspectives of pilot </w:t>
      </w:r>
      <w:r w:rsidR="008D04B0">
        <w:t xml:space="preserve">districts, </w:t>
      </w:r>
      <w:r w:rsidR="00185DCC">
        <w:t>schools</w:t>
      </w:r>
      <w:r w:rsidR="008D04B0">
        <w:t>,</w:t>
      </w:r>
      <w:r w:rsidR="00185DCC">
        <w:t xml:space="preserve"> and teachers</w:t>
      </w:r>
      <w:r w:rsidR="008D04B0">
        <w:t>.</w:t>
      </w:r>
      <w:r w:rsidR="00717033">
        <w:t xml:space="preserve"> Without these survey data,</w:t>
      </w:r>
      <w:r w:rsidR="00B92AC8">
        <w:t xml:space="preserve"> the Best Practices R</w:t>
      </w:r>
      <w:r w:rsidRPr="00B44D92">
        <w:t xml:space="preserve">eport will not include lessons learned from key stakeholders in the administration and use of the </w:t>
      </w:r>
      <w:r w:rsidRPr="00B44D92" w:rsidR="00FE4A26">
        <w:t xml:space="preserve">IADA </w:t>
      </w:r>
      <w:r w:rsidRPr="00B44D92" w:rsidR="00383643">
        <w:t>assessments.</w:t>
      </w:r>
      <w:r w:rsidRPr="00B44D92">
        <w:t xml:space="preserve"> </w:t>
      </w:r>
      <w:r w:rsidRPr="00B44D92" w:rsidR="00383643">
        <w:t xml:space="preserve">Thus, the report would lack information critical to other states </w:t>
      </w:r>
      <w:r w:rsidRPr="00B44D92" w:rsidR="001F133D">
        <w:t>and</w:t>
      </w:r>
      <w:r w:rsidRPr="00B44D92" w:rsidR="00545B8C">
        <w:t xml:space="preserve"> local </w:t>
      </w:r>
      <w:r w:rsidRPr="00B44D92" w:rsidR="001F133D">
        <w:t xml:space="preserve">stakeholders </w:t>
      </w:r>
      <w:r w:rsidRPr="00B44D92" w:rsidR="00383643">
        <w:t xml:space="preserve">as they decide whether to pursue innovative assessments and apply to the </w:t>
      </w:r>
      <w:r w:rsidR="002E159A">
        <w:t xml:space="preserve">IADA </w:t>
      </w:r>
      <w:r w:rsidRPr="00B44D92" w:rsidR="00383643">
        <w:t>program.</w:t>
      </w:r>
      <w:r w:rsidR="002511FA">
        <w:t xml:space="preserve"> Such a gap would limit the usefulness of the evaluation and </w:t>
      </w:r>
      <w:r w:rsidR="003541E6">
        <w:t>prevent it from</w:t>
      </w:r>
      <w:r w:rsidR="002511FA">
        <w:t xml:space="preserve"> </w:t>
      </w:r>
      <w:r w:rsidR="003541E6">
        <w:t>fulfilling</w:t>
      </w:r>
      <w:r w:rsidR="002511FA">
        <w:t xml:space="preserve"> </w:t>
      </w:r>
      <w:r w:rsidR="004C4587">
        <w:t>a key objective</w:t>
      </w:r>
      <w:r w:rsidR="002511FA">
        <w:t xml:space="preserve"> of the Congressionally</w:t>
      </w:r>
      <w:r w:rsidR="00273C9E">
        <w:t xml:space="preserve"> </w:t>
      </w:r>
      <w:r w:rsidR="002511FA">
        <w:t>mandated evaluation.</w:t>
      </w:r>
      <w:r w:rsidRPr="00B44D92" w:rsidR="001F133D">
        <w:t xml:space="preserve"> </w:t>
      </w:r>
    </w:p>
    <w:p w:rsidRPr="00D504EC" w:rsidR="00CD16AA" w:rsidP="002E5BB6" w:rsidRDefault="00CD16AA" w14:paraId="56EC6833" w14:textId="0996A72F">
      <w:pPr>
        <w:pStyle w:val="Heading2"/>
      </w:pPr>
      <w:bookmarkStart w:name="_Toc44917303" w:id="8"/>
      <w:r w:rsidRPr="00196884">
        <w:t>A7.</w:t>
      </w:r>
      <w:r w:rsidR="00423CD7">
        <w:tab/>
      </w:r>
      <w:r w:rsidRPr="00196884">
        <w:t xml:space="preserve">Special </w:t>
      </w:r>
      <w:r w:rsidR="00423CD7">
        <w:t>C</w:t>
      </w:r>
      <w:r w:rsidRPr="00196884">
        <w:t>ircumstances</w:t>
      </w:r>
      <w:bookmarkEnd w:id="8"/>
    </w:p>
    <w:p w:rsidRPr="000B6E66" w:rsidR="00236E1C" w:rsidP="002E5BB6" w:rsidRDefault="00B77250" w14:paraId="1C4F27D6" w14:textId="6AB2473A">
      <w:pPr>
        <w:rPr>
          <w:b/>
        </w:rPr>
      </w:pPr>
      <w:r w:rsidRPr="002376CA">
        <w:t>There are no special circumstances involved with this data collection.</w:t>
      </w:r>
      <w:r>
        <w:t xml:space="preserve"> </w:t>
      </w:r>
      <w:r w:rsidRPr="00D504EC" w:rsidR="00FE2539">
        <w:t>Data collected will be conducted in a manner consistent with th</w:t>
      </w:r>
      <w:r w:rsidRPr="000B6E66" w:rsidR="00FE2539">
        <w:t xml:space="preserve">e guidelines in 5 CFR 1320.5. </w:t>
      </w:r>
    </w:p>
    <w:p w:rsidRPr="000B6E66" w:rsidR="00FB21E7" w:rsidP="002E5BB6" w:rsidRDefault="00FB21E7" w14:paraId="0384CC7F" w14:textId="6C2BD69C">
      <w:pPr>
        <w:pStyle w:val="Heading2"/>
      </w:pPr>
      <w:bookmarkStart w:name="_Toc44917304" w:id="9"/>
      <w:r w:rsidRPr="000B6E66">
        <w:t>A8.</w:t>
      </w:r>
      <w:r w:rsidR="00423CD7">
        <w:tab/>
      </w:r>
      <w:r w:rsidRPr="000B6E66">
        <w:t xml:space="preserve">Federal </w:t>
      </w:r>
      <w:r w:rsidR="00423CD7">
        <w:t>R</w:t>
      </w:r>
      <w:r w:rsidRPr="000B6E66">
        <w:t xml:space="preserve">egister </w:t>
      </w:r>
      <w:r w:rsidR="00423CD7">
        <w:t>A</w:t>
      </w:r>
      <w:r w:rsidRPr="000B6E66">
        <w:t xml:space="preserve">nnouncement and </w:t>
      </w:r>
      <w:r w:rsidR="00423CD7">
        <w:t>C</w:t>
      </w:r>
      <w:r w:rsidRPr="000B6E66">
        <w:t>onsultation</w:t>
      </w:r>
      <w:bookmarkEnd w:id="9"/>
    </w:p>
    <w:p w:rsidRPr="00B44D92" w:rsidR="00FB21E7" w:rsidP="002E5BB6" w:rsidRDefault="00FB21E7" w14:paraId="4F5A1A25" w14:textId="1B821A60">
      <w:r w:rsidRPr="00B66909">
        <w:t xml:space="preserve">The 60-day </w:t>
      </w:r>
      <w:r w:rsidRPr="00B66909">
        <w:rPr>
          <w:i/>
        </w:rPr>
        <w:t>Federal Register</w:t>
      </w:r>
      <w:r w:rsidRPr="00D138A7">
        <w:t xml:space="preserve"> notice was published on </w:t>
      </w:r>
      <w:r w:rsidR="00E95723">
        <w:t>July 14, 2020 (85 FR 42370). One nonsubstantive comment was received that did not result in changes to this request. A</w:t>
      </w:r>
      <w:r w:rsidRPr="001C5CF0">
        <w:t xml:space="preserve"> 30-day </w:t>
      </w:r>
      <w:r w:rsidRPr="001C5CF0">
        <w:rPr>
          <w:i/>
        </w:rPr>
        <w:t xml:space="preserve">Federal Register </w:t>
      </w:r>
      <w:r w:rsidRPr="001C5CF0">
        <w:t>notice w</w:t>
      </w:r>
      <w:r w:rsidR="00E95723">
        <w:t>ill be published.</w:t>
      </w:r>
      <w:r w:rsidRPr="001C5CF0" w:rsidR="001C5CF0">
        <w:t xml:space="preserve"> </w:t>
      </w:r>
    </w:p>
    <w:p w:rsidRPr="00196884" w:rsidR="003D0468" w:rsidP="002E5BB6" w:rsidRDefault="0045590C" w14:paraId="4E873A1C" w14:textId="46ACC442">
      <w:r>
        <w:t>This study has a</w:t>
      </w:r>
      <w:r w:rsidRPr="00236E1C" w:rsidR="00FB21E7">
        <w:t xml:space="preserve"> Technical Working Group (TWG)</w:t>
      </w:r>
      <w:r>
        <w:t xml:space="preserve"> that includes</w:t>
      </w:r>
      <w:r w:rsidRPr="00D504EC" w:rsidR="00BA22F6">
        <w:t xml:space="preserve"> members </w:t>
      </w:r>
      <w:r>
        <w:t>with</w:t>
      </w:r>
      <w:r w:rsidRPr="00D504EC" w:rsidR="00BA22F6">
        <w:t xml:space="preserve"> expertise</w:t>
      </w:r>
      <w:r>
        <w:t xml:space="preserve"> on </w:t>
      </w:r>
      <w:r w:rsidRPr="00D504EC" w:rsidR="00BA22F6">
        <w:t xml:space="preserve">the types of innovative assessments being used by the four </w:t>
      </w:r>
      <w:r w:rsidRPr="000B6E66" w:rsidR="00BA22F6">
        <w:t>IADA states in the evaluation (e.g., performance assessment, interim and formative assessments, computer adaptive testing</w:t>
      </w:r>
      <w:r w:rsidRPr="000B6E66" w:rsidR="008848FB">
        <w:t>)</w:t>
      </w:r>
      <w:r w:rsidRPr="000B6E66" w:rsidR="00BA22F6">
        <w:t>; assessment development</w:t>
      </w:r>
      <w:r w:rsidRPr="00B66909" w:rsidR="00BA22F6">
        <w:t>, including psychometric</w:t>
      </w:r>
      <w:r w:rsidRPr="00D138A7" w:rsidR="008848FB">
        <w:t xml:space="preserve"> properties</w:t>
      </w:r>
      <w:r w:rsidRPr="00D138A7" w:rsidR="00BA22F6">
        <w:t xml:space="preserve">; </w:t>
      </w:r>
      <w:r w:rsidRPr="00190C10" w:rsidR="00BA22F6">
        <w:t>the implementation of assessments at the state and local levels; and quantitative and qualitative</w:t>
      </w:r>
      <w:r>
        <w:t xml:space="preserve"> research</w:t>
      </w:r>
      <w:r w:rsidRPr="00190C10" w:rsidR="00BA22F6">
        <w:t xml:space="preserve"> method</w:t>
      </w:r>
      <w:r w:rsidRPr="00190C10" w:rsidR="008848FB">
        <w:t>s</w:t>
      </w:r>
      <w:r w:rsidRPr="00190C10" w:rsidR="00BA22F6">
        <w:t>.</w:t>
      </w:r>
      <w:r w:rsidRPr="00236E1C" w:rsidR="00C866EB">
        <w:t xml:space="preserve"> </w:t>
      </w:r>
      <w:r w:rsidRPr="00236E1C" w:rsidR="00FB21E7">
        <w:t>The TWG members are</w:t>
      </w:r>
      <w:r w:rsidR="004C4587">
        <w:t>:</w:t>
      </w:r>
      <w:r w:rsidRPr="00236E1C" w:rsidR="00FB21E7">
        <w:t xml:space="preserve"> </w:t>
      </w:r>
    </w:p>
    <w:p w:rsidRPr="00E514AE" w:rsidR="00FB21E7" w:rsidP="002E5BB6" w:rsidRDefault="00FB21E7" w14:paraId="1BC29796" w14:textId="2BF05EF1">
      <w:pPr>
        <w:pStyle w:val="N1-1stBullet"/>
      </w:pPr>
      <w:r w:rsidRPr="00A21E80">
        <w:t xml:space="preserve">Suzanne Lane, </w:t>
      </w:r>
      <w:r w:rsidRPr="00E514AE">
        <w:t>Professor, Research Methodology Program, Department of Psychology in Education, University of Pittsburgh</w:t>
      </w:r>
    </w:p>
    <w:p w:rsidRPr="00E514AE" w:rsidR="00915D48" w:rsidP="002E5BB6" w:rsidRDefault="00915D48" w14:paraId="71FEE0A3" w14:textId="77777777">
      <w:pPr>
        <w:pStyle w:val="N1-1stBullet"/>
      </w:pPr>
      <w:r w:rsidRPr="00E514AE">
        <w:t>Peter Leonard, Director of Assessment, Chicago Public Schools</w:t>
      </w:r>
    </w:p>
    <w:p w:rsidRPr="00E514AE" w:rsidR="00FB21E7" w:rsidP="002E5BB6" w:rsidRDefault="00FB21E7" w14:paraId="133E2751" w14:textId="77777777">
      <w:pPr>
        <w:pStyle w:val="N1-1stBullet"/>
      </w:pPr>
      <w:r w:rsidRPr="00E514AE">
        <w:t>Richard Patz, Distinguished Research Advisor, University of California, Berkeley</w:t>
      </w:r>
    </w:p>
    <w:p w:rsidRPr="00E514AE" w:rsidR="00A31600" w:rsidP="002E5BB6" w:rsidRDefault="00FB21E7" w14:paraId="6A92D2C1" w14:textId="0AEA95D1">
      <w:pPr>
        <w:pStyle w:val="N1-1stBullet"/>
      </w:pPr>
      <w:r w:rsidRPr="00E514AE">
        <w:t>Andy Porter, Director, The Center on Standards, Alignment, Instruction, and Learning</w:t>
      </w:r>
      <w:r w:rsidRPr="00E514AE" w:rsidR="00463EBF">
        <w:t xml:space="preserve"> </w:t>
      </w:r>
      <w:r w:rsidRPr="00E514AE">
        <w:t>Professor Emeritus of Education, University of Pennsylvania</w:t>
      </w:r>
    </w:p>
    <w:p w:rsidRPr="00E514AE" w:rsidR="00915D48" w:rsidP="002E5BB6" w:rsidRDefault="00915D48" w14:paraId="02F8D4D3" w14:textId="77777777">
      <w:pPr>
        <w:pStyle w:val="N1-1stBullet"/>
      </w:pPr>
      <w:r w:rsidRPr="00E514AE">
        <w:lastRenderedPageBreak/>
        <w:t>Michael Rodriguez, CEHD Associate Dean for Undergraduate Programs, Diversity, and Equity; Campbell Leadership Chair in Education and Human Development; and Professor, University of Minnesota</w:t>
      </w:r>
    </w:p>
    <w:p w:rsidRPr="002E159A" w:rsidR="007E662A" w:rsidP="002E5BB6" w:rsidRDefault="00915D48" w14:paraId="2944C3C8" w14:textId="74A11642">
      <w:pPr>
        <w:pStyle w:val="N1-1stBullet"/>
      </w:pPr>
      <w:r w:rsidRPr="00E514AE">
        <w:t xml:space="preserve">Phoebe Winter, </w:t>
      </w:r>
      <w:r w:rsidRPr="00E514AE" w:rsidR="0062685D">
        <w:t>independent c</w:t>
      </w:r>
      <w:r w:rsidRPr="00E514AE">
        <w:t>onsultant</w:t>
      </w:r>
      <w:r w:rsidRPr="00E514AE" w:rsidR="002E159A">
        <w:t>, who</w:t>
      </w:r>
      <w:r w:rsidRPr="00E514AE" w:rsidR="00A80309">
        <w:t xml:space="preserve"> has held positions as an assessment measurement specialist in the</w:t>
      </w:r>
      <w:r w:rsidRPr="00425D77" w:rsidR="00A80309">
        <w:t xml:space="preserve"> South Carolina and Virginia Departments of Education</w:t>
      </w:r>
      <w:r w:rsidR="007F1A8B">
        <w:t>,</w:t>
      </w:r>
      <w:r w:rsidRPr="00425D77" w:rsidR="00A80309">
        <w:t xml:space="preserve"> and is the former research director </w:t>
      </w:r>
      <w:r w:rsidR="009D6337">
        <w:t>of</w:t>
      </w:r>
      <w:r w:rsidRPr="00425D77" w:rsidR="00A80309">
        <w:t xml:space="preserve"> the Center for the Study of Assessment Validity and Evaluation at University of Maryland.</w:t>
      </w:r>
    </w:p>
    <w:p w:rsidRPr="00B44D92" w:rsidR="00CB01AB" w:rsidP="002E5BB6" w:rsidRDefault="00CB01AB" w14:paraId="1A6574CF" w14:textId="05E47AB9">
      <w:r w:rsidRPr="00B44D92">
        <w:t xml:space="preserve">This TWG will advise on the conduct of this evaluation including, but not limited </w:t>
      </w:r>
      <w:r w:rsidRPr="00B44D92" w:rsidR="009F21A5">
        <w:t>to</w:t>
      </w:r>
      <w:r w:rsidRPr="00B44D92" w:rsidR="008848FB">
        <w:t>,</w:t>
      </w:r>
      <w:r w:rsidRPr="00B44D92" w:rsidR="009F21A5">
        <w:t xml:space="preserve"> sample design, </w:t>
      </w:r>
      <w:r w:rsidRPr="00B44D92">
        <w:t xml:space="preserve">instrumentation related to survey design, data collection and analysis, as well as the reporting of best practices related to the </w:t>
      </w:r>
      <w:r w:rsidRPr="00B44D92" w:rsidR="008848FB">
        <w:t xml:space="preserve">development, </w:t>
      </w:r>
      <w:r w:rsidRPr="00B44D92">
        <w:t>implementation</w:t>
      </w:r>
      <w:r w:rsidRPr="00B44D92" w:rsidR="008848FB">
        <w:t>,</w:t>
      </w:r>
      <w:r w:rsidRPr="00B44D92">
        <w:t xml:space="preserve"> and use of innovative assessments.</w:t>
      </w:r>
      <w:r w:rsidR="00463EBF">
        <w:t xml:space="preserve"> </w:t>
      </w:r>
    </w:p>
    <w:p w:rsidRPr="00B44D92" w:rsidR="00CB01AB" w:rsidP="002E5BB6" w:rsidRDefault="00CB01AB" w14:paraId="1597A8EC" w14:textId="01D37728">
      <w:pPr>
        <w:pStyle w:val="Heading2"/>
        <w:rPr>
          <w:webHidden/>
        </w:rPr>
      </w:pPr>
      <w:bookmarkStart w:name="_Toc44917305" w:id="10"/>
      <w:r w:rsidRPr="00B44D92">
        <w:t>A9.</w:t>
      </w:r>
      <w:r w:rsidR="00423CD7">
        <w:tab/>
      </w:r>
      <w:r w:rsidRPr="00B44D92">
        <w:t xml:space="preserve">Payments or </w:t>
      </w:r>
      <w:r w:rsidR="00423CD7">
        <w:t>G</w:t>
      </w:r>
      <w:r w:rsidRPr="00B44D92">
        <w:t>ifts</w:t>
      </w:r>
      <w:bookmarkEnd w:id="10"/>
    </w:p>
    <w:p w:rsidRPr="00236E1C" w:rsidR="000D770E" w:rsidP="002E5BB6" w:rsidRDefault="000D770E" w14:paraId="182B39AD" w14:textId="67AB59A8">
      <w:r w:rsidRPr="00B44D92">
        <w:t xml:space="preserve">If allowed by district policy, </w:t>
      </w:r>
      <w:r w:rsidRPr="00B44D92" w:rsidR="0065177A">
        <w:t xml:space="preserve">the evaluation team will give </w:t>
      </w:r>
      <w:r w:rsidRPr="00B44D92">
        <w:t>district coordinators a small incentive</w:t>
      </w:r>
      <w:r w:rsidRPr="00B44D92" w:rsidR="0065177A">
        <w:t xml:space="preserve"> ($50)</w:t>
      </w:r>
      <w:r w:rsidRPr="00B44D92">
        <w:t xml:space="preserve"> for providing the lists of eligible teachers in sampled schools. </w:t>
      </w:r>
      <w:r w:rsidRPr="00B44D92" w:rsidR="00874BF6">
        <w:t xml:space="preserve">Obtaining teacher rosters is critical to ensuring the quality of </w:t>
      </w:r>
      <w:r w:rsidR="00DB7F6F">
        <w:t xml:space="preserve">the </w:t>
      </w:r>
      <w:r w:rsidRPr="00B44D92" w:rsidR="00874BF6">
        <w:t xml:space="preserve">teacher sample. </w:t>
      </w:r>
      <w:r w:rsidR="00A013FC">
        <w:t xml:space="preserve">As discussed in Section A12, we expect that it may take up to two hours for coordinators to compile the rosters. Depending on the state’s IADA program, only certain </w:t>
      </w:r>
      <w:proofErr w:type="gramStart"/>
      <w:r w:rsidR="00A013FC">
        <w:t>grades</w:t>
      </w:r>
      <w:proofErr w:type="gramEnd"/>
      <w:r w:rsidR="00A013FC">
        <w:t xml:space="preserve"> or subjects (or courses in high school) are eligible to participate in the pilot. But even within eligible grades or subjects, it is not necessarily the case that all teachers are participating in the pilot. Coordinators may need to do a fair amount of investigation to accurately compile this information, depending on how thorough their district</w:t>
      </w:r>
      <w:r w:rsidR="00063F53">
        <w:t>’</w:t>
      </w:r>
      <w:r w:rsidR="00A013FC">
        <w:t>s documentation is. Particularly in the current environment where districts are likely to be juggling with fiscal uncertainty, public health, and logistical challenges related to the coronavirus, w</w:t>
      </w:r>
      <w:r w:rsidRPr="00236E1C" w:rsidR="00A013FC">
        <w:t xml:space="preserve">e </w:t>
      </w:r>
      <w:r w:rsidRPr="00236E1C" w:rsidR="0065177A">
        <w:t xml:space="preserve">recognize that district staff have </w:t>
      </w:r>
      <w:r w:rsidR="00A013FC">
        <w:t>tremendous</w:t>
      </w:r>
      <w:r w:rsidRPr="00236E1C" w:rsidR="00A013FC">
        <w:t xml:space="preserve"> </w:t>
      </w:r>
      <w:r w:rsidRPr="00236E1C" w:rsidR="0065177A">
        <w:t>demands on their time, and we expect that the incentive will reduce the non-response follow-up (and associated costs) necessary to achieve the desired response rate of at least 85</w:t>
      </w:r>
      <w:r w:rsidR="00D20219">
        <w:t xml:space="preserve"> percent</w:t>
      </w:r>
      <w:r w:rsidRPr="00236E1C" w:rsidR="0065177A">
        <w:t xml:space="preserve"> for the teacher lists.</w:t>
      </w:r>
      <w:r w:rsidRPr="000B6E66">
        <w:t xml:space="preserve"> </w:t>
      </w:r>
    </w:p>
    <w:p w:rsidRPr="00236E1C" w:rsidR="00B92F4F" w:rsidP="002E5BB6" w:rsidRDefault="00B92F4F" w14:paraId="203BEF7A" w14:textId="28790B4F">
      <w:pPr>
        <w:pStyle w:val="Heading2"/>
      </w:pPr>
      <w:bookmarkStart w:name="_Toc44917306" w:id="11"/>
      <w:r w:rsidRPr="00B44D92">
        <w:t>A10.</w:t>
      </w:r>
      <w:r w:rsidR="00423CD7">
        <w:tab/>
      </w:r>
      <w:r w:rsidRPr="00B44D92">
        <w:t xml:space="preserve">Assurances of </w:t>
      </w:r>
      <w:r w:rsidR="00423CD7">
        <w:t>C</w:t>
      </w:r>
      <w:r w:rsidRPr="00B44D92">
        <w:t>onfidentiality</w:t>
      </w:r>
      <w:bookmarkEnd w:id="11"/>
    </w:p>
    <w:p w:rsidR="00162BC2" w:rsidP="002E5BB6" w:rsidRDefault="00F66C2B" w14:paraId="7CB596A8" w14:textId="648E7C4E">
      <w:r w:rsidRPr="00B66909">
        <w:t>The Education Sciences Reform Act of 2002, Title I, Part E, Section 183 requires, “All collection, maintenance, use, and wi</w:t>
      </w:r>
      <w:r w:rsidRPr="00D138A7">
        <w:t xml:space="preserve">de dissemination of data by the Institute” to “conform with the requirements of section 552 of title 5, United States Code, the confidentiality standards of </w:t>
      </w:r>
      <w:r w:rsidRPr="00190C10">
        <w:t>subsection (c) of this section, and sections 444 and 445 of the General Education Provision Act (20 U.S.C. 1232g, 1232h).”</w:t>
      </w:r>
      <w:r w:rsidR="00CA59FB">
        <w:t xml:space="preserve"> T</w:t>
      </w:r>
      <w:r w:rsidRPr="000B6E66" w:rsidR="00CA59FB">
        <w:t xml:space="preserve">he names and </w:t>
      </w:r>
      <w:r w:rsidR="00CA59FB">
        <w:t>email addresses</w:t>
      </w:r>
      <w:r w:rsidR="00D016E9">
        <w:t xml:space="preserve"> of</w:t>
      </w:r>
      <w:r w:rsidRPr="000B6E66" w:rsidR="00CA59FB">
        <w:t xml:space="preserve"> </w:t>
      </w:r>
      <w:r w:rsidR="00CA59FB">
        <w:t xml:space="preserve">potential </w:t>
      </w:r>
      <w:r w:rsidRPr="000B6E66" w:rsidR="00CA59FB">
        <w:t>survey respondents</w:t>
      </w:r>
      <w:r w:rsidR="001D72E5">
        <w:t xml:space="preserve"> will be collected for the limited purpose of drawing a sample, contacting th</w:t>
      </w:r>
      <w:r w:rsidR="00F67201">
        <w:t>ose selected</w:t>
      </w:r>
      <w:r w:rsidR="001D72E5">
        <w:t xml:space="preserve"> to complete the survey, and following up with </w:t>
      </w:r>
      <w:r w:rsidR="00F745E2">
        <w:t>non-respondents. This</w:t>
      </w:r>
      <w:r w:rsidRPr="000B6E66" w:rsidR="00CA59FB">
        <w:t xml:space="preserve"> information </w:t>
      </w:r>
      <w:r w:rsidR="00F745E2">
        <w:t xml:space="preserve">is </w:t>
      </w:r>
      <w:r w:rsidRPr="000B6E66" w:rsidR="00CA59FB">
        <w:t>typically already available in the public domain</w:t>
      </w:r>
      <w:r w:rsidR="00F67201">
        <w:t xml:space="preserve"> as directory information</w:t>
      </w:r>
      <w:r w:rsidRPr="000B6E66" w:rsidR="00CA59FB">
        <w:t xml:space="preserve"> (i.e., district and school websites)</w:t>
      </w:r>
      <w:r w:rsidR="00F745E2">
        <w:t>.</w:t>
      </w:r>
      <w:r w:rsidRPr="000B6E66" w:rsidR="00CA59FB">
        <w:t xml:space="preserve"> </w:t>
      </w:r>
      <w:r w:rsidR="00F67201">
        <w:t>T</w:t>
      </w:r>
      <w:r w:rsidRPr="000B6E66" w:rsidR="00B72B22">
        <w:t xml:space="preserve">he following language will be included on the cover sheet of </w:t>
      </w:r>
      <w:r w:rsidR="00CA59FB">
        <w:t>all information collection forms</w:t>
      </w:r>
      <w:r w:rsidRPr="00B66909" w:rsidR="00B72B22">
        <w:t xml:space="preserve"> under the Notice of Confidentiality: </w:t>
      </w:r>
    </w:p>
    <w:p w:rsidR="00B72B22" w:rsidP="002E5BB6" w:rsidRDefault="0062685D" w14:paraId="51D5FCE4" w14:textId="6D0B502F">
      <w:r>
        <w:t>“</w:t>
      </w:r>
      <w:r w:rsidRPr="00B66909" w:rsidR="00B72B22">
        <w:t>Information collected for this study comes under the confidentiality and data protection requirements of the Institute of Edu</w:t>
      </w:r>
      <w:r w:rsidRPr="00D138A7" w:rsidR="00B72B22">
        <w:t>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w:t>
      </w:r>
      <w:r w:rsidRPr="00D138A7" w:rsidR="00CB2DEB">
        <w:t>, school,</w:t>
      </w:r>
      <w:r w:rsidRPr="00D138A7" w:rsidR="00B72B22">
        <w:t xml:space="preserve"> or individual.</w:t>
      </w:r>
      <w:r w:rsidRPr="00C91B41" w:rsidR="00C91B41">
        <w:t xml:space="preserve"> </w:t>
      </w:r>
      <w:r w:rsidR="00C91B41">
        <w:t>All of the information you provide may be used only for statistical purposes and may not be disclosed, or used, in identifiable form for any other purpose except as required by law (20 U.S.C. §9573 and 6 U.S.C. §151).</w:t>
      </w:r>
      <w:r>
        <w:t>”</w:t>
      </w:r>
    </w:p>
    <w:p w:rsidRPr="000B6E66" w:rsidR="00B72B22" w:rsidP="002E5BB6" w:rsidRDefault="00B72B22" w14:paraId="1E7F3A7E" w14:textId="7685F356">
      <w:r w:rsidRPr="000B6E66">
        <w:t xml:space="preserve">Specific steps to guarantee confidentiality </w:t>
      </w:r>
      <w:r w:rsidRPr="000B6E66" w:rsidR="00553614">
        <w:t xml:space="preserve">of the </w:t>
      </w:r>
      <w:r w:rsidR="0083186F">
        <w:t>information collected</w:t>
      </w:r>
      <w:r w:rsidRPr="000B6E66" w:rsidR="00553614">
        <w:t xml:space="preserve"> </w:t>
      </w:r>
      <w:r w:rsidRPr="000B6E66">
        <w:t>include the following:</w:t>
      </w:r>
    </w:p>
    <w:p w:rsidRPr="00D138A7" w:rsidR="00B72B22" w:rsidP="002E5BB6" w:rsidRDefault="00B72B22" w14:paraId="11F3C90C" w14:textId="0BD51B2A">
      <w:pPr>
        <w:pStyle w:val="N1-1stBullet"/>
      </w:pPr>
      <w:r w:rsidRPr="000B6E66">
        <w:lastRenderedPageBreak/>
        <w:t xml:space="preserve">Identifying information about respondents (e.g., respondent name, </w:t>
      </w:r>
      <w:r w:rsidRPr="000B6E66" w:rsidR="00DE300E">
        <w:t xml:space="preserve">email </w:t>
      </w:r>
      <w:r w:rsidRPr="000B6E66">
        <w:t>address</w:t>
      </w:r>
      <w:r w:rsidRPr="00B66909">
        <w:t xml:space="preserve">) will not be entered into the analysis data file, but will be kept separate from other data and will be password protected. A </w:t>
      </w:r>
      <w:r w:rsidRPr="00E514AE" w:rsidR="000622EA">
        <w:t>random</w:t>
      </w:r>
      <w:r w:rsidR="000622EA">
        <w:t xml:space="preserve">, </w:t>
      </w:r>
      <w:r w:rsidR="00D47B94">
        <w:t>study-specific</w:t>
      </w:r>
      <w:r w:rsidRPr="00B66909" w:rsidR="00D47B94">
        <w:t xml:space="preserve"> </w:t>
      </w:r>
      <w:r w:rsidRPr="00B66909">
        <w:t xml:space="preserve">identification number for each </w:t>
      </w:r>
      <w:r w:rsidRPr="00B66909" w:rsidR="00DE300E">
        <w:t xml:space="preserve">survey </w:t>
      </w:r>
      <w:r w:rsidRPr="00D138A7">
        <w:t>respondent will be used for building raw data and analysis files.</w:t>
      </w:r>
    </w:p>
    <w:p w:rsidRPr="00190C10" w:rsidR="00B72B22" w:rsidP="002E5BB6" w:rsidRDefault="00B72B22" w14:paraId="50747998" w14:textId="32728823">
      <w:pPr>
        <w:pStyle w:val="N1-1stBullet"/>
      </w:pPr>
      <w:r w:rsidRPr="00190C10">
        <w:t>A fax</w:t>
      </w:r>
      <w:r w:rsidR="00E3273B">
        <w:t xml:space="preserve"> server</w:t>
      </w:r>
      <w:r w:rsidRPr="00190C10">
        <w:t xml:space="preserve"> used to send or receive documents that contain confidential information will be kept in a locked field room, accessible only to study team members. </w:t>
      </w:r>
    </w:p>
    <w:p w:rsidRPr="00190C10" w:rsidR="00B72B22" w:rsidP="002E5BB6" w:rsidRDefault="00B72B22" w14:paraId="1F69AAD1" w14:textId="77777777">
      <w:pPr>
        <w:pStyle w:val="N1-1stBullet"/>
      </w:pPr>
      <w:r w:rsidRPr="00190C10">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p>
    <w:p w:rsidRPr="00B44D92" w:rsidR="00B72B22" w:rsidP="002E5BB6" w:rsidRDefault="00B72B22" w14:paraId="33CACB4D" w14:textId="229C5CE9">
      <w:pPr>
        <w:pStyle w:val="N1-1stBullet"/>
      </w:pPr>
      <w:r w:rsidRPr="00190C10">
        <w:t>In public reports,</w:t>
      </w:r>
      <w:r w:rsidRPr="00190C10" w:rsidR="00DE300E">
        <w:t xml:space="preserve"> survey</w:t>
      </w:r>
      <w:r w:rsidRPr="004C2F5C">
        <w:t xml:space="preserve"> findings will be presented in aggregate</w:t>
      </w:r>
      <w:r w:rsidRPr="004C2F5C" w:rsidR="00DE300E">
        <w:t xml:space="preserve"> or</w:t>
      </w:r>
      <w:r w:rsidRPr="004C2F5C">
        <w:t xml:space="preserve"> by </w:t>
      </w:r>
      <w:r w:rsidRPr="004C2F5C" w:rsidR="00DE300E">
        <w:t xml:space="preserve">IADA </w:t>
      </w:r>
      <w:r w:rsidR="00643D1F">
        <w:t>pilot state</w:t>
      </w:r>
      <w:r w:rsidRPr="004C2F5C" w:rsidR="001F7405">
        <w:t xml:space="preserve">. </w:t>
      </w:r>
      <w:r w:rsidRPr="00B44D92">
        <w:t>No reports will identify individuals</w:t>
      </w:r>
      <w:r w:rsidRPr="00B44D92" w:rsidR="00DE300E">
        <w:t>,</w:t>
      </w:r>
      <w:r w:rsidR="00463EBF">
        <w:t xml:space="preserve"> </w:t>
      </w:r>
      <w:r w:rsidRPr="00B44D92">
        <w:t>districts</w:t>
      </w:r>
      <w:r w:rsidRPr="00B44D92" w:rsidR="00DE300E">
        <w:t>, or schools</w:t>
      </w:r>
      <w:r w:rsidR="00882B1D">
        <w:t>.</w:t>
      </w:r>
    </w:p>
    <w:p w:rsidRPr="00B44D92" w:rsidR="00B72B22" w:rsidP="002E5BB6" w:rsidRDefault="00B72B22" w14:paraId="05E6055E" w14:textId="77777777">
      <w:pPr>
        <w:pStyle w:val="N1-1stBullet"/>
      </w:pPr>
      <w:r w:rsidRPr="00B44D92">
        <w:t>Access to the sample files will be limited to authorized study staff only; no others will be authorized such access.</w:t>
      </w:r>
    </w:p>
    <w:p w:rsidRPr="00B44D92" w:rsidR="00B72B22" w:rsidP="002E5BB6" w:rsidRDefault="00B72B22" w14:paraId="6468AA0F" w14:textId="7E49EA7B">
      <w:pPr>
        <w:pStyle w:val="N1-1stBullet"/>
      </w:pPr>
      <w:r w:rsidRPr="00B44D92">
        <w:t xml:space="preserve">All members of the study team will be briefed regarding </w:t>
      </w:r>
      <w:r w:rsidR="00900A95">
        <w:t xml:space="preserve">required procedures for handling any </w:t>
      </w:r>
      <w:r w:rsidRPr="00B44D92">
        <w:t>confidentia</w:t>
      </w:r>
      <w:r w:rsidR="00900A95">
        <w:t>l</w:t>
      </w:r>
      <w:r w:rsidRPr="00B44D92">
        <w:t xml:space="preserve"> data. </w:t>
      </w:r>
    </w:p>
    <w:p w:rsidRPr="00B44D92" w:rsidR="00B72B22" w:rsidP="002E5BB6" w:rsidRDefault="00B72B22" w14:paraId="1E50E328" w14:textId="712FAEDE">
      <w:pPr>
        <w:pStyle w:val="N1-1stBullet"/>
      </w:pPr>
      <w:r w:rsidRPr="00B44D92">
        <w:t xml:space="preserve">Most </w:t>
      </w:r>
      <w:r w:rsidRPr="00B44D92" w:rsidR="00DE300E">
        <w:t xml:space="preserve">survey </w:t>
      </w:r>
      <w:r w:rsidRPr="00B44D92">
        <w:t xml:space="preserve">data will be entered via the web systems. However, a control system will be established to monitor the status and whereabouts of any hard copy data collection instruments during data entry. </w:t>
      </w:r>
    </w:p>
    <w:p w:rsidRPr="00B44D92" w:rsidR="00B72B22" w:rsidP="002E5BB6" w:rsidRDefault="00B72B22" w14:paraId="202749FA" w14:textId="057D8890">
      <w:pPr>
        <w:pStyle w:val="N1-1stBullet"/>
      </w:pPr>
      <w:r w:rsidRPr="00B44D92">
        <w:t xml:space="preserve">All data will be stored in secure areas accessible only to authorized staff members. </w:t>
      </w:r>
      <w:r w:rsidR="002674F3">
        <w:t>Any c</w:t>
      </w:r>
      <w:r w:rsidRPr="00B44D92" w:rsidR="002674F3">
        <w:t>omputer</w:t>
      </w:r>
      <w:r w:rsidRPr="00B44D92">
        <w:t>-generated output containing identifiable information will be maintained under the same conditions.</w:t>
      </w:r>
    </w:p>
    <w:p w:rsidRPr="00B44D92" w:rsidR="00B72B22" w:rsidP="002E5BB6" w:rsidRDefault="00B72B22" w14:paraId="1E4DCA7F" w14:textId="20FD0D2A">
      <w:pPr>
        <w:pStyle w:val="N1-1stBullet"/>
      </w:pPr>
      <w:r w:rsidRPr="00B44D92">
        <w:t xml:space="preserve">Hard copies containing confidential information that </w:t>
      </w:r>
      <w:r w:rsidR="0045590C">
        <w:t>are</w:t>
      </w:r>
      <w:r w:rsidRPr="00B44D92">
        <w:t xml:space="preserve"> no longer needed will be shredded. </w:t>
      </w:r>
    </w:p>
    <w:p w:rsidRPr="00B44D92" w:rsidR="00B92F4F" w:rsidP="002E5BB6" w:rsidRDefault="00B92F4F" w14:paraId="2D35F779" w14:textId="77A35106">
      <w:pPr>
        <w:pStyle w:val="Heading2"/>
        <w:spacing w:before="200"/>
        <w:rPr>
          <w:webHidden/>
        </w:rPr>
      </w:pPr>
      <w:bookmarkStart w:name="_Toc44917307" w:id="12"/>
      <w:r w:rsidRPr="00B44D92">
        <w:t>A11.</w:t>
      </w:r>
      <w:r w:rsidR="00423CD7">
        <w:tab/>
      </w:r>
      <w:r w:rsidRPr="00B44D92">
        <w:t xml:space="preserve">Justification for </w:t>
      </w:r>
      <w:r w:rsidR="00423CD7">
        <w:t>S</w:t>
      </w:r>
      <w:r w:rsidRPr="00B44D92">
        <w:t xml:space="preserve">ensitive </w:t>
      </w:r>
      <w:r w:rsidR="00423CD7">
        <w:t>Q</w:t>
      </w:r>
      <w:r w:rsidRPr="00B44D92">
        <w:t>uestions</w:t>
      </w:r>
      <w:bookmarkEnd w:id="12"/>
    </w:p>
    <w:p w:rsidRPr="00B44D92" w:rsidR="00B92F4F" w:rsidP="002E5BB6" w:rsidRDefault="00B92F4F" w14:paraId="0A63B35A" w14:textId="0019221C">
      <w:r w:rsidRPr="00B44D92">
        <w:t>This study will include no questions of a sensitive nature.</w:t>
      </w:r>
    </w:p>
    <w:p w:rsidRPr="00236E1C" w:rsidR="00B72B22" w:rsidP="002E5BB6" w:rsidRDefault="00B72B22" w14:paraId="1AEF8712" w14:textId="074F1270">
      <w:pPr>
        <w:pStyle w:val="Heading2"/>
        <w:rPr>
          <w:webHidden/>
        </w:rPr>
      </w:pPr>
      <w:bookmarkStart w:name="_Toc44917308" w:id="13"/>
      <w:r w:rsidRPr="00B44D92">
        <w:t>A12.</w:t>
      </w:r>
      <w:r w:rsidR="00423CD7">
        <w:tab/>
      </w:r>
      <w:r w:rsidRPr="00B44D92">
        <w:t xml:space="preserve">Estimates of </w:t>
      </w:r>
      <w:r w:rsidR="00423CD7">
        <w:t>H</w:t>
      </w:r>
      <w:r w:rsidRPr="00B44D92">
        <w:t xml:space="preserve">ours </w:t>
      </w:r>
      <w:r w:rsidR="00423CD7">
        <w:t>B</w:t>
      </w:r>
      <w:r w:rsidRPr="00B44D92">
        <w:t>urden</w:t>
      </w:r>
      <w:bookmarkEnd w:id="13"/>
    </w:p>
    <w:p w:rsidR="000A3779" w:rsidP="000A3779" w:rsidRDefault="00C25B47" w14:paraId="52C12923" w14:textId="77777777">
      <w:pPr>
        <w:rPr>
          <w:spacing w:val="-1"/>
        </w:rPr>
      </w:pPr>
      <w:r w:rsidRPr="00B44D92">
        <w:rPr>
          <w:spacing w:val="-1"/>
        </w:rPr>
        <w:t>The preliminary activities requested in this submission include</w:t>
      </w:r>
      <w:r w:rsidRPr="00B44D92" w:rsidR="00845D89">
        <w:rPr>
          <w:spacing w:val="-1"/>
        </w:rPr>
        <w:t xml:space="preserve"> notifying districts of their selection for the </w:t>
      </w:r>
      <w:r w:rsidR="00DD7FF3">
        <w:rPr>
          <w:spacing w:val="-1"/>
        </w:rPr>
        <w:t>evaluation, identifying a D</w:t>
      </w:r>
      <w:r w:rsidRPr="00B44D92" w:rsidR="00EC4E93">
        <w:rPr>
          <w:spacing w:val="-1"/>
        </w:rPr>
        <w:t xml:space="preserve">istrict </w:t>
      </w:r>
      <w:r w:rsidR="00DD7FF3">
        <w:rPr>
          <w:spacing w:val="-1"/>
        </w:rPr>
        <w:t>C</w:t>
      </w:r>
      <w:r w:rsidRPr="00B44D92" w:rsidR="00EC4E93">
        <w:rPr>
          <w:spacing w:val="-1"/>
        </w:rPr>
        <w:t>oordinator to work with the evaluation team</w:t>
      </w:r>
      <w:r w:rsidR="00B34385">
        <w:rPr>
          <w:spacing w:val="-1"/>
        </w:rPr>
        <w:t xml:space="preserve">, </w:t>
      </w:r>
      <w:r w:rsidR="00DD7FF3">
        <w:rPr>
          <w:spacing w:val="-1"/>
        </w:rPr>
        <w:t xml:space="preserve">and requesting a list of participating </w:t>
      </w:r>
      <w:r w:rsidRPr="00B44D92" w:rsidR="00845D89">
        <w:rPr>
          <w:spacing w:val="-1"/>
        </w:rPr>
        <w:t>teachers</w:t>
      </w:r>
      <w:r w:rsidR="00CC7260">
        <w:rPr>
          <w:spacing w:val="-1"/>
        </w:rPr>
        <w:t xml:space="preserve"> in</w:t>
      </w:r>
      <w:r w:rsidRPr="00B44D92" w:rsidR="00845D89">
        <w:rPr>
          <w:spacing w:val="-1"/>
        </w:rPr>
        <w:t xml:space="preserve"> </w:t>
      </w:r>
      <w:r w:rsidR="00DD7FF3">
        <w:rPr>
          <w:spacing w:val="-1"/>
        </w:rPr>
        <w:t xml:space="preserve">each </w:t>
      </w:r>
      <w:r w:rsidRPr="002E5BB6" w:rsidR="00DD7FF3">
        <w:t>sampled</w:t>
      </w:r>
      <w:r w:rsidR="00DD7FF3">
        <w:rPr>
          <w:spacing w:val="-1"/>
        </w:rPr>
        <w:t xml:space="preserve"> school in the district</w:t>
      </w:r>
      <w:r w:rsidRPr="00B44D92">
        <w:rPr>
          <w:spacing w:val="-1"/>
        </w:rPr>
        <w:t>.</w:t>
      </w:r>
    </w:p>
    <w:p w:rsidRPr="000A3779" w:rsidR="000A3779" w:rsidP="000A3779" w:rsidRDefault="000A3779" w14:paraId="183D1F54" w14:textId="04777AD0">
      <w:pPr>
        <w:rPr>
          <w:spacing w:val="-1"/>
        </w:rPr>
      </w:pPr>
      <w:r w:rsidRPr="000A3779">
        <w:t>Table A.</w:t>
      </w:r>
      <w:r>
        <w:t>1</w:t>
      </w:r>
      <w:r w:rsidRPr="000A3779">
        <w:t xml:space="preserve"> provides an estimate of burden for the data collection included in the current request, broken down by instrument and respondent. These estimates are based on</w:t>
      </w:r>
      <w:r>
        <w:t xml:space="preserve"> the evaluation team’s</w:t>
      </w:r>
      <w:r w:rsidRPr="000A3779">
        <w:t xml:space="preserve"> prior experience collecting </w:t>
      </w:r>
      <w:r>
        <w:t xml:space="preserve">similar </w:t>
      </w:r>
      <w:r w:rsidRPr="000A3779">
        <w:t xml:space="preserve">data from districts. </w:t>
      </w:r>
      <w:r>
        <w:t xml:space="preserve">For example, </w:t>
      </w:r>
      <w:r w:rsidRPr="00B44D92">
        <w:t>recent experience requesting teacher lists on other data collections</w:t>
      </w:r>
      <w:r>
        <w:t xml:space="preserve"> suggests that</w:t>
      </w:r>
      <w:r w:rsidRPr="00B44D92">
        <w:t xml:space="preserve"> </w:t>
      </w:r>
      <w:r>
        <w:t xml:space="preserve">a response rate of </w:t>
      </w:r>
      <w:r w:rsidRPr="004C2F5C">
        <w:t>at</w:t>
      </w:r>
      <w:r w:rsidRPr="00B44D92">
        <w:t xml:space="preserve"> least 85 percent </w:t>
      </w:r>
      <w:r>
        <w:t>from districts is realistic</w:t>
      </w:r>
      <w:r w:rsidRPr="00B44D92">
        <w:t>.</w:t>
      </w:r>
    </w:p>
    <w:p w:rsidRPr="002376CA" w:rsidR="003E076E" w:rsidP="002E5BB6" w:rsidRDefault="000A3779" w14:paraId="341DCAFE" w14:textId="464F8D74">
      <w:r w:rsidRPr="000A3779">
        <w:t xml:space="preserve">The number of targeted respondents is </w:t>
      </w:r>
      <w:r>
        <w:t>141</w:t>
      </w:r>
      <w:r w:rsidRPr="000A3779">
        <w:t xml:space="preserve"> and the expected number of responses is </w:t>
      </w:r>
      <w:r>
        <w:t>120</w:t>
      </w:r>
      <w:r w:rsidRPr="000A3779">
        <w:t>. The total burden is estimated at 240</w:t>
      </w:r>
      <w:r>
        <w:t xml:space="preserve"> </w:t>
      </w:r>
      <w:r w:rsidRPr="000A3779">
        <w:t xml:space="preserve">hours or an average of </w:t>
      </w:r>
      <w:r>
        <w:t>120</w:t>
      </w:r>
      <w:r w:rsidRPr="000A3779">
        <w:t xml:space="preserve"> annual burden hours calculated across </w:t>
      </w:r>
      <w:r>
        <w:t>2</w:t>
      </w:r>
      <w:r w:rsidRPr="000A3779">
        <w:t xml:space="preserve"> years of data collection.</w:t>
      </w:r>
      <w:r>
        <w:t xml:space="preserve"> </w:t>
      </w:r>
    </w:p>
    <w:p w:rsidR="00C25B47" w:rsidP="002E5BB6" w:rsidRDefault="00616FD5" w14:paraId="52BCAEAA" w14:textId="2F39F1E6">
      <w:pPr>
        <w:keepNext/>
        <w:keepLines/>
        <w:rPr>
          <w:b/>
        </w:rPr>
      </w:pPr>
      <w:r w:rsidRPr="002E5BB6">
        <w:rPr>
          <w:b/>
        </w:rPr>
        <w:lastRenderedPageBreak/>
        <w:t xml:space="preserve">Table </w:t>
      </w:r>
      <w:r w:rsidRPr="002E5BB6" w:rsidR="003E076E">
        <w:rPr>
          <w:b/>
        </w:rPr>
        <w:t>A-</w:t>
      </w:r>
      <w:r w:rsidRPr="002E5BB6" w:rsidR="00463EBF">
        <w:rPr>
          <w:b/>
        </w:rPr>
        <w:t>1</w:t>
      </w:r>
      <w:r w:rsidRPr="002E5BB6">
        <w:rPr>
          <w:b/>
        </w:rPr>
        <w:t xml:space="preserve">. </w:t>
      </w:r>
      <w:r w:rsidRPr="002E5BB6" w:rsidR="00C25B47">
        <w:rPr>
          <w:b/>
        </w:rPr>
        <w:t xml:space="preserve">Estimated </w:t>
      </w:r>
      <w:r w:rsidR="00F85214">
        <w:rPr>
          <w:b/>
        </w:rPr>
        <w:t>response time</w:t>
      </w:r>
      <w:r w:rsidRPr="002E5BB6" w:rsidR="00C25B47">
        <w:rPr>
          <w:b/>
        </w:rPr>
        <w:t xml:space="preserve"> for preliminary activities</w:t>
      </w:r>
    </w:p>
    <w:tbl>
      <w:tblPr>
        <w:tblW w:w="9540" w:type="dxa"/>
        <w:tblBorders>
          <w:bottom w:val="single" w:color="046B5C" w:sz="4" w:space="0"/>
        </w:tblBorders>
        <w:tblLayout w:type="fixed"/>
        <w:tblLook w:val="04A0" w:firstRow="1" w:lastRow="0" w:firstColumn="1" w:lastColumn="0" w:noHBand="0" w:noVBand="1"/>
      </w:tblPr>
      <w:tblGrid>
        <w:gridCol w:w="1800"/>
        <w:gridCol w:w="1350"/>
        <w:gridCol w:w="1170"/>
        <w:gridCol w:w="1170"/>
        <w:gridCol w:w="194"/>
        <w:gridCol w:w="886"/>
        <w:gridCol w:w="147"/>
        <w:gridCol w:w="1923"/>
        <w:gridCol w:w="900"/>
      </w:tblGrid>
      <w:tr w:rsidRPr="002739E3" w:rsidR="002739E3" w:rsidTr="002739E3" w14:paraId="0D96832F" w14:textId="77777777">
        <w:trPr>
          <w:trHeight w:val="818"/>
          <w:tblHeader/>
        </w:trPr>
        <w:tc>
          <w:tcPr>
            <w:tcW w:w="1800" w:type="dxa"/>
            <w:shd w:val="clear" w:color="auto" w:fill="046B5C"/>
            <w:vAlign w:val="bottom"/>
            <w:hideMark/>
          </w:tcPr>
          <w:p w:rsidRPr="002739E3" w:rsidR="002739E3" w:rsidP="002739E3" w:rsidRDefault="002739E3" w14:paraId="0ABC0840" w14:textId="77777777">
            <w:pPr>
              <w:spacing w:before="120" w:after="60" w:line="240" w:lineRule="auto"/>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Respondent/Data request</w:t>
            </w:r>
          </w:p>
        </w:tc>
        <w:tc>
          <w:tcPr>
            <w:tcW w:w="1350" w:type="dxa"/>
            <w:shd w:val="clear" w:color="auto" w:fill="046B5C"/>
            <w:vAlign w:val="bottom"/>
            <w:hideMark/>
          </w:tcPr>
          <w:p w:rsidRPr="002739E3" w:rsidR="002739E3" w:rsidP="002739E3" w:rsidRDefault="002739E3" w14:paraId="6A954588" w14:textId="77777777">
            <w:pPr>
              <w:spacing w:before="120" w:after="60" w:line="240" w:lineRule="auto"/>
              <w:jc w:val="center"/>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Number of targeted respondents</w:t>
            </w:r>
          </w:p>
        </w:tc>
        <w:tc>
          <w:tcPr>
            <w:tcW w:w="1170" w:type="dxa"/>
            <w:shd w:val="clear" w:color="auto" w:fill="046B5C"/>
            <w:vAlign w:val="bottom"/>
            <w:hideMark/>
          </w:tcPr>
          <w:p w:rsidRPr="002739E3" w:rsidR="002739E3" w:rsidP="002739E3" w:rsidRDefault="002739E3" w14:paraId="7B995AC7" w14:textId="77777777">
            <w:pPr>
              <w:spacing w:before="120" w:after="60" w:line="240" w:lineRule="auto"/>
              <w:jc w:val="center"/>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Expected response rate (%)</w:t>
            </w:r>
          </w:p>
        </w:tc>
        <w:tc>
          <w:tcPr>
            <w:tcW w:w="1170" w:type="dxa"/>
            <w:shd w:val="clear" w:color="auto" w:fill="046B5C"/>
            <w:vAlign w:val="bottom"/>
            <w:hideMark/>
          </w:tcPr>
          <w:p w:rsidRPr="002739E3" w:rsidR="002739E3" w:rsidP="002739E3" w:rsidRDefault="002739E3" w14:paraId="453C8578" w14:textId="77777777">
            <w:pPr>
              <w:spacing w:before="120" w:after="60" w:line="240" w:lineRule="auto"/>
              <w:jc w:val="center"/>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Expected number of responses</w:t>
            </w:r>
          </w:p>
        </w:tc>
        <w:tc>
          <w:tcPr>
            <w:tcW w:w="1080" w:type="dxa"/>
            <w:gridSpan w:val="2"/>
            <w:shd w:val="clear" w:color="auto" w:fill="046B5C"/>
            <w:vAlign w:val="bottom"/>
            <w:hideMark/>
          </w:tcPr>
          <w:p w:rsidRPr="002739E3" w:rsidR="002739E3" w:rsidP="002739E3" w:rsidRDefault="002739E3" w14:paraId="3DD92C21" w14:textId="77777777">
            <w:pPr>
              <w:spacing w:before="120" w:after="60" w:line="240" w:lineRule="auto"/>
              <w:jc w:val="center"/>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Unit response time (hours)</w:t>
            </w:r>
          </w:p>
        </w:tc>
        <w:tc>
          <w:tcPr>
            <w:tcW w:w="2070" w:type="dxa"/>
            <w:gridSpan w:val="2"/>
            <w:shd w:val="clear" w:color="auto" w:fill="046B5C"/>
            <w:vAlign w:val="bottom"/>
            <w:hideMark/>
          </w:tcPr>
          <w:p w:rsidRPr="002739E3" w:rsidR="002739E3" w:rsidP="002739E3" w:rsidRDefault="002739E3" w14:paraId="4F7EB82B" w14:textId="2C1B3E2A">
            <w:pPr>
              <w:spacing w:before="120" w:after="60" w:line="240" w:lineRule="auto"/>
              <w:jc w:val="center"/>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 xml:space="preserve">Annual total response time over </w:t>
            </w:r>
            <w:r>
              <w:rPr>
                <w:rFonts w:ascii="Arial" w:hAnsi="Arial" w:eastAsia="Times New Roman" w:cs="Times New Roman"/>
                <w:b/>
                <w:color w:val="FFFFFF"/>
                <w:position w:val="6"/>
                <w:sz w:val="18"/>
                <w:szCs w:val="20"/>
              </w:rPr>
              <w:t>2</w:t>
            </w:r>
            <w:r w:rsidRPr="002739E3">
              <w:rPr>
                <w:rFonts w:ascii="Arial" w:hAnsi="Arial" w:eastAsia="Times New Roman" w:cs="Times New Roman"/>
                <w:b/>
                <w:color w:val="FFFFFF"/>
                <w:position w:val="6"/>
                <w:sz w:val="18"/>
                <w:szCs w:val="20"/>
              </w:rPr>
              <w:t>-year data collection (hours/year)</w:t>
            </w:r>
          </w:p>
        </w:tc>
        <w:tc>
          <w:tcPr>
            <w:tcW w:w="900" w:type="dxa"/>
            <w:shd w:val="clear" w:color="auto" w:fill="046B5C"/>
            <w:vAlign w:val="bottom"/>
            <w:hideMark/>
          </w:tcPr>
          <w:p w:rsidRPr="002739E3" w:rsidR="002739E3" w:rsidP="002739E3" w:rsidRDefault="002739E3" w14:paraId="4B6C1CB7" w14:textId="77777777">
            <w:pPr>
              <w:spacing w:before="120" w:after="60" w:line="240" w:lineRule="auto"/>
              <w:jc w:val="center"/>
              <w:textboxTightWrap w:val="allLines"/>
              <w:rPr>
                <w:rFonts w:ascii="Arial" w:hAnsi="Arial" w:eastAsia="Times New Roman" w:cs="Times New Roman"/>
                <w:b/>
                <w:color w:val="FFFFFF"/>
                <w:position w:val="6"/>
                <w:sz w:val="18"/>
                <w:szCs w:val="20"/>
              </w:rPr>
            </w:pPr>
            <w:r w:rsidRPr="002739E3">
              <w:rPr>
                <w:rFonts w:ascii="Arial" w:hAnsi="Arial" w:eastAsia="Times New Roman" w:cs="Times New Roman"/>
                <w:b/>
                <w:color w:val="FFFFFF"/>
                <w:position w:val="6"/>
                <w:sz w:val="18"/>
                <w:szCs w:val="20"/>
              </w:rPr>
              <w:t>Total burden (Hours)</w:t>
            </w:r>
          </w:p>
        </w:tc>
      </w:tr>
      <w:tr w:rsidRPr="002739E3" w:rsidR="002739E3" w:rsidTr="000A3779" w14:paraId="30AD3EDB" w14:textId="77777777">
        <w:trPr>
          <w:trHeight w:val="253"/>
        </w:trPr>
        <w:tc>
          <w:tcPr>
            <w:tcW w:w="1800" w:type="dxa"/>
            <w:tcBorders>
              <w:bottom w:val="nil"/>
            </w:tcBorders>
            <w:shd w:val="clear" w:color="auto" w:fill="auto"/>
          </w:tcPr>
          <w:p w:rsidRPr="002739E3" w:rsidR="002739E3" w:rsidDel="00887F30" w:rsidP="002739E3" w:rsidRDefault="002739E3" w14:paraId="1B1604D4" w14:textId="57F34723">
            <w:pPr>
              <w:spacing w:before="40" w:after="20" w:line="240" w:lineRule="auto"/>
              <w:rPr>
                <w:rFonts w:ascii="Arial" w:hAnsi="Arial" w:eastAsia="Times New Roman" w:cs="Arial"/>
                <w:color w:val="000000"/>
                <w:sz w:val="18"/>
                <w:szCs w:val="18"/>
              </w:rPr>
            </w:pPr>
            <w:r>
              <w:rPr>
                <w:rFonts w:ascii="Arial" w:hAnsi="Arial" w:eastAsia="Times New Roman" w:cs="Arial"/>
                <w:color w:val="000000"/>
                <w:sz w:val="18"/>
                <w:szCs w:val="18"/>
              </w:rPr>
              <w:t>Coordinator -</w:t>
            </w:r>
            <w:r w:rsidRPr="002739E3">
              <w:rPr>
                <w:rFonts w:ascii="Arial" w:hAnsi="Arial" w:eastAsia="Times New Roman" w:cs="Arial"/>
                <w:color w:val="000000"/>
                <w:sz w:val="18"/>
                <w:szCs w:val="18"/>
              </w:rPr>
              <w:t xml:space="preserve">Teacher </w:t>
            </w:r>
            <w:r>
              <w:rPr>
                <w:rFonts w:ascii="Arial" w:hAnsi="Arial" w:eastAsia="Times New Roman" w:cs="Arial"/>
                <w:color w:val="000000"/>
                <w:sz w:val="18"/>
                <w:szCs w:val="18"/>
              </w:rPr>
              <w:t>lists</w:t>
            </w:r>
            <w:r w:rsidRPr="002739E3">
              <w:rPr>
                <w:rFonts w:ascii="Arial" w:hAnsi="Arial" w:eastAsia="Times New Roman" w:cs="Arial"/>
                <w:color w:val="000000"/>
                <w:sz w:val="18"/>
                <w:szCs w:val="18"/>
              </w:rPr>
              <w:t xml:space="preserve"> (</w:t>
            </w:r>
            <w:r>
              <w:rPr>
                <w:rFonts w:ascii="Arial" w:hAnsi="Arial" w:eastAsia="Times New Roman" w:cs="Arial"/>
                <w:color w:val="000000"/>
                <w:sz w:val="18"/>
                <w:szCs w:val="18"/>
              </w:rPr>
              <w:t>winter 2021</w:t>
            </w:r>
            <w:r w:rsidRPr="002739E3">
              <w:rPr>
                <w:rFonts w:ascii="Arial" w:hAnsi="Arial" w:eastAsia="Times New Roman" w:cs="Arial"/>
                <w:color w:val="000000"/>
                <w:sz w:val="18"/>
                <w:szCs w:val="18"/>
              </w:rPr>
              <w:t>)</w:t>
            </w:r>
          </w:p>
        </w:tc>
        <w:tc>
          <w:tcPr>
            <w:tcW w:w="1350" w:type="dxa"/>
            <w:tcBorders>
              <w:bottom w:val="nil"/>
            </w:tcBorders>
            <w:shd w:val="clear" w:color="auto" w:fill="auto"/>
          </w:tcPr>
          <w:p w:rsidRPr="002739E3" w:rsidR="002739E3" w:rsidP="002739E3" w:rsidRDefault="002739E3" w14:paraId="36C3EBAB" w14:textId="5904AEE3">
            <w:pPr>
              <w:tabs>
                <w:tab w:val="decimal" w:pos="79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64</w:t>
            </w:r>
          </w:p>
        </w:tc>
        <w:tc>
          <w:tcPr>
            <w:tcW w:w="1170" w:type="dxa"/>
            <w:tcBorders>
              <w:bottom w:val="nil"/>
            </w:tcBorders>
            <w:shd w:val="clear" w:color="auto" w:fill="auto"/>
          </w:tcPr>
          <w:p w:rsidRPr="002739E3" w:rsidR="002739E3" w:rsidP="002739E3" w:rsidRDefault="002739E3" w14:paraId="1534D0DF" w14:textId="61613B74">
            <w:pPr>
              <w:tabs>
                <w:tab w:val="decimal" w:pos="79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85</w:t>
            </w:r>
          </w:p>
        </w:tc>
        <w:tc>
          <w:tcPr>
            <w:tcW w:w="1364" w:type="dxa"/>
            <w:gridSpan w:val="2"/>
            <w:tcBorders>
              <w:bottom w:val="nil"/>
            </w:tcBorders>
            <w:shd w:val="clear" w:color="auto" w:fill="auto"/>
          </w:tcPr>
          <w:p w:rsidRPr="002739E3" w:rsidR="002739E3" w:rsidP="002739E3" w:rsidRDefault="002739E3" w14:paraId="263DB502" w14:textId="3CC1C5FE">
            <w:pPr>
              <w:tabs>
                <w:tab w:val="decimal" w:pos="70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54</w:t>
            </w:r>
          </w:p>
        </w:tc>
        <w:tc>
          <w:tcPr>
            <w:tcW w:w="1033" w:type="dxa"/>
            <w:gridSpan w:val="2"/>
            <w:tcBorders>
              <w:bottom w:val="nil"/>
            </w:tcBorders>
            <w:shd w:val="clear" w:color="auto" w:fill="auto"/>
          </w:tcPr>
          <w:p w:rsidRPr="002739E3" w:rsidR="002739E3" w:rsidP="002739E3" w:rsidRDefault="002739E3" w14:paraId="2855D7D5" w14:textId="7314709B">
            <w:pPr>
              <w:tabs>
                <w:tab w:val="decimal" w:pos="52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2</w:t>
            </w:r>
          </w:p>
        </w:tc>
        <w:tc>
          <w:tcPr>
            <w:tcW w:w="1923" w:type="dxa"/>
            <w:tcBorders>
              <w:bottom w:val="nil"/>
            </w:tcBorders>
            <w:shd w:val="clear" w:color="auto" w:fill="auto"/>
          </w:tcPr>
          <w:p w:rsidRPr="002739E3" w:rsidR="002739E3" w:rsidP="002739E3" w:rsidRDefault="002739E3" w14:paraId="0045D283" w14:textId="71BCEB66">
            <w:pPr>
              <w:tabs>
                <w:tab w:val="decimal" w:pos="61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54</w:t>
            </w:r>
          </w:p>
        </w:tc>
        <w:tc>
          <w:tcPr>
            <w:tcW w:w="900" w:type="dxa"/>
            <w:tcBorders>
              <w:bottom w:val="nil"/>
            </w:tcBorders>
            <w:shd w:val="clear" w:color="auto" w:fill="auto"/>
          </w:tcPr>
          <w:p w:rsidRPr="002739E3" w:rsidR="002739E3" w:rsidP="002739E3" w:rsidRDefault="000A3779" w14:paraId="11A98DAF" w14:textId="55D4A5F5">
            <w:pPr>
              <w:tabs>
                <w:tab w:val="decimal" w:pos="61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108</w:t>
            </w:r>
          </w:p>
        </w:tc>
      </w:tr>
      <w:tr w:rsidRPr="002739E3" w:rsidR="000A3779" w:rsidTr="000A3779" w14:paraId="23870AF8" w14:textId="77777777">
        <w:trPr>
          <w:trHeight w:val="239"/>
        </w:trPr>
        <w:tc>
          <w:tcPr>
            <w:tcW w:w="1800" w:type="dxa"/>
            <w:tcBorders>
              <w:top w:val="nil"/>
              <w:bottom w:val="single" w:color="000000" w:sz="4" w:space="0"/>
            </w:tcBorders>
            <w:shd w:val="clear" w:color="auto" w:fill="FFFFFF" w:themeFill="background1"/>
            <w:hideMark/>
          </w:tcPr>
          <w:p w:rsidRPr="002739E3" w:rsidR="002739E3" w:rsidP="002739E3" w:rsidRDefault="002739E3" w14:paraId="015115F6" w14:textId="4CFCD67C">
            <w:pPr>
              <w:spacing w:before="40" w:after="20" w:line="240" w:lineRule="auto"/>
              <w:rPr>
                <w:rFonts w:ascii="Arial" w:hAnsi="Arial" w:eastAsia="Times New Roman" w:cs="Arial"/>
                <w:b/>
                <w:bCs/>
                <w:color w:val="000000"/>
                <w:sz w:val="18"/>
                <w:szCs w:val="18"/>
              </w:rPr>
            </w:pPr>
            <w:r>
              <w:rPr>
                <w:rFonts w:ascii="Arial" w:hAnsi="Arial" w:eastAsia="Times New Roman" w:cs="Arial"/>
                <w:color w:val="000000"/>
                <w:sz w:val="18"/>
                <w:szCs w:val="18"/>
              </w:rPr>
              <w:t xml:space="preserve">Coordinator - </w:t>
            </w:r>
            <w:r w:rsidRPr="002739E3">
              <w:rPr>
                <w:rFonts w:ascii="Arial" w:hAnsi="Arial" w:eastAsia="Times New Roman" w:cs="Arial"/>
                <w:color w:val="000000"/>
                <w:sz w:val="18"/>
                <w:szCs w:val="18"/>
              </w:rPr>
              <w:t xml:space="preserve">Teacher </w:t>
            </w:r>
            <w:r>
              <w:rPr>
                <w:rFonts w:ascii="Arial" w:hAnsi="Arial" w:eastAsia="Times New Roman" w:cs="Arial"/>
                <w:color w:val="000000"/>
                <w:sz w:val="18"/>
                <w:szCs w:val="18"/>
              </w:rPr>
              <w:t xml:space="preserve">lists </w:t>
            </w:r>
            <w:r w:rsidRPr="002739E3">
              <w:rPr>
                <w:rFonts w:ascii="Arial" w:hAnsi="Arial" w:eastAsia="Times New Roman" w:cs="Arial"/>
                <w:color w:val="000000"/>
                <w:sz w:val="18"/>
                <w:szCs w:val="18"/>
              </w:rPr>
              <w:t>(</w:t>
            </w:r>
            <w:r>
              <w:rPr>
                <w:rFonts w:ascii="Arial" w:hAnsi="Arial" w:eastAsia="Times New Roman" w:cs="Arial"/>
                <w:color w:val="000000"/>
                <w:sz w:val="18"/>
                <w:szCs w:val="18"/>
              </w:rPr>
              <w:t xml:space="preserve">winter </w:t>
            </w:r>
            <w:r w:rsidRPr="002739E3">
              <w:rPr>
                <w:rFonts w:ascii="Arial" w:hAnsi="Arial" w:eastAsia="Times New Roman" w:cs="Arial"/>
                <w:color w:val="000000"/>
                <w:sz w:val="18"/>
                <w:szCs w:val="18"/>
              </w:rPr>
              <w:t>2022)</w:t>
            </w:r>
          </w:p>
        </w:tc>
        <w:tc>
          <w:tcPr>
            <w:tcW w:w="1350" w:type="dxa"/>
            <w:tcBorders>
              <w:top w:val="nil"/>
              <w:bottom w:val="single" w:color="000000" w:sz="4" w:space="0"/>
            </w:tcBorders>
            <w:shd w:val="clear" w:color="auto" w:fill="FFFFFF" w:themeFill="background1"/>
            <w:hideMark/>
          </w:tcPr>
          <w:p w:rsidRPr="002739E3" w:rsidR="002739E3" w:rsidP="002739E3" w:rsidRDefault="002739E3" w14:paraId="1EC41F1D" w14:textId="5B1C76FB">
            <w:pPr>
              <w:tabs>
                <w:tab w:val="decimal" w:pos="79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77</w:t>
            </w:r>
          </w:p>
        </w:tc>
        <w:tc>
          <w:tcPr>
            <w:tcW w:w="1170" w:type="dxa"/>
            <w:tcBorders>
              <w:top w:val="nil"/>
              <w:bottom w:val="single" w:color="000000" w:sz="4" w:space="0"/>
            </w:tcBorders>
            <w:shd w:val="clear" w:color="auto" w:fill="FFFFFF" w:themeFill="background1"/>
            <w:hideMark/>
          </w:tcPr>
          <w:p w:rsidRPr="002739E3" w:rsidR="002739E3" w:rsidP="002739E3" w:rsidRDefault="002739E3" w14:paraId="64EA5D79" w14:textId="564FDD2B">
            <w:pPr>
              <w:tabs>
                <w:tab w:val="decimal" w:pos="79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85</w:t>
            </w:r>
          </w:p>
        </w:tc>
        <w:tc>
          <w:tcPr>
            <w:tcW w:w="1364" w:type="dxa"/>
            <w:gridSpan w:val="2"/>
            <w:tcBorders>
              <w:top w:val="nil"/>
              <w:bottom w:val="single" w:color="000000" w:sz="4" w:space="0"/>
            </w:tcBorders>
            <w:shd w:val="clear" w:color="auto" w:fill="FFFFFF" w:themeFill="background1"/>
            <w:hideMark/>
          </w:tcPr>
          <w:p w:rsidRPr="002739E3" w:rsidR="002739E3" w:rsidP="002739E3" w:rsidRDefault="002739E3" w14:paraId="0E10CA4F" w14:textId="33E71095">
            <w:pPr>
              <w:tabs>
                <w:tab w:val="decimal" w:pos="70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66</w:t>
            </w:r>
          </w:p>
        </w:tc>
        <w:tc>
          <w:tcPr>
            <w:tcW w:w="1033" w:type="dxa"/>
            <w:gridSpan w:val="2"/>
            <w:tcBorders>
              <w:top w:val="nil"/>
              <w:bottom w:val="single" w:color="000000" w:sz="4" w:space="0"/>
            </w:tcBorders>
            <w:shd w:val="clear" w:color="auto" w:fill="FFFFFF" w:themeFill="background1"/>
            <w:hideMark/>
          </w:tcPr>
          <w:p w:rsidRPr="002739E3" w:rsidR="002739E3" w:rsidP="002739E3" w:rsidRDefault="002739E3" w14:paraId="352DDE50" w14:textId="5634BCDB">
            <w:pPr>
              <w:tabs>
                <w:tab w:val="decimal" w:pos="52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2</w:t>
            </w:r>
          </w:p>
        </w:tc>
        <w:tc>
          <w:tcPr>
            <w:tcW w:w="1923" w:type="dxa"/>
            <w:tcBorders>
              <w:top w:val="nil"/>
              <w:bottom w:val="single" w:color="000000" w:sz="4" w:space="0"/>
            </w:tcBorders>
            <w:shd w:val="clear" w:color="auto" w:fill="FFFFFF" w:themeFill="background1"/>
            <w:hideMark/>
          </w:tcPr>
          <w:p w:rsidRPr="002739E3" w:rsidR="002739E3" w:rsidP="002739E3" w:rsidRDefault="002739E3" w14:paraId="3BB683F2" w14:textId="5DB494E5">
            <w:pPr>
              <w:tabs>
                <w:tab w:val="decimal" w:pos="61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66</w:t>
            </w:r>
          </w:p>
        </w:tc>
        <w:tc>
          <w:tcPr>
            <w:tcW w:w="900" w:type="dxa"/>
            <w:tcBorders>
              <w:top w:val="nil"/>
              <w:bottom w:val="single" w:color="000000" w:sz="4" w:space="0"/>
            </w:tcBorders>
            <w:shd w:val="clear" w:color="auto" w:fill="FFFFFF" w:themeFill="background1"/>
            <w:hideMark/>
          </w:tcPr>
          <w:p w:rsidRPr="002739E3" w:rsidR="002739E3" w:rsidP="002739E3" w:rsidRDefault="000A3779" w14:paraId="63F0AF6E" w14:textId="6C1185A5">
            <w:pPr>
              <w:tabs>
                <w:tab w:val="decimal" w:pos="61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132</w:t>
            </w:r>
          </w:p>
        </w:tc>
      </w:tr>
      <w:tr w:rsidRPr="002739E3" w:rsidR="002739E3" w:rsidTr="000A3779" w14:paraId="25C70D67" w14:textId="77777777">
        <w:trPr>
          <w:trHeight w:val="606"/>
        </w:trPr>
        <w:tc>
          <w:tcPr>
            <w:tcW w:w="1800" w:type="dxa"/>
            <w:tcBorders>
              <w:top w:val="single" w:color="000000" w:sz="4" w:space="0"/>
              <w:bottom w:val="single" w:color="000000" w:sz="4" w:space="0"/>
            </w:tcBorders>
            <w:shd w:val="clear" w:color="auto" w:fill="E0D4B5"/>
          </w:tcPr>
          <w:p w:rsidRPr="002739E3" w:rsidR="002739E3" w:rsidP="002739E3" w:rsidRDefault="002739E3" w14:paraId="4E80181C" w14:textId="77777777">
            <w:pPr>
              <w:spacing w:before="120" w:after="120" w:line="240" w:lineRule="auto"/>
              <w:rPr>
                <w:rFonts w:ascii="Arial" w:hAnsi="Arial" w:eastAsia="Times New Roman" w:cs="Arial"/>
                <w:b/>
                <w:bCs/>
                <w:color w:val="000000"/>
                <w:sz w:val="18"/>
                <w:szCs w:val="18"/>
              </w:rPr>
            </w:pPr>
            <w:r w:rsidRPr="002739E3">
              <w:rPr>
                <w:rFonts w:ascii="Arial" w:hAnsi="Arial" w:eastAsia="Calibri" w:cs="Arial"/>
                <w:b/>
                <w:bCs/>
                <w:color w:val="000000"/>
                <w:sz w:val="18"/>
                <w:szCs w:val="18"/>
              </w:rPr>
              <w:t>Total for current request (rounded)</w:t>
            </w:r>
          </w:p>
        </w:tc>
        <w:tc>
          <w:tcPr>
            <w:tcW w:w="1350" w:type="dxa"/>
            <w:tcBorders>
              <w:top w:val="single" w:color="000000" w:sz="4" w:space="0"/>
              <w:bottom w:val="single" w:color="000000" w:sz="4" w:space="0"/>
            </w:tcBorders>
            <w:shd w:val="clear" w:color="auto" w:fill="E0D4B5"/>
          </w:tcPr>
          <w:p w:rsidRPr="002739E3" w:rsidR="002739E3" w:rsidP="002739E3" w:rsidRDefault="000A3779" w14:paraId="2329BCAC" w14:textId="76F53B1A">
            <w:pPr>
              <w:tabs>
                <w:tab w:val="decimal" w:pos="79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141</w:t>
            </w:r>
          </w:p>
        </w:tc>
        <w:tc>
          <w:tcPr>
            <w:tcW w:w="1170" w:type="dxa"/>
            <w:tcBorders>
              <w:top w:val="single" w:color="000000" w:sz="4" w:space="0"/>
              <w:bottom w:val="single" w:color="000000" w:sz="4" w:space="0"/>
            </w:tcBorders>
            <w:shd w:val="clear" w:color="auto" w:fill="E0D4B5"/>
          </w:tcPr>
          <w:p w:rsidRPr="002739E3" w:rsidR="002739E3" w:rsidP="002739E3" w:rsidRDefault="002739E3" w14:paraId="1337C570" w14:textId="77777777">
            <w:pPr>
              <w:tabs>
                <w:tab w:val="decimal" w:pos="792"/>
              </w:tabs>
              <w:spacing w:before="40" w:after="20" w:line="240" w:lineRule="auto"/>
              <w:rPr>
                <w:rFonts w:ascii="Arial" w:hAnsi="Arial" w:eastAsia="Times New Roman" w:cs="Times New Roman"/>
                <w:sz w:val="18"/>
                <w:szCs w:val="20"/>
              </w:rPr>
            </w:pPr>
          </w:p>
        </w:tc>
        <w:tc>
          <w:tcPr>
            <w:tcW w:w="1364" w:type="dxa"/>
            <w:gridSpan w:val="2"/>
            <w:tcBorders>
              <w:top w:val="single" w:color="000000" w:sz="4" w:space="0"/>
              <w:bottom w:val="single" w:color="000000" w:sz="4" w:space="0"/>
            </w:tcBorders>
            <w:shd w:val="clear" w:color="auto" w:fill="E0D4B5"/>
          </w:tcPr>
          <w:p w:rsidRPr="002739E3" w:rsidR="002739E3" w:rsidP="002739E3" w:rsidRDefault="000A3779" w14:paraId="5D9E20F1" w14:textId="11A1CD98">
            <w:pPr>
              <w:tabs>
                <w:tab w:val="decimal" w:pos="70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120</w:t>
            </w:r>
          </w:p>
        </w:tc>
        <w:tc>
          <w:tcPr>
            <w:tcW w:w="1033" w:type="dxa"/>
            <w:gridSpan w:val="2"/>
            <w:tcBorders>
              <w:top w:val="single" w:color="000000" w:sz="4" w:space="0"/>
              <w:bottom w:val="single" w:color="000000" w:sz="4" w:space="0"/>
            </w:tcBorders>
            <w:shd w:val="clear" w:color="auto" w:fill="E0D4B5"/>
          </w:tcPr>
          <w:p w:rsidRPr="002739E3" w:rsidR="002739E3" w:rsidP="002739E3" w:rsidRDefault="002739E3" w14:paraId="1662B3CA" w14:textId="77777777">
            <w:pPr>
              <w:tabs>
                <w:tab w:val="decimal" w:pos="522"/>
              </w:tabs>
              <w:spacing w:before="40" w:after="20" w:line="240" w:lineRule="auto"/>
              <w:rPr>
                <w:rFonts w:ascii="Arial" w:hAnsi="Arial" w:eastAsia="Times New Roman" w:cs="Times New Roman"/>
                <w:sz w:val="18"/>
                <w:szCs w:val="20"/>
              </w:rPr>
            </w:pPr>
          </w:p>
        </w:tc>
        <w:tc>
          <w:tcPr>
            <w:tcW w:w="1923" w:type="dxa"/>
            <w:tcBorders>
              <w:top w:val="single" w:color="000000" w:sz="4" w:space="0"/>
              <w:bottom w:val="single" w:color="000000" w:sz="4" w:space="0"/>
            </w:tcBorders>
            <w:shd w:val="clear" w:color="auto" w:fill="E0D4B5"/>
          </w:tcPr>
          <w:p w:rsidRPr="002739E3" w:rsidR="002739E3" w:rsidP="002739E3" w:rsidRDefault="000A3779" w14:paraId="639817FC" w14:textId="5A4C4065">
            <w:pPr>
              <w:tabs>
                <w:tab w:val="decimal" w:pos="612"/>
              </w:tabs>
              <w:spacing w:before="40" w:after="20" w:line="240" w:lineRule="auto"/>
              <w:rPr>
                <w:rFonts w:ascii="Arial" w:hAnsi="Arial" w:eastAsia="Times New Roman" w:cs="Times New Roman"/>
                <w:sz w:val="18"/>
                <w:szCs w:val="20"/>
              </w:rPr>
            </w:pPr>
            <w:r>
              <w:rPr>
                <w:rFonts w:ascii="Arial" w:hAnsi="Arial" w:eastAsia="Times New Roman" w:cs="Times New Roman"/>
                <w:sz w:val="18"/>
                <w:szCs w:val="20"/>
              </w:rPr>
              <w:t>120</w:t>
            </w:r>
          </w:p>
        </w:tc>
        <w:tc>
          <w:tcPr>
            <w:tcW w:w="900" w:type="dxa"/>
            <w:tcBorders>
              <w:top w:val="single" w:color="000000" w:sz="4" w:space="0"/>
              <w:bottom w:val="single" w:color="000000" w:sz="4" w:space="0"/>
            </w:tcBorders>
            <w:shd w:val="clear" w:color="auto" w:fill="E0D4B5"/>
          </w:tcPr>
          <w:p w:rsidRPr="002739E3" w:rsidR="002739E3" w:rsidP="002739E3" w:rsidRDefault="002739E3" w14:paraId="5CDD02F3" w14:textId="0C42458C">
            <w:pPr>
              <w:tabs>
                <w:tab w:val="decimal" w:pos="612"/>
              </w:tabs>
              <w:spacing w:before="40" w:after="20" w:line="240" w:lineRule="auto"/>
              <w:rPr>
                <w:rFonts w:ascii="Arial" w:hAnsi="Arial" w:eastAsia="Times New Roman" w:cs="Times New Roman"/>
                <w:sz w:val="18"/>
                <w:szCs w:val="20"/>
              </w:rPr>
            </w:pPr>
            <w:r w:rsidRPr="002739E3">
              <w:rPr>
                <w:rFonts w:ascii="Arial" w:hAnsi="Arial" w:eastAsia="Times New Roman" w:cs="Times New Roman"/>
                <w:sz w:val="18"/>
                <w:szCs w:val="20"/>
              </w:rPr>
              <w:t>240</w:t>
            </w:r>
          </w:p>
        </w:tc>
      </w:tr>
    </w:tbl>
    <w:p w:rsidRPr="002376CA" w:rsidR="00F85214" w:rsidP="00F85214" w:rsidRDefault="00F85214" w14:paraId="74F27EB8" w14:textId="129D3517">
      <w:pPr>
        <w:spacing w:before="240"/>
      </w:pPr>
      <w:bookmarkStart w:name="_Toc44917309" w:id="14"/>
      <w:r>
        <w:t xml:space="preserve">The total of 240 hours </w:t>
      </w:r>
      <w:proofErr w:type="gramStart"/>
      <w:r>
        <w:t>is based on the assumption</w:t>
      </w:r>
      <w:proofErr w:type="gramEnd"/>
      <w:r>
        <w:t xml:space="preserve"> that t</w:t>
      </w:r>
      <w:r w:rsidRPr="00B44D92">
        <w:t xml:space="preserve">he evaluation team will reach out to an estimated 64 </w:t>
      </w:r>
      <w:r>
        <w:t>D</w:t>
      </w:r>
      <w:r w:rsidRPr="00B44D92">
        <w:t xml:space="preserve">istrict </w:t>
      </w:r>
      <w:r>
        <w:t>C</w:t>
      </w:r>
      <w:r w:rsidRPr="00B44D92">
        <w:t>oordinato</w:t>
      </w:r>
      <w:r>
        <w:t>rs in the winter of the 2020-</w:t>
      </w:r>
      <w:r w:rsidRPr="00B44D92">
        <w:t>21</w:t>
      </w:r>
      <w:r>
        <w:t xml:space="preserve"> school year</w:t>
      </w:r>
      <w:r w:rsidRPr="00B44D92">
        <w:t xml:space="preserve"> and 77 </w:t>
      </w:r>
      <w:r>
        <w:t>D</w:t>
      </w:r>
      <w:r w:rsidRPr="00B44D92">
        <w:t xml:space="preserve">istrict </w:t>
      </w:r>
      <w:r>
        <w:t>C</w:t>
      </w:r>
      <w:r w:rsidRPr="00B44D92">
        <w:t xml:space="preserve">oordinators in </w:t>
      </w:r>
      <w:r>
        <w:t>the winter of the</w:t>
      </w:r>
      <w:r w:rsidRPr="00B44D92">
        <w:t xml:space="preserve"> 2021-22</w:t>
      </w:r>
      <w:r>
        <w:t xml:space="preserve"> school year</w:t>
      </w:r>
      <w:r w:rsidRPr="00B44D92">
        <w:t xml:space="preserve">. The number of </w:t>
      </w:r>
      <w:r>
        <w:t>District C</w:t>
      </w:r>
      <w:r w:rsidRPr="00B44D92">
        <w:t>oordinators increases between the two years to reflect the expected additional IADA district participants in the 2021-22 school year.</w:t>
      </w:r>
      <w:r>
        <w:t xml:space="preserve"> The evaluation team</w:t>
      </w:r>
      <w:r w:rsidRPr="00B44D92">
        <w:t xml:space="preserve"> expect</w:t>
      </w:r>
      <w:r>
        <w:t>s</w:t>
      </w:r>
      <w:r w:rsidRPr="00B44D92">
        <w:t xml:space="preserve"> </w:t>
      </w:r>
      <w:r>
        <w:t>that 120 of the 141 District C</w:t>
      </w:r>
      <w:r w:rsidRPr="00B44D92">
        <w:t>oordinator</w:t>
      </w:r>
      <w:r>
        <w:t>s (54 in Year 1 and 66 in Year 2)</w:t>
      </w:r>
      <w:r w:rsidRPr="00B44D92">
        <w:t xml:space="preserve"> </w:t>
      </w:r>
      <w:r>
        <w:t xml:space="preserve">will ultimately respond (85%). It is expected that each response (collecting the list of participating </w:t>
      </w:r>
      <w:r w:rsidRPr="00B44D92">
        <w:t xml:space="preserve">teachers from the </w:t>
      </w:r>
      <w:r>
        <w:t xml:space="preserve">two </w:t>
      </w:r>
      <w:r w:rsidRPr="00B44D92">
        <w:t xml:space="preserve">or </w:t>
      </w:r>
      <w:r>
        <w:t>three</w:t>
      </w:r>
      <w:r w:rsidRPr="00B44D92">
        <w:t xml:space="preserve"> </w:t>
      </w:r>
      <w:r w:rsidRPr="000563D2">
        <w:rPr>
          <w:iCs/>
        </w:rPr>
        <w:t>sampled s</w:t>
      </w:r>
      <w:r w:rsidRPr="00B44D92">
        <w:t>chools in the district</w:t>
      </w:r>
      <w:r>
        <w:t xml:space="preserve">) will take the coordinator </w:t>
      </w:r>
      <w:r w:rsidRPr="00B44D92">
        <w:t>an average of 2 hours.</w:t>
      </w:r>
    </w:p>
    <w:p w:rsidRPr="00B44D92" w:rsidR="00A31600" w:rsidP="002E5BB6" w:rsidRDefault="00A31600" w14:paraId="683617BF" w14:textId="3F002D89">
      <w:pPr>
        <w:pStyle w:val="Heading2"/>
      </w:pPr>
      <w:r w:rsidRPr="00B44D92">
        <w:t>A13.</w:t>
      </w:r>
      <w:r w:rsidR="00423CD7">
        <w:tab/>
      </w:r>
      <w:r w:rsidRPr="00B44D92">
        <w:t xml:space="preserve">Estimate of </w:t>
      </w:r>
      <w:r w:rsidR="00423CD7">
        <w:t>C</w:t>
      </w:r>
      <w:r w:rsidRPr="00B44D92">
        <w:t xml:space="preserve">ost </w:t>
      </w:r>
      <w:r w:rsidR="00423CD7">
        <w:t>B</w:t>
      </w:r>
      <w:r w:rsidRPr="00B44D92">
        <w:t xml:space="preserve">urden to </w:t>
      </w:r>
      <w:r w:rsidR="00423CD7">
        <w:t>R</w:t>
      </w:r>
      <w:r w:rsidRPr="00B44D92">
        <w:t>espondents</w:t>
      </w:r>
      <w:bookmarkEnd w:id="14"/>
    </w:p>
    <w:p w:rsidRPr="00B44D92" w:rsidR="00A31600" w:rsidP="002E5BB6" w:rsidRDefault="00A31600" w14:paraId="16218C64" w14:textId="2A823D04">
      <w:r w:rsidRPr="00B44D92">
        <w:t>There is no annualized capital/startup or ongoing operation and maintenance costs associated with collecting the information.</w:t>
      </w:r>
    </w:p>
    <w:p w:rsidRPr="00B44D92" w:rsidR="00A31600" w:rsidP="002E5BB6" w:rsidRDefault="00A31600" w14:paraId="67F0744F" w14:textId="6B2459AE">
      <w:pPr>
        <w:pStyle w:val="Heading2"/>
        <w:rPr>
          <w:webHidden/>
        </w:rPr>
      </w:pPr>
      <w:bookmarkStart w:name="_Toc44917310" w:id="15"/>
      <w:r w:rsidRPr="00B44D92">
        <w:t>A14.</w:t>
      </w:r>
      <w:r w:rsidR="00423CD7">
        <w:tab/>
      </w:r>
      <w:r w:rsidRPr="00B44D92">
        <w:t xml:space="preserve">Annualized </w:t>
      </w:r>
      <w:r w:rsidR="00423CD7">
        <w:t>C</w:t>
      </w:r>
      <w:r w:rsidRPr="00B44D92">
        <w:t xml:space="preserve">ost to the </w:t>
      </w:r>
      <w:r w:rsidR="00423CD7">
        <w:t>F</w:t>
      </w:r>
      <w:r w:rsidRPr="00B44D92">
        <w:t xml:space="preserve">ederal </w:t>
      </w:r>
      <w:r w:rsidR="00423CD7">
        <w:t>G</w:t>
      </w:r>
      <w:r w:rsidRPr="00B44D92">
        <w:t>overnment</w:t>
      </w:r>
      <w:bookmarkEnd w:id="15"/>
    </w:p>
    <w:p w:rsidRPr="00D138A7" w:rsidR="00A31600" w:rsidP="002E5BB6" w:rsidRDefault="00A31600" w14:paraId="5C9443E0" w14:textId="25DEF105">
      <w:r w:rsidRPr="00B44D92">
        <w:t xml:space="preserve">The amount for the design, conduct of surveys, and analysis and reporting </w:t>
      </w:r>
      <w:r w:rsidRPr="00B44D92" w:rsidR="00A46053">
        <w:t xml:space="preserve">of the data </w:t>
      </w:r>
      <w:r w:rsidRPr="00B44D92" w:rsidR="00C4144B">
        <w:t>from the</w:t>
      </w:r>
      <w:r w:rsidRPr="00B44D92">
        <w:t xml:space="preserve"> </w:t>
      </w:r>
      <w:r w:rsidR="008B7843">
        <w:t>s</w:t>
      </w:r>
      <w:r w:rsidRPr="00B44D92" w:rsidR="00A46053">
        <w:t xml:space="preserve">pring </w:t>
      </w:r>
      <w:r w:rsidRPr="00B44D92">
        <w:t xml:space="preserve">2021 </w:t>
      </w:r>
      <w:r w:rsidRPr="00B44D92" w:rsidR="00A46053">
        <w:t xml:space="preserve">and </w:t>
      </w:r>
      <w:r w:rsidR="008B7843">
        <w:t>s</w:t>
      </w:r>
      <w:r w:rsidRPr="00B44D92" w:rsidR="00A46053">
        <w:t xml:space="preserve">pring 2022 </w:t>
      </w:r>
      <w:r w:rsidRPr="00B44D92" w:rsidR="00C4144B">
        <w:t>surveys is</w:t>
      </w:r>
      <w:r w:rsidRPr="00B44D92" w:rsidR="00A46053">
        <w:t xml:space="preserve"> $1,666,149</w:t>
      </w:r>
      <w:r w:rsidRPr="00E3273B">
        <w:t>.</w:t>
      </w:r>
      <w:r w:rsidRPr="0067121B">
        <w:t xml:space="preserve"> The annualized cost over the </w:t>
      </w:r>
      <w:r w:rsidRPr="000B6E66" w:rsidR="001E7E37">
        <w:t>four and a half years of the project</w:t>
      </w:r>
      <w:r w:rsidRPr="000B6E66">
        <w:t xml:space="preserve"> for these activities is</w:t>
      </w:r>
      <w:r w:rsidRPr="000B6E66" w:rsidR="00A46053">
        <w:t xml:space="preserve"> $</w:t>
      </w:r>
      <w:r w:rsidRPr="000B6E66" w:rsidR="003F0D8D">
        <w:t>370,255</w:t>
      </w:r>
      <w:r w:rsidRPr="00D138A7">
        <w:t>.</w:t>
      </w:r>
    </w:p>
    <w:p w:rsidRPr="00B44D92" w:rsidR="00A31600" w:rsidP="002E5BB6" w:rsidRDefault="00A31600" w14:paraId="4B54FC0B" w14:textId="69D9E631">
      <w:pPr>
        <w:pStyle w:val="Heading2"/>
        <w:rPr>
          <w:webHidden/>
        </w:rPr>
      </w:pPr>
      <w:bookmarkStart w:name="_Toc44917311" w:id="16"/>
      <w:r w:rsidRPr="00D138A7">
        <w:t>A15.</w:t>
      </w:r>
      <w:r w:rsidR="00423CD7">
        <w:tab/>
      </w:r>
      <w:r w:rsidRPr="00D138A7">
        <w:t xml:space="preserve">Reasons for </w:t>
      </w:r>
      <w:r w:rsidR="00423CD7">
        <w:t>P</w:t>
      </w:r>
      <w:r w:rsidRPr="00D138A7">
        <w:t xml:space="preserve">rogram </w:t>
      </w:r>
      <w:r w:rsidR="00423CD7">
        <w:t>C</w:t>
      </w:r>
      <w:r w:rsidRPr="00A21E80">
        <w:t>hanges</w:t>
      </w:r>
      <w:r w:rsidRPr="00D138A7">
        <w:t xml:space="preserve"> or </w:t>
      </w:r>
      <w:r w:rsidR="00423CD7">
        <w:t>A</w:t>
      </w:r>
      <w:r w:rsidRPr="00D138A7">
        <w:t>djustments</w:t>
      </w:r>
      <w:bookmarkEnd w:id="16"/>
    </w:p>
    <w:p w:rsidRPr="00B44D92" w:rsidR="00A31600" w:rsidP="002E5BB6" w:rsidRDefault="00A31600" w14:paraId="165620AB" w14:textId="6F7BDF9A">
      <w:r w:rsidRPr="00B44D92">
        <w:t>This is a new collection.</w:t>
      </w:r>
      <w:r w:rsidR="00463EBF">
        <w:t xml:space="preserve"> </w:t>
      </w:r>
      <w:r w:rsidRPr="00B44D92">
        <w:t>No changes apply.</w:t>
      </w:r>
    </w:p>
    <w:p w:rsidRPr="00B44D92" w:rsidR="00A31600" w:rsidP="002E5BB6" w:rsidRDefault="00A31600" w14:paraId="367CBF54" w14:textId="1900C71F">
      <w:pPr>
        <w:pStyle w:val="Heading2"/>
        <w:rPr>
          <w:webHidden/>
        </w:rPr>
      </w:pPr>
      <w:bookmarkStart w:name="_Toc44917312" w:id="17"/>
      <w:r w:rsidRPr="00B44D92">
        <w:t>A16.</w:t>
      </w:r>
      <w:r w:rsidR="00423CD7">
        <w:tab/>
        <w:t>P</w:t>
      </w:r>
      <w:r w:rsidRPr="00B44D92">
        <w:t xml:space="preserve">lans for </w:t>
      </w:r>
      <w:r w:rsidR="00423CD7">
        <w:t>T</w:t>
      </w:r>
      <w:r w:rsidRPr="00B44D92">
        <w:t xml:space="preserve">abulation and </w:t>
      </w:r>
      <w:r w:rsidR="00423CD7">
        <w:t>P</w:t>
      </w:r>
      <w:r w:rsidRPr="00B44D92">
        <w:t xml:space="preserve">ublication of </w:t>
      </w:r>
      <w:r w:rsidR="00423CD7">
        <w:t>R</w:t>
      </w:r>
      <w:r w:rsidRPr="00B44D92">
        <w:t>esults</w:t>
      </w:r>
      <w:bookmarkEnd w:id="17"/>
    </w:p>
    <w:p w:rsidR="00522E60" w:rsidP="002E5BB6" w:rsidRDefault="00D504EC" w14:paraId="22019283" w14:textId="7ED00CC7">
      <w:r>
        <w:rPr>
          <w:webHidden/>
        </w:rPr>
        <w:t xml:space="preserve">The </w:t>
      </w:r>
      <w:r w:rsidR="007B7AE4">
        <w:rPr>
          <w:webHidden/>
        </w:rPr>
        <w:t xml:space="preserve">activities for which clearance is requested in this first package will not directly be tabulated and published, but rather will be used to </w:t>
      </w:r>
      <w:r w:rsidR="007F512A">
        <w:rPr>
          <w:webHidden/>
        </w:rPr>
        <w:t xml:space="preserve">facilitate the administering </w:t>
      </w:r>
      <w:r w:rsidR="005055DC">
        <w:rPr>
          <w:webHidden/>
        </w:rPr>
        <w:t>two rounds</w:t>
      </w:r>
      <w:r w:rsidR="00C31413">
        <w:rPr>
          <w:webHidden/>
        </w:rPr>
        <w:t xml:space="preserve"> </w:t>
      </w:r>
      <w:r w:rsidR="007F512A">
        <w:rPr>
          <w:webHidden/>
        </w:rPr>
        <w:t>of surveys. The survey data will then be analyzed descriptively and summarized in the second of two</w:t>
      </w:r>
      <w:r w:rsidR="000E7522">
        <w:rPr>
          <w:webHidden/>
        </w:rPr>
        <w:t xml:space="preserve"> </w:t>
      </w:r>
      <w:r w:rsidR="005D1BAC">
        <w:rPr>
          <w:webHidden/>
        </w:rPr>
        <w:t>Congressionally</w:t>
      </w:r>
      <w:r w:rsidR="005C6CED">
        <w:rPr>
          <w:webHidden/>
        </w:rPr>
        <w:t xml:space="preserve"> </w:t>
      </w:r>
      <w:r w:rsidR="005D1BAC">
        <w:rPr>
          <w:webHidden/>
        </w:rPr>
        <w:t xml:space="preserve">mandated </w:t>
      </w:r>
      <w:r w:rsidR="000E7522">
        <w:rPr>
          <w:webHidden/>
        </w:rPr>
        <w:t xml:space="preserve">evaluation reports: </w:t>
      </w:r>
      <w:r>
        <w:rPr>
          <w:webHidden/>
        </w:rPr>
        <w:t>a Progress Report and a Best Practices Report</w:t>
      </w:r>
      <w:r w:rsidR="00850CC8">
        <w:rPr>
          <w:webHidden/>
        </w:rPr>
        <w:t xml:space="preserve">. </w:t>
      </w:r>
      <w:r w:rsidRPr="00850CC8" w:rsidR="00850CC8">
        <w:t>The first report</w:t>
      </w:r>
      <w:r w:rsidRPr="00FA68F9" w:rsidR="00850CC8">
        <w:t xml:space="preserve"> will describe participating states’ progress with their innovative assessment system</w:t>
      </w:r>
      <w:r w:rsidR="00850CC8">
        <w:t xml:space="preserve"> and draw exclusively on extant d</w:t>
      </w:r>
      <w:r w:rsidR="00623AD2">
        <w:t>ocumentation provided by states</w:t>
      </w:r>
      <w:r w:rsidRPr="00FA68F9" w:rsidR="00850CC8">
        <w:t>.</w:t>
      </w:r>
      <w:r w:rsidRPr="00850CC8" w:rsidR="00850CC8">
        <w:t xml:space="preserve"> </w:t>
      </w:r>
      <w:r w:rsidRPr="00236E1C" w:rsidR="00850CC8">
        <w:t xml:space="preserve">The second report will present </w:t>
      </w:r>
      <w:r w:rsidRPr="00196884" w:rsidR="00850CC8">
        <w:t xml:space="preserve">best practices, or lessons learned, </w:t>
      </w:r>
      <w:r w:rsidRPr="00850CC8" w:rsidR="00850CC8">
        <w:t xml:space="preserve">on </w:t>
      </w:r>
      <w:r w:rsidRPr="00FA68F9" w:rsidR="00850CC8">
        <w:t>the development</w:t>
      </w:r>
      <w:r w:rsidR="005D1BAC">
        <w:t>,</w:t>
      </w:r>
      <w:r w:rsidRPr="00FA68F9" w:rsidR="00850CC8">
        <w:t xml:space="preserve"> implementation</w:t>
      </w:r>
      <w:r w:rsidR="005D1BAC">
        <w:t>, and outcomes</w:t>
      </w:r>
      <w:r w:rsidRPr="00FA68F9" w:rsidR="00850CC8">
        <w:t xml:space="preserve"> of innovative assessment systems.</w:t>
      </w:r>
      <w:r w:rsidR="00850CC8">
        <w:t xml:space="preserve"> The second report will draw on </w:t>
      </w:r>
      <w:r w:rsidR="007F512A">
        <w:t xml:space="preserve">all of the data collected for the evaluation, including </w:t>
      </w:r>
      <w:r w:rsidR="00850CC8">
        <w:t>the district, principal, and teacher survey results; the findings from the state interviews; and extant documents.</w:t>
      </w:r>
    </w:p>
    <w:p w:rsidR="00850CC8" w:rsidP="002E5BB6" w:rsidRDefault="00522E60" w14:paraId="504B6045" w14:textId="4E553CE9">
      <w:pPr>
        <w:rPr>
          <w:webHidden/>
        </w:rPr>
      </w:pPr>
      <w:r w:rsidRPr="00522E60">
        <w:t xml:space="preserve">Responses to survey questions </w:t>
      </w:r>
      <w:r>
        <w:t>will be</w:t>
      </w:r>
      <w:r w:rsidRPr="00522E60">
        <w:t xml:space="preserve"> tabulated into descriptive statistics (such as percentages) and simple statistical tests (such as tests for differences between percentages). These tabulations</w:t>
      </w:r>
      <w:r>
        <w:t xml:space="preserve"> will</w:t>
      </w:r>
      <w:r w:rsidRPr="00522E60">
        <w:t xml:space="preserve"> </w:t>
      </w:r>
      <w:r w:rsidRPr="00522E60">
        <w:lastRenderedPageBreak/>
        <w:t>provide a snapshot of district</w:t>
      </w:r>
      <w:r>
        <w:t>, school, and teacher</w:t>
      </w:r>
      <w:r w:rsidRPr="00522E60">
        <w:t xml:space="preserve"> </w:t>
      </w:r>
      <w:r>
        <w:t>experiences</w:t>
      </w:r>
      <w:r w:rsidRPr="00522E60">
        <w:t xml:space="preserve"> at each time point, as well as aggregate changes over time. The study is descriptive and not designed to estimate the impact of federal policies on state and </w:t>
      </w:r>
      <w:r w:rsidR="006A397A">
        <w:t>local</w:t>
      </w:r>
      <w:r w:rsidRPr="00522E60">
        <w:t xml:space="preserve"> actions.</w:t>
      </w:r>
    </w:p>
    <w:p w:rsidRPr="000B6E66" w:rsidR="001E7E37" w:rsidP="002E5BB6" w:rsidRDefault="00F8688A" w14:paraId="562C2587" w14:textId="3EBF69AB">
      <w:r>
        <w:t xml:space="preserve">The Progress Report </w:t>
      </w:r>
      <w:r w:rsidR="005D1BAC">
        <w:t xml:space="preserve">is expected to </w:t>
      </w:r>
      <w:r>
        <w:t xml:space="preserve">be published in 2022, and the Best Practices Report is </w:t>
      </w:r>
      <w:r w:rsidR="005D1BAC">
        <w:t xml:space="preserve">expected </w:t>
      </w:r>
      <w:r w:rsidR="00B624DF">
        <w:t>in</w:t>
      </w:r>
      <w:r>
        <w:t xml:space="preserve"> 2023. Both reports will be available on the IES website. </w:t>
      </w:r>
      <w:r w:rsidR="001040B6">
        <w:t xml:space="preserve">Each report </w:t>
      </w:r>
      <w:r w:rsidR="00E5013F">
        <w:t>will be 15 pages</w:t>
      </w:r>
      <w:r w:rsidR="001040B6">
        <w:t>, with a set of technical appendices. The report will be wri</w:t>
      </w:r>
      <w:r w:rsidR="00E5013F">
        <w:t xml:space="preserve">tten for an audience of policy makers and practitioners. </w:t>
      </w:r>
      <w:r w:rsidR="00305E25">
        <w:t>The reports will follow the recent January 2020 IES Style and Report guidance</w:t>
      </w:r>
      <w:r w:rsidR="003877B8">
        <w:t xml:space="preserve"> and meet all 508 compliance requirements</w:t>
      </w:r>
      <w:r w:rsidR="00305E25">
        <w:t>.</w:t>
      </w:r>
      <w:r w:rsidRPr="00850CC8" w:rsidR="00322CAF">
        <w:t xml:space="preserve"> </w:t>
      </w:r>
    </w:p>
    <w:p w:rsidRPr="00EA2299" w:rsidR="00A31600" w:rsidP="002E5BB6" w:rsidRDefault="00A31600" w14:paraId="1F626C0C" w14:textId="0A4EA392">
      <w:pPr>
        <w:pStyle w:val="Heading2"/>
      </w:pPr>
      <w:bookmarkStart w:name="_Toc44917313" w:id="18"/>
      <w:r w:rsidRPr="00EA2299">
        <w:t>A17.</w:t>
      </w:r>
      <w:r w:rsidR="00423CD7">
        <w:tab/>
      </w:r>
      <w:r w:rsidRPr="00EA2299">
        <w:t xml:space="preserve">Approval not to </w:t>
      </w:r>
      <w:r w:rsidR="00423CD7">
        <w:t>D</w:t>
      </w:r>
      <w:r w:rsidRPr="00EA2299">
        <w:t xml:space="preserve">isplay the </w:t>
      </w:r>
      <w:r w:rsidR="00423CD7">
        <w:t>E</w:t>
      </w:r>
      <w:r w:rsidRPr="00EA2299">
        <w:t xml:space="preserve">xpiration </w:t>
      </w:r>
      <w:r w:rsidR="00423CD7">
        <w:t>D</w:t>
      </w:r>
      <w:r w:rsidRPr="00EA2299">
        <w:t xml:space="preserve">ate for OMB </w:t>
      </w:r>
      <w:r w:rsidR="00423CD7">
        <w:t>A</w:t>
      </w:r>
      <w:r w:rsidRPr="00EA2299">
        <w:t>pproval</w:t>
      </w:r>
      <w:bookmarkEnd w:id="18"/>
    </w:p>
    <w:p w:rsidRPr="00850CC8" w:rsidR="00A31600" w:rsidP="002E5BB6" w:rsidRDefault="00A31600" w14:paraId="5AACC60A" w14:textId="68360F0D">
      <w:r w:rsidRPr="00EA2299">
        <w:t>The Institute of Education Sciences is not requesting a waiver for the display of the OMB approval number and expiration date. The surveys and notification letters will display the expiration date for O</w:t>
      </w:r>
      <w:r w:rsidRPr="00901C81">
        <w:t>MB approval</w:t>
      </w:r>
      <w:r w:rsidRPr="00901C81" w:rsidR="00322CAF">
        <w:t>.</w:t>
      </w:r>
    </w:p>
    <w:p w:rsidRPr="00B44D92" w:rsidR="00A31600" w:rsidP="002E5BB6" w:rsidRDefault="00A31600" w14:paraId="7833F393" w14:textId="039CFA55">
      <w:pPr>
        <w:pStyle w:val="Heading2"/>
        <w:rPr>
          <w:webHidden/>
        </w:rPr>
      </w:pPr>
      <w:bookmarkStart w:name="_Toc44917314" w:id="19"/>
      <w:r w:rsidRPr="00850CC8">
        <w:t>A18.</w:t>
      </w:r>
      <w:r w:rsidR="00423CD7">
        <w:tab/>
      </w:r>
      <w:r w:rsidRPr="00850CC8">
        <w:t xml:space="preserve">Exception to the </w:t>
      </w:r>
      <w:r w:rsidR="00423CD7">
        <w:t>C</w:t>
      </w:r>
      <w:r w:rsidRPr="00850CC8">
        <w:t xml:space="preserve">ertification </w:t>
      </w:r>
      <w:r w:rsidR="00423CD7">
        <w:t>S</w:t>
      </w:r>
      <w:r w:rsidRPr="00850CC8">
        <w:t>tatement</w:t>
      </w:r>
      <w:bookmarkEnd w:id="19"/>
    </w:p>
    <w:p w:rsidRPr="00B44D92" w:rsidR="00322CAF" w:rsidP="002E5BB6" w:rsidRDefault="00322CAF" w14:paraId="0C11D83D" w14:textId="77777777">
      <w:r w:rsidRPr="00B44D92">
        <w:t xml:space="preserve">This submission does </w:t>
      </w:r>
      <w:r w:rsidRPr="00B44D92">
        <w:rPr>
          <w:b/>
          <w:bCs/>
          <w:i/>
          <w:iCs/>
        </w:rPr>
        <w:t>not</w:t>
      </w:r>
      <w:r w:rsidRPr="00B44D92">
        <w:t xml:space="preserve"> require an exception to the Certificate for </w:t>
      </w:r>
      <w:r w:rsidRPr="00B44D92">
        <w:rPr>
          <w:i/>
        </w:rPr>
        <w:t>Paperwork Reduction Act</w:t>
      </w:r>
      <w:r w:rsidRPr="00B44D92">
        <w:t xml:space="preserve"> </w:t>
      </w:r>
      <w:r w:rsidRPr="00B44D92">
        <w:br/>
        <w:t>(5 CFR 1320.9).</w:t>
      </w:r>
    </w:p>
    <w:p w:rsidRPr="00B44D92" w:rsidR="00C350A1" w:rsidP="002C26C1" w:rsidRDefault="00C350A1" w14:paraId="409CB359" w14:textId="14D5D6EE">
      <w:pPr>
        <w:ind w:left="450" w:hanging="450"/>
      </w:pPr>
    </w:p>
    <w:sectPr w:rsidRPr="00B44D92" w:rsidR="00C350A1" w:rsidSect="002E5BB6">
      <w:footerReference w:type="default" r:id="rId20"/>
      <w:pgSz w:w="12240" w:h="15840"/>
      <w:pgMar w:top="1440" w:right="1440" w:bottom="122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ABF4B" w14:textId="77777777" w:rsidR="00546BC0" w:rsidRDefault="00546BC0" w:rsidP="002E5BB6">
      <w:r>
        <w:separator/>
      </w:r>
    </w:p>
    <w:p w14:paraId="16997F68" w14:textId="77777777" w:rsidR="00546BC0" w:rsidRDefault="00546BC0" w:rsidP="002E5BB6"/>
  </w:endnote>
  <w:endnote w:type="continuationSeparator" w:id="0">
    <w:p w14:paraId="7D690462" w14:textId="77777777" w:rsidR="00546BC0" w:rsidRDefault="00546BC0" w:rsidP="002E5BB6">
      <w:r>
        <w:continuationSeparator/>
      </w:r>
    </w:p>
    <w:p w14:paraId="40DA0C6D" w14:textId="77777777" w:rsidR="00546BC0" w:rsidRDefault="00546BC0" w:rsidP="002E5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EDD6" w14:textId="77777777" w:rsidR="00325A34" w:rsidRDefault="0032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CA98" w14:textId="77777777" w:rsidR="00325A34" w:rsidRDefault="0032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303CD" w14:textId="77777777" w:rsidR="00325A34" w:rsidRDefault="00325A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6EED7" w14:textId="77777777" w:rsidR="00423CD7" w:rsidRPr="00463EBF" w:rsidRDefault="00423CD7" w:rsidP="002E5B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320252"/>
      <w:docPartObj>
        <w:docPartGallery w:val="Page Numbers (Bottom of Page)"/>
        <w:docPartUnique/>
      </w:docPartObj>
    </w:sdtPr>
    <w:sdtEndPr>
      <w:rPr>
        <w:noProof/>
      </w:rPr>
    </w:sdtEndPr>
    <w:sdtContent>
      <w:p w14:paraId="5F0E7D98" w14:textId="03BAAB14" w:rsidR="00423CD7" w:rsidRDefault="00423CD7" w:rsidP="002E5BB6">
        <w:pPr>
          <w:pStyle w:val="Footer"/>
          <w:jc w:val="center"/>
        </w:pPr>
        <w:r>
          <w:fldChar w:fldCharType="begin"/>
        </w:r>
        <w:r>
          <w:instrText xml:space="preserve"> PAGE   \* MERGEFORMAT </w:instrText>
        </w:r>
        <w:r>
          <w:fldChar w:fldCharType="separate"/>
        </w:r>
        <w:r w:rsidR="00811DBB">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322A8" w14:textId="77777777" w:rsidR="00546BC0" w:rsidRDefault="00546BC0" w:rsidP="002E5BB6">
      <w:r>
        <w:separator/>
      </w:r>
    </w:p>
  </w:footnote>
  <w:footnote w:type="continuationSeparator" w:id="0">
    <w:p w14:paraId="0E523DCB" w14:textId="77777777" w:rsidR="00546BC0" w:rsidRDefault="00546BC0" w:rsidP="002E5BB6">
      <w:r>
        <w:continuationSeparator/>
      </w:r>
    </w:p>
    <w:p w14:paraId="04195AF5" w14:textId="77777777" w:rsidR="00546BC0" w:rsidRDefault="00546BC0" w:rsidP="002E5BB6"/>
  </w:footnote>
  <w:footnote w:id="1">
    <w:p w14:paraId="2FC81ED4" w14:textId="77777777" w:rsidR="00423CD7" w:rsidRDefault="00423CD7" w:rsidP="002E5BB6">
      <w:pPr>
        <w:pStyle w:val="FootnoteText"/>
      </w:pPr>
      <w:r w:rsidRPr="009E27ED">
        <w:rPr>
          <w:rStyle w:val="FootnoteReference"/>
        </w:rPr>
        <w:footnoteRef/>
      </w:r>
      <w:r w:rsidRPr="009E27ED">
        <w:t xml:space="preserve"> Improving America’s Schools Act of 1994, P.L. 103-382, 20 U.S.C. § 6301 </w:t>
      </w:r>
      <w:r w:rsidRPr="009E27ED">
        <w:rPr>
          <w:i/>
          <w:iCs/>
        </w:rPr>
        <w:t>et seq.</w:t>
      </w:r>
      <w:r w:rsidRPr="009E27ED">
        <w:t xml:space="preserve"> </w:t>
      </w:r>
    </w:p>
  </w:footnote>
  <w:footnote w:id="2">
    <w:p w14:paraId="0726E496" w14:textId="045BDD69" w:rsidR="00F748C7" w:rsidRDefault="00F748C7">
      <w:pPr>
        <w:pStyle w:val="FootnoteText"/>
      </w:pPr>
      <w:r>
        <w:rPr>
          <w:rStyle w:val="FootnoteReference"/>
        </w:rPr>
        <w:footnoteRef/>
      </w:r>
      <w:r>
        <w:t xml:space="preserve"> </w:t>
      </w:r>
      <w:r w:rsidRPr="00F748C7">
        <w:t>To date, ED has approved five states for the program: Louisiana and New Hampshire in 2018, North Carolina and Georgia in 2019, and Massachusetts in 2020.</w:t>
      </w:r>
    </w:p>
  </w:footnote>
  <w:footnote w:id="3">
    <w:p w14:paraId="77B817D4" w14:textId="0281EEDD" w:rsidR="00423CD7" w:rsidRPr="00242B8A" w:rsidRDefault="00423CD7" w:rsidP="002E5BB6">
      <w:pPr>
        <w:pStyle w:val="FootnoteText"/>
      </w:pPr>
      <w:r w:rsidRPr="00CB1209">
        <w:rPr>
          <w:rStyle w:val="FootnoteReference"/>
        </w:rPr>
        <w:footnoteRef/>
      </w:r>
      <w:r w:rsidRPr="00CB1209">
        <w:t xml:space="preserve"> </w:t>
      </w:r>
      <w:r w:rsidRPr="009529C6">
        <w:t>I</w:t>
      </w:r>
      <w:r w:rsidRPr="004E282F">
        <w:t xml:space="preserve">f a district has fewer than two participating schools for spring 2021 or three participating schools for spring 2022, </w:t>
      </w:r>
      <w:r w:rsidRPr="00242B8A">
        <w:t xml:space="preserve">all participating schools </w:t>
      </w:r>
      <w:r w:rsidR="00734F49">
        <w:t xml:space="preserve">in the district will be selected </w:t>
      </w:r>
      <w:r w:rsidRPr="00242B8A">
        <w:t xml:space="preserve">for the evaluation.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568C8" w14:textId="77777777" w:rsidR="00325A34" w:rsidRDefault="0032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D736" w14:textId="77777777" w:rsidR="00423CD7" w:rsidRDefault="00423CD7" w:rsidP="002E5BB6">
    <w:pPr>
      <w:pStyle w:val="Header"/>
    </w:pPr>
    <w:r>
      <w:rPr>
        <w:noProof/>
      </w:rPr>
      <w:drawing>
        <wp:anchor distT="0" distB="0" distL="114300" distR="114300" simplePos="0" relativeHeight="251659264" behindDoc="1" locked="0" layoutInCell="1" allowOverlap="1" wp14:anchorId="09E537DB" wp14:editId="66E7C680">
          <wp:simplePos x="0" y="0"/>
          <wp:positionH relativeFrom="column">
            <wp:posOffset>-76835</wp:posOffset>
          </wp:positionH>
          <wp:positionV relativeFrom="paragraph">
            <wp:posOffset>2090420</wp:posOffset>
          </wp:positionV>
          <wp:extent cx="6949440" cy="6721029"/>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1484" w14:textId="77777777" w:rsidR="00325A34" w:rsidRDefault="0032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B2F1" w14:textId="5DD460A9" w:rsidR="00423CD7" w:rsidRDefault="00423CD7" w:rsidP="002E5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EA02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C04B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F8F4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8CD5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9E23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3EBA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662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6A32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A049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FAD3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64417"/>
    <w:multiLevelType w:val="hybridMultilevel"/>
    <w:tmpl w:val="C45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66998"/>
    <w:multiLevelType w:val="hybridMultilevel"/>
    <w:tmpl w:val="A13C2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641C4F"/>
    <w:multiLevelType w:val="hybridMultilevel"/>
    <w:tmpl w:val="62F8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E1396"/>
    <w:multiLevelType w:val="hybridMultilevel"/>
    <w:tmpl w:val="3DD6C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92FA7"/>
    <w:multiLevelType w:val="hybridMultilevel"/>
    <w:tmpl w:val="AD6A2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6B2114"/>
    <w:multiLevelType w:val="hybridMultilevel"/>
    <w:tmpl w:val="EB244336"/>
    <w:lvl w:ilvl="0" w:tplc="BE2AFF2A">
      <w:start w:val="1"/>
      <w:numFmt w:val="decimal"/>
      <w:pStyle w:val="ListBullet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25AEE"/>
    <w:multiLevelType w:val="hybridMultilevel"/>
    <w:tmpl w:val="9CCCD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C83B18"/>
    <w:multiLevelType w:val="hybridMultilevel"/>
    <w:tmpl w:val="B53AE75A"/>
    <w:lvl w:ilvl="0" w:tplc="EFD0A9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C12DC"/>
    <w:multiLevelType w:val="hybridMultilevel"/>
    <w:tmpl w:val="2084CC4A"/>
    <w:lvl w:ilvl="0" w:tplc="E6C0FA7E">
      <w:start w:val="1"/>
      <w:numFmt w:val="bullet"/>
      <w:pStyle w:val="N1-1st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F10E7"/>
    <w:multiLevelType w:val="hybridMultilevel"/>
    <w:tmpl w:val="3830D9A8"/>
    <w:lvl w:ilvl="0" w:tplc="88DA8FD8">
      <w:start w:val="1"/>
      <w:numFmt w:val="lowerLetter"/>
      <w:lvlText w:val="(%1)"/>
      <w:lvlJc w:val="left"/>
      <w:pPr>
        <w:ind w:left="1220" w:hanging="334"/>
      </w:pPr>
      <w:rPr>
        <w:rFonts w:ascii="Century" w:eastAsia="Century" w:hAnsi="Century" w:cs="Century" w:hint="default"/>
        <w:w w:val="99"/>
        <w:sz w:val="20"/>
        <w:szCs w:val="20"/>
      </w:rPr>
    </w:lvl>
    <w:lvl w:ilvl="1" w:tplc="EAB835F0">
      <w:start w:val="1"/>
      <w:numFmt w:val="decimal"/>
      <w:lvlText w:val="(%2)"/>
      <w:lvlJc w:val="left"/>
      <w:pPr>
        <w:ind w:left="1620" w:hanging="345"/>
      </w:pPr>
      <w:rPr>
        <w:rFonts w:ascii="Century" w:eastAsia="Century" w:hAnsi="Century" w:cs="Century" w:hint="default"/>
        <w:w w:val="99"/>
        <w:sz w:val="20"/>
        <w:szCs w:val="20"/>
      </w:rPr>
    </w:lvl>
    <w:lvl w:ilvl="2" w:tplc="B90A31C0">
      <w:start w:val="1"/>
      <w:numFmt w:val="upperLetter"/>
      <w:lvlText w:val="(%3)"/>
      <w:lvlJc w:val="left"/>
      <w:pPr>
        <w:ind w:left="2020" w:hanging="382"/>
      </w:pPr>
      <w:rPr>
        <w:rFonts w:ascii="Century" w:eastAsia="Century" w:hAnsi="Century" w:cs="Century" w:hint="default"/>
        <w:w w:val="99"/>
        <w:sz w:val="20"/>
        <w:szCs w:val="20"/>
      </w:rPr>
    </w:lvl>
    <w:lvl w:ilvl="3" w:tplc="FDF09C3E">
      <w:start w:val="1"/>
      <w:numFmt w:val="lowerRoman"/>
      <w:lvlText w:val="(%4)"/>
      <w:lvlJc w:val="left"/>
      <w:pPr>
        <w:ind w:left="2420" w:hanging="271"/>
      </w:pPr>
      <w:rPr>
        <w:rFonts w:ascii="Century" w:eastAsia="Century" w:hAnsi="Century" w:cs="Century" w:hint="default"/>
        <w:w w:val="100"/>
        <w:sz w:val="20"/>
        <w:szCs w:val="20"/>
      </w:rPr>
    </w:lvl>
    <w:lvl w:ilvl="4" w:tplc="898C4148">
      <w:start w:val="1"/>
      <w:numFmt w:val="upperRoman"/>
      <w:lvlText w:val="(%5)"/>
      <w:lvlJc w:val="left"/>
      <w:pPr>
        <w:ind w:left="2820" w:hanging="316"/>
      </w:pPr>
      <w:rPr>
        <w:rFonts w:ascii="Century" w:eastAsia="Century" w:hAnsi="Century" w:cs="Century" w:hint="default"/>
        <w:w w:val="99"/>
        <w:sz w:val="20"/>
        <w:szCs w:val="20"/>
      </w:rPr>
    </w:lvl>
    <w:lvl w:ilvl="5" w:tplc="BE4053D4">
      <w:numFmt w:val="bullet"/>
      <w:lvlText w:val="•"/>
      <w:lvlJc w:val="left"/>
      <w:pPr>
        <w:ind w:left="2760" w:hanging="316"/>
      </w:pPr>
      <w:rPr>
        <w:rFonts w:hint="default"/>
      </w:rPr>
    </w:lvl>
    <w:lvl w:ilvl="6" w:tplc="761441DE">
      <w:numFmt w:val="bullet"/>
      <w:lvlText w:val="•"/>
      <w:lvlJc w:val="left"/>
      <w:pPr>
        <w:ind w:left="2820" w:hanging="316"/>
      </w:pPr>
      <w:rPr>
        <w:rFonts w:hint="default"/>
      </w:rPr>
    </w:lvl>
    <w:lvl w:ilvl="7" w:tplc="2E6416CC">
      <w:numFmt w:val="bullet"/>
      <w:lvlText w:val="•"/>
      <w:lvlJc w:val="left"/>
      <w:pPr>
        <w:ind w:left="3100" w:hanging="316"/>
      </w:pPr>
      <w:rPr>
        <w:rFonts w:hint="default"/>
      </w:rPr>
    </w:lvl>
    <w:lvl w:ilvl="8" w:tplc="E3C48280">
      <w:numFmt w:val="bullet"/>
      <w:lvlText w:val="•"/>
      <w:lvlJc w:val="left"/>
      <w:pPr>
        <w:ind w:left="3729" w:hanging="316"/>
      </w:pPr>
      <w:rPr>
        <w:rFonts w:hint="default"/>
      </w:rPr>
    </w:lvl>
  </w:abstractNum>
  <w:abstractNum w:abstractNumId="21" w15:restartNumberingAfterBreak="0">
    <w:nsid w:val="54132E49"/>
    <w:multiLevelType w:val="hybridMultilevel"/>
    <w:tmpl w:val="CCCC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73098"/>
    <w:multiLevelType w:val="hybridMultilevel"/>
    <w:tmpl w:val="DE1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4505F"/>
    <w:multiLevelType w:val="hybridMultilevel"/>
    <w:tmpl w:val="B53AE75A"/>
    <w:lvl w:ilvl="0" w:tplc="EFD0A9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50F5C"/>
    <w:multiLevelType w:val="hybridMultilevel"/>
    <w:tmpl w:val="015E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01703"/>
    <w:multiLevelType w:val="hybridMultilevel"/>
    <w:tmpl w:val="1AE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62DD2"/>
    <w:multiLevelType w:val="hybridMultilevel"/>
    <w:tmpl w:val="2CC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1046A"/>
    <w:multiLevelType w:val="hybridMultilevel"/>
    <w:tmpl w:val="A3629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2524B"/>
    <w:multiLevelType w:val="hybridMultilevel"/>
    <w:tmpl w:val="58229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C65A7"/>
    <w:multiLevelType w:val="hybridMultilevel"/>
    <w:tmpl w:val="CDFCB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BC1859"/>
    <w:multiLevelType w:val="hybridMultilevel"/>
    <w:tmpl w:val="3B129538"/>
    <w:lvl w:ilvl="0" w:tplc="F438C7CE">
      <w:start w:val="1"/>
      <w:numFmt w:val="bullet"/>
      <w:pStyle w:val="TB-TableBullet"/>
      <w:lvlText w:val=""/>
      <w:lvlJc w:val="left"/>
      <w:pPr>
        <w:ind w:left="720" w:hanging="360"/>
      </w:pPr>
      <w:rPr>
        <w:rFonts w:ascii="Symbol" w:hAnsi="Symbol" w:hint="default"/>
        <w:color w:val="00467F"/>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3621F"/>
    <w:multiLevelType w:val="hybridMultilevel"/>
    <w:tmpl w:val="71DC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57C7E"/>
    <w:multiLevelType w:val="hybridMultilevel"/>
    <w:tmpl w:val="57CA5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2"/>
  </w:num>
  <w:num w:numId="4">
    <w:abstractNumId w:val="13"/>
  </w:num>
  <w:num w:numId="5">
    <w:abstractNumId w:val="27"/>
  </w:num>
  <w:num w:numId="6">
    <w:abstractNumId w:val="29"/>
  </w:num>
  <w:num w:numId="7">
    <w:abstractNumId w:val="12"/>
  </w:num>
  <w:num w:numId="8">
    <w:abstractNumId w:val="17"/>
  </w:num>
  <w:num w:numId="9">
    <w:abstractNumId w:val="28"/>
  </w:num>
  <w:num w:numId="10">
    <w:abstractNumId w:val="10"/>
  </w:num>
  <w:num w:numId="11">
    <w:abstractNumId w:val="31"/>
  </w:num>
  <w:num w:numId="12">
    <w:abstractNumId w:val="26"/>
  </w:num>
  <w:num w:numId="13">
    <w:abstractNumId w:val="14"/>
  </w:num>
  <w:num w:numId="14">
    <w:abstractNumId w:val="19"/>
  </w:num>
  <w:num w:numId="15">
    <w:abstractNumId w:val="11"/>
  </w:num>
  <w:num w:numId="16">
    <w:abstractNumId w:val="15"/>
  </w:num>
  <w:num w:numId="17">
    <w:abstractNumId w:val="23"/>
  </w:num>
  <w:num w:numId="18">
    <w:abstractNumId w:val="18"/>
  </w:num>
  <w:num w:numId="19">
    <w:abstractNumId w:val="20"/>
  </w:num>
  <w:num w:numId="20">
    <w:abstractNumId w:val="32"/>
  </w:num>
  <w:num w:numId="21">
    <w:abstractNumId w:val="25"/>
  </w:num>
  <w:num w:numId="22">
    <w:abstractNumId w:val="30"/>
  </w:num>
  <w:num w:numId="23">
    <w:abstractNumId w:val="2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6A"/>
    <w:rsid w:val="00000880"/>
    <w:rsid w:val="000008E0"/>
    <w:rsid w:val="000020C6"/>
    <w:rsid w:val="00004B27"/>
    <w:rsid w:val="00006F7B"/>
    <w:rsid w:val="0000776D"/>
    <w:rsid w:val="00007AE1"/>
    <w:rsid w:val="00011465"/>
    <w:rsid w:val="00012B01"/>
    <w:rsid w:val="00013BDE"/>
    <w:rsid w:val="0001757E"/>
    <w:rsid w:val="000310CA"/>
    <w:rsid w:val="00031FEA"/>
    <w:rsid w:val="0003553D"/>
    <w:rsid w:val="00040412"/>
    <w:rsid w:val="000444DB"/>
    <w:rsid w:val="00045689"/>
    <w:rsid w:val="000459D6"/>
    <w:rsid w:val="00046080"/>
    <w:rsid w:val="00047BC2"/>
    <w:rsid w:val="00051EFC"/>
    <w:rsid w:val="0005219A"/>
    <w:rsid w:val="00052A61"/>
    <w:rsid w:val="00054FBF"/>
    <w:rsid w:val="000563D2"/>
    <w:rsid w:val="000578F6"/>
    <w:rsid w:val="0006095E"/>
    <w:rsid w:val="00060C3A"/>
    <w:rsid w:val="000613E3"/>
    <w:rsid w:val="000622EA"/>
    <w:rsid w:val="00062456"/>
    <w:rsid w:val="00063F53"/>
    <w:rsid w:val="00064E71"/>
    <w:rsid w:val="00074912"/>
    <w:rsid w:val="00077DD9"/>
    <w:rsid w:val="000829F2"/>
    <w:rsid w:val="0008391D"/>
    <w:rsid w:val="00090E99"/>
    <w:rsid w:val="000966FB"/>
    <w:rsid w:val="000A098D"/>
    <w:rsid w:val="000A3779"/>
    <w:rsid w:val="000B6608"/>
    <w:rsid w:val="000B68DC"/>
    <w:rsid w:val="000B6BAD"/>
    <w:rsid w:val="000B6E66"/>
    <w:rsid w:val="000B7B43"/>
    <w:rsid w:val="000B7D16"/>
    <w:rsid w:val="000C1760"/>
    <w:rsid w:val="000D6BAE"/>
    <w:rsid w:val="000D770E"/>
    <w:rsid w:val="000D7D33"/>
    <w:rsid w:val="000E45DC"/>
    <w:rsid w:val="000E56C0"/>
    <w:rsid w:val="000E7522"/>
    <w:rsid w:val="000E7CA4"/>
    <w:rsid w:val="000F187D"/>
    <w:rsid w:val="000F2973"/>
    <w:rsid w:val="001040B6"/>
    <w:rsid w:val="00106F24"/>
    <w:rsid w:val="00112B6A"/>
    <w:rsid w:val="00114FB3"/>
    <w:rsid w:val="00122673"/>
    <w:rsid w:val="0012296E"/>
    <w:rsid w:val="001311DA"/>
    <w:rsid w:val="001324AF"/>
    <w:rsid w:val="00132C2D"/>
    <w:rsid w:val="0013426A"/>
    <w:rsid w:val="00135348"/>
    <w:rsid w:val="001406D7"/>
    <w:rsid w:val="00141B32"/>
    <w:rsid w:val="001434AC"/>
    <w:rsid w:val="00143B17"/>
    <w:rsid w:val="00146274"/>
    <w:rsid w:val="00153949"/>
    <w:rsid w:val="00153E2F"/>
    <w:rsid w:val="00160DD5"/>
    <w:rsid w:val="00162BC2"/>
    <w:rsid w:val="001652CA"/>
    <w:rsid w:val="00166112"/>
    <w:rsid w:val="001716FE"/>
    <w:rsid w:val="00172A82"/>
    <w:rsid w:val="00175FC8"/>
    <w:rsid w:val="001809E6"/>
    <w:rsid w:val="00185DCC"/>
    <w:rsid w:val="001872E8"/>
    <w:rsid w:val="00187D4F"/>
    <w:rsid w:val="00190C10"/>
    <w:rsid w:val="00191ADC"/>
    <w:rsid w:val="00196884"/>
    <w:rsid w:val="00196B78"/>
    <w:rsid w:val="00197254"/>
    <w:rsid w:val="001A7795"/>
    <w:rsid w:val="001A7CCE"/>
    <w:rsid w:val="001B2C27"/>
    <w:rsid w:val="001B2CBD"/>
    <w:rsid w:val="001B4337"/>
    <w:rsid w:val="001C28BC"/>
    <w:rsid w:val="001C31E4"/>
    <w:rsid w:val="001C435C"/>
    <w:rsid w:val="001C5A77"/>
    <w:rsid w:val="001C5CF0"/>
    <w:rsid w:val="001C63E8"/>
    <w:rsid w:val="001C700D"/>
    <w:rsid w:val="001D15FF"/>
    <w:rsid w:val="001D32BA"/>
    <w:rsid w:val="001D72E5"/>
    <w:rsid w:val="001E2B94"/>
    <w:rsid w:val="001E6383"/>
    <w:rsid w:val="001E7E37"/>
    <w:rsid w:val="001F04D7"/>
    <w:rsid w:val="001F133D"/>
    <w:rsid w:val="001F7405"/>
    <w:rsid w:val="00202833"/>
    <w:rsid w:val="00205E72"/>
    <w:rsid w:val="00210B8B"/>
    <w:rsid w:val="002174C9"/>
    <w:rsid w:val="002229A2"/>
    <w:rsid w:val="00222A48"/>
    <w:rsid w:val="00223E46"/>
    <w:rsid w:val="00236E1C"/>
    <w:rsid w:val="002406C7"/>
    <w:rsid w:val="0024221C"/>
    <w:rsid w:val="00242B8A"/>
    <w:rsid w:val="00242C3D"/>
    <w:rsid w:val="002439D7"/>
    <w:rsid w:val="00246754"/>
    <w:rsid w:val="00247DBD"/>
    <w:rsid w:val="00250F33"/>
    <w:rsid w:val="002511FA"/>
    <w:rsid w:val="002526AC"/>
    <w:rsid w:val="002562C7"/>
    <w:rsid w:val="00261D68"/>
    <w:rsid w:val="00262F6D"/>
    <w:rsid w:val="00265D63"/>
    <w:rsid w:val="00266AE6"/>
    <w:rsid w:val="002674F3"/>
    <w:rsid w:val="00271588"/>
    <w:rsid w:val="002739E3"/>
    <w:rsid w:val="00273C9E"/>
    <w:rsid w:val="00282F63"/>
    <w:rsid w:val="00284890"/>
    <w:rsid w:val="00285B69"/>
    <w:rsid w:val="002865A7"/>
    <w:rsid w:val="0029009B"/>
    <w:rsid w:val="002A096C"/>
    <w:rsid w:val="002A1BCF"/>
    <w:rsid w:val="002A26AC"/>
    <w:rsid w:val="002B1636"/>
    <w:rsid w:val="002B2DFC"/>
    <w:rsid w:val="002B382D"/>
    <w:rsid w:val="002C26C1"/>
    <w:rsid w:val="002C2C8C"/>
    <w:rsid w:val="002C2CED"/>
    <w:rsid w:val="002C2FF6"/>
    <w:rsid w:val="002C42E4"/>
    <w:rsid w:val="002D10B1"/>
    <w:rsid w:val="002D199B"/>
    <w:rsid w:val="002D4219"/>
    <w:rsid w:val="002E08AE"/>
    <w:rsid w:val="002E1323"/>
    <w:rsid w:val="002E159A"/>
    <w:rsid w:val="002E5BB6"/>
    <w:rsid w:val="002E76E4"/>
    <w:rsid w:val="002F212C"/>
    <w:rsid w:val="002F28A9"/>
    <w:rsid w:val="002F42A2"/>
    <w:rsid w:val="00301F57"/>
    <w:rsid w:val="00303C3B"/>
    <w:rsid w:val="00305E25"/>
    <w:rsid w:val="0030605A"/>
    <w:rsid w:val="00310091"/>
    <w:rsid w:val="00310596"/>
    <w:rsid w:val="0031354A"/>
    <w:rsid w:val="003147F7"/>
    <w:rsid w:val="0031621E"/>
    <w:rsid w:val="003219A3"/>
    <w:rsid w:val="00322CAF"/>
    <w:rsid w:val="00325A34"/>
    <w:rsid w:val="00332774"/>
    <w:rsid w:val="003423CE"/>
    <w:rsid w:val="00342F59"/>
    <w:rsid w:val="003433B0"/>
    <w:rsid w:val="003541E6"/>
    <w:rsid w:val="003616CE"/>
    <w:rsid w:val="0036221A"/>
    <w:rsid w:val="00363C08"/>
    <w:rsid w:val="003643B7"/>
    <w:rsid w:val="003763E3"/>
    <w:rsid w:val="00377B48"/>
    <w:rsid w:val="00383643"/>
    <w:rsid w:val="003877B8"/>
    <w:rsid w:val="0039198D"/>
    <w:rsid w:val="003946A2"/>
    <w:rsid w:val="00395BC2"/>
    <w:rsid w:val="003A6C96"/>
    <w:rsid w:val="003B19FB"/>
    <w:rsid w:val="003B5CCA"/>
    <w:rsid w:val="003B7965"/>
    <w:rsid w:val="003C4D57"/>
    <w:rsid w:val="003D044A"/>
    <w:rsid w:val="003D0468"/>
    <w:rsid w:val="003D330C"/>
    <w:rsid w:val="003D65D3"/>
    <w:rsid w:val="003D780B"/>
    <w:rsid w:val="003E076E"/>
    <w:rsid w:val="003E1847"/>
    <w:rsid w:val="003E2945"/>
    <w:rsid w:val="003E5B2E"/>
    <w:rsid w:val="003F0D8D"/>
    <w:rsid w:val="003F16BB"/>
    <w:rsid w:val="003F695A"/>
    <w:rsid w:val="004041A9"/>
    <w:rsid w:val="00410F62"/>
    <w:rsid w:val="00423491"/>
    <w:rsid w:val="00423CD7"/>
    <w:rsid w:val="00425D77"/>
    <w:rsid w:val="004324A6"/>
    <w:rsid w:val="00433956"/>
    <w:rsid w:val="00440D97"/>
    <w:rsid w:val="004412FC"/>
    <w:rsid w:val="00441AEB"/>
    <w:rsid w:val="004423D7"/>
    <w:rsid w:val="00450D8C"/>
    <w:rsid w:val="0045590C"/>
    <w:rsid w:val="004634D0"/>
    <w:rsid w:val="00463EBF"/>
    <w:rsid w:val="00464ABE"/>
    <w:rsid w:val="004671A0"/>
    <w:rsid w:val="00473F0E"/>
    <w:rsid w:val="00476878"/>
    <w:rsid w:val="004817C3"/>
    <w:rsid w:val="00483828"/>
    <w:rsid w:val="00487110"/>
    <w:rsid w:val="00493C99"/>
    <w:rsid w:val="004A3D7D"/>
    <w:rsid w:val="004A69E2"/>
    <w:rsid w:val="004B10C3"/>
    <w:rsid w:val="004B18BF"/>
    <w:rsid w:val="004B2F57"/>
    <w:rsid w:val="004B6609"/>
    <w:rsid w:val="004B6C2A"/>
    <w:rsid w:val="004B6E80"/>
    <w:rsid w:val="004C013D"/>
    <w:rsid w:val="004C2F5C"/>
    <w:rsid w:val="004C3537"/>
    <w:rsid w:val="004C4587"/>
    <w:rsid w:val="004C6EDE"/>
    <w:rsid w:val="004D0DB6"/>
    <w:rsid w:val="004D5C24"/>
    <w:rsid w:val="004D6ABE"/>
    <w:rsid w:val="004E05F4"/>
    <w:rsid w:val="004E1B05"/>
    <w:rsid w:val="004E282F"/>
    <w:rsid w:val="004F23CE"/>
    <w:rsid w:val="004F3924"/>
    <w:rsid w:val="00502785"/>
    <w:rsid w:val="00504896"/>
    <w:rsid w:val="005055DC"/>
    <w:rsid w:val="00505CB7"/>
    <w:rsid w:val="00506F21"/>
    <w:rsid w:val="00510F12"/>
    <w:rsid w:val="005226F7"/>
    <w:rsid w:val="00522E60"/>
    <w:rsid w:val="00524001"/>
    <w:rsid w:val="0052579E"/>
    <w:rsid w:val="00525935"/>
    <w:rsid w:val="00525C44"/>
    <w:rsid w:val="005311A2"/>
    <w:rsid w:val="0053311E"/>
    <w:rsid w:val="005339E1"/>
    <w:rsid w:val="00535F18"/>
    <w:rsid w:val="00541132"/>
    <w:rsid w:val="005422C9"/>
    <w:rsid w:val="00544BDE"/>
    <w:rsid w:val="00545B8C"/>
    <w:rsid w:val="00546BC0"/>
    <w:rsid w:val="005478CD"/>
    <w:rsid w:val="00553614"/>
    <w:rsid w:val="00553F8F"/>
    <w:rsid w:val="0055666D"/>
    <w:rsid w:val="0056382B"/>
    <w:rsid w:val="00571CDF"/>
    <w:rsid w:val="00573D52"/>
    <w:rsid w:val="005775B1"/>
    <w:rsid w:val="0058202D"/>
    <w:rsid w:val="00583EE7"/>
    <w:rsid w:val="00584A29"/>
    <w:rsid w:val="005859A7"/>
    <w:rsid w:val="00592976"/>
    <w:rsid w:val="00592BF2"/>
    <w:rsid w:val="005975F4"/>
    <w:rsid w:val="005B4738"/>
    <w:rsid w:val="005B4FC8"/>
    <w:rsid w:val="005B537E"/>
    <w:rsid w:val="005B598B"/>
    <w:rsid w:val="005C4258"/>
    <w:rsid w:val="005C6889"/>
    <w:rsid w:val="005C6CED"/>
    <w:rsid w:val="005C7AB0"/>
    <w:rsid w:val="005D1BAC"/>
    <w:rsid w:val="005D396D"/>
    <w:rsid w:val="005D585A"/>
    <w:rsid w:val="005D5DD8"/>
    <w:rsid w:val="005D6572"/>
    <w:rsid w:val="005D6863"/>
    <w:rsid w:val="005E3AF6"/>
    <w:rsid w:val="005F15A0"/>
    <w:rsid w:val="005F1F02"/>
    <w:rsid w:val="005F3B2E"/>
    <w:rsid w:val="005F3CB6"/>
    <w:rsid w:val="005F4EA9"/>
    <w:rsid w:val="005F5AE0"/>
    <w:rsid w:val="005F602A"/>
    <w:rsid w:val="00600820"/>
    <w:rsid w:val="006052B1"/>
    <w:rsid w:val="00605EBD"/>
    <w:rsid w:val="00616FD5"/>
    <w:rsid w:val="00617B96"/>
    <w:rsid w:val="0062133E"/>
    <w:rsid w:val="00623AD2"/>
    <w:rsid w:val="0062685D"/>
    <w:rsid w:val="00631526"/>
    <w:rsid w:val="00632712"/>
    <w:rsid w:val="00633D05"/>
    <w:rsid w:val="006439B5"/>
    <w:rsid w:val="00643D1F"/>
    <w:rsid w:val="0065007F"/>
    <w:rsid w:val="0065177A"/>
    <w:rsid w:val="006537A7"/>
    <w:rsid w:val="00663C7C"/>
    <w:rsid w:val="00663EE5"/>
    <w:rsid w:val="006678F1"/>
    <w:rsid w:val="0067121B"/>
    <w:rsid w:val="00676F7C"/>
    <w:rsid w:val="006770E4"/>
    <w:rsid w:val="006825A5"/>
    <w:rsid w:val="00682AD0"/>
    <w:rsid w:val="00682D17"/>
    <w:rsid w:val="00684C81"/>
    <w:rsid w:val="00684FE4"/>
    <w:rsid w:val="006858E4"/>
    <w:rsid w:val="00686032"/>
    <w:rsid w:val="00692582"/>
    <w:rsid w:val="00696694"/>
    <w:rsid w:val="00697823"/>
    <w:rsid w:val="006A00B7"/>
    <w:rsid w:val="006A17FF"/>
    <w:rsid w:val="006A397A"/>
    <w:rsid w:val="006A62C7"/>
    <w:rsid w:val="006B16F9"/>
    <w:rsid w:val="006B254D"/>
    <w:rsid w:val="006B5A68"/>
    <w:rsid w:val="006B79E9"/>
    <w:rsid w:val="006C0255"/>
    <w:rsid w:val="006C445C"/>
    <w:rsid w:val="006D2928"/>
    <w:rsid w:val="006D593B"/>
    <w:rsid w:val="006E3748"/>
    <w:rsid w:val="006E4B49"/>
    <w:rsid w:val="006E4FF3"/>
    <w:rsid w:val="006E50E8"/>
    <w:rsid w:val="006E5B8F"/>
    <w:rsid w:val="006F3FEB"/>
    <w:rsid w:val="007022AB"/>
    <w:rsid w:val="00703EF7"/>
    <w:rsid w:val="00714464"/>
    <w:rsid w:val="00714958"/>
    <w:rsid w:val="00717033"/>
    <w:rsid w:val="0072222E"/>
    <w:rsid w:val="00725D4B"/>
    <w:rsid w:val="007332D3"/>
    <w:rsid w:val="00734F49"/>
    <w:rsid w:val="007350D7"/>
    <w:rsid w:val="0073584B"/>
    <w:rsid w:val="00737724"/>
    <w:rsid w:val="0074301E"/>
    <w:rsid w:val="00743B37"/>
    <w:rsid w:val="00743BC6"/>
    <w:rsid w:val="007457F7"/>
    <w:rsid w:val="00746CB4"/>
    <w:rsid w:val="00750836"/>
    <w:rsid w:val="00753786"/>
    <w:rsid w:val="00755CCF"/>
    <w:rsid w:val="00755FE4"/>
    <w:rsid w:val="007566E3"/>
    <w:rsid w:val="00757068"/>
    <w:rsid w:val="00757388"/>
    <w:rsid w:val="00763218"/>
    <w:rsid w:val="007733D5"/>
    <w:rsid w:val="00773529"/>
    <w:rsid w:val="00776FBE"/>
    <w:rsid w:val="00777462"/>
    <w:rsid w:val="00780A51"/>
    <w:rsid w:val="00780ECD"/>
    <w:rsid w:val="00790ECF"/>
    <w:rsid w:val="00791D5E"/>
    <w:rsid w:val="007955AF"/>
    <w:rsid w:val="00797170"/>
    <w:rsid w:val="007A008F"/>
    <w:rsid w:val="007A1660"/>
    <w:rsid w:val="007A4B81"/>
    <w:rsid w:val="007A7C94"/>
    <w:rsid w:val="007B3DC3"/>
    <w:rsid w:val="007B7AE4"/>
    <w:rsid w:val="007C61E0"/>
    <w:rsid w:val="007D0F42"/>
    <w:rsid w:val="007D5C12"/>
    <w:rsid w:val="007D62D3"/>
    <w:rsid w:val="007E662A"/>
    <w:rsid w:val="007F1A8B"/>
    <w:rsid w:val="007F512A"/>
    <w:rsid w:val="00802D2F"/>
    <w:rsid w:val="0080459C"/>
    <w:rsid w:val="00805703"/>
    <w:rsid w:val="00811DBB"/>
    <w:rsid w:val="00813E29"/>
    <w:rsid w:val="0081595A"/>
    <w:rsid w:val="00815A74"/>
    <w:rsid w:val="008162E6"/>
    <w:rsid w:val="0081703A"/>
    <w:rsid w:val="00822A6D"/>
    <w:rsid w:val="00824301"/>
    <w:rsid w:val="0083186F"/>
    <w:rsid w:val="00835432"/>
    <w:rsid w:val="00835BB8"/>
    <w:rsid w:val="008366DE"/>
    <w:rsid w:val="0083677B"/>
    <w:rsid w:val="008377CD"/>
    <w:rsid w:val="00843629"/>
    <w:rsid w:val="00845905"/>
    <w:rsid w:val="00845D89"/>
    <w:rsid w:val="008468CB"/>
    <w:rsid w:val="00850CC8"/>
    <w:rsid w:val="00854718"/>
    <w:rsid w:val="00872DB5"/>
    <w:rsid w:val="00873E97"/>
    <w:rsid w:val="00874BF6"/>
    <w:rsid w:val="0087519D"/>
    <w:rsid w:val="008751BC"/>
    <w:rsid w:val="008778AE"/>
    <w:rsid w:val="0088067F"/>
    <w:rsid w:val="00882B1D"/>
    <w:rsid w:val="0088306D"/>
    <w:rsid w:val="008848FB"/>
    <w:rsid w:val="0088600B"/>
    <w:rsid w:val="00886DE2"/>
    <w:rsid w:val="00887F08"/>
    <w:rsid w:val="008900B8"/>
    <w:rsid w:val="008914F6"/>
    <w:rsid w:val="008919D6"/>
    <w:rsid w:val="00896BF6"/>
    <w:rsid w:val="00896CBD"/>
    <w:rsid w:val="00897136"/>
    <w:rsid w:val="008A1A64"/>
    <w:rsid w:val="008A327E"/>
    <w:rsid w:val="008A36AB"/>
    <w:rsid w:val="008A66CE"/>
    <w:rsid w:val="008A6D13"/>
    <w:rsid w:val="008B0365"/>
    <w:rsid w:val="008B17D9"/>
    <w:rsid w:val="008B5BFC"/>
    <w:rsid w:val="008B7843"/>
    <w:rsid w:val="008C3715"/>
    <w:rsid w:val="008C37BE"/>
    <w:rsid w:val="008C4302"/>
    <w:rsid w:val="008C48C8"/>
    <w:rsid w:val="008C629C"/>
    <w:rsid w:val="008D04B0"/>
    <w:rsid w:val="008D0949"/>
    <w:rsid w:val="008D1A8C"/>
    <w:rsid w:val="008D3283"/>
    <w:rsid w:val="008E05B6"/>
    <w:rsid w:val="008E4588"/>
    <w:rsid w:val="008E7CD0"/>
    <w:rsid w:val="008F605F"/>
    <w:rsid w:val="008F73B7"/>
    <w:rsid w:val="009001B8"/>
    <w:rsid w:val="00900A95"/>
    <w:rsid w:val="00901C81"/>
    <w:rsid w:val="00905AAC"/>
    <w:rsid w:val="00907B18"/>
    <w:rsid w:val="00907E97"/>
    <w:rsid w:val="00915D48"/>
    <w:rsid w:val="009171D7"/>
    <w:rsid w:val="009203C1"/>
    <w:rsid w:val="009210A5"/>
    <w:rsid w:val="00922083"/>
    <w:rsid w:val="009220BB"/>
    <w:rsid w:val="00922BE7"/>
    <w:rsid w:val="00924AE4"/>
    <w:rsid w:val="00925457"/>
    <w:rsid w:val="00926A05"/>
    <w:rsid w:val="009300E2"/>
    <w:rsid w:val="00932FEF"/>
    <w:rsid w:val="00933C71"/>
    <w:rsid w:val="009370AB"/>
    <w:rsid w:val="00942697"/>
    <w:rsid w:val="009503C1"/>
    <w:rsid w:val="009529C6"/>
    <w:rsid w:val="00961545"/>
    <w:rsid w:val="00962ADD"/>
    <w:rsid w:val="009651AB"/>
    <w:rsid w:val="009711DC"/>
    <w:rsid w:val="00985408"/>
    <w:rsid w:val="00985FBE"/>
    <w:rsid w:val="00986E8F"/>
    <w:rsid w:val="0099066A"/>
    <w:rsid w:val="00993833"/>
    <w:rsid w:val="00993B4E"/>
    <w:rsid w:val="009A227A"/>
    <w:rsid w:val="009B56C7"/>
    <w:rsid w:val="009B6978"/>
    <w:rsid w:val="009C1A55"/>
    <w:rsid w:val="009C35EE"/>
    <w:rsid w:val="009C3980"/>
    <w:rsid w:val="009C3ECD"/>
    <w:rsid w:val="009D1E28"/>
    <w:rsid w:val="009D6297"/>
    <w:rsid w:val="009D6337"/>
    <w:rsid w:val="009E27ED"/>
    <w:rsid w:val="009E4767"/>
    <w:rsid w:val="009E75FE"/>
    <w:rsid w:val="009F20DE"/>
    <w:rsid w:val="009F21A5"/>
    <w:rsid w:val="009F24E2"/>
    <w:rsid w:val="009F29F1"/>
    <w:rsid w:val="009F2B88"/>
    <w:rsid w:val="009F42E0"/>
    <w:rsid w:val="009F4406"/>
    <w:rsid w:val="00A013FC"/>
    <w:rsid w:val="00A01A04"/>
    <w:rsid w:val="00A0438D"/>
    <w:rsid w:val="00A206E8"/>
    <w:rsid w:val="00A21516"/>
    <w:rsid w:val="00A21E80"/>
    <w:rsid w:val="00A22835"/>
    <w:rsid w:val="00A23E1F"/>
    <w:rsid w:val="00A267A5"/>
    <w:rsid w:val="00A30D75"/>
    <w:rsid w:val="00A31600"/>
    <w:rsid w:val="00A31FC7"/>
    <w:rsid w:val="00A33A50"/>
    <w:rsid w:val="00A33CAA"/>
    <w:rsid w:val="00A3484B"/>
    <w:rsid w:val="00A36017"/>
    <w:rsid w:val="00A3733F"/>
    <w:rsid w:val="00A43172"/>
    <w:rsid w:val="00A46053"/>
    <w:rsid w:val="00A54335"/>
    <w:rsid w:val="00A56B8A"/>
    <w:rsid w:val="00A57D49"/>
    <w:rsid w:val="00A65C38"/>
    <w:rsid w:val="00A662C2"/>
    <w:rsid w:val="00A67D3A"/>
    <w:rsid w:val="00A759AD"/>
    <w:rsid w:val="00A80309"/>
    <w:rsid w:val="00A812CA"/>
    <w:rsid w:val="00A81A1C"/>
    <w:rsid w:val="00A824E8"/>
    <w:rsid w:val="00A86B86"/>
    <w:rsid w:val="00A90A14"/>
    <w:rsid w:val="00A94129"/>
    <w:rsid w:val="00A94B75"/>
    <w:rsid w:val="00A95534"/>
    <w:rsid w:val="00A96669"/>
    <w:rsid w:val="00AA0B1A"/>
    <w:rsid w:val="00AA1573"/>
    <w:rsid w:val="00AA34C7"/>
    <w:rsid w:val="00AA4E1A"/>
    <w:rsid w:val="00AA6912"/>
    <w:rsid w:val="00AA6BF5"/>
    <w:rsid w:val="00AA6E75"/>
    <w:rsid w:val="00AA73B7"/>
    <w:rsid w:val="00AB03D1"/>
    <w:rsid w:val="00AB06C8"/>
    <w:rsid w:val="00AB3100"/>
    <w:rsid w:val="00AB3D87"/>
    <w:rsid w:val="00AB61A0"/>
    <w:rsid w:val="00AC1B03"/>
    <w:rsid w:val="00AC3892"/>
    <w:rsid w:val="00AC38A6"/>
    <w:rsid w:val="00AC39D5"/>
    <w:rsid w:val="00AD203B"/>
    <w:rsid w:val="00AD3FB6"/>
    <w:rsid w:val="00AE4174"/>
    <w:rsid w:val="00AF10E7"/>
    <w:rsid w:val="00B005BD"/>
    <w:rsid w:val="00B01AE6"/>
    <w:rsid w:val="00B0291B"/>
    <w:rsid w:val="00B0581B"/>
    <w:rsid w:val="00B076E9"/>
    <w:rsid w:val="00B07AE2"/>
    <w:rsid w:val="00B1082C"/>
    <w:rsid w:val="00B10CDE"/>
    <w:rsid w:val="00B145BA"/>
    <w:rsid w:val="00B20712"/>
    <w:rsid w:val="00B2100F"/>
    <w:rsid w:val="00B22AF8"/>
    <w:rsid w:val="00B22BE4"/>
    <w:rsid w:val="00B23917"/>
    <w:rsid w:val="00B27835"/>
    <w:rsid w:val="00B34385"/>
    <w:rsid w:val="00B37428"/>
    <w:rsid w:val="00B37862"/>
    <w:rsid w:val="00B37A4C"/>
    <w:rsid w:val="00B422C1"/>
    <w:rsid w:val="00B43AE7"/>
    <w:rsid w:val="00B445EB"/>
    <w:rsid w:val="00B44D92"/>
    <w:rsid w:val="00B51544"/>
    <w:rsid w:val="00B52A4E"/>
    <w:rsid w:val="00B52BF4"/>
    <w:rsid w:val="00B606A4"/>
    <w:rsid w:val="00B624DF"/>
    <w:rsid w:val="00B63440"/>
    <w:rsid w:val="00B655D8"/>
    <w:rsid w:val="00B6587A"/>
    <w:rsid w:val="00B66909"/>
    <w:rsid w:val="00B71A64"/>
    <w:rsid w:val="00B72138"/>
    <w:rsid w:val="00B72B22"/>
    <w:rsid w:val="00B7667F"/>
    <w:rsid w:val="00B77250"/>
    <w:rsid w:val="00B846C0"/>
    <w:rsid w:val="00B8540D"/>
    <w:rsid w:val="00B8645D"/>
    <w:rsid w:val="00B865EF"/>
    <w:rsid w:val="00B92AC8"/>
    <w:rsid w:val="00B92F4F"/>
    <w:rsid w:val="00B95925"/>
    <w:rsid w:val="00B95AF8"/>
    <w:rsid w:val="00BA22F6"/>
    <w:rsid w:val="00BB07DE"/>
    <w:rsid w:val="00BB0F45"/>
    <w:rsid w:val="00BB4B96"/>
    <w:rsid w:val="00BC4588"/>
    <w:rsid w:val="00BC45AB"/>
    <w:rsid w:val="00BC7556"/>
    <w:rsid w:val="00BD11B6"/>
    <w:rsid w:val="00BD7D1C"/>
    <w:rsid w:val="00BE5291"/>
    <w:rsid w:val="00BF399F"/>
    <w:rsid w:val="00C005FD"/>
    <w:rsid w:val="00C03138"/>
    <w:rsid w:val="00C13581"/>
    <w:rsid w:val="00C21188"/>
    <w:rsid w:val="00C22BBE"/>
    <w:rsid w:val="00C22DED"/>
    <w:rsid w:val="00C25B47"/>
    <w:rsid w:val="00C260CC"/>
    <w:rsid w:val="00C31413"/>
    <w:rsid w:val="00C350A1"/>
    <w:rsid w:val="00C4144B"/>
    <w:rsid w:val="00C42A96"/>
    <w:rsid w:val="00C43C92"/>
    <w:rsid w:val="00C47F83"/>
    <w:rsid w:val="00C50D94"/>
    <w:rsid w:val="00C5113D"/>
    <w:rsid w:val="00C5421F"/>
    <w:rsid w:val="00C6331F"/>
    <w:rsid w:val="00C658B1"/>
    <w:rsid w:val="00C6743B"/>
    <w:rsid w:val="00C74FB7"/>
    <w:rsid w:val="00C85F77"/>
    <w:rsid w:val="00C866EB"/>
    <w:rsid w:val="00C8786B"/>
    <w:rsid w:val="00C878E6"/>
    <w:rsid w:val="00C91113"/>
    <w:rsid w:val="00C91B41"/>
    <w:rsid w:val="00C91D15"/>
    <w:rsid w:val="00C9250A"/>
    <w:rsid w:val="00C96C1A"/>
    <w:rsid w:val="00CA59FB"/>
    <w:rsid w:val="00CA7276"/>
    <w:rsid w:val="00CB01AB"/>
    <w:rsid w:val="00CB0C13"/>
    <w:rsid w:val="00CB1209"/>
    <w:rsid w:val="00CB22D4"/>
    <w:rsid w:val="00CB2DEB"/>
    <w:rsid w:val="00CB590B"/>
    <w:rsid w:val="00CB5A4E"/>
    <w:rsid w:val="00CB5DF6"/>
    <w:rsid w:val="00CC1D08"/>
    <w:rsid w:val="00CC5907"/>
    <w:rsid w:val="00CC6670"/>
    <w:rsid w:val="00CC7260"/>
    <w:rsid w:val="00CC7B54"/>
    <w:rsid w:val="00CD16AA"/>
    <w:rsid w:val="00CD17C8"/>
    <w:rsid w:val="00CD1E8B"/>
    <w:rsid w:val="00CD43C5"/>
    <w:rsid w:val="00CE0587"/>
    <w:rsid w:val="00CE0645"/>
    <w:rsid w:val="00CE2BFA"/>
    <w:rsid w:val="00CF33BA"/>
    <w:rsid w:val="00CF75C1"/>
    <w:rsid w:val="00D016E9"/>
    <w:rsid w:val="00D11C4A"/>
    <w:rsid w:val="00D138A7"/>
    <w:rsid w:val="00D178E0"/>
    <w:rsid w:val="00D20219"/>
    <w:rsid w:val="00D32B1B"/>
    <w:rsid w:val="00D34418"/>
    <w:rsid w:val="00D47B94"/>
    <w:rsid w:val="00D504EC"/>
    <w:rsid w:val="00D52776"/>
    <w:rsid w:val="00D542B7"/>
    <w:rsid w:val="00D56265"/>
    <w:rsid w:val="00D56D2E"/>
    <w:rsid w:val="00D62D20"/>
    <w:rsid w:val="00D63643"/>
    <w:rsid w:val="00D75DDF"/>
    <w:rsid w:val="00D80D8E"/>
    <w:rsid w:val="00D812FF"/>
    <w:rsid w:val="00D84CF5"/>
    <w:rsid w:val="00D8779B"/>
    <w:rsid w:val="00D87E37"/>
    <w:rsid w:val="00D91A0F"/>
    <w:rsid w:val="00D9451D"/>
    <w:rsid w:val="00D9461B"/>
    <w:rsid w:val="00D94623"/>
    <w:rsid w:val="00D95FAE"/>
    <w:rsid w:val="00D966FC"/>
    <w:rsid w:val="00D97496"/>
    <w:rsid w:val="00DA11E1"/>
    <w:rsid w:val="00DA1398"/>
    <w:rsid w:val="00DA149E"/>
    <w:rsid w:val="00DA72A4"/>
    <w:rsid w:val="00DA7501"/>
    <w:rsid w:val="00DB1FE0"/>
    <w:rsid w:val="00DB7F6F"/>
    <w:rsid w:val="00DC50D7"/>
    <w:rsid w:val="00DD2608"/>
    <w:rsid w:val="00DD7FF3"/>
    <w:rsid w:val="00DE21AD"/>
    <w:rsid w:val="00DE300E"/>
    <w:rsid w:val="00DE4160"/>
    <w:rsid w:val="00DF2E10"/>
    <w:rsid w:val="00DF627F"/>
    <w:rsid w:val="00E067A7"/>
    <w:rsid w:val="00E14843"/>
    <w:rsid w:val="00E20F50"/>
    <w:rsid w:val="00E22A41"/>
    <w:rsid w:val="00E24ADA"/>
    <w:rsid w:val="00E3273B"/>
    <w:rsid w:val="00E37190"/>
    <w:rsid w:val="00E42600"/>
    <w:rsid w:val="00E5013F"/>
    <w:rsid w:val="00E514AE"/>
    <w:rsid w:val="00E62416"/>
    <w:rsid w:val="00E66321"/>
    <w:rsid w:val="00E71D3E"/>
    <w:rsid w:val="00E73063"/>
    <w:rsid w:val="00E75FA9"/>
    <w:rsid w:val="00E766A6"/>
    <w:rsid w:val="00E84028"/>
    <w:rsid w:val="00E9177A"/>
    <w:rsid w:val="00E95723"/>
    <w:rsid w:val="00E95EA6"/>
    <w:rsid w:val="00E97811"/>
    <w:rsid w:val="00EA2299"/>
    <w:rsid w:val="00EA3B0E"/>
    <w:rsid w:val="00EA5690"/>
    <w:rsid w:val="00EA6BC9"/>
    <w:rsid w:val="00EA7471"/>
    <w:rsid w:val="00EB050B"/>
    <w:rsid w:val="00EB07FF"/>
    <w:rsid w:val="00EC21E4"/>
    <w:rsid w:val="00EC454E"/>
    <w:rsid w:val="00EC4E93"/>
    <w:rsid w:val="00EC584B"/>
    <w:rsid w:val="00EC5885"/>
    <w:rsid w:val="00EC6E9E"/>
    <w:rsid w:val="00ED7309"/>
    <w:rsid w:val="00EE0CEC"/>
    <w:rsid w:val="00EE34B9"/>
    <w:rsid w:val="00EE38E8"/>
    <w:rsid w:val="00EE5082"/>
    <w:rsid w:val="00EE566E"/>
    <w:rsid w:val="00EF090E"/>
    <w:rsid w:val="00EF5371"/>
    <w:rsid w:val="00EF6B62"/>
    <w:rsid w:val="00EF70E6"/>
    <w:rsid w:val="00F002A5"/>
    <w:rsid w:val="00F04182"/>
    <w:rsid w:val="00F0620E"/>
    <w:rsid w:val="00F06285"/>
    <w:rsid w:val="00F06663"/>
    <w:rsid w:val="00F226BE"/>
    <w:rsid w:val="00F233A8"/>
    <w:rsid w:val="00F24047"/>
    <w:rsid w:val="00F26086"/>
    <w:rsid w:val="00F33395"/>
    <w:rsid w:val="00F36B64"/>
    <w:rsid w:val="00F42EBC"/>
    <w:rsid w:val="00F4687A"/>
    <w:rsid w:val="00F469A4"/>
    <w:rsid w:val="00F56FBF"/>
    <w:rsid w:val="00F57AAA"/>
    <w:rsid w:val="00F600CA"/>
    <w:rsid w:val="00F61F71"/>
    <w:rsid w:val="00F62974"/>
    <w:rsid w:val="00F642B7"/>
    <w:rsid w:val="00F65FD5"/>
    <w:rsid w:val="00F663EF"/>
    <w:rsid w:val="00F66C2B"/>
    <w:rsid w:val="00F67201"/>
    <w:rsid w:val="00F67355"/>
    <w:rsid w:val="00F70701"/>
    <w:rsid w:val="00F71EBF"/>
    <w:rsid w:val="00F745E2"/>
    <w:rsid w:val="00F748C7"/>
    <w:rsid w:val="00F77FBF"/>
    <w:rsid w:val="00F828AC"/>
    <w:rsid w:val="00F84B1F"/>
    <w:rsid w:val="00F85214"/>
    <w:rsid w:val="00F8688A"/>
    <w:rsid w:val="00F939DA"/>
    <w:rsid w:val="00F95F3C"/>
    <w:rsid w:val="00F97D3E"/>
    <w:rsid w:val="00F97FC9"/>
    <w:rsid w:val="00FA094D"/>
    <w:rsid w:val="00FB095A"/>
    <w:rsid w:val="00FB21E7"/>
    <w:rsid w:val="00FB318D"/>
    <w:rsid w:val="00FB402A"/>
    <w:rsid w:val="00FC1031"/>
    <w:rsid w:val="00FC489E"/>
    <w:rsid w:val="00FC5652"/>
    <w:rsid w:val="00FC663A"/>
    <w:rsid w:val="00FC78BF"/>
    <w:rsid w:val="00FD0349"/>
    <w:rsid w:val="00FD59C8"/>
    <w:rsid w:val="00FE2539"/>
    <w:rsid w:val="00FE4A26"/>
    <w:rsid w:val="00FE54AD"/>
    <w:rsid w:val="00FF1DC8"/>
    <w:rsid w:val="00FF424E"/>
    <w:rsid w:val="00FF7677"/>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6166E"/>
  <w15:chartTrackingRefBased/>
  <w15:docId w15:val="{D12E38BC-8265-4567-A67B-98FF9D7E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B6"/>
    <w:pPr>
      <w:spacing w:line="240" w:lineRule="atLeast"/>
    </w:pPr>
    <w:rPr>
      <w:rFonts w:cstheme="minorHAnsi"/>
    </w:rPr>
  </w:style>
  <w:style w:type="paragraph" w:styleId="Heading1">
    <w:name w:val="heading 1"/>
    <w:aliases w:val="H1-Sec.Head"/>
    <w:basedOn w:val="Normal"/>
    <w:next w:val="Normal"/>
    <w:link w:val="Heading1Char"/>
    <w:uiPriority w:val="99"/>
    <w:qFormat/>
    <w:rsid w:val="00933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1E80"/>
    <w:pPr>
      <w:keepNext/>
      <w:outlineLvl w:val="1"/>
    </w:pPr>
    <w:rPr>
      <w:b/>
    </w:rPr>
  </w:style>
  <w:style w:type="paragraph" w:styleId="Heading3">
    <w:name w:val="heading 3"/>
    <w:basedOn w:val="Normal"/>
    <w:next w:val="Normal"/>
    <w:link w:val="Heading3Char"/>
    <w:uiPriority w:val="9"/>
    <w:unhideWhenUsed/>
    <w:qFormat/>
    <w:rsid w:val="00423CD7"/>
    <w:pPr>
      <w:keepNext/>
      <w:ind w:left="806" w:hanging="806"/>
      <w:outlineLvl w:val="2"/>
    </w:pPr>
    <w:rPr>
      <w:b/>
    </w:rPr>
  </w:style>
  <w:style w:type="paragraph" w:styleId="Heading6">
    <w:name w:val="heading 6"/>
    <w:basedOn w:val="Normal"/>
    <w:next w:val="Normal"/>
    <w:link w:val="Heading6Char"/>
    <w:uiPriority w:val="9"/>
    <w:semiHidden/>
    <w:unhideWhenUsed/>
    <w:qFormat/>
    <w:rsid w:val="0019725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26A"/>
    <w:rPr>
      <w:sz w:val="16"/>
      <w:szCs w:val="16"/>
    </w:rPr>
  </w:style>
  <w:style w:type="paragraph" w:styleId="CommentText">
    <w:name w:val="annotation text"/>
    <w:basedOn w:val="Normal"/>
    <w:link w:val="CommentTextChar"/>
    <w:uiPriority w:val="99"/>
    <w:unhideWhenUsed/>
    <w:rsid w:val="0013426A"/>
    <w:pPr>
      <w:spacing w:line="240" w:lineRule="auto"/>
    </w:pPr>
    <w:rPr>
      <w:sz w:val="20"/>
      <w:szCs w:val="20"/>
    </w:rPr>
  </w:style>
  <w:style w:type="character" w:customStyle="1" w:styleId="CommentTextChar">
    <w:name w:val="Comment Text Char"/>
    <w:basedOn w:val="DefaultParagraphFont"/>
    <w:link w:val="CommentText"/>
    <w:uiPriority w:val="99"/>
    <w:rsid w:val="0013426A"/>
    <w:rPr>
      <w:sz w:val="20"/>
      <w:szCs w:val="20"/>
    </w:rPr>
  </w:style>
  <w:style w:type="paragraph" w:styleId="BalloonText">
    <w:name w:val="Balloon Text"/>
    <w:basedOn w:val="Normal"/>
    <w:link w:val="BalloonTextChar"/>
    <w:uiPriority w:val="99"/>
    <w:semiHidden/>
    <w:unhideWhenUsed/>
    <w:rsid w:val="00134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6A"/>
    <w:rPr>
      <w:rFonts w:ascii="Segoe UI" w:hAnsi="Segoe UI" w:cs="Segoe UI"/>
      <w:sz w:val="18"/>
      <w:szCs w:val="18"/>
    </w:rPr>
  </w:style>
  <w:style w:type="paragraph" w:styleId="ListParagraph">
    <w:name w:val="List Paragraph"/>
    <w:basedOn w:val="Normal"/>
    <w:uiPriority w:val="34"/>
    <w:qFormat/>
    <w:rsid w:val="0013426A"/>
    <w:pPr>
      <w:ind w:left="720"/>
      <w:contextualSpacing/>
    </w:pPr>
  </w:style>
  <w:style w:type="character" w:customStyle="1" w:styleId="Heading2Char">
    <w:name w:val="Heading 2 Char"/>
    <w:basedOn w:val="DefaultParagraphFont"/>
    <w:link w:val="Heading2"/>
    <w:uiPriority w:val="9"/>
    <w:rsid w:val="00A21E80"/>
    <w:rPr>
      <w:rFonts w:cstheme="minorHAnsi"/>
      <w:b/>
    </w:rPr>
  </w:style>
  <w:style w:type="character" w:styleId="Strong">
    <w:name w:val="Strong"/>
    <w:basedOn w:val="DefaultParagraphFont"/>
    <w:uiPriority w:val="22"/>
    <w:qFormat/>
    <w:rsid w:val="0013426A"/>
    <w:rPr>
      <w:b/>
      <w:bCs/>
    </w:rPr>
  </w:style>
  <w:style w:type="paragraph" w:customStyle="1" w:styleId="NormalSS">
    <w:name w:val="NormalSS"/>
    <w:basedOn w:val="Normal"/>
    <w:link w:val="NormalSSChar"/>
    <w:qFormat/>
    <w:rsid w:val="0013426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13426A"/>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13426A"/>
    <w:pPr>
      <w:spacing w:after="120" w:line="240" w:lineRule="auto"/>
      <w:ind w:left="720" w:hanging="720"/>
      <w:outlineLvl w:val="2"/>
    </w:pPr>
    <w:rPr>
      <w:rFonts w:ascii="Arial Black" w:eastAsia="Times New Roman" w:hAnsi="Arial Black" w:cs="Times New Roman"/>
      <w:szCs w:val="20"/>
    </w:rPr>
  </w:style>
  <w:style w:type="character" w:customStyle="1" w:styleId="H3AlphaChar">
    <w:name w:val="H3_Alpha Char"/>
    <w:basedOn w:val="Heading2Char"/>
    <w:link w:val="H3Alpha"/>
    <w:rsid w:val="0013426A"/>
    <w:rPr>
      <w:rFonts w:ascii="Arial Black" w:eastAsia="Times New Roman" w:hAnsi="Arial Black" w:cs="Times New Roman"/>
      <w:b/>
      <w:color w:val="365F91" w:themeColor="accent1" w:themeShade="BF"/>
      <w:sz w:val="26"/>
      <w:szCs w:val="20"/>
    </w:rPr>
  </w:style>
  <w:style w:type="paragraph" w:styleId="Title">
    <w:name w:val="Title"/>
    <w:basedOn w:val="Normal"/>
    <w:link w:val="TitleChar"/>
    <w:qFormat/>
    <w:rsid w:val="0013426A"/>
    <w:pPr>
      <w:widowControl w:val="0"/>
      <w:spacing w:after="240" w:line="240" w:lineRule="auto"/>
      <w:jc w:val="center"/>
    </w:pPr>
    <w:rPr>
      <w:rFonts w:ascii="Calibri" w:eastAsia="Times New Roman" w:hAnsi="Calibri" w:cs="Times New Roman"/>
      <w:b/>
      <w:color w:val="003C79"/>
      <w:sz w:val="32"/>
      <w:szCs w:val="20"/>
    </w:rPr>
  </w:style>
  <w:style w:type="character" w:customStyle="1" w:styleId="TitleChar">
    <w:name w:val="Title Char"/>
    <w:basedOn w:val="DefaultParagraphFont"/>
    <w:link w:val="Title"/>
    <w:rsid w:val="0013426A"/>
    <w:rPr>
      <w:rFonts w:ascii="Calibri" w:eastAsia="Times New Roman" w:hAnsi="Calibri" w:cs="Times New Roman"/>
      <w:b/>
      <w:color w:val="003C79"/>
      <w:sz w:val="32"/>
      <w:szCs w:val="20"/>
    </w:rPr>
  </w:style>
  <w:style w:type="paragraph" w:styleId="CommentSubject">
    <w:name w:val="annotation subject"/>
    <w:basedOn w:val="CommentText"/>
    <w:next w:val="CommentText"/>
    <w:link w:val="CommentSubjectChar"/>
    <w:uiPriority w:val="99"/>
    <w:semiHidden/>
    <w:unhideWhenUsed/>
    <w:rsid w:val="000A098D"/>
    <w:rPr>
      <w:b/>
      <w:bCs/>
    </w:rPr>
  </w:style>
  <w:style w:type="character" w:customStyle="1" w:styleId="CommentSubjectChar">
    <w:name w:val="Comment Subject Char"/>
    <w:basedOn w:val="CommentTextChar"/>
    <w:link w:val="CommentSubject"/>
    <w:uiPriority w:val="99"/>
    <w:semiHidden/>
    <w:rsid w:val="000A098D"/>
    <w:rPr>
      <w:b/>
      <w:bCs/>
      <w:sz w:val="20"/>
      <w:szCs w:val="20"/>
    </w:rPr>
  </w:style>
  <w:style w:type="character" w:customStyle="1" w:styleId="Heading1Char">
    <w:name w:val="Heading 1 Char"/>
    <w:aliases w:val="H1-Sec.Head Char"/>
    <w:basedOn w:val="DefaultParagraphFont"/>
    <w:link w:val="Heading1"/>
    <w:uiPriority w:val="99"/>
    <w:rsid w:val="00933C7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rsid w:val="000B6BA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0B6BAD"/>
    <w:rPr>
      <w:rFonts w:ascii="Times New Roman" w:eastAsia="Times New Roman" w:hAnsi="Times New Roman" w:cs="Times New Roman"/>
      <w:szCs w:val="20"/>
    </w:rPr>
  </w:style>
  <w:style w:type="table" w:styleId="TableGrid">
    <w:name w:val="Table Grid"/>
    <w:basedOn w:val="TableNormal"/>
    <w:uiPriority w:val="59"/>
    <w:rsid w:val="00AA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6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1-1stBullet">
    <w:name w:val="N1-1st Bullet"/>
    <w:basedOn w:val="Normal"/>
    <w:rsid w:val="00E514AE"/>
    <w:pPr>
      <w:numPr>
        <w:numId w:val="14"/>
      </w:numPr>
      <w:tabs>
        <w:tab w:val="clear" w:pos="1152"/>
        <w:tab w:val="num" w:pos="720"/>
      </w:tabs>
      <w:spacing w:after="120"/>
      <w:ind w:left="720" w:hanging="360"/>
    </w:pPr>
    <w:rPr>
      <w:rFonts w:eastAsia="Times New Roman"/>
    </w:rPr>
  </w:style>
  <w:style w:type="paragraph" w:customStyle="1" w:styleId="ExhibitText">
    <w:name w:val="Exhibit Text"/>
    <w:basedOn w:val="Normal"/>
    <w:qFormat/>
    <w:rsid w:val="00583EE7"/>
    <w:pPr>
      <w:spacing w:before="40" w:after="40" w:line="264" w:lineRule="auto"/>
    </w:pPr>
    <w:rPr>
      <w:rFonts w:ascii="Arial" w:eastAsia="Times New Roman" w:hAnsi="Arial" w:cs="Arial"/>
      <w:bCs/>
      <w:color w:val="000000"/>
      <w:sz w:val="20"/>
      <w:szCs w:val="24"/>
    </w:rPr>
  </w:style>
  <w:style w:type="paragraph" w:customStyle="1" w:styleId="ExhibitColumnHeader">
    <w:name w:val="Exhibit Column Header"/>
    <w:basedOn w:val="Normal"/>
    <w:qFormat/>
    <w:rsid w:val="00583EE7"/>
    <w:pPr>
      <w:spacing w:before="20" w:after="20" w:line="240" w:lineRule="auto"/>
    </w:pPr>
    <w:rPr>
      <w:rFonts w:ascii="Arial" w:eastAsia="Times New Roman" w:hAnsi="Arial" w:cs="Arial"/>
      <w:b/>
      <w:color w:val="000000" w:themeColor="text1"/>
      <w:sz w:val="20"/>
      <w:szCs w:val="24"/>
    </w:rPr>
  </w:style>
  <w:style w:type="character" w:styleId="Hyperlink">
    <w:name w:val="Hyperlink"/>
    <w:basedOn w:val="DefaultParagraphFont"/>
    <w:uiPriority w:val="99"/>
    <w:rsid w:val="00583EE7"/>
    <w:rPr>
      <w:color w:val="0000FF"/>
      <w:u w:val="single"/>
    </w:rPr>
  </w:style>
  <w:style w:type="character" w:styleId="FollowedHyperlink">
    <w:name w:val="FollowedHyperlink"/>
    <w:basedOn w:val="DefaultParagraphFont"/>
    <w:uiPriority w:val="99"/>
    <w:semiHidden/>
    <w:unhideWhenUsed/>
    <w:rsid w:val="00583EE7"/>
    <w:rPr>
      <w:color w:val="800080" w:themeColor="followedHyperlink"/>
      <w:u w:val="single"/>
    </w:rPr>
  </w:style>
  <w:style w:type="paragraph" w:styleId="Header">
    <w:name w:val="header"/>
    <w:basedOn w:val="Normal"/>
    <w:link w:val="HeaderChar"/>
    <w:uiPriority w:val="99"/>
    <w:unhideWhenUsed/>
    <w:rsid w:val="0020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33"/>
  </w:style>
  <w:style w:type="paragraph" w:styleId="Footer">
    <w:name w:val="footer"/>
    <w:basedOn w:val="Normal"/>
    <w:link w:val="FooterChar"/>
    <w:uiPriority w:val="99"/>
    <w:unhideWhenUsed/>
    <w:rsid w:val="0020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33"/>
  </w:style>
  <w:style w:type="paragraph" w:customStyle="1" w:styleId="SL-FlLftSgl">
    <w:name w:val="SL-Fl Lft Sgl"/>
    <w:rsid w:val="003D044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ReportCover-Prepared">
    <w:name w:val="ReportCover-Prepared"/>
    <w:basedOn w:val="Normal"/>
    <w:rsid w:val="00684C81"/>
    <w:pPr>
      <w:spacing w:after="0" w:line="260" w:lineRule="exact"/>
    </w:pPr>
    <w:rPr>
      <w:rFonts w:ascii="Franklin Gothic Medium" w:eastAsia="Times New Roman" w:hAnsi="Franklin Gothic Medium" w:cs="Times New Roman"/>
      <w:color w:val="003C79"/>
      <w:sz w:val="20"/>
      <w:szCs w:val="20"/>
    </w:rPr>
  </w:style>
  <w:style w:type="paragraph" w:customStyle="1" w:styleId="ReportCover-Subtitle">
    <w:name w:val="ReportCover-Subtitle"/>
    <w:basedOn w:val="Normal"/>
    <w:rsid w:val="00684C81"/>
    <w:pPr>
      <w:spacing w:before="360" w:after="0" w:line="340" w:lineRule="exact"/>
    </w:pPr>
    <w:rPr>
      <w:rFonts w:ascii="Franklin Gothic Medium" w:eastAsia="Times New Roman" w:hAnsi="Franklin Gothic Medium" w:cs="Times New Roman"/>
      <w:b/>
      <w:color w:val="003C79"/>
      <w:sz w:val="32"/>
      <w:szCs w:val="40"/>
    </w:rPr>
  </w:style>
  <w:style w:type="paragraph" w:styleId="FootnoteText">
    <w:name w:val="footnote text"/>
    <w:aliases w:val="F1"/>
    <w:basedOn w:val="Normal"/>
    <w:link w:val="FootnoteTextChar"/>
    <w:uiPriority w:val="99"/>
    <w:unhideWhenUsed/>
    <w:rsid w:val="0031621E"/>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1621E"/>
    <w:rPr>
      <w:sz w:val="20"/>
      <w:szCs w:val="20"/>
    </w:rPr>
  </w:style>
  <w:style w:type="character" w:styleId="FootnoteReference">
    <w:name w:val="footnote reference"/>
    <w:basedOn w:val="DefaultParagraphFont"/>
    <w:uiPriority w:val="99"/>
    <w:semiHidden/>
    <w:unhideWhenUsed/>
    <w:rsid w:val="0031621E"/>
    <w:rPr>
      <w:vertAlign w:val="superscript"/>
    </w:rPr>
  </w:style>
  <w:style w:type="paragraph" w:customStyle="1" w:styleId="N0-FlLftBullet">
    <w:name w:val="N0-Fl Lft Bullet"/>
    <w:basedOn w:val="Normal"/>
    <w:rsid w:val="00942697"/>
    <w:pPr>
      <w:tabs>
        <w:tab w:val="left" w:pos="576"/>
      </w:tabs>
      <w:spacing w:after="240"/>
      <w:ind w:left="576" w:hanging="576"/>
    </w:pPr>
    <w:rPr>
      <w:rFonts w:ascii="Garamond" w:eastAsia="Times New Roman" w:hAnsi="Garamond" w:cs="Times New Roman"/>
      <w:sz w:val="24"/>
      <w:szCs w:val="20"/>
    </w:rPr>
  </w:style>
  <w:style w:type="paragraph" w:customStyle="1" w:styleId="L1-FlLSp12">
    <w:name w:val="L1-FlL Sp&amp;1/2"/>
    <w:basedOn w:val="Normal"/>
    <w:link w:val="L1-FlLSp12Char"/>
    <w:rsid w:val="001434AC"/>
    <w:pPr>
      <w:tabs>
        <w:tab w:val="left" w:pos="1152"/>
      </w:tabs>
      <w:spacing w:after="240" w:line="360" w:lineRule="auto"/>
    </w:pPr>
    <w:rPr>
      <w:rFonts w:ascii="Garamond" w:eastAsia="Times New Roman" w:hAnsi="Garamond" w:cs="Times New Roman"/>
      <w:sz w:val="24"/>
      <w:szCs w:val="20"/>
    </w:rPr>
  </w:style>
  <w:style w:type="paragraph" w:customStyle="1" w:styleId="P1-StandPara">
    <w:name w:val="P1-Stand Para"/>
    <w:basedOn w:val="Normal"/>
    <w:rsid w:val="00922083"/>
    <w:pPr>
      <w:spacing w:after="0" w:line="480" w:lineRule="auto"/>
      <w:ind w:firstLine="576"/>
    </w:pPr>
    <w:rPr>
      <w:rFonts w:ascii="Garamond" w:eastAsia="Times New Roman" w:hAnsi="Garamond" w:cs="Times New Roman"/>
      <w:sz w:val="24"/>
      <w:szCs w:val="20"/>
    </w:rPr>
  </w:style>
  <w:style w:type="paragraph" w:customStyle="1" w:styleId="TB-TableBullet">
    <w:name w:val="TB-Table Bullet"/>
    <w:basedOn w:val="TX-TableText"/>
    <w:qFormat/>
    <w:rsid w:val="00D75DDF"/>
    <w:pPr>
      <w:numPr>
        <w:numId w:val="22"/>
      </w:numPr>
      <w:ind w:left="288" w:hanging="288"/>
    </w:pPr>
  </w:style>
  <w:style w:type="paragraph" w:customStyle="1" w:styleId="TX-TableText">
    <w:name w:val="TX-Table Text"/>
    <w:rsid w:val="00D75DDF"/>
    <w:pPr>
      <w:spacing w:after="0" w:line="240" w:lineRule="auto"/>
    </w:pPr>
    <w:rPr>
      <w:rFonts w:ascii="Franklin Gothic Medium" w:eastAsia="Times New Roman" w:hAnsi="Franklin Gothic Medium" w:cs="Times New Roman"/>
      <w:sz w:val="20"/>
      <w:szCs w:val="20"/>
    </w:rPr>
  </w:style>
  <w:style w:type="character" w:customStyle="1" w:styleId="L1-FlLSp12Char">
    <w:name w:val="L1-FlL Sp&amp;1/2 Char"/>
    <w:basedOn w:val="DefaultParagraphFont"/>
    <w:link w:val="L1-FlLSp12"/>
    <w:uiPriority w:val="99"/>
    <w:rsid w:val="00205E72"/>
    <w:rPr>
      <w:rFonts w:ascii="Garamond" w:eastAsia="Times New Roman" w:hAnsi="Garamond" w:cs="Times New Roman"/>
      <w:sz w:val="24"/>
      <w:szCs w:val="20"/>
    </w:rPr>
  </w:style>
  <w:style w:type="character" w:customStyle="1" w:styleId="medium-normal">
    <w:name w:val="medium-normal"/>
    <w:basedOn w:val="DefaultParagraphFont"/>
    <w:rsid w:val="00C350A1"/>
  </w:style>
  <w:style w:type="paragraph" w:styleId="NormalWeb">
    <w:name w:val="Normal (Web)"/>
    <w:basedOn w:val="Normal"/>
    <w:uiPriority w:val="99"/>
    <w:unhideWhenUsed/>
    <w:rsid w:val="00C350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0A1"/>
    <w:rPr>
      <w:i/>
      <w:iCs/>
    </w:rPr>
  </w:style>
  <w:style w:type="paragraph" w:styleId="PlainText">
    <w:name w:val="Plain Text"/>
    <w:basedOn w:val="Normal"/>
    <w:link w:val="PlainTextChar"/>
    <w:uiPriority w:val="99"/>
    <w:semiHidden/>
    <w:unhideWhenUsed/>
    <w:rsid w:val="00C350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50A1"/>
    <w:rPr>
      <w:rFonts w:ascii="Consolas" w:hAnsi="Consolas"/>
      <w:sz w:val="21"/>
      <w:szCs w:val="21"/>
    </w:rPr>
  </w:style>
  <w:style w:type="paragraph" w:customStyle="1" w:styleId="bodytext0">
    <w:name w:val="bodytext"/>
    <w:basedOn w:val="Normal"/>
    <w:rsid w:val="00C350A1"/>
    <w:pPr>
      <w:spacing w:before="100" w:beforeAutospacing="1" w:after="100" w:afterAutospacing="1" w:line="240" w:lineRule="auto"/>
    </w:pPr>
    <w:rPr>
      <w:rFonts w:ascii="Arial" w:eastAsia="Times New Roman" w:hAnsi="Arial" w:cs="Arial"/>
      <w:color w:val="333333"/>
      <w:sz w:val="18"/>
      <w:szCs w:val="18"/>
    </w:rPr>
  </w:style>
  <w:style w:type="character" w:customStyle="1" w:styleId="programtitle1">
    <w:name w:val="programtitle1"/>
    <w:basedOn w:val="DefaultParagraphFont"/>
    <w:rsid w:val="00C350A1"/>
    <w:rPr>
      <w:rFonts w:ascii="Verdana" w:hAnsi="Verdana" w:hint="default"/>
      <w:b/>
      <w:bCs/>
      <w:caps/>
      <w:color w:val="333333"/>
      <w:sz w:val="24"/>
      <w:szCs w:val="24"/>
    </w:rPr>
  </w:style>
  <w:style w:type="character" w:customStyle="1" w:styleId="Heading6Char">
    <w:name w:val="Heading 6 Char"/>
    <w:basedOn w:val="DefaultParagraphFont"/>
    <w:link w:val="Heading6"/>
    <w:uiPriority w:val="9"/>
    <w:semiHidden/>
    <w:rsid w:val="00197254"/>
    <w:rPr>
      <w:rFonts w:asciiTheme="majorHAnsi" w:eastAsiaTheme="majorEastAsia" w:hAnsiTheme="majorHAnsi" w:cstheme="majorBidi"/>
      <w:color w:val="243F60" w:themeColor="accent1" w:themeShade="7F"/>
    </w:rPr>
  </w:style>
  <w:style w:type="paragraph" w:customStyle="1" w:styleId="Default">
    <w:name w:val="Default"/>
    <w:rsid w:val="001972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C-TableofContentsHeading">
    <w:name w:val="TC-Table of Contents Heading"/>
    <w:basedOn w:val="Heading1"/>
    <w:next w:val="Normal"/>
    <w:rsid w:val="00A21E80"/>
    <w:pPr>
      <w:pBdr>
        <w:bottom w:val="single" w:sz="24" w:space="1" w:color="819BBD"/>
      </w:pBdr>
      <w:spacing w:before="0" w:after="720" w:line="240" w:lineRule="auto"/>
      <w:ind w:left="6869"/>
      <w:jc w:val="center"/>
      <w:outlineLvl w:val="1"/>
    </w:pPr>
    <w:rPr>
      <w:rFonts w:ascii="Franklin Gothic Medium" w:eastAsia="Times New Roman" w:hAnsi="Franklin Gothic Medium" w:cs="Times New Roman"/>
      <w:b/>
      <w:color w:val="00467F"/>
      <w:szCs w:val="20"/>
    </w:rPr>
  </w:style>
  <w:style w:type="paragraph" w:styleId="TOC1">
    <w:name w:val="toc 1"/>
    <w:basedOn w:val="Normal"/>
    <w:uiPriority w:val="39"/>
    <w:rsid w:val="00A21E80"/>
    <w:pPr>
      <w:tabs>
        <w:tab w:val="left" w:pos="1440"/>
        <w:tab w:val="right" w:leader="dot" w:pos="8208"/>
        <w:tab w:val="left" w:pos="8640"/>
      </w:tabs>
      <w:spacing w:after="240" w:line="240" w:lineRule="auto"/>
      <w:ind w:left="1440" w:right="1800" w:hanging="1152"/>
    </w:pPr>
    <w:rPr>
      <w:rFonts w:ascii="Garamond" w:eastAsia="Times New Roman" w:hAnsi="Garamond" w:cs="Times New Roman"/>
      <w:sz w:val="24"/>
      <w:szCs w:val="20"/>
    </w:rPr>
  </w:style>
  <w:style w:type="paragraph" w:styleId="TOC2">
    <w:name w:val="toc 2"/>
    <w:basedOn w:val="TOC1"/>
    <w:uiPriority w:val="39"/>
    <w:rsid w:val="00423CD7"/>
    <w:pPr>
      <w:tabs>
        <w:tab w:val="clear" w:pos="8208"/>
        <w:tab w:val="clear" w:pos="8640"/>
        <w:tab w:val="right" w:leader="dot" w:pos="9360"/>
      </w:tabs>
    </w:pPr>
    <w:rPr>
      <w:rFonts w:asciiTheme="minorHAnsi" w:hAnsiTheme="minorHAnsi" w:cstheme="minorHAnsi"/>
      <w:noProof/>
      <w:sz w:val="22"/>
      <w:szCs w:val="22"/>
    </w:rPr>
  </w:style>
  <w:style w:type="paragraph" w:styleId="TOC3">
    <w:name w:val="toc 3"/>
    <w:basedOn w:val="Normal"/>
    <w:uiPriority w:val="39"/>
    <w:rsid w:val="002E5BB6"/>
    <w:pPr>
      <w:tabs>
        <w:tab w:val="right" w:leader="dot" w:pos="9360"/>
      </w:tabs>
      <w:spacing w:after="180" w:line="240" w:lineRule="auto"/>
      <w:ind w:left="2074" w:right="1800" w:hanging="576"/>
    </w:pPr>
    <w:rPr>
      <w:rFonts w:eastAsia="Times New Roman"/>
      <w:noProof/>
    </w:rPr>
  </w:style>
  <w:style w:type="paragraph" w:styleId="TOC4">
    <w:name w:val="toc 4"/>
    <w:basedOn w:val="Normal"/>
    <w:rsid w:val="00A21E80"/>
    <w:pPr>
      <w:tabs>
        <w:tab w:val="left" w:pos="3888"/>
        <w:tab w:val="right" w:leader="dot" w:pos="8208"/>
        <w:tab w:val="left" w:pos="8640"/>
      </w:tabs>
      <w:spacing w:after="240" w:line="240" w:lineRule="auto"/>
      <w:ind w:left="3888" w:right="1800" w:hanging="864"/>
      <w:contextualSpacing/>
    </w:pPr>
    <w:rPr>
      <w:rFonts w:ascii="Garamond" w:eastAsia="Times New Roman" w:hAnsi="Garamond" w:cs="Times New Roman"/>
      <w:sz w:val="24"/>
      <w:szCs w:val="20"/>
    </w:rPr>
  </w:style>
  <w:style w:type="paragraph" w:customStyle="1" w:styleId="T0-ChapPgHd">
    <w:name w:val="T0-Chap/Pg Hd"/>
    <w:basedOn w:val="Normal"/>
    <w:rsid w:val="00A21E80"/>
    <w:pPr>
      <w:tabs>
        <w:tab w:val="left" w:pos="8640"/>
      </w:tabs>
      <w:spacing w:before="480" w:after="240" w:line="240" w:lineRule="auto"/>
    </w:pPr>
    <w:rPr>
      <w:rFonts w:ascii="Franklin Gothic Medium" w:eastAsia="Times New Roman" w:hAnsi="Franklin Gothic Medium" w:cs="Times New Roman"/>
      <w:sz w:val="24"/>
      <w:szCs w:val="20"/>
      <w:u w:val="words"/>
    </w:rPr>
  </w:style>
  <w:style w:type="character" w:customStyle="1" w:styleId="Heading3Char">
    <w:name w:val="Heading 3 Char"/>
    <w:basedOn w:val="DefaultParagraphFont"/>
    <w:link w:val="Heading3"/>
    <w:uiPriority w:val="9"/>
    <w:rsid w:val="00423CD7"/>
    <w:rPr>
      <w:rFonts w:cstheme="minorHAnsi"/>
      <w:b/>
    </w:rPr>
  </w:style>
  <w:style w:type="paragraph" w:customStyle="1" w:styleId="CoverPage-Title">
    <w:name w:val="CoverPage-Title"/>
    <w:basedOn w:val="Normal"/>
    <w:rsid w:val="00463EBF"/>
    <w:pPr>
      <w:spacing w:before="600" w:after="0" w:line="480" w:lineRule="exact"/>
      <w:ind w:left="547" w:right="144"/>
      <w:contextualSpacing/>
    </w:pPr>
    <w:rPr>
      <w:rFonts w:ascii="Franklin Gothic Medium" w:eastAsia="Times New Roman" w:hAnsi="Franklin Gothic Medium" w:cs="Times New Roman"/>
      <w:b/>
      <w:color w:val="003C79"/>
      <w:sz w:val="44"/>
      <w:szCs w:val="40"/>
    </w:rPr>
  </w:style>
  <w:style w:type="paragraph" w:customStyle="1" w:styleId="CoverPage-Part">
    <w:name w:val="CoverPage-Part"/>
    <w:basedOn w:val="Normal"/>
    <w:rsid w:val="00463EBF"/>
    <w:pPr>
      <w:spacing w:before="1200" w:after="1200"/>
      <w:ind w:left="1812" w:hanging="1092"/>
      <w:contextualSpacing/>
    </w:pPr>
    <w:rPr>
      <w:rFonts w:ascii="Franklin Gothic Medium" w:eastAsia="Times New Roman" w:hAnsi="Franklin Gothic Medium" w:cs="Times New Roman"/>
      <w:color w:val="003C79"/>
      <w:sz w:val="32"/>
      <w:szCs w:val="28"/>
    </w:rPr>
  </w:style>
  <w:style w:type="paragraph" w:styleId="ListBullet2">
    <w:name w:val="List Bullet 2"/>
    <w:basedOn w:val="NormalSS"/>
    <w:uiPriority w:val="99"/>
    <w:unhideWhenUsed/>
    <w:rsid w:val="002E5BB6"/>
    <w:pPr>
      <w:numPr>
        <w:numId w:val="2"/>
      </w:numPr>
      <w:spacing w:line="240" w:lineRule="atLeas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17062">
      <w:bodyDiv w:val="1"/>
      <w:marLeft w:val="0"/>
      <w:marRight w:val="0"/>
      <w:marTop w:val="0"/>
      <w:marBottom w:val="0"/>
      <w:divBdr>
        <w:top w:val="none" w:sz="0" w:space="0" w:color="auto"/>
        <w:left w:val="none" w:sz="0" w:space="0" w:color="auto"/>
        <w:bottom w:val="none" w:sz="0" w:space="0" w:color="auto"/>
        <w:right w:val="none" w:sz="0" w:space="0" w:color="auto"/>
      </w:divBdr>
    </w:div>
    <w:div w:id="11374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c639027c757f8ffbc0ec3e93624e7a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2ee242cf08832f0c4760e0d110c474b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88768-0BAC-462B-A8F0-4DDD9947E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28B96-16BA-471F-BB55-19474E9B3771}">
  <ds:schemaRefs>
    <ds:schemaRef ds:uri="http://schemas.microsoft.com/sharepoint/v3/contenttype/forms"/>
  </ds:schemaRefs>
</ds:datastoreItem>
</file>

<file path=customXml/itemProps3.xml><?xml version="1.0" encoding="utf-8"?>
<ds:datastoreItem xmlns:ds="http://schemas.openxmlformats.org/officeDocument/2006/customXml" ds:itemID="{8B1338A3-E206-49FD-A8C1-B07E0934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A7589-786F-4B7A-AF2B-600D6E20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Elizabeth</dc:creator>
  <cp:keywords/>
  <dc:description/>
  <cp:lastModifiedBy>Valentine, Stephanie</cp:lastModifiedBy>
  <cp:revision>2</cp:revision>
  <dcterms:created xsi:type="dcterms:W3CDTF">2020-09-16T13:58:00Z</dcterms:created>
  <dcterms:modified xsi:type="dcterms:W3CDTF">2020-09-16T13:58:00Z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