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3EBF" w:rsidR="00463EBF" w:rsidP="00463EBF" w:rsidRDefault="00463EBF" w14:paraId="0AD0C0F1" w14:textId="77777777">
      <w:pPr>
        <w:spacing w:after="0" w:line="240" w:lineRule="auto"/>
        <w:ind w:left="-130" w:right="144"/>
        <w:rPr>
          <w:rFonts w:ascii="Franklin Gothic Medium" w:hAnsi="Franklin Gothic Medium" w:eastAsia="Times New Roman" w:cs="Times New Roman"/>
          <w:b/>
          <w:color w:val="003C79"/>
          <w:sz w:val="44"/>
          <w:szCs w:val="40"/>
        </w:rPr>
      </w:pPr>
      <w:r w:rsidRPr="00463EBF">
        <w:rPr>
          <w:rFonts w:ascii="Franklin Gothic Medium" w:hAnsi="Franklin Gothic Medium" w:eastAsia="Times New Roman" w:cs="Times New Roman"/>
          <w:b/>
          <w:noProof/>
          <w:color w:val="003C79"/>
          <w:sz w:val="44"/>
          <w:szCs w:val="40"/>
        </w:rPr>
        <w:drawing>
          <wp:inline distT="0" distB="0" distL="0" distR="0" wp14:anchorId="04096F40" wp14:editId="78FD8CF0">
            <wp:extent cx="6981825" cy="600075"/>
            <wp:effectExtent l="0" t="0" r="9525" b="9525"/>
            <wp:docPr id="1" name="Picture 1" descr="Westat®. Improving Lives Throug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ver_Banne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81825" cy="600075"/>
                    </a:xfrm>
                    <a:prstGeom prst="rect">
                      <a:avLst/>
                    </a:prstGeom>
                    <a:noFill/>
                    <a:ln>
                      <a:noFill/>
                    </a:ln>
                  </pic:spPr>
                </pic:pic>
              </a:graphicData>
            </a:graphic>
          </wp:inline>
        </w:drawing>
      </w:r>
    </w:p>
    <w:p w:rsidRPr="00463EBF" w:rsidR="00463EBF" w:rsidP="00463EBF" w:rsidRDefault="00463EBF" w14:paraId="0586A137" w14:textId="77777777">
      <w:pPr>
        <w:pStyle w:val="CoverPage-Title"/>
        <w:contextualSpacing w:val="0"/>
      </w:pPr>
      <w:r w:rsidRPr="00463EBF">
        <w:t>Evaluation of the Innovative Assessment Demonstration Authority Pilot Program-Preliminary Activities</w:t>
      </w:r>
    </w:p>
    <w:p w:rsidRPr="00463EBF" w:rsidR="00463EBF" w:rsidP="00463EBF" w:rsidRDefault="00463EBF" w14:paraId="18E36F48" w14:textId="412092F9">
      <w:pPr>
        <w:spacing w:before="1200" w:after="240" w:line="240" w:lineRule="atLeast"/>
        <w:ind w:left="720"/>
        <w:contextualSpacing/>
        <w:rPr>
          <w:rFonts w:ascii="Franklin Gothic Medium" w:hAnsi="Franklin Gothic Medium" w:eastAsia="Times New Roman" w:cs="Times New Roman"/>
          <w:color w:val="003C79"/>
          <w:sz w:val="32"/>
          <w:szCs w:val="28"/>
        </w:rPr>
      </w:pPr>
      <w:r w:rsidRPr="00463EBF">
        <w:rPr>
          <w:rFonts w:ascii="Franklin Gothic Medium" w:hAnsi="Franklin Gothic Medium" w:eastAsia="Times New Roman" w:cs="Times New Roman"/>
          <w:color w:val="003C79"/>
          <w:sz w:val="32"/>
          <w:szCs w:val="28"/>
        </w:rPr>
        <w:t xml:space="preserve">Supporting Statement for Paperwork Reduction Act Submission </w:t>
      </w:r>
    </w:p>
    <w:p w:rsidRPr="00463EBF" w:rsidR="00463EBF" w:rsidP="00463EBF" w:rsidRDefault="00463EBF" w14:paraId="38443489" w14:textId="73B4C878">
      <w:pPr>
        <w:pStyle w:val="CoverPage-Part"/>
        <w:spacing w:before="240"/>
        <w:ind w:left="1814" w:hanging="1094"/>
      </w:pPr>
      <w:r w:rsidRPr="00463EBF">
        <w:t xml:space="preserve">PART </w:t>
      </w:r>
      <w:r w:rsidR="000C4942">
        <w:t xml:space="preserve">B: </w:t>
      </w:r>
      <w:r w:rsidRPr="000C4942" w:rsidR="000C4942">
        <w:t>Collection of Information Employing Statistical Methods</w:t>
      </w:r>
    </w:p>
    <w:p w:rsidRPr="00463EBF" w:rsidR="00463EBF" w:rsidP="00463EBF" w:rsidRDefault="0084786F" w14:paraId="2BA03E1E" w14:textId="5EAC6AC4">
      <w:pPr>
        <w:spacing w:after="360" w:line="320" w:lineRule="atLeast"/>
        <w:ind w:left="720"/>
        <w:rPr>
          <w:rFonts w:ascii="Franklin Gothic Medium" w:hAnsi="Franklin Gothic Medium" w:eastAsia="Times New Roman" w:cs="Times New Roman"/>
          <w:b/>
          <w:color w:val="003C79"/>
          <w:sz w:val="24"/>
          <w:szCs w:val="20"/>
        </w:rPr>
      </w:pPr>
      <w:r>
        <w:rPr>
          <w:rFonts w:ascii="Franklin Gothic Medium" w:hAnsi="Franklin Gothic Medium" w:eastAsia="Times New Roman" w:cs="Times New Roman"/>
          <w:b/>
          <w:color w:val="003C79"/>
          <w:sz w:val="24"/>
          <w:szCs w:val="20"/>
        </w:rPr>
        <w:t xml:space="preserve">July </w:t>
      </w:r>
      <w:r w:rsidRPr="003D330C" w:rsidR="003D330C">
        <w:rPr>
          <w:rFonts w:ascii="Franklin Gothic Medium" w:hAnsi="Franklin Gothic Medium" w:eastAsia="Times New Roman" w:cs="Times New Roman"/>
          <w:b/>
          <w:color w:val="003C79"/>
          <w:sz w:val="24"/>
          <w:szCs w:val="20"/>
        </w:rPr>
        <w:t xml:space="preserve">2020 </w:t>
      </w:r>
    </w:p>
    <w:p w:rsidRPr="00463EBF" w:rsidR="00463EBF" w:rsidP="00463EBF" w:rsidRDefault="00463EBF" w14:paraId="3D7BD047" w14:textId="77777777">
      <w:pPr>
        <w:spacing w:before="240" w:after="0" w:line="240" w:lineRule="auto"/>
        <w:ind w:left="720"/>
        <w:rPr>
          <w:rFonts w:ascii="Franklin Gothic Medium" w:hAnsi="Franklin Gothic Medium" w:eastAsia="Times New Roman" w:cs="Times New Roman"/>
          <w:color w:val="003C79"/>
          <w:sz w:val="24"/>
          <w:szCs w:val="20"/>
        </w:rPr>
      </w:pPr>
      <w:r w:rsidRPr="00463EBF">
        <w:rPr>
          <w:rFonts w:ascii="Franklin Gothic Medium" w:hAnsi="Franklin Gothic Medium" w:eastAsia="Times New Roman" w:cs="Times New Roman"/>
          <w:color w:val="003C79"/>
          <w:sz w:val="24"/>
          <w:szCs w:val="20"/>
        </w:rPr>
        <w:t xml:space="preserve">Contract # </w:t>
      </w:r>
      <w:r w:rsidRPr="00463EBF">
        <w:rPr>
          <w:rFonts w:ascii="Franklin Gothic Medium" w:hAnsi="Franklin Gothic Medium" w:eastAsia="Times New Roman" w:cs="Times New Roman"/>
          <w:color w:val="003C79"/>
          <w:szCs w:val="24"/>
        </w:rPr>
        <w:t>91990019C0059</w:t>
      </w:r>
    </w:p>
    <w:p w:rsidRPr="00463EBF" w:rsidR="00463EBF" w:rsidP="00463EBF" w:rsidRDefault="00463EBF" w14:paraId="51F2034B" w14:textId="77777777">
      <w:pPr>
        <w:spacing w:before="60" w:after="60" w:line="240" w:lineRule="atLeast"/>
        <w:ind w:left="720"/>
        <w:rPr>
          <w:rFonts w:ascii="Franklin Gothic Book" w:hAnsi="Franklin Gothic Book" w:eastAsia="Times New Roman" w:cs="Times New Roman"/>
          <w:color w:val="003C79"/>
          <w:szCs w:val="24"/>
        </w:rPr>
      </w:pPr>
    </w:p>
    <w:p w:rsidRPr="00463EBF" w:rsidR="00463EBF" w:rsidP="00463EBF" w:rsidRDefault="00463EBF" w14:paraId="4C75235F" w14:textId="77777777">
      <w:pPr>
        <w:spacing w:before="60" w:after="60" w:line="240" w:lineRule="atLeast"/>
        <w:ind w:left="720"/>
        <w:rPr>
          <w:rFonts w:ascii="Franklin Gothic Book" w:hAnsi="Franklin Gothic Book" w:eastAsia="Times New Roman" w:cs="Times New Roman"/>
          <w:color w:val="003C79"/>
          <w:szCs w:val="24"/>
        </w:rPr>
      </w:pPr>
    </w:p>
    <w:p w:rsidRPr="00463EBF" w:rsidR="00463EBF" w:rsidP="00463EBF" w:rsidRDefault="00463EBF" w14:paraId="44DAC628" w14:textId="77777777">
      <w:pPr>
        <w:spacing w:before="60" w:after="60" w:line="240" w:lineRule="atLeast"/>
        <w:ind w:left="720"/>
        <w:rPr>
          <w:rFonts w:ascii="Franklin Gothic Book" w:hAnsi="Franklin Gothic Book" w:eastAsia="Times New Roman" w:cs="Times New Roman"/>
          <w:color w:val="003C79"/>
          <w:szCs w:val="24"/>
        </w:rPr>
      </w:pPr>
    </w:p>
    <w:p w:rsidRPr="00463EBF" w:rsidR="00463EBF" w:rsidP="00463EBF" w:rsidRDefault="00463EBF" w14:paraId="17F0D3C9" w14:textId="77777777">
      <w:pPr>
        <w:spacing w:before="240" w:after="0" w:line="240" w:lineRule="auto"/>
        <w:ind w:left="720"/>
        <w:rPr>
          <w:rFonts w:ascii="Franklin Gothic Medium" w:hAnsi="Franklin Gothic Medium" w:eastAsia="Times New Roman" w:cs="Times New Roman"/>
          <w:color w:val="003C79"/>
          <w:sz w:val="24"/>
          <w:szCs w:val="20"/>
        </w:rPr>
      </w:pPr>
      <w:r w:rsidRPr="00463EBF">
        <w:rPr>
          <w:rFonts w:ascii="Franklin Gothic Medium" w:hAnsi="Franklin Gothic Medium" w:eastAsia="Times New Roman" w:cs="Times New Roman"/>
          <w:color w:val="003C79"/>
          <w:sz w:val="24"/>
          <w:szCs w:val="20"/>
        </w:rPr>
        <w:t>Submitted to:</w:t>
      </w:r>
    </w:p>
    <w:p w:rsidRPr="00463EBF" w:rsidR="00463EBF" w:rsidP="00463EBF" w:rsidRDefault="00463EBF" w14:paraId="0CF9850A"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Institute of Education Sciences</w:t>
      </w:r>
    </w:p>
    <w:p w:rsidRPr="00463EBF" w:rsidR="00463EBF" w:rsidP="00463EBF" w:rsidRDefault="00463EBF" w14:paraId="5B717AE4"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U.S. Department of Education</w:t>
      </w:r>
    </w:p>
    <w:p w:rsidRPr="00463EBF" w:rsidR="00463EBF" w:rsidP="00463EBF" w:rsidRDefault="00463EBF" w14:paraId="2B8467C1" w14:textId="77777777">
      <w:pPr>
        <w:spacing w:before="240" w:after="0" w:line="240" w:lineRule="auto"/>
        <w:ind w:left="720"/>
        <w:rPr>
          <w:rFonts w:ascii="Franklin Gothic Medium" w:hAnsi="Franklin Gothic Medium" w:eastAsia="Times New Roman" w:cs="Times New Roman"/>
          <w:color w:val="003C79"/>
          <w:sz w:val="24"/>
          <w:szCs w:val="20"/>
        </w:rPr>
      </w:pPr>
      <w:r w:rsidRPr="00463EBF">
        <w:rPr>
          <w:rFonts w:ascii="Franklin Gothic Medium" w:hAnsi="Franklin Gothic Medium" w:eastAsia="Times New Roman" w:cs="Times New Roman"/>
          <w:color w:val="003C79"/>
          <w:sz w:val="24"/>
          <w:szCs w:val="20"/>
        </w:rPr>
        <w:t>Submitted by:</w:t>
      </w:r>
    </w:p>
    <w:p w:rsidRPr="00463EBF" w:rsidR="00463EBF" w:rsidP="00463EBF" w:rsidRDefault="00463EBF" w14:paraId="118D124F"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Westat</w:t>
      </w:r>
    </w:p>
    <w:p w:rsidRPr="00463EBF" w:rsidR="00463EBF" w:rsidP="00463EBF" w:rsidRDefault="00463EBF" w14:paraId="6C042734"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An Employee-Owned Research Corporation</w:t>
      </w:r>
      <w:r w:rsidRPr="00463EBF">
        <w:rPr>
          <w:rFonts w:ascii="Franklin Gothic Book" w:hAnsi="Franklin Gothic Book" w:eastAsia="Times New Roman" w:cs="Times New Roman"/>
          <w:color w:val="003C79"/>
          <w:szCs w:val="24"/>
          <w:vertAlign w:val="superscript"/>
        </w:rPr>
        <w:t>®</w:t>
      </w:r>
    </w:p>
    <w:p w:rsidRPr="00463EBF" w:rsidR="00463EBF" w:rsidP="00463EBF" w:rsidRDefault="00463EBF" w14:paraId="7660F32B"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1600 Research Boulevard</w:t>
      </w:r>
    </w:p>
    <w:p w:rsidRPr="00463EBF" w:rsidR="00463EBF" w:rsidP="00463EBF" w:rsidRDefault="00463EBF" w14:paraId="005DAD70"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Rockville, Maryland 20850-3129</w:t>
      </w:r>
    </w:p>
    <w:p w:rsidRPr="00463EBF" w:rsidR="00463EBF" w:rsidP="00463EBF" w:rsidRDefault="00463EBF" w14:paraId="24D35C0F" w14:textId="77777777">
      <w:pPr>
        <w:spacing w:before="60" w:after="60" w:line="240" w:lineRule="atLeast"/>
        <w:ind w:left="720"/>
        <w:rPr>
          <w:rFonts w:ascii="Franklin Gothic Book" w:hAnsi="Franklin Gothic Book" w:eastAsia="Times New Roman" w:cs="Times New Roman"/>
          <w:color w:val="003C79"/>
          <w:szCs w:val="24"/>
        </w:rPr>
      </w:pPr>
      <w:r w:rsidRPr="00463EBF">
        <w:rPr>
          <w:rFonts w:ascii="Franklin Gothic Book" w:hAnsi="Franklin Gothic Book" w:eastAsia="Times New Roman" w:cs="Times New Roman"/>
          <w:color w:val="003C79"/>
          <w:szCs w:val="24"/>
        </w:rPr>
        <w:t>(301) 251-1500</w:t>
      </w:r>
    </w:p>
    <w:p w:rsidRPr="00463EBF" w:rsidR="00463EBF" w:rsidP="00463EBF" w:rsidRDefault="00463EBF" w14:paraId="5B7F7208" w14:textId="77777777">
      <w:pPr>
        <w:spacing w:before="60" w:after="60" w:line="240" w:lineRule="atLeast"/>
        <w:ind w:left="720"/>
        <w:rPr>
          <w:rFonts w:ascii="Franklin Gothic Book" w:hAnsi="Franklin Gothic Book" w:eastAsia="Times New Roman" w:cs="Times New Roman"/>
          <w:color w:val="003C79"/>
          <w:szCs w:val="24"/>
        </w:rPr>
        <w:sectPr w:rsidRPr="00463EBF" w:rsidR="00463EBF" w:rsidSect="00463EBF">
          <w:headerReference w:type="even" r:id="rId9"/>
          <w:headerReference w:type="default" r:id="rId10"/>
          <w:footerReference w:type="even" r:id="rId11"/>
          <w:footerReference w:type="default" r:id="rId12"/>
          <w:headerReference w:type="first" r:id="rId13"/>
          <w:footerReference w:type="first" r:id="rId14"/>
          <w:pgSz w:w="12240" w:h="15840" w:code="1"/>
          <w:pgMar w:top="432" w:right="720" w:bottom="432" w:left="720" w:header="432" w:footer="432" w:gutter="0"/>
          <w:cols w:space="720"/>
          <w:docGrid w:linePitch="360"/>
        </w:sectPr>
      </w:pPr>
    </w:p>
    <w:p w:rsidR="00A21E80" w:rsidP="00A21E80" w:rsidRDefault="00A21E80" w14:paraId="7B87FAD9" w14:textId="1ADCCCD4">
      <w:pPr>
        <w:pStyle w:val="TC-TableofContentsHeading"/>
      </w:pPr>
      <w:r>
        <w:lastRenderedPageBreak/>
        <w:t>Contents</w:t>
      </w:r>
    </w:p>
    <w:p w:rsidR="00A21E80" w:rsidP="00A21E80" w:rsidRDefault="00A21E80" w14:paraId="2CC1A5F3" w14:textId="503815C3">
      <w:pPr>
        <w:pStyle w:val="T0-ChapPgHd"/>
      </w:pPr>
      <w:r>
        <w:tab/>
        <w:t>Page</w:t>
      </w:r>
    </w:p>
    <w:p w:rsidRPr="008C1EF1" w:rsidR="004F75EA" w:rsidRDefault="002224E5" w14:paraId="115EEB45" w14:textId="1602B930">
      <w:pPr>
        <w:pStyle w:val="TOC1"/>
        <w:rPr>
          <w:rFonts w:asciiTheme="minorHAnsi" w:hAnsiTheme="minorHAnsi" w:cstheme="minorHAnsi"/>
          <w:noProof/>
          <w:sz w:val="22"/>
          <w:szCs w:val="22"/>
        </w:rPr>
      </w:pPr>
      <w:r w:rsidRPr="004F75EA">
        <w:rPr>
          <w:rFonts w:asciiTheme="minorHAnsi" w:hAnsiTheme="minorHAnsi" w:cstheme="minorHAnsi"/>
          <w:sz w:val="22"/>
          <w:szCs w:val="22"/>
        </w:rPr>
        <w:fldChar w:fldCharType="begin"/>
      </w:r>
      <w:r w:rsidRPr="004F75EA">
        <w:rPr>
          <w:rFonts w:asciiTheme="minorHAnsi" w:hAnsiTheme="minorHAnsi" w:cstheme="minorHAnsi"/>
          <w:sz w:val="22"/>
          <w:szCs w:val="22"/>
        </w:rPr>
        <w:instrText xml:space="preserve"> TOC \t "Heading 2,1,Heading 3,2,Heading 4,3" </w:instrText>
      </w:r>
      <w:r w:rsidRPr="004F75EA">
        <w:rPr>
          <w:rFonts w:asciiTheme="minorHAnsi" w:hAnsiTheme="minorHAnsi" w:cstheme="minorHAnsi"/>
          <w:sz w:val="22"/>
          <w:szCs w:val="22"/>
        </w:rPr>
        <w:fldChar w:fldCharType="separate"/>
      </w:r>
      <w:r w:rsidRPr="004F75EA" w:rsidR="004F75EA">
        <w:rPr>
          <w:rFonts w:asciiTheme="minorHAnsi" w:hAnsiTheme="minorHAnsi" w:cstheme="minorHAnsi"/>
          <w:noProof/>
          <w:sz w:val="22"/>
          <w:szCs w:val="22"/>
        </w:rPr>
        <w:t>B.1.</w:t>
      </w:r>
      <w:r w:rsidRPr="008C1EF1" w:rsidR="004F75EA">
        <w:rPr>
          <w:rFonts w:asciiTheme="minorHAnsi" w:hAnsiTheme="minorHAnsi" w:cstheme="minorHAnsi"/>
          <w:noProof/>
          <w:sz w:val="22"/>
          <w:szCs w:val="22"/>
        </w:rPr>
        <w:tab/>
      </w:r>
      <w:r w:rsidRPr="004F75EA" w:rsidR="004F75EA">
        <w:rPr>
          <w:rFonts w:asciiTheme="minorHAnsi" w:hAnsiTheme="minorHAnsi" w:cstheme="minorHAnsi"/>
          <w:noProof/>
          <w:sz w:val="22"/>
          <w:szCs w:val="22"/>
        </w:rPr>
        <w:t>Respondent Universe and Sample Design</w:t>
      </w:r>
      <w:r w:rsidRPr="004F75EA" w:rsidR="004F75EA">
        <w:rPr>
          <w:rFonts w:asciiTheme="minorHAnsi" w:hAnsiTheme="minorHAnsi" w:cstheme="minorHAnsi"/>
          <w:noProof/>
          <w:sz w:val="22"/>
          <w:szCs w:val="22"/>
        </w:rPr>
        <w:tab/>
      </w:r>
      <w:r w:rsidR="004F75EA">
        <w:rPr>
          <w:rFonts w:asciiTheme="minorHAnsi" w:hAnsiTheme="minorHAnsi" w:cstheme="minorHAnsi"/>
          <w:noProof/>
          <w:sz w:val="22"/>
          <w:szCs w:val="22"/>
        </w:rPr>
        <w:tab/>
      </w:r>
      <w:r w:rsidRPr="004F75EA" w:rsidR="004F75EA">
        <w:rPr>
          <w:rFonts w:asciiTheme="minorHAnsi" w:hAnsiTheme="minorHAnsi" w:cstheme="minorHAnsi"/>
          <w:noProof/>
          <w:sz w:val="22"/>
          <w:szCs w:val="22"/>
        </w:rPr>
        <w:fldChar w:fldCharType="begin"/>
      </w:r>
      <w:r w:rsidRPr="004F75EA" w:rsidR="004F75EA">
        <w:rPr>
          <w:rFonts w:asciiTheme="minorHAnsi" w:hAnsiTheme="minorHAnsi" w:cstheme="minorHAnsi"/>
          <w:noProof/>
          <w:sz w:val="22"/>
          <w:szCs w:val="22"/>
        </w:rPr>
        <w:instrText xml:space="preserve"> PAGEREF _Toc44941959 \h </w:instrText>
      </w:r>
      <w:r w:rsidRPr="004F75EA" w:rsidR="004F75EA">
        <w:rPr>
          <w:rFonts w:asciiTheme="minorHAnsi" w:hAnsiTheme="minorHAnsi" w:cstheme="minorHAnsi"/>
          <w:noProof/>
          <w:sz w:val="22"/>
          <w:szCs w:val="22"/>
        </w:rPr>
      </w:r>
      <w:r w:rsidRPr="004F75EA" w:rsid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1</w:t>
      </w:r>
      <w:r w:rsidRPr="004F75EA" w:rsidR="004F75EA">
        <w:rPr>
          <w:rFonts w:asciiTheme="minorHAnsi" w:hAnsiTheme="minorHAnsi" w:cstheme="minorHAnsi"/>
          <w:noProof/>
          <w:sz w:val="22"/>
          <w:szCs w:val="22"/>
        </w:rPr>
        <w:fldChar w:fldCharType="end"/>
      </w:r>
    </w:p>
    <w:p w:rsidRPr="008C1EF1" w:rsidR="004F75EA" w:rsidRDefault="004F75EA" w14:paraId="01745E62" w14:textId="373C14B5">
      <w:pPr>
        <w:pStyle w:val="TOC2"/>
        <w:rPr>
          <w:rFonts w:asciiTheme="minorHAnsi" w:hAnsiTheme="minorHAnsi" w:cstheme="minorHAnsi"/>
          <w:noProof/>
          <w:sz w:val="22"/>
        </w:rPr>
      </w:pPr>
      <w:r w:rsidRPr="004F75EA">
        <w:rPr>
          <w:rFonts w:asciiTheme="minorHAnsi" w:hAnsiTheme="minorHAnsi" w:cstheme="minorHAnsi"/>
          <w:noProof/>
          <w:sz w:val="22"/>
        </w:rPr>
        <w:t>B.1.1.</w:t>
      </w:r>
      <w:r w:rsidRPr="008C1EF1">
        <w:rPr>
          <w:rFonts w:asciiTheme="minorHAnsi" w:hAnsiTheme="minorHAnsi" w:cstheme="minorHAnsi"/>
          <w:noProof/>
          <w:sz w:val="22"/>
        </w:rPr>
        <w:tab/>
      </w:r>
      <w:r w:rsidRPr="004F75EA">
        <w:rPr>
          <w:rFonts w:asciiTheme="minorHAnsi" w:hAnsiTheme="minorHAnsi" w:cstheme="minorHAnsi"/>
          <w:noProof/>
          <w:sz w:val="22"/>
        </w:rPr>
        <w:t>District Sample</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_Toc44941960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1</w:t>
      </w:r>
      <w:r w:rsidRPr="004F75EA">
        <w:rPr>
          <w:rFonts w:asciiTheme="minorHAnsi" w:hAnsiTheme="minorHAnsi" w:cstheme="minorHAnsi"/>
          <w:noProof/>
          <w:sz w:val="22"/>
        </w:rPr>
        <w:fldChar w:fldCharType="end"/>
      </w:r>
    </w:p>
    <w:p w:rsidRPr="008C1EF1" w:rsidR="004F75EA" w:rsidRDefault="004F75EA" w14:paraId="68557E6F" w14:textId="09C8CD4D">
      <w:pPr>
        <w:pStyle w:val="TOC2"/>
        <w:rPr>
          <w:rFonts w:asciiTheme="minorHAnsi" w:hAnsiTheme="minorHAnsi" w:cstheme="minorHAnsi"/>
          <w:noProof/>
          <w:sz w:val="22"/>
        </w:rPr>
      </w:pPr>
      <w:r w:rsidRPr="004F75EA">
        <w:rPr>
          <w:rFonts w:asciiTheme="minorHAnsi" w:hAnsiTheme="minorHAnsi" w:cstheme="minorHAnsi"/>
          <w:noProof/>
          <w:sz w:val="22"/>
        </w:rPr>
        <w:t>B.1.2.</w:t>
      </w:r>
      <w:r w:rsidRPr="008C1EF1">
        <w:rPr>
          <w:rFonts w:asciiTheme="minorHAnsi" w:hAnsiTheme="minorHAnsi" w:cstheme="minorHAnsi"/>
          <w:noProof/>
          <w:sz w:val="22"/>
        </w:rPr>
        <w:tab/>
      </w:r>
      <w:r w:rsidRPr="004F75EA">
        <w:rPr>
          <w:rFonts w:asciiTheme="minorHAnsi" w:hAnsiTheme="minorHAnsi" w:cstheme="minorHAnsi"/>
          <w:noProof/>
          <w:sz w:val="22"/>
        </w:rPr>
        <w:t>School Sample</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_Toc44941961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2</w:t>
      </w:r>
      <w:r w:rsidRPr="004F75EA">
        <w:rPr>
          <w:rFonts w:asciiTheme="minorHAnsi" w:hAnsiTheme="minorHAnsi" w:cstheme="minorHAnsi"/>
          <w:noProof/>
          <w:sz w:val="22"/>
        </w:rPr>
        <w:fldChar w:fldCharType="end"/>
      </w:r>
    </w:p>
    <w:p w:rsidRPr="008C1EF1" w:rsidR="004F75EA" w:rsidRDefault="004F75EA" w14:paraId="32E0684E" w14:textId="6EC816C1">
      <w:pPr>
        <w:pStyle w:val="TOC2"/>
        <w:rPr>
          <w:rFonts w:asciiTheme="minorHAnsi" w:hAnsiTheme="minorHAnsi" w:cstheme="minorHAnsi"/>
          <w:noProof/>
          <w:sz w:val="22"/>
        </w:rPr>
      </w:pPr>
      <w:r w:rsidRPr="008C1EF1">
        <w:rPr>
          <w:rFonts w:asciiTheme="minorHAnsi" w:hAnsiTheme="minorHAnsi" w:cstheme="minorHAnsi"/>
          <w:noProof/>
          <w:sz w:val="22"/>
        </w:rPr>
        <w:t>B.1.3.</w:t>
      </w:r>
      <w:r w:rsidRPr="008C1EF1">
        <w:rPr>
          <w:rFonts w:asciiTheme="minorHAnsi" w:hAnsiTheme="minorHAnsi" w:cstheme="minorHAnsi"/>
          <w:noProof/>
          <w:sz w:val="22"/>
        </w:rPr>
        <w:tab/>
        <w:t>Teacher Sample</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_Toc44941962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3</w:t>
      </w:r>
      <w:r w:rsidRPr="004F75EA">
        <w:rPr>
          <w:rFonts w:asciiTheme="minorHAnsi" w:hAnsiTheme="minorHAnsi" w:cstheme="minorHAnsi"/>
          <w:noProof/>
          <w:sz w:val="22"/>
        </w:rPr>
        <w:fldChar w:fldCharType="end"/>
      </w:r>
    </w:p>
    <w:p w:rsidRPr="008C1EF1" w:rsidR="004F75EA" w:rsidRDefault="004F75EA" w14:paraId="660E4091" w14:textId="4E93841B">
      <w:pPr>
        <w:pStyle w:val="TOC1"/>
        <w:rPr>
          <w:rFonts w:asciiTheme="minorHAnsi" w:hAnsiTheme="minorHAnsi" w:cstheme="minorHAnsi"/>
          <w:noProof/>
          <w:sz w:val="22"/>
          <w:szCs w:val="22"/>
        </w:rPr>
      </w:pPr>
      <w:r w:rsidRPr="008C1EF1">
        <w:rPr>
          <w:rFonts w:asciiTheme="minorHAnsi" w:hAnsiTheme="minorHAnsi" w:cstheme="minorHAnsi"/>
          <w:noProof/>
          <w:sz w:val="22"/>
          <w:szCs w:val="22"/>
        </w:rPr>
        <w:t>B.2.</w:t>
      </w:r>
      <w:r w:rsidRPr="008C1EF1">
        <w:rPr>
          <w:rFonts w:asciiTheme="minorHAnsi" w:hAnsiTheme="minorHAnsi" w:cstheme="minorHAnsi"/>
          <w:noProof/>
          <w:sz w:val="22"/>
          <w:szCs w:val="22"/>
        </w:rPr>
        <w:tab/>
        <w:t>Information Collection Procedures</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_Toc44941963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3</w:t>
      </w:r>
      <w:r w:rsidRPr="004F75EA">
        <w:rPr>
          <w:rFonts w:asciiTheme="minorHAnsi" w:hAnsiTheme="minorHAnsi" w:cstheme="minorHAnsi"/>
          <w:noProof/>
          <w:sz w:val="22"/>
          <w:szCs w:val="22"/>
        </w:rPr>
        <w:fldChar w:fldCharType="end"/>
      </w:r>
    </w:p>
    <w:p w:rsidRPr="008C1EF1" w:rsidR="004F75EA" w:rsidRDefault="004F75EA" w14:paraId="4BCFD869" w14:textId="080C2CCD">
      <w:pPr>
        <w:pStyle w:val="TOC2"/>
        <w:rPr>
          <w:rFonts w:asciiTheme="minorHAnsi" w:hAnsiTheme="minorHAnsi" w:cstheme="minorHAnsi"/>
          <w:noProof/>
          <w:sz w:val="22"/>
        </w:rPr>
      </w:pPr>
      <w:r w:rsidRPr="004F75EA">
        <w:rPr>
          <w:rFonts w:asciiTheme="minorHAnsi" w:hAnsiTheme="minorHAnsi" w:cstheme="minorHAnsi"/>
          <w:noProof/>
          <w:sz w:val="22"/>
        </w:rPr>
        <w:t>B.2.1.</w:t>
      </w:r>
      <w:r w:rsidRPr="008C1EF1">
        <w:rPr>
          <w:rFonts w:asciiTheme="minorHAnsi" w:hAnsiTheme="minorHAnsi" w:cstheme="minorHAnsi"/>
          <w:noProof/>
          <w:sz w:val="22"/>
        </w:rPr>
        <w:tab/>
      </w:r>
      <w:r w:rsidRPr="004F75EA">
        <w:rPr>
          <w:rFonts w:asciiTheme="minorHAnsi" w:hAnsiTheme="minorHAnsi" w:cstheme="minorHAnsi"/>
          <w:noProof/>
          <w:sz w:val="22"/>
        </w:rPr>
        <w:t>Notification of the Sample and Recruitment</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_Toc44941964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3</w:t>
      </w:r>
      <w:r w:rsidRPr="004F75EA">
        <w:rPr>
          <w:rFonts w:asciiTheme="minorHAnsi" w:hAnsiTheme="minorHAnsi" w:cstheme="minorHAnsi"/>
          <w:noProof/>
          <w:sz w:val="22"/>
        </w:rPr>
        <w:fldChar w:fldCharType="end"/>
      </w:r>
    </w:p>
    <w:p w:rsidRPr="008C1EF1" w:rsidR="004F75EA" w:rsidRDefault="004F75EA" w14:paraId="7FAE16E5" w14:textId="0CDE12B9">
      <w:pPr>
        <w:pStyle w:val="TOC2"/>
        <w:rPr>
          <w:rFonts w:asciiTheme="minorHAnsi" w:hAnsiTheme="minorHAnsi" w:cstheme="minorHAnsi"/>
          <w:noProof/>
          <w:sz w:val="22"/>
        </w:rPr>
      </w:pPr>
      <w:r w:rsidRPr="004F75EA">
        <w:rPr>
          <w:rFonts w:asciiTheme="minorHAnsi" w:hAnsiTheme="minorHAnsi" w:cstheme="minorHAnsi"/>
          <w:noProof/>
          <w:sz w:val="22"/>
        </w:rPr>
        <w:t>B.2.2.</w:t>
      </w:r>
      <w:r w:rsidRPr="008C1EF1">
        <w:rPr>
          <w:rFonts w:asciiTheme="minorHAnsi" w:hAnsiTheme="minorHAnsi" w:cstheme="minorHAnsi"/>
          <w:noProof/>
          <w:sz w:val="22"/>
        </w:rPr>
        <w:tab/>
      </w:r>
      <w:r w:rsidRPr="004F75EA">
        <w:rPr>
          <w:rFonts w:asciiTheme="minorHAnsi" w:hAnsiTheme="minorHAnsi" w:cstheme="minorHAnsi"/>
          <w:noProof/>
          <w:sz w:val="22"/>
        </w:rPr>
        <w:t>Statistical Methodology for Stratification and Sample Selection</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_Toc44941965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3</w:t>
      </w:r>
      <w:r w:rsidRPr="004F75EA">
        <w:rPr>
          <w:rFonts w:asciiTheme="minorHAnsi" w:hAnsiTheme="minorHAnsi" w:cstheme="minorHAnsi"/>
          <w:noProof/>
          <w:sz w:val="22"/>
        </w:rPr>
        <w:fldChar w:fldCharType="end"/>
      </w:r>
    </w:p>
    <w:p w:rsidRPr="008C1EF1" w:rsidR="004F75EA" w:rsidRDefault="004F75EA" w14:paraId="54B15ED4" w14:textId="732898E4">
      <w:pPr>
        <w:pStyle w:val="TOC3"/>
        <w:rPr>
          <w:rFonts w:asciiTheme="minorHAnsi" w:hAnsiTheme="minorHAnsi" w:cstheme="minorHAnsi"/>
          <w:noProof/>
          <w:sz w:val="22"/>
          <w:szCs w:val="22"/>
        </w:rPr>
      </w:pPr>
      <w:r w:rsidRPr="004F75EA">
        <w:rPr>
          <w:rFonts w:asciiTheme="minorHAnsi" w:hAnsiTheme="minorHAnsi" w:cstheme="minorHAnsi"/>
          <w:noProof/>
          <w:sz w:val="22"/>
          <w:szCs w:val="22"/>
        </w:rPr>
        <w:t xml:space="preserve">B.2.2.1. </w:t>
      </w:r>
      <w:r w:rsidRPr="008C1EF1">
        <w:rPr>
          <w:rFonts w:asciiTheme="minorHAnsi" w:hAnsiTheme="minorHAnsi" w:cstheme="minorHAnsi"/>
          <w:noProof/>
          <w:sz w:val="22"/>
          <w:szCs w:val="22"/>
        </w:rPr>
        <w:tab/>
      </w:r>
      <w:r w:rsidRPr="004F75EA">
        <w:rPr>
          <w:rFonts w:asciiTheme="minorHAnsi" w:hAnsiTheme="minorHAnsi" w:cstheme="minorHAnsi"/>
          <w:noProof/>
          <w:sz w:val="22"/>
          <w:szCs w:val="22"/>
        </w:rPr>
        <w:t>District Sample</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_Toc44941966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4</w:t>
      </w:r>
      <w:r w:rsidRPr="004F75EA">
        <w:rPr>
          <w:rFonts w:asciiTheme="minorHAnsi" w:hAnsiTheme="minorHAnsi" w:cstheme="minorHAnsi"/>
          <w:noProof/>
          <w:sz w:val="22"/>
          <w:szCs w:val="22"/>
        </w:rPr>
        <w:fldChar w:fldCharType="end"/>
      </w:r>
    </w:p>
    <w:p w:rsidRPr="008C1EF1" w:rsidR="004F75EA" w:rsidRDefault="004F75EA" w14:paraId="338FCCCC" w14:textId="4695DC7C">
      <w:pPr>
        <w:pStyle w:val="TOC3"/>
        <w:rPr>
          <w:rFonts w:asciiTheme="minorHAnsi" w:hAnsiTheme="minorHAnsi" w:cstheme="minorHAnsi"/>
          <w:noProof/>
          <w:sz w:val="22"/>
          <w:szCs w:val="22"/>
        </w:rPr>
      </w:pPr>
      <w:r w:rsidRPr="004F75EA">
        <w:rPr>
          <w:rFonts w:asciiTheme="minorHAnsi" w:hAnsiTheme="minorHAnsi" w:cstheme="minorHAnsi"/>
          <w:noProof/>
          <w:sz w:val="22"/>
          <w:szCs w:val="22"/>
        </w:rPr>
        <w:t xml:space="preserve">B.2.2.2. </w:t>
      </w:r>
      <w:r w:rsidRPr="008C1EF1">
        <w:rPr>
          <w:rFonts w:asciiTheme="minorHAnsi" w:hAnsiTheme="minorHAnsi" w:cstheme="minorHAnsi"/>
          <w:noProof/>
          <w:sz w:val="22"/>
          <w:szCs w:val="22"/>
        </w:rPr>
        <w:tab/>
      </w:r>
      <w:r w:rsidRPr="004F75EA">
        <w:rPr>
          <w:rFonts w:asciiTheme="minorHAnsi" w:hAnsiTheme="minorHAnsi" w:cstheme="minorHAnsi"/>
          <w:noProof/>
          <w:sz w:val="22"/>
          <w:szCs w:val="22"/>
        </w:rPr>
        <w:t>School Sample</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_Toc44941967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4</w:t>
      </w:r>
      <w:r w:rsidRPr="004F75EA">
        <w:rPr>
          <w:rFonts w:asciiTheme="minorHAnsi" w:hAnsiTheme="minorHAnsi" w:cstheme="minorHAnsi"/>
          <w:noProof/>
          <w:sz w:val="22"/>
          <w:szCs w:val="22"/>
        </w:rPr>
        <w:fldChar w:fldCharType="end"/>
      </w:r>
    </w:p>
    <w:p w:rsidRPr="008C1EF1" w:rsidR="004F75EA" w:rsidRDefault="004F75EA" w14:paraId="2EB08986" w14:textId="51881935">
      <w:pPr>
        <w:pStyle w:val="TOC3"/>
        <w:rPr>
          <w:rFonts w:asciiTheme="minorHAnsi" w:hAnsiTheme="minorHAnsi" w:cstheme="minorHAnsi"/>
          <w:noProof/>
          <w:sz w:val="22"/>
          <w:szCs w:val="22"/>
        </w:rPr>
      </w:pPr>
      <w:r w:rsidRPr="004F75EA">
        <w:rPr>
          <w:rFonts w:asciiTheme="minorHAnsi" w:hAnsiTheme="minorHAnsi" w:cstheme="minorHAnsi"/>
          <w:noProof/>
          <w:sz w:val="22"/>
          <w:szCs w:val="22"/>
        </w:rPr>
        <w:t xml:space="preserve">B.2.2.3. </w:t>
      </w:r>
      <w:r w:rsidRPr="008C1EF1">
        <w:rPr>
          <w:rFonts w:asciiTheme="minorHAnsi" w:hAnsiTheme="minorHAnsi" w:cstheme="minorHAnsi"/>
          <w:noProof/>
          <w:sz w:val="22"/>
          <w:szCs w:val="22"/>
        </w:rPr>
        <w:tab/>
      </w:r>
      <w:r w:rsidRPr="004F75EA">
        <w:rPr>
          <w:rFonts w:asciiTheme="minorHAnsi" w:hAnsiTheme="minorHAnsi" w:cstheme="minorHAnsi"/>
          <w:noProof/>
          <w:sz w:val="22"/>
          <w:szCs w:val="22"/>
        </w:rPr>
        <w:t>Teacher Sample</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_Toc44941968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5</w:t>
      </w:r>
      <w:r w:rsidRPr="004F75EA">
        <w:rPr>
          <w:rFonts w:asciiTheme="minorHAnsi" w:hAnsiTheme="minorHAnsi" w:cstheme="minorHAnsi"/>
          <w:noProof/>
          <w:sz w:val="22"/>
          <w:szCs w:val="22"/>
        </w:rPr>
        <w:fldChar w:fldCharType="end"/>
      </w:r>
    </w:p>
    <w:p w:rsidRPr="008C1EF1" w:rsidR="004F75EA" w:rsidRDefault="004F75EA" w14:paraId="4598A43C" w14:textId="2E0DBF03">
      <w:pPr>
        <w:pStyle w:val="TOC2"/>
        <w:rPr>
          <w:rFonts w:asciiTheme="minorHAnsi" w:hAnsiTheme="minorHAnsi" w:cstheme="minorHAnsi"/>
          <w:noProof/>
          <w:sz w:val="22"/>
        </w:rPr>
      </w:pPr>
      <w:r w:rsidRPr="004F75EA">
        <w:rPr>
          <w:rFonts w:asciiTheme="minorHAnsi" w:hAnsiTheme="minorHAnsi" w:cstheme="minorHAnsi"/>
          <w:noProof/>
          <w:sz w:val="22"/>
        </w:rPr>
        <w:t>B.2.3.</w:t>
      </w:r>
      <w:r w:rsidRPr="008C1EF1">
        <w:rPr>
          <w:rFonts w:asciiTheme="minorHAnsi" w:hAnsiTheme="minorHAnsi" w:cstheme="minorHAnsi"/>
          <w:noProof/>
          <w:sz w:val="22"/>
        </w:rPr>
        <w:tab/>
      </w:r>
      <w:r w:rsidRPr="004F75EA">
        <w:rPr>
          <w:rFonts w:asciiTheme="minorHAnsi" w:hAnsiTheme="minorHAnsi" w:cstheme="minorHAnsi"/>
          <w:noProof/>
          <w:sz w:val="22"/>
        </w:rPr>
        <w:t>Estimation Procedures</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_Toc44941969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5</w:t>
      </w:r>
      <w:r w:rsidRPr="004F75EA">
        <w:rPr>
          <w:rFonts w:asciiTheme="minorHAnsi" w:hAnsiTheme="minorHAnsi" w:cstheme="minorHAnsi"/>
          <w:noProof/>
          <w:sz w:val="22"/>
        </w:rPr>
        <w:fldChar w:fldCharType="end"/>
      </w:r>
    </w:p>
    <w:p w:rsidRPr="008C1EF1" w:rsidR="004F75EA" w:rsidRDefault="004F75EA" w14:paraId="0BE16160" w14:textId="3574ADA8">
      <w:pPr>
        <w:pStyle w:val="TOC2"/>
        <w:rPr>
          <w:rFonts w:asciiTheme="minorHAnsi" w:hAnsiTheme="minorHAnsi" w:cstheme="minorHAnsi"/>
          <w:noProof/>
          <w:sz w:val="22"/>
        </w:rPr>
      </w:pPr>
      <w:r w:rsidRPr="004F75EA">
        <w:rPr>
          <w:rFonts w:asciiTheme="minorHAnsi" w:hAnsiTheme="minorHAnsi" w:cstheme="minorHAnsi"/>
          <w:noProof/>
          <w:sz w:val="22"/>
        </w:rPr>
        <w:t>B.2.4.</w:t>
      </w:r>
      <w:r w:rsidRPr="008C1EF1">
        <w:rPr>
          <w:rFonts w:asciiTheme="minorHAnsi" w:hAnsiTheme="minorHAnsi" w:cstheme="minorHAnsi"/>
          <w:noProof/>
          <w:sz w:val="22"/>
        </w:rPr>
        <w:tab/>
      </w:r>
      <w:r w:rsidRPr="004F75EA">
        <w:rPr>
          <w:rFonts w:asciiTheme="minorHAnsi" w:hAnsiTheme="minorHAnsi" w:cstheme="minorHAnsi"/>
          <w:noProof/>
          <w:sz w:val="22"/>
        </w:rPr>
        <w:t>Degree of Accuracy Needed</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_Toc44941970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6</w:t>
      </w:r>
      <w:r w:rsidRPr="004F75EA">
        <w:rPr>
          <w:rFonts w:asciiTheme="minorHAnsi" w:hAnsiTheme="minorHAnsi" w:cstheme="minorHAnsi"/>
          <w:noProof/>
          <w:sz w:val="22"/>
        </w:rPr>
        <w:fldChar w:fldCharType="end"/>
      </w:r>
    </w:p>
    <w:p w:rsidRPr="008C1EF1" w:rsidR="004F75EA" w:rsidRDefault="004F75EA" w14:paraId="60614F9A" w14:textId="486BAB65">
      <w:pPr>
        <w:pStyle w:val="TOC2"/>
        <w:rPr>
          <w:rFonts w:asciiTheme="minorHAnsi" w:hAnsiTheme="minorHAnsi" w:cstheme="minorHAnsi"/>
          <w:noProof/>
          <w:sz w:val="22"/>
        </w:rPr>
      </w:pPr>
      <w:r w:rsidRPr="004F75EA">
        <w:rPr>
          <w:rFonts w:asciiTheme="minorHAnsi" w:hAnsiTheme="minorHAnsi" w:cstheme="minorHAnsi"/>
          <w:noProof/>
          <w:sz w:val="22"/>
        </w:rPr>
        <w:t>B.2.5.</w:t>
      </w:r>
      <w:r w:rsidRPr="008C1EF1">
        <w:rPr>
          <w:rFonts w:asciiTheme="minorHAnsi" w:hAnsiTheme="minorHAnsi" w:cstheme="minorHAnsi"/>
          <w:noProof/>
          <w:sz w:val="22"/>
        </w:rPr>
        <w:tab/>
      </w:r>
      <w:r w:rsidRPr="004F75EA">
        <w:rPr>
          <w:rFonts w:asciiTheme="minorHAnsi" w:hAnsiTheme="minorHAnsi" w:cstheme="minorHAnsi"/>
          <w:noProof/>
          <w:sz w:val="22"/>
        </w:rPr>
        <w:t>Unusual Problems Requiring Specialized Sampling Procedures</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_Toc44941971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7</w:t>
      </w:r>
      <w:r w:rsidRPr="004F75EA">
        <w:rPr>
          <w:rFonts w:asciiTheme="minorHAnsi" w:hAnsiTheme="minorHAnsi" w:cstheme="minorHAnsi"/>
          <w:noProof/>
          <w:sz w:val="22"/>
        </w:rPr>
        <w:fldChar w:fldCharType="end"/>
      </w:r>
    </w:p>
    <w:p w:rsidRPr="008C1EF1" w:rsidR="004F75EA" w:rsidRDefault="004F75EA" w14:paraId="1037BBD6" w14:textId="0C30EE6D">
      <w:pPr>
        <w:pStyle w:val="TOC2"/>
        <w:rPr>
          <w:rFonts w:asciiTheme="minorHAnsi" w:hAnsiTheme="minorHAnsi" w:cstheme="minorHAnsi"/>
          <w:noProof/>
          <w:sz w:val="22"/>
        </w:rPr>
      </w:pPr>
      <w:r w:rsidRPr="004F75EA">
        <w:rPr>
          <w:rFonts w:asciiTheme="minorHAnsi" w:hAnsiTheme="minorHAnsi" w:cstheme="minorHAnsi"/>
          <w:noProof/>
          <w:sz w:val="22"/>
        </w:rPr>
        <w:t>B.2.6.</w:t>
      </w:r>
      <w:r w:rsidRPr="008C1EF1">
        <w:rPr>
          <w:rFonts w:asciiTheme="minorHAnsi" w:hAnsiTheme="minorHAnsi" w:cstheme="minorHAnsi"/>
          <w:noProof/>
          <w:sz w:val="22"/>
        </w:rPr>
        <w:tab/>
      </w:r>
      <w:r w:rsidRPr="004F75EA">
        <w:rPr>
          <w:rFonts w:asciiTheme="minorHAnsi" w:hAnsiTheme="minorHAnsi" w:cstheme="minorHAnsi"/>
          <w:noProof/>
          <w:sz w:val="22"/>
        </w:rPr>
        <w:t>Use of Periodic (less than annual) Data Collection to Reduce Burden</w:t>
      </w:r>
      <w:r w:rsidRPr="004F75EA">
        <w:rPr>
          <w:rFonts w:asciiTheme="minorHAnsi" w:hAnsiTheme="minorHAnsi" w:cstheme="minorHAnsi"/>
          <w:noProof/>
          <w:sz w:val="22"/>
        </w:rPr>
        <w:tab/>
      </w:r>
      <w:r>
        <w:rPr>
          <w:rFonts w:asciiTheme="minorHAnsi" w:hAnsiTheme="minorHAnsi" w:cstheme="minorHAnsi"/>
          <w:noProof/>
          <w:sz w:val="22"/>
        </w:rPr>
        <w:tab/>
      </w:r>
      <w:r w:rsidRPr="004F75EA">
        <w:rPr>
          <w:rFonts w:asciiTheme="minorHAnsi" w:hAnsiTheme="minorHAnsi" w:cstheme="minorHAnsi"/>
          <w:noProof/>
          <w:sz w:val="22"/>
        </w:rPr>
        <w:fldChar w:fldCharType="begin"/>
      </w:r>
      <w:r w:rsidRPr="004F75EA">
        <w:rPr>
          <w:rFonts w:asciiTheme="minorHAnsi" w:hAnsiTheme="minorHAnsi" w:cstheme="minorHAnsi"/>
          <w:noProof/>
          <w:sz w:val="22"/>
        </w:rPr>
        <w:instrText xml:space="preserve"> PAGEREF _Toc44941972 \h </w:instrText>
      </w:r>
      <w:r w:rsidRPr="004F75EA">
        <w:rPr>
          <w:rFonts w:asciiTheme="minorHAnsi" w:hAnsiTheme="minorHAnsi" w:cstheme="minorHAnsi"/>
          <w:noProof/>
          <w:sz w:val="22"/>
        </w:rPr>
      </w:r>
      <w:r w:rsidRPr="004F75EA">
        <w:rPr>
          <w:rFonts w:asciiTheme="minorHAnsi" w:hAnsiTheme="minorHAnsi" w:cstheme="minorHAnsi"/>
          <w:noProof/>
          <w:sz w:val="22"/>
        </w:rPr>
        <w:fldChar w:fldCharType="separate"/>
      </w:r>
      <w:r w:rsidR="00C73332">
        <w:rPr>
          <w:rFonts w:asciiTheme="minorHAnsi" w:hAnsiTheme="minorHAnsi" w:cstheme="minorHAnsi"/>
          <w:noProof/>
          <w:sz w:val="22"/>
        </w:rPr>
        <w:t>7</w:t>
      </w:r>
      <w:r w:rsidRPr="004F75EA">
        <w:rPr>
          <w:rFonts w:asciiTheme="minorHAnsi" w:hAnsiTheme="minorHAnsi" w:cstheme="minorHAnsi"/>
          <w:noProof/>
          <w:sz w:val="22"/>
        </w:rPr>
        <w:fldChar w:fldCharType="end"/>
      </w:r>
    </w:p>
    <w:p w:rsidRPr="008C1EF1" w:rsidR="004F75EA" w:rsidRDefault="004F75EA" w14:paraId="452DC201" w14:textId="061EA415">
      <w:pPr>
        <w:pStyle w:val="TOC1"/>
        <w:rPr>
          <w:rFonts w:asciiTheme="minorHAnsi" w:hAnsiTheme="minorHAnsi" w:cstheme="minorHAnsi"/>
          <w:noProof/>
          <w:sz w:val="22"/>
          <w:szCs w:val="22"/>
        </w:rPr>
      </w:pPr>
      <w:r w:rsidRPr="004F75EA">
        <w:rPr>
          <w:rFonts w:asciiTheme="minorHAnsi" w:hAnsiTheme="minorHAnsi" w:cstheme="minorHAnsi"/>
          <w:noProof/>
          <w:sz w:val="22"/>
          <w:szCs w:val="22"/>
        </w:rPr>
        <w:t>B.3.</w:t>
      </w:r>
      <w:r w:rsidRPr="008C1EF1">
        <w:rPr>
          <w:rFonts w:asciiTheme="minorHAnsi" w:hAnsiTheme="minorHAnsi" w:cstheme="minorHAnsi"/>
          <w:noProof/>
          <w:sz w:val="22"/>
          <w:szCs w:val="22"/>
        </w:rPr>
        <w:tab/>
      </w:r>
      <w:r w:rsidRPr="004F75EA">
        <w:rPr>
          <w:rFonts w:asciiTheme="minorHAnsi" w:hAnsiTheme="minorHAnsi" w:cstheme="minorHAnsi"/>
          <w:noProof/>
          <w:sz w:val="22"/>
          <w:szCs w:val="22"/>
        </w:rPr>
        <w:t>Methods for Maximizing the Response Rate</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_Toc44941973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7</w:t>
      </w:r>
      <w:r w:rsidRPr="004F75EA">
        <w:rPr>
          <w:rFonts w:asciiTheme="minorHAnsi" w:hAnsiTheme="minorHAnsi" w:cstheme="minorHAnsi"/>
          <w:noProof/>
          <w:sz w:val="22"/>
          <w:szCs w:val="22"/>
        </w:rPr>
        <w:fldChar w:fldCharType="end"/>
      </w:r>
    </w:p>
    <w:p w:rsidRPr="008C1EF1" w:rsidR="004F75EA" w:rsidRDefault="004F75EA" w14:paraId="07788239" w14:textId="11540BB1">
      <w:pPr>
        <w:pStyle w:val="TOC1"/>
        <w:rPr>
          <w:rFonts w:asciiTheme="minorHAnsi" w:hAnsiTheme="minorHAnsi" w:cstheme="minorHAnsi"/>
          <w:noProof/>
          <w:sz w:val="22"/>
          <w:szCs w:val="22"/>
        </w:rPr>
      </w:pPr>
      <w:r w:rsidRPr="004F75EA">
        <w:rPr>
          <w:rFonts w:asciiTheme="minorHAnsi" w:hAnsiTheme="minorHAnsi" w:cstheme="minorHAnsi"/>
          <w:noProof/>
          <w:sz w:val="22"/>
          <w:szCs w:val="22"/>
        </w:rPr>
        <w:t>B.4.</w:t>
      </w:r>
      <w:r w:rsidRPr="008C1EF1">
        <w:rPr>
          <w:rFonts w:asciiTheme="minorHAnsi" w:hAnsiTheme="minorHAnsi" w:cstheme="minorHAnsi"/>
          <w:noProof/>
          <w:sz w:val="22"/>
          <w:szCs w:val="22"/>
        </w:rPr>
        <w:tab/>
      </w:r>
      <w:r w:rsidRPr="004F75EA">
        <w:rPr>
          <w:rFonts w:asciiTheme="minorHAnsi" w:hAnsiTheme="minorHAnsi" w:cstheme="minorHAnsi"/>
          <w:noProof/>
          <w:sz w:val="22"/>
          <w:szCs w:val="22"/>
        </w:rPr>
        <w:t>Test of Procedures</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_Toc44941974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8</w:t>
      </w:r>
      <w:r w:rsidRPr="004F75EA">
        <w:rPr>
          <w:rFonts w:asciiTheme="minorHAnsi" w:hAnsiTheme="minorHAnsi" w:cstheme="minorHAnsi"/>
          <w:noProof/>
          <w:sz w:val="22"/>
          <w:szCs w:val="22"/>
        </w:rPr>
        <w:fldChar w:fldCharType="end"/>
      </w:r>
    </w:p>
    <w:p w:rsidRPr="008C1EF1" w:rsidR="004F75EA" w:rsidRDefault="004F75EA" w14:paraId="352880BA" w14:textId="2A7713E0">
      <w:pPr>
        <w:pStyle w:val="TOC1"/>
        <w:rPr>
          <w:rFonts w:asciiTheme="minorHAnsi" w:hAnsiTheme="minorHAnsi" w:cstheme="minorHAnsi"/>
          <w:noProof/>
          <w:sz w:val="22"/>
          <w:szCs w:val="22"/>
        </w:rPr>
      </w:pPr>
      <w:r w:rsidRPr="004F75EA">
        <w:rPr>
          <w:rFonts w:asciiTheme="minorHAnsi" w:hAnsiTheme="minorHAnsi" w:cstheme="minorHAnsi"/>
          <w:noProof/>
          <w:sz w:val="22"/>
          <w:szCs w:val="22"/>
        </w:rPr>
        <w:t>B.5.</w:t>
      </w:r>
      <w:r w:rsidRPr="008C1EF1">
        <w:rPr>
          <w:rFonts w:asciiTheme="minorHAnsi" w:hAnsiTheme="minorHAnsi" w:cstheme="minorHAnsi"/>
          <w:noProof/>
          <w:sz w:val="22"/>
          <w:szCs w:val="22"/>
        </w:rPr>
        <w:tab/>
      </w:r>
      <w:r w:rsidRPr="004F75EA">
        <w:rPr>
          <w:rFonts w:asciiTheme="minorHAnsi" w:hAnsiTheme="minorHAnsi" w:cstheme="minorHAnsi"/>
          <w:noProof/>
          <w:sz w:val="22"/>
          <w:szCs w:val="22"/>
        </w:rPr>
        <w:t>Individuals Consulted on Statistical Aspects of Design</w:t>
      </w:r>
      <w:r w:rsidRPr="004F75EA">
        <w:rPr>
          <w:rFonts w:asciiTheme="minorHAnsi" w:hAnsiTheme="minorHAnsi" w:cstheme="minorHAnsi"/>
          <w:noProof/>
          <w:sz w:val="22"/>
          <w:szCs w:val="22"/>
        </w:rPr>
        <w:tab/>
      </w:r>
      <w:r>
        <w:rPr>
          <w:rFonts w:asciiTheme="minorHAnsi" w:hAnsiTheme="minorHAnsi" w:cstheme="minorHAnsi"/>
          <w:noProof/>
          <w:sz w:val="22"/>
          <w:szCs w:val="22"/>
        </w:rPr>
        <w:tab/>
      </w:r>
      <w:r w:rsidRPr="004F75EA">
        <w:rPr>
          <w:rFonts w:asciiTheme="minorHAnsi" w:hAnsiTheme="minorHAnsi" w:cstheme="minorHAnsi"/>
          <w:noProof/>
          <w:sz w:val="22"/>
          <w:szCs w:val="22"/>
        </w:rPr>
        <w:fldChar w:fldCharType="begin"/>
      </w:r>
      <w:r w:rsidRPr="004F75EA">
        <w:rPr>
          <w:rFonts w:asciiTheme="minorHAnsi" w:hAnsiTheme="minorHAnsi" w:cstheme="minorHAnsi"/>
          <w:noProof/>
          <w:sz w:val="22"/>
          <w:szCs w:val="22"/>
        </w:rPr>
        <w:instrText xml:space="preserve"> PAGEREF _Toc44941975 \h </w:instrText>
      </w:r>
      <w:r w:rsidRPr="004F75EA">
        <w:rPr>
          <w:rFonts w:asciiTheme="minorHAnsi" w:hAnsiTheme="minorHAnsi" w:cstheme="minorHAnsi"/>
          <w:noProof/>
          <w:sz w:val="22"/>
          <w:szCs w:val="22"/>
        </w:rPr>
      </w:r>
      <w:r w:rsidRPr="004F75EA">
        <w:rPr>
          <w:rFonts w:asciiTheme="minorHAnsi" w:hAnsiTheme="minorHAnsi" w:cstheme="minorHAnsi"/>
          <w:noProof/>
          <w:sz w:val="22"/>
          <w:szCs w:val="22"/>
        </w:rPr>
        <w:fldChar w:fldCharType="separate"/>
      </w:r>
      <w:r w:rsidR="00C73332">
        <w:rPr>
          <w:rFonts w:asciiTheme="minorHAnsi" w:hAnsiTheme="minorHAnsi" w:cstheme="minorHAnsi"/>
          <w:noProof/>
          <w:sz w:val="22"/>
          <w:szCs w:val="22"/>
        </w:rPr>
        <w:t>8</w:t>
      </w:r>
      <w:r w:rsidRPr="004F75EA">
        <w:rPr>
          <w:rFonts w:asciiTheme="minorHAnsi" w:hAnsiTheme="minorHAnsi" w:cstheme="minorHAnsi"/>
          <w:noProof/>
          <w:sz w:val="22"/>
          <w:szCs w:val="22"/>
        </w:rPr>
        <w:fldChar w:fldCharType="end"/>
      </w:r>
    </w:p>
    <w:p w:rsidR="008C1EF1" w:rsidP="008C1EF1" w:rsidRDefault="002224E5" w14:paraId="178AEF0E" w14:textId="6A0FF323">
      <w:pPr>
        <w:pStyle w:val="TOC1"/>
        <w:rPr>
          <w:rFonts w:asciiTheme="minorHAnsi" w:hAnsiTheme="minorHAnsi" w:cstheme="minorHAnsi"/>
          <w:sz w:val="22"/>
          <w:szCs w:val="22"/>
        </w:rPr>
      </w:pPr>
      <w:r w:rsidRPr="004F75EA">
        <w:rPr>
          <w:rFonts w:asciiTheme="minorHAnsi" w:hAnsiTheme="minorHAnsi" w:cstheme="minorHAnsi"/>
          <w:sz w:val="22"/>
          <w:szCs w:val="22"/>
        </w:rPr>
        <w:fldChar w:fldCharType="end"/>
      </w:r>
      <w:r w:rsidR="008C1EF1">
        <w:rPr>
          <w:rFonts w:asciiTheme="minorHAnsi" w:hAnsiTheme="minorHAnsi" w:cstheme="minorHAnsi"/>
          <w:sz w:val="22"/>
          <w:szCs w:val="22"/>
        </w:rPr>
        <w:t>Appendix A.</w:t>
      </w:r>
      <w:r w:rsidR="008C1EF1">
        <w:rPr>
          <w:rFonts w:asciiTheme="minorHAnsi" w:hAnsiTheme="minorHAnsi" w:cstheme="minorHAnsi"/>
          <w:sz w:val="22"/>
          <w:szCs w:val="22"/>
        </w:rPr>
        <w:tab/>
      </w:r>
      <w:r w:rsidRPr="008C1EF1" w:rsidR="008C1EF1">
        <w:rPr>
          <w:rFonts w:asciiTheme="minorHAnsi" w:hAnsiTheme="minorHAnsi" w:cstheme="minorHAnsi"/>
          <w:sz w:val="22"/>
          <w:szCs w:val="22"/>
        </w:rPr>
        <w:t>Instructions for Preparing and Submitting the Teacher List</w:t>
      </w:r>
      <w:r w:rsidR="008C1EF1">
        <w:rPr>
          <w:rFonts w:asciiTheme="minorHAnsi" w:hAnsiTheme="minorHAnsi" w:cstheme="minorHAnsi"/>
          <w:sz w:val="22"/>
          <w:szCs w:val="22"/>
        </w:rPr>
        <w:tab/>
      </w:r>
      <w:r w:rsidR="008C1EF1">
        <w:rPr>
          <w:rFonts w:asciiTheme="minorHAnsi" w:hAnsiTheme="minorHAnsi" w:cstheme="minorHAnsi"/>
          <w:sz w:val="22"/>
          <w:szCs w:val="22"/>
        </w:rPr>
        <w:tab/>
        <w:t>A-</w:t>
      </w:r>
      <w:r w:rsidR="00FC4726">
        <w:rPr>
          <w:rFonts w:asciiTheme="minorHAnsi" w:hAnsiTheme="minorHAnsi" w:cstheme="minorHAnsi"/>
          <w:sz w:val="22"/>
          <w:szCs w:val="22"/>
        </w:rPr>
        <w:t>1</w:t>
      </w:r>
    </w:p>
    <w:p w:rsidRPr="008C1EF1" w:rsidR="008C1EF1" w:rsidP="008C1EF1" w:rsidRDefault="008C1EF1" w14:paraId="1B8D1809" w14:textId="03965E26">
      <w:pPr>
        <w:pStyle w:val="TOC1"/>
        <w:rPr>
          <w:rFonts w:asciiTheme="minorHAnsi" w:hAnsiTheme="minorHAnsi" w:cstheme="minorHAnsi"/>
          <w:sz w:val="22"/>
          <w:szCs w:val="22"/>
        </w:rPr>
      </w:pPr>
      <w:r>
        <w:rPr>
          <w:rFonts w:asciiTheme="minorHAnsi" w:hAnsiTheme="minorHAnsi" w:cstheme="minorHAnsi"/>
          <w:sz w:val="22"/>
          <w:szCs w:val="22"/>
        </w:rPr>
        <w:t>Appendix B.</w:t>
      </w:r>
      <w:r>
        <w:rPr>
          <w:rFonts w:asciiTheme="minorHAnsi" w:hAnsiTheme="minorHAnsi" w:cstheme="minorHAnsi"/>
          <w:sz w:val="22"/>
          <w:szCs w:val="22"/>
        </w:rPr>
        <w:tab/>
      </w:r>
      <w:r w:rsidRPr="008C1EF1">
        <w:rPr>
          <w:rFonts w:asciiTheme="minorHAnsi" w:hAnsiTheme="minorHAnsi" w:cstheme="minorHAnsi"/>
          <w:sz w:val="22"/>
          <w:szCs w:val="22"/>
        </w:rPr>
        <w:t>Notification Letters and Follow-up Emails</w:t>
      </w:r>
      <w:r>
        <w:rPr>
          <w:rFonts w:asciiTheme="minorHAnsi" w:hAnsiTheme="minorHAnsi" w:cstheme="minorHAnsi"/>
          <w:sz w:val="22"/>
          <w:szCs w:val="22"/>
        </w:rPr>
        <w:tab/>
      </w:r>
      <w:r>
        <w:rPr>
          <w:rFonts w:asciiTheme="minorHAnsi" w:hAnsiTheme="minorHAnsi" w:cstheme="minorHAnsi"/>
          <w:sz w:val="22"/>
          <w:szCs w:val="22"/>
        </w:rPr>
        <w:tab/>
        <w:t>B-1</w:t>
      </w:r>
    </w:p>
    <w:p w:rsidRPr="00463EBF" w:rsidR="00A21E80" w:rsidP="00463EBF" w:rsidRDefault="00463EBF" w14:paraId="3F1F1A45" w14:textId="6115AC96">
      <w:pPr>
        <w:pStyle w:val="T0-ChapPgHd"/>
        <w:rPr>
          <w:b/>
        </w:rPr>
      </w:pPr>
      <w:r>
        <w:rPr>
          <w:b/>
          <w:noProof/>
        </w:rPr>
        <w:t>Table</w:t>
      </w:r>
    </w:p>
    <w:p w:rsidR="00463EBF" w:rsidP="002224E5" w:rsidRDefault="0084786F" w14:paraId="65984B1C" w14:textId="7856AE3B">
      <w:pPr>
        <w:pStyle w:val="TOC1"/>
        <w:rPr>
          <w:rFonts w:asciiTheme="minorHAnsi" w:hAnsiTheme="minorHAnsi" w:cstheme="minorHAnsi"/>
          <w:sz w:val="22"/>
          <w:szCs w:val="22"/>
        </w:rPr>
      </w:pPr>
      <w:r>
        <w:rPr>
          <w:rFonts w:asciiTheme="minorHAnsi" w:hAnsiTheme="minorHAnsi" w:cstheme="minorHAnsi"/>
          <w:sz w:val="22"/>
          <w:szCs w:val="22"/>
        </w:rPr>
        <w:t>B-</w:t>
      </w:r>
      <w:r w:rsidRPr="00E206D7" w:rsidR="00463EBF">
        <w:rPr>
          <w:rFonts w:asciiTheme="minorHAnsi" w:hAnsiTheme="minorHAnsi" w:cstheme="minorHAnsi"/>
          <w:sz w:val="22"/>
          <w:szCs w:val="22"/>
        </w:rPr>
        <w:t>1</w:t>
      </w:r>
      <w:r w:rsidRPr="00E206D7" w:rsidR="00463EBF">
        <w:rPr>
          <w:rFonts w:asciiTheme="minorHAnsi" w:hAnsiTheme="minorHAnsi" w:cstheme="minorHAnsi"/>
          <w:sz w:val="22"/>
          <w:szCs w:val="22"/>
        </w:rPr>
        <w:tab/>
      </w:r>
      <w:r w:rsidRPr="00E206D7" w:rsidR="00E206D7">
        <w:rPr>
          <w:rFonts w:eastAsia="Calibri" w:asciiTheme="minorHAnsi" w:hAnsiTheme="minorHAnsi"/>
          <w:sz w:val="22"/>
          <w:szCs w:val="22"/>
        </w:rPr>
        <w:t>Subjects, grades, participating districts, and eligible schools involved with the IADA assessment in 2019–20, by IADA program</w:t>
      </w:r>
      <w:r w:rsidRPr="00E206D7" w:rsidR="00463EBF">
        <w:rPr>
          <w:rFonts w:asciiTheme="minorHAnsi" w:hAnsiTheme="minorHAnsi" w:cstheme="minorHAnsi"/>
          <w:sz w:val="22"/>
          <w:szCs w:val="22"/>
        </w:rPr>
        <w:tab/>
      </w:r>
      <w:r w:rsidRPr="00E206D7" w:rsidR="00463EBF">
        <w:rPr>
          <w:rFonts w:asciiTheme="minorHAnsi" w:hAnsiTheme="minorHAnsi" w:cstheme="minorHAnsi"/>
          <w:sz w:val="22"/>
          <w:szCs w:val="22"/>
        </w:rPr>
        <w:tab/>
      </w:r>
      <w:r w:rsidR="00C73332">
        <w:rPr>
          <w:rFonts w:asciiTheme="minorHAnsi" w:hAnsiTheme="minorHAnsi" w:cstheme="minorHAnsi"/>
          <w:sz w:val="22"/>
          <w:szCs w:val="22"/>
        </w:rPr>
        <w:t>1</w:t>
      </w:r>
    </w:p>
    <w:p w:rsidR="00E206D7" w:rsidP="002224E5" w:rsidRDefault="0084786F" w14:paraId="36E2B86D" w14:textId="4A8CEE58">
      <w:pPr>
        <w:pStyle w:val="TOC1"/>
        <w:rPr>
          <w:rFonts w:asciiTheme="minorHAnsi" w:hAnsiTheme="minorHAnsi"/>
          <w:sz w:val="22"/>
          <w:szCs w:val="22"/>
        </w:rPr>
      </w:pPr>
      <w:r>
        <w:rPr>
          <w:rFonts w:asciiTheme="minorHAnsi" w:hAnsiTheme="minorHAnsi" w:cstheme="minorHAnsi"/>
          <w:sz w:val="22"/>
          <w:szCs w:val="22"/>
        </w:rPr>
        <w:t>B-</w:t>
      </w:r>
      <w:r w:rsidRPr="00E206D7" w:rsidR="00E206D7">
        <w:rPr>
          <w:rFonts w:asciiTheme="minorHAnsi" w:hAnsiTheme="minorHAnsi" w:cstheme="minorHAnsi"/>
          <w:sz w:val="22"/>
          <w:szCs w:val="22"/>
        </w:rPr>
        <w:t>2</w:t>
      </w:r>
      <w:r w:rsidRPr="00E206D7" w:rsidR="00E206D7">
        <w:rPr>
          <w:rFonts w:asciiTheme="minorHAnsi" w:hAnsiTheme="minorHAnsi" w:cstheme="minorHAnsi"/>
          <w:sz w:val="22"/>
          <w:szCs w:val="22"/>
        </w:rPr>
        <w:tab/>
      </w:r>
      <w:r w:rsidRPr="00E206D7" w:rsidR="00E206D7">
        <w:rPr>
          <w:rFonts w:asciiTheme="minorHAnsi" w:hAnsiTheme="minorHAnsi"/>
          <w:sz w:val="22"/>
          <w:szCs w:val="22"/>
        </w:rPr>
        <w:t>Proposed sample size targets</w:t>
      </w:r>
      <w:r w:rsidRPr="00E206D7" w:rsidR="00E206D7">
        <w:rPr>
          <w:rFonts w:asciiTheme="minorHAnsi" w:hAnsiTheme="minorHAnsi"/>
          <w:sz w:val="22"/>
          <w:szCs w:val="22"/>
        </w:rPr>
        <w:tab/>
      </w:r>
      <w:r w:rsidR="00E206D7">
        <w:rPr>
          <w:rFonts w:asciiTheme="minorHAnsi" w:hAnsiTheme="minorHAnsi"/>
          <w:sz w:val="22"/>
          <w:szCs w:val="22"/>
        </w:rPr>
        <w:tab/>
      </w:r>
      <w:r w:rsidR="00C73332">
        <w:rPr>
          <w:rFonts w:asciiTheme="minorHAnsi" w:hAnsiTheme="minorHAnsi"/>
          <w:sz w:val="22"/>
          <w:szCs w:val="22"/>
        </w:rPr>
        <w:t>5</w:t>
      </w:r>
    </w:p>
    <w:p w:rsidRPr="00E206D7" w:rsidR="00E206D7" w:rsidP="002224E5" w:rsidRDefault="0084786F" w14:paraId="6D382560" w14:textId="325EEF22">
      <w:pPr>
        <w:pStyle w:val="TOC1"/>
        <w:rPr>
          <w:rFonts w:asciiTheme="minorHAnsi" w:hAnsiTheme="minorHAnsi" w:cstheme="minorHAnsi"/>
          <w:sz w:val="22"/>
          <w:szCs w:val="22"/>
        </w:rPr>
      </w:pPr>
      <w:r>
        <w:rPr>
          <w:rFonts w:asciiTheme="minorHAnsi" w:hAnsiTheme="minorHAnsi"/>
          <w:sz w:val="22"/>
          <w:szCs w:val="22"/>
        </w:rPr>
        <w:t>B-</w:t>
      </w:r>
      <w:r w:rsidRPr="00E206D7" w:rsidR="00E206D7">
        <w:rPr>
          <w:rFonts w:asciiTheme="minorHAnsi" w:hAnsiTheme="minorHAnsi"/>
          <w:sz w:val="22"/>
          <w:szCs w:val="22"/>
        </w:rPr>
        <w:t>3</w:t>
      </w:r>
      <w:r w:rsidRPr="00E206D7" w:rsidR="00E206D7">
        <w:rPr>
          <w:rFonts w:asciiTheme="minorHAnsi" w:hAnsiTheme="minorHAnsi"/>
          <w:sz w:val="22"/>
          <w:szCs w:val="22"/>
        </w:rPr>
        <w:tab/>
        <w:t>Precision of survey-based estimates</w:t>
      </w:r>
      <w:r w:rsidRPr="00E206D7" w:rsidR="00E206D7">
        <w:rPr>
          <w:rFonts w:asciiTheme="minorHAnsi" w:hAnsiTheme="minorHAnsi"/>
          <w:sz w:val="22"/>
          <w:szCs w:val="22"/>
        </w:rPr>
        <w:tab/>
      </w:r>
      <w:r w:rsidRPr="00E206D7" w:rsidR="00E206D7">
        <w:rPr>
          <w:rFonts w:asciiTheme="minorHAnsi" w:hAnsiTheme="minorHAnsi"/>
          <w:sz w:val="22"/>
          <w:szCs w:val="22"/>
        </w:rPr>
        <w:tab/>
      </w:r>
      <w:r w:rsidR="004F75EA">
        <w:rPr>
          <w:rFonts w:asciiTheme="minorHAnsi" w:hAnsiTheme="minorHAnsi"/>
          <w:sz w:val="22"/>
          <w:szCs w:val="22"/>
        </w:rPr>
        <w:t>7</w:t>
      </w:r>
    </w:p>
    <w:p w:rsidRPr="00E206D7" w:rsidR="00A21E80" w:rsidRDefault="00A21E80" w14:paraId="30E827EE" w14:textId="77777777">
      <w:pPr>
        <w:rPr>
          <w:rFonts w:cstheme="minorHAnsi"/>
        </w:rPr>
        <w:sectPr w:rsidRPr="00E206D7" w:rsidR="00A21E80" w:rsidSect="003147F7">
          <w:headerReference w:type="default" r:id="rId15"/>
          <w:footerReference w:type="default" r:id="rId16"/>
          <w:pgSz w:w="12240" w:h="15840"/>
          <w:pgMar w:top="1440" w:right="1440" w:bottom="1260" w:left="1440" w:header="720" w:footer="720" w:gutter="0"/>
          <w:cols w:space="720"/>
          <w:docGrid w:linePitch="360"/>
        </w:sectPr>
      </w:pPr>
    </w:p>
    <w:p w:rsidR="004F75EA" w:rsidP="00887841" w:rsidRDefault="004F75EA" w14:paraId="3939B1A1" w14:textId="7651A1DD">
      <w:pPr>
        <w:pStyle w:val="Title"/>
      </w:pPr>
      <w:r>
        <w:lastRenderedPageBreak/>
        <w:t xml:space="preserve">Part B. </w:t>
      </w:r>
      <w:r w:rsidRPr="000C4942">
        <w:t>Collection of Information Employing Statistical Methods</w:t>
      </w:r>
    </w:p>
    <w:p w:rsidRPr="0083506B" w:rsidR="002439D7" w:rsidP="000C4942" w:rsidRDefault="00F77FBF" w14:paraId="19648304" w14:textId="36428D04">
      <w:pPr>
        <w:rPr>
          <w:rFonts w:cstheme="minorHAnsi"/>
          <w:color w:val="000000"/>
        </w:rPr>
      </w:pPr>
      <w:r w:rsidRPr="0083506B">
        <w:rPr>
          <w:rFonts w:cstheme="minorHAnsi"/>
        </w:rPr>
        <w:t>Since 1994, federal law has required states to</w:t>
      </w:r>
      <w:r w:rsidRPr="0083506B" w:rsidR="0029009B">
        <w:rPr>
          <w:rFonts w:cstheme="minorHAnsi"/>
        </w:rPr>
        <w:t xml:space="preserve"> regularly</w:t>
      </w:r>
      <w:r w:rsidRPr="0083506B">
        <w:rPr>
          <w:rFonts w:cstheme="minorHAnsi"/>
        </w:rPr>
        <w:t xml:space="preserve"> administer assessments</w:t>
      </w:r>
      <w:r w:rsidRPr="0083506B" w:rsidR="00FA094D">
        <w:rPr>
          <w:rFonts w:cstheme="minorHAnsi"/>
        </w:rPr>
        <w:t xml:space="preserve"> to students in selected grades and subjects</w:t>
      </w:r>
      <w:r w:rsidRPr="0083506B" w:rsidR="00F04182">
        <w:rPr>
          <w:rFonts w:cstheme="minorHAnsi"/>
        </w:rPr>
        <w:t>.</w:t>
      </w:r>
      <w:r w:rsidRPr="0083506B" w:rsidR="00EF6B62">
        <w:rPr>
          <w:rStyle w:val="FootnoteReference"/>
          <w:rFonts w:cstheme="minorHAnsi"/>
        </w:rPr>
        <w:footnoteReference w:id="2"/>
      </w:r>
      <w:r w:rsidRPr="0083506B" w:rsidR="00F04182">
        <w:rPr>
          <w:rFonts w:cstheme="minorHAnsi"/>
        </w:rPr>
        <w:t xml:space="preserve"> The</w:t>
      </w:r>
      <w:r w:rsidRPr="0083506B" w:rsidR="00EF6B62">
        <w:rPr>
          <w:rFonts w:cstheme="minorHAnsi"/>
        </w:rPr>
        <w:t xml:space="preserve"> purpose of these</w:t>
      </w:r>
      <w:r w:rsidRPr="0083506B" w:rsidR="00F04182">
        <w:rPr>
          <w:rFonts w:cstheme="minorHAnsi"/>
        </w:rPr>
        <w:t xml:space="preserve"> assessments </w:t>
      </w:r>
      <w:r w:rsidRPr="0083506B" w:rsidR="00EF6B62">
        <w:rPr>
          <w:rFonts w:cstheme="minorHAnsi"/>
        </w:rPr>
        <w:t>is</w:t>
      </w:r>
      <w:r w:rsidRPr="0083506B">
        <w:rPr>
          <w:rFonts w:cstheme="minorHAnsi"/>
        </w:rPr>
        <w:t xml:space="preserve"> </w:t>
      </w:r>
      <w:r w:rsidRPr="0083506B" w:rsidR="005D396D">
        <w:rPr>
          <w:rFonts w:cstheme="minorHAnsi"/>
        </w:rPr>
        <w:t xml:space="preserve">to </w:t>
      </w:r>
      <w:r w:rsidRPr="0083506B" w:rsidR="00EF6B62">
        <w:rPr>
          <w:rFonts w:cstheme="minorHAnsi"/>
        </w:rPr>
        <w:t>inform</w:t>
      </w:r>
      <w:r w:rsidRPr="0083506B" w:rsidR="005D396D">
        <w:rPr>
          <w:rFonts w:cstheme="minorHAnsi"/>
        </w:rPr>
        <w:t xml:space="preserve"> teaching and learning, and to hold schools accountable for student performance</w:t>
      </w:r>
      <w:r w:rsidRPr="0083506B" w:rsidR="00EF6B62">
        <w:rPr>
          <w:rFonts w:cstheme="minorHAnsi"/>
        </w:rPr>
        <w:t>.</w:t>
      </w:r>
      <w:r w:rsidRPr="0083506B">
        <w:rPr>
          <w:rFonts w:cstheme="minorHAnsi"/>
        </w:rPr>
        <w:t xml:space="preserve"> </w:t>
      </w:r>
      <w:r w:rsidRPr="0083506B" w:rsidR="00EA3B0E">
        <w:rPr>
          <w:rFonts w:cstheme="minorHAnsi"/>
        </w:rPr>
        <w:t xml:space="preserve">To improve the quality and usefulness of these assessments, </w:t>
      </w:r>
      <w:r w:rsidRPr="0083506B" w:rsidR="00045689">
        <w:rPr>
          <w:rFonts w:cstheme="minorHAnsi"/>
        </w:rPr>
        <w:t>the law</w:t>
      </w:r>
      <w:r w:rsidRPr="0083506B" w:rsidR="00D56D2E">
        <w:rPr>
          <w:rFonts w:cstheme="minorHAnsi"/>
        </w:rPr>
        <w:t xml:space="preserve"> was most recently</w:t>
      </w:r>
      <w:r w:rsidRPr="0083506B" w:rsidR="00060C3A">
        <w:rPr>
          <w:rFonts w:cstheme="minorHAnsi"/>
        </w:rPr>
        <w:t xml:space="preserve"> updated in 2015</w:t>
      </w:r>
      <w:r w:rsidRPr="0083506B" w:rsidR="00191ADC">
        <w:rPr>
          <w:rFonts w:cstheme="minorHAnsi"/>
        </w:rPr>
        <w:t xml:space="preserve"> </w:t>
      </w:r>
      <w:r w:rsidRPr="0083506B" w:rsidR="00A31FC7">
        <w:rPr>
          <w:rFonts w:cstheme="minorHAnsi"/>
        </w:rPr>
        <w:t>to create an Innovative Assessment Demonstration Authority (IADA) Pilot Program.</w:t>
      </w:r>
      <w:r w:rsidRPr="0083506B" w:rsidR="00060C3A">
        <w:rPr>
          <w:rFonts w:cstheme="minorHAnsi"/>
        </w:rPr>
        <w:t xml:space="preserve"> </w:t>
      </w:r>
      <w:r w:rsidRPr="0083506B" w:rsidR="00D11C4A">
        <w:rPr>
          <w:rFonts w:cstheme="minorHAnsi"/>
        </w:rPr>
        <w:t xml:space="preserve">The program (Title I, Section 1204 of the </w:t>
      </w:r>
      <w:r w:rsidRPr="0083506B" w:rsidR="00D11C4A">
        <w:rPr>
          <w:rFonts w:cstheme="minorHAnsi"/>
          <w:i/>
          <w:iCs/>
        </w:rPr>
        <w:t>Every Student Succeeds Act</w:t>
      </w:r>
      <w:r w:rsidRPr="0083506B" w:rsidR="00D11C4A">
        <w:rPr>
          <w:rFonts w:cstheme="minorHAnsi"/>
        </w:rPr>
        <w:t xml:space="preserve">, or ESSA) allows the </w:t>
      </w:r>
      <w:r w:rsidRPr="0083506B" w:rsidR="005D5DD8">
        <w:rPr>
          <w:rFonts w:cstheme="minorHAnsi"/>
        </w:rPr>
        <w:t>U.S. Department of Education (</w:t>
      </w:r>
      <w:r w:rsidR="002A1004">
        <w:rPr>
          <w:rFonts w:cstheme="minorHAnsi"/>
        </w:rPr>
        <w:t>ED</w:t>
      </w:r>
      <w:r w:rsidRPr="0083506B" w:rsidR="005D5DD8">
        <w:rPr>
          <w:rFonts w:cstheme="minorHAnsi"/>
        </w:rPr>
        <w:t>)</w:t>
      </w:r>
      <w:r w:rsidRPr="0083506B" w:rsidR="00D11C4A">
        <w:rPr>
          <w:rFonts w:cstheme="minorHAnsi"/>
        </w:rPr>
        <w:t xml:space="preserve"> to </w:t>
      </w:r>
      <w:r w:rsidRPr="0083506B" w:rsidR="00B22AF8">
        <w:rPr>
          <w:rFonts w:cstheme="minorHAnsi"/>
        </w:rPr>
        <w:t>exempt</w:t>
      </w:r>
      <w:r w:rsidRPr="0083506B">
        <w:rPr>
          <w:rFonts w:cstheme="minorHAnsi"/>
        </w:rPr>
        <w:t xml:space="preserve"> </w:t>
      </w:r>
      <w:r w:rsidRPr="0083506B" w:rsidR="009C1A55">
        <w:rPr>
          <w:rFonts w:cstheme="minorHAnsi"/>
        </w:rPr>
        <w:t>a handful of</w:t>
      </w:r>
      <w:r w:rsidRPr="0083506B">
        <w:rPr>
          <w:rFonts w:cstheme="minorHAnsi"/>
        </w:rPr>
        <w:t xml:space="preserve"> states</w:t>
      </w:r>
      <w:r w:rsidRPr="0083506B" w:rsidR="00B22AF8">
        <w:rPr>
          <w:rFonts w:cstheme="minorHAnsi"/>
        </w:rPr>
        <w:t xml:space="preserve"> from certain </w:t>
      </w:r>
      <w:r w:rsidRPr="0083506B" w:rsidR="00B422C1">
        <w:rPr>
          <w:rFonts w:cstheme="minorHAnsi"/>
        </w:rPr>
        <w:t xml:space="preserve">testing requirements </w:t>
      </w:r>
      <w:r w:rsidRPr="0083506B" w:rsidR="005D5DD8">
        <w:rPr>
          <w:rFonts w:cstheme="minorHAnsi"/>
        </w:rPr>
        <w:t>if they agree to</w:t>
      </w:r>
      <w:r w:rsidRPr="0083506B" w:rsidR="00B422C1">
        <w:rPr>
          <w:rFonts w:cstheme="minorHAnsi"/>
        </w:rPr>
        <w:t xml:space="preserve"> pilot</w:t>
      </w:r>
      <w:r w:rsidRPr="0083506B">
        <w:rPr>
          <w:rFonts w:cstheme="minorHAnsi"/>
        </w:rPr>
        <w:t xml:space="preserve"> new types of assessments</w:t>
      </w:r>
      <w:r w:rsidRPr="0083506B" w:rsidR="009F24E2">
        <w:rPr>
          <w:rFonts w:cstheme="minorHAnsi"/>
        </w:rPr>
        <w:t>.</w:t>
      </w:r>
      <w:r w:rsidRPr="0083506B">
        <w:rPr>
          <w:rFonts w:cstheme="minorHAnsi"/>
        </w:rPr>
        <w:t xml:space="preserve"> </w:t>
      </w:r>
      <w:r w:rsidR="002A1004">
        <w:rPr>
          <w:rFonts w:cstheme="minorHAnsi"/>
        </w:rPr>
        <w:t>ED</w:t>
      </w:r>
      <w:r w:rsidRPr="00541132" w:rsidR="0084786F">
        <w:rPr>
          <w:rFonts w:cstheme="minorHAnsi"/>
        </w:rPr>
        <w:t>, through its Institute of Education Sciences (IES), is requesting clearance to recruit school districts and collect teacher lists for the Congressionally mandated evaluation of the IADA program. A second package will request clearance for district, principal, and teacher survey instruments and the collection of these data</w:t>
      </w:r>
      <w:r w:rsidR="002A1004">
        <w:rPr>
          <w:rFonts w:cstheme="minorHAnsi"/>
        </w:rPr>
        <w:t>.</w:t>
      </w:r>
    </w:p>
    <w:p w:rsidRPr="002224E5" w:rsidR="0000415E" w:rsidP="002224E5" w:rsidRDefault="00FE77DC" w14:paraId="157F5DA8" w14:textId="037C77E7">
      <w:pPr>
        <w:pStyle w:val="Heading2"/>
      </w:pPr>
      <w:bookmarkStart w:name="_Toc44941959" w:id="0"/>
      <w:r w:rsidRPr="002224E5">
        <w:t>B.1.</w:t>
      </w:r>
      <w:r w:rsidRPr="002224E5">
        <w:tab/>
        <w:t xml:space="preserve">Respondent </w:t>
      </w:r>
      <w:r w:rsidR="004F75EA">
        <w:t>U</w:t>
      </w:r>
      <w:r w:rsidRPr="002224E5">
        <w:t xml:space="preserve">niverse and </w:t>
      </w:r>
      <w:r w:rsidR="004F75EA">
        <w:t>S</w:t>
      </w:r>
      <w:r w:rsidR="00F40FD1">
        <w:t xml:space="preserve">ample </w:t>
      </w:r>
      <w:r w:rsidR="004F75EA">
        <w:t>D</w:t>
      </w:r>
      <w:r w:rsidRPr="002224E5">
        <w:t>esign</w:t>
      </w:r>
      <w:bookmarkEnd w:id="0"/>
    </w:p>
    <w:p w:rsidRPr="0083506B" w:rsidR="00045621" w:rsidP="00E206D7" w:rsidRDefault="00C659FB" w14:paraId="45FA0D0F" w14:textId="46BA24CB">
      <w:pPr>
        <w:rPr>
          <w:rFonts w:cstheme="minorHAnsi"/>
        </w:rPr>
      </w:pPr>
      <w:r>
        <w:rPr>
          <w:rFonts w:cstheme="minorHAnsi"/>
        </w:rPr>
        <w:t>As of July 2020</w:t>
      </w:r>
      <w:r w:rsidRPr="00B44D92" w:rsidR="0084786F">
        <w:rPr>
          <w:rFonts w:cstheme="minorHAnsi"/>
        </w:rPr>
        <w:t xml:space="preserve">, </w:t>
      </w:r>
      <w:r w:rsidRPr="00B44D92" w:rsidR="0084786F">
        <w:rPr>
          <w:rFonts w:cstheme="minorHAnsi"/>
          <w:color w:val="000000"/>
        </w:rPr>
        <w:t>ED has approved five states for the program</w:t>
      </w:r>
      <w:r w:rsidR="0084786F">
        <w:rPr>
          <w:rFonts w:cstheme="minorHAnsi"/>
          <w:color w:val="000000"/>
        </w:rPr>
        <w:t xml:space="preserve">: </w:t>
      </w:r>
      <w:r w:rsidRPr="00B44D92" w:rsidR="0084786F">
        <w:rPr>
          <w:rFonts w:cstheme="minorHAnsi"/>
          <w:color w:val="000000"/>
        </w:rPr>
        <w:t>Louisiana and New Hampshire in 2018, North Carolina and Georgia in 2019, and Massachusetts in 2020.</w:t>
      </w:r>
      <w:r w:rsidR="0084786F">
        <w:rPr>
          <w:rFonts w:cstheme="minorHAnsi"/>
          <w:color w:val="000000"/>
        </w:rPr>
        <w:t xml:space="preserve"> </w:t>
      </w:r>
      <w:r w:rsidRPr="0083506B" w:rsidR="0000415E">
        <w:rPr>
          <w:rFonts w:cstheme="minorHAnsi"/>
        </w:rPr>
        <w:t>The evaluation in</w:t>
      </w:r>
      <w:r w:rsidR="002A1004">
        <w:rPr>
          <w:rFonts w:cstheme="minorHAnsi"/>
        </w:rPr>
        <w:t>cludes</w:t>
      </w:r>
      <w:r w:rsidRPr="0083506B" w:rsidR="00193316">
        <w:rPr>
          <w:rFonts w:cstheme="minorHAnsi"/>
        </w:rPr>
        <w:t xml:space="preserve"> </w:t>
      </w:r>
      <w:r w:rsidRPr="0083506B" w:rsidR="0031408D">
        <w:rPr>
          <w:rFonts w:cstheme="minorHAnsi"/>
        </w:rPr>
        <w:t xml:space="preserve">surveys of all pilot districts in the </w:t>
      </w:r>
      <w:r w:rsidR="0084786F">
        <w:rPr>
          <w:rFonts w:cstheme="minorHAnsi"/>
        </w:rPr>
        <w:t xml:space="preserve">first </w:t>
      </w:r>
      <w:r w:rsidRPr="0083506B" w:rsidR="0031408D">
        <w:rPr>
          <w:rFonts w:cstheme="minorHAnsi"/>
        </w:rPr>
        <w:t>four IADA states and representative samples of principals and teachers in participating schools within the pilot districts.</w:t>
      </w:r>
      <w:r w:rsidRPr="0083506B" w:rsidR="00B82E60">
        <w:rPr>
          <w:rFonts w:cstheme="minorHAnsi"/>
        </w:rPr>
        <w:t xml:space="preserve"> S</w:t>
      </w:r>
      <w:r w:rsidR="005008AD">
        <w:rPr>
          <w:rFonts w:cstheme="minorHAnsi"/>
        </w:rPr>
        <w:t xml:space="preserve">urveys will be administered in </w:t>
      </w:r>
      <w:r w:rsidR="00570E1D">
        <w:rPr>
          <w:rFonts w:cstheme="minorHAnsi"/>
        </w:rPr>
        <w:t>spring</w:t>
      </w:r>
      <w:r w:rsidR="005008AD">
        <w:rPr>
          <w:rFonts w:cstheme="minorHAnsi"/>
        </w:rPr>
        <w:t xml:space="preserve"> 2021 and </w:t>
      </w:r>
      <w:r w:rsidR="00570E1D">
        <w:rPr>
          <w:rFonts w:cstheme="minorHAnsi"/>
        </w:rPr>
        <w:t>spring</w:t>
      </w:r>
      <w:r w:rsidRPr="0083506B" w:rsidR="00B82E60">
        <w:rPr>
          <w:rFonts w:cstheme="minorHAnsi"/>
        </w:rPr>
        <w:t xml:space="preserve"> 2022.</w:t>
      </w:r>
      <w:r w:rsidRPr="0083506B" w:rsidR="0031408D">
        <w:rPr>
          <w:rFonts w:cstheme="minorHAnsi"/>
        </w:rPr>
        <w:t xml:space="preserve"> </w:t>
      </w:r>
      <w:r w:rsidRPr="0083506B" w:rsidR="00193316">
        <w:rPr>
          <w:rFonts w:cstheme="minorHAnsi"/>
        </w:rPr>
        <w:t xml:space="preserve">Under the IADA pilot program, </w:t>
      </w:r>
      <w:r w:rsidRPr="0083506B" w:rsidR="00077DD9">
        <w:rPr>
          <w:rFonts w:cstheme="minorHAnsi"/>
        </w:rPr>
        <w:t xml:space="preserve">states are to scale up the </w:t>
      </w:r>
      <w:r w:rsidRPr="0083506B" w:rsidR="00193316">
        <w:rPr>
          <w:rFonts w:cstheme="minorHAnsi"/>
        </w:rPr>
        <w:t xml:space="preserve">innovative assessment </w:t>
      </w:r>
      <w:r w:rsidRPr="0083506B" w:rsidR="00B82E60">
        <w:rPr>
          <w:rFonts w:cstheme="minorHAnsi"/>
        </w:rPr>
        <w:t xml:space="preserve">to </w:t>
      </w:r>
      <w:r w:rsidRPr="0083506B" w:rsidR="00193316">
        <w:rPr>
          <w:rFonts w:cstheme="minorHAnsi"/>
        </w:rPr>
        <w:t>statewide</w:t>
      </w:r>
      <w:r w:rsidRPr="0083506B" w:rsidR="00B82E60">
        <w:rPr>
          <w:rFonts w:cstheme="minorHAnsi"/>
        </w:rPr>
        <w:t xml:space="preserve"> use</w:t>
      </w:r>
      <w:r w:rsidR="002008A3">
        <w:rPr>
          <w:rFonts w:cstheme="minorHAnsi"/>
        </w:rPr>
        <w:t xml:space="preserve"> over a period of </w:t>
      </w:r>
      <w:r w:rsidR="002A1004">
        <w:rPr>
          <w:rFonts w:cstheme="minorHAnsi"/>
        </w:rPr>
        <w:t>five</w:t>
      </w:r>
      <w:r w:rsidR="007B435A">
        <w:rPr>
          <w:rFonts w:cstheme="minorHAnsi"/>
        </w:rPr>
        <w:t xml:space="preserve"> years</w:t>
      </w:r>
      <w:r w:rsidRPr="0083506B" w:rsidR="00193316">
        <w:rPr>
          <w:rFonts w:cstheme="minorHAnsi"/>
        </w:rPr>
        <w:t xml:space="preserve">. As a result, </w:t>
      </w:r>
      <w:r w:rsidRPr="0083506B" w:rsidR="00077DD9">
        <w:rPr>
          <w:rFonts w:cstheme="minorHAnsi"/>
        </w:rPr>
        <w:t xml:space="preserve">the evaluation team will increase the number of districts, principals, and </w:t>
      </w:r>
      <w:r w:rsidRPr="0083506B" w:rsidR="00E71D3E">
        <w:rPr>
          <w:rFonts w:cstheme="minorHAnsi"/>
        </w:rPr>
        <w:t xml:space="preserve">eligible </w:t>
      </w:r>
      <w:r w:rsidRPr="0083506B" w:rsidR="00077DD9">
        <w:rPr>
          <w:rFonts w:cstheme="minorHAnsi"/>
        </w:rPr>
        <w:t xml:space="preserve">teachers surveyed </w:t>
      </w:r>
      <w:r w:rsidRPr="0083506B" w:rsidR="007B3DC3">
        <w:rPr>
          <w:rFonts w:cstheme="minorHAnsi"/>
        </w:rPr>
        <w:t xml:space="preserve">between the first and second </w:t>
      </w:r>
      <w:r w:rsidR="002A1004">
        <w:rPr>
          <w:rFonts w:cstheme="minorHAnsi"/>
        </w:rPr>
        <w:t>round of surveys</w:t>
      </w:r>
      <w:r w:rsidRPr="0083506B" w:rsidR="007B3DC3">
        <w:rPr>
          <w:rFonts w:cstheme="minorHAnsi"/>
        </w:rPr>
        <w:t xml:space="preserve"> </w:t>
      </w:r>
      <w:r w:rsidRPr="0083506B" w:rsidR="00077DD9">
        <w:rPr>
          <w:rFonts w:cstheme="minorHAnsi"/>
        </w:rPr>
        <w:t>so that the findings from the second year will better represent the</w:t>
      </w:r>
      <w:r w:rsidR="00150F5D">
        <w:rPr>
          <w:rFonts w:cstheme="minorHAnsi"/>
        </w:rPr>
        <w:t xml:space="preserve"> larger</w:t>
      </w:r>
      <w:r w:rsidRPr="0083506B" w:rsidR="00077DD9">
        <w:rPr>
          <w:rFonts w:cstheme="minorHAnsi"/>
        </w:rPr>
        <w:t xml:space="preserve"> </w:t>
      </w:r>
      <w:r w:rsidRPr="0083506B" w:rsidR="008A66CE">
        <w:rPr>
          <w:rFonts w:cstheme="minorHAnsi"/>
        </w:rPr>
        <w:t>mix of participants</w:t>
      </w:r>
      <w:r w:rsidRPr="0083506B" w:rsidR="00743B37">
        <w:rPr>
          <w:rFonts w:cstheme="minorHAnsi"/>
        </w:rPr>
        <w:t xml:space="preserve"> </w:t>
      </w:r>
      <w:r w:rsidR="00150F5D">
        <w:rPr>
          <w:rFonts w:cstheme="minorHAnsi"/>
        </w:rPr>
        <w:t xml:space="preserve">expected </w:t>
      </w:r>
      <w:r w:rsidRPr="0083506B" w:rsidR="00743B37">
        <w:rPr>
          <w:rFonts w:cstheme="minorHAnsi"/>
        </w:rPr>
        <w:t xml:space="preserve">at that time. </w:t>
      </w:r>
    </w:p>
    <w:p w:rsidRPr="002224E5" w:rsidR="00045621" w:rsidP="002224E5" w:rsidRDefault="00045621" w14:paraId="2F267A20" w14:textId="3317D56D">
      <w:pPr>
        <w:pStyle w:val="Heading3"/>
      </w:pPr>
      <w:bookmarkStart w:name="_Toc44941960" w:id="1"/>
      <w:r w:rsidRPr="0083506B">
        <w:t>B.1.1.</w:t>
      </w:r>
      <w:r w:rsidRPr="0083506B">
        <w:tab/>
        <w:t xml:space="preserve">District </w:t>
      </w:r>
      <w:r w:rsidR="004F75EA">
        <w:t>S</w:t>
      </w:r>
      <w:r w:rsidRPr="0083506B">
        <w:t>ample</w:t>
      </w:r>
      <w:bookmarkEnd w:id="1"/>
    </w:p>
    <w:p w:rsidRPr="0083506B" w:rsidR="005411D8" w:rsidP="00E206D7" w:rsidRDefault="00A24DE3" w14:paraId="29021926" w14:textId="32D38F78">
      <w:pPr>
        <w:rPr>
          <w:rFonts w:cstheme="minorHAnsi"/>
        </w:rPr>
      </w:pPr>
      <w:r w:rsidRPr="0083506B">
        <w:rPr>
          <w:rFonts w:cstheme="minorHAnsi"/>
        </w:rPr>
        <w:t xml:space="preserve">All participating districts in the </w:t>
      </w:r>
      <w:r w:rsidR="006849CF">
        <w:rPr>
          <w:rFonts w:cstheme="minorHAnsi"/>
        </w:rPr>
        <w:t xml:space="preserve">first </w:t>
      </w:r>
      <w:r w:rsidRPr="0083506B">
        <w:rPr>
          <w:rFonts w:cstheme="minorHAnsi"/>
        </w:rPr>
        <w:t>four pilot states</w:t>
      </w:r>
      <w:r w:rsidR="00624E9C">
        <w:rPr>
          <w:rFonts w:cstheme="minorHAnsi"/>
        </w:rPr>
        <w:t xml:space="preserve"> (Louisiana, New Hampshire, North Carolina, and Georgia)</w:t>
      </w:r>
      <w:r w:rsidRPr="0083506B">
        <w:rPr>
          <w:rFonts w:cstheme="minorHAnsi"/>
        </w:rPr>
        <w:t xml:space="preserve"> will be surveyed in each of the two survey years.</w:t>
      </w:r>
      <w:r w:rsidRPr="0083506B" w:rsidR="005411D8">
        <w:rPr>
          <w:rFonts w:cstheme="minorHAnsi"/>
        </w:rPr>
        <w:t xml:space="preserve"> There is one IADA program per state except for Georgia, which is piloting two </w:t>
      </w:r>
      <w:r w:rsidR="00C96077">
        <w:rPr>
          <w:rFonts w:cstheme="minorHAnsi"/>
        </w:rPr>
        <w:t xml:space="preserve">innovative </w:t>
      </w:r>
      <w:r w:rsidRPr="0083506B" w:rsidR="005411D8">
        <w:rPr>
          <w:rFonts w:cstheme="minorHAnsi"/>
        </w:rPr>
        <w:t xml:space="preserve">assessments in different sets of districts. </w:t>
      </w:r>
      <w:r w:rsidR="00DA37F8">
        <w:rPr>
          <w:rFonts w:cstheme="minorHAnsi"/>
        </w:rPr>
        <w:t>P</w:t>
      </w:r>
      <w:r w:rsidRPr="0083506B" w:rsidR="005411D8">
        <w:rPr>
          <w:rFonts w:cstheme="minorHAnsi"/>
        </w:rPr>
        <w:t xml:space="preserve">rogram implementation </w:t>
      </w:r>
      <w:r w:rsidR="00DA37F8">
        <w:rPr>
          <w:rFonts w:cstheme="minorHAnsi"/>
        </w:rPr>
        <w:t>may</w:t>
      </w:r>
      <w:r w:rsidRPr="0083506B" w:rsidR="005411D8">
        <w:rPr>
          <w:rFonts w:cstheme="minorHAnsi"/>
        </w:rPr>
        <w:t xml:space="preserve"> vary </w:t>
      </w:r>
      <w:r w:rsidR="00DA37F8">
        <w:rPr>
          <w:rFonts w:cstheme="minorHAnsi"/>
        </w:rPr>
        <w:t>across</w:t>
      </w:r>
      <w:r w:rsidRPr="0083506B" w:rsidR="005411D8">
        <w:rPr>
          <w:rFonts w:cstheme="minorHAnsi"/>
        </w:rPr>
        <w:t xml:space="preserve"> IADA </w:t>
      </w:r>
      <w:r w:rsidR="00BE3B5F">
        <w:rPr>
          <w:rFonts w:cstheme="minorHAnsi"/>
        </w:rPr>
        <w:t>assessments</w:t>
      </w:r>
      <w:r w:rsidRPr="0083506B" w:rsidR="005411D8">
        <w:rPr>
          <w:rFonts w:cstheme="minorHAnsi"/>
        </w:rPr>
        <w:t xml:space="preserve"> and across districts</w:t>
      </w:r>
      <w:r w:rsidR="00BE3B5F">
        <w:rPr>
          <w:rFonts w:cstheme="minorHAnsi"/>
        </w:rPr>
        <w:t xml:space="preserve"> that are piloting the same</w:t>
      </w:r>
      <w:r w:rsidRPr="0083506B" w:rsidR="005411D8">
        <w:rPr>
          <w:rFonts w:cstheme="minorHAnsi"/>
        </w:rPr>
        <w:t xml:space="preserve"> </w:t>
      </w:r>
      <w:r w:rsidR="00BE3B5F">
        <w:rPr>
          <w:rFonts w:cstheme="minorHAnsi"/>
        </w:rPr>
        <w:t>innovative assessment</w:t>
      </w:r>
      <w:r w:rsidR="00C463F8">
        <w:rPr>
          <w:rFonts w:cstheme="minorHAnsi"/>
        </w:rPr>
        <w:t>, particularly</w:t>
      </w:r>
      <w:r w:rsidRPr="0083506B" w:rsidR="005411D8">
        <w:rPr>
          <w:rFonts w:cstheme="minorHAnsi"/>
        </w:rPr>
        <w:t xml:space="preserve"> as new districts join the </w:t>
      </w:r>
      <w:r w:rsidR="00C463F8">
        <w:rPr>
          <w:rFonts w:cstheme="minorHAnsi"/>
        </w:rPr>
        <w:t>pilot</w:t>
      </w:r>
      <w:r w:rsidRPr="0083506B" w:rsidR="005411D8">
        <w:rPr>
          <w:rFonts w:cstheme="minorHAnsi"/>
        </w:rPr>
        <w:t xml:space="preserve">. </w:t>
      </w:r>
      <w:r w:rsidR="009436F3">
        <w:rPr>
          <w:rFonts w:cstheme="minorHAnsi"/>
        </w:rPr>
        <w:t>Including all participating districts in t</w:t>
      </w:r>
      <w:r w:rsidRPr="0083506B" w:rsidR="005411D8">
        <w:rPr>
          <w:rFonts w:cstheme="minorHAnsi"/>
        </w:rPr>
        <w:t xml:space="preserve">he district survey will </w:t>
      </w:r>
      <w:r w:rsidR="009436F3">
        <w:rPr>
          <w:rFonts w:cstheme="minorHAnsi"/>
        </w:rPr>
        <w:t>allow</w:t>
      </w:r>
      <w:r w:rsidRPr="0083506B" w:rsidR="005411D8">
        <w:rPr>
          <w:rFonts w:cstheme="minorHAnsi"/>
        </w:rPr>
        <w:t xml:space="preserve"> the </w:t>
      </w:r>
      <w:r w:rsidR="00054B09">
        <w:rPr>
          <w:rFonts w:cstheme="minorHAnsi"/>
        </w:rPr>
        <w:t>evaluation</w:t>
      </w:r>
      <w:r w:rsidR="009436F3">
        <w:rPr>
          <w:rFonts w:cstheme="minorHAnsi"/>
        </w:rPr>
        <w:t xml:space="preserve"> to</w:t>
      </w:r>
      <w:r w:rsidR="00054B09">
        <w:rPr>
          <w:rFonts w:cstheme="minorHAnsi"/>
        </w:rPr>
        <w:t xml:space="preserve"> </w:t>
      </w:r>
      <w:r w:rsidR="009436F3">
        <w:rPr>
          <w:rFonts w:cstheme="minorHAnsi"/>
        </w:rPr>
        <w:t xml:space="preserve">fully </w:t>
      </w:r>
      <w:r w:rsidRPr="0083506B" w:rsidR="005411D8">
        <w:rPr>
          <w:rFonts w:cstheme="minorHAnsi"/>
        </w:rPr>
        <w:t>capture variation in implementation across districts.</w:t>
      </w:r>
      <w:r w:rsidR="00862628">
        <w:rPr>
          <w:rFonts w:cstheme="minorHAnsi"/>
        </w:rPr>
        <w:t xml:space="preserve"> </w:t>
      </w:r>
      <w:r w:rsidR="002355EF">
        <w:rPr>
          <w:rFonts w:cstheme="minorHAnsi"/>
        </w:rPr>
        <w:t xml:space="preserve">For context, </w:t>
      </w:r>
      <w:r w:rsidRPr="0083506B" w:rsidDel="008C4454" w:rsidR="00862628">
        <w:rPr>
          <w:rFonts w:cstheme="minorHAnsi"/>
        </w:rPr>
        <w:t xml:space="preserve">Table </w:t>
      </w:r>
      <w:r w:rsidR="006849CF">
        <w:rPr>
          <w:rFonts w:cstheme="minorHAnsi"/>
        </w:rPr>
        <w:t>B-</w:t>
      </w:r>
      <w:r w:rsidRPr="0083506B" w:rsidDel="008C4454" w:rsidR="00862628">
        <w:rPr>
          <w:rFonts w:cstheme="minorHAnsi"/>
        </w:rPr>
        <w:t xml:space="preserve">1 </w:t>
      </w:r>
      <w:r w:rsidR="00BA4A44">
        <w:rPr>
          <w:rFonts w:cstheme="minorHAnsi"/>
        </w:rPr>
        <w:t>illustrates the grades and subjects</w:t>
      </w:r>
      <w:r w:rsidR="00231B1C">
        <w:rPr>
          <w:rFonts w:cstheme="minorHAnsi"/>
        </w:rPr>
        <w:t>, as well as estimated number of districts and schools</w:t>
      </w:r>
      <w:r w:rsidR="00BA4A44">
        <w:rPr>
          <w:rFonts w:cstheme="minorHAnsi"/>
        </w:rPr>
        <w:t xml:space="preserve"> involved in each </w:t>
      </w:r>
      <w:r w:rsidR="000554DA">
        <w:rPr>
          <w:rFonts w:cstheme="minorHAnsi"/>
        </w:rPr>
        <w:t xml:space="preserve">innovative assessment </w:t>
      </w:r>
      <w:r w:rsidRPr="0083506B" w:rsidDel="008C4454" w:rsidR="00862628">
        <w:rPr>
          <w:rFonts w:cstheme="minorHAnsi"/>
        </w:rPr>
        <w:t>for the 2019</w:t>
      </w:r>
      <w:r w:rsidRPr="0083506B" w:rsidR="00862628">
        <w:rPr>
          <w:rFonts w:cstheme="minorHAnsi"/>
        </w:rPr>
        <w:t>–</w:t>
      </w:r>
      <w:r w:rsidRPr="0083506B" w:rsidDel="008C4454" w:rsidR="00862628">
        <w:rPr>
          <w:rFonts w:cstheme="minorHAnsi"/>
        </w:rPr>
        <w:t>20 school year, which is the most recent school year with data available</w:t>
      </w:r>
      <w:r w:rsidRPr="0083506B" w:rsidR="00862628">
        <w:rPr>
          <w:rFonts w:cstheme="minorHAnsi"/>
        </w:rPr>
        <w:t>.</w:t>
      </w:r>
    </w:p>
    <w:p w:rsidRPr="00E97B68" w:rsidR="005411D8" w:rsidP="005411D8" w:rsidRDefault="005411D8" w14:paraId="15F80CF2" w14:textId="28724B18">
      <w:pPr>
        <w:pStyle w:val="TT-TableTitle"/>
        <w:rPr>
          <w:rFonts w:eastAsia="Calibri" w:asciiTheme="minorHAnsi" w:hAnsiTheme="minorHAnsi"/>
          <w:b/>
          <w:szCs w:val="22"/>
        </w:rPr>
      </w:pPr>
      <w:r w:rsidRPr="00E97B68">
        <w:rPr>
          <w:rFonts w:eastAsia="Calibri" w:asciiTheme="minorHAnsi" w:hAnsiTheme="minorHAnsi"/>
          <w:b/>
          <w:szCs w:val="22"/>
        </w:rPr>
        <w:t xml:space="preserve">Table </w:t>
      </w:r>
      <w:r w:rsidR="006849CF">
        <w:rPr>
          <w:rFonts w:eastAsia="Calibri" w:asciiTheme="minorHAnsi" w:hAnsiTheme="minorHAnsi"/>
          <w:b/>
          <w:szCs w:val="22"/>
        </w:rPr>
        <w:t>B-</w:t>
      </w:r>
      <w:r w:rsidRPr="00E97B68">
        <w:rPr>
          <w:rFonts w:eastAsia="Calibri" w:asciiTheme="minorHAnsi" w:hAnsiTheme="minorHAnsi"/>
          <w:b/>
          <w:szCs w:val="22"/>
        </w:rPr>
        <w:t>1.</w:t>
      </w:r>
      <w:r w:rsidRPr="00E97B68">
        <w:rPr>
          <w:rFonts w:eastAsia="Calibri" w:asciiTheme="minorHAnsi" w:hAnsiTheme="minorHAnsi"/>
          <w:b/>
          <w:szCs w:val="22"/>
        </w:rPr>
        <w:tab/>
      </w:r>
      <w:r w:rsidRPr="00E97B68" w:rsidR="0002380E">
        <w:rPr>
          <w:rFonts w:eastAsia="Calibri" w:asciiTheme="minorHAnsi" w:hAnsiTheme="minorHAnsi"/>
          <w:b/>
          <w:szCs w:val="22"/>
        </w:rPr>
        <w:t xml:space="preserve">Subjects, grades, participating districts, and eligible schools involved with the IADA assessment in </w:t>
      </w:r>
      <w:r w:rsidRPr="00E97B68">
        <w:rPr>
          <w:rFonts w:eastAsia="Calibri" w:asciiTheme="minorHAnsi" w:hAnsiTheme="minorHAnsi"/>
          <w:b/>
          <w:szCs w:val="22"/>
        </w:rPr>
        <w:t>2019–20, by IADA program</w:t>
      </w:r>
    </w:p>
    <w:tbl>
      <w:tblPr>
        <w:tblStyle w:val="TableWestatStandardFormat1"/>
        <w:tblW w:w="9355" w:type="dxa"/>
        <w:tblLook w:val="04A0" w:firstRow="1" w:lastRow="0" w:firstColumn="1" w:lastColumn="0" w:noHBand="0" w:noVBand="1"/>
      </w:tblPr>
      <w:tblGrid>
        <w:gridCol w:w="2065"/>
        <w:gridCol w:w="3645"/>
        <w:gridCol w:w="3645"/>
      </w:tblGrid>
      <w:tr w:rsidRPr="0083506B" w:rsidR="00BA33FA" w:rsidTr="00BA33FA" w14:paraId="65CD8314" w14:textId="76A4671F">
        <w:trPr>
          <w:cnfStyle w:val="100000000000" w:firstRow="1" w:lastRow="0" w:firstColumn="0" w:lastColumn="0" w:oddVBand="0" w:evenVBand="0" w:oddHBand="0" w:evenHBand="0" w:firstRowFirstColumn="0" w:firstRowLastColumn="0" w:lastRowFirstColumn="0" w:lastRowLastColumn="0"/>
        </w:trPr>
        <w:tc>
          <w:tcPr>
            <w:tcW w:w="2065" w:type="dxa"/>
          </w:tcPr>
          <w:p w:rsidRPr="0083506B" w:rsidR="00BA33FA" w:rsidP="00BA33FA" w:rsidRDefault="00BA33FA" w14:paraId="681561A0" w14:textId="77777777">
            <w:pPr>
              <w:pStyle w:val="TH-TableHeading"/>
              <w:rPr>
                <w:rFonts w:eastAsia="Calibri" w:asciiTheme="minorHAnsi" w:hAnsiTheme="minorHAnsi"/>
                <w:sz w:val="22"/>
                <w:szCs w:val="22"/>
              </w:rPr>
            </w:pPr>
            <w:r w:rsidRPr="0083506B">
              <w:rPr>
                <w:rFonts w:eastAsia="Calibri" w:asciiTheme="minorHAnsi" w:hAnsiTheme="minorHAnsi"/>
                <w:sz w:val="22"/>
                <w:szCs w:val="22"/>
              </w:rPr>
              <w:t>IADA program</w:t>
            </w:r>
          </w:p>
        </w:tc>
        <w:tc>
          <w:tcPr>
            <w:tcW w:w="3645" w:type="dxa"/>
          </w:tcPr>
          <w:p w:rsidRPr="0083506B" w:rsidR="00BA33FA" w:rsidP="00BA33FA" w:rsidRDefault="00BA33FA" w14:paraId="5102719D" w14:textId="77777777">
            <w:pPr>
              <w:pStyle w:val="TH-TableHeading"/>
              <w:rPr>
                <w:rFonts w:eastAsia="Calibri" w:asciiTheme="minorHAnsi" w:hAnsiTheme="minorHAnsi"/>
                <w:sz w:val="22"/>
                <w:szCs w:val="22"/>
              </w:rPr>
            </w:pPr>
            <w:r w:rsidRPr="0083506B">
              <w:rPr>
                <w:rFonts w:eastAsia="Calibri" w:asciiTheme="minorHAnsi" w:hAnsiTheme="minorHAnsi"/>
                <w:sz w:val="22"/>
                <w:szCs w:val="22"/>
              </w:rPr>
              <w:t xml:space="preserve">Subjects and grades involved </w:t>
            </w:r>
            <w:r w:rsidRPr="0083506B">
              <w:rPr>
                <w:rFonts w:eastAsia="Calibri" w:asciiTheme="minorHAnsi" w:hAnsiTheme="minorHAnsi"/>
                <w:sz w:val="22"/>
                <w:szCs w:val="22"/>
              </w:rPr>
              <w:br/>
              <w:t>with the IADA assessment</w:t>
            </w:r>
          </w:p>
        </w:tc>
        <w:tc>
          <w:tcPr>
            <w:tcW w:w="3645" w:type="dxa"/>
          </w:tcPr>
          <w:p w:rsidRPr="0083506B" w:rsidR="00BA33FA" w:rsidP="00BA33FA" w:rsidRDefault="00BA33FA" w14:paraId="7D1D2C84" w14:textId="2DF8A1F4">
            <w:pPr>
              <w:pStyle w:val="TH-TableHeading"/>
              <w:rPr>
                <w:rFonts w:eastAsia="Calibri" w:asciiTheme="minorHAnsi" w:hAnsiTheme="minorHAnsi"/>
                <w:sz w:val="22"/>
                <w:szCs w:val="22"/>
              </w:rPr>
            </w:pPr>
            <w:r w:rsidRPr="0083506B">
              <w:rPr>
                <w:rFonts w:eastAsia="Calibri" w:asciiTheme="minorHAnsi" w:hAnsiTheme="minorHAnsi"/>
                <w:sz w:val="22"/>
                <w:szCs w:val="22"/>
              </w:rPr>
              <w:t>Estimated number of participating districts and eligible schools</w:t>
            </w:r>
          </w:p>
        </w:tc>
      </w:tr>
      <w:tr w:rsidRPr="0083506B" w:rsidR="00BA33FA" w:rsidTr="00BA33FA" w14:paraId="2B792ED5" w14:textId="6CD83190">
        <w:tc>
          <w:tcPr>
            <w:tcW w:w="2065" w:type="dxa"/>
            <w:tcBorders>
              <w:bottom w:val="single" w:color="auto" w:sz="4" w:space="0"/>
            </w:tcBorders>
          </w:tcPr>
          <w:p w:rsidRPr="0083506B" w:rsidR="00BA33FA" w:rsidP="00BA33FA" w:rsidRDefault="00BA33FA" w14:paraId="182A7773" w14:textId="77777777">
            <w:pPr>
              <w:pStyle w:val="TX-TableText"/>
              <w:rPr>
                <w:rFonts w:eastAsia="Calibri" w:asciiTheme="minorHAnsi" w:hAnsiTheme="minorHAnsi"/>
                <w:sz w:val="22"/>
                <w:szCs w:val="22"/>
              </w:rPr>
            </w:pPr>
            <w:r w:rsidRPr="0083506B">
              <w:rPr>
                <w:rFonts w:asciiTheme="minorHAnsi" w:hAnsiTheme="minorHAnsi"/>
                <w:sz w:val="22"/>
                <w:szCs w:val="22"/>
              </w:rPr>
              <w:t>New Hampshire (PACE assessment)</w:t>
            </w:r>
          </w:p>
        </w:tc>
        <w:tc>
          <w:tcPr>
            <w:tcW w:w="3645" w:type="dxa"/>
            <w:tcBorders>
              <w:bottom w:val="single" w:color="auto" w:sz="4" w:space="0"/>
            </w:tcBorders>
          </w:tcPr>
          <w:p w:rsidRPr="0083506B" w:rsidR="00BA33FA" w:rsidP="00BA33FA" w:rsidRDefault="00BA33FA" w14:paraId="640E37FF" w14:textId="77777777">
            <w:pPr>
              <w:pStyle w:val="TX-TableText"/>
              <w:spacing w:after="120"/>
              <w:rPr>
                <w:rFonts w:cs="Calibri" w:asciiTheme="minorHAnsi" w:hAnsiTheme="minorHAnsi"/>
                <w:bCs/>
                <w:color w:val="000000"/>
                <w:sz w:val="22"/>
                <w:szCs w:val="22"/>
              </w:rPr>
            </w:pPr>
            <w:r w:rsidRPr="0083506B">
              <w:rPr>
                <w:rFonts w:cs="Calibri" w:asciiTheme="minorHAnsi" w:hAnsiTheme="minorHAnsi"/>
                <w:bCs/>
                <w:color w:val="000000"/>
                <w:sz w:val="22"/>
                <w:szCs w:val="22"/>
              </w:rPr>
              <w:t>Subjects: ELA, math, science</w:t>
            </w:r>
          </w:p>
          <w:p w:rsidRPr="0083506B" w:rsidR="00BA33FA" w:rsidP="00BA33FA" w:rsidRDefault="00BA33FA" w14:paraId="108723E8" w14:textId="77777777">
            <w:pPr>
              <w:pStyle w:val="TX-TableText"/>
              <w:spacing w:after="120"/>
              <w:rPr>
                <w:rFonts w:eastAsia="Calibri" w:asciiTheme="minorHAnsi" w:hAnsiTheme="minorHAnsi"/>
                <w:sz w:val="22"/>
                <w:szCs w:val="22"/>
              </w:rPr>
            </w:pPr>
            <w:r w:rsidRPr="0083506B">
              <w:rPr>
                <w:rFonts w:cs="Calibri" w:asciiTheme="minorHAnsi" w:hAnsiTheme="minorHAnsi"/>
                <w:bCs/>
                <w:color w:val="000000"/>
                <w:sz w:val="22"/>
                <w:szCs w:val="22"/>
              </w:rPr>
              <w:lastRenderedPageBreak/>
              <w:t>Grades: Varies by subject</w:t>
            </w:r>
          </w:p>
        </w:tc>
        <w:tc>
          <w:tcPr>
            <w:tcW w:w="3645" w:type="dxa"/>
            <w:tcBorders>
              <w:bottom w:val="single" w:color="auto" w:sz="4" w:space="0"/>
            </w:tcBorders>
          </w:tcPr>
          <w:p w:rsidRPr="0083506B" w:rsidR="00BA33FA" w:rsidP="00BA33FA" w:rsidRDefault="00BA33FA" w14:paraId="3669E2AF" w14:textId="77777777">
            <w:pPr>
              <w:pStyle w:val="TX-TableText"/>
              <w:spacing w:after="120"/>
              <w:rPr>
                <w:rFonts w:asciiTheme="minorHAnsi" w:hAnsiTheme="minorHAnsi"/>
                <w:sz w:val="22"/>
                <w:szCs w:val="22"/>
              </w:rPr>
            </w:pPr>
            <w:r w:rsidRPr="0083506B">
              <w:rPr>
                <w:rFonts w:asciiTheme="minorHAnsi" w:hAnsiTheme="minorHAnsi"/>
                <w:sz w:val="22"/>
                <w:szCs w:val="22"/>
              </w:rPr>
              <w:lastRenderedPageBreak/>
              <w:t>15 districts</w:t>
            </w:r>
          </w:p>
          <w:p w:rsidRPr="0083506B" w:rsidR="00BA33FA" w:rsidP="00E206D7" w:rsidRDefault="00BA33FA" w14:paraId="6DEF3A30" w14:textId="572927EC">
            <w:pPr>
              <w:pStyle w:val="TX-TableText"/>
              <w:spacing w:after="120"/>
              <w:rPr>
                <w:rFonts w:cs="Calibri" w:asciiTheme="minorHAnsi" w:hAnsiTheme="minorHAnsi"/>
                <w:bCs/>
                <w:color w:val="000000"/>
                <w:sz w:val="22"/>
                <w:szCs w:val="22"/>
              </w:rPr>
            </w:pPr>
            <w:r w:rsidRPr="0083506B">
              <w:rPr>
                <w:rFonts w:asciiTheme="minorHAnsi" w:hAnsiTheme="minorHAnsi"/>
                <w:sz w:val="22"/>
                <w:szCs w:val="22"/>
              </w:rPr>
              <w:lastRenderedPageBreak/>
              <w:t>48 schools</w:t>
            </w:r>
            <w:r w:rsidRPr="0083506B">
              <w:rPr>
                <w:rFonts w:cs="Calibri" w:asciiTheme="minorHAnsi" w:hAnsiTheme="minorHAnsi"/>
                <w:bCs/>
                <w:color w:val="000000"/>
                <w:sz w:val="22"/>
                <w:szCs w:val="22"/>
              </w:rPr>
              <w:t xml:space="preserve"> (has any of grades 3</w:t>
            </w:r>
            <w:r w:rsidR="00E206D7">
              <w:rPr>
                <w:rFonts w:cs="Calibri" w:asciiTheme="minorHAnsi" w:hAnsiTheme="minorHAnsi"/>
                <w:bCs/>
                <w:color w:val="000000"/>
                <w:sz w:val="22"/>
                <w:szCs w:val="22"/>
              </w:rPr>
              <w:t>–</w:t>
            </w:r>
            <w:r w:rsidRPr="0083506B">
              <w:rPr>
                <w:rFonts w:cs="Calibri" w:asciiTheme="minorHAnsi" w:hAnsiTheme="minorHAnsi"/>
                <w:bCs/>
                <w:color w:val="000000"/>
                <w:sz w:val="22"/>
                <w:szCs w:val="22"/>
              </w:rPr>
              <w:t>8 or high school)</w:t>
            </w:r>
          </w:p>
        </w:tc>
      </w:tr>
      <w:tr w:rsidRPr="0083506B" w:rsidR="00BA33FA" w:rsidTr="00BA33FA" w14:paraId="10165A89" w14:textId="35F9204A">
        <w:tc>
          <w:tcPr>
            <w:tcW w:w="2065" w:type="dxa"/>
            <w:tcBorders>
              <w:top w:val="single" w:color="auto" w:sz="4" w:space="0"/>
              <w:bottom w:val="single" w:color="auto" w:sz="4" w:space="0"/>
            </w:tcBorders>
          </w:tcPr>
          <w:p w:rsidRPr="0083506B" w:rsidR="00BA33FA" w:rsidP="00BA33FA" w:rsidRDefault="00BA33FA" w14:paraId="63067A04" w14:textId="77777777">
            <w:pPr>
              <w:pStyle w:val="TX-TableText"/>
              <w:rPr>
                <w:rFonts w:eastAsia="Calibri" w:asciiTheme="minorHAnsi" w:hAnsiTheme="minorHAnsi"/>
                <w:sz w:val="22"/>
                <w:szCs w:val="22"/>
              </w:rPr>
            </w:pPr>
            <w:r w:rsidRPr="0083506B">
              <w:rPr>
                <w:rFonts w:asciiTheme="minorHAnsi" w:hAnsiTheme="minorHAnsi"/>
                <w:sz w:val="22"/>
                <w:szCs w:val="22"/>
              </w:rPr>
              <w:lastRenderedPageBreak/>
              <w:t>Louisiana (LEAP assessment)</w:t>
            </w:r>
          </w:p>
        </w:tc>
        <w:tc>
          <w:tcPr>
            <w:tcW w:w="3645" w:type="dxa"/>
            <w:tcBorders>
              <w:top w:val="single" w:color="auto" w:sz="4" w:space="0"/>
              <w:bottom w:val="single" w:color="auto" w:sz="4" w:space="0"/>
            </w:tcBorders>
          </w:tcPr>
          <w:p w:rsidRPr="0083506B" w:rsidR="00BA33FA" w:rsidP="00BA33FA" w:rsidRDefault="00BA33FA" w14:paraId="4FF46073" w14:textId="77777777">
            <w:pPr>
              <w:pStyle w:val="TX-TableText"/>
              <w:spacing w:after="120"/>
              <w:rPr>
                <w:rFonts w:asciiTheme="minorHAnsi" w:hAnsiTheme="minorHAnsi"/>
                <w:sz w:val="22"/>
                <w:szCs w:val="22"/>
              </w:rPr>
            </w:pPr>
            <w:r w:rsidRPr="0083506B">
              <w:rPr>
                <w:rFonts w:cs="Calibri" w:asciiTheme="minorHAnsi" w:hAnsiTheme="minorHAnsi"/>
                <w:bCs/>
                <w:color w:val="000000"/>
                <w:sz w:val="22"/>
                <w:szCs w:val="22"/>
              </w:rPr>
              <w:t xml:space="preserve">Subjects: </w:t>
            </w:r>
            <w:r w:rsidRPr="0083506B">
              <w:rPr>
                <w:rFonts w:asciiTheme="minorHAnsi" w:hAnsiTheme="minorHAnsi"/>
                <w:sz w:val="22"/>
                <w:szCs w:val="22"/>
              </w:rPr>
              <w:t>Humanities, which integrates ELA and social studies content</w:t>
            </w:r>
          </w:p>
          <w:p w:rsidRPr="00BA33FA" w:rsidR="00BA33FA" w:rsidP="00E206D7" w:rsidRDefault="00BA33FA" w14:paraId="3E8504CF" w14:textId="08155F7E">
            <w:pPr>
              <w:pStyle w:val="TX-TableText"/>
              <w:spacing w:after="120"/>
              <w:rPr>
                <w:rFonts w:asciiTheme="minorHAnsi" w:hAnsiTheme="minorHAnsi"/>
                <w:sz w:val="22"/>
                <w:szCs w:val="22"/>
              </w:rPr>
            </w:pPr>
            <w:r w:rsidRPr="0083506B">
              <w:rPr>
                <w:rFonts w:asciiTheme="minorHAnsi" w:hAnsiTheme="minorHAnsi"/>
                <w:sz w:val="22"/>
                <w:szCs w:val="22"/>
              </w:rPr>
              <w:t>Grades: 7 in 2019-20 expan</w:t>
            </w:r>
            <w:r>
              <w:rPr>
                <w:rFonts w:asciiTheme="minorHAnsi" w:hAnsiTheme="minorHAnsi"/>
                <w:sz w:val="22"/>
                <w:szCs w:val="22"/>
              </w:rPr>
              <w:t>ding to 6</w:t>
            </w:r>
            <w:r w:rsidR="00E206D7">
              <w:rPr>
                <w:rFonts w:asciiTheme="minorHAnsi" w:hAnsiTheme="minorHAnsi"/>
                <w:sz w:val="22"/>
                <w:szCs w:val="22"/>
              </w:rPr>
              <w:t>–</w:t>
            </w:r>
            <w:r>
              <w:rPr>
                <w:rFonts w:asciiTheme="minorHAnsi" w:hAnsiTheme="minorHAnsi"/>
                <w:sz w:val="22"/>
                <w:szCs w:val="22"/>
              </w:rPr>
              <w:t>8 in 2020</w:t>
            </w:r>
            <w:r w:rsidR="00E206D7">
              <w:rPr>
                <w:rFonts w:asciiTheme="minorHAnsi" w:hAnsiTheme="minorHAnsi"/>
                <w:sz w:val="22"/>
                <w:szCs w:val="22"/>
              </w:rPr>
              <w:t>–</w:t>
            </w:r>
            <w:r>
              <w:rPr>
                <w:rFonts w:asciiTheme="minorHAnsi" w:hAnsiTheme="minorHAnsi"/>
                <w:sz w:val="22"/>
                <w:szCs w:val="22"/>
              </w:rPr>
              <w:t>21</w:t>
            </w:r>
          </w:p>
        </w:tc>
        <w:tc>
          <w:tcPr>
            <w:tcW w:w="3645" w:type="dxa"/>
            <w:tcBorders>
              <w:top w:val="single" w:color="auto" w:sz="4" w:space="0"/>
              <w:bottom w:val="single" w:color="auto" w:sz="4" w:space="0"/>
            </w:tcBorders>
          </w:tcPr>
          <w:p w:rsidRPr="0083506B" w:rsidR="00BA33FA" w:rsidP="00BA33FA" w:rsidRDefault="00BA33FA" w14:paraId="490BA272" w14:textId="77777777">
            <w:pPr>
              <w:pStyle w:val="TX-TableText"/>
              <w:spacing w:after="120"/>
              <w:rPr>
                <w:rFonts w:asciiTheme="minorHAnsi" w:hAnsiTheme="minorHAnsi"/>
                <w:sz w:val="22"/>
                <w:szCs w:val="22"/>
              </w:rPr>
            </w:pPr>
            <w:r w:rsidRPr="0083506B">
              <w:rPr>
                <w:rFonts w:asciiTheme="minorHAnsi" w:hAnsiTheme="minorHAnsi"/>
                <w:sz w:val="22"/>
                <w:szCs w:val="22"/>
              </w:rPr>
              <w:t>15 districts</w:t>
            </w:r>
          </w:p>
          <w:p w:rsidRPr="0083506B" w:rsidR="00BA33FA" w:rsidP="00E206D7" w:rsidRDefault="00BA33FA" w14:paraId="24342A17" w14:textId="0FD28BF9">
            <w:pPr>
              <w:pStyle w:val="TX-TableText"/>
              <w:spacing w:after="120"/>
              <w:rPr>
                <w:rFonts w:cs="Calibri" w:asciiTheme="minorHAnsi" w:hAnsiTheme="minorHAnsi"/>
                <w:bCs/>
                <w:color w:val="000000"/>
                <w:sz w:val="22"/>
                <w:szCs w:val="22"/>
              </w:rPr>
            </w:pPr>
            <w:r w:rsidRPr="0083506B">
              <w:rPr>
                <w:rFonts w:asciiTheme="minorHAnsi" w:hAnsiTheme="minorHAnsi"/>
                <w:sz w:val="22"/>
                <w:szCs w:val="22"/>
              </w:rPr>
              <w:t>119 schools</w:t>
            </w:r>
            <w:r w:rsidRPr="0083506B">
              <w:rPr>
                <w:rFonts w:cs="Calibri" w:asciiTheme="minorHAnsi" w:hAnsiTheme="minorHAnsi"/>
                <w:bCs/>
                <w:color w:val="000000"/>
                <w:sz w:val="22"/>
                <w:szCs w:val="22"/>
              </w:rPr>
              <w:t xml:space="preserve"> (has any of grades 6</w:t>
            </w:r>
            <w:r w:rsidR="00E206D7">
              <w:rPr>
                <w:rFonts w:cs="Calibri" w:asciiTheme="minorHAnsi" w:hAnsiTheme="minorHAnsi"/>
                <w:bCs/>
                <w:color w:val="000000"/>
                <w:sz w:val="22"/>
                <w:szCs w:val="22"/>
              </w:rPr>
              <w:t>–</w:t>
            </w:r>
            <w:r w:rsidRPr="0083506B">
              <w:rPr>
                <w:rFonts w:cs="Calibri" w:asciiTheme="minorHAnsi" w:hAnsiTheme="minorHAnsi"/>
                <w:bCs/>
                <w:color w:val="000000"/>
                <w:sz w:val="22"/>
                <w:szCs w:val="22"/>
              </w:rPr>
              <w:t>8)</w:t>
            </w:r>
          </w:p>
        </w:tc>
      </w:tr>
      <w:tr w:rsidRPr="0083506B" w:rsidR="00BA33FA" w:rsidTr="00BA33FA" w14:paraId="11C653AC" w14:textId="2CC085E0">
        <w:tc>
          <w:tcPr>
            <w:tcW w:w="2065" w:type="dxa"/>
            <w:tcBorders>
              <w:top w:val="single" w:color="auto" w:sz="4" w:space="0"/>
              <w:bottom w:val="single" w:color="auto" w:sz="4" w:space="0"/>
            </w:tcBorders>
          </w:tcPr>
          <w:p w:rsidRPr="0083506B" w:rsidR="00BA33FA" w:rsidP="00BA33FA" w:rsidRDefault="00BA33FA" w14:paraId="449BEB5F" w14:textId="77777777">
            <w:pPr>
              <w:pStyle w:val="TX-TableText"/>
              <w:rPr>
                <w:rFonts w:eastAsia="Calibri" w:asciiTheme="minorHAnsi" w:hAnsiTheme="minorHAnsi"/>
                <w:sz w:val="22"/>
                <w:szCs w:val="22"/>
              </w:rPr>
            </w:pPr>
            <w:r w:rsidRPr="0083506B">
              <w:rPr>
                <w:rFonts w:asciiTheme="minorHAnsi" w:hAnsiTheme="minorHAnsi"/>
                <w:sz w:val="22"/>
                <w:szCs w:val="22"/>
              </w:rPr>
              <w:t>North Carolina (NCPAT assessment)</w:t>
            </w:r>
          </w:p>
        </w:tc>
        <w:tc>
          <w:tcPr>
            <w:tcW w:w="3645" w:type="dxa"/>
            <w:tcBorders>
              <w:top w:val="single" w:color="auto" w:sz="4" w:space="0"/>
              <w:bottom w:val="single" w:color="auto" w:sz="4" w:space="0"/>
            </w:tcBorders>
          </w:tcPr>
          <w:p w:rsidRPr="0083506B" w:rsidR="00BA33FA" w:rsidP="00BA33FA" w:rsidRDefault="00BA33FA" w14:paraId="2B0B40C3" w14:textId="248A1897">
            <w:pPr>
              <w:pStyle w:val="TX-TableText"/>
              <w:spacing w:after="120"/>
              <w:rPr>
                <w:rFonts w:asciiTheme="minorHAnsi" w:hAnsiTheme="minorHAnsi"/>
                <w:sz w:val="22"/>
                <w:szCs w:val="22"/>
              </w:rPr>
            </w:pPr>
            <w:r w:rsidRPr="0083506B">
              <w:rPr>
                <w:rFonts w:asciiTheme="minorHAnsi" w:hAnsiTheme="minorHAnsi"/>
                <w:sz w:val="22"/>
                <w:szCs w:val="22"/>
              </w:rPr>
              <w:t>Subjects: ELA</w:t>
            </w:r>
            <w:r w:rsidR="006F32A1">
              <w:rPr>
                <w:rFonts w:asciiTheme="minorHAnsi" w:hAnsiTheme="minorHAnsi"/>
                <w:sz w:val="22"/>
                <w:szCs w:val="22"/>
              </w:rPr>
              <w:t>,</w:t>
            </w:r>
            <w:r w:rsidRPr="0083506B">
              <w:rPr>
                <w:rFonts w:asciiTheme="minorHAnsi" w:hAnsiTheme="minorHAnsi"/>
                <w:sz w:val="22"/>
                <w:szCs w:val="22"/>
              </w:rPr>
              <w:t xml:space="preserve"> math</w:t>
            </w:r>
          </w:p>
          <w:p w:rsidRPr="0083506B" w:rsidR="00BA33FA" w:rsidP="00BA33FA" w:rsidRDefault="00BA33FA" w14:paraId="69C04FE7" w14:textId="45435FBE">
            <w:pPr>
              <w:pStyle w:val="TX-TableText"/>
              <w:spacing w:after="120"/>
              <w:rPr>
                <w:rFonts w:eastAsia="Calibri" w:asciiTheme="minorHAnsi" w:hAnsiTheme="minorHAnsi"/>
                <w:sz w:val="22"/>
                <w:szCs w:val="22"/>
              </w:rPr>
            </w:pPr>
            <w:r w:rsidRPr="0083506B">
              <w:rPr>
                <w:rFonts w:asciiTheme="minorHAnsi" w:hAnsiTheme="minorHAnsi"/>
                <w:sz w:val="22"/>
                <w:szCs w:val="22"/>
              </w:rPr>
              <w:t>Grades: 4 and 7</w:t>
            </w:r>
          </w:p>
        </w:tc>
        <w:tc>
          <w:tcPr>
            <w:tcW w:w="3645" w:type="dxa"/>
            <w:tcBorders>
              <w:top w:val="single" w:color="auto" w:sz="4" w:space="0"/>
              <w:bottom w:val="single" w:color="auto" w:sz="4" w:space="0"/>
            </w:tcBorders>
          </w:tcPr>
          <w:p w:rsidRPr="0083506B" w:rsidR="00BA33FA" w:rsidP="00BA33FA" w:rsidRDefault="00BA33FA" w14:paraId="3596EF80" w14:textId="77777777">
            <w:pPr>
              <w:pStyle w:val="TX-TableText"/>
              <w:spacing w:after="120"/>
              <w:rPr>
                <w:rFonts w:asciiTheme="minorHAnsi" w:hAnsiTheme="minorHAnsi"/>
                <w:sz w:val="22"/>
                <w:szCs w:val="22"/>
              </w:rPr>
            </w:pPr>
            <w:r w:rsidRPr="0083506B">
              <w:rPr>
                <w:rFonts w:asciiTheme="minorHAnsi" w:hAnsiTheme="minorHAnsi"/>
                <w:sz w:val="22"/>
                <w:szCs w:val="22"/>
              </w:rPr>
              <w:t>3 districts</w:t>
            </w:r>
          </w:p>
          <w:p w:rsidRPr="0083506B" w:rsidR="00BA33FA" w:rsidP="00BA33FA" w:rsidRDefault="00BA33FA" w14:paraId="1E45281C" w14:textId="7A6EDBDC">
            <w:pPr>
              <w:pStyle w:val="TX-TableText"/>
              <w:spacing w:after="120"/>
              <w:rPr>
                <w:rFonts w:asciiTheme="minorHAnsi" w:hAnsiTheme="minorHAnsi"/>
                <w:sz w:val="22"/>
                <w:szCs w:val="22"/>
              </w:rPr>
            </w:pPr>
            <w:r w:rsidRPr="0083506B">
              <w:rPr>
                <w:rFonts w:asciiTheme="minorHAnsi" w:hAnsiTheme="minorHAnsi"/>
                <w:sz w:val="22"/>
                <w:szCs w:val="22"/>
              </w:rPr>
              <w:t>44 schools</w:t>
            </w:r>
            <w:r w:rsidRPr="0083506B">
              <w:rPr>
                <w:rFonts w:cs="Calibri" w:asciiTheme="minorHAnsi" w:hAnsiTheme="minorHAnsi"/>
                <w:bCs/>
                <w:color w:val="000000"/>
                <w:sz w:val="22"/>
                <w:szCs w:val="22"/>
              </w:rPr>
              <w:t xml:space="preserve"> (has grade 4 or 7)</w:t>
            </w:r>
          </w:p>
        </w:tc>
      </w:tr>
      <w:tr w:rsidRPr="0083506B" w:rsidR="00BA33FA" w:rsidTr="00BA33FA" w14:paraId="12525CB1" w14:textId="5A1CF5FA">
        <w:tc>
          <w:tcPr>
            <w:tcW w:w="2065" w:type="dxa"/>
            <w:tcBorders>
              <w:top w:val="single" w:color="auto" w:sz="4" w:space="0"/>
              <w:bottom w:val="single" w:color="auto" w:sz="4" w:space="0"/>
            </w:tcBorders>
          </w:tcPr>
          <w:p w:rsidRPr="0083506B" w:rsidR="00BA33FA" w:rsidP="00BA33FA" w:rsidRDefault="00BA33FA" w14:paraId="00849F8A" w14:textId="77777777">
            <w:pPr>
              <w:pStyle w:val="TX-TableText"/>
              <w:rPr>
                <w:rFonts w:eastAsia="Calibri" w:asciiTheme="minorHAnsi" w:hAnsiTheme="minorHAnsi"/>
                <w:sz w:val="22"/>
                <w:szCs w:val="22"/>
              </w:rPr>
            </w:pPr>
            <w:r w:rsidRPr="0083506B">
              <w:rPr>
                <w:rFonts w:asciiTheme="minorHAnsi" w:hAnsiTheme="minorHAnsi"/>
                <w:sz w:val="22"/>
                <w:szCs w:val="22"/>
              </w:rPr>
              <w:t>Georgia (GMAP assessment)</w:t>
            </w:r>
          </w:p>
        </w:tc>
        <w:tc>
          <w:tcPr>
            <w:tcW w:w="3645" w:type="dxa"/>
            <w:tcBorders>
              <w:top w:val="single" w:color="auto" w:sz="4" w:space="0"/>
              <w:bottom w:val="single" w:color="auto" w:sz="4" w:space="0"/>
            </w:tcBorders>
          </w:tcPr>
          <w:p w:rsidRPr="0083506B" w:rsidR="00BA33FA" w:rsidP="00BA33FA" w:rsidRDefault="00BA33FA" w14:paraId="6A9CA817" w14:textId="44BCE66C">
            <w:pPr>
              <w:pStyle w:val="TX-TableText"/>
              <w:spacing w:after="120"/>
              <w:rPr>
                <w:rFonts w:cs="Calibri" w:asciiTheme="minorHAnsi" w:hAnsiTheme="minorHAnsi"/>
                <w:bCs/>
                <w:color w:val="000000"/>
                <w:sz w:val="22"/>
                <w:szCs w:val="22"/>
              </w:rPr>
            </w:pPr>
            <w:r w:rsidRPr="0083506B">
              <w:rPr>
                <w:rFonts w:cs="Calibri" w:asciiTheme="minorHAnsi" w:hAnsiTheme="minorHAnsi"/>
                <w:bCs/>
                <w:color w:val="000000"/>
                <w:sz w:val="22"/>
                <w:szCs w:val="22"/>
              </w:rPr>
              <w:t>Subjects: ELA, math, science</w:t>
            </w:r>
          </w:p>
          <w:p w:rsidRPr="0083506B" w:rsidR="00BA33FA" w:rsidP="00E206D7" w:rsidRDefault="00BA33FA" w14:paraId="16E9619C" w14:textId="4BA90A3B">
            <w:pPr>
              <w:pStyle w:val="TX-TableText"/>
              <w:spacing w:after="120"/>
              <w:rPr>
                <w:rFonts w:cs="Calibri" w:asciiTheme="minorHAnsi" w:hAnsiTheme="minorHAnsi"/>
                <w:bCs/>
                <w:color w:val="000000"/>
                <w:sz w:val="22"/>
                <w:szCs w:val="22"/>
              </w:rPr>
            </w:pPr>
            <w:r w:rsidRPr="0083506B">
              <w:rPr>
                <w:rFonts w:cs="Calibri" w:asciiTheme="minorHAnsi" w:hAnsiTheme="minorHAnsi"/>
                <w:bCs/>
                <w:color w:val="000000"/>
                <w:sz w:val="22"/>
                <w:szCs w:val="22"/>
              </w:rPr>
              <w:t>Grades: 3</w:t>
            </w:r>
            <w:r w:rsidR="00E206D7">
              <w:rPr>
                <w:rFonts w:cs="Calibri" w:asciiTheme="minorHAnsi" w:hAnsiTheme="minorHAnsi"/>
                <w:bCs/>
                <w:color w:val="000000"/>
                <w:sz w:val="22"/>
                <w:szCs w:val="22"/>
              </w:rPr>
              <w:t>–</w:t>
            </w:r>
            <w:r w:rsidRPr="0083506B">
              <w:rPr>
                <w:rFonts w:cs="Calibri" w:asciiTheme="minorHAnsi" w:hAnsiTheme="minorHAnsi"/>
                <w:bCs/>
                <w:color w:val="000000"/>
                <w:sz w:val="22"/>
                <w:szCs w:val="22"/>
              </w:rPr>
              <w:t>8</w:t>
            </w:r>
          </w:p>
        </w:tc>
        <w:tc>
          <w:tcPr>
            <w:tcW w:w="3645" w:type="dxa"/>
            <w:tcBorders>
              <w:top w:val="single" w:color="auto" w:sz="4" w:space="0"/>
              <w:bottom w:val="single" w:color="auto" w:sz="4" w:space="0"/>
            </w:tcBorders>
          </w:tcPr>
          <w:p w:rsidRPr="0083506B" w:rsidR="00BA33FA" w:rsidP="00BA33FA" w:rsidRDefault="00BA33FA" w14:paraId="09F58960" w14:textId="77777777">
            <w:pPr>
              <w:pStyle w:val="TX-TableText"/>
              <w:spacing w:after="120"/>
              <w:rPr>
                <w:rFonts w:asciiTheme="minorHAnsi" w:hAnsiTheme="minorHAnsi"/>
                <w:sz w:val="22"/>
                <w:szCs w:val="22"/>
              </w:rPr>
            </w:pPr>
            <w:r w:rsidRPr="0083506B">
              <w:rPr>
                <w:rFonts w:asciiTheme="minorHAnsi" w:hAnsiTheme="minorHAnsi"/>
                <w:sz w:val="22"/>
                <w:szCs w:val="22"/>
              </w:rPr>
              <w:t>8 districts</w:t>
            </w:r>
          </w:p>
          <w:p w:rsidRPr="0083506B" w:rsidR="00BA33FA" w:rsidP="00E206D7" w:rsidRDefault="00BA33FA" w14:paraId="1FB91B3B" w14:textId="2EFA4DBB">
            <w:pPr>
              <w:pStyle w:val="TX-TableText"/>
              <w:spacing w:after="120"/>
              <w:rPr>
                <w:rFonts w:cs="Calibri" w:asciiTheme="minorHAnsi" w:hAnsiTheme="minorHAnsi"/>
                <w:bCs/>
                <w:color w:val="000000"/>
                <w:sz w:val="22"/>
                <w:szCs w:val="22"/>
              </w:rPr>
            </w:pPr>
            <w:r w:rsidRPr="0083506B">
              <w:rPr>
                <w:rFonts w:asciiTheme="minorHAnsi" w:hAnsiTheme="minorHAnsi"/>
                <w:sz w:val="22"/>
                <w:szCs w:val="22"/>
              </w:rPr>
              <w:t>62 schools (</w:t>
            </w:r>
            <w:r w:rsidRPr="0083506B">
              <w:rPr>
                <w:rFonts w:cs="Calibri" w:asciiTheme="minorHAnsi" w:hAnsiTheme="minorHAnsi"/>
                <w:bCs/>
                <w:color w:val="000000"/>
                <w:sz w:val="22"/>
                <w:szCs w:val="22"/>
              </w:rPr>
              <w:t>has any of grades 3</w:t>
            </w:r>
            <w:r w:rsidR="00E206D7">
              <w:rPr>
                <w:rFonts w:cs="Calibri" w:asciiTheme="minorHAnsi" w:hAnsiTheme="minorHAnsi"/>
                <w:bCs/>
                <w:color w:val="000000"/>
                <w:sz w:val="22"/>
                <w:szCs w:val="22"/>
              </w:rPr>
              <w:t>–</w:t>
            </w:r>
            <w:r w:rsidRPr="0083506B">
              <w:rPr>
                <w:rFonts w:cs="Calibri" w:asciiTheme="minorHAnsi" w:hAnsiTheme="minorHAnsi"/>
                <w:bCs/>
                <w:color w:val="000000"/>
                <w:sz w:val="22"/>
                <w:szCs w:val="22"/>
              </w:rPr>
              <w:t>8)</w:t>
            </w:r>
          </w:p>
        </w:tc>
      </w:tr>
      <w:tr w:rsidRPr="0083506B" w:rsidR="00BA33FA" w:rsidTr="00BA33FA" w14:paraId="10C7A6AC" w14:textId="636E7518">
        <w:tc>
          <w:tcPr>
            <w:tcW w:w="2065" w:type="dxa"/>
            <w:tcBorders>
              <w:top w:val="single" w:color="auto" w:sz="4" w:space="0"/>
            </w:tcBorders>
          </w:tcPr>
          <w:p w:rsidRPr="0083506B" w:rsidR="00BA33FA" w:rsidP="00BA33FA" w:rsidRDefault="00BA33FA" w14:paraId="7CBA9C8F" w14:textId="77777777">
            <w:pPr>
              <w:pStyle w:val="TX-TableText"/>
              <w:rPr>
                <w:rFonts w:eastAsia="Calibri" w:asciiTheme="minorHAnsi" w:hAnsiTheme="minorHAnsi"/>
                <w:sz w:val="22"/>
                <w:szCs w:val="22"/>
              </w:rPr>
            </w:pPr>
            <w:r w:rsidRPr="0083506B">
              <w:rPr>
                <w:rFonts w:asciiTheme="minorHAnsi" w:hAnsiTheme="minorHAnsi"/>
                <w:sz w:val="22"/>
                <w:szCs w:val="22"/>
              </w:rPr>
              <w:t>Georgia (NAVVY assessment)</w:t>
            </w:r>
          </w:p>
        </w:tc>
        <w:tc>
          <w:tcPr>
            <w:tcW w:w="3645" w:type="dxa"/>
            <w:tcBorders>
              <w:top w:val="single" w:color="auto" w:sz="4" w:space="0"/>
            </w:tcBorders>
          </w:tcPr>
          <w:p w:rsidR="006E19B5" w:rsidP="00E206D7" w:rsidRDefault="00BA33FA" w14:paraId="4E4FE9B7" w14:textId="5384BFAC">
            <w:pPr>
              <w:pStyle w:val="TX-TableText"/>
              <w:spacing w:after="120"/>
              <w:rPr>
                <w:rFonts w:asciiTheme="minorHAnsi" w:hAnsiTheme="minorHAnsi"/>
                <w:sz w:val="22"/>
                <w:szCs w:val="22"/>
              </w:rPr>
            </w:pPr>
            <w:r w:rsidRPr="0083506B">
              <w:rPr>
                <w:rFonts w:cs="Calibri" w:asciiTheme="minorHAnsi" w:hAnsiTheme="minorHAnsi"/>
                <w:bCs/>
                <w:color w:val="000000"/>
                <w:sz w:val="22"/>
                <w:szCs w:val="22"/>
              </w:rPr>
              <w:t>Subjects: ELA, math, science</w:t>
            </w:r>
            <w:r w:rsidRPr="0083506B">
              <w:rPr>
                <w:rFonts w:asciiTheme="minorHAnsi" w:hAnsiTheme="minorHAnsi"/>
                <w:sz w:val="22"/>
                <w:szCs w:val="22"/>
              </w:rPr>
              <w:t xml:space="preserve"> </w:t>
            </w:r>
          </w:p>
          <w:p w:rsidRPr="0083506B" w:rsidR="00BA33FA" w:rsidP="00E206D7" w:rsidRDefault="00BA33FA" w14:paraId="78B3476A" w14:textId="53C94B44">
            <w:pPr>
              <w:pStyle w:val="TX-TableText"/>
              <w:spacing w:after="120"/>
              <w:rPr>
                <w:rFonts w:eastAsia="Calibri" w:asciiTheme="minorHAnsi" w:hAnsiTheme="minorHAnsi"/>
                <w:sz w:val="22"/>
                <w:szCs w:val="22"/>
              </w:rPr>
            </w:pPr>
            <w:r w:rsidRPr="0083506B">
              <w:rPr>
                <w:rFonts w:asciiTheme="minorHAnsi" w:hAnsiTheme="minorHAnsi"/>
                <w:sz w:val="22"/>
                <w:szCs w:val="22"/>
              </w:rPr>
              <w:t>Grades:</w:t>
            </w:r>
            <w:r w:rsidR="008B5D44">
              <w:rPr>
                <w:rFonts w:asciiTheme="minorHAnsi" w:hAnsiTheme="minorHAnsi"/>
                <w:sz w:val="22"/>
                <w:szCs w:val="22"/>
              </w:rPr>
              <w:t xml:space="preserve"> </w:t>
            </w:r>
            <w:r w:rsidRPr="0083506B">
              <w:rPr>
                <w:rFonts w:asciiTheme="minorHAnsi" w:hAnsiTheme="minorHAnsi"/>
                <w:sz w:val="22"/>
                <w:szCs w:val="22"/>
              </w:rPr>
              <w:t>3</w:t>
            </w:r>
            <w:r w:rsidR="00E206D7">
              <w:rPr>
                <w:rFonts w:asciiTheme="minorHAnsi" w:hAnsiTheme="minorHAnsi"/>
                <w:sz w:val="22"/>
                <w:szCs w:val="22"/>
              </w:rPr>
              <w:t>–</w:t>
            </w:r>
            <w:r w:rsidRPr="0083506B">
              <w:rPr>
                <w:rFonts w:asciiTheme="minorHAnsi" w:hAnsiTheme="minorHAnsi"/>
                <w:sz w:val="22"/>
                <w:szCs w:val="22"/>
              </w:rPr>
              <w:t xml:space="preserve">8 for </w:t>
            </w:r>
            <w:r w:rsidR="002A1004">
              <w:rPr>
                <w:rFonts w:asciiTheme="minorHAnsi" w:hAnsiTheme="minorHAnsi"/>
                <w:sz w:val="22"/>
                <w:szCs w:val="22"/>
              </w:rPr>
              <w:t>ELA</w:t>
            </w:r>
            <w:r w:rsidRPr="0083506B">
              <w:rPr>
                <w:rFonts w:asciiTheme="minorHAnsi" w:hAnsiTheme="minorHAnsi"/>
                <w:sz w:val="22"/>
                <w:szCs w:val="22"/>
              </w:rPr>
              <w:t xml:space="preserve"> and math, 5 and 8 </w:t>
            </w:r>
            <w:r w:rsidR="002A1004">
              <w:rPr>
                <w:rFonts w:asciiTheme="minorHAnsi" w:hAnsiTheme="minorHAnsi"/>
                <w:sz w:val="22"/>
                <w:szCs w:val="22"/>
              </w:rPr>
              <w:t xml:space="preserve">for </w:t>
            </w:r>
            <w:r w:rsidRPr="0083506B">
              <w:rPr>
                <w:rFonts w:asciiTheme="minorHAnsi" w:hAnsiTheme="minorHAnsi"/>
                <w:sz w:val="22"/>
                <w:szCs w:val="22"/>
              </w:rPr>
              <w:t>science, selected high school courses</w:t>
            </w:r>
          </w:p>
        </w:tc>
        <w:tc>
          <w:tcPr>
            <w:tcW w:w="3645" w:type="dxa"/>
            <w:tcBorders>
              <w:top w:val="single" w:color="auto" w:sz="4" w:space="0"/>
            </w:tcBorders>
          </w:tcPr>
          <w:p w:rsidRPr="0083506B" w:rsidR="00BA33FA" w:rsidP="00BA33FA" w:rsidRDefault="00BA33FA" w14:paraId="49818D97" w14:textId="77777777">
            <w:pPr>
              <w:pStyle w:val="TX-TableText"/>
              <w:spacing w:after="120"/>
              <w:rPr>
                <w:rFonts w:asciiTheme="minorHAnsi" w:hAnsiTheme="minorHAnsi"/>
                <w:sz w:val="22"/>
                <w:szCs w:val="22"/>
              </w:rPr>
            </w:pPr>
            <w:r w:rsidRPr="0083506B">
              <w:rPr>
                <w:rFonts w:asciiTheme="minorHAnsi" w:hAnsiTheme="minorHAnsi"/>
                <w:sz w:val="22"/>
                <w:szCs w:val="22"/>
              </w:rPr>
              <w:t>12 districts</w:t>
            </w:r>
          </w:p>
          <w:p w:rsidRPr="0083506B" w:rsidR="00BA33FA" w:rsidP="00E206D7" w:rsidRDefault="00BA33FA" w14:paraId="5F8F7A18" w14:textId="67FCF529">
            <w:pPr>
              <w:pStyle w:val="TX-TableText"/>
              <w:spacing w:after="120"/>
              <w:rPr>
                <w:rFonts w:cs="Calibri" w:asciiTheme="minorHAnsi" w:hAnsiTheme="minorHAnsi"/>
                <w:bCs/>
                <w:color w:val="000000"/>
                <w:sz w:val="22"/>
                <w:szCs w:val="22"/>
              </w:rPr>
            </w:pPr>
            <w:r w:rsidRPr="0083506B">
              <w:rPr>
                <w:rFonts w:asciiTheme="minorHAnsi" w:hAnsiTheme="minorHAnsi"/>
                <w:sz w:val="22"/>
                <w:szCs w:val="22"/>
              </w:rPr>
              <w:t>98 schools (has any</w:t>
            </w:r>
            <w:r w:rsidRPr="0083506B">
              <w:rPr>
                <w:rFonts w:cs="Calibri" w:asciiTheme="minorHAnsi" w:hAnsiTheme="minorHAnsi"/>
                <w:bCs/>
                <w:color w:val="000000"/>
                <w:sz w:val="22"/>
                <w:szCs w:val="22"/>
              </w:rPr>
              <w:t xml:space="preserve"> of grades 3</w:t>
            </w:r>
            <w:r w:rsidR="00E206D7">
              <w:rPr>
                <w:rFonts w:cs="Calibri" w:asciiTheme="minorHAnsi" w:hAnsiTheme="minorHAnsi"/>
                <w:bCs/>
                <w:color w:val="000000"/>
                <w:sz w:val="22"/>
                <w:szCs w:val="22"/>
              </w:rPr>
              <w:t>–</w:t>
            </w:r>
            <w:r w:rsidRPr="0083506B">
              <w:rPr>
                <w:rFonts w:cs="Calibri" w:asciiTheme="minorHAnsi" w:hAnsiTheme="minorHAnsi"/>
                <w:bCs/>
                <w:color w:val="000000"/>
                <w:sz w:val="22"/>
                <w:szCs w:val="22"/>
              </w:rPr>
              <w:t>12)</w:t>
            </w:r>
          </w:p>
        </w:tc>
      </w:tr>
    </w:tbl>
    <w:p w:rsidRPr="0002380E" w:rsidR="005411D8" w:rsidP="005411D8" w:rsidRDefault="005411D8" w14:paraId="5651BD05" w14:textId="7001C1BC">
      <w:pPr>
        <w:pStyle w:val="N1-1stBullet"/>
        <w:numPr>
          <w:ilvl w:val="0"/>
          <w:numId w:val="0"/>
        </w:numPr>
        <w:rPr>
          <w:rFonts w:asciiTheme="minorHAnsi" w:hAnsiTheme="minorHAnsi"/>
          <w:sz w:val="20"/>
        </w:rPr>
      </w:pPr>
      <w:r w:rsidRPr="0002380E">
        <w:rPr>
          <w:rFonts w:eastAsia="Calibri" w:asciiTheme="minorHAnsi" w:hAnsiTheme="minorHAnsi"/>
          <w:sz w:val="20"/>
        </w:rPr>
        <w:t xml:space="preserve">Notes: </w:t>
      </w:r>
      <w:r w:rsidRPr="0002380E" w:rsidR="00736422">
        <w:rPr>
          <w:rFonts w:eastAsia="Calibri" w:asciiTheme="minorHAnsi" w:hAnsiTheme="minorHAnsi"/>
          <w:sz w:val="20"/>
        </w:rPr>
        <w:t xml:space="preserve">The evaluation team does </w:t>
      </w:r>
      <w:r w:rsidRPr="0002380E">
        <w:rPr>
          <w:rFonts w:eastAsia="Calibri" w:asciiTheme="minorHAnsi" w:hAnsiTheme="minorHAnsi"/>
          <w:sz w:val="20"/>
        </w:rPr>
        <w:t>not have lists of all participating schools for each IADA program. The number of eligible schools in the table reflects the number of schools from the Common Core of Data that contain any of the grades that will use the IADA assessment</w:t>
      </w:r>
      <w:r w:rsidR="0002380E">
        <w:rPr>
          <w:rFonts w:eastAsia="Calibri" w:asciiTheme="minorHAnsi" w:hAnsiTheme="minorHAnsi"/>
          <w:sz w:val="20"/>
        </w:rPr>
        <w:t xml:space="preserve"> in 2019-20.</w:t>
      </w:r>
      <w:r w:rsidR="00D066CF">
        <w:rPr>
          <w:rFonts w:eastAsia="Calibri" w:asciiTheme="minorHAnsi" w:hAnsiTheme="minorHAnsi"/>
          <w:sz w:val="20"/>
        </w:rPr>
        <w:t xml:space="preserve"> This number provides an upper-bound estimate of the number of </w:t>
      </w:r>
      <w:r w:rsidR="006E19B5">
        <w:rPr>
          <w:rFonts w:eastAsia="Calibri" w:asciiTheme="minorHAnsi" w:hAnsiTheme="minorHAnsi"/>
          <w:sz w:val="20"/>
        </w:rPr>
        <w:t>participating schools.</w:t>
      </w:r>
      <w:r w:rsidR="0002380E">
        <w:rPr>
          <w:rFonts w:eastAsia="Calibri" w:asciiTheme="minorHAnsi" w:hAnsiTheme="minorHAnsi"/>
          <w:sz w:val="20"/>
        </w:rPr>
        <w:t xml:space="preserve"> </w:t>
      </w:r>
    </w:p>
    <w:p w:rsidRPr="0083506B" w:rsidR="00B65398" w:rsidP="00E6396F" w:rsidRDefault="007F383E" w14:paraId="2266A74D" w14:textId="2F6AEBA2">
      <w:pPr>
        <w:pStyle w:val="N1-1stBullet"/>
        <w:numPr>
          <w:ilvl w:val="0"/>
          <w:numId w:val="0"/>
        </w:numPr>
        <w:spacing w:line="276" w:lineRule="auto"/>
        <w:rPr>
          <w:rFonts w:asciiTheme="minorHAnsi" w:hAnsiTheme="minorHAnsi"/>
          <w:sz w:val="22"/>
          <w:szCs w:val="22"/>
        </w:rPr>
      </w:pPr>
      <w:r>
        <w:rPr>
          <w:rFonts w:asciiTheme="minorHAnsi" w:hAnsiTheme="minorHAnsi"/>
          <w:sz w:val="22"/>
          <w:szCs w:val="22"/>
        </w:rPr>
        <w:t>E</w:t>
      </w:r>
      <w:r w:rsidRPr="0083506B" w:rsidR="000B5C91">
        <w:rPr>
          <w:rFonts w:asciiTheme="minorHAnsi" w:hAnsiTheme="minorHAnsi"/>
          <w:sz w:val="22"/>
          <w:szCs w:val="22"/>
        </w:rPr>
        <w:t xml:space="preserve">ach state’s Annual Performance Report (APR) </w:t>
      </w:r>
      <w:r>
        <w:rPr>
          <w:rFonts w:asciiTheme="minorHAnsi" w:hAnsiTheme="minorHAnsi"/>
          <w:sz w:val="22"/>
          <w:szCs w:val="22"/>
        </w:rPr>
        <w:t>identifies</w:t>
      </w:r>
      <w:r w:rsidRPr="0083506B" w:rsidR="000B5C91">
        <w:rPr>
          <w:rFonts w:asciiTheme="minorHAnsi" w:hAnsiTheme="minorHAnsi"/>
          <w:sz w:val="22"/>
          <w:szCs w:val="22"/>
        </w:rPr>
        <w:t xml:space="preserve"> the participating districts</w:t>
      </w:r>
      <w:r w:rsidRPr="0083506B" w:rsidR="00B82E60">
        <w:rPr>
          <w:rFonts w:asciiTheme="minorHAnsi" w:hAnsiTheme="minorHAnsi"/>
          <w:sz w:val="22"/>
          <w:szCs w:val="22"/>
        </w:rPr>
        <w:t xml:space="preserve"> for the </w:t>
      </w:r>
      <w:r w:rsidRPr="0083506B" w:rsidR="000B5C91">
        <w:rPr>
          <w:rFonts w:asciiTheme="minorHAnsi" w:hAnsiTheme="minorHAnsi"/>
          <w:sz w:val="22"/>
          <w:szCs w:val="22"/>
        </w:rPr>
        <w:t>school year</w:t>
      </w:r>
      <w:r w:rsidR="006C351A">
        <w:rPr>
          <w:rFonts w:asciiTheme="minorHAnsi" w:hAnsiTheme="minorHAnsi"/>
          <w:sz w:val="22"/>
          <w:szCs w:val="22"/>
        </w:rPr>
        <w:t xml:space="preserve"> that just ended (i.e., the reporting year for the APR) </w:t>
      </w:r>
      <w:r w:rsidRPr="0083506B" w:rsidR="000B5C91">
        <w:rPr>
          <w:rFonts w:asciiTheme="minorHAnsi" w:hAnsiTheme="minorHAnsi"/>
          <w:sz w:val="22"/>
          <w:szCs w:val="22"/>
        </w:rPr>
        <w:t xml:space="preserve">and </w:t>
      </w:r>
      <w:r w:rsidR="006C351A">
        <w:rPr>
          <w:rFonts w:asciiTheme="minorHAnsi" w:hAnsiTheme="minorHAnsi"/>
          <w:sz w:val="22"/>
          <w:szCs w:val="22"/>
        </w:rPr>
        <w:t xml:space="preserve">those for </w:t>
      </w:r>
      <w:r w:rsidRPr="0083506B" w:rsidR="000B5C91">
        <w:rPr>
          <w:rFonts w:asciiTheme="minorHAnsi" w:hAnsiTheme="minorHAnsi"/>
          <w:sz w:val="22"/>
          <w:szCs w:val="22"/>
        </w:rPr>
        <w:t>the upcoming school year.</w:t>
      </w:r>
      <w:r w:rsidR="006C351A">
        <w:rPr>
          <w:rFonts w:asciiTheme="minorHAnsi" w:hAnsiTheme="minorHAnsi"/>
          <w:sz w:val="22"/>
          <w:szCs w:val="22"/>
        </w:rPr>
        <w:t xml:space="preserve"> The </w:t>
      </w:r>
      <w:r w:rsidRPr="0083506B" w:rsidR="00B82E60">
        <w:rPr>
          <w:rFonts w:asciiTheme="minorHAnsi" w:hAnsiTheme="minorHAnsi"/>
          <w:sz w:val="22"/>
          <w:szCs w:val="22"/>
        </w:rPr>
        <w:t xml:space="preserve">APR </w:t>
      </w:r>
      <w:r w:rsidRPr="0083506B" w:rsidR="000F20E4">
        <w:rPr>
          <w:rFonts w:asciiTheme="minorHAnsi" w:hAnsiTheme="minorHAnsi"/>
          <w:sz w:val="22"/>
          <w:szCs w:val="22"/>
        </w:rPr>
        <w:t xml:space="preserve">that covers the </w:t>
      </w:r>
      <w:r w:rsidRPr="0083506B" w:rsidR="00B82E60">
        <w:rPr>
          <w:rFonts w:asciiTheme="minorHAnsi" w:hAnsiTheme="minorHAnsi"/>
          <w:sz w:val="22"/>
          <w:szCs w:val="22"/>
        </w:rPr>
        <w:t>2019</w:t>
      </w:r>
      <w:r w:rsidR="00E206D7">
        <w:rPr>
          <w:rFonts w:asciiTheme="minorHAnsi" w:hAnsiTheme="minorHAnsi"/>
          <w:sz w:val="22"/>
          <w:szCs w:val="22"/>
        </w:rPr>
        <w:t>–</w:t>
      </w:r>
      <w:r w:rsidRPr="0083506B" w:rsidR="00B82E60">
        <w:rPr>
          <w:rFonts w:asciiTheme="minorHAnsi" w:hAnsiTheme="minorHAnsi"/>
          <w:sz w:val="22"/>
          <w:szCs w:val="22"/>
        </w:rPr>
        <w:t xml:space="preserve">20 </w:t>
      </w:r>
      <w:r w:rsidRPr="0083506B" w:rsidR="000F20E4">
        <w:rPr>
          <w:rFonts w:asciiTheme="minorHAnsi" w:hAnsiTheme="minorHAnsi"/>
          <w:sz w:val="22"/>
          <w:szCs w:val="22"/>
        </w:rPr>
        <w:t>school year</w:t>
      </w:r>
      <w:r w:rsidR="00A62DE7">
        <w:rPr>
          <w:rFonts w:asciiTheme="minorHAnsi" w:hAnsiTheme="minorHAnsi"/>
          <w:sz w:val="22"/>
          <w:szCs w:val="22"/>
        </w:rPr>
        <w:t xml:space="preserve"> (</w:t>
      </w:r>
      <w:r w:rsidR="00AA46E1">
        <w:rPr>
          <w:rFonts w:asciiTheme="minorHAnsi" w:hAnsiTheme="minorHAnsi"/>
          <w:sz w:val="22"/>
          <w:szCs w:val="22"/>
        </w:rPr>
        <w:t xml:space="preserve">to be submitted to ED </w:t>
      </w:r>
      <w:r w:rsidR="00E6396F">
        <w:rPr>
          <w:rFonts w:asciiTheme="minorHAnsi" w:hAnsiTheme="minorHAnsi"/>
          <w:sz w:val="22"/>
          <w:szCs w:val="22"/>
        </w:rPr>
        <w:t>in</w:t>
      </w:r>
      <w:r w:rsidR="00AA46E1">
        <w:rPr>
          <w:rFonts w:asciiTheme="minorHAnsi" w:hAnsiTheme="minorHAnsi"/>
          <w:sz w:val="22"/>
          <w:szCs w:val="22"/>
        </w:rPr>
        <w:t xml:space="preserve"> fall 2020)</w:t>
      </w:r>
      <w:r w:rsidRPr="0083506B" w:rsidR="000F20E4">
        <w:rPr>
          <w:rFonts w:asciiTheme="minorHAnsi" w:hAnsiTheme="minorHAnsi"/>
          <w:sz w:val="22"/>
          <w:szCs w:val="22"/>
        </w:rPr>
        <w:t xml:space="preserve"> </w:t>
      </w:r>
      <w:r w:rsidR="00A62DE7">
        <w:rPr>
          <w:rFonts w:asciiTheme="minorHAnsi" w:hAnsiTheme="minorHAnsi"/>
          <w:sz w:val="22"/>
          <w:szCs w:val="22"/>
        </w:rPr>
        <w:t>will</w:t>
      </w:r>
      <w:r w:rsidR="006C351A">
        <w:rPr>
          <w:rFonts w:asciiTheme="minorHAnsi" w:hAnsiTheme="minorHAnsi"/>
          <w:sz w:val="22"/>
          <w:szCs w:val="22"/>
        </w:rPr>
        <w:t xml:space="preserve"> </w:t>
      </w:r>
      <w:r w:rsidRPr="0083506B" w:rsidR="00B82E60">
        <w:rPr>
          <w:rFonts w:asciiTheme="minorHAnsi" w:hAnsiTheme="minorHAnsi"/>
          <w:sz w:val="22"/>
          <w:szCs w:val="22"/>
        </w:rPr>
        <w:t>identify districts participating for the 2020</w:t>
      </w:r>
      <w:r w:rsidR="00E206D7">
        <w:rPr>
          <w:rFonts w:asciiTheme="minorHAnsi" w:hAnsiTheme="minorHAnsi"/>
          <w:sz w:val="22"/>
          <w:szCs w:val="22"/>
        </w:rPr>
        <w:t>–</w:t>
      </w:r>
      <w:r w:rsidRPr="0083506B" w:rsidR="00B82E60">
        <w:rPr>
          <w:rFonts w:asciiTheme="minorHAnsi" w:hAnsiTheme="minorHAnsi"/>
          <w:sz w:val="22"/>
          <w:szCs w:val="22"/>
        </w:rPr>
        <w:t xml:space="preserve">21 school year, and the APR </w:t>
      </w:r>
      <w:r w:rsidRPr="0083506B" w:rsidR="000F20E4">
        <w:rPr>
          <w:rFonts w:asciiTheme="minorHAnsi" w:hAnsiTheme="minorHAnsi"/>
          <w:sz w:val="22"/>
          <w:szCs w:val="22"/>
        </w:rPr>
        <w:t xml:space="preserve">that covers the </w:t>
      </w:r>
      <w:r w:rsidRPr="0083506B" w:rsidR="00B82E60">
        <w:rPr>
          <w:rFonts w:asciiTheme="minorHAnsi" w:hAnsiTheme="minorHAnsi"/>
          <w:sz w:val="22"/>
          <w:szCs w:val="22"/>
        </w:rPr>
        <w:t>2020</w:t>
      </w:r>
      <w:r w:rsidR="00E206D7">
        <w:rPr>
          <w:rFonts w:asciiTheme="minorHAnsi" w:hAnsiTheme="minorHAnsi"/>
          <w:sz w:val="22"/>
          <w:szCs w:val="22"/>
        </w:rPr>
        <w:t>–</w:t>
      </w:r>
      <w:r w:rsidRPr="0083506B" w:rsidR="00B82E60">
        <w:rPr>
          <w:rFonts w:asciiTheme="minorHAnsi" w:hAnsiTheme="minorHAnsi"/>
          <w:sz w:val="22"/>
          <w:szCs w:val="22"/>
        </w:rPr>
        <w:t xml:space="preserve">21 </w:t>
      </w:r>
      <w:r w:rsidRPr="0083506B" w:rsidR="000F20E4">
        <w:rPr>
          <w:rFonts w:asciiTheme="minorHAnsi" w:hAnsiTheme="minorHAnsi"/>
          <w:sz w:val="22"/>
          <w:szCs w:val="22"/>
        </w:rPr>
        <w:t>school year</w:t>
      </w:r>
      <w:r w:rsidR="00AA46E1">
        <w:rPr>
          <w:rFonts w:asciiTheme="minorHAnsi" w:hAnsiTheme="minorHAnsi"/>
          <w:sz w:val="22"/>
          <w:szCs w:val="22"/>
        </w:rPr>
        <w:t xml:space="preserve"> (to be submitted to ED </w:t>
      </w:r>
      <w:r w:rsidR="00E6396F">
        <w:rPr>
          <w:rFonts w:asciiTheme="minorHAnsi" w:hAnsiTheme="minorHAnsi"/>
          <w:sz w:val="22"/>
          <w:szCs w:val="22"/>
        </w:rPr>
        <w:t>in</w:t>
      </w:r>
      <w:r w:rsidR="00AA46E1">
        <w:rPr>
          <w:rFonts w:asciiTheme="minorHAnsi" w:hAnsiTheme="minorHAnsi"/>
          <w:sz w:val="22"/>
          <w:szCs w:val="22"/>
        </w:rPr>
        <w:t xml:space="preserve"> fall 2021)</w:t>
      </w:r>
      <w:r w:rsidRPr="0083506B" w:rsidR="00B82E60">
        <w:rPr>
          <w:rFonts w:asciiTheme="minorHAnsi" w:hAnsiTheme="minorHAnsi"/>
          <w:sz w:val="22"/>
          <w:szCs w:val="22"/>
        </w:rPr>
        <w:t xml:space="preserve"> </w:t>
      </w:r>
      <w:r w:rsidR="00A62DE7">
        <w:rPr>
          <w:rFonts w:asciiTheme="minorHAnsi" w:hAnsiTheme="minorHAnsi"/>
          <w:sz w:val="22"/>
          <w:szCs w:val="22"/>
        </w:rPr>
        <w:t>will</w:t>
      </w:r>
      <w:r w:rsidR="006C351A">
        <w:rPr>
          <w:rFonts w:asciiTheme="minorHAnsi" w:hAnsiTheme="minorHAnsi"/>
          <w:sz w:val="22"/>
          <w:szCs w:val="22"/>
        </w:rPr>
        <w:t xml:space="preserve"> </w:t>
      </w:r>
      <w:r w:rsidRPr="0083506B" w:rsidR="00B82E60">
        <w:rPr>
          <w:rFonts w:asciiTheme="minorHAnsi" w:hAnsiTheme="minorHAnsi"/>
          <w:sz w:val="22"/>
          <w:szCs w:val="22"/>
        </w:rPr>
        <w:t>identify the districts participating for the 2021</w:t>
      </w:r>
      <w:r w:rsidR="00E206D7">
        <w:rPr>
          <w:rFonts w:asciiTheme="minorHAnsi" w:hAnsiTheme="minorHAnsi"/>
          <w:sz w:val="22"/>
          <w:szCs w:val="22"/>
        </w:rPr>
        <w:t>–</w:t>
      </w:r>
      <w:r w:rsidRPr="0083506B" w:rsidR="00B82E60">
        <w:rPr>
          <w:rFonts w:asciiTheme="minorHAnsi" w:hAnsiTheme="minorHAnsi"/>
          <w:sz w:val="22"/>
          <w:szCs w:val="22"/>
        </w:rPr>
        <w:t xml:space="preserve">22 school year. </w:t>
      </w:r>
    </w:p>
    <w:p w:rsidRPr="0083506B" w:rsidR="00045621" w:rsidP="00E6396F" w:rsidRDefault="00A2426D" w14:paraId="2FBBA42D" w14:textId="45926ABC">
      <w:pPr>
        <w:pStyle w:val="N1-1stBullet"/>
        <w:numPr>
          <w:ilvl w:val="0"/>
          <w:numId w:val="0"/>
        </w:numPr>
        <w:spacing w:line="276" w:lineRule="auto"/>
        <w:rPr>
          <w:rFonts w:asciiTheme="minorHAnsi" w:hAnsiTheme="minorHAnsi"/>
          <w:sz w:val="22"/>
          <w:szCs w:val="22"/>
        </w:rPr>
      </w:pPr>
      <w:r w:rsidRPr="0083506B">
        <w:rPr>
          <w:rFonts w:asciiTheme="minorHAnsi" w:hAnsiTheme="minorHAnsi"/>
          <w:sz w:val="22"/>
          <w:szCs w:val="22"/>
        </w:rPr>
        <w:t xml:space="preserve">Based on </w:t>
      </w:r>
      <w:r w:rsidRPr="0083506B" w:rsidR="00AC6563">
        <w:rPr>
          <w:rFonts w:asciiTheme="minorHAnsi" w:hAnsiTheme="minorHAnsi"/>
          <w:sz w:val="22"/>
          <w:szCs w:val="22"/>
        </w:rPr>
        <w:t xml:space="preserve">information in the New Hampshire and Louisiana </w:t>
      </w:r>
      <w:r w:rsidRPr="0083506B">
        <w:rPr>
          <w:rFonts w:asciiTheme="minorHAnsi" w:hAnsiTheme="minorHAnsi"/>
          <w:sz w:val="22"/>
          <w:szCs w:val="22"/>
        </w:rPr>
        <w:t>APRs for the 2018</w:t>
      </w:r>
      <w:r w:rsidR="00E206D7">
        <w:rPr>
          <w:rFonts w:asciiTheme="minorHAnsi" w:hAnsiTheme="minorHAnsi"/>
          <w:sz w:val="22"/>
          <w:szCs w:val="22"/>
        </w:rPr>
        <w:t>–</w:t>
      </w:r>
      <w:r w:rsidRPr="0083506B">
        <w:rPr>
          <w:rFonts w:asciiTheme="minorHAnsi" w:hAnsiTheme="minorHAnsi"/>
          <w:sz w:val="22"/>
          <w:szCs w:val="22"/>
        </w:rPr>
        <w:t>19 school year</w:t>
      </w:r>
      <w:r w:rsidRPr="0083506B" w:rsidR="00AC6563">
        <w:rPr>
          <w:rFonts w:asciiTheme="minorHAnsi" w:hAnsiTheme="minorHAnsi"/>
          <w:sz w:val="22"/>
          <w:szCs w:val="22"/>
        </w:rPr>
        <w:t xml:space="preserve"> and IADA application information for Georgia and North Carolina, there were 53 districts participating in the IADA program in 2019</w:t>
      </w:r>
      <w:r w:rsidR="00E206D7">
        <w:rPr>
          <w:rFonts w:asciiTheme="minorHAnsi" w:hAnsiTheme="minorHAnsi"/>
          <w:sz w:val="22"/>
          <w:szCs w:val="22"/>
        </w:rPr>
        <w:t>–</w:t>
      </w:r>
      <w:r w:rsidRPr="0083506B" w:rsidR="00AC6563">
        <w:rPr>
          <w:rFonts w:asciiTheme="minorHAnsi" w:hAnsiTheme="minorHAnsi"/>
          <w:sz w:val="22"/>
          <w:szCs w:val="22"/>
        </w:rPr>
        <w:t xml:space="preserve">20. Using this information, the evaluation team estimates </w:t>
      </w:r>
      <w:r w:rsidRPr="0083506B">
        <w:rPr>
          <w:rFonts w:asciiTheme="minorHAnsi" w:hAnsiTheme="minorHAnsi"/>
          <w:sz w:val="22"/>
          <w:szCs w:val="22"/>
        </w:rPr>
        <w:t xml:space="preserve">64 participating districts </w:t>
      </w:r>
      <w:r w:rsidRPr="0083506B" w:rsidR="004E63C0">
        <w:rPr>
          <w:rFonts w:asciiTheme="minorHAnsi" w:hAnsiTheme="minorHAnsi"/>
          <w:sz w:val="22"/>
          <w:szCs w:val="22"/>
        </w:rPr>
        <w:t>for the spring 2021 data collection</w:t>
      </w:r>
      <w:r w:rsidRPr="0083506B">
        <w:rPr>
          <w:rFonts w:asciiTheme="minorHAnsi" w:hAnsiTheme="minorHAnsi"/>
          <w:sz w:val="22"/>
          <w:szCs w:val="22"/>
        </w:rPr>
        <w:t xml:space="preserve"> and 77 districts </w:t>
      </w:r>
      <w:r w:rsidRPr="0083506B" w:rsidR="004E63C0">
        <w:rPr>
          <w:rFonts w:asciiTheme="minorHAnsi" w:hAnsiTheme="minorHAnsi"/>
          <w:sz w:val="22"/>
          <w:szCs w:val="22"/>
        </w:rPr>
        <w:t xml:space="preserve">for the </w:t>
      </w:r>
      <w:r w:rsidR="005337EF">
        <w:rPr>
          <w:rFonts w:asciiTheme="minorHAnsi" w:hAnsiTheme="minorHAnsi"/>
          <w:sz w:val="22"/>
          <w:szCs w:val="22"/>
        </w:rPr>
        <w:t xml:space="preserve">spring </w:t>
      </w:r>
      <w:r w:rsidRPr="0083506B" w:rsidR="004E63C0">
        <w:rPr>
          <w:rFonts w:asciiTheme="minorHAnsi" w:hAnsiTheme="minorHAnsi"/>
          <w:sz w:val="22"/>
          <w:szCs w:val="22"/>
        </w:rPr>
        <w:t>2022 data collection</w:t>
      </w:r>
      <w:r w:rsidR="000D0E56">
        <w:rPr>
          <w:rFonts w:asciiTheme="minorHAnsi" w:hAnsiTheme="minorHAnsi"/>
          <w:sz w:val="22"/>
          <w:szCs w:val="22"/>
        </w:rPr>
        <w:t xml:space="preserve"> (20 percent growth in participating districts between 2020-21 and 2021-22)</w:t>
      </w:r>
      <w:r w:rsidRPr="0083506B" w:rsidR="004E63C0">
        <w:rPr>
          <w:rFonts w:asciiTheme="minorHAnsi" w:hAnsiTheme="minorHAnsi"/>
          <w:sz w:val="22"/>
          <w:szCs w:val="22"/>
        </w:rPr>
        <w:t xml:space="preserve">. </w:t>
      </w:r>
      <w:r w:rsidRPr="0083506B" w:rsidR="0060315E">
        <w:rPr>
          <w:rFonts w:asciiTheme="minorHAnsi" w:hAnsiTheme="minorHAnsi"/>
          <w:sz w:val="22"/>
          <w:szCs w:val="22"/>
        </w:rPr>
        <w:t xml:space="preserve">These numbers will be verified </w:t>
      </w:r>
      <w:r w:rsidRPr="0083506B" w:rsidR="00F665C9">
        <w:rPr>
          <w:rFonts w:asciiTheme="minorHAnsi" w:hAnsiTheme="minorHAnsi"/>
          <w:sz w:val="22"/>
          <w:szCs w:val="22"/>
        </w:rPr>
        <w:t xml:space="preserve">or </w:t>
      </w:r>
      <w:r w:rsidRPr="0083506B" w:rsidR="0060315E">
        <w:rPr>
          <w:rFonts w:asciiTheme="minorHAnsi" w:hAnsiTheme="minorHAnsi"/>
          <w:sz w:val="22"/>
          <w:szCs w:val="22"/>
        </w:rPr>
        <w:t xml:space="preserve">updated if needed based on the </w:t>
      </w:r>
      <w:r w:rsidRPr="0083506B" w:rsidR="004E63C0">
        <w:rPr>
          <w:rFonts w:asciiTheme="minorHAnsi" w:hAnsiTheme="minorHAnsi"/>
          <w:sz w:val="22"/>
          <w:szCs w:val="22"/>
        </w:rPr>
        <w:t>number of participating districts identified on</w:t>
      </w:r>
      <w:r w:rsidR="00090E6C">
        <w:rPr>
          <w:rFonts w:asciiTheme="minorHAnsi" w:hAnsiTheme="minorHAnsi"/>
          <w:sz w:val="22"/>
          <w:szCs w:val="22"/>
        </w:rPr>
        <w:t xml:space="preserve"> future</w:t>
      </w:r>
      <w:r w:rsidRPr="0083506B" w:rsidR="002A247F">
        <w:rPr>
          <w:rFonts w:asciiTheme="minorHAnsi" w:hAnsiTheme="minorHAnsi"/>
          <w:sz w:val="22"/>
          <w:szCs w:val="22"/>
        </w:rPr>
        <w:t xml:space="preserve"> </w:t>
      </w:r>
      <w:r w:rsidRPr="0083506B" w:rsidR="0060315E">
        <w:rPr>
          <w:rFonts w:asciiTheme="minorHAnsi" w:hAnsiTheme="minorHAnsi"/>
          <w:sz w:val="22"/>
          <w:szCs w:val="22"/>
        </w:rPr>
        <w:t>APRs.</w:t>
      </w:r>
      <w:r w:rsidRPr="0083506B" w:rsidR="00AC6563">
        <w:rPr>
          <w:rStyle w:val="FootnoteReference"/>
          <w:rFonts w:asciiTheme="minorHAnsi" w:hAnsiTheme="minorHAnsi"/>
          <w:sz w:val="22"/>
          <w:szCs w:val="22"/>
        </w:rPr>
        <w:footnoteReference w:id="3"/>
      </w:r>
      <w:r w:rsidRPr="0083506B" w:rsidR="0060315E">
        <w:rPr>
          <w:rFonts w:asciiTheme="minorHAnsi" w:hAnsiTheme="minorHAnsi"/>
          <w:sz w:val="22"/>
          <w:szCs w:val="22"/>
        </w:rPr>
        <w:t xml:space="preserve"> </w:t>
      </w:r>
    </w:p>
    <w:p w:rsidRPr="0083506B" w:rsidR="001E48C6" w:rsidP="004F75EA" w:rsidRDefault="00045621" w14:paraId="5273AB47" w14:textId="6A0511BB">
      <w:pPr>
        <w:pStyle w:val="Heading3"/>
        <w:keepNext/>
      </w:pPr>
      <w:bookmarkStart w:name="_Toc44941961" w:id="2"/>
      <w:r w:rsidRPr="0083506B">
        <w:t>B.1.2.</w:t>
      </w:r>
      <w:r w:rsidRPr="0083506B">
        <w:tab/>
        <w:t xml:space="preserve">School </w:t>
      </w:r>
      <w:r w:rsidR="004F75EA">
        <w:t>S</w:t>
      </w:r>
      <w:r w:rsidRPr="0083506B">
        <w:t>ample</w:t>
      </w:r>
      <w:bookmarkEnd w:id="2"/>
      <w:r w:rsidRPr="0083506B">
        <w:t xml:space="preserve"> </w:t>
      </w:r>
    </w:p>
    <w:p w:rsidRPr="0083506B" w:rsidR="00F665C9" w:rsidP="00104BDF" w:rsidRDefault="001E48C6" w14:paraId="19349752" w14:textId="1BE43D25">
      <w:pPr>
        <w:pStyle w:val="N1-1stBullet"/>
        <w:numPr>
          <w:ilvl w:val="0"/>
          <w:numId w:val="0"/>
        </w:numPr>
        <w:spacing w:line="276" w:lineRule="auto"/>
        <w:rPr>
          <w:rFonts w:eastAsia="Calibri" w:asciiTheme="minorHAnsi" w:hAnsiTheme="minorHAnsi"/>
          <w:sz w:val="22"/>
          <w:szCs w:val="22"/>
        </w:rPr>
      </w:pPr>
      <w:r w:rsidRPr="0083506B">
        <w:rPr>
          <w:rFonts w:asciiTheme="minorHAnsi" w:hAnsiTheme="minorHAnsi"/>
          <w:sz w:val="22"/>
          <w:szCs w:val="22"/>
        </w:rPr>
        <w:t>The evaluation team will use lists of participating schools from state APR</w:t>
      </w:r>
      <w:r w:rsidRPr="0083506B" w:rsidR="0044197A">
        <w:rPr>
          <w:rFonts w:asciiTheme="minorHAnsi" w:hAnsiTheme="minorHAnsi"/>
          <w:sz w:val="22"/>
          <w:szCs w:val="22"/>
        </w:rPr>
        <w:t xml:space="preserve">s to build the </w:t>
      </w:r>
      <w:r w:rsidR="00E97B68">
        <w:rPr>
          <w:rFonts w:asciiTheme="minorHAnsi" w:hAnsiTheme="minorHAnsi"/>
          <w:sz w:val="22"/>
          <w:szCs w:val="22"/>
        </w:rPr>
        <w:t xml:space="preserve">school </w:t>
      </w:r>
      <w:r w:rsidRPr="0083506B" w:rsidR="0044197A">
        <w:rPr>
          <w:rFonts w:asciiTheme="minorHAnsi" w:hAnsiTheme="minorHAnsi"/>
          <w:sz w:val="22"/>
          <w:szCs w:val="22"/>
        </w:rPr>
        <w:t xml:space="preserve">sampling frame for each survey year. </w:t>
      </w:r>
      <w:r w:rsidRPr="0083506B" w:rsidR="0044197A">
        <w:rPr>
          <w:rFonts w:eastAsia="Calibri" w:asciiTheme="minorHAnsi" w:hAnsiTheme="minorHAnsi"/>
          <w:sz w:val="22"/>
          <w:szCs w:val="22"/>
        </w:rPr>
        <w:t xml:space="preserve">As illustrated in Table </w:t>
      </w:r>
      <w:r w:rsidR="00104BDF">
        <w:rPr>
          <w:rFonts w:eastAsia="Calibri" w:asciiTheme="minorHAnsi" w:hAnsiTheme="minorHAnsi"/>
          <w:sz w:val="22"/>
          <w:szCs w:val="22"/>
        </w:rPr>
        <w:t>B-</w:t>
      </w:r>
      <w:r w:rsidRPr="0083506B" w:rsidR="0044197A">
        <w:rPr>
          <w:rFonts w:eastAsia="Calibri" w:asciiTheme="minorHAnsi" w:hAnsiTheme="minorHAnsi"/>
          <w:sz w:val="22"/>
          <w:szCs w:val="22"/>
        </w:rPr>
        <w:t xml:space="preserve">1, participating schools may vary by grade span (elementary, middle, or high school) across IADA program. </w:t>
      </w:r>
    </w:p>
    <w:p w:rsidRPr="0083506B" w:rsidR="0044197A" w:rsidP="00E6396F" w:rsidRDefault="00DC77B1" w14:paraId="59661399" w14:textId="77CA82C0">
      <w:pPr>
        <w:pStyle w:val="N1-1stBullet"/>
        <w:numPr>
          <w:ilvl w:val="0"/>
          <w:numId w:val="0"/>
        </w:numPr>
        <w:spacing w:line="276" w:lineRule="auto"/>
        <w:rPr>
          <w:rFonts w:asciiTheme="minorHAnsi" w:hAnsiTheme="minorHAnsi"/>
          <w:sz w:val="22"/>
          <w:szCs w:val="22"/>
        </w:rPr>
      </w:pPr>
      <w:r w:rsidRPr="0083506B">
        <w:rPr>
          <w:rFonts w:eastAsia="Calibri" w:asciiTheme="minorHAnsi" w:hAnsiTheme="minorHAnsi"/>
          <w:sz w:val="22"/>
          <w:szCs w:val="22"/>
        </w:rPr>
        <w:lastRenderedPageBreak/>
        <w:t xml:space="preserve">The evaluation team will draw an equal probability sample of schools within each district for each data collection year. </w:t>
      </w:r>
      <w:r w:rsidRPr="0083506B" w:rsidR="004E63C0">
        <w:rPr>
          <w:rFonts w:eastAsia="Calibri" w:asciiTheme="minorHAnsi" w:hAnsiTheme="minorHAnsi"/>
          <w:sz w:val="22"/>
          <w:szCs w:val="22"/>
        </w:rPr>
        <w:t xml:space="preserve">The evaluation team will select </w:t>
      </w:r>
      <w:r w:rsidRPr="0083506B" w:rsidR="002A247F">
        <w:rPr>
          <w:rFonts w:eastAsia="Calibri" w:asciiTheme="minorHAnsi" w:hAnsiTheme="minorHAnsi"/>
          <w:sz w:val="22"/>
          <w:szCs w:val="22"/>
        </w:rPr>
        <w:t>t</w:t>
      </w:r>
      <w:r w:rsidRPr="0083506B" w:rsidR="004E63C0">
        <w:rPr>
          <w:rFonts w:asciiTheme="minorHAnsi" w:hAnsiTheme="minorHAnsi"/>
          <w:sz w:val="22"/>
          <w:szCs w:val="22"/>
        </w:rPr>
        <w:t xml:space="preserve">wo schools per district for the </w:t>
      </w:r>
      <w:r w:rsidR="003C4368">
        <w:rPr>
          <w:rFonts w:asciiTheme="minorHAnsi" w:hAnsiTheme="minorHAnsi"/>
          <w:sz w:val="22"/>
          <w:szCs w:val="22"/>
        </w:rPr>
        <w:t xml:space="preserve">spring </w:t>
      </w:r>
      <w:r w:rsidRPr="0083506B" w:rsidR="004E63C0">
        <w:rPr>
          <w:rFonts w:asciiTheme="minorHAnsi" w:hAnsiTheme="minorHAnsi"/>
          <w:sz w:val="22"/>
          <w:szCs w:val="22"/>
        </w:rPr>
        <w:t xml:space="preserve">2021 </w:t>
      </w:r>
      <w:r w:rsidR="003C4368">
        <w:rPr>
          <w:rFonts w:asciiTheme="minorHAnsi" w:hAnsiTheme="minorHAnsi"/>
          <w:sz w:val="22"/>
          <w:szCs w:val="22"/>
        </w:rPr>
        <w:t>survey</w:t>
      </w:r>
      <w:r w:rsidRPr="0083506B" w:rsidR="004E63C0">
        <w:rPr>
          <w:rFonts w:asciiTheme="minorHAnsi" w:hAnsiTheme="minorHAnsi"/>
          <w:sz w:val="22"/>
          <w:szCs w:val="22"/>
        </w:rPr>
        <w:t xml:space="preserve"> and three schools per district for the</w:t>
      </w:r>
      <w:r w:rsidR="006C7CAF">
        <w:rPr>
          <w:rFonts w:asciiTheme="minorHAnsi" w:hAnsiTheme="minorHAnsi"/>
          <w:sz w:val="22"/>
          <w:szCs w:val="22"/>
        </w:rPr>
        <w:t xml:space="preserve"> spring</w:t>
      </w:r>
      <w:r w:rsidRPr="0083506B" w:rsidR="004E63C0">
        <w:rPr>
          <w:rFonts w:asciiTheme="minorHAnsi" w:hAnsiTheme="minorHAnsi"/>
          <w:sz w:val="22"/>
          <w:szCs w:val="22"/>
        </w:rPr>
        <w:t xml:space="preserve"> 2022 </w:t>
      </w:r>
      <w:r w:rsidR="001D7892">
        <w:rPr>
          <w:rFonts w:asciiTheme="minorHAnsi" w:hAnsiTheme="minorHAnsi"/>
          <w:sz w:val="22"/>
          <w:szCs w:val="22"/>
        </w:rPr>
        <w:t>survey</w:t>
      </w:r>
      <w:r w:rsidRPr="0083506B" w:rsidR="004E63C0">
        <w:rPr>
          <w:rFonts w:asciiTheme="minorHAnsi" w:hAnsiTheme="minorHAnsi"/>
          <w:sz w:val="22"/>
          <w:szCs w:val="22"/>
        </w:rPr>
        <w:t>.</w:t>
      </w:r>
      <w:r w:rsidRPr="000D0E56" w:rsidR="00104BDF">
        <w:rPr>
          <w:rStyle w:val="FootnoteReference"/>
          <w:rFonts w:asciiTheme="minorHAnsi" w:hAnsiTheme="minorHAnsi" w:cstheme="minorHAnsi"/>
          <w:sz w:val="22"/>
          <w:szCs w:val="22"/>
        </w:rPr>
        <w:footnoteReference w:id="4"/>
      </w:r>
      <w:r w:rsidRPr="0083506B" w:rsidR="002A247F">
        <w:rPr>
          <w:rFonts w:asciiTheme="minorHAnsi" w:hAnsiTheme="minorHAnsi"/>
          <w:sz w:val="22"/>
          <w:szCs w:val="22"/>
        </w:rPr>
        <w:t xml:space="preserve"> </w:t>
      </w:r>
      <w:r w:rsidRPr="0083506B" w:rsidR="00F42016">
        <w:rPr>
          <w:rFonts w:asciiTheme="minorHAnsi" w:hAnsiTheme="minorHAnsi"/>
          <w:sz w:val="22"/>
          <w:szCs w:val="22"/>
        </w:rPr>
        <w:t xml:space="preserve">This approach is expected to yield 128 sampled schools for </w:t>
      </w:r>
      <w:r w:rsidR="00007788">
        <w:rPr>
          <w:rFonts w:asciiTheme="minorHAnsi" w:hAnsiTheme="minorHAnsi"/>
          <w:sz w:val="22"/>
          <w:szCs w:val="22"/>
        </w:rPr>
        <w:t>spring 2021</w:t>
      </w:r>
      <w:r w:rsidRPr="0083506B" w:rsidR="00F42016">
        <w:rPr>
          <w:rFonts w:asciiTheme="minorHAnsi" w:hAnsiTheme="minorHAnsi"/>
          <w:sz w:val="22"/>
          <w:szCs w:val="22"/>
        </w:rPr>
        <w:t xml:space="preserve"> and 231 sampled schools for </w:t>
      </w:r>
      <w:r w:rsidR="00007788">
        <w:rPr>
          <w:rFonts w:asciiTheme="minorHAnsi" w:hAnsiTheme="minorHAnsi"/>
          <w:sz w:val="22"/>
          <w:szCs w:val="22"/>
        </w:rPr>
        <w:t>spring 2022</w:t>
      </w:r>
      <w:r w:rsidRPr="0083506B" w:rsidR="00F42016">
        <w:rPr>
          <w:rFonts w:asciiTheme="minorHAnsi" w:hAnsiTheme="minorHAnsi"/>
          <w:sz w:val="22"/>
          <w:szCs w:val="22"/>
        </w:rPr>
        <w:t xml:space="preserve">. These numbers will be </w:t>
      </w:r>
      <w:r w:rsidRPr="0083506B" w:rsidR="00F665C9">
        <w:rPr>
          <w:rFonts w:asciiTheme="minorHAnsi" w:hAnsiTheme="minorHAnsi"/>
          <w:sz w:val="22"/>
          <w:szCs w:val="22"/>
        </w:rPr>
        <w:t xml:space="preserve">verified or </w:t>
      </w:r>
      <w:r w:rsidRPr="0083506B" w:rsidR="00F42016">
        <w:rPr>
          <w:rFonts w:asciiTheme="minorHAnsi" w:hAnsiTheme="minorHAnsi"/>
          <w:sz w:val="22"/>
          <w:szCs w:val="22"/>
        </w:rPr>
        <w:t xml:space="preserve">updated </w:t>
      </w:r>
      <w:r w:rsidR="00730034">
        <w:rPr>
          <w:rFonts w:asciiTheme="minorHAnsi" w:hAnsiTheme="minorHAnsi"/>
          <w:sz w:val="22"/>
          <w:szCs w:val="22"/>
        </w:rPr>
        <w:t xml:space="preserve">based on information in </w:t>
      </w:r>
      <w:r w:rsidR="003D01FF">
        <w:rPr>
          <w:rFonts w:asciiTheme="minorHAnsi" w:hAnsiTheme="minorHAnsi"/>
          <w:sz w:val="22"/>
          <w:szCs w:val="22"/>
        </w:rPr>
        <w:t>future</w:t>
      </w:r>
      <w:r w:rsidR="00730034">
        <w:rPr>
          <w:rFonts w:asciiTheme="minorHAnsi" w:hAnsiTheme="minorHAnsi"/>
          <w:sz w:val="22"/>
          <w:szCs w:val="22"/>
        </w:rPr>
        <w:t xml:space="preserve"> APRs</w:t>
      </w:r>
      <w:r w:rsidRPr="0083506B">
        <w:rPr>
          <w:rFonts w:asciiTheme="minorHAnsi" w:hAnsiTheme="minorHAnsi"/>
          <w:sz w:val="22"/>
          <w:szCs w:val="22"/>
        </w:rPr>
        <w:t xml:space="preserve">. </w:t>
      </w:r>
      <w:r w:rsidR="001A2321">
        <w:rPr>
          <w:rFonts w:asciiTheme="minorHAnsi" w:hAnsiTheme="minorHAnsi"/>
          <w:sz w:val="22"/>
          <w:szCs w:val="22"/>
        </w:rPr>
        <w:t xml:space="preserve">If the number of districts is larger than expected, the </w:t>
      </w:r>
      <w:r w:rsidR="00767499">
        <w:rPr>
          <w:rFonts w:asciiTheme="minorHAnsi" w:hAnsiTheme="minorHAnsi"/>
          <w:sz w:val="22"/>
          <w:szCs w:val="22"/>
        </w:rPr>
        <w:t xml:space="preserve">total </w:t>
      </w:r>
      <w:r w:rsidR="001A2321">
        <w:rPr>
          <w:rFonts w:asciiTheme="minorHAnsi" w:hAnsiTheme="minorHAnsi"/>
          <w:sz w:val="22"/>
          <w:szCs w:val="22"/>
        </w:rPr>
        <w:t>number of schools sampled will be</w:t>
      </w:r>
      <w:r w:rsidR="0026290F">
        <w:rPr>
          <w:rFonts w:asciiTheme="minorHAnsi" w:hAnsiTheme="minorHAnsi"/>
          <w:sz w:val="22"/>
          <w:szCs w:val="22"/>
        </w:rPr>
        <w:t xml:space="preserve"> accordingly</w:t>
      </w:r>
      <w:r w:rsidR="001A2321">
        <w:rPr>
          <w:rFonts w:asciiTheme="minorHAnsi" w:hAnsiTheme="minorHAnsi"/>
          <w:sz w:val="22"/>
          <w:szCs w:val="22"/>
        </w:rPr>
        <w:t xml:space="preserve"> revised upward. </w:t>
      </w:r>
      <w:r w:rsidRPr="0083506B" w:rsidR="002A247F">
        <w:rPr>
          <w:rFonts w:asciiTheme="minorHAnsi" w:hAnsiTheme="minorHAnsi"/>
          <w:sz w:val="22"/>
          <w:szCs w:val="22"/>
        </w:rPr>
        <w:t xml:space="preserve">See B.2 for details on the </w:t>
      </w:r>
      <w:r w:rsidRPr="0083506B" w:rsidR="00F665C9">
        <w:rPr>
          <w:rFonts w:asciiTheme="minorHAnsi" w:hAnsiTheme="minorHAnsi"/>
          <w:sz w:val="22"/>
          <w:szCs w:val="22"/>
        </w:rPr>
        <w:t xml:space="preserve">school </w:t>
      </w:r>
      <w:r w:rsidRPr="0083506B" w:rsidR="002A247F">
        <w:rPr>
          <w:rFonts w:asciiTheme="minorHAnsi" w:hAnsiTheme="minorHAnsi"/>
          <w:sz w:val="22"/>
          <w:szCs w:val="22"/>
        </w:rPr>
        <w:t>sampling approach</w:t>
      </w:r>
      <w:r w:rsidRPr="0083506B" w:rsidR="004E63C0">
        <w:rPr>
          <w:rFonts w:asciiTheme="minorHAnsi" w:hAnsiTheme="minorHAnsi"/>
          <w:sz w:val="22"/>
          <w:szCs w:val="22"/>
        </w:rPr>
        <w:t>.</w:t>
      </w:r>
    </w:p>
    <w:p w:rsidRPr="0083506B" w:rsidR="00100BA1" w:rsidP="002224E5" w:rsidRDefault="00100BA1" w14:paraId="4C596FF5" w14:textId="78F60706">
      <w:pPr>
        <w:pStyle w:val="Heading3"/>
        <w:rPr>
          <w:rFonts w:eastAsia="Calibri"/>
        </w:rPr>
      </w:pPr>
      <w:bookmarkStart w:name="_Toc44941962" w:id="3"/>
      <w:r w:rsidRPr="0083506B">
        <w:rPr>
          <w:rFonts w:eastAsia="Calibri"/>
        </w:rPr>
        <w:t>B.1.3.</w:t>
      </w:r>
      <w:r w:rsidR="004F75EA">
        <w:rPr>
          <w:rFonts w:eastAsia="Calibri"/>
        </w:rPr>
        <w:tab/>
      </w:r>
      <w:r w:rsidRPr="0083506B">
        <w:rPr>
          <w:rFonts w:eastAsia="Calibri"/>
        </w:rPr>
        <w:t xml:space="preserve">Teacher </w:t>
      </w:r>
      <w:r w:rsidR="004F75EA">
        <w:rPr>
          <w:rFonts w:eastAsia="Calibri"/>
        </w:rPr>
        <w:t>S</w:t>
      </w:r>
      <w:r w:rsidRPr="0083506B">
        <w:rPr>
          <w:rFonts w:eastAsia="Calibri"/>
        </w:rPr>
        <w:t>ample</w:t>
      </w:r>
      <w:bookmarkEnd w:id="3"/>
    </w:p>
    <w:p w:rsidRPr="0083506B" w:rsidR="00770778" w:rsidP="00907269" w:rsidRDefault="009F3EA6" w14:paraId="26469403" w14:textId="067C2F1D">
      <w:pPr>
        <w:pStyle w:val="N1-1stBullet"/>
        <w:numPr>
          <w:ilvl w:val="0"/>
          <w:numId w:val="0"/>
        </w:numPr>
        <w:spacing w:line="276" w:lineRule="auto"/>
        <w:rPr>
          <w:rFonts w:eastAsia="Calibri" w:asciiTheme="minorHAnsi" w:hAnsiTheme="minorHAnsi"/>
          <w:sz w:val="22"/>
          <w:szCs w:val="22"/>
        </w:rPr>
      </w:pPr>
      <w:r w:rsidRPr="0083506B">
        <w:rPr>
          <w:rFonts w:asciiTheme="minorHAnsi" w:hAnsiTheme="minorHAnsi" w:cstheme="minorHAnsi"/>
          <w:webHidden/>
          <w:sz w:val="22"/>
          <w:szCs w:val="22"/>
        </w:rPr>
        <w:t xml:space="preserve">The evaluation team will request lists of participating teachers for each school sampled for the evaluation for each survey year. </w:t>
      </w:r>
      <w:r w:rsidRPr="0083506B" w:rsidR="004E63C0">
        <w:rPr>
          <w:rFonts w:asciiTheme="minorHAnsi" w:hAnsiTheme="minorHAnsi" w:cstheme="minorHAnsi"/>
          <w:webHidden/>
          <w:sz w:val="22"/>
          <w:szCs w:val="22"/>
        </w:rPr>
        <w:t xml:space="preserve">The evaluation team will request the lists from a </w:t>
      </w:r>
      <w:r w:rsidR="00007788">
        <w:rPr>
          <w:rFonts w:asciiTheme="minorHAnsi" w:hAnsiTheme="minorHAnsi" w:cstheme="minorHAnsi"/>
          <w:webHidden/>
          <w:sz w:val="22"/>
          <w:szCs w:val="22"/>
        </w:rPr>
        <w:t>D</w:t>
      </w:r>
      <w:r w:rsidRPr="0083506B" w:rsidR="004E63C0">
        <w:rPr>
          <w:rFonts w:asciiTheme="minorHAnsi" w:hAnsiTheme="minorHAnsi" w:cstheme="minorHAnsi"/>
          <w:webHidden/>
          <w:sz w:val="22"/>
          <w:szCs w:val="22"/>
        </w:rPr>
        <w:t xml:space="preserve">istrict </w:t>
      </w:r>
      <w:r w:rsidR="00007788">
        <w:rPr>
          <w:rFonts w:asciiTheme="minorHAnsi" w:hAnsiTheme="minorHAnsi" w:cstheme="minorHAnsi"/>
          <w:webHidden/>
          <w:sz w:val="22"/>
          <w:szCs w:val="22"/>
        </w:rPr>
        <w:t>C</w:t>
      </w:r>
      <w:r w:rsidRPr="0083506B" w:rsidR="004E63C0">
        <w:rPr>
          <w:rFonts w:asciiTheme="minorHAnsi" w:hAnsiTheme="minorHAnsi" w:cstheme="minorHAnsi"/>
          <w:webHidden/>
          <w:sz w:val="22"/>
          <w:szCs w:val="22"/>
        </w:rPr>
        <w:t xml:space="preserve">oordinator </w:t>
      </w:r>
      <w:r w:rsidRPr="0083506B" w:rsidR="006F16AC">
        <w:rPr>
          <w:rFonts w:asciiTheme="minorHAnsi" w:hAnsiTheme="minorHAnsi" w:cstheme="minorHAnsi"/>
          <w:webHidden/>
          <w:sz w:val="22"/>
          <w:szCs w:val="22"/>
        </w:rPr>
        <w:t xml:space="preserve">recruited </w:t>
      </w:r>
      <w:r w:rsidRPr="0083506B" w:rsidR="004E63C0">
        <w:rPr>
          <w:rFonts w:asciiTheme="minorHAnsi" w:hAnsiTheme="minorHAnsi" w:cstheme="minorHAnsi"/>
          <w:webHidden/>
          <w:sz w:val="22"/>
          <w:szCs w:val="22"/>
        </w:rPr>
        <w:t xml:space="preserve">for the evaluation. </w:t>
      </w:r>
      <w:bookmarkStart w:name="_Hlk45032185" w:id="4"/>
      <w:r w:rsidRPr="0083506B">
        <w:rPr>
          <w:rFonts w:eastAsia="Calibri" w:asciiTheme="minorHAnsi" w:hAnsiTheme="minorHAnsi"/>
          <w:sz w:val="22"/>
          <w:szCs w:val="22"/>
        </w:rPr>
        <w:t xml:space="preserve">Participating teachers are those whose grade and subject (or course for high school teachers) is identified as part of the IADA program in the data collection year. </w:t>
      </w:r>
      <w:bookmarkEnd w:id="4"/>
    </w:p>
    <w:p w:rsidR="009F3EA6" w:rsidP="00907269" w:rsidRDefault="00770778" w14:paraId="4234C9BC" w14:textId="2F2F9C16">
      <w:pPr>
        <w:pStyle w:val="N1-1stBullet"/>
        <w:numPr>
          <w:ilvl w:val="0"/>
          <w:numId w:val="0"/>
        </w:numPr>
        <w:spacing w:line="276" w:lineRule="auto"/>
        <w:rPr>
          <w:rFonts w:asciiTheme="minorHAnsi" w:hAnsiTheme="minorHAnsi"/>
          <w:sz w:val="22"/>
          <w:szCs w:val="22"/>
        </w:rPr>
      </w:pPr>
      <w:r w:rsidRPr="0083506B">
        <w:rPr>
          <w:rFonts w:eastAsia="Calibri" w:asciiTheme="minorHAnsi" w:hAnsiTheme="minorHAnsi"/>
          <w:sz w:val="22"/>
          <w:szCs w:val="22"/>
        </w:rPr>
        <w:t xml:space="preserve">The evaluation team will select </w:t>
      </w:r>
      <w:r w:rsidRPr="0083506B" w:rsidR="009F3EA6">
        <w:rPr>
          <w:rFonts w:eastAsia="Calibri" w:asciiTheme="minorHAnsi" w:hAnsiTheme="minorHAnsi"/>
          <w:sz w:val="22"/>
          <w:szCs w:val="22"/>
        </w:rPr>
        <w:t>all participating teachers in schools with no more than six participating teachers and randomly select exactly six participating teachers in all other schools in the sample.</w:t>
      </w:r>
      <w:r w:rsidRPr="0083506B" w:rsidR="004E63C0">
        <w:rPr>
          <w:rFonts w:eastAsia="Calibri" w:asciiTheme="minorHAnsi" w:hAnsiTheme="minorHAnsi"/>
          <w:sz w:val="22"/>
          <w:szCs w:val="22"/>
        </w:rPr>
        <w:t xml:space="preserve"> </w:t>
      </w:r>
      <w:r w:rsidRPr="0083506B" w:rsidR="00F665C9">
        <w:rPr>
          <w:rFonts w:asciiTheme="minorHAnsi" w:hAnsiTheme="minorHAnsi"/>
          <w:sz w:val="22"/>
          <w:szCs w:val="22"/>
        </w:rPr>
        <w:t xml:space="preserve">This approach is expected to yield </w:t>
      </w:r>
      <w:r w:rsidRPr="0083506B" w:rsidR="001A2321">
        <w:rPr>
          <w:rFonts w:asciiTheme="minorHAnsi" w:hAnsiTheme="minorHAnsi"/>
          <w:sz w:val="22"/>
          <w:szCs w:val="22"/>
        </w:rPr>
        <w:t>640</w:t>
      </w:r>
      <w:r w:rsidRPr="0083506B" w:rsidR="00F665C9">
        <w:rPr>
          <w:rFonts w:asciiTheme="minorHAnsi" w:hAnsiTheme="minorHAnsi"/>
          <w:sz w:val="22"/>
          <w:szCs w:val="22"/>
        </w:rPr>
        <w:t xml:space="preserve"> sampled </w:t>
      </w:r>
      <w:r w:rsidR="001A2321">
        <w:rPr>
          <w:rFonts w:asciiTheme="minorHAnsi" w:hAnsiTheme="minorHAnsi"/>
          <w:sz w:val="22"/>
          <w:szCs w:val="22"/>
        </w:rPr>
        <w:t>teachers</w:t>
      </w:r>
      <w:r w:rsidRPr="0083506B" w:rsidR="00F665C9">
        <w:rPr>
          <w:rFonts w:asciiTheme="minorHAnsi" w:hAnsiTheme="minorHAnsi"/>
          <w:sz w:val="22"/>
          <w:szCs w:val="22"/>
        </w:rPr>
        <w:t xml:space="preserve"> for </w:t>
      </w:r>
      <w:r w:rsidR="00FC6658">
        <w:rPr>
          <w:rFonts w:asciiTheme="minorHAnsi" w:hAnsiTheme="minorHAnsi"/>
          <w:sz w:val="22"/>
          <w:szCs w:val="22"/>
        </w:rPr>
        <w:t>spring 2021</w:t>
      </w:r>
      <w:r w:rsidRPr="0083506B" w:rsidR="00F665C9">
        <w:rPr>
          <w:rFonts w:asciiTheme="minorHAnsi" w:hAnsiTheme="minorHAnsi"/>
          <w:sz w:val="22"/>
          <w:szCs w:val="22"/>
        </w:rPr>
        <w:t xml:space="preserve"> and </w:t>
      </w:r>
      <w:r w:rsidRPr="0083506B" w:rsidR="001A2321">
        <w:rPr>
          <w:rFonts w:asciiTheme="minorHAnsi" w:hAnsiTheme="minorHAnsi"/>
          <w:sz w:val="22"/>
          <w:szCs w:val="22"/>
        </w:rPr>
        <w:t>1,155</w:t>
      </w:r>
      <w:r w:rsidRPr="0083506B" w:rsidR="00F665C9">
        <w:rPr>
          <w:rFonts w:asciiTheme="minorHAnsi" w:hAnsiTheme="minorHAnsi"/>
          <w:sz w:val="22"/>
          <w:szCs w:val="22"/>
        </w:rPr>
        <w:t xml:space="preserve"> sampled </w:t>
      </w:r>
      <w:r w:rsidR="001A2321">
        <w:rPr>
          <w:rFonts w:asciiTheme="minorHAnsi" w:hAnsiTheme="minorHAnsi"/>
          <w:sz w:val="22"/>
          <w:szCs w:val="22"/>
        </w:rPr>
        <w:t xml:space="preserve">teachers </w:t>
      </w:r>
      <w:r w:rsidRPr="0083506B" w:rsidR="00F665C9">
        <w:rPr>
          <w:rFonts w:asciiTheme="minorHAnsi" w:hAnsiTheme="minorHAnsi"/>
          <w:sz w:val="22"/>
          <w:szCs w:val="22"/>
        </w:rPr>
        <w:t xml:space="preserve">for </w:t>
      </w:r>
      <w:r w:rsidR="00FC6658">
        <w:rPr>
          <w:rFonts w:asciiTheme="minorHAnsi" w:hAnsiTheme="minorHAnsi"/>
          <w:sz w:val="22"/>
          <w:szCs w:val="22"/>
        </w:rPr>
        <w:t>spring 2022</w:t>
      </w:r>
      <w:r w:rsidRPr="0083506B" w:rsidR="00F665C9">
        <w:rPr>
          <w:rFonts w:asciiTheme="minorHAnsi" w:hAnsiTheme="minorHAnsi"/>
          <w:sz w:val="22"/>
          <w:szCs w:val="22"/>
        </w:rPr>
        <w:t xml:space="preserve">. These numbers will be verified or updated </w:t>
      </w:r>
      <w:r w:rsidR="001A2321">
        <w:rPr>
          <w:rFonts w:asciiTheme="minorHAnsi" w:hAnsiTheme="minorHAnsi"/>
          <w:sz w:val="22"/>
          <w:szCs w:val="22"/>
        </w:rPr>
        <w:t xml:space="preserve">based on information in the </w:t>
      </w:r>
      <w:r w:rsidR="00FC6658">
        <w:rPr>
          <w:rFonts w:asciiTheme="minorHAnsi" w:hAnsiTheme="minorHAnsi"/>
          <w:sz w:val="22"/>
          <w:szCs w:val="22"/>
        </w:rPr>
        <w:t>future</w:t>
      </w:r>
      <w:r w:rsidR="001A2321">
        <w:rPr>
          <w:rFonts w:asciiTheme="minorHAnsi" w:hAnsiTheme="minorHAnsi"/>
          <w:sz w:val="22"/>
          <w:szCs w:val="22"/>
        </w:rPr>
        <w:t xml:space="preserve"> APR</w:t>
      </w:r>
      <w:r w:rsidR="00FC6658">
        <w:rPr>
          <w:rFonts w:asciiTheme="minorHAnsi" w:hAnsiTheme="minorHAnsi"/>
          <w:sz w:val="22"/>
          <w:szCs w:val="22"/>
        </w:rPr>
        <w:t>s</w:t>
      </w:r>
      <w:r w:rsidR="001A2321">
        <w:rPr>
          <w:rFonts w:asciiTheme="minorHAnsi" w:hAnsiTheme="minorHAnsi"/>
          <w:sz w:val="22"/>
          <w:szCs w:val="22"/>
        </w:rPr>
        <w:t xml:space="preserve"> on the number of districts participating for each survey year. If the number of districts is larger than expected, the number of teachers sampled will be</w:t>
      </w:r>
      <w:r w:rsidR="00FC6658">
        <w:rPr>
          <w:rFonts w:asciiTheme="minorHAnsi" w:hAnsiTheme="minorHAnsi"/>
          <w:sz w:val="22"/>
          <w:szCs w:val="22"/>
        </w:rPr>
        <w:t xml:space="preserve"> accordingly</w:t>
      </w:r>
      <w:r w:rsidR="001A2321">
        <w:rPr>
          <w:rFonts w:asciiTheme="minorHAnsi" w:hAnsiTheme="minorHAnsi"/>
          <w:sz w:val="22"/>
          <w:szCs w:val="22"/>
        </w:rPr>
        <w:t xml:space="preserve"> revised upward.</w:t>
      </w:r>
      <w:r w:rsidR="00E206D7">
        <w:rPr>
          <w:rFonts w:asciiTheme="minorHAnsi" w:hAnsiTheme="minorHAnsi"/>
          <w:sz w:val="22"/>
          <w:szCs w:val="22"/>
        </w:rPr>
        <w:t xml:space="preserve"> </w:t>
      </w:r>
      <w:r w:rsidRPr="0083506B" w:rsidR="00F665C9">
        <w:rPr>
          <w:rFonts w:asciiTheme="minorHAnsi" w:hAnsiTheme="minorHAnsi"/>
          <w:sz w:val="22"/>
          <w:szCs w:val="22"/>
        </w:rPr>
        <w:t xml:space="preserve">See B.2 for details on the </w:t>
      </w:r>
      <w:r w:rsidRPr="0083506B" w:rsidR="00416799">
        <w:rPr>
          <w:rFonts w:asciiTheme="minorHAnsi" w:hAnsiTheme="minorHAnsi"/>
          <w:sz w:val="22"/>
          <w:szCs w:val="22"/>
        </w:rPr>
        <w:t xml:space="preserve">teacher </w:t>
      </w:r>
      <w:r w:rsidRPr="0083506B" w:rsidR="00F665C9">
        <w:rPr>
          <w:rFonts w:asciiTheme="minorHAnsi" w:hAnsiTheme="minorHAnsi"/>
          <w:sz w:val="22"/>
          <w:szCs w:val="22"/>
        </w:rPr>
        <w:t>sampling approach.</w:t>
      </w:r>
    </w:p>
    <w:p w:rsidRPr="0083506B" w:rsidR="002224E5" w:rsidP="002224E5" w:rsidRDefault="00F40FD1" w14:paraId="69EB9C3D" w14:textId="5D5DD443">
      <w:pPr>
        <w:pStyle w:val="Heading2"/>
        <w:rPr>
          <w:rFonts w:eastAsia="Calibri"/>
        </w:rPr>
      </w:pPr>
      <w:bookmarkStart w:name="_Toc44941963" w:id="5"/>
      <w:r>
        <w:rPr>
          <w:rFonts w:cstheme="minorHAnsi"/>
          <w:kern w:val="28"/>
        </w:rPr>
        <w:t>B.2.</w:t>
      </w:r>
      <w:r>
        <w:rPr>
          <w:rFonts w:cstheme="minorHAnsi"/>
          <w:kern w:val="28"/>
        </w:rPr>
        <w:tab/>
        <w:t xml:space="preserve">Information </w:t>
      </w:r>
      <w:r w:rsidR="004F75EA">
        <w:rPr>
          <w:rFonts w:cstheme="minorHAnsi"/>
          <w:kern w:val="28"/>
        </w:rPr>
        <w:t>C</w:t>
      </w:r>
      <w:r w:rsidRPr="0083506B" w:rsidR="002224E5">
        <w:rPr>
          <w:rFonts w:cstheme="minorHAnsi"/>
          <w:kern w:val="28"/>
        </w:rPr>
        <w:t xml:space="preserve">ollection </w:t>
      </w:r>
      <w:r w:rsidR="004F75EA">
        <w:rPr>
          <w:rFonts w:cstheme="minorHAnsi"/>
          <w:kern w:val="28"/>
        </w:rPr>
        <w:t>P</w:t>
      </w:r>
      <w:r w:rsidRPr="0083506B" w:rsidR="002224E5">
        <w:rPr>
          <w:rFonts w:cstheme="minorHAnsi"/>
          <w:kern w:val="28"/>
        </w:rPr>
        <w:t>rocedures</w:t>
      </w:r>
      <w:bookmarkEnd w:id="5"/>
    </w:p>
    <w:p w:rsidRPr="0083506B" w:rsidR="00906561" w:rsidP="002224E5" w:rsidRDefault="00906561" w14:paraId="1214EC03" w14:textId="530538EC">
      <w:pPr>
        <w:pStyle w:val="Heading3"/>
      </w:pPr>
      <w:bookmarkStart w:name="_Toc44941964" w:id="6"/>
      <w:bookmarkStart w:name="_Toc328375762" w:id="7"/>
      <w:r w:rsidRPr="0083506B">
        <w:t>B.2.1.</w:t>
      </w:r>
      <w:r w:rsidRPr="0083506B">
        <w:tab/>
        <w:t xml:space="preserve">Notification of the </w:t>
      </w:r>
      <w:r w:rsidR="004F75EA">
        <w:t>S</w:t>
      </w:r>
      <w:r w:rsidRPr="0083506B">
        <w:t>ample</w:t>
      </w:r>
      <w:r w:rsidRPr="0083506B" w:rsidR="003514BF">
        <w:t xml:space="preserve"> and </w:t>
      </w:r>
      <w:r w:rsidR="004F75EA">
        <w:t>R</w:t>
      </w:r>
      <w:r w:rsidRPr="0083506B">
        <w:t>ecruitment</w:t>
      </w:r>
      <w:bookmarkEnd w:id="6"/>
      <w:r w:rsidRPr="0083506B">
        <w:t xml:space="preserve"> </w:t>
      </w:r>
      <w:bookmarkEnd w:id="7"/>
    </w:p>
    <w:p w:rsidRPr="0083506B" w:rsidR="00100BA1" w:rsidP="003A600E" w:rsidRDefault="00A076E3" w14:paraId="158A535A" w14:textId="5149173A">
      <w:pPr>
        <w:rPr>
          <w:rFonts w:eastAsia="Calibri"/>
        </w:rPr>
      </w:pPr>
      <w:r w:rsidRPr="0083506B">
        <w:rPr>
          <w:rFonts w:cstheme="minorHAnsi"/>
          <w:webHidden/>
        </w:rPr>
        <w:t>T</w:t>
      </w:r>
      <w:r w:rsidRPr="0083506B" w:rsidR="003A600E">
        <w:rPr>
          <w:rFonts w:cstheme="minorHAnsi"/>
          <w:webHidden/>
        </w:rPr>
        <w:t xml:space="preserve">he evaluation team will </w:t>
      </w:r>
      <w:r w:rsidR="00FF01BD">
        <w:rPr>
          <w:rFonts w:cstheme="minorHAnsi"/>
          <w:webHidden/>
        </w:rPr>
        <w:t xml:space="preserve">send a letter to </w:t>
      </w:r>
      <w:r w:rsidRPr="0083506B" w:rsidR="003A600E">
        <w:rPr>
          <w:rFonts w:cstheme="minorHAnsi"/>
          <w:webHidden/>
        </w:rPr>
        <w:t xml:space="preserve">the Superintendent for each district participating in the IADA program </w:t>
      </w:r>
      <w:r w:rsidR="00FF01BD">
        <w:rPr>
          <w:rFonts w:cstheme="minorHAnsi"/>
          <w:webHidden/>
        </w:rPr>
        <w:t>notifying them of the study and request their participation</w:t>
      </w:r>
      <w:r w:rsidRPr="0083506B" w:rsidR="003A600E">
        <w:rPr>
          <w:rFonts w:cstheme="minorHAnsi"/>
          <w:webHidden/>
        </w:rPr>
        <w:t xml:space="preserve"> (See Appendix </w:t>
      </w:r>
      <w:r w:rsidR="00216C4A">
        <w:rPr>
          <w:rFonts w:cstheme="minorHAnsi"/>
          <w:webHidden/>
        </w:rPr>
        <w:t>B</w:t>
      </w:r>
      <w:r w:rsidR="000D0E56">
        <w:rPr>
          <w:rFonts w:cstheme="minorHAnsi"/>
          <w:webHidden/>
        </w:rPr>
        <w:t xml:space="preserve"> for notification letters</w:t>
      </w:r>
      <w:r w:rsidRPr="0083506B" w:rsidR="003A600E">
        <w:rPr>
          <w:rFonts w:cstheme="minorHAnsi"/>
          <w:webHidden/>
        </w:rPr>
        <w:t xml:space="preserve">). </w:t>
      </w:r>
      <w:r w:rsidR="00FF01BD">
        <w:rPr>
          <w:rFonts w:cstheme="minorHAnsi"/>
          <w:webHidden/>
        </w:rPr>
        <w:t xml:space="preserve">The letter </w:t>
      </w:r>
      <w:r w:rsidRPr="0083506B" w:rsidR="003A600E">
        <w:rPr>
          <w:rFonts w:cstheme="minorHAnsi"/>
          <w:webHidden/>
        </w:rPr>
        <w:t xml:space="preserve">will ask the Superintendent to designate a District Coordinator to assist the evaluation team with the data collection. The Coordinator’s responsibilities will include providing a list of participating teachers </w:t>
      </w:r>
      <w:r w:rsidRPr="0083506B" w:rsidR="003A600E">
        <w:rPr>
          <w:rFonts w:cstheme="minorHAnsi"/>
        </w:rPr>
        <w:t xml:space="preserve">for each school sampled for the evaluation. </w:t>
      </w:r>
      <w:r w:rsidR="001B6C27">
        <w:rPr>
          <w:rFonts w:cstheme="minorHAnsi"/>
        </w:rPr>
        <w:t>The list will include the teacher’s grade and subject</w:t>
      </w:r>
      <w:r w:rsidR="00920AAF">
        <w:rPr>
          <w:rFonts w:cstheme="minorHAnsi"/>
        </w:rPr>
        <w:t xml:space="preserve">, which </w:t>
      </w:r>
      <w:r w:rsidR="00D5474B">
        <w:rPr>
          <w:rFonts w:cstheme="minorHAnsi"/>
        </w:rPr>
        <w:t>the evaluation team</w:t>
      </w:r>
      <w:r w:rsidR="00920AAF">
        <w:rPr>
          <w:rFonts w:cstheme="minorHAnsi"/>
        </w:rPr>
        <w:t xml:space="preserve"> will use in the sampling process (see Section B.2.2.3 for additional details)</w:t>
      </w:r>
      <w:r w:rsidR="001B6C27">
        <w:rPr>
          <w:rFonts w:cstheme="minorHAnsi"/>
        </w:rPr>
        <w:t xml:space="preserve">. </w:t>
      </w:r>
      <w:r w:rsidRPr="0083506B" w:rsidR="003A600E">
        <w:rPr>
          <w:rFonts w:cstheme="minorHAnsi"/>
        </w:rPr>
        <w:t xml:space="preserve">District </w:t>
      </w:r>
      <w:r w:rsidR="0078030A">
        <w:rPr>
          <w:rFonts w:cstheme="minorHAnsi"/>
        </w:rPr>
        <w:t>C</w:t>
      </w:r>
      <w:r w:rsidRPr="0083506B" w:rsidR="003A600E">
        <w:rPr>
          <w:rFonts w:cstheme="minorHAnsi"/>
        </w:rPr>
        <w:t>oordinators will prepare a</w:t>
      </w:r>
      <w:r w:rsidR="00FF01BD">
        <w:rPr>
          <w:rFonts w:cstheme="minorHAnsi"/>
        </w:rPr>
        <w:t xml:space="preserve"> list of participating teachers </w:t>
      </w:r>
      <w:r w:rsidRPr="0083506B" w:rsidR="00AF6069">
        <w:rPr>
          <w:rFonts w:cstheme="minorHAnsi"/>
        </w:rPr>
        <w:t xml:space="preserve">according to written instructions (see Appendix </w:t>
      </w:r>
      <w:r w:rsidR="001B6C27">
        <w:rPr>
          <w:rFonts w:cstheme="minorHAnsi"/>
        </w:rPr>
        <w:t>A</w:t>
      </w:r>
      <w:r w:rsidR="000D0E56">
        <w:rPr>
          <w:rFonts w:cstheme="minorHAnsi"/>
        </w:rPr>
        <w:t xml:space="preserve"> for instructions</w:t>
      </w:r>
      <w:r w:rsidRPr="0083506B" w:rsidR="00AF6069">
        <w:rPr>
          <w:rFonts w:cstheme="minorHAnsi"/>
        </w:rPr>
        <w:t>)</w:t>
      </w:r>
      <w:r w:rsidRPr="0083506B" w:rsidR="003A600E">
        <w:rPr>
          <w:rFonts w:cstheme="minorHAnsi"/>
        </w:rPr>
        <w:t xml:space="preserve">.  </w:t>
      </w:r>
    </w:p>
    <w:p w:rsidRPr="0083506B" w:rsidR="00967872" w:rsidP="004F75EA" w:rsidRDefault="001179E2" w14:paraId="3489CFC9" w14:textId="586B4525">
      <w:pPr>
        <w:pStyle w:val="Heading3"/>
        <w:keepNext/>
      </w:pPr>
      <w:bookmarkStart w:name="_Toc328375763" w:id="8"/>
      <w:bookmarkStart w:name="_Toc44941965" w:id="9"/>
      <w:r>
        <w:t>B.2.2.</w:t>
      </w:r>
      <w:r>
        <w:tab/>
        <w:t xml:space="preserve">Statistical </w:t>
      </w:r>
      <w:r w:rsidR="004F75EA">
        <w:t>M</w:t>
      </w:r>
      <w:r w:rsidRPr="0083506B" w:rsidR="00967872">
        <w:t xml:space="preserve">ethodology for </w:t>
      </w:r>
      <w:r w:rsidR="004F75EA">
        <w:t>S</w:t>
      </w:r>
      <w:r>
        <w:t xml:space="preserve">tratification and </w:t>
      </w:r>
      <w:r w:rsidR="004F75EA">
        <w:t>S</w:t>
      </w:r>
      <w:r w:rsidRPr="0083506B" w:rsidR="00967872">
        <w:t xml:space="preserve">ample </w:t>
      </w:r>
      <w:r w:rsidR="004F75EA">
        <w:t>S</w:t>
      </w:r>
      <w:r w:rsidRPr="0083506B" w:rsidR="00967872">
        <w:t>election</w:t>
      </w:r>
      <w:bookmarkEnd w:id="8"/>
      <w:bookmarkEnd w:id="9"/>
    </w:p>
    <w:p w:rsidRPr="0083506B" w:rsidR="00582E7D" w:rsidP="00F65A7E" w:rsidRDefault="00B674C1" w14:paraId="5B2125DB" w14:textId="3E73EA5A">
      <w:pPr>
        <w:pStyle w:val="L1-FlLSp12"/>
        <w:spacing w:line="276" w:lineRule="auto"/>
        <w:rPr>
          <w:rFonts w:eastAsia="Calibri" w:asciiTheme="minorHAnsi" w:hAnsiTheme="minorHAnsi"/>
          <w:sz w:val="22"/>
          <w:szCs w:val="22"/>
        </w:rPr>
      </w:pPr>
      <w:r w:rsidRPr="0083506B">
        <w:rPr>
          <w:rFonts w:asciiTheme="minorHAnsi" w:hAnsiTheme="minorHAnsi" w:cstheme="minorHAnsi"/>
          <w:sz w:val="22"/>
          <w:szCs w:val="22"/>
        </w:rPr>
        <w:t>The evaluation team’s sample design is guided by the key analysis objectives to</w:t>
      </w:r>
      <w:r w:rsidR="00DD26BA">
        <w:rPr>
          <w:rFonts w:asciiTheme="minorHAnsi" w:hAnsiTheme="minorHAnsi" w:cstheme="minorHAnsi"/>
          <w:sz w:val="22"/>
          <w:szCs w:val="22"/>
        </w:rPr>
        <w:t xml:space="preserve"> produce reasonably precise</w:t>
      </w:r>
      <w:r w:rsidR="00512069">
        <w:rPr>
          <w:rFonts w:asciiTheme="minorHAnsi" w:hAnsiTheme="minorHAnsi" w:cstheme="minorHAnsi"/>
          <w:sz w:val="22"/>
          <w:szCs w:val="22"/>
        </w:rPr>
        <w:t xml:space="preserve"> pooled estimates of</w:t>
      </w:r>
      <w:r w:rsidRPr="0083506B">
        <w:rPr>
          <w:rFonts w:asciiTheme="minorHAnsi" w:hAnsiTheme="minorHAnsi" w:cstheme="minorHAnsi"/>
          <w:sz w:val="22"/>
          <w:szCs w:val="22"/>
        </w:rPr>
        <w:t xml:space="preserve"> (1) d</w:t>
      </w:r>
      <w:r w:rsidRPr="0083506B">
        <w:rPr>
          <w:rFonts w:asciiTheme="minorHAnsi" w:hAnsiTheme="minorHAnsi"/>
          <w:sz w:val="22"/>
          <w:szCs w:val="22"/>
        </w:rPr>
        <w:t xml:space="preserve">istrict and educator perspectives in 2020–21 and 2021–22, and (2) year-to-year change in </w:t>
      </w:r>
      <w:r w:rsidR="00512069">
        <w:rPr>
          <w:rFonts w:asciiTheme="minorHAnsi" w:hAnsiTheme="minorHAnsi"/>
          <w:sz w:val="22"/>
          <w:szCs w:val="22"/>
        </w:rPr>
        <w:t xml:space="preserve">these </w:t>
      </w:r>
      <w:r w:rsidRPr="0083506B">
        <w:rPr>
          <w:rFonts w:asciiTheme="minorHAnsi" w:hAnsiTheme="minorHAnsi"/>
          <w:sz w:val="22"/>
          <w:szCs w:val="22"/>
        </w:rPr>
        <w:t xml:space="preserve">perspectives (based on comparisons of </w:t>
      </w:r>
      <w:r w:rsidR="00473606">
        <w:rPr>
          <w:rFonts w:asciiTheme="minorHAnsi" w:hAnsiTheme="minorHAnsi"/>
          <w:sz w:val="22"/>
          <w:szCs w:val="22"/>
        </w:rPr>
        <w:t xml:space="preserve">the </w:t>
      </w:r>
      <w:r w:rsidRPr="0083506B">
        <w:rPr>
          <w:rFonts w:asciiTheme="minorHAnsi" w:hAnsiTheme="minorHAnsi"/>
          <w:sz w:val="22"/>
          <w:szCs w:val="22"/>
        </w:rPr>
        <w:t>cross-sectional data</w:t>
      </w:r>
      <w:r w:rsidR="00473606">
        <w:rPr>
          <w:rFonts w:asciiTheme="minorHAnsi" w:hAnsiTheme="minorHAnsi"/>
          <w:sz w:val="22"/>
          <w:szCs w:val="22"/>
        </w:rPr>
        <w:t xml:space="preserve"> in </w:t>
      </w:r>
      <w:r w:rsidRPr="0083506B" w:rsidR="00473606">
        <w:rPr>
          <w:rFonts w:asciiTheme="minorHAnsi" w:hAnsiTheme="minorHAnsi"/>
          <w:sz w:val="22"/>
          <w:szCs w:val="22"/>
        </w:rPr>
        <w:t>2020–21 and 2021–22</w:t>
      </w:r>
      <w:r w:rsidRPr="0083506B">
        <w:rPr>
          <w:rFonts w:asciiTheme="minorHAnsi" w:hAnsiTheme="minorHAnsi"/>
          <w:sz w:val="22"/>
          <w:szCs w:val="22"/>
        </w:rPr>
        <w:t xml:space="preserve">). </w:t>
      </w:r>
      <w:r w:rsidRPr="0083506B" w:rsidR="00582E7D">
        <w:rPr>
          <w:rFonts w:asciiTheme="minorHAnsi" w:hAnsiTheme="minorHAnsi" w:cstheme="minorHAnsi"/>
          <w:sz w:val="22"/>
          <w:szCs w:val="22"/>
        </w:rPr>
        <w:t>The following sections provide details on the sampling approaches.</w:t>
      </w:r>
    </w:p>
    <w:p w:rsidRPr="0083506B" w:rsidR="00B674C1" w:rsidP="002224E5" w:rsidRDefault="00B674C1" w14:paraId="6E88DAC0" w14:textId="44C91B82">
      <w:pPr>
        <w:pStyle w:val="Heading4"/>
      </w:pPr>
      <w:bookmarkStart w:name="_Toc44941966" w:id="10"/>
      <w:r w:rsidRPr="0083506B">
        <w:lastRenderedPageBreak/>
        <w:t xml:space="preserve">B.2.2.1. </w:t>
      </w:r>
      <w:r w:rsidRPr="0083506B">
        <w:tab/>
        <w:t xml:space="preserve">District </w:t>
      </w:r>
      <w:r w:rsidR="004F75EA">
        <w:t>S</w:t>
      </w:r>
      <w:r w:rsidRPr="0083506B">
        <w:t>ample</w:t>
      </w:r>
      <w:bookmarkEnd w:id="10"/>
    </w:p>
    <w:p w:rsidRPr="0083506B" w:rsidR="00B674C1" w:rsidP="00F65A7E" w:rsidRDefault="00B674C1" w14:paraId="0DF2E307" w14:textId="007F7C60">
      <w:pPr>
        <w:pStyle w:val="L1-FlLSp12"/>
        <w:spacing w:line="276" w:lineRule="auto"/>
        <w:rPr>
          <w:rFonts w:asciiTheme="minorHAnsi" w:hAnsiTheme="minorHAnsi" w:cstheme="minorHAnsi"/>
          <w:sz w:val="22"/>
          <w:szCs w:val="22"/>
        </w:rPr>
      </w:pPr>
      <w:r w:rsidRPr="0083506B">
        <w:rPr>
          <w:rFonts w:eastAsia="Calibri" w:asciiTheme="minorHAnsi" w:hAnsiTheme="minorHAnsi"/>
          <w:sz w:val="22"/>
          <w:szCs w:val="22"/>
        </w:rPr>
        <w:t>T</w:t>
      </w:r>
      <w:r w:rsidRPr="0083506B">
        <w:rPr>
          <w:rFonts w:asciiTheme="minorHAnsi" w:hAnsiTheme="minorHAnsi" w:cstheme="minorHAnsi"/>
          <w:sz w:val="22"/>
          <w:szCs w:val="22"/>
        </w:rPr>
        <w:t xml:space="preserve">here are no sampling methods for the district survey. </w:t>
      </w:r>
      <w:r w:rsidRPr="00D8023D">
        <w:rPr>
          <w:rFonts w:asciiTheme="minorHAnsi" w:hAnsiTheme="minorHAnsi" w:cstheme="minorHAnsi"/>
          <w:b/>
          <w:sz w:val="22"/>
          <w:szCs w:val="22"/>
        </w:rPr>
        <w:t xml:space="preserve">All participating districts in the four pilot states will be surveyed </w:t>
      </w:r>
      <w:r w:rsidRPr="0083506B">
        <w:rPr>
          <w:rFonts w:asciiTheme="minorHAnsi" w:hAnsiTheme="minorHAnsi" w:cstheme="minorHAnsi"/>
          <w:sz w:val="22"/>
          <w:szCs w:val="22"/>
        </w:rPr>
        <w:t>in each of the two survey years (</w:t>
      </w:r>
      <w:r w:rsidR="00570E1D">
        <w:rPr>
          <w:rFonts w:asciiTheme="minorHAnsi" w:hAnsiTheme="minorHAnsi" w:cstheme="minorHAnsi"/>
          <w:sz w:val="22"/>
          <w:szCs w:val="22"/>
        </w:rPr>
        <w:t>spring</w:t>
      </w:r>
      <w:r w:rsidRPr="0083506B">
        <w:rPr>
          <w:rFonts w:asciiTheme="minorHAnsi" w:hAnsiTheme="minorHAnsi" w:cstheme="minorHAnsi"/>
          <w:sz w:val="22"/>
          <w:szCs w:val="22"/>
        </w:rPr>
        <w:t xml:space="preserve"> 2021 and </w:t>
      </w:r>
      <w:r w:rsidR="00570E1D">
        <w:rPr>
          <w:rFonts w:asciiTheme="minorHAnsi" w:hAnsiTheme="minorHAnsi" w:cstheme="minorHAnsi"/>
          <w:sz w:val="22"/>
          <w:szCs w:val="22"/>
        </w:rPr>
        <w:t>spring</w:t>
      </w:r>
      <w:r w:rsidRPr="0083506B">
        <w:rPr>
          <w:rFonts w:asciiTheme="minorHAnsi" w:hAnsiTheme="minorHAnsi" w:cstheme="minorHAnsi"/>
          <w:sz w:val="22"/>
          <w:szCs w:val="22"/>
        </w:rPr>
        <w:t xml:space="preserve"> 2022).</w:t>
      </w:r>
      <w:r w:rsidRPr="0083506B" w:rsidR="00DD41BD">
        <w:rPr>
          <w:rFonts w:asciiTheme="minorHAnsi" w:hAnsiTheme="minorHAnsi" w:cstheme="minorHAnsi"/>
          <w:sz w:val="22"/>
          <w:szCs w:val="22"/>
        </w:rPr>
        <w:t xml:space="preserve"> </w:t>
      </w:r>
      <w:r w:rsidRPr="00AC4EDF" w:rsidR="00AC4EDF">
        <w:rPr>
          <w:rFonts w:asciiTheme="minorHAnsi" w:hAnsiTheme="minorHAnsi" w:cstheme="minorHAnsi"/>
          <w:sz w:val="22"/>
          <w:szCs w:val="22"/>
        </w:rPr>
        <w:t xml:space="preserve">By including all districts </w:t>
      </w:r>
      <w:r w:rsidRPr="00920AAF" w:rsidR="00AC4EDF">
        <w:rPr>
          <w:rFonts w:asciiTheme="minorHAnsi" w:hAnsiTheme="minorHAnsi" w:cstheme="minorHAnsi"/>
          <w:sz w:val="22"/>
          <w:szCs w:val="22"/>
        </w:rPr>
        <w:t>in the evaluation, the team p</w:t>
      </w:r>
      <w:r w:rsidRPr="00920AAF" w:rsidR="00B5797B">
        <w:rPr>
          <w:rFonts w:asciiTheme="minorHAnsi" w:hAnsiTheme="minorHAnsi" w:cstheme="minorHAnsi"/>
          <w:sz w:val="22"/>
          <w:szCs w:val="22"/>
        </w:rPr>
        <w:t>rioritized the precision of the district estimates</w:t>
      </w:r>
      <w:r w:rsidRPr="00920AAF" w:rsidR="00AC4EDF">
        <w:rPr>
          <w:rFonts w:asciiTheme="minorHAnsi" w:hAnsiTheme="minorHAnsi" w:cstheme="minorHAnsi"/>
          <w:sz w:val="22"/>
          <w:szCs w:val="22"/>
        </w:rPr>
        <w:t>, whi</w:t>
      </w:r>
      <w:r w:rsidR="005543AA">
        <w:rPr>
          <w:rFonts w:asciiTheme="minorHAnsi" w:hAnsiTheme="minorHAnsi" w:cstheme="minorHAnsi"/>
          <w:sz w:val="22"/>
          <w:szCs w:val="22"/>
        </w:rPr>
        <w:t>ch</w:t>
      </w:r>
      <w:r w:rsidRPr="00920AAF" w:rsidR="00AC4EDF">
        <w:rPr>
          <w:rFonts w:asciiTheme="minorHAnsi" w:hAnsiTheme="minorHAnsi" w:cstheme="minorHAnsi"/>
          <w:sz w:val="22"/>
          <w:szCs w:val="22"/>
        </w:rPr>
        <w:t xml:space="preserve"> is expected to have a </w:t>
      </w:r>
      <w:r w:rsidRPr="005543AA" w:rsidR="00B5797B">
        <w:rPr>
          <w:rFonts w:asciiTheme="minorHAnsi" w:hAnsiTheme="minorHAnsi" w:cstheme="minorHAnsi"/>
          <w:sz w:val="22"/>
          <w:szCs w:val="22"/>
        </w:rPr>
        <w:t xml:space="preserve">high degree of </w:t>
      </w:r>
      <w:r w:rsidRPr="00AC4EDF" w:rsidR="00B5797B">
        <w:rPr>
          <w:rFonts w:asciiTheme="minorHAnsi" w:hAnsiTheme="minorHAnsi"/>
          <w:sz w:val="22"/>
          <w:szCs w:val="22"/>
        </w:rPr>
        <w:t>between-district varia</w:t>
      </w:r>
      <w:r w:rsidR="00B71095">
        <w:rPr>
          <w:rFonts w:asciiTheme="minorHAnsi" w:hAnsiTheme="minorHAnsi"/>
          <w:sz w:val="22"/>
          <w:szCs w:val="22"/>
        </w:rPr>
        <w:t>tion in survey responses</w:t>
      </w:r>
      <w:r w:rsidR="005543AA">
        <w:rPr>
          <w:rFonts w:asciiTheme="minorHAnsi" w:hAnsiTheme="minorHAnsi"/>
          <w:sz w:val="22"/>
          <w:szCs w:val="22"/>
        </w:rPr>
        <w:t xml:space="preserve"> given the differences in pilot programs and degree of scale up</w:t>
      </w:r>
      <w:r w:rsidRPr="00AC4EDF" w:rsidR="00B5797B">
        <w:rPr>
          <w:rFonts w:asciiTheme="minorHAnsi" w:hAnsiTheme="minorHAnsi"/>
          <w:sz w:val="22"/>
          <w:szCs w:val="22"/>
        </w:rPr>
        <w:t>.</w:t>
      </w:r>
      <w:r w:rsidR="00B5797B">
        <w:t xml:space="preserve"> </w:t>
      </w:r>
    </w:p>
    <w:p w:rsidRPr="0083506B" w:rsidR="00B1186A" w:rsidP="002224E5" w:rsidRDefault="00B1186A" w14:paraId="4A5FE74F" w14:textId="6477B85E">
      <w:pPr>
        <w:pStyle w:val="Heading4"/>
      </w:pPr>
      <w:bookmarkStart w:name="_Toc44941967" w:id="11"/>
      <w:r w:rsidRPr="0083506B">
        <w:t>B</w:t>
      </w:r>
      <w:r w:rsidRPr="0083506B" w:rsidR="00B674C1">
        <w:t>.2.2.2</w:t>
      </w:r>
      <w:r w:rsidRPr="0083506B">
        <w:t xml:space="preserve">. </w:t>
      </w:r>
      <w:r w:rsidRPr="0083506B">
        <w:tab/>
        <w:t xml:space="preserve">School </w:t>
      </w:r>
      <w:r w:rsidR="004F75EA">
        <w:t>S</w:t>
      </w:r>
      <w:r w:rsidRPr="0083506B">
        <w:t>ample</w:t>
      </w:r>
      <w:bookmarkEnd w:id="11"/>
    </w:p>
    <w:p w:rsidRPr="0083506B" w:rsidR="00A110E6" w:rsidP="00F65A7E" w:rsidRDefault="00B1186A" w14:paraId="764A4CAC" w14:textId="3305FDC4">
      <w:pPr>
        <w:pStyle w:val="N1-1stBullet"/>
        <w:numPr>
          <w:ilvl w:val="0"/>
          <w:numId w:val="0"/>
        </w:numPr>
        <w:spacing w:line="276" w:lineRule="auto"/>
        <w:rPr>
          <w:rFonts w:asciiTheme="minorHAnsi" w:hAnsiTheme="minorHAnsi"/>
          <w:sz w:val="22"/>
          <w:szCs w:val="22"/>
        </w:rPr>
      </w:pPr>
      <w:r w:rsidRPr="0083506B">
        <w:rPr>
          <w:rFonts w:asciiTheme="minorHAnsi" w:hAnsiTheme="minorHAnsi"/>
          <w:sz w:val="22"/>
          <w:szCs w:val="22"/>
        </w:rPr>
        <w:t xml:space="preserve">The evaluation team will </w:t>
      </w:r>
      <w:r w:rsidRPr="0083506B" w:rsidR="00045621">
        <w:rPr>
          <w:rFonts w:asciiTheme="minorHAnsi" w:hAnsiTheme="minorHAnsi"/>
          <w:b/>
          <w:sz w:val="22"/>
          <w:szCs w:val="22"/>
        </w:rPr>
        <w:t xml:space="preserve">select two schools per district for the </w:t>
      </w:r>
      <w:r w:rsidR="00F65A7E">
        <w:rPr>
          <w:rFonts w:asciiTheme="minorHAnsi" w:hAnsiTheme="minorHAnsi"/>
          <w:b/>
          <w:sz w:val="22"/>
          <w:szCs w:val="22"/>
        </w:rPr>
        <w:t xml:space="preserve">spring </w:t>
      </w:r>
      <w:r w:rsidRPr="0083506B" w:rsidR="00045621">
        <w:rPr>
          <w:rFonts w:asciiTheme="minorHAnsi" w:hAnsiTheme="minorHAnsi"/>
          <w:b/>
          <w:sz w:val="22"/>
          <w:szCs w:val="22"/>
        </w:rPr>
        <w:t xml:space="preserve">2021 data collection, and three schools per district for the </w:t>
      </w:r>
      <w:r w:rsidR="00F65A7E">
        <w:rPr>
          <w:rFonts w:asciiTheme="minorHAnsi" w:hAnsiTheme="minorHAnsi"/>
          <w:b/>
          <w:sz w:val="22"/>
          <w:szCs w:val="22"/>
        </w:rPr>
        <w:t xml:space="preserve">spring </w:t>
      </w:r>
      <w:r w:rsidRPr="0083506B" w:rsidR="00045621">
        <w:rPr>
          <w:rFonts w:asciiTheme="minorHAnsi" w:hAnsiTheme="minorHAnsi"/>
          <w:b/>
          <w:sz w:val="22"/>
          <w:szCs w:val="22"/>
        </w:rPr>
        <w:t>2022 data collection</w:t>
      </w:r>
      <w:r w:rsidRPr="0083506B" w:rsidR="00045621">
        <w:rPr>
          <w:rFonts w:asciiTheme="minorHAnsi" w:hAnsiTheme="minorHAnsi"/>
          <w:sz w:val="22"/>
          <w:szCs w:val="22"/>
        </w:rPr>
        <w:t xml:space="preserve">. </w:t>
      </w:r>
      <w:r w:rsidRPr="00B61DCE" w:rsidR="009C324D">
        <w:rPr>
          <w:rFonts w:asciiTheme="minorHAnsi" w:hAnsiTheme="minorHAnsi"/>
          <w:sz w:val="22"/>
          <w:szCs w:val="22"/>
        </w:rPr>
        <w:t>This number of schools per district will yield a large enough sample size to make reasonably precise estimates</w:t>
      </w:r>
      <w:r w:rsidR="000D0E56">
        <w:rPr>
          <w:rFonts w:asciiTheme="minorHAnsi" w:hAnsiTheme="minorHAnsi"/>
          <w:sz w:val="22"/>
          <w:szCs w:val="22"/>
        </w:rPr>
        <w:t xml:space="preserve"> for the population of participating schools in the four IADA states</w:t>
      </w:r>
      <w:r w:rsidRPr="00B61DCE" w:rsidR="0048224F">
        <w:rPr>
          <w:rFonts w:asciiTheme="minorHAnsi" w:hAnsiTheme="minorHAnsi"/>
          <w:sz w:val="22"/>
          <w:szCs w:val="22"/>
        </w:rPr>
        <w:t>, while prioritizing the precision for the district estimates</w:t>
      </w:r>
      <w:r w:rsidRPr="00B61DCE" w:rsidR="008F64B5">
        <w:rPr>
          <w:rFonts w:asciiTheme="minorHAnsi" w:hAnsiTheme="minorHAnsi"/>
          <w:sz w:val="22"/>
          <w:szCs w:val="22"/>
        </w:rPr>
        <w:t xml:space="preserve"> (see </w:t>
      </w:r>
      <w:r w:rsidRPr="00B61DCE" w:rsidR="00920AAF">
        <w:rPr>
          <w:rFonts w:asciiTheme="minorHAnsi" w:hAnsiTheme="minorHAnsi"/>
          <w:sz w:val="22"/>
          <w:szCs w:val="22"/>
        </w:rPr>
        <w:t>S</w:t>
      </w:r>
      <w:r w:rsidRPr="00B61DCE" w:rsidR="008F64B5">
        <w:rPr>
          <w:rFonts w:asciiTheme="minorHAnsi" w:hAnsiTheme="minorHAnsi"/>
          <w:sz w:val="22"/>
          <w:szCs w:val="22"/>
        </w:rPr>
        <w:t xml:space="preserve">ection B.2.4 for additional details on the </w:t>
      </w:r>
      <w:r w:rsidR="00AD0216">
        <w:rPr>
          <w:rFonts w:asciiTheme="minorHAnsi" w:hAnsiTheme="minorHAnsi"/>
          <w:sz w:val="22"/>
          <w:szCs w:val="22"/>
        </w:rPr>
        <w:t>precision</w:t>
      </w:r>
      <w:r w:rsidRPr="00B61DCE" w:rsidR="008F64B5">
        <w:rPr>
          <w:rFonts w:asciiTheme="minorHAnsi" w:hAnsiTheme="minorHAnsi"/>
          <w:sz w:val="22"/>
          <w:szCs w:val="22"/>
        </w:rPr>
        <w:t xml:space="preserve"> of estimates)</w:t>
      </w:r>
      <w:r w:rsidRPr="00B61DCE" w:rsidR="009C324D">
        <w:rPr>
          <w:rFonts w:asciiTheme="minorHAnsi" w:hAnsiTheme="minorHAnsi"/>
          <w:sz w:val="22"/>
          <w:szCs w:val="22"/>
        </w:rPr>
        <w:t>.</w:t>
      </w:r>
      <w:r w:rsidR="009C324D">
        <w:rPr>
          <w:rFonts w:asciiTheme="minorHAnsi" w:hAnsiTheme="minorHAnsi"/>
          <w:sz w:val="22"/>
          <w:szCs w:val="22"/>
        </w:rPr>
        <w:t xml:space="preserve"> </w:t>
      </w:r>
      <w:r w:rsidR="00AD0216">
        <w:rPr>
          <w:rFonts w:asciiTheme="minorHAnsi" w:hAnsiTheme="minorHAnsi"/>
          <w:sz w:val="22"/>
          <w:szCs w:val="22"/>
        </w:rPr>
        <w:t>A</w:t>
      </w:r>
      <w:r w:rsidR="00625977">
        <w:rPr>
          <w:rFonts w:asciiTheme="minorHAnsi" w:hAnsiTheme="minorHAnsi"/>
          <w:sz w:val="22"/>
          <w:szCs w:val="22"/>
        </w:rPr>
        <w:t>t least two schools per district</w:t>
      </w:r>
      <w:r w:rsidR="00AD0216">
        <w:rPr>
          <w:rFonts w:asciiTheme="minorHAnsi" w:hAnsiTheme="minorHAnsi"/>
          <w:sz w:val="22"/>
          <w:szCs w:val="22"/>
        </w:rPr>
        <w:t xml:space="preserve"> are needed</w:t>
      </w:r>
      <w:r w:rsidR="00625977">
        <w:rPr>
          <w:rFonts w:asciiTheme="minorHAnsi" w:hAnsiTheme="minorHAnsi"/>
          <w:sz w:val="22"/>
          <w:szCs w:val="22"/>
        </w:rPr>
        <w:t xml:space="preserve"> to be able to estimate</w:t>
      </w:r>
      <w:r w:rsidR="00D83CF9">
        <w:rPr>
          <w:rFonts w:asciiTheme="minorHAnsi" w:hAnsiTheme="minorHAnsi"/>
          <w:sz w:val="22"/>
          <w:szCs w:val="22"/>
        </w:rPr>
        <w:t xml:space="preserve"> the</w:t>
      </w:r>
      <w:r w:rsidR="00A25A8D">
        <w:rPr>
          <w:rFonts w:asciiTheme="minorHAnsi" w:hAnsiTheme="minorHAnsi"/>
          <w:sz w:val="22"/>
          <w:szCs w:val="22"/>
        </w:rPr>
        <w:t xml:space="preserve"> </w:t>
      </w:r>
      <w:r w:rsidR="00625977">
        <w:rPr>
          <w:rFonts w:asciiTheme="minorHAnsi" w:hAnsiTheme="minorHAnsi"/>
          <w:sz w:val="22"/>
          <w:szCs w:val="22"/>
        </w:rPr>
        <w:t>variance</w:t>
      </w:r>
      <w:r w:rsidR="00D83CF9">
        <w:rPr>
          <w:rFonts w:asciiTheme="minorHAnsi" w:hAnsiTheme="minorHAnsi"/>
          <w:sz w:val="22"/>
          <w:szCs w:val="22"/>
        </w:rPr>
        <w:t xml:space="preserve"> of survey estimates</w:t>
      </w:r>
      <w:r w:rsidR="00625977">
        <w:rPr>
          <w:rFonts w:asciiTheme="minorHAnsi" w:hAnsiTheme="minorHAnsi"/>
          <w:sz w:val="22"/>
          <w:szCs w:val="22"/>
        </w:rPr>
        <w:t>.</w:t>
      </w:r>
      <w:r w:rsidR="0018743C">
        <w:rPr>
          <w:rStyle w:val="FootnoteReference"/>
          <w:rFonts w:asciiTheme="minorHAnsi" w:hAnsiTheme="minorHAnsi"/>
          <w:sz w:val="22"/>
          <w:szCs w:val="22"/>
        </w:rPr>
        <w:footnoteReference w:id="5"/>
      </w:r>
      <w:r w:rsidR="00D83CF9">
        <w:rPr>
          <w:rFonts w:asciiTheme="minorHAnsi" w:hAnsiTheme="minorHAnsi"/>
          <w:sz w:val="22"/>
          <w:szCs w:val="22"/>
        </w:rPr>
        <w:t xml:space="preserve"> The additional school</w:t>
      </w:r>
      <w:r w:rsidR="00AD0216">
        <w:rPr>
          <w:rFonts w:asciiTheme="minorHAnsi" w:hAnsiTheme="minorHAnsi"/>
          <w:sz w:val="22"/>
          <w:szCs w:val="22"/>
        </w:rPr>
        <w:t xml:space="preserve"> in each district</w:t>
      </w:r>
      <w:r w:rsidR="00F65A7E">
        <w:rPr>
          <w:rFonts w:asciiTheme="minorHAnsi" w:hAnsiTheme="minorHAnsi"/>
          <w:sz w:val="22"/>
          <w:szCs w:val="22"/>
        </w:rPr>
        <w:t xml:space="preserve"> for</w:t>
      </w:r>
      <w:r w:rsidR="00D83CF9">
        <w:rPr>
          <w:rFonts w:asciiTheme="minorHAnsi" w:hAnsiTheme="minorHAnsi"/>
          <w:sz w:val="22"/>
          <w:szCs w:val="22"/>
        </w:rPr>
        <w:t xml:space="preserve"> </w:t>
      </w:r>
      <w:r w:rsidR="00F65A7E">
        <w:rPr>
          <w:rFonts w:asciiTheme="minorHAnsi" w:hAnsiTheme="minorHAnsi"/>
          <w:sz w:val="22"/>
          <w:szCs w:val="22"/>
        </w:rPr>
        <w:t>spring 2022</w:t>
      </w:r>
      <w:r w:rsidR="00D83CF9">
        <w:rPr>
          <w:rFonts w:asciiTheme="minorHAnsi" w:hAnsiTheme="minorHAnsi"/>
          <w:sz w:val="22"/>
          <w:szCs w:val="22"/>
        </w:rPr>
        <w:t xml:space="preserve"> reflects the anticipated scaling</w:t>
      </w:r>
      <w:r w:rsidR="00A25A8D">
        <w:rPr>
          <w:rFonts w:asciiTheme="minorHAnsi" w:hAnsiTheme="minorHAnsi"/>
          <w:sz w:val="22"/>
          <w:szCs w:val="22"/>
        </w:rPr>
        <w:t xml:space="preserve"> </w:t>
      </w:r>
      <w:r w:rsidR="00D83CF9">
        <w:rPr>
          <w:rFonts w:asciiTheme="minorHAnsi" w:hAnsiTheme="minorHAnsi"/>
          <w:sz w:val="22"/>
          <w:szCs w:val="22"/>
        </w:rPr>
        <w:t xml:space="preserve">up of the intervention in the district. </w:t>
      </w:r>
      <w:r w:rsidR="00AD0216">
        <w:rPr>
          <w:rFonts w:asciiTheme="minorHAnsi" w:hAnsiTheme="minorHAnsi"/>
          <w:sz w:val="22"/>
          <w:szCs w:val="22"/>
        </w:rPr>
        <w:t>Using these minimum sample sizes for</w:t>
      </w:r>
      <w:r w:rsidR="00D83CF9">
        <w:rPr>
          <w:rFonts w:asciiTheme="minorHAnsi" w:hAnsiTheme="minorHAnsi"/>
          <w:sz w:val="22"/>
          <w:szCs w:val="22"/>
        </w:rPr>
        <w:t xml:space="preserve"> schools in each district </w:t>
      </w:r>
      <w:r w:rsidR="00AD0216">
        <w:rPr>
          <w:rFonts w:asciiTheme="minorHAnsi" w:hAnsiTheme="minorHAnsi"/>
          <w:sz w:val="22"/>
          <w:szCs w:val="22"/>
        </w:rPr>
        <w:t>limits the burden and study costs, while allowing for a focus on obtaining the most precise estimates for districts. V</w:t>
      </w:r>
      <w:r w:rsidR="00D83CF9">
        <w:rPr>
          <w:rFonts w:asciiTheme="minorHAnsi" w:hAnsiTheme="minorHAnsi"/>
          <w:sz w:val="22"/>
          <w:szCs w:val="22"/>
        </w:rPr>
        <w:t xml:space="preserve">ariation in survey responses </w:t>
      </w:r>
      <w:r w:rsidR="00AD0216">
        <w:rPr>
          <w:rFonts w:asciiTheme="minorHAnsi" w:hAnsiTheme="minorHAnsi"/>
          <w:sz w:val="22"/>
          <w:szCs w:val="22"/>
        </w:rPr>
        <w:t>are expected to be larger</w:t>
      </w:r>
      <w:r w:rsidR="00D83CF9">
        <w:rPr>
          <w:rFonts w:asciiTheme="minorHAnsi" w:hAnsiTheme="minorHAnsi"/>
          <w:sz w:val="22"/>
          <w:szCs w:val="22"/>
        </w:rPr>
        <w:t xml:space="preserve"> across districts, </w:t>
      </w:r>
      <w:r w:rsidR="00AD0216">
        <w:rPr>
          <w:rFonts w:asciiTheme="minorHAnsi" w:hAnsiTheme="minorHAnsi"/>
          <w:sz w:val="22"/>
          <w:szCs w:val="22"/>
        </w:rPr>
        <w:t xml:space="preserve">relative to the variation </w:t>
      </w:r>
      <w:r w:rsidR="00D83CF9">
        <w:rPr>
          <w:rFonts w:asciiTheme="minorHAnsi" w:hAnsiTheme="minorHAnsi"/>
          <w:sz w:val="22"/>
          <w:szCs w:val="22"/>
        </w:rPr>
        <w:t xml:space="preserve">across schools </w:t>
      </w:r>
      <w:r w:rsidR="00AD0216">
        <w:rPr>
          <w:rFonts w:asciiTheme="minorHAnsi" w:hAnsiTheme="minorHAnsi"/>
          <w:sz w:val="22"/>
          <w:szCs w:val="22"/>
        </w:rPr>
        <w:t>with</w:t>
      </w:r>
      <w:r w:rsidR="00D83CF9">
        <w:rPr>
          <w:rFonts w:asciiTheme="minorHAnsi" w:hAnsiTheme="minorHAnsi"/>
          <w:sz w:val="22"/>
          <w:szCs w:val="22"/>
        </w:rPr>
        <w:t xml:space="preserve">in the same district. </w:t>
      </w:r>
    </w:p>
    <w:p w:rsidRPr="0083506B" w:rsidR="00045621" w:rsidP="00F65A7E" w:rsidRDefault="00AD0216" w14:paraId="35D9D9C0" w14:textId="47569E9F">
      <w:pPr>
        <w:pStyle w:val="N1-1stBullet"/>
        <w:numPr>
          <w:ilvl w:val="0"/>
          <w:numId w:val="0"/>
        </w:numPr>
        <w:spacing w:line="276" w:lineRule="auto"/>
        <w:rPr>
          <w:rFonts w:asciiTheme="minorHAnsi" w:hAnsiTheme="minorHAnsi"/>
          <w:sz w:val="22"/>
          <w:szCs w:val="22"/>
        </w:rPr>
      </w:pPr>
      <w:r>
        <w:rPr>
          <w:rFonts w:asciiTheme="minorHAnsi" w:hAnsiTheme="minorHAnsi"/>
          <w:sz w:val="22"/>
          <w:szCs w:val="22"/>
        </w:rPr>
        <w:t xml:space="preserve">The </w:t>
      </w:r>
      <w:r w:rsidR="005A1EE5">
        <w:rPr>
          <w:rFonts w:asciiTheme="minorHAnsi" w:hAnsiTheme="minorHAnsi"/>
          <w:sz w:val="22"/>
          <w:szCs w:val="22"/>
        </w:rPr>
        <w:t>evaluation</w:t>
      </w:r>
      <w:r>
        <w:rPr>
          <w:rFonts w:asciiTheme="minorHAnsi" w:hAnsiTheme="minorHAnsi"/>
          <w:sz w:val="22"/>
          <w:szCs w:val="22"/>
        </w:rPr>
        <w:t xml:space="preserve"> team</w:t>
      </w:r>
      <w:r w:rsidRPr="0083506B" w:rsidR="00A110E6">
        <w:rPr>
          <w:rFonts w:asciiTheme="minorHAnsi" w:hAnsiTheme="minorHAnsi"/>
          <w:sz w:val="22"/>
          <w:szCs w:val="22"/>
        </w:rPr>
        <w:t xml:space="preserve"> will </w:t>
      </w:r>
      <w:r w:rsidRPr="0083506B" w:rsidR="00A110E6">
        <w:rPr>
          <w:rFonts w:asciiTheme="minorHAnsi" w:hAnsiTheme="minorHAnsi"/>
          <w:b/>
          <w:sz w:val="22"/>
          <w:szCs w:val="22"/>
        </w:rPr>
        <w:t xml:space="preserve">select </w:t>
      </w:r>
      <w:r w:rsidRPr="0083506B" w:rsidR="00045621">
        <w:rPr>
          <w:rFonts w:asciiTheme="minorHAnsi" w:hAnsiTheme="minorHAnsi"/>
          <w:b/>
          <w:sz w:val="22"/>
          <w:szCs w:val="22"/>
        </w:rPr>
        <w:t xml:space="preserve">overlapping samples of participating schools </w:t>
      </w:r>
      <w:r w:rsidR="00A930A3">
        <w:rPr>
          <w:rFonts w:asciiTheme="minorHAnsi" w:hAnsiTheme="minorHAnsi"/>
          <w:b/>
          <w:sz w:val="22"/>
          <w:szCs w:val="22"/>
        </w:rPr>
        <w:t xml:space="preserve">for the spring 2021 and spring 2022 data collections. </w:t>
      </w:r>
      <w:r w:rsidRPr="0083506B" w:rsidR="00534D9E">
        <w:rPr>
          <w:rFonts w:asciiTheme="minorHAnsi" w:hAnsiTheme="minorHAnsi"/>
          <w:sz w:val="22"/>
          <w:szCs w:val="22"/>
        </w:rPr>
        <w:t xml:space="preserve">For districts that entered the sample </w:t>
      </w:r>
      <w:r w:rsidR="00A930A3">
        <w:rPr>
          <w:rFonts w:asciiTheme="minorHAnsi" w:hAnsiTheme="minorHAnsi"/>
          <w:sz w:val="22"/>
          <w:szCs w:val="22"/>
        </w:rPr>
        <w:t>for spring 2021</w:t>
      </w:r>
      <w:r w:rsidRPr="0083506B" w:rsidR="00534D9E">
        <w:rPr>
          <w:rFonts w:asciiTheme="minorHAnsi" w:hAnsiTheme="minorHAnsi"/>
          <w:sz w:val="22"/>
          <w:szCs w:val="22"/>
        </w:rPr>
        <w:t xml:space="preserve">, </w:t>
      </w:r>
      <w:r w:rsidR="00635CF0">
        <w:rPr>
          <w:rFonts w:asciiTheme="minorHAnsi" w:hAnsiTheme="minorHAnsi"/>
          <w:sz w:val="22"/>
          <w:szCs w:val="22"/>
        </w:rPr>
        <w:t xml:space="preserve">the evaluation team will maximize the overlap of schools selected </w:t>
      </w:r>
      <w:r w:rsidR="00A930A3">
        <w:rPr>
          <w:rFonts w:asciiTheme="minorHAnsi" w:hAnsiTheme="minorHAnsi"/>
          <w:sz w:val="22"/>
          <w:szCs w:val="22"/>
        </w:rPr>
        <w:t>for spring 2021 and spring 2022</w:t>
      </w:r>
      <w:r w:rsidR="00635CF0">
        <w:rPr>
          <w:rFonts w:asciiTheme="minorHAnsi" w:hAnsiTheme="minorHAnsi"/>
          <w:sz w:val="22"/>
          <w:szCs w:val="22"/>
        </w:rPr>
        <w:t xml:space="preserve"> using a “</w:t>
      </w:r>
      <w:proofErr w:type="spellStart"/>
      <w:r w:rsidR="00635CF0">
        <w:rPr>
          <w:rFonts w:asciiTheme="minorHAnsi" w:hAnsiTheme="minorHAnsi"/>
          <w:sz w:val="22"/>
          <w:szCs w:val="22"/>
        </w:rPr>
        <w:t>keyfitzing</w:t>
      </w:r>
      <w:proofErr w:type="spellEnd"/>
      <w:r w:rsidR="00635CF0">
        <w:rPr>
          <w:rFonts w:asciiTheme="minorHAnsi" w:hAnsiTheme="minorHAnsi"/>
          <w:sz w:val="22"/>
          <w:szCs w:val="22"/>
        </w:rPr>
        <w:t>” approach.</w:t>
      </w:r>
      <w:r>
        <w:rPr>
          <w:rStyle w:val="FootnoteReference"/>
          <w:rFonts w:asciiTheme="minorHAnsi" w:hAnsiTheme="minorHAnsi"/>
          <w:sz w:val="22"/>
          <w:szCs w:val="22"/>
        </w:rPr>
        <w:footnoteReference w:id="6"/>
      </w:r>
      <w:r w:rsidR="00635CF0">
        <w:rPr>
          <w:rFonts w:asciiTheme="minorHAnsi" w:hAnsiTheme="minorHAnsi"/>
          <w:sz w:val="22"/>
          <w:szCs w:val="22"/>
        </w:rPr>
        <w:t xml:space="preserve"> </w:t>
      </w:r>
      <w:r w:rsidRPr="00AA2DB2" w:rsidR="00AA2DB2">
        <w:rPr>
          <w:rFonts w:asciiTheme="minorHAnsi" w:hAnsiTheme="minorHAnsi"/>
          <w:sz w:val="22"/>
          <w:szCs w:val="22"/>
        </w:rPr>
        <w:t xml:space="preserve">Note that increasing the overlap through </w:t>
      </w:r>
      <w:proofErr w:type="spellStart"/>
      <w:r w:rsidRPr="00AA2DB2" w:rsidR="00AA2DB2">
        <w:rPr>
          <w:rFonts w:asciiTheme="minorHAnsi" w:hAnsiTheme="minorHAnsi"/>
          <w:sz w:val="22"/>
          <w:szCs w:val="22"/>
        </w:rPr>
        <w:t>keyfitzing</w:t>
      </w:r>
      <w:proofErr w:type="spellEnd"/>
      <w:r w:rsidRPr="00AA2DB2" w:rsidR="00AA2DB2">
        <w:rPr>
          <w:rFonts w:asciiTheme="minorHAnsi" w:hAnsiTheme="minorHAnsi"/>
          <w:sz w:val="22"/>
          <w:szCs w:val="22"/>
        </w:rPr>
        <w:t xml:space="preserve"> does not guarantee that all </w:t>
      </w:r>
      <w:r w:rsidR="007260CD">
        <w:rPr>
          <w:rFonts w:asciiTheme="minorHAnsi" w:hAnsiTheme="minorHAnsi"/>
          <w:sz w:val="22"/>
          <w:szCs w:val="22"/>
        </w:rPr>
        <w:t xml:space="preserve">spring 2021 </w:t>
      </w:r>
      <w:r w:rsidRPr="00AA2DB2" w:rsidR="00AA2DB2">
        <w:rPr>
          <w:rFonts w:asciiTheme="minorHAnsi" w:hAnsiTheme="minorHAnsi"/>
          <w:sz w:val="22"/>
          <w:szCs w:val="22"/>
        </w:rPr>
        <w:t xml:space="preserve">sampled schools will be in the </w:t>
      </w:r>
      <w:r w:rsidR="007260CD">
        <w:rPr>
          <w:rFonts w:asciiTheme="minorHAnsi" w:hAnsiTheme="minorHAnsi"/>
          <w:sz w:val="22"/>
          <w:szCs w:val="22"/>
        </w:rPr>
        <w:t xml:space="preserve">spring 2022 </w:t>
      </w:r>
      <w:r w:rsidRPr="00AA2DB2" w:rsidR="00AA2DB2">
        <w:rPr>
          <w:rFonts w:asciiTheme="minorHAnsi" w:hAnsiTheme="minorHAnsi"/>
          <w:sz w:val="22"/>
          <w:szCs w:val="22"/>
        </w:rPr>
        <w:t xml:space="preserve">sample, as </w:t>
      </w:r>
      <w:proofErr w:type="spellStart"/>
      <w:r w:rsidRPr="00AA2DB2" w:rsidR="00AA2DB2">
        <w:rPr>
          <w:rFonts w:asciiTheme="minorHAnsi" w:hAnsiTheme="minorHAnsi"/>
          <w:sz w:val="22"/>
          <w:szCs w:val="22"/>
        </w:rPr>
        <w:t>keyfitzing</w:t>
      </w:r>
      <w:proofErr w:type="spellEnd"/>
      <w:r w:rsidRPr="00AA2DB2" w:rsidR="00AA2DB2">
        <w:rPr>
          <w:rFonts w:asciiTheme="minorHAnsi" w:hAnsiTheme="minorHAnsi"/>
          <w:sz w:val="22"/>
          <w:szCs w:val="22"/>
        </w:rPr>
        <w:t xml:space="preserve"> is designed to assure that the probabilities of school selection in the second year are the same for all schools.</w:t>
      </w:r>
      <w:r w:rsidRPr="00AA2DB2" w:rsidR="00AA2DB2">
        <w:rPr>
          <w:rStyle w:val="FootnoteReference"/>
          <w:rFonts w:asciiTheme="minorHAnsi" w:hAnsiTheme="minorHAnsi"/>
          <w:sz w:val="22"/>
          <w:szCs w:val="22"/>
        </w:rPr>
        <w:footnoteReference w:id="7"/>
      </w:r>
      <w:r w:rsidR="00AA2DB2">
        <w:rPr>
          <w:rFonts w:asciiTheme="minorHAnsi" w:hAnsiTheme="minorHAnsi"/>
          <w:sz w:val="22"/>
          <w:szCs w:val="22"/>
        </w:rPr>
        <w:t xml:space="preserve"> </w:t>
      </w:r>
      <w:r w:rsidRPr="00AA2DB2" w:rsidR="00045621">
        <w:rPr>
          <w:rFonts w:asciiTheme="minorHAnsi" w:hAnsiTheme="minorHAnsi"/>
          <w:sz w:val="22"/>
          <w:szCs w:val="22"/>
        </w:rPr>
        <w:t>In</w:t>
      </w:r>
      <w:r w:rsidRPr="0083506B" w:rsidR="00045621">
        <w:rPr>
          <w:rFonts w:asciiTheme="minorHAnsi" w:hAnsiTheme="minorHAnsi"/>
          <w:sz w:val="22"/>
          <w:szCs w:val="22"/>
        </w:rPr>
        <w:t xml:space="preserve">creasing the overlap through this approach will improve the precision of estimates for change over time </w:t>
      </w:r>
      <w:r w:rsidRPr="0083506B" w:rsidR="00512272">
        <w:rPr>
          <w:rFonts w:asciiTheme="minorHAnsi" w:hAnsiTheme="minorHAnsi"/>
          <w:sz w:val="22"/>
          <w:szCs w:val="22"/>
        </w:rPr>
        <w:t xml:space="preserve">while preserving the precision of the </w:t>
      </w:r>
      <w:r w:rsidR="007260CD">
        <w:rPr>
          <w:rFonts w:asciiTheme="minorHAnsi" w:hAnsiTheme="minorHAnsi"/>
          <w:sz w:val="22"/>
          <w:szCs w:val="22"/>
        </w:rPr>
        <w:t>spring 2022</w:t>
      </w:r>
      <w:r w:rsidRPr="0083506B" w:rsidR="00512272">
        <w:rPr>
          <w:rFonts w:asciiTheme="minorHAnsi" w:hAnsiTheme="minorHAnsi"/>
          <w:sz w:val="22"/>
          <w:szCs w:val="22"/>
        </w:rPr>
        <w:t xml:space="preserve"> estimates</w:t>
      </w:r>
      <w:r w:rsidRPr="0083506B" w:rsidR="00045621">
        <w:rPr>
          <w:rFonts w:asciiTheme="minorHAnsi" w:hAnsiTheme="minorHAnsi"/>
          <w:sz w:val="22"/>
          <w:szCs w:val="22"/>
        </w:rPr>
        <w:t xml:space="preserve">. </w:t>
      </w:r>
      <w:r w:rsidRPr="0083506B" w:rsidR="00635CF0">
        <w:rPr>
          <w:rFonts w:asciiTheme="minorHAnsi" w:hAnsiTheme="minorHAnsi"/>
          <w:sz w:val="22"/>
          <w:szCs w:val="22"/>
        </w:rPr>
        <w:t xml:space="preserve">For districts that enter the program </w:t>
      </w:r>
      <w:r w:rsidR="007260CD">
        <w:rPr>
          <w:rFonts w:asciiTheme="minorHAnsi" w:hAnsiTheme="minorHAnsi"/>
          <w:sz w:val="22"/>
          <w:szCs w:val="22"/>
        </w:rPr>
        <w:t>for spring 2022</w:t>
      </w:r>
      <w:r w:rsidRPr="0083506B" w:rsidR="00635CF0">
        <w:rPr>
          <w:rFonts w:asciiTheme="minorHAnsi" w:hAnsiTheme="minorHAnsi"/>
          <w:sz w:val="22"/>
          <w:szCs w:val="22"/>
        </w:rPr>
        <w:t>, the three schools selected for the sample will be new to the study.</w:t>
      </w:r>
    </w:p>
    <w:p w:rsidRPr="0083506B" w:rsidR="00045621" w:rsidP="00F65A7E" w:rsidRDefault="005A1EE5" w14:paraId="01837917" w14:textId="130AB468">
      <w:pPr>
        <w:pStyle w:val="N1-1stBullet"/>
        <w:numPr>
          <w:ilvl w:val="0"/>
          <w:numId w:val="0"/>
        </w:numPr>
        <w:spacing w:line="276" w:lineRule="auto"/>
        <w:rPr>
          <w:rFonts w:asciiTheme="minorHAnsi" w:hAnsiTheme="minorHAnsi"/>
          <w:sz w:val="22"/>
          <w:szCs w:val="22"/>
        </w:rPr>
      </w:pPr>
      <w:r>
        <w:rPr>
          <w:rFonts w:asciiTheme="minorHAnsi" w:hAnsiTheme="minorHAnsi"/>
          <w:sz w:val="22"/>
          <w:szCs w:val="22"/>
        </w:rPr>
        <w:t>The evaluation team</w:t>
      </w:r>
      <w:r w:rsidRPr="0083506B" w:rsidR="00A110E6">
        <w:rPr>
          <w:rFonts w:asciiTheme="minorHAnsi" w:hAnsiTheme="minorHAnsi"/>
          <w:sz w:val="22"/>
          <w:szCs w:val="22"/>
        </w:rPr>
        <w:t xml:space="preserve"> will </w:t>
      </w:r>
      <w:r w:rsidRPr="0083506B" w:rsidR="00A110E6">
        <w:rPr>
          <w:rFonts w:asciiTheme="minorHAnsi" w:hAnsiTheme="minorHAnsi"/>
          <w:b/>
          <w:sz w:val="22"/>
          <w:szCs w:val="22"/>
        </w:rPr>
        <w:t>imp</w:t>
      </w:r>
      <w:r w:rsidRPr="0083506B" w:rsidR="00045621">
        <w:rPr>
          <w:rFonts w:asciiTheme="minorHAnsi" w:hAnsiTheme="minorHAnsi"/>
          <w:b/>
          <w:sz w:val="22"/>
          <w:szCs w:val="22"/>
        </w:rPr>
        <w:t>licitly stratify participating schools by grade span</w:t>
      </w:r>
      <w:r w:rsidRPr="0083506B" w:rsidR="00045621">
        <w:rPr>
          <w:rFonts w:asciiTheme="minorHAnsi" w:hAnsiTheme="minorHAnsi"/>
          <w:sz w:val="22"/>
          <w:szCs w:val="22"/>
        </w:rPr>
        <w:t xml:space="preserve">. In cases where a participating district includes more than one grade span (e.g., </w:t>
      </w:r>
      <w:r>
        <w:rPr>
          <w:rFonts w:asciiTheme="minorHAnsi" w:hAnsiTheme="minorHAnsi"/>
          <w:sz w:val="22"/>
          <w:szCs w:val="22"/>
        </w:rPr>
        <w:t>primary</w:t>
      </w:r>
      <w:r w:rsidRPr="0083506B" w:rsidR="00045621">
        <w:rPr>
          <w:rFonts w:asciiTheme="minorHAnsi" w:hAnsiTheme="minorHAnsi"/>
          <w:sz w:val="22"/>
          <w:szCs w:val="22"/>
        </w:rPr>
        <w:t xml:space="preserve"> and </w:t>
      </w:r>
      <w:r>
        <w:rPr>
          <w:rFonts w:asciiTheme="minorHAnsi" w:hAnsiTheme="minorHAnsi"/>
          <w:sz w:val="22"/>
          <w:szCs w:val="22"/>
        </w:rPr>
        <w:t>secondary</w:t>
      </w:r>
      <w:r w:rsidRPr="0083506B" w:rsidR="00045621">
        <w:rPr>
          <w:rFonts w:asciiTheme="minorHAnsi" w:hAnsiTheme="minorHAnsi"/>
          <w:sz w:val="22"/>
          <w:szCs w:val="22"/>
        </w:rPr>
        <w:t xml:space="preserve">), </w:t>
      </w:r>
      <w:r>
        <w:rPr>
          <w:rFonts w:asciiTheme="minorHAnsi" w:hAnsiTheme="minorHAnsi"/>
          <w:sz w:val="22"/>
          <w:szCs w:val="22"/>
        </w:rPr>
        <w:t xml:space="preserve">the evaluation </w:t>
      </w:r>
      <w:r>
        <w:rPr>
          <w:rFonts w:asciiTheme="minorHAnsi" w:hAnsiTheme="minorHAnsi"/>
          <w:sz w:val="22"/>
          <w:szCs w:val="22"/>
        </w:rPr>
        <w:lastRenderedPageBreak/>
        <w:t>team</w:t>
      </w:r>
      <w:r w:rsidRPr="0083506B" w:rsidR="00045621">
        <w:rPr>
          <w:rFonts w:asciiTheme="minorHAnsi" w:hAnsiTheme="minorHAnsi"/>
          <w:sz w:val="22"/>
          <w:szCs w:val="22"/>
        </w:rPr>
        <w:t xml:space="preserve"> will implicitly stratify participating schools within districts by grade span prior to drawing the </w:t>
      </w:r>
      <w:r w:rsidR="00CC0F8C">
        <w:rPr>
          <w:rFonts w:asciiTheme="minorHAnsi" w:hAnsiTheme="minorHAnsi"/>
          <w:sz w:val="22"/>
          <w:szCs w:val="22"/>
        </w:rPr>
        <w:t xml:space="preserve">school </w:t>
      </w:r>
      <w:r w:rsidRPr="0083506B" w:rsidR="00045621">
        <w:rPr>
          <w:rFonts w:asciiTheme="minorHAnsi" w:hAnsiTheme="minorHAnsi"/>
          <w:sz w:val="22"/>
          <w:szCs w:val="22"/>
        </w:rPr>
        <w:t xml:space="preserve">sample. This approach will increase representativeness of the school sample regarding teacher experiences that differ between </w:t>
      </w:r>
      <w:r>
        <w:rPr>
          <w:rFonts w:asciiTheme="minorHAnsi" w:hAnsiTheme="minorHAnsi"/>
          <w:sz w:val="22"/>
          <w:szCs w:val="22"/>
        </w:rPr>
        <w:t>primary and secondary</w:t>
      </w:r>
      <w:r w:rsidRPr="0083506B" w:rsidR="00045621">
        <w:rPr>
          <w:rFonts w:asciiTheme="minorHAnsi" w:hAnsiTheme="minorHAnsi"/>
          <w:sz w:val="22"/>
          <w:szCs w:val="22"/>
        </w:rPr>
        <w:t xml:space="preserve"> schools. </w:t>
      </w:r>
    </w:p>
    <w:p w:rsidRPr="0083506B" w:rsidR="00B1186A" w:rsidP="002224E5" w:rsidRDefault="00B1186A" w14:paraId="4D574B40" w14:textId="050FCFC0">
      <w:pPr>
        <w:pStyle w:val="Heading4"/>
      </w:pPr>
      <w:bookmarkStart w:name="_Toc44941968" w:id="12"/>
      <w:r w:rsidRPr="0083506B">
        <w:t>B</w:t>
      </w:r>
      <w:r w:rsidRPr="0083506B" w:rsidR="00B674C1">
        <w:t>.2.2.3</w:t>
      </w:r>
      <w:r w:rsidRPr="0083506B">
        <w:t xml:space="preserve">. </w:t>
      </w:r>
      <w:r w:rsidRPr="0083506B">
        <w:tab/>
        <w:t xml:space="preserve">Teacher </w:t>
      </w:r>
      <w:r w:rsidR="004F75EA">
        <w:t>S</w:t>
      </w:r>
      <w:r w:rsidRPr="002224E5">
        <w:t>ample</w:t>
      </w:r>
      <w:bookmarkEnd w:id="12"/>
    </w:p>
    <w:p w:rsidRPr="00920AAF" w:rsidR="00F52A3E" w:rsidP="00FA7FA6" w:rsidRDefault="00F52A3E" w14:paraId="6DB3FFEE" w14:textId="5EF85546">
      <w:pPr>
        <w:pStyle w:val="N1-1stBullet"/>
        <w:numPr>
          <w:ilvl w:val="0"/>
          <w:numId w:val="0"/>
        </w:numPr>
        <w:spacing w:line="276" w:lineRule="auto"/>
        <w:rPr>
          <w:rFonts w:eastAsia="Calibri" w:asciiTheme="minorHAnsi" w:hAnsiTheme="minorHAnsi"/>
          <w:sz w:val="22"/>
          <w:szCs w:val="22"/>
        </w:rPr>
      </w:pPr>
      <w:r w:rsidRPr="0083506B">
        <w:rPr>
          <w:rFonts w:eastAsia="Calibri" w:asciiTheme="minorHAnsi" w:hAnsiTheme="minorHAnsi"/>
          <w:sz w:val="22"/>
          <w:szCs w:val="22"/>
        </w:rPr>
        <w:t>The evaluation team w</w:t>
      </w:r>
      <w:r w:rsidRPr="0083506B" w:rsidR="003F15AA">
        <w:rPr>
          <w:rFonts w:eastAsia="Calibri" w:asciiTheme="minorHAnsi" w:hAnsiTheme="minorHAnsi"/>
          <w:sz w:val="22"/>
          <w:szCs w:val="22"/>
        </w:rPr>
        <w:t xml:space="preserve">ill </w:t>
      </w:r>
      <w:r w:rsidRPr="0083506B">
        <w:rPr>
          <w:rFonts w:eastAsia="Calibri" w:asciiTheme="minorHAnsi" w:hAnsiTheme="minorHAnsi"/>
          <w:b/>
          <w:sz w:val="22"/>
          <w:szCs w:val="22"/>
        </w:rPr>
        <w:t>select</w:t>
      </w:r>
      <w:r w:rsidRPr="0083506B" w:rsidR="003F15AA">
        <w:rPr>
          <w:rFonts w:eastAsia="Calibri" w:asciiTheme="minorHAnsi" w:hAnsiTheme="minorHAnsi"/>
          <w:b/>
          <w:sz w:val="22"/>
          <w:szCs w:val="22"/>
        </w:rPr>
        <w:t xml:space="preserve"> all participating teachers in schools with no more than six participating teachers and randomly select exactly six participating teachers in all other schools</w:t>
      </w:r>
      <w:r w:rsidRPr="0083506B" w:rsidR="003F15AA">
        <w:rPr>
          <w:rFonts w:eastAsia="Calibri" w:asciiTheme="minorHAnsi" w:hAnsiTheme="minorHAnsi"/>
          <w:sz w:val="22"/>
          <w:szCs w:val="22"/>
        </w:rPr>
        <w:t xml:space="preserve"> in the sample. Participating teachers are those whose grade and subject (or course for high school teachers) is identified as part of the IADA program in the data collection year. </w:t>
      </w:r>
      <w:r w:rsidRPr="00B61DCE" w:rsidR="00086793">
        <w:rPr>
          <w:rFonts w:asciiTheme="minorHAnsi" w:hAnsiTheme="minorHAnsi"/>
          <w:sz w:val="22"/>
          <w:szCs w:val="22"/>
        </w:rPr>
        <w:t>This number of teachers per school will yield a large enough sample size to make reasonably precise estimates</w:t>
      </w:r>
      <w:r w:rsidR="005A1EE5">
        <w:rPr>
          <w:rFonts w:asciiTheme="minorHAnsi" w:hAnsiTheme="minorHAnsi"/>
          <w:sz w:val="22"/>
          <w:szCs w:val="22"/>
        </w:rPr>
        <w:t xml:space="preserve"> of the population of teachers participating in the four IADA states</w:t>
      </w:r>
      <w:r w:rsidRPr="00B61DCE" w:rsidR="00086793">
        <w:rPr>
          <w:rFonts w:asciiTheme="minorHAnsi" w:hAnsiTheme="minorHAnsi"/>
          <w:sz w:val="22"/>
          <w:szCs w:val="22"/>
        </w:rPr>
        <w:t xml:space="preserve">, while prioritizing the precision for the district estimates (see </w:t>
      </w:r>
      <w:r w:rsidRPr="00B61DCE" w:rsidR="00141EDD">
        <w:rPr>
          <w:rFonts w:asciiTheme="minorHAnsi" w:hAnsiTheme="minorHAnsi"/>
          <w:sz w:val="22"/>
          <w:szCs w:val="22"/>
        </w:rPr>
        <w:t>S</w:t>
      </w:r>
      <w:r w:rsidRPr="00B61DCE" w:rsidR="00086793">
        <w:rPr>
          <w:rFonts w:asciiTheme="minorHAnsi" w:hAnsiTheme="minorHAnsi"/>
          <w:sz w:val="22"/>
          <w:szCs w:val="22"/>
        </w:rPr>
        <w:t xml:space="preserve">ection B.2.4 for additional details on the </w:t>
      </w:r>
      <w:r w:rsidR="005A1EE5">
        <w:rPr>
          <w:rFonts w:asciiTheme="minorHAnsi" w:hAnsiTheme="minorHAnsi"/>
          <w:sz w:val="22"/>
          <w:szCs w:val="22"/>
        </w:rPr>
        <w:t>precision</w:t>
      </w:r>
      <w:r w:rsidRPr="00B61DCE" w:rsidR="00086793">
        <w:rPr>
          <w:rFonts w:asciiTheme="minorHAnsi" w:hAnsiTheme="minorHAnsi"/>
          <w:sz w:val="22"/>
          <w:szCs w:val="22"/>
        </w:rPr>
        <w:t xml:space="preserve"> of estimates).</w:t>
      </w:r>
      <w:r w:rsidRPr="00B61DCE" w:rsidR="00086793">
        <w:rPr>
          <w:rFonts w:asciiTheme="minorHAnsi" w:hAnsiTheme="minorHAnsi"/>
        </w:rPr>
        <w:t xml:space="preserve"> </w:t>
      </w:r>
      <w:r w:rsidRPr="00B61DCE" w:rsidR="00086793">
        <w:rPr>
          <w:rFonts w:asciiTheme="minorHAnsi" w:hAnsiTheme="minorHAnsi"/>
          <w:sz w:val="22"/>
          <w:szCs w:val="22"/>
        </w:rPr>
        <w:t xml:space="preserve">In addition, </w:t>
      </w:r>
      <w:r w:rsidR="005A1EE5">
        <w:rPr>
          <w:rFonts w:asciiTheme="minorHAnsi" w:hAnsiTheme="minorHAnsi"/>
          <w:sz w:val="22"/>
          <w:szCs w:val="22"/>
        </w:rPr>
        <w:t xml:space="preserve">because </w:t>
      </w:r>
      <w:r w:rsidRPr="00B61DCE" w:rsidR="00086793">
        <w:rPr>
          <w:rFonts w:asciiTheme="minorHAnsi" w:hAnsiTheme="minorHAnsi"/>
          <w:sz w:val="22"/>
          <w:szCs w:val="22"/>
        </w:rPr>
        <w:t>large</w:t>
      </w:r>
      <w:r w:rsidR="005A1EE5">
        <w:rPr>
          <w:rFonts w:asciiTheme="minorHAnsi" w:hAnsiTheme="minorHAnsi"/>
          <w:sz w:val="22"/>
          <w:szCs w:val="22"/>
        </w:rPr>
        <w:t>r</w:t>
      </w:r>
      <w:r w:rsidRPr="00B61DCE" w:rsidR="00086793">
        <w:rPr>
          <w:rFonts w:asciiTheme="minorHAnsi" w:hAnsiTheme="minorHAnsi"/>
          <w:sz w:val="22"/>
          <w:szCs w:val="22"/>
        </w:rPr>
        <w:t xml:space="preserve"> within-school correlations for teacher survey responses</w:t>
      </w:r>
      <w:r w:rsidR="005A1EE5">
        <w:rPr>
          <w:rFonts w:asciiTheme="minorHAnsi" w:hAnsiTheme="minorHAnsi"/>
          <w:sz w:val="22"/>
          <w:szCs w:val="22"/>
        </w:rPr>
        <w:t xml:space="preserve"> are expected (because implementation experiences within schools are more likely to be similar)</w:t>
      </w:r>
      <w:r w:rsidRPr="00B61DCE" w:rsidR="00086793">
        <w:rPr>
          <w:rFonts w:asciiTheme="minorHAnsi" w:hAnsiTheme="minorHAnsi"/>
          <w:sz w:val="22"/>
          <w:szCs w:val="22"/>
        </w:rPr>
        <w:t>,</w:t>
      </w:r>
      <w:r w:rsidR="005A1EE5">
        <w:rPr>
          <w:rFonts w:asciiTheme="minorHAnsi" w:hAnsiTheme="minorHAnsi"/>
          <w:sz w:val="22"/>
          <w:szCs w:val="22"/>
        </w:rPr>
        <w:t xml:space="preserve"> </w:t>
      </w:r>
      <w:r w:rsidRPr="00B61DCE" w:rsidR="00086793">
        <w:rPr>
          <w:rFonts w:asciiTheme="minorHAnsi" w:hAnsiTheme="minorHAnsi"/>
          <w:sz w:val="22"/>
          <w:szCs w:val="22"/>
        </w:rPr>
        <w:t>hav</w:t>
      </w:r>
      <w:r w:rsidR="005A1EE5">
        <w:rPr>
          <w:rFonts w:asciiTheme="minorHAnsi" w:hAnsiTheme="minorHAnsi"/>
          <w:sz w:val="22"/>
          <w:szCs w:val="22"/>
        </w:rPr>
        <w:t>ing</w:t>
      </w:r>
      <w:r w:rsidRPr="00B61DCE" w:rsidR="00086793">
        <w:rPr>
          <w:rFonts w:asciiTheme="minorHAnsi" w:hAnsiTheme="minorHAnsi"/>
          <w:sz w:val="22"/>
          <w:szCs w:val="22"/>
        </w:rPr>
        <w:t xml:space="preserve"> larger teacher sample sizes in some schools</w:t>
      </w:r>
      <w:r w:rsidR="005A1EE5">
        <w:rPr>
          <w:rFonts w:asciiTheme="minorHAnsi" w:hAnsiTheme="minorHAnsi"/>
          <w:sz w:val="22"/>
          <w:szCs w:val="22"/>
        </w:rPr>
        <w:t xml:space="preserve"> would not confer much benefit</w:t>
      </w:r>
      <w:r w:rsidRPr="00B61DCE" w:rsidR="00086793">
        <w:rPr>
          <w:rFonts w:asciiTheme="minorHAnsi" w:hAnsiTheme="minorHAnsi"/>
          <w:sz w:val="22"/>
          <w:szCs w:val="22"/>
        </w:rPr>
        <w:t>.</w:t>
      </w:r>
    </w:p>
    <w:p w:rsidRPr="0083506B" w:rsidR="00045621" w:rsidP="00FA7FA6" w:rsidRDefault="00F52A3E" w14:paraId="5B4863DF" w14:textId="56A82E2E">
      <w:pPr>
        <w:pStyle w:val="N1-1stBullet"/>
        <w:numPr>
          <w:ilvl w:val="0"/>
          <w:numId w:val="0"/>
        </w:numPr>
        <w:spacing w:line="276" w:lineRule="auto"/>
        <w:rPr>
          <w:rFonts w:asciiTheme="minorHAnsi" w:hAnsiTheme="minorHAnsi"/>
          <w:sz w:val="22"/>
          <w:szCs w:val="22"/>
        </w:rPr>
      </w:pPr>
      <w:r w:rsidRPr="0083506B">
        <w:rPr>
          <w:rFonts w:eastAsia="Calibri" w:asciiTheme="minorHAnsi" w:hAnsiTheme="minorHAnsi"/>
          <w:sz w:val="22"/>
          <w:szCs w:val="22"/>
        </w:rPr>
        <w:t xml:space="preserve">The evaluation team will </w:t>
      </w:r>
      <w:r w:rsidRPr="0083506B">
        <w:rPr>
          <w:rFonts w:eastAsia="Calibri" w:asciiTheme="minorHAnsi" w:hAnsiTheme="minorHAnsi"/>
          <w:b/>
          <w:sz w:val="22"/>
          <w:szCs w:val="22"/>
        </w:rPr>
        <w:t xml:space="preserve">select overlapping </w:t>
      </w:r>
      <w:r w:rsidRPr="0083506B" w:rsidR="00045621">
        <w:rPr>
          <w:rFonts w:asciiTheme="minorHAnsi" w:hAnsiTheme="minorHAnsi"/>
          <w:b/>
          <w:sz w:val="22"/>
          <w:szCs w:val="22"/>
        </w:rPr>
        <w:t>samples of participating teachers in Year 1 and Year 2</w:t>
      </w:r>
      <w:r w:rsidRPr="0083506B" w:rsidR="00045621">
        <w:rPr>
          <w:rFonts w:asciiTheme="minorHAnsi" w:hAnsiTheme="minorHAnsi"/>
          <w:sz w:val="22"/>
          <w:szCs w:val="22"/>
        </w:rPr>
        <w:t xml:space="preserve">. As with the school sample, </w:t>
      </w:r>
      <w:r w:rsidRPr="0083506B">
        <w:rPr>
          <w:rFonts w:asciiTheme="minorHAnsi" w:hAnsiTheme="minorHAnsi"/>
          <w:sz w:val="22"/>
          <w:szCs w:val="22"/>
        </w:rPr>
        <w:t xml:space="preserve">the evaluation team </w:t>
      </w:r>
      <w:r w:rsidRPr="0083506B" w:rsidR="00045621">
        <w:rPr>
          <w:rFonts w:eastAsia="Calibri" w:asciiTheme="minorHAnsi" w:hAnsiTheme="minorHAnsi"/>
          <w:sz w:val="22"/>
          <w:szCs w:val="22"/>
        </w:rPr>
        <w:t xml:space="preserve">will increase the overlap of the teacher samples for the 2021 and 2022 data collections through </w:t>
      </w:r>
      <w:proofErr w:type="spellStart"/>
      <w:r w:rsidRPr="0083506B" w:rsidR="00045621">
        <w:rPr>
          <w:rFonts w:eastAsia="Calibri" w:asciiTheme="minorHAnsi" w:hAnsiTheme="minorHAnsi"/>
          <w:sz w:val="22"/>
          <w:szCs w:val="22"/>
        </w:rPr>
        <w:t>keyfitzing</w:t>
      </w:r>
      <w:proofErr w:type="spellEnd"/>
      <w:r w:rsidRPr="0083506B" w:rsidR="00045621">
        <w:rPr>
          <w:rFonts w:eastAsia="Calibri" w:asciiTheme="minorHAnsi" w:hAnsiTheme="minorHAnsi"/>
          <w:sz w:val="22"/>
          <w:szCs w:val="22"/>
        </w:rPr>
        <w:t xml:space="preserve">. This approach will </w:t>
      </w:r>
      <w:r w:rsidRPr="0083506B" w:rsidR="00045621">
        <w:rPr>
          <w:rFonts w:asciiTheme="minorHAnsi" w:hAnsiTheme="minorHAnsi"/>
          <w:sz w:val="22"/>
          <w:szCs w:val="22"/>
        </w:rPr>
        <w:t>improve the precision of estimates for change over time without eroding the precision of the Year 2 estimates.</w:t>
      </w:r>
    </w:p>
    <w:p w:rsidRPr="0083506B" w:rsidR="00045621" w:rsidP="00FA7FA6" w:rsidRDefault="00F52A3E" w14:paraId="032C5239" w14:textId="3FF1D5CD">
      <w:pPr>
        <w:pStyle w:val="N1-1stBullet"/>
        <w:numPr>
          <w:ilvl w:val="0"/>
          <w:numId w:val="0"/>
        </w:numPr>
        <w:spacing w:line="276" w:lineRule="auto"/>
        <w:rPr>
          <w:rFonts w:asciiTheme="minorHAnsi" w:hAnsiTheme="minorHAnsi"/>
          <w:sz w:val="22"/>
          <w:szCs w:val="22"/>
        </w:rPr>
      </w:pPr>
      <w:r w:rsidRPr="0083506B">
        <w:rPr>
          <w:rFonts w:asciiTheme="minorHAnsi" w:hAnsiTheme="minorHAnsi"/>
          <w:sz w:val="22"/>
          <w:szCs w:val="22"/>
        </w:rPr>
        <w:t xml:space="preserve">The evaluation team will </w:t>
      </w:r>
      <w:r w:rsidRPr="0083506B">
        <w:rPr>
          <w:rFonts w:asciiTheme="minorHAnsi" w:hAnsiTheme="minorHAnsi"/>
          <w:b/>
          <w:sz w:val="22"/>
          <w:szCs w:val="22"/>
        </w:rPr>
        <w:t xml:space="preserve">implicitly stratify </w:t>
      </w:r>
      <w:r w:rsidRPr="0083506B" w:rsidR="00045621">
        <w:rPr>
          <w:rFonts w:asciiTheme="minorHAnsi" w:hAnsiTheme="minorHAnsi"/>
          <w:b/>
          <w:sz w:val="22"/>
          <w:szCs w:val="22"/>
        </w:rPr>
        <w:t>teachers by grade and subj</w:t>
      </w:r>
      <w:r w:rsidRPr="00C9529B" w:rsidR="00045621">
        <w:rPr>
          <w:rFonts w:asciiTheme="minorHAnsi" w:hAnsiTheme="minorHAnsi"/>
          <w:b/>
          <w:sz w:val="22"/>
          <w:szCs w:val="22"/>
        </w:rPr>
        <w:t>ect</w:t>
      </w:r>
      <w:r w:rsidRPr="0083506B" w:rsidR="00045621">
        <w:rPr>
          <w:rFonts w:asciiTheme="minorHAnsi" w:hAnsiTheme="minorHAnsi"/>
          <w:sz w:val="22"/>
          <w:szCs w:val="22"/>
        </w:rPr>
        <w:t xml:space="preserve"> where relevant to improve the representation of teacher experiences in the sample across grades and subjects. For example, in cases where a school goes from administering innovative assessments only in grade 7 in 2020–21 to grades 6, 7, and 8 in 2021–22, </w:t>
      </w:r>
      <w:r w:rsidRPr="0083506B">
        <w:rPr>
          <w:rFonts w:asciiTheme="minorHAnsi" w:hAnsiTheme="minorHAnsi"/>
          <w:sz w:val="22"/>
          <w:szCs w:val="22"/>
        </w:rPr>
        <w:t xml:space="preserve">implicit stratification by </w:t>
      </w:r>
      <w:r w:rsidRPr="0083506B" w:rsidR="00045621">
        <w:rPr>
          <w:rFonts w:asciiTheme="minorHAnsi" w:hAnsiTheme="minorHAnsi"/>
          <w:sz w:val="22"/>
          <w:szCs w:val="22"/>
        </w:rPr>
        <w:t xml:space="preserve">grade level </w:t>
      </w:r>
      <w:r w:rsidRPr="0083506B">
        <w:rPr>
          <w:rFonts w:asciiTheme="minorHAnsi" w:hAnsiTheme="minorHAnsi"/>
          <w:sz w:val="22"/>
          <w:szCs w:val="22"/>
        </w:rPr>
        <w:t xml:space="preserve">will </w:t>
      </w:r>
      <w:r w:rsidRPr="0083506B" w:rsidR="00045621">
        <w:rPr>
          <w:rFonts w:asciiTheme="minorHAnsi" w:hAnsiTheme="minorHAnsi"/>
          <w:sz w:val="22"/>
          <w:szCs w:val="22"/>
        </w:rPr>
        <w:t>improve the mix between teachers who are new to these assessments (i.e., grade 6 and 8</w:t>
      </w:r>
      <w:r w:rsidR="00684FDE">
        <w:rPr>
          <w:rFonts w:asciiTheme="minorHAnsi" w:hAnsiTheme="minorHAnsi"/>
          <w:sz w:val="22"/>
          <w:szCs w:val="22"/>
        </w:rPr>
        <w:t xml:space="preserve"> teachers</w:t>
      </w:r>
      <w:r w:rsidRPr="0083506B" w:rsidR="00045621">
        <w:rPr>
          <w:rFonts w:asciiTheme="minorHAnsi" w:hAnsiTheme="minorHAnsi"/>
          <w:sz w:val="22"/>
          <w:szCs w:val="22"/>
        </w:rPr>
        <w:t>) and teachers who have already been using them (i.e., grade 7 teachers).</w:t>
      </w:r>
      <w:r w:rsidR="00E206D7">
        <w:rPr>
          <w:rFonts w:asciiTheme="minorHAnsi" w:hAnsiTheme="minorHAnsi"/>
          <w:sz w:val="22"/>
          <w:szCs w:val="22"/>
        </w:rPr>
        <w:t xml:space="preserve"> </w:t>
      </w:r>
    </w:p>
    <w:p w:rsidRPr="00E206D7" w:rsidR="00E06630" w:rsidP="00FA7FA6" w:rsidRDefault="00E06630" w14:paraId="733D01CC" w14:textId="4C5B2AE8">
      <w:pPr>
        <w:pStyle w:val="N1-1stBullet"/>
        <w:numPr>
          <w:ilvl w:val="0"/>
          <w:numId w:val="0"/>
        </w:numPr>
        <w:spacing w:line="276" w:lineRule="auto"/>
        <w:rPr>
          <w:rFonts w:asciiTheme="minorHAnsi" w:hAnsiTheme="minorHAnsi"/>
          <w:sz w:val="22"/>
          <w:szCs w:val="22"/>
        </w:rPr>
      </w:pPr>
      <w:r w:rsidRPr="00E206D7">
        <w:rPr>
          <w:rFonts w:eastAsia="Calibri" w:asciiTheme="minorHAnsi" w:hAnsiTheme="minorHAnsi"/>
          <w:sz w:val="22"/>
          <w:szCs w:val="22"/>
        </w:rPr>
        <w:t xml:space="preserve">Table </w:t>
      </w:r>
      <w:r w:rsidR="004F75EA">
        <w:rPr>
          <w:rFonts w:eastAsia="Calibri" w:asciiTheme="minorHAnsi" w:hAnsiTheme="minorHAnsi"/>
          <w:sz w:val="22"/>
          <w:szCs w:val="22"/>
        </w:rPr>
        <w:t>B-</w:t>
      </w:r>
      <w:r w:rsidRPr="00E206D7">
        <w:rPr>
          <w:rFonts w:eastAsia="Calibri" w:asciiTheme="minorHAnsi" w:hAnsiTheme="minorHAnsi"/>
          <w:sz w:val="22"/>
          <w:szCs w:val="22"/>
        </w:rPr>
        <w:t>2 presents</w:t>
      </w:r>
      <w:r w:rsidRPr="00E206D7" w:rsidR="00BB481A">
        <w:rPr>
          <w:rFonts w:eastAsia="Calibri" w:asciiTheme="minorHAnsi" w:hAnsiTheme="minorHAnsi"/>
          <w:sz w:val="22"/>
          <w:szCs w:val="22"/>
        </w:rPr>
        <w:t xml:space="preserve"> the </w:t>
      </w:r>
      <w:r w:rsidRPr="00E206D7">
        <w:rPr>
          <w:rFonts w:eastAsia="Calibri" w:asciiTheme="minorHAnsi" w:hAnsiTheme="minorHAnsi"/>
          <w:sz w:val="22"/>
          <w:szCs w:val="22"/>
        </w:rPr>
        <w:t xml:space="preserve">sample size targets </w:t>
      </w:r>
      <w:r w:rsidRPr="00E206D7" w:rsidR="008805C2">
        <w:rPr>
          <w:rFonts w:eastAsia="Calibri" w:asciiTheme="minorHAnsi" w:hAnsiTheme="minorHAnsi"/>
          <w:sz w:val="22"/>
          <w:szCs w:val="22"/>
        </w:rPr>
        <w:t xml:space="preserve">based on the sampling approached described above. </w:t>
      </w:r>
    </w:p>
    <w:p w:rsidRPr="008805C2" w:rsidR="00E06630" w:rsidP="00E06630" w:rsidRDefault="00E06630" w14:paraId="2C1AB7C3" w14:textId="25144F2D">
      <w:pPr>
        <w:pStyle w:val="TT-TableTitle"/>
        <w:rPr>
          <w:rFonts w:asciiTheme="minorHAnsi" w:hAnsiTheme="minorHAnsi"/>
          <w:b/>
          <w:szCs w:val="22"/>
        </w:rPr>
      </w:pPr>
      <w:r w:rsidRPr="008805C2">
        <w:rPr>
          <w:rFonts w:asciiTheme="minorHAnsi" w:hAnsiTheme="minorHAnsi"/>
          <w:b/>
          <w:szCs w:val="22"/>
        </w:rPr>
        <w:t xml:space="preserve">Table </w:t>
      </w:r>
      <w:r w:rsidR="004F75EA">
        <w:rPr>
          <w:rFonts w:asciiTheme="minorHAnsi" w:hAnsiTheme="minorHAnsi"/>
          <w:b/>
          <w:szCs w:val="22"/>
        </w:rPr>
        <w:t>B-</w:t>
      </w:r>
      <w:r w:rsidRPr="008805C2">
        <w:rPr>
          <w:rFonts w:asciiTheme="minorHAnsi" w:hAnsiTheme="minorHAnsi"/>
          <w:b/>
          <w:szCs w:val="22"/>
        </w:rPr>
        <w:t>2.</w:t>
      </w:r>
      <w:r w:rsidRPr="008805C2">
        <w:rPr>
          <w:rFonts w:asciiTheme="minorHAnsi" w:hAnsiTheme="minorHAnsi"/>
          <w:b/>
          <w:szCs w:val="22"/>
        </w:rPr>
        <w:tab/>
        <w:t xml:space="preserve">Proposed sample size targets </w:t>
      </w:r>
    </w:p>
    <w:tbl>
      <w:tblPr>
        <w:tblStyle w:val="TableWestatStandardFormat1"/>
        <w:tblW w:w="0" w:type="auto"/>
        <w:tblLook w:val="04A0" w:firstRow="1" w:lastRow="0" w:firstColumn="1" w:lastColumn="0" w:noHBand="0" w:noVBand="1"/>
      </w:tblPr>
      <w:tblGrid>
        <w:gridCol w:w="1500"/>
        <w:gridCol w:w="2940"/>
        <w:gridCol w:w="2940"/>
      </w:tblGrid>
      <w:tr w:rsidRPr="0083506B" w:rsidR="00E06630" w:rsidTr="001B6C27" w14:paraId="11250AB6" w14:textId="77777777">
        <w:trPr>
          <w:cnfStyle w:val="100000000000" w:firstRow="1" w:lastRow="0" w:firstColumn="0" w:lastColumn="0" w:oddVBand="0" w:evenVBand="0" w:oddHBand="0" w:evenHBand="0" w:firstRowFirstColumn="0" w:firstRowLastColumn="0" w:lastRowFirstColumn="0" w:lastRowLastColumn="0"/>
        </w:trPr>
        <w:tc>
          <w:tcPr>
            <w:tcW w:w="1500" w:type="dxa"/>
          </w:tcPr>
          <w:p w:rsidRPr="00BE7236" w:rsidR="00E06630" w:rsidP="001B6C27" w:rsidRDefault="00BE7236" w14:paraId="180885D0" w14:textId="7BE1DD7B">
            <w:pPr>
              <w:pStyle w:val="TH-TableHeading"/>
              <w:rPr>
                <w:rFonts w:asciiTheme="minorHAnsi" w:hAnsiTheme="minorHAnsi"/>
                <w:sz w:val="22"/>
                <w:szCs w:val="22"/>
              </w:rPr>
            </w:pPr>
            <w:r w:rsidRPr="00BE7236">
              <w:rPr>
                <w:rFonts w:asciiTheme="minorHAnsi" w:hAnsiTheme="minorHAnsi"/>
                <w:sz w:val="22"/>
                <w:szCs w:val="22"/>
              </w:rPr>
              <w:t>Respondent</w:t>
            </w:r>
          </w:p>
        </w:tc>
        <w:tc>
          <w:tcPr>
            <w:tcW w:w="2940" w:type="dxa"/>
          </w:tcPr>
          <w:p w:rsidRPr="0083506B" w:rsidR="00E06630" w:rsidP="001B6C27" w:rsidRDefault="00E06630" w14:paraId="1A024B77" w14:textId="77777777">
            <w:pPr>
              <w:pStyle w:val="TH-TableHeading"/>
              <w:rPr>
                <w:rFonts w:asciiTheme="minorHAnsi" w:hAnsiTheme="minorHAnsi"/>
                <w:sz w:val="22"/>
                <w:szCs w:val="22"/>
              </w:rPr>
            </w:pPr>
            <w:r w:rsidRPr="0083506B">
              <w:rPr>
                <w:rFonts w:asciiTheme="minorHAnsi" w:hAnsiTheme="minorHAnsi"/>
                <w:sz w:val="22"/>
                <w:szCs w:val="22"/>
              </w:rPr>
              <w:t>Data collection Year 1*</w:t>
            </w:r>
            <w:r w:rsidRPr="0083506B">
              <w:rPr>
                <w:rFonts w:asciiTheme="minorHAnsi" w:hAnsiTheme="minorHAnsi"/>
                <w:sz w:val="22"/>
                <w:szCs w:val="22"/>
              </w:rPr>
              <w:br/>
              <w:t>(2020–21)</w:t>
            </w:r>
          </w:p>
        </w:tc>
        <w:tc>
          <w:tcPr>
            <w:tcW w:w="2940" w:type="dxa"/>
          </w:tcPr>
          <w:p w:rsidRPr="0083506B" w:rsidR="00E06630" w:rsidP="001B6C27" w:rsidRDefault="00E06630" w14:paraId="6515D1F8" w14:textId="77777777">
            <w:pPr>
              <w:pStyle w:val="TH-TableHeading"/>
              <w:rPr>
                <w:rFonts w:asciiTheme="minorHAnsi" w:hAnsiTheme="minorHAnsi"/>
                <w:sz w:val="22"/>
                <w:szCs w:val="22"/>
              </w:rPr>
            </w:pPr>
            <w:r w:rsidRPr="0083506B">
              <w:rPr>
                <w:rFonts w:asciiTheme="minorHAnsi" w:hAnsiTheme="minorHAnsi"/>
                <w:sz w:val="22"/>
                <w:szCs w:val="22"/>
              </w:rPr>
              <w:t>Data collection Year 2*</w:t>
            </w:r>
            <w:r w:rsidRPr="0083506B">
              <w:rPr>
                <w:rFonts w:asciiTheme="minorHAnsi" w:hAnsiTheme="minorHAnsi"/>
                <w:sz w:val="22"/>
                <w:szCs w:val="22"/>
              </w:rPr>
              <w:br/>
              <w:t>(2021–22)</w:t>
            </w:r>
          </w:p>
        </w:tc>
      </w:tr>
      <w:tr w:rsidRPr="0083506B" w:rsidR="00E06630" w:rsidTr="001B6C27" w14:paraId="61EE91C0" w14:textId="77777777">
        <w:tc>
          <w:tcPr>
            <w:tcW w:w="1500" w:type="dxa"/>
          </w:tcPr>
          <w:p w:rsidRPr="0083506B" w:rsidR="00E06630" w:rsidP="001B6C27" w:rsidRDefault="00E06630" w14:paraId="5518A602" w14:textId="77777777">
            <w:pPr>
              <w:pStyle w:val="TX-TableText"/>
              <w:rPr>
                <w:rFonts w:asciiTheme="minorHAnsi" w:hAnsiTheme="minorHAnsi"/>
                <w:sz w:val="22"/>
                <w:szCs w:val="22"/>
              </w:rPr>
            </w:pPr>
            <w:r w:rsidRPr="0083506B">
              <w:rPr>
                <w:rFonts w:asciiTheme="minorHAnsi" w:hAnsiTheme="minorHAnsi"/>
                <w:sz w:val="22"/>
                <w:szCs w:val="22"/>
              </w:rPr>
              <w:t>Districts</w:t>
            </w:r>
          </w:p>
        </w:tc>
        <w:tc>
          <w:tcPr>
            <w:tcW w:w="2940" w:type="dxa"/>
          </w:tcPr>
          <w:p w:rsidRPr="0083506B" w:rsidR="00E06630" w:rsidP="001B6C27" w:rsidRDefault="00E06630" w14:paraId="2DA575EA" w14:textId="77777777">
            <w:pPr>
              <w:pStyle w:val="TX-TableText"/>
              <w:tabs>
                <w:tab w:val="decimal" w:pos="1428"/>
              </w:tabs>
              <w:rPr>
                <w:rFonts w:asciiTheme="minorHAnsi" w:hAnsiTheme="minorHAnsi"/>
                <w:sz w:val="22"/>
                <w:szCs w:val="22"/>
              </w:rPr>
            </w:pPr>
            <w:r w:rsidRPr="0083506B">
              <w:rPr>
                <w:rFonts w:asciiTheme="minorHAnsi" w:hAnsiTheme="minorHAnsi"/>
                <w:sz w:val="22"/>
                <w:szCs w:val="22"/>
              </w:rPr>
              <w:t xml:space="preserve">64 </w:t>
            </w:r>
          </w:p>
        </w:tc>
        <w:tc>
          <w:tcPr>
            <w:tcW w:w="2940" w:type="dxa"/>
          </w:tcPr>
          <w:p w:rsidRPr="0083506B" w:rsidR="00E06630" w:rsidP="001B6C27" w:rsidRDefault="00E06630" w14:paraId="3FA96E05" w14:textId="77777777">
            <w:pPr>
              <w:pStyle w:val="TX-TableText"/>
              <w:tabs>
                <w:tab w:val="decimal" w:pos="1428"/>
              </w:tabs>
              <w:rPr>
                <w:rFonts w:asciiTheme="minorHAnsi" w:hAnsiTheme="minorHAnsi"/>
                <w:sz w:val="22"/>
                <w:szCs w:val="22"/>
              </w:rPr>
            </w:pPr>
            <w:r w:rsidRPr="0083506B">
              <w:rPr>
                <w:rFonts w:asciiTheme="minorHAnsi" w:hAnsiTheme="minorHAnsi"/>
                <w:sz w:val="22"/>
                <w:szCs w:val="22"/>
              </w:rPr>
              <w:t xml:space="preserve">77 </w:t>
            </w:r>
          </w:p>
        </w:tc>
      </w:tr>
      <w:tr w:rsidRPr="0083506B" w:rsidR="00E06630" w:rsidTr="001B6C27" w14:paraId="527BBD2F" w14:textId="77777777">
        <w:tc>
          <w:tcPr>
            <w:tcW w:w="1500" w:type="dxa"/>
          </w:tcPr>
          <w:p w:rsidRPr="0083506B" w:rsidR="00E06630" w:rsidP="001B6C27" w:rsidRDefault="00E06630" w14:paraId="185A6E16" w14:textId="77777777">
            <w:pPr>
              <w:pStyle w:val="TX-TableText"/>
              <w:rPr>
                <w:rFonts w:asciiTheme="minorHAnsi" w:hAnsiTheme="minorHAnsi"/>
                <w:sz w:val="22"/>
                <w:szCs w:val="22"/>
              </w:rPr>
            </w:pPr>
            <w:r w:rsidRPr="0083506B">
              <w:rPr>
                <w:rFonts w:asciiTheme="minorHAnsi" w:hAnsiTheme="minorHAnsi"/>
                <w:sz w:val="22"/>
                <w:szCs w:val="22"/>
              </w:rPr>
              <w:t>Schools</w:t>
            </w:r>
          </w:p>
        </w:tc>
        <w:tc>
          <w:tcPr>
            <w:tcW w:w="2940" w:type="dxa"/>
          </w:tcPr>
          <w:p w:rsidRPr="0083506B" w:rsidR="00E06630" w:rsidP="001B6C27" w:rsidRDefault="00E06630" w14:paraId="603DF4B8" w14:textId="77777777">
            <w:pPr>
              <w:pStyle w:val="TX-TableText"/>
              <w:tabs>
                <w:tab w:val="decimal" w:pos="1428"/>
              </w:tabs>
              <w:rPr>
                <w:rFonts w:asciiTheme="minorHAnsi" w:hAnsiTheme="minorHAnsi"/>
                <w:sz w:val="22"/>
                <w:szCs w:val="22"/>
              </w:rPr>
            </w:pPr>
            <w:r w:rsidRPr="0083506B">
              <w:rPr>
                <w:rFonts w:asciiTheme="minorHAnsi" w:hAnsiTheme="minorHAnsi"/>
                <w:sz w:val="22"/>
                <w:szCs w:val="22"/>
              </w:rPr>
              <w:t xml:space="preserve">128 </w:t>
            </w:r>
          </w:p>
        </w:tc>
        <w:tc>
          <w:tcPr>
            <w:tcW w:w="2940" w:type="dxa"/>
          </w:tcPr>
          <w:p w:rsidRPr="0083506B" w:rsidR="00E06630" w:rsidP="001B6C27" w:rsidRDefault="00E06630" w14:paraId="43E20F8F" w14:textId="77777777">
            <w:pPr>
              <w:pStyle w:val="TX-TableText"/>
              <w:tabs>
                <w:tab w:val="decimal" w:pos="1428"/>
              </w:tabs>
              <w:rPr>
                <w:rFonts w:asciiTheme="minorHAnsi" w:hAnsiTheme="minorHAnsi"/>
                <w:sz w:val="22"/>
                <w:szCs w:val="22"/>
              </w:rPr>
            </w:pPr>
            <w:r w:rsidRPr="0083506B">
              <w:rPr>
                <w:rFonts w:asciiTheme="minorHAnsi" w:hAnsiTheme="minorHAnsi"/>
                <w:sz w:val="22"/>
                <w:szCs w:val="22"/>
              </w:rPr>
              <w:t xml:space="preserve">231 </w:t>
            </w:r>
          </w:p>
        </w:tc>
      </w:tr>
      <w:tr w:rsidRPr="0083506B" w:rsidR="00E06630" w:rsidTr="001B6C27" w14:paraId="41DCDF4A" w14:textId="77777777">
        <w:tc>
          <w:tcPr>
            <w:tcW w:w="1500" w:type="dxa"/>
          </w:tcPr>
          <w:p w:rsidRPr="0083506B" w:rsidR="00E06630" w:rsidP="001B6C27" w:rsidRDefault="00E06630" w14:paraId="7015A4EA" w14:textId="77777777">
            <w:pPr>
              <w:pStyle w:val="TX-TableText"/>
              <w:rPr>
                <w:rFonts w:asciiTheme="minorHAnsi" w:hAnsiTheme="minorHAnsi"/>
                <w:sz w:val="22"/>
                <w:szCs w:val="22"/>
              </w:rPr>
            </w:pPr>
            <w:r w:rsidRPr="0083506B">
              <w:rPr>
                <w:rFonts w:asciiTheme="minorHAnsi" w:hAnsiTheme="minorHAnsi"/>
                <w:sz w:val="22"/>
                <w:szCs w:val="22"/>
              </w:rPr>
              <w:t>Teachers</w:t>
            </w:r>
          </w:p>
        </w:tc>
        <w:tc>
          <w:tcPr>
            <w:tcW w:w="2940" w:type="dxa"/>
          </w:tcPr>
          <w:p w:rsidRPr="0083506B" w:rsidR="00E06630" w:rsidP="001B6C27" w:rsidRDefault="00E06630" w14:paraId="096493FB" w14:textId="77777777">
            <w:pPr>
              <w:pStyle w:val="TX-TableText"/>
              <w:tabs>
                <w:tab w:val="decimal" w:pos="1428"/>
              </w:tabs>
              <w:rPr>
                <w:rFonts w:asciiTheme="minorHAnsi" w:hAnsiTheme="minorHAnsi"/>
                <w:sz w:val="22"/>
                <w:szCs w:val="22"/>
              </w:rPr>
            </w:pPr>
            <w:r w:rsidRPr="0083506B">
              <w:rPr>
                <w:rFonts w:asciiTheme="minorHAnsi" w:hAnsiTheme="minorHAnsi"/>
                <w:sz w:val="22"/>
                <w:szCs w:val="22"/>
              </w:rPr>
              <w:t xml:space="preserve">640 </w:t>
            </w:r>
          </w:p>
        </w:tc>
        <w:tc>
          <w:tcPr>
            <w:tcW w:w="2940" w:type="dxa"/>
          </w:tcPr>
          <w:p w:rsidRPr="0083506B" w:rsidR="00E06630" w:rsidP="001B6C27" w:rsidRDefault="00E06630" w14:paraId="728DB81B" w14:textId="77777777">
            <w:pPr>
              <w:pStyle w:val="TX-TableText"/>
              <w:tabs>
                <w:tab w:val="decimal" w:pos="1428"/>
              </w:tabs>
              <w:rPr>
                <w:rFonts w:asciiTheme="minorHAnsi" w:hAnsiTheme="minorHAnsi"/>
                <w:sz w:val="22"/>
                <w:szCs w:val="22"/>
              </w:rPr>
            </w:pPr>
            <w:r w:rsidRPr="0083506B">
              <w:rPr>
                <w:rFonts w:asciiTheme="minorHAnsi" w:hAnsiTheme="minorHAnsi"/>
                <w:sz w:val="22"/>
                <w:szCs w:val="22"/>
              </w:rPr>
              <w:t xml:space="preserve">1,155 </w:t>
            </w:r>
          </w:p>
        </w:tc>
      </w:tr>
    </w:tbl>
    <w:p w:rsidRPr="0083506B" w:rsidR="00E06630" w:rsidP="00BB481A" w:rsidRDefault="00E06630" w14:paraId="516F00E9" w14:textId="0566A3A6">
      <w:pPr>
        <w:pStyle w:val="TT-TableTitle"/>
        <w:tabs>
          <w:tab w:val="clear" w:pos="1440"/>
        </w:tabs>
        <w:ind w:left="0" w:firstLine="0"/>
        <w:rPr>
          <w:rFonts w:asciiTheme="minorHAnsi" w:hAnsiTheme="minorHAnsi"/>
          <w:szCs w:val="22"/>
        </w:rPr>
      </w:pPr>
      <w:r w:rsidRPr="0072272B">
        <w:rPr>
          <w:rFonts w:asciiTheme="minorHAnsi" w:hAnsiTheme="minorHAnsi"/>
          <w:sz w:val="20"/>
        </w:rPr>
        <w:t>*</w:t>
      </w:r>
      <w:r w:rsidRPr="0072272B" w:rsidR="00BB481A">
        <w:rPr>
          <w:rFonts w:asciiTheme="minorHAnsi" w:hAnsiTheme="minorHAnsi"/>
          <w:sz w:val="20"/>
        </w:rPr>
        <w:t xml:space="preserve">Targets are based on the current information available from the 2019-20 school year. </w:t>
      </w:r>
      <w:r w:rsidRPr="0072272B" w:rsidR="00167610">
        <w:rPr>
          <w:rFonts w:asciiTheme="minorHAnsi" w:hAnsiTheme="minorHAnsi"/>
          <w:sz w:val="20"/>
        </w:rPr>
        <w:t xml:space="preserve">In 2019-20, there were 53 participating districts across the five IADA programs. </w:t>
      </w:r>
      <w:r w:rsidR="00167610">
        <w:rPr>
          <w:rFonts w:asciiTheme="minorHAnsi" w:hAnsiTheme="minorHAnsi"/>
          <w:sz w:val="20"/>
        </w:rPr>
        <w:t xml:space="preserve">The table assumes </w:t>
      </w:r>
      <w:r w:rsidRPr="0072272B">
        <w:rPr>
          <w:rFonts w:asciiTheme="minorHAnsi" w:hAnsiTheme="minorHAnsi"/>
          <w:sz w:val="20"/>
        </w:rPr>
        <w:t xml:space="preserve">20 percent growth </w:t>
      </w:r>
      <w:r w:rsidR="000648C1">
        <w:rPr>
          <w:rFonts w:asciiTheme="minorHAnsi" w:hAnsiTheme="minorHAnsi"/>
          <w:sz w:val="20"/>
        </w:rPr>
        <w:t xml:space="preserve">in the number of participating districts </w:t>
      </w:r>
      <w:r w:rsidRPr="0072272B">
        <w:rPr>
          <w:rFonts w:asciiTheme="minorHAnsi" w:hAnsiTheme="minorHAnsi"/>
          <w:sz w:val="20"/>
        </w:rPr>
        <w:t xml:space="preserve">between the 2019–20 and 2020–21 school years and between the 2020–21 and 2021–22 school years. </w:t>
      </w:r>
      <w:r w:rsidR="00167610">
        <w:rPr>
          <w:rFonts w:asciiTheme="minorHAnsi" w:hAnsiTheme="minorHAnsi"/>
          <w:sz w:val="20"/>
        </w:rPr>
        <w:t xml:space="preserve">The team </w:t>
      </w:r>
      <w:r w:rsidRPr="0072272B">
        <w:rPr>
          <w:rFonts w:asciiTheme="minorHAnsi" w:hAnsiTheme="minorHAnsi"/>
          <w:sz w:val="20"/>
        </w:rPr>
        <w:t xml:space="preserve">will revisit sample size targets once lists of participating districts and schools </w:t>
      </w:r>
      <w:r w:rsidR="00167610">
        <w:rPr>
          <w:rFonts w:asciiTheme="minorHAnsi" w:hAnsiTheme="minorHAnsi"/>
          <w:sz w:val="20"/>
        </w:rPr>
        <w:t xml:space="preserve">are available </w:t>
      </w:r>
      <w:r w:rsidRPr="0072272B">
        <w:rPr>
          <w:rFonts w:asciiTheme="minorHAnsi" w:hAnsiTheme="minorHAnsi"/>
          <w:sz w:val="20"/>
        </w:rPr>
        <w:t>from the IADA state</w:t>
      </w:r>
      <w:r w:rsidR="003C248F">
        <w:rPr>
          <w:rFonts w:asciiTheme="minorHAnsi" w:hAnsiTheme="minorHAnsi"/>
          <w:sz w:val="20"/>
        </w:rPr>
        <w:t xml:space="preserve"> APR</w:t>
      </w:r>
      <w:r w:rsidRPr="0072272B">
        <w:rPr>
          <w:rFonts w:asciiTheme="minorHAnsi" w:hAnsiTheme="minorHAnsi"/>
          <w:sz w:val="20"/>
        </w:rPr>
        <w:t>s</w:t>
      </w:r>
      <w:r w:rsidRPr="0083506B">
        <w:rPr>
          <w:rFonts w:asciiTheme="minorHAnsi" w:hAnsiTheme="minorHAnsi"/>
          <w:szCs w:val="22"/>
        </w:rPr>
        <w:t>.</w:t>
      </w:r>
    </w:p>
    <w:p w:rsidRPr="00BB481A" w:rsidR="00BB481A" w:rsidP="002224E5" w:rsidRDefault="00F40FD1" w14:paraId="593EEC6E" w14:textId="39E2A184">
      <w:pPr>
        <w:pStyle w:val="Heading3"/>
      </w:pPr>
      <w:bookmarkStart w:name="_Toc328375767" w:id="13"/>
      <w:bookmarkStart w:name="_Toc44941969" w:id="14"/>
      <w:r>
        <w:t>B.2.3.</w:t>
      </w:r>
      <w:r>
        <w:tab/>
        <w:t xml:space="preserve">Estimation </w:t>
      </w:r>
      <w:r w:rsidR="004F75EA">
        <w:t>P</w:t>
      </w:r>
      <w:r w:rsidRPr="00BB481A" w:rsidR="00BB481A">
        <w:t>rocedures</w:t>
      </w:r>
      <w:bookmarkEnd w:id="13"/>
      <w:bookmarkEnd w:id="14"/>
    </w:p>
    <w:p w:rsidR="008F3555" w:rsidP="00BB481A" w:rsidRDefault="00E2366D" w14:paraId="1DD29E0F" w14:textId="481E9356">
      <w:pPr>
        <w:rPr>
          <w:rFonts w:cstheme="minorHAnsi"/>
          <w:webHidden/>
        </w:rPr>
      </w:pPr>
      <w:r w:rsidRPr="00E2366D">
        <w:rPr>
          <w:rFonts w:cstheme="minorHAnsi"/>
          <w:webHidden/>
        </w:rPr>
        <w:lastRenderedPageBreak/>
        <w:t>The activities for which clearance is requested in this first package will not directly be tabulated and published, but rather will be used to facilitate administering two rounds of surveys.</w:t>
      </w:r>
    </w:p>
    <w:p w:rsidRPr="00BB481A" w:rsidR="00BB481A" w:rsidP="00BB481A" w:rsidRDefault="0015484A" w14:paraId="05DE5460" w14:textId="16FB1A5D">
      <w:pPr>
        <w:rPr>
          <w:rFonts w:cstheme="minorHAnsi"/>
          <w:webHidden/>
        </w:rPr>
      </w:pPr>
      <w:r w:rsidRPr="0083506B">
        <w:rPr>
          <w:rFonts w:cstheme="minorHAnsi"/>
        </w:rPr>
        <w:t>The primary analysis of the</w:t>
      </w:r>
      <w:r w:rsidR="008F3555">
        <w:rPr>
          <w:rFonts w:cstheme="minorHAnsi"/>
        </w:rPr>
        <w:t xml:space="preserve"> subsequent</w:t>
      </w:r>
      <w:r w:rsidRPr="0083506B">
        <w:rPr>
          <w:rFonts w:cstheme="minorHAnsi"/>
        </w:rPr>
        <w:t xml:space="preserve"> survey data will be p</w:t>
      </w:r>
      <w:r w:rsidRPr="0083506B" w:rsidDel="008C4454">
        <w:t xml:space="preserve">ooled analyses (drawing on data across participants). </w:t>
      </w:r>
      <w:r w:rsidRPr="00BB481A" w:rsidR="00BB481A">
        <w:rPr>
          <w:rFonts w:cstheme="minorHAnsi"/>
        </w:rPr>
        <w:t>Responses to survey questions will be tabulated into descriptive statistics (such as percentages) and simple statistical tests (such as tests for differences between percentages</w:t>
      </w:r>
      <w:r w:rsidR="0098368D">
        <w:rPr>
          <w:rFonts w:cstheme="minorHAnsi"/>
        </w:rPr>
        <w:t xml:space="preserve"> across years</w:t>
      </w:r>
      <w:r w:rsidRPr="00BB481A" w:rsidR="00BB481A">
        <w:rPr>
          <w:rFonts w:cstheme="minorHAnsi"/>
        </w:rPr>
        <w:t>). These tabulations will provide a snapshot of district, school, and teacher experiences at each time point, as well as aggregate changes over time.</w:t>
      </w:r>
      <w:r w:rsidR="00E16F71">
        <w:rPr>
          <w:rFonts w:cstheme="minorHAnsi"/>
        </w:rPr>
        <w:t xml:space="preserve"> </w:t>
      </w:r>
      <w:r w:rsidRPr="002376CA" w:rsidR="00D42232">
        <w:rPr>
          <w:rFonts w:cstheme="minorHAnsi"/>
        </w:rPr>
        <w:t xml:space="preserve">Because of the use of a statistical sample, survey data presented for schools and teachers will be weighted </w:t>
      </w:r>
      <w:r w:rsidR="00D42232">
        <w:rPr>
          <w:rFonts w:cstheme="minorHAnsi"/>
        </w:rPr>
        <w:t>to generalize findings to participating schools and participating teachers in the IADA program in 2020–21 and in 2021–22</w:t>
      </w:r>
      <w:r w:rsidRPr="002376CA" w:rsidR="00D42232">
        <w:rPr>
          <w:rFonts w:cstheme="minorHAnsi"/>
        </w:rPr>
        <w:t>.</w:t>
      </w:r>
    </w:p>
    <w:p w:rsidRPr="00F44C08" w:rsidR="00F44C08" w:rsidP="002224E5" w:rsidRDefault="00F44C08" w14:paraId="09CE4E6E" w14:textId="63360F8E">
      <w:pPr>
        <w:pStyle w:val="Heading3"/>
      </w:pPr>
      <w:bookmarkStart w:name="_Toc328375768" w:id="15"/>
      <w:bookmarkStart w:name="_Toc44941970" w:id="16"/>
      <w:r w:rsidRPr="00F44C08">
        <w:t>B</w:t>
      </w:r>
      <w:r w:rsidR="00F40FD1">
        <w:t>.2.4.</w:t>
      </w:r>
      <w:r w:rsidR="00F40FD1">
        <w:tab/>
        <w:t xml:space="preserve">Degree of </w:t>
      </w:r>
      <w:r w:rsidR="004F75EA">
        <w:t>A</w:t>
      </w:r>
      <w:r w:rsidRPr="00F44C08">
        <w:t xml:space="preserve">ccuracy </w:t>
      </w:r>
      <w:r w:rsidR="004F75EA">
        <w:t>N</w:t>
      </w:r>
      <w:r w:rsidRPr="00F44C08">
        <w:t>eeded</w:t>
      </w:r>
      <w:bookmarkEnd w:id="15"/>
      <w:bookmarkEnd w:id="16"/>
    </w:p>
    <w:p w:rsidRPr="0083506B" w:rsidR="008F1C3C" w:rsidP="00A1460B" w:rsidRDefault="008F1C3C" w14:paraId="3187C5E5" w14:textId="15D394B8">
      <w:r w:rsidRPr="0083506B">
        <w:rPr>
          <w:rFonts w:cstheme="minorHAnsi"/>
        </w:rPr>
        <w:t xml:space="preserve">Program implementation </w:t>
      </w:r>
      <w:r w:rsidR="00921044">
        <w:rPr>
          <w:rFonts w:cstheme="minorHAnsi"/>
        </w:rPr>
        <w:t>may</w:t>
      </w:r>
      <w:r w:rsidRPr="0083506B" w:rsidR="00921044">
        <w:rPr>
          <w:rFonts w:cstheme="minorHAnsi"/>
        </w:rPr>
        <w:t xml:space="preserve"> vary </w:t>
      </w:r>
      <w:r w:rsidR="00921044">
        <w:rPr>
          <w:rFonts w:cstheme="minorHAnsi"/>
        </w:rPr>
        <w:t>across</w:t>
      </w:r>
      <w:r w:rsidRPr="0083506B" w:rsidR="00921044">
        <w:rPr>
          <w:rFonts w:cstheme="minorHAnsi"/>
        </w:rPr>
        <w:t xml:space="preserve"> IADA </w:t>
      </w:r>
      <w:r w:rsidR="00921044">
        <w:rPr>
          <w:rFonts w:cstheme="minorHAnsi"/>
        </w:rPr>
        <w:t>assessments</w:t>
      </w:r>
      <w:r w:rsidRPr="0083506B" w:rsidR="00921044">
        <w:rPr>
          <w:rFonts w:cstheme="minorHAnsi"/>
        </w:rPr>
        <w:t xml:space="preserve"> and across districts</w:t>
      </w:r>
      <w:r w:rsidR="00921044">
        <w:rPr>
          <w:rFonts w:cstheme="minorHAnsi"/>
        </w:rPr>
        <w:t xml:space="preserve"> that are piloting the same</w:t>
      </w:r>
      <w:r w:rsidRPr="0083506B" w:rsidR="00921044">
        <w:rPr>
          <w:rFonts w:cstheme="minorHAnsi"/>
        </w:rPr>
        <w:t xml:space="preserve"> </w:t>
      </w:r>
      <w:r w:rsidR="00921044">
        <w:rPr>
          <w:rFonts w:cstheme="minorHAnsi"/>
        </w:rPr>
        <w:t>innovative assessment, particularly</w:t>
      </w:r>
      <w:r w:rsidRPr="0083506B" w:rsidR="00921044">
        <w:rPr>
          <w:rFonts w:cstheme="minorHAnsi"/>
        </w:rPr>
        <w:t xml:space="preserve"> as new districts join the </w:t>
      </w:r>
      <w:r w:rsidR="00921044">
        <w:rPr>
          <w:rFonts w:cstheme="minorHAnsi"/>
        </w:rPr>
        <w:t>pilot</w:t>
      </w:r>
      <w:r w:rsidRPr="0083506B">
        <w:rPr>
          <w:rFonts w:cstheme="minorHAnsi"/>
        </w:rPr>
        <w:t xml:space="preserve">. </w:t>
      </w:r>
      <w:r w:rsidRPr="0083506B">
        <w:t xml:space="preserve">Given the </w:t>
      </w:r>
      <w:r w:rsidR="004A0CEB">
        <w:t xml:space="preserve">possible </w:t>
      </w:r>
      <w:r w:rsidRPr="0083506B">
        <w:t>variation at th</w:t>
      </w:r>
      <w:r w:rsidRPr="0083506B" w:rsidR="003B532F">
        <w:t xml:space="preserve">e district level, the evaluation </w:t>
      </w:r>
      <w:r w:rsidRPr="0083506B">
        <w:t xml:space="preserve">sampling approach is designed </w:t>
      </w:r>
      <w:r w:rsidR="003703FB">
        <w:t xml:space="preserve">to prioritize the precision of the district estimates by </w:t>
      </w:r>
      <w:r w:rsidRPr="0083506B">
        <w:t xml:space="preserve">selecting all participating districts for the surveys. We expect schools-within-districts to be more highly correlated than </w:t>
      </w:r>
      <w:r w:rsidR="002E18CE">
        <w:t xml:space="preserve">across </w:t>
      </w:r>
      <w:r w:rsidRPr="0083506B">
        <w:t xml:space="preserve">districts, and teachers-within-schools to be more highly correlated than </w:t>
      </w:r>
      <w:r w:rsidR="002E18CE">
        <w:t xml:space="preserve">across </w:t>
      </w:r>
      <w:r w:rsidRPr="0083506B">
        <w:t xml:space="preserve">schools. </w:t>
      </w:r>
      <w:r w:rsidR="006464ED">
        <w:t>This expectation influenced the number of sampled schools per district and sampled teachers per school</w:t>
      </w:r>
      <w:r w:rsidR="00511DE9">
        <w:t>, as described in B.2.2.2 and B.2.2.3</w:t>
      </w:r>
      <w:r w:rsidR="006464ED">
        <w:t xml:space="preserve">. </w:t>
      </w:r>
    </w:p>
    <w:p w:rsidR="00B03EC7" w:rsidP="005801FD" w:rsidRDefault="008F1C3C" w14:paraId="512B99A7" w14:textId="337F6AE5">
      <w:bookmarkStart w:name="_Toc367109011" w:id="17"/>
      <w:r w:rsidRPr="001179E2">
        <w:t xml:space="preserve">Table </w:t>
      </w:r>
      <w:r w:rsidR="004F75EA">
        <w:t>B-</w:t>
      </w:r>
      <w:r w:rsidRPr="001179E2">
        <w:t>3 provides information on the precision of survey-based estimates given the sample size targets.</w:t>
      </w:r>
      <w:r w:rsidRPr="00BB4192" w:rsidR="00BB4192">
        <w:rPr>
          <w:sz w:val="20"/>
        </w:rPr>
        <w:t xml:space="preserve"> </w:t>
      </w:r>
      <w:r w:rsidRPr="00BB4192" w:rsidR="00BB4192">
        <w:t xml:space="preserve">No margin of error estimates are provided for the district survey because the survey will be conducted in all participating districts, not a sample. </w:t>
      </w:r>
      <w:r w:rsidRPr="001179E2" w:rsidR="00FF2CC6">
        <w:t xml:space="preserve">The estimates assume a response rate of 85 percent for principals and teachers each survey year. </w:t>
      </w:r>
      <w:r w:rsidRPr="001179E2" w:rsidR="00C97406">
        <w:t>The estimates assume a 0-1 outcome measure</w:t>
      </w:r>
      <w:r w:rsidRPr="001179E2" w:rsidR="00FF2CC6">
        <w:t xml:space="preserve"> and </w:t>
      </w:r>
      <w:r w:rsidR="00BD7771">
        <w:t xml:space="preserve">that </w:t>
      </w:r>
      <w:r w:rsidR="005801FD">
        <w:t xml:space="preserve">20 percent of the variation across schools is explained by the district in which they are </w:t>
      </w:r>
      <w:r w:rsidR="00075E9A">
        <w:t>located</w:t>
      </w:r>
      <w:r w:rsidR="005801FD">
        <w:t>.</w:t>
      </w:r>
      <w:r w:rsidR="00075E9A">
        <w:t xml:space="preserve"> </w:t>
      </w:r>
      <w:r w:rsidR="00BB4192">
        <w:t>The estimates</w:t>
      </w:r>
      <w:r w:rsidRPr="001179E2" w:rsidR="00C97406">
        <w:t xml:space="preserve"> assume </w:t>
      </w:r>
      <w:r w:rsidR="005801FD">
        <w:t>that variation in the teacher selection probabilities increase</w:t>
      </w:r>
      <w:r w:rsidR="00BB4192">
        <w:t>s</w:t>
      </w:r>
      <w:r w:rsidR="005801FD">
        <w:t xml:space="preserve"> the variance of the teacher survey estimates by 10 percent</w:t>
      </w:r>
      <w:r w:rsidRPr="001179E2" w:rsidR="00C97406">
        <w:t xml:space="preserve">, and </w:t>
      </w:r>
      <w:r w:rsidR="00BB4192">
        <w:t xml:space="preserve">that there is </w:t>
      </w:r>
      <w:r w:rsidRPr="001179E2" w:rsidR="00C97406">
        <w:t>a 35</w:t>
      </w:r>
      <w:r w:rsidRPr="001179E2" w:rsidR="00FF2CC6">
        <w:t xml:space="preserve"> percent</w:t>
      </w:r>
      <w:r w:rsidRPr="001179E2" w:rsidR="00C97406">
        <w:t xml:space="preserve"> clustering effect. </w:t>
      </w:r>
      <w:r w:rsidR="00BB4192">
        <w:t>The estimates</w:t>
      </w:r>
      <w:r w:rsidRPr="001179E2" w:rsidR="00C97406">
        <w:t xml:space="preserve"> assume </w:t>
      </w:r>
      <w:r w:rsidR="005801FD">
        <w:t>that the correlation between principal survey responses between spring 2021 and spring 2022 for</w:t>
      </w:r>
      <w:r w:rsidR="00BD7771">
        <w:t xml:space="preserve"> the same schools is 67 percent,</w:t>
      </w:r>
      <w:r w:rsidR="005801FD">
        <w:t xml:space="preserve"> and the correlation between responses to the teacher survey between spring 2021 and spring 2022 is 50 percent.</w:t>
      </w:r>
      <w:r w:rsidRPr="001179E2" w:rsidR="00A214E4">
        <w:t xml:space="preserve"> </w:t>
      </w:r>
      <w:r w:rsidRPr="001179E2" w:rsidR="00FF2CC6">
        <w:t>Minimum d</w:t>
      </w:r>
      <w:r w:rsidRPr="001179E2" w:rsidR="0095766F">
        <w:t xml:space="preserve">etectable </w:t>
      </w:r>
      <w:r w:rsidRPr="001179E2" w:rsidR="00FF2CC6">
        <w:t>d</w:t>
      </w:r>
      <w:r w:rsidRPr="001179E2" w:rsidR="0095766F">
        <w:t xml:space="preserve">ifferences </w:t>
      </w:r>
      <w:r w:rsidRPr="001179E2" w:rsidR="009159C7">
        <w:t xml:space="preserve">(MDD) </w:t>
      </w:r>
      <w:r w:rsidRPr="001179E2" w:rsidR="0095766F">
        <w:t xml:space="preserve">between </w:t>
      </w:r>
      <w:r w:rsidR="00BD7771">
        <w:t>spring 2021</w:t>
      </w:r>
      <w:r w:rsidRPr="001179E2" w:rsidR="0095766F">
        <w:t xml:space="preserve"> and </w:t>
      </w:r>
      <w:r w:rsidR="00BD7771">
        <w:t>spring 2022</w:t>
      </w:r>
      <w:r w:rsidRPr="001179E2" w:rsidR="0095766F">
        <w:t xml:space="preserve"> assume </w:t>
      </w:r>
      <w:r w:rsidR="00F2200B">
        <w:t xml:space="preserve">95 percent confidence in a two-sided test of the null hypothesis of no difference and </w:t>
      </w:r>
      <w:r w:rsidRPr="001179E2" w:rsidR="0095766F">
        <w:t>80</w:t>
      </w:r>
      <w:r w:rsidRPr="001179E2" w:rsidR="00FF2CC6">
        <w:t xml:space="preserve"> percent </w:t>
      </w:r>
      <w:r w:rsidRPr="001179E2" w:rsidR="0095766F">
        <w:t xml:space="preserve">power. </w:t>
      </w:r>
    </w:p>
    <w:p w:rsidRPr="001179E2" w:rsidR="00F44C08" w:rsidP="002224E5" w:rsidRDefault="00BB4192" w14:paraId="163AADCF" w14:textId="2246C286">
      <w:r>
        <w:t>Under</w:t>
      </w:r>
      <w:r w:rsidRPr="001179E2" w:rsidR="00B03EC7">
        <w:t xml:space="preserve"> these assumptions, the evaluation team expects m</w:t>
      </w:r>
      <w:r w:rsidRPr="001179E2" w:rsidR="00A214E4">
        <w:t>argin of error estimates</w:t>
      </w:r>
      <w:r w:rsidRPr="001179E2" w:rsidR="009159C7">
        <w:t xml:space="preserve"> based on a 95 percent confidence interval of </w:t>
      </w:r>
      <w:r w:rsidRPr="001179E2" w:rsidR="00A214E4">
        <w:t xml:space="preserve">plus or minus </w:t>
      </w:r>
      <w:r w:rsidRPr="001179E2" w:rsidR="00B03EC7">
        <w:t xml:space="preserve">10 percentage points and plus or minus 8 percentage points at the principal and teacher levels in </w:t>
      </w:r>
      <w:r w:rsidR="001779A4">
        <w:t>spring 2021</w:t>
      </w:r>
      <w:r w:rsidRPr="001179E2" w:rsidR="00B03EC7">
        <w:t>, respectively. The margins of errors</w:t>
      </w:r>
      <w:r w:rsidR="00F2200B">
        <w:t xml:space="preserve"> improve </w:t>
      </w:r>
      <w:r w:rsidRPr="001179E2" w:rsidR="00B03EC7">
        <w:t xml:space="preserve">to plus or minus 8 percentage points and plus or minus 7 percentage points in </w:t>
      </w:r>
      <w:r w:rsidR="001779A4">
        <w:t>spring 2022</w:t>
      </w:r>
      <w:r w:rsidRPr="001179E2" w:rsidR="00B03EC7">
        <w:t xml:space="preserve"> with the increase </w:t>
      </w:r>
      <w:r>
        <w:t>in</w:t>
      </w:r>
      <w:r w:rsidRPr="001179E2" w:rsidR="00B03EC7">
        <w:t xml:space="preserve"> sample sizes. </w:t>
      </w:r>
      <w:r w:rsidRPr="001179E2" w:rsidR="009159C7">
        <w:t>The MDD</w:t>
      </w:r>
      <w:r w:rsidRPr="001179E2" w:rsidR="008F7A3A">
        <w:t xml:space="preserve"> of year-to-year change is 11 percentage points at both the principal and teacher levels. </w:t>
      </w:r>
      <w:r w:rsidRPr="001179E2" w:rsidR="0097703E">
        <w:t>Th</w:t>
      </w:r>
      <w:r>
        <w:t>ese</w:t>
      </w:r>
      <w:r w:rsidRPr="001179E2" w:rsidR="0097703E">
        <w:t xml:space="preserve"> MDD</w:t>
      </w:r>
      <w:r>
        <w:t>s</w:t>
      </w:r>
      <w:r w:rsidRPr="001179E2" w:rsidR="0097703E">
        <w:t xml:space="preserve"> reflect a reasonable compromise between the need to detect policy relevant changes in an </w:t>
      </w:r>
      <w:r w:rsidRPr="001179E2" w:rsidR="0097703E">
        <w:lastRenderedPageBreak/>
        <w:t xml:space="preserve">evolving program while </w:t>
      </w:r>
      <w:r>
        <w:t>limiting</w:t>
      </w:r>
      <w:r w:rsidRPr="001179E2" w:rsidR="0097703E">
        <w:t xml:space="preserve"> burden on schools and districts. </w:t>
      </w:r>
      <w:r w:rsidR="00903FBB">
        <w:t>This</w:t>
      </w:r>
      <w:r w:rsidRPr="001179E2" w:rsidR="0097703E">
        <w:t xml:space="preserve"> threshold </w:t>
      </w:r>
      <w:r w:rsidR="00903FBB">
        <w:t xml:space="preserve">is similar to the one </w:t>
      </w:r>
      <w:r w:rsidRPr="001179E2" w:rsidR="0097703E">
        <w:t xml:space="preserve">used to identify </w:t>
      </w:r>
      <w:r w:rsidR="00903FBB">
        <w:t xml:space="preserve">policy-relevant </w:t>
      </w:r>
      <w:r w:rsidRPr="001179E2" w:rsidR="001E45ED">
        <w:t>differences in recent IES</w:t>
      </w:r>
      <w:r w:rsidRPr="001179E2" w:rsidR="0097703E">
        <w:t xml:space="preserve"> </w:t>
      </w:r>
      <w:r w:rsidR="00903FBB">
        <w:t>implementation stud</w:t>
      </w:r>
      <w:r>
        <w:t>ies</w:t>
      </w:r>
      <w:r w:rsidRPr="001179E2" w:rsidR="0097703E">
        <w:t>.</w:t>
      </w:r>
      <w:r w:rsidRPr="00141EDD" w:rsidR="0097703E">
        <w:rPr>
          <w:vertAlign w:val="superscript"/>
        </w:rPr>
        <w:footnoteReference w:id="8"/>
      </w:r>
    </w:p>
    <w:p w:rsidRPr="0095766F" w:rsidR="008F1C3C" w:rsidP="00C26C28" w:rsidRDefault="008F1C3C" w14:paraId="7A6890A0" w14:textId="29A0E418">
      <w:pPr>
        <w:pStyle w:val="TT-TableTitle"/>
        <w:ind w:left="0" w:firstLine="0"/>
        <w:rPr>
          <w:rFonts w:asciiTheme="minorHAnsi" w:hAnsiTheme="minorHAnsi"/>
          <w:b/>
          <w:szCs w:val="22"/>
        </w:rPr>
      </w:pPr>
      <w:r w:rsidRPr="0095766F">
        <w:rPr>
          <w:rFonts w:asciiTheme="minorHAnsi" w:hAnsiTheme="minorHAnsi"/>
          <w:b/>
          <w:szCs w:val="22"/>
        </w:rPr>
        <w:t xml:space="preserve">Table </w:t>
      </w:r>
      <w:r w:rsidR="004F75EA">
        <w:rPr>
          <w:rFonts w:asciiTheme="minorHAnsi" w:hAnsiTheme="minorHAnsi"/>
          <w:b/>
          <w:szCs w:val="22"/>
        </w:rPr>
        <w:t>B-</w:t>
      </w:r>
      <w:r w:rsidRPr="0095766F">
        <w:rPr>
          <w:rFonts w:asciiTheme="minorHAnsi" w:hAnsiTheme="minorHAnsi"/>
          <w:b/>
          <w:szCs w:val="22"/>
        </w:rPr>
        <w:t>3.</w:t>
      </w:r>
      <w:r w:rsidRPr="0095766F">
        <w:rPr>
          <w:rFonts w:asciiTheme="minorHAnsi" w:hAnsiTheme="minorHAnsi"/>
          <w:b/>
          <w:szCs w:val="22"/>
        </w:rPr>
        <w:tab/>
        <w:t>Precision of survey-based estimates</w:t>
      </w:r>
    </w:p>
    <w:tbl>
      <w:tblPr>
        <w:tblStyle w:val="TableWestatStandardFormat1"/>
        <w:tblW w:w="5000" w:type="pct"/>
        <w:tblLook w:val="04A0" w:firstRow="1" w:lastRow="0" w:firstColumn="1" w:lastColumn="0" w:noHBand="0" w:noVBand="1"/>
      </w:tblPr>
      <w:tblGrid>
        <w:gridCol w:w="2163"/>
        <w:gridCol w:w="2162"/>
        <w:gridCol w:w="292"/>
        <w:gridCol w:w="2454"/>
        <w:gridCol w:w="2289"/>
      </w:tblGrid>
      <w:tr w:rsidRPr="0083506B" w:rsidR="008F1C3C" w:rsidTr="001B6C27" w14:paraId="12925826" w14:textId="77777777">
        <w:trPr>
          <w:cnfStyle w:val="100000000000" w:firstRow="1" w:lastRow="0" w:firstColumn="0" w:lastColumn="0" w:oddVBand="0" w:evenVBand="0" w:oddHBand="0" w:evenHBand="0" w:firstRowFirstColumn="0" w:firstRowLastColumn="0" w:lastRowFirstColumn="0" w:lastRowLastColumn="0"/>
          <w:tblHeader/>
        </w:trPr>
        <w:tc>
          <w:tcPr>
            <w:tcW w:w="1155" w:type="pct"/>
            <w:vMerge w:val="restart"/>
          </w:tcPr>
          <w:p w:rsidRPr="0083506B" w:rsidR="008F1C3C" w:rsidP="001B6C27" w:rsidRDefault="008F1C3C" w14:paraId="188147B5" w14:textId="77777777">
            <w:pPr>
              <w:pStyle w:val="TH-TableHeading"/>
              <w:rPr>
                <w:rFonts w:asciiTheme="minorHAnsi" w:hAnsiTheme="minorHAnsi"/>
                <w:sz w:val="22"/>
                <w:szCs w:val="22"/>
              </w:rPr>
            </w:pPr>
          </w:p>
        </w:tc>
        <w:tc>
          <w:tcPr>
            <w:tcW w:w="2622" w:type="pct"/>
            <w:gridSpan w:val="3"/>
            <w:tcBorders>
              <w:bottom w:val="single" w:color="auto" w:sz="4" w:space="0"/>
            </w:tcBorders>
            <w:hideMark/>
          </w:tcPr>
          <w:p w:rsidRPr="0083506B" w:rsidR="008F1C3C" w:rsidP="001B6C27" w:rsidRDefault="008F1C3C" w14:paraId="32A8AEB7" w14:textId="77777777">
            <w:pPr>
              <w:pStyle w:val="TH-TableHeading"/>
              <w:rPr>
                <w:rFonts w:asciiTheme="minorHAnsi" w:hAnsiTheme="minorHAnsi"/>
                <w:sz w:val="22"/>
                <w:szCs w:val="22"/>
              </w:rPr>
            </w:pPr>
            <w:r w:rsidRPr="0083506B">
              <w:rPr>
                <w:rFonts w:asciiTheme="minorHAnsi" w:hAnsiTheme="minorHAnsi"/>
                <w:sz w:val="22"/>
                <w:szCs w:val="22"/>
              </w:rPr>
              <w:t xml:space="preserve">Margin of error for the percent of schools or teachers </w:t>
            </w:r>
          </w:p>
        </w:tc>
        <w:tc>
          <w:tcPr>
            <w:tcW w:w="1223" w:type="pct"/>
            <w:vMerge w:val="restart"/>
            <w:hideMark/>
          </w:tcPr>
          <w:p w:rsidRPr="0083506B" w:rsidR="008F1C3C" w:rsidP="001B6C27" w:rsidRDefault="008F1C3C" w14:paraId="0C4372A8" w14:textId="77777777">
            <w:pPr>
              <w:pStyle w:val="TH-TableHeading"/>
              <w:rPr>
                <w:rFonts w:asciiTheme="minorHAnsi" w:hAnsiTheme="minorHAnsi"/>
                <w:sz w:val="22"/>
                <w:szCs w:val="22"/>
              </w:rPr>
            </w:pPr>
            <w:r w:rsidRPr="0083506B">
              <w:rPr>
                <w:rFonts w:asciiTheme="minorHAnsi" w:hAnsiTheme="minorHAnsi"/>
                <w:sz w:val="22"/>
                <w:szCs w:val="22"/>
              </w:rPr>
              <w:t>Minimum detectable difference of year- to –year change</w:t>
            </w:r>
          </w:p>
        </w:tc>
      </w:tr>
      <w:tr w:rsidRPr="0083506B" w:rsidR="008F1C3C" w:rsidTr="001B6C27" w14:paraId="1C97B812" w14:textId="77777777">
        <w:trPr>
          <w:cnfStyle w:val="100000000000" w:firstRow="1" w:lastRow="0" w:firstColumn="0" w:lastColumn="0" w:oddVBand="0" w:evenVBand="0" w:oddHBand="0" w:evenHBand="0" w:firstRowFirstColumn="0" w:firstRowLastColumn="0" w:lastRowFirstColumn="0" w:lastRowLastColumn="0"/>
          <w:tblHeader/>
        </w:trPr>
        <w:tc>
          <w:tcPr>
            <w:tcW w:w="1155" w:type="pct"/>
            <w:vMerge/>
            <w:hideMark/>
          </w:tcPr>
          <w:p w:rsidRPr="0083506B" w:rsidR="008F1C3C" w:rsidP="001B6C27" w:rsidRDefault="008F1C3C" w14:paraId="134C575D" w14:textId="77777777">
            <w:pPr>
              <w:pStyle w:val="TH-TableHeading"/>
              <w:rPr>
                <w:rFonts w:asciiTheme="minorHAnsi" w:hAnsiTheme="minorHAnsi"/>
                <w:bCs/>
                <w:sz w:val="22"/>
                <w:szCs w:val="22"/>
              </w:rPr>
            </w:pPr>
          </w:p>
        </w:tc>
        <w:tc>
          <w:tcPr>
            <w:tcW w:w="1155" w:type="pct"/>
            <w:tcBorders>
              <w:top w:val="single" w:color="auto" w:sz="4" w:space="0"/>
            </w:tcBorders>
            <w:hideMark/>
          </w:tcPr>
          <w:p w:rsidRPr="0083506B" w:rsidR="008F1C3C" w:rsidP="001B6C27" w:rsidRDefault="00BD7771" w14:paraId="72C04F0B" w14:textId="188CCC8E">
            <w:pPr>
              <w:pStyle w:val="TH-TableHeading"/>
              <w:rPr>
                <w:rFonts w:asciiTheme="minorHAnsi" w:hAnsiTheme="minorHAnsi"/>
                <w:sz w:val="22"/>
                <w:szCs w:val="22"/>
              </w:rPr>
            </w:pPr>
            <w:r>
              <w:rPr>
                <w:rFonts w:asciiTheme="minorHAnsi" w:hAnsiTheme="minorHAnsi"/>
                <w:sz w:val="22"/>
                <w:szCs w:val="22"/>
              </w:rPr>
              <w:t>Spring 2021</w:t>
            </w:r>
          </w:p>
        </w:tc>
        <w:tc>
          <w:tcPr>
            <w:tcW w:w="1467" w:type="pct"/>
            <w:gridSpan w:val="2"/>
            <w:tcBorders>
              <w:top w:val="single" w:color="auto" w:sz="4" w:space="0"/>
            </w:tcBorders>
            <w:hideMark/>
          </w:tcPr>
          <w:p w:rsidRPr="0083506B" w:rsidR="008F1C3C" w:rsidP="00BD7771" w:rsidRDefault="00BD7771" w14:paraId="56A5450B" w14:textId="6C902632">
            <w:pPr>
              <w:pStyle w:val="TH-TableHeading"/>
              <w:rPr>
                <w:rFonts w:asciiTheme="minorHAnsi" w:hAnsiTheme="minorHAnsi"/>
                <w:sz w:val="22"/>
                <w:szCs w:val="22"/>
              </w:rPr>
            </w:pPr>
            <w:r>
              <w:rPr>
                <w:rFonts w:asciiTheme="minorHAnsi" w:hAnsiTheme="minorHAnsi"/>
                <w:sz w:val="22"/>
                <w:szCs w:val="22"/>
              </w:rPr>
              <w:t>Spring 2022</w:t>
            </w:r>
          </w:p>
        </w:tc>
        <w:tc>
          <w:tcPr>
            <w:tcW w:w="1223" w:type="pct"/>
            <w:vMerge/>
            <w:hideMark/>
          </w:tcPr>
          <w:p w:rsidRPr="0083506B" w:rsidR="008F1C3C" w:rsidP="001B6C27" w:rsidRDefault="008F1C3C" w14:paraId="1D568E24" w14:textId="77777777">
            <w:pPr>
              <w:pStyle w:val="TH-TableHeading"/>
              <w:rPr>
                <w:rFonts w:asciiTheme="minorHAnsi" w:hAnsiTheme="minorHAnsi"/>
                <w:bCs/>
                <w:sz w:val="22"/>
                <w:szCs w:val="22"/>
              </w:rPr>
            </w:pPr>
          </w:p>
        </w:tc>
      </w:tr>
      <w:tr w:rsidRPr="0083506B" w:rsidR="008F1C3C" w:rsidTr="001B6C27" w14:paraId="25689504" w14:textId="77777777">
        <w:tc>
          <w:tcPr>
            <w:tcW w:w="1155" w:type="pct"/>
            <w:hideMark/>
          </w:tcPr>
          <w:p w:rsidRPr="0083506B" w:rsidR="008F1C3C" w:rsidP="001B6C27" w:rsidRDefault="008F1C3C" w14:paraId="09CE31A0" w14:textId="77777777">
            <w:pPr>
              <w:pStyle w:val="TX-TableText"/>
              <w:rPr>
                <w:rFonts w:asciiTheme="minorHAnsi" w:hAnsiTheme="minorHAnsi"/>
                <w:sz w:val="22"/>
                <w:szCs w:val="22"/>
              </w:rPr>
            </w:pPr>
            <w:r w:rsidRPr="0083506B">
              <w:rPr>
                <w:rFonts w:asciiTheme="minorHAnsi" w:hAnsiTheme="minorHAnsi"/>
                <w:sz w:val="22"/>
                <w:szCs w:val="22"/>
              </w:rPr>
              <w:t>Principal survey</w:t>
            </w:r>
          </w:p>
        </w:tc>
        <w:tc>
          <w:tcPr>
            <w:tcW w:w="1311" w:type="pct"/>
            <w:gridSpan w:val="2"/>
            <w:hideMark/>
          </w:tcPr>
          <w:p w:rsidRPr="0083506B" w:rsidR="008F1C3C" w:rsidP="001B6C27" w:rsidRDefault="008F1C3C" w14:paraId="46526A7E" w14:textId="5EB737A9">
            <w:pPr>
              <w:pStyle w:val="TX-TableText"/>
              <w:tabs>
                <w:tab w:val="decimal" w:pos="967"/>
              </w:tabs>
              <w:rPr>
                <w:rFonts w:asciiTheme="minorHAnsi" w:hAnsiTheme="minorHAnsi"/>
                <w:sz w:val="22"/>
                <w:szCs w:val="22"/>
              </w:rPr>
            </w:pPr>
            <w:r w:rsidRPr="0083506B">
              <w:rPr>
                <w:rFonts w:asciiTheme="minorHAnsi" w:hAnsiTheme="minorHAnsi"/>
                <w:sz w:val="22"/>
                <w:szCs w:val="22"/>
              </w:rPr>
              <w:t>10.3 pp</w:t>
            </w:r>
          </w:p>
        </w:tc>
        <w:tc>
          <w:tcPr>
            <w:tcW w:w="1311" w:type="pct"/>
            <w:hideMark/>
          </w:tcPr>
          <w:p w:rsidRPr="0083506B" w:rsidR="008F1C3C" w:rsidP="001B6C27" w:rsidRDefault="008F1C3C" w14:paraId="62CC336C" w14:textId="685E0EA9">
            <w:pPr>
              <w:pStyle w:val="TX-TableText"/>
              <w:tabs>
                <w:tab w:val="decimal" w:pos="967"/>
              </w:tabs>
              <w:rPr>
                <w:rFonts w:asciiTheme="minorHAnsi" w:hAnsiTheme="minorHAnsi"/>
                <w:sz w:val="22"/>
                <w:szCs w:val="22"/>
              </w:rPr>
            </w:pPr>
            <w:r w:rsidRPr="0083506B">
              <w:rPr>
                <w:rFonts w:asciiTheme="minorHAnsi" w:hAnsiTheme="minorHAnsi"/>
                <w:sz w:val="22"/>
                <w:szCs w:val="22"/>
              </w:rPr>
              <w:t>8.3 pp</w:t>
            </w:r>
          </w:p>
        </w:tc>
        <w:tc>
          <w:tcPr>
            <w:tcW w:w="1223" w:type="pct"/>
            <w:hideMark/>
          </w:tcPr>
          <w:p w:rsidRPr="0083506B" w:rsidR="008F1C3C" w:rsidP="001B6C27" w:rsidRDefault="008F1C3C" w14:paraId="4EDD934B" w14:textId="051099B7">
            <w:pPr>
              <w:pStyle w:val="TX-TableText"/>
              <w:tabs>
                <w:tab w:val="decimal" w:pos="1129"/>
              </w:tabs>
              <w:rPr>
                <w:rFonts w:asciiTheme="minorHAnsi" w:hAnsiTheme="minorHAnsi"/>
                <w:sz w:val="22"/>
                <w:szCs w:val="22"/>
              </w:rPr>
            </w:pPr>
            <w:r w:rsidRPr="0083506B">
              <w:rPr>
                <w:rFonts w:asciiTheme="minorHAnsi" w:hAnsiTheme="minorHAnsi"/>
                <w:sz w:val="22"/>
                <w:szCs w:val="22"/>
              </w:rPr>
              <w:t>11.1 pp</w:t>
            </w:r>
          </w:p>
        </w:tc>
      </w:tr>
      <w:tr w:rsidRPr="0083506B" w:rsidR="008F1C3C" w:rsidTr="001B6C27" w14:paraId="0EE0D0BF" w14:textId="77777777">
        <w:tc>
          <w:tcPr>
            <w:tcW w:w="1155" w:type="pct"/>
            <w:hideMark/>
          </w:tcPr>
          <w:p w:rsidRPr="0083506B" w:rsidR="008F1C3C" w:rsidP="001B6C27" w:rsidRDefault="008F1C3C" w14:paraId="38297C17" w14:textId="77777777">
            <w:pPr>
              <w:pStyle w:val="TX-TableText"/>
              <w:rPr>
                <w:rFonts w:asciiTheme="minorHAnsi" w:hAnsiTheme="minorHAnsi"/>
                <w:sz w:val="22"/>
                <w:szCs w:val="22"/>
              </w:rPr>
            </w:pPr>
            <w:r w:rsidRPr="0083506B">
              <w:rPr>
                <w:rFonts w:asciiTheme="minorHAnsi" w:hAnsiTheme="minorHAnsi"/>
                <w:sz w:val="22"/>
                <w:szCs w:val="22"/>
              </w:rPr>
              <w:t>Teacher survey</w:t>
            </w:r>
          </w:p>
        </w:tc>
        <w:tc>
          <w:tcPr>
            <w:tcW w:w="1311" w:type="pct"/>
            <w:gridSpan w:val="2"/>
            <w:hideMark/>
          </w:tcPr>
          <w:p w:rsidRPr="0083506B" w:rsidR="008F1C3C" w:rsidP="001B6C27" w:rsidRDefault="008F1C3C" w14:paraId="2A8A5CB1" w14:textId="35DF3426">
            <w:pPr>
              <w:pStyle w:val="TX-TableText"/>
              <w:tabs>
                <w:tab w:val="decimal" w:pos="967"/>
              </w:tabs>
              <w:rPr>
                <w:rFonts w:asciiTheme="minorHAnsi" w:hAnsiTheme="minorHAnsi"/>
                <w:sz w:val="22"/>
                <w:szCs w:val="22"/>
              </w:rPr>
            </w:pPr>
            <w:r w:rsidRPr="0083506B">
              <w:rPr>
                <w:rFonts w:asciiTheme="minorHAnsi" w:hAnsiTheme="minorHAnsi"/>
                <w:sz w:val="22"/>
                <w:szCs w:val="22"/>
              </w:rPr>
              <w:t>8.4 pp</w:t>
            </w:r>
          </w:p>
        </w:tc>
        <w:tc>
          <w:tcPr>
            <w:tcW w:w="1311" w:type="pct"/>
            <w:hideMark/>
          </w:tcPr>
          <w:p w:rsidRPr="0083506B" w:rsidR="008F1C3C" w:rsidP="001B6C27" w:rsidRDefault="008F1C3C" w14:paraId="1912C014" w14:textId="7B656519">
            <w:pPr>
              <w:pStyle w:val="TX-TableText"/>
              <w:tabs>
                <w:tab w:val="decimal" w:pos="967"/>
              </w:tabs>
              <w:rPr>
                <w:rFonts w:asciiTheme="minorHAnsi" w:hAnsiTheme="minorHAnsi"/>
                <w:sz w:val="22"/>
                <w:szCs w:val="22"/>
              </w:rPr>
            </w:pPr>
            <w:r w:rsidRPr="0083506B">
              <w:rPr>
                <w:rFonts w:asciiTheme="minorHAnsi" w:hAnsiTheme="minorHAnsi"/>
                <w:sz w:val="22"/>
                <w:szCs w:val="22"/>
              </w:rPr>
              <w:t>7.4 pp</w:t>
            </w:r>
          </w:p>
        </w:tc>
        <w:tc>
          <w:tcPr>
            <w:tcW w:w="1223" w:type="pct"/>
            <w:hideMark/>
          </w:tcPr>
          <w:p w:rsidRPr="0083506B" w:rsidR="008F1C3C" w:rsidP="001B6C27" w:rsidRDefault="008F1C3C" w14:paraId="7F5F8791" w14:textId="7BE46C03">
            <w:pPr>
              <w:pStyle w:val="TX-TableText"/>
              <w:tabs>
                <w:tab w:val="decimal" w:pos="1129"/>
              </w:tabs>
              <w:rPr>
                <w:rFonts w:asciiTheme="minorHAnsi" w:hAnsiTheme="minorHAnsi"/>
                <w:sz w:val="22"/>
                <w:szCs w:val="22"/>
              </w:rPr>
            </w:pPr>
            <w:r w:rsidRPr="0083506B">
              <w:rPr>
                <w:rFonts w:asciiTheme="minorHAnsi" w:hAnsiTheme="minorHAnsi"/>
                <w:sz w:val="22"/>
                <w:szCs w:val="22"/>
              </w:rPr>
              <w:t>11.3 pp</w:t>
            </w:r>
          </w:p>
        </w:tc>
      </w:tr>
    </w:tbl>
    <w:p w:rsidRPr="004A56C3" w:rsidR="008F1C3C" w:rsidP="008F1C3C" w:rsidRDefault="008F1C3C" w14:paraId="61B4E7A8" w14:textId="2ACBD2AD">
      <w:pPr>
        <w:pStyle w:val="TF-TblFN"/>
        <w:spacing w:after="240"/>
        <w:ind w:left="0" w:firstLine="0"/>
        <w:rPr>
          <w:rFonts w:asciiTheme="minorHAnsi" w:hAnsiTheme="minorHAnsi"/>
          <w:sz w:val="20"/>
        </w:rPr>
      </w:pPr>
      <w:r w:rsidRPr="006464ED">
        <w:rPr>
          <w:rFonts w:asciiTheme="minorHAnsi" w:hAnsiTheme="minorHAnsi"/>
          <w:bCs/>
          <w:sz w:val="20"/>
        </w:rPr>
        <w:t>Notes:</w:t>
      </w:r>
      <w:r w:rsidRPr="006464ED">
        <w:rPr>
          <w:rFonts w:asciiTheme="minorHAnsi" w:hAnsiTheme="minorHAnsi"/>
          <w:sz w:val="20"/>
        </w:rPr>
        <w:t xml:space="preserve"> </w:t>
      </w:r>
      <w:r w:rsidRPr="006464ED" w:rsidR="004F4441">
        <w:rPr>
          <w:rFonts w:asciiTheme="minorHAnsi" w:hAnsiTheme="minorHAnsi"/>
          <w:sz w:val="20"/>
        </w:rPr>
        <w:t>The estimates are measured in percentage points</w:t>
      </w:r>
      <w:r w:rsidR="00BB4192">
        <w:rPr>
          <w:rFonts w:asciiTheme="minorHAnsi" w:hAnsiTheme="minorHAnsi"/>
          <w:sz w:val="20"/>
        </w:rPr>
        <w:t xml:space="preserve"> (pp)</w:t>
      </w:r>
      <w:r w:rsidRPr="006464ED" w:rsidR="004F4441">
        <w:rPr>
          <w:rFonts w:asciiTheme="minorHAnsi" w:hAnsiTheme="minorHAnsi"/>
          <w:sz w:val="20"/>
        </w:rPr>
        <w:t>.</w:t>
      </w:r>
      <w:r w:rsidRPr="004A56C3" w:rsidR="004A56C3">
        <w:rPr>
          <w:rFonts w:eastAsia="Calibri" w:asciiTheme="minorHAnsi" w:hAnsiTheme="minorHAnsi"/>
          <w:b/>
          <w:sz w:val="22"/>
          <w:szCs w:val="22"/>
        </w:rPr>
        <w:t xml:space="preserve"> </w:t>
      </w:r>
      <w:r w:rsidRPr="004A56C3" w:rsidR="004A56C3">
        <w:rPr>
          <w:rFonts w:eastAsia="Calibri" w:asciiTheme="minorHAnsi" w:hAnsiTheme="minorHAnsi"/>
          <w:sz w:val="20"/>
        </w:rPr>
        <w:t xml:space="preserve">For the teacher estimates, the evaluation team assumed a mean value of five sampled, participating teachers per sampled school. Schools with six or more eligible teachers will have a sample size of six, but we anticipate there will be many schools with </w:t>
      </w:r>
      <w:r w:rsidR="00201CED">
        <w:rPr>
          <w:rFonts w:eastAsia="Calibri" w:asciiTheme="minorHAnsi" w:hAnsiTheme="minorHAnsi"/>
          <w:sz w:val="20"/>
        </w:rPr>
        <w:t>fewer</w:t>
      </w:r>
      <w:r w:rsidRPr="004A56C3" w:rsidR="004A56C3">
        <w:rPr>
          <w:rFonts w:eastAsia="Calibri" w:asciiTheme="minorHAnsi" w:hAnsiTheme="minorHAnsi"/>
          <w:sz w:val="20"/>
        </w:rPr>
        <w:t xml:space="preserve"> than six eligible teachers</w:t>
      </w:r>
      <w:r w:rsidR="004A56C3">
        <w:rPr>
          <w:rFonts w:eastAsia="Calibri" w:asciiTheme="minorHAnsi" w:hAnsiTheme="minorHAnsi"/>
          <w:sz w:val="20"/>
        </w:rPr>
        <w:t>.</w:t>
      </w:r>
    </w:p>
    <w:p w:rsidRPr="00475884" w:rsidR="00E1792E" w:rsidP="00E1792E" w:rsidRDefault="00F40FD1" w14:paraId="35F1B9B3" w14:textId="11A2FB26">
      <w:pPr>
        <w:pStyle w:val="Heading3"/>
      </w:pPr>
      <w:bookmarkStart w:name="_Toc328375769" w:id="18"/>
      <w:bookmarkStart w:name="_Toc44941971" w:id="19"/>
      <w:r>
        <w:t>B.2.5.</w:t>
      </w:r>
      <w:r>
        <w:tab/>
        <w:t xml:space="preserve">Unusual </w:t>
      </w:r>
      <w:r w:rsidR="004F75EA">
        <w:t>P</w:t>
      </w:r>
      <w:r w:rsidRPr="00475884" w:rsidR="00E1792E">
        <w:t xml:space="preserve">roblems </w:t>
      </w:r>
      <w:r w:rsidR="004F75EA">
        <w:t>R</w:t>
      </w:r>
      <w:r w:rsidRPr="00475884" w:rsidR="00E1792E">
        <w:t xml:space="preserve">equiring </w:t>
      </w:r>
      <w:r w:rsidR="004F75EA">
        <w:t>S</w:t>
      </w:r>
      <w:r w:rsidRPr="00475884" w:rsidR="00E1792E">
        <w:t xml:space="preserve">pecialized </w:t>
      </w:r>
      <w:r w:rsidR="004F75EA">
        <w:t>S</w:t>
      </w:r>
      <w:r>
        <w:t xml:space="preserve">ampling </w:t>
      </w:r>
      <w:r w:rsidR="004F75EA">
        <w:t>P</w:t>
      </w:r>
      <w:r w:rsidRPr="00475884" w:rsidR="00E1792E">
        <w:t>rocedures</w:t>
      </w:r>
      <w:bookmarkEnd w:id="18"/>
      <w:bookmarkEnd w:id="19"/>
    </w:p>
    <w:p w:rsidR="00E1792E" w:rsidP="00E1792E" w:rsidRDefault="00E1792E" w14:paraId="156DE218" w14:textId="77777777">
      <w:pPr>
        <w:rPr>
          <w:rFonts w:eastAsia="Times New Roman" w:cstheme="minorHAnsi"/>
        </w:rPr>
      </w:pPr>
      <w:r w:rsidRPr="00475884">
        <w:rPr>
          <w:rFonts w:eastAsia="Times New Roman" w:cstheme="minorHAnsi"/>
        </w:rPr>
        <w:t>There are no unusual problems requiring specialized sampling procedures.</w:t>
      </w:r>
    </w:p>
    <w:p w:rsidRPr="00475884" w:rsidR="00E1792E" w:rsidP="00E1792E" w:rsidRDefault="00E1792E" w14:paraId="338772EF" w14:textId="2C694D2E">
      <w:pPr>
        <w:pStyle w:val="Heading3"/>
      </w:pPr>
      <w:bookmarkStart w:name="_Toc44941972" w:id="20"/>
      <w:r>
        <w:t>B</w:t>
      </w:r>
      <w:r w:rsidRPr="00475884">
        <w:t>.2.6.</w:t>
      </w:r>
      <w:r w:rsidRPr="00475884">
        <w:tab/>
        <w:t xml:space="preserve">Use of </w:t>
      </w:r>
      <w:r w:rsidR="004F75EA">
        <w:t>P</w:t>
      </w:r>
      <w:r w:rsidR="00F40FD1">
        <w:t xml:space="preserve">eriodic (less than annual) </w:t>
      </w:r>
      <w:r w:rsidR="004F75EA">
        <w:t>D</w:t>
      </w:r>
      <w:r w:rsidR="00F40FD1">
        <w:t xml:space="preserve">ata </w:t>
      </w:r>
      <w:r w:rsidR="004F75EA">
        <w:t>C</w:t>
      </w:r>
      <w:r w:rsidR="00F40FD1">
        <w:t xml:space="preserve">ollection to </w:t>
      </w:r>
      <w:r w:rsidR="004F75EA">
        <w:t>R</w:t>
      </w:r>
      <w:r w:rsidRPr="00475884">
        <w:t xml:space="preserve">educe </w:t>
      </w:r>
      <w:r w:rsidR="004F75EA">
        <w:t>B</w:t>
      </w:r>
      <w:r w:rsidRPr="00475884">
        <w:t>urden</w:t>
      </w:r>
      <w:bookmarkEnd w:id="20"/>
    </w:p>
    <w:p w:rsidRPr="0083506B" w:rsidR="00E1792E" w:rsidP="00E1792E" w:rsidRDefault="000F6522" w14:paraId="6E5107D9" w14:textId="22C71D2D">
      <w:pPr>
        <w:rPr>
          <w:rFonts w:cs="ArialNarrow"/>
        </w:rPr>
      </w:pPr>
      <w:r>
        <w:rPr>
          <w:rFonts w:eastAsia="Times New Roman" w:cstheme="minorHAnsi"/>
        </w:rPr>
        <w:t>District Coordinators will be asked to provide teacher lists a year apart to reflect possible changes in a school’s teaching staff from year to year</w:t>
      </w:r>
      <w:r w:rsidR="00BB4192">
        <w:rPr>
          <w:rFonts w:eastAsia="Times New Roman" w:cstheme="minorHAnsi"/>
        </w:rPr>
        <w:t>,</w:t>
      </w:r>
      <w:r>
        <w:rPr>
          <w:rFonts w:eastAsia="Times New Roman" w:cstheme="minorHAnsi"/>
        </w:rPr>
        <w:t xml:space="preserve"> as well as to account for </w:t>
      </w:r>
      <w:r w:rsidR="00E1792E">
        <w:rPr>
          <w:rFonts w:cs="ArialNarrow"/>
        </w:rPr>
        <w:t xml:space="preserve">program scale up </w:t>
      </w:r>
      <w:r>
        <w:rPr>
          <w:rFonts w:cs="ArialNarrow"/>
        </w:rPr>
        <w:t xml:space="preserve">within </w:t>
      </w:r>
      <w:r w:rsidR="00BB4192">
        <w:rPr>
          <w:rFonts w:cs="ArialNarrow"/>
        </w:rPr>
        <w:t>a</w:t>
      </w:r>
      <w:r>
        <w:rPr>
          <w:rFonts w:cs="ArialNarrow"/>
        </w:rPr>
        <w:t xml:space="preserve"> district to more schools</w:t>
      </w:r>
      <w:r w:rsidR="00E1792E">
        <w:rPr>
          <w:rFonts w:cs="ArialNarrow"/>
        </w:rPr>
        <w:t xml:space="preserve">. </w:t>
      </w:r>
      <w:r w:rsidR="00BB4192">
        <w:rPr>
          <w:rFonts w:cs="ArialNarrow"/>
        </w:rPr>
        <w:t xml:space="preserve">The IADA program requires states to scale up the new assessments on a relatively aggressive timeline (approximately five years). </w:t>
      </w:r>
      <w:r w:rsidR="00E1792E">
        <w:rPr>
          <w:rFonts w:cs="ArialNarrow"/>
        </w:rPr>
        <w:t xml:space="preserve">A longer period between data collections would make it difficult for the </w:t>
      </w:r>
      <w:r w:rsidR="000E631B">
        <w:rPr>
          <w:rFonts w:cs="ArialNarrow"/>
        </w:rPr>
        <w:t xml:space="preserve">survey </w:t>
      </w:r>
      <w:r w:rsidR="00E1792E">
        <w:rPr>
          <w:rFonts w:cs="ArialNarrow"/>
        </w:rPr>
        <w:t xml:space="preserve">findings </w:t>
      </w:r>
      <w:r w:rsidRPr="00F77FBF" w:rsidR="00E1792E">
        <w:rPr>
          <w:rFonts w:eastAsia="Times New Roman" w:cstheme="minorHAnsi"/>
        </w:rPr>
        <w:t xml:space="preserve">to </w:t>
      </w:r>
      <w:r w:rsidR="00E37279">
        <w:rPr>
          <w:rFonts w:eastAsia="Times New Roman" w:cstheme="minorHAnsi"/>
        </w:rPr>
        <w:t xml:space="preserve">be timely enough to </w:t>
      </w:r>
      <w:r w:rsidRPr="00F77FBF" w:rsidR="00E1792E">
        <w:rPr>
          <w:rFonts w:eastAsia="Times New Roman" w:cstheme="minorHAnsi"/>
        </w:rPr>
        <w:t xml:space="preserve">inform </w:t>
      </w:r>
      <w:r w:rsidR="00BB4192">
        <w:rPr>
          <w:rFonts w:eastAsia="Times New Roman" w:cstheme="minorHAnsi"/>
        </w:rPr>
        <w:t xml:space="preserve">the expected rapid developments in the IADA program, along with </w:t>
      </w:r>
      <w:r w:rsidRPr="00F77FBF" w:rsidR="00E1792E">
        <w:rPr>
          <w:rFonts w:eastAsia="Times New Roman" w:cstheme="minorHAnsi"/>
        </w:rPr>
        <w:t>future development and use of innovative assessment systems</w:t>
      </w:r>
      <w:r w:rsidR="00E1792E">
        <w:rPr>
          <w:rFonts w:eastAsia="Times New Roman" w:cstheme="minorHAnsi"/>
        </w:rPr>
        <w:t xml:space="preserve">. </w:t>
      </w:r>
      <w:r w:rsidR="00E37279">
        <w:rPr>
          <w:rFonts w:eastAsia="Times New Roman" w:cstheme="minorHAnsi"/>
        </w:rPr>
        <w:t xml:space="preserve">In fact, </w:t>
      </w:r>
      <w:r w:rsidR="00FB4A6C">
        <w:rPr>
          <w:rFonts w:eastAsia="Times New Roman" w:cstheme="minorHAnsi"/>
        </w:rPr>
        <w:t xml:space="preserve">a longer period of time between data collections would prevent the evaluation from meeting the </w:t>
      </w:r>
      <w:r w:rsidR="008B2C56">
        <w:rPr>
          <w:rFonts w:eastAsia="Times New Roman" w:cstheme="minorHAnsi"/>
        </w:rPr>
        <w:t xml:space="preserve">Congressionally </w:t>
      </w:r>
      <w:r w:rsidR="00FB4A6C">
        <w:rPr>
          <w:rFonts w:eastAsia="Times New Roman" w:cstheme="minorHAnsi"/>
        </w:rPr>
        <w:t xml:space="preserve">mandated timeline for the </w:t>
      </w:r>
      <w:r w:rsidR="008B2C56">
        <w:rPr>
          <w:rFonts w:eastAsia="Times New Roman" w:cstheme="minorHAnsi"/>
        </w:rPr>
        <w:t>evaluation report.</w:t>
      </w:r>
      <w:r w:rsidR="00E37279">
        <w:rPr>
          <w:rFonts w:eastAsia="Times New Roman" w:cstheme="minorHAnsi"/>
        </w:rPr>
        <w:t xml:space="preserve"> </w:t>
      </w:r>
    </w:p>
    <w:p w:rsidRPr="00C26C28" w:rsidR="00C26C28" w:rsidP="00E1792E" w:rsidRDefault="00C26C28" w14:paraId="1D99E52D" w14:textId="13E56428">
      <w:pPr>
        <w:pStyle w:val="Heading2"/>
      </w:pPr>
      <w:bookmarkStart w:name="_Toc44941973" w:id="21"/>
      <w:r w:rsidRPr="00C26C28">
        <w:t>B.3.</w:t>
      </w:r>
      <w:r w:rsidRPr="00C26C28">
        <w:tab/>
        <w:t xml:space="preserve">Methods for </w:t>
      </w:r>
      <w:r w:rsidR="004F75EA">
        <w:t>M</w:t>
      </w:r>
      <w:r w:rsidR="00F40FD1">
        <w:t xml:space="preserve">aximizing the </w:t>
      </w:r>
      <w:r w:rsidR="004F75EA">
        <w:t>R</w:t>
      </w:r>
      <w:r w:rsidRPr="00C26C28">
        <w:t xml:space="preserve">esponse </w:t>
      </w:r>
      <w:r w:rsidR="004F75EA">
        <w:t>R</w:t>
      </w:r>
      <w:r w:rsidRPr="00C26C28">
        <w:t>ate</w:t>
      </w:r>
      <w:bookmarkEnd w:id="21"/>
      <w:r w:rsidR="00393918">
        <w:t xml:space="preserve"> </w:t>
      </w:r>
    </w:p>
    <w:p w:rsidR="00C26C28" w:rsidP="002A35A3" w:rsidRDefault="000E0D81" w14:paraId="0A80CEFC" w14:textId="4975B6E8">
      <w:pPr>
        <w:rPr>
          <w:rFonts w:eastAsia="Times New Roman" w:cs="Times New Roman"/>
        </w:rPr>
      </w:pPr>
      <w:r>
        <w:rPr>
          <w:rFonts w:eastAsia="Times New Roman" w:cs="Times New Roman"/>
        </w:rPr>
        <w:t xml:space="preserve">The evaluation will mail </w:t>
      </w:r>
      <w:r w:rsidRPr="0083506B" w:rsidR="00D77486">
        <w:rPr>
          <w:rFonts w:eastAsia="Times New Roman" w:cs="Times New Roman"/>
        </w:rPr>
        <w:t xml:space="preserve">the </w:t>
      </w:r>
      <w:r w:rsidR="00B61FC4">
        <w:rPr>
          <w:rFonts w:eastAsia="Times New Roman" w:cs="Times New Roman"/>
        </w:rPr>
        <w:t>D</w:t>
      </w:r>
      <w:r w:rsidRPr="0083506B" w:rsidR="00D77486">
        <w:rPr>
          <w:rFonts w:eastAsia="Times New Roman" w:cs="Times New Roman"/>
        </w:rPr>
        <w:t xml:space="preserve">istrict </w:t>
      </w:r>
      <w:r w:rsidR="00B61FC4">
        <w:rPr>
          <w:rFonts w:eastAsia="Times New Roman" w:cs="Times New Roman"/>
        </w:rPr>
        <w:t>C</w:t>
      </w:r>
      <w:r w:rsidRPr="0083506B" w:rsidR="00D77486">
        <w:rPr>
          <w:rFonts w:eastAsia="Times New Roman" w:cs="Times New Roman"/>
        </w:rPr>
        <w:t xml:space="preserve">oordinator </w:t>
      </w:r>
      <w:r w:rsidRPr="00C26C28" w:rsidR="00C26C28">
        <w:rPr>
          <w:rFonts w:eastAsia="Times New Roman" w:cs="Times New Roman"/>
        </w:rPr>
        <w:t xml:space="preserve">the </w:t>
      </w:r>
      <w:r>
        <w:rPr>
          <w:rFonts w:eastAsia="Times New Roman" w:cs="Times New Roman"/>
        </w:rPr>
        <w:t xml:space="preserve">teacher list collection </w:t>
      </w:r>
      <w:r w:rsidRPr="00C26C28" w:rsidR="00C26C28">
        <w:rPr>
          <w:rFonts w:eastAsia="Times New Roman" w:cs="Times New Roman"/>
        </w:rPr>
        <w:t>request</w:t>
      </w:r>
      <w:r w:rsidR="00BB4192">
        <w:rPr>
          <w:rFonts w:eastAsia="Times New Roman" w:cs="Times New Roman"/>
        </w:rPr>
        <w:t xml:space="preserve"> (see Appendix A)</w:t>
      </w:r>
      <w:r w:rsidRPr="00C26C28" w:rsidR="00C26C28">
        <w:rPr>
          <w:rFonts w:eastAsia="Times New Roman" w:cs="Times New Roman"/>
        </w:rPr>
        <w:t xml:space="preserve"> </w:t>
      </w:r>
      <w:r w:rsidRPr="0083506B" w:rsidR="00D77486">
        <w:rPr>
          <w:rFonts w:eastAsia="Times New Roman" w:cs="Times New Roman"/>
        </w:rPr>
        <w:t xml:space="preserve">as part of the </w:t>
      </w:r>
      <w:r w:rsidR="00B61FC4">
        <w:rPr>
          <w:rFonts w:eastAsia="Times New Roman" w:cs="Times New Roman"/>
        </w:rPr>
        <w:t>C</w:t>
      </w:r>
      <w:r w:rsidRPr="0083506B" w:rsidR="00D77486">
        <w:rPr>
          <w:rFonts w:eastAsia="Times New Roman" w:cs="Times New Roman"/>
        </w:rPr>
        <w:t>oordinator’s notification letter</w:t>
      </w:r>
      <w:r w:rsidR="00BB4192">
        <w:rPr>
          <w:rFonts w:eastAsia="Times New Roman" w:cs="Times New Roman"/>
        </w:rPr>
        <w:t xml:space="preserve"> (see Appendix B)</w:t>
      </w:r>
      <w:r w:rsidRPr="0083506B" w:rsidR="00D77486">
        <w:rPr>
          <w:rFonts w:eastAsia="Times New Roman" w:cs="Times New Roman"/>
        </w:rPr>
        <w:t xml:space="preserve">. </w:t>
      </w:r>
      <w:r w:rsidRPr="002A35A3" w:rsidR="002A35A3">
        <w:rPr>
          <w:rFonts w:cstheme="minorHAnsi"/>
        </w:rPr>
        <w:t xml:space="preserve">Obtaining teacher rosters is critical to ensuring the quality of the teacher sample. </w:t>
      </w:r>
      <w:r w:rsidR="00480031">
        <w:rPr>
          <w:rFonts w:cstheme="minorHAnsi"/>
        </w:rPr>
        <w:t xml:space="preserve">The evaluation team will engage in a number of activities to maximize the teacher list response rates. The team will offer, where allowed, </w:t>
      </w:r>
      <w:r w:rsidR="00141EDD">
        <w:rPr>
          <w:rFonts w:cstheme="minorHAnsi"/>
        </w:rPr>
        <w:t>D</w:t>
      </w:r>
      <w:r w:rsidR="002A35A3">
        <w:rPr>
          <w:rFonts w:cstheme="minorHAnsi"/>
        </w:rPr>
        <w:t xml:space="preserve">istrict </w:t>
      </w:r>
      <w:r w:rsidR="00141EDD">
        <w:rPr>
          <w:rFonts w:cstheme="minorHAnsi"/>
        </w:rPr>
        <w:t>C</w:t>
      </w:r>
      <w:r w:rsidR="002A35A3">
        <w:rPr>
          <w:rFonts w:cstheme="minorHAnsi"/>
        </w:rPr>
        <w:t>oordinators a small incentive for providing the teacher lists</w:t>
      </w:r>
      <w:r w:rsidR="00480031">
        <w:rPr>
          <w:rFonts w:cstheme="minorHAnsi"/>
        </w:rPr>
        <w:t>. The team will accept the teacher list in whatever format is most convenient for the district (e.g., an excel file, hard copy</w:t>
      </w:r>
      <w:r w:rsidR="00BB4192">
        <w:rPr>
          <w:rFonts w:cstheme="minorHAnsi"/>
        </w:rPr>
        <w:t>, scanned images</w:t>
      </w:r>
      <w:r w:rsidR="00480031">
        <w:rPr>
          <w:rFonts w:cstheme="minorHAnsi"/>
        </w:rPr>
        <w:t xml:space="preserve">). The </w:t>
      </w:r>
      <w:r w:rsidR="002A35A3">
        <w:rPr>
          <w:rFonts w:cstheme="minorHAnsi"/>
        </w:rPr>
        <w:t xml:space="preserve">team will </w:t>
      </w:r>
      <w:r w:rsidR="002A35A3">
        <w:rPr>
          <w:rFonts w:eastAsia="Times New Roman" w:cs="Times New Roman"/>
        </w:rPr>
        <w:t>begin</w:t>
      </w:r>
      <w:r w:rsidRPr="00C26C28" w:rsidR="00C26C28">
        <w:rPr>
          <w:rFonts w:eastAsia="Times New Roman" w:cs="Times New Roman"/>
        </w:rPr>
        <w:t xml:space="preserve"> </w:t>
      </w:r>
      <w:r>
        <w:rPr>
          <w:rFonts w:eastAsia="Times New Roman" w:cs="Times New Roman"/>
        </w:rPr>
        <w:t>reachi</w:t>
      </w:r>
      <w:r w:rsidR="00480031">
        <w:rPr>
          <w:rFonts w:eastAsia="Times New Roman" w:cs="Times New Roman"/>
        </w:rPr>
        <w:t xml:space="preserve">ng out to </w:t>
      </w:r>
      <w:r w:rsidR="00141EDD">
        <w:rPr>
          <w:rFonts w:eastAsia="Times New Roman" w:cs="Times New Roman"/>
        </w:rPr>
        <w:t>D</w:t>
      </w:r>
      <w:r w:rsidR="00480031">
        <w:rPr>
          <w:rFonts w:eastAsia="Times New Roman" w:cs="Times New Roman"/>
        </w:rPr>
        <w:t xml:space="preserve">istrict </w:t>
      </w:r>
      <w:r w:rsidR="000E631B">
        <w:rPr>
          <w:rFonts w:eastAsia="Times New Roman" w:cs="Times New Roman"/>
        </w:rPr>
        <w:t>C</w:t>
      </w:r>
      <w:r w:rsidR="002544ED">
        <w:rPr>
          <w:rFonts w:eastAsia="Times New Roman" w:cs="Times New Roman"/>
        </w:rPr>
        <w:t>o</w:t>
      </w:r>
      <w:r w:rsidR="00480031">
        <w:rPr>
          <w:rFonts w:eastAsia="Times New Roman" w:cs="Times New Roman"/>
        </w:rPr>
        <w:t xml:space="preserve">ordinators </w:t>
      </w:r>
      <w:r>
        <w:rPr>
          <w:rFonts w:eastAsia="Times New Roman" w:cs="Times New Roman"/>
        </w:rPr>
        <w:t xml:space="preserve">about two weeks after the initial </w:t>
      </w:r>
      <w:r w:rsidR="00B24037">
        <w:rPr>
          <w:rFonts w:eastAsia="Times New Roman" w:cs="Times New Roman"/>
        </w:rPr>
        <w:t>mail out</w:t>
      </w:r>
      <w:r>
        <w:rPr>
          <w:rFonts w:eastAsia="Times New Roman" w:cs="Times New Roman"/>
        </w:rPr>
        <w:t xml:space="preserve"> to see if they have any questions about the evaluation or the teacher list request. The team will begin </w:t>
      </w:r>
      <w:r w:rsidRPr="00C26C28" w:rsidR="00C26C28">
        <w:rPr>
          <w:rFonts w:eastAsia="Times New Roman" w:cs="Times New Roman"/>
        </w:rPr>
        <w:t xml:space="preserve">telephone </w:t>
      </w:r>
      <w:r w:rsidRPr="0083506B" w:rsidR="00D77486">
        <w:rPr>
          <w:rFonts w:eastAsia="Times New Roman" w:cs="Times New Roman"/>
        </w:rPr>
        <w:t>follow</w:t>
      </w:r>
      <w:r w:rsidR="004B40BB">
        <w:rPr>
          <w:rFonts w:eastAsia="Times New Roman" w:cs="Times New Roman"/>
        </w:rPr>
        <w:t>-</w:t>
      </w:r>
      <w:r w:rsidRPr="0083506B" w:rsidR="00D77486">
        <w:rPr>
          <w:rFonts w:eastAsia="Times New Roman" w:cs="Times New Roman"/>
        </w:rPr>
        <w:t>up for</w:t>
      </w:r>
      <w:r>
        <w:rPr>
          <w:rFonts w:eastAsia="Times New Roman" w:cs="Times New Roman"/>
        </w:rPr>
        <w:t xml:space="preserve"> </w:t>
      </w:r>
      <w:r w:rsidRPr="0083506B" w:rsidR="00D77486">
        <w:rPr>
          <w:rFonts w:eastAsia="Times New Roman" w:cs="Times New Roman"/>
        </w:rPr>
        <w:t xml:space="preserve">nonresponse about </w:t>
      </w:r>
      <w:r>
        <w:rPr>
          <w:rFonts w:eastAsia="Times New Roman" w:cs="Times New Roman"/>
        </w:rPr>
        <w:t>three</w:t>
      </w:r>
      <w:r w:rsidRPr="00C26C28" w:rsidR="00C26C28">
        <w:rPr>
          <w:rFonts w:eastAsia="Times New Roman" w:cs="Times New Roman"/>
        </w:rPr>
        <w:t xml:space="preserve"> weeks after the </w:t>
      </w:r>
      <w:r>
        <w:rPr>
          <w:rFonts w:eastAsia="Times New Roman" w:cs="Times New Roman"/>
        </w:rPr>
        <w:t xml:space="preserve">initial </w:t>
      </w:r>
      <w:r w:rsidRPr="00C26C28" w:rsidR="00C26C28">
        <w:rPr>
          <w:rFonts w:eastAsia="Times New Roman" w:cs="Times New Roman"/>
        </w:rPr>
        <w:t xml:space="preserve">request has been mailed. Experienced telephone interviewers will be trained in prompting the </w:t>
      </w:r>
      <w:proofErr w:type="spellStart"/>
      <w:r w:rsidRPr="00C26C28" w:rsidR="00C26C28">
        <w:rPr>
          <w:rFonts w:eastAsia="Times New Roman" w:cs="Times New Roman"/>
        </w:rPr>
        <w:t>nonrespondents</w:t>
      </w:r>
      <w:proofErr w:type="spellEnd"/>
      <w:r w:rsidRPr="00C26C28" w:rsidR="00C26C28">
        <w:rPr>
          <w:rFonts w:eastAsia="Times New Roman" w:cs="Times New Roman"/>
        </w:rPr>
        <w:t xml:space="preserve"> and will be monitored by Westat supervisory personnel during all interviewing hours. </w:t>
      </w:r>
      <w:r w:rsidR="00D55F7B">
        <w:rPr>
          <w:rFonts w:eastAsia="Times New Roman" w:cs="Times New Roman"/>
        </w:rPr>
        <w:t xml:space="preserve">The evaluation team expects to achieve at least an </w:t>
      </w:r>
      <w:r w:rsidR="00D55F7B">
        <w:rPr>
          <w:rFonts w:eastAsia="Times New Roman" w:cs="Times New Roman"/>
        </w:rPr>
        <w:lastRenderedPageBreak/>
        <w:t xml:space="preserve">85 percent response rate for the teacher lists for sampled schools. </w:t>
      </w:r>
      <w:r w:rsidRPr="00795B4C" w:rsidR="00795B4C">
        <w:t>Teacher list nonresponse will be considered during the development of weights for the teacher survey data</w:t>
      </w:r>
      <w:r w:rsidR="00C73332">
        <w:t xml:space="preserve"> (to be described in a subsequent OMB package requesting clearance for administering the actual teacher survey)</w:t>
      </w:r>
      <w:r w:rsidRPr="00795B4C" w:rsidR="00795B4C">
        <w:t>.</w:t>
      </w:r>
    </w:p>
    <w:p w:rsidRPr="00C26C28" w:rsidR="00F44CDE" w:rsidP="00F44CDE" w:rsidRDefault="00F44CDE" w14:paraId="23948424" w14:textId="51243F01">
      <w:pPr>
        <w:pStyle w:val="Heading2"/>
      </w:pPr>
      <w:bookmarkStart w:name="_Toc44941974" w:id="22"/>
      <w:r w:rsidRPr="00C26C28">
        <w:t>B.4.</w:t>
      </w:r>
      <w:r w:rsidRPr="00C26C28">
        <w:tab/>
        <w:t>Tes</w:t>
      </w:r>
      <w:r w:rsidR="00F40FD1">
        <w:t xml:space="preserve">t of </w:t>
      </w:r>
      <w:r w:rsidR="004F75EA">
        <w:t>P</w:t>
      </w:r>
      <w:r w:rsidRPr="00C26C28">
        <w:t>rocedures</w:t>
      </w:r>
      <w:bookmarkEnd w:id="22"/>
    </w:p>
    <w:p w:rsidR="00F44CDE" w:rsidP="00F44CDE" w:rsidRDefault="00F44CDE" w14:paraId="139E29B5" w14:textId="7E963FAE">
      <w:pPr>
        <w:rPr>
          <w:rFonts w:cs="ArialNarrow"/>
        </w:rPr>
      </w:pPr>
      <w:r w:rsidRPr="00C26C28">
        <w:rPr>
          <w:rFonts w:eastAsia="Times New Roman" w:cstheme="minorHAnsi"/>
        </w:rPr>
        <w:t xml:space="preserve">The </w:t>
      </w:r>
      <w:r w:rsidR="002544ED">
        <w:rPr>
          <w:rFonts w:eastAsia="Times New Roman" w:cstheme="minorHAnsi"/>
        </w:rPr>
        <w:t>participating teacher list request will be</w:t>
      </w:r>
      <w:r w:rsidRPr="00C26C28">
        <w:rPr>
          <w:rFonts w:eastAsia="Times New Roman" w:cstheme="minorHAnsi"/>
        </w:rPr>
        <w:t xml:space="preserve"> pretested with nine or fewer </w:t>
      </w:r>
      <w:r w:rsidR="002544ED">
        <w:rPr>
          <w:rFonts w:eastAsia="Times New Roman" w:cstheme="minorHAnsi"/>
        </w:rPr>
        <w:t xml:space="preserve">district </w:t>
      </w:r>
      <w:r w:rsidRPr="00C26C28">
        <w:rPr>
          <w:rFonts w:eastAsia="Times New Roman" w:cstheme="minorHAnsi"/>
        </w:rPr>
        <w:t xml:space="preserve">respondents. </w:t>
      </w:r>
      <w:r w:rsidRPr="0083506B">
        <w:rPr>
          <w:rFonts w:eastAsia="Times New Roman" w:cstheme="minorHAnsi"/>
        </w:rPr>
        <w:t xml:space="preserve">The pretests will be conducted via </w:t>
      </w:r>
      <w:r w:rsidR="004B40BB">
        <w:rPr>
          <w:rFonts w:eastAsia="Times New Roman" w:cstheme="minorHAnsi"/>
        </w:rPr>
        <w:t>tele</w:t>
      </w:r>
      <w:r w:rsidR="00A1460B">
        <w:rPr>
          <w:rFonts w:eastAsia="Times New Roman" w:cstheme="minorHAnsi"/>
        </w:rPr>
        <w:t xml:space="preserve">phone </w:t>
      </w:r>
      <w:r w:rsidRPr="0083506B">
        <w:rPr>
          <w:rFonts w:eastAsia="Times New Roman" w:cstheme="minorHAnsi"/>
        </w:rPr>
        <w:t xml:space="preserve">calls and focus on </w:t>
      </w:r>
      <w:r w:rsidRPr="0083506B">
        <w:rPr>
          <w:rFonts w:cs="ArialNarrow"/>
        </w:rPr>
        <w:t xml:space="preserve">ensuring that terminology used </w:t>
      </w:r>
      <w:r w:rsidR="002544ED">
        <w:rPr>
          <w:rFonts w:cs="ArialNarrow"/>
        </w:rPr>
        <w:t>in the request</w:t>
      </w:r>
      <w:r w:rsidRPr="0083506B">
        <w:rPr>
          <w:rFonts w:cs="ArialNarrow"/>
        </w:rPr>
        <w:t xml:space="preserve"> is consistent with the way </w:t>
      </w:r>
      <w:r w:rsidR="002544ED">
        <w:rPr>
          <w:rFonts w:cs="ArialNarrow"/>
        </w:rPr>
        <w:t xml:space="preserve">districts identify participating teachers. </w:t>
      </w:r>
      <w:r w:rsidRPr="0083506B">
        <w:rPr>
          <w:rFonts w:cs="ArialNarrow"/>
        </w:rPr>
        <w:t>The pretests also will be a check to see if the</w:t>
      </w:r>
      <w:r w:rsidR="002544ED">
        <w:rPr>
          <w:rFonts w:cs="ArialNarrow"/>
        </w:rPr>
        <w:t xml:space="preserve"> teacher list request </w:t>
      </w:r>
      <w:r w:rsidRPr="0083506B">
        <w:rPr>
          <w:rFonts w:cs="ArialNarrow"/>
        </w:rPr>
        <w:t xml:space="preserve">can be completed </w:t>
      </w:r>
      <w:r w:rsidR="00C73332">
        <w:rPr>
          <w:rFonts w:cs="ArialNarrow"/>
        </w:rPr>
        <w:t>with</w:t>
      </w:r>
      <w:r w:rsidRPr="0083506B">
        <w:rPr>
          <w:rFonts w:cs="ArialNarrow"/>
        </w:rPr>
        <w:t xml:space="preserve">in the </w:t>
      </w:r>
      <w:r w:rsidR="00C73332">
        <w:rPr>
          <w:rFonts w:cs="ArialNarrow"/>
        </w:rPr>
        <w:t>estimated</w:t>
      </w:r>
      <w:r w:rsidRPr="0083506B">
        <w:rPr>
          <w:rFonts w:cs="ArialNarrow"/>
        </w:rPr>
        <w:t xml:space="preserve"> </w:t>
      </w:r>
      <w:r w:rsidR="002544ED">
        <w:rPr>
          <w:rFonts w:cs="ArialNarrow"/>
        </w:rPr>
        <w:t>120</w:t>
      </w:r>
      <w:r w:rsidRPr="0083506B">
        <w:rPr>
          <w:rFonts w:cs="ArialNarrow"/>
        </w:rPr>
        <w:t xml:space="preserve">-minute timeframe. </w:t>
      </w:r>
    </w:p>
    <w:p w:rsidRPr="0083506B" w:rsidR="00DF7A56" w:rsidP="002224E5" w:rsidRDefault="002224E5" w14:paraId="31793419" w14:textId="534C1181">
      <w:pPr>
        <w:pStyle w:val="Heading2"/>
        <w:rPr>
          <w:rFonts w:cs="ArialNarrow"/>
        </w:rPr>
      </w:pPr>
      <w:bookmarkStart w:name="_Toc44941975" w:id="23"/>
      <w:r w:rsidRPr="00DF7A56">
        <w:t>B.5.</w:t>
      </w:r>
      <w:r w:rsidRPr="00DF7A56">
        <w:tab/>
        <w:t xml:space="preserve">Individuals </w:t>
      </w:r>
      <w:r w:rsidR="004F75EA">
        <w:t>C</w:t>
      </w:r>
      <w:r w:rsidR="00F40FD1">
        <w:t xml:space="preserve">onsulted on </w:t>
      </w:r>
      <w:r w:rsidR="004F75EA">
        <w:t>S</w:t>
      </w:r>
      <w:r w:rsidRPr="00DF7A56">
        <w:t xml:space="preserve">tatistical </w:t>
      </w:r>
      <w:r w:rsidR="004F75EA">
        <w:t>A</w:t>
      </w:r>
      <w:r w:rsidR="00F40FD1">
        <w:t xml:space="preserve">spects of </w:t>
      </w:r>
      <w:r w:rsidR="004F75EA">
        <w:t>D</w:t>
      </w:r>
      <w:r w:rsidRPr="00DF7A56">
        <w:t>esign</w:t>
      </w:r>
      <w:bookmarkEnd w:id="23"/>
    </w:p>
    <w:p w:rsidRPr="00C26C28" w:rsidR="00C26C28" w:rsidP="002224E5" w:rsidRDefault="00C26C28" w14:paraId="5C5C0EBF" w14:textId="77777777">
      <w:r w:rsidRPr="00C26C28">
        <w:t>The individuals consulted on the statistical aspects of the design include:</w:t>
      </w:r>
    </w:p>
    <w:p w:rsidRPr="0083506B" w:rsidR="00C26C28" w:rsidP="00C26C28" w:rsidRDefault="00C26C28" w14:paraId="78D2147C" w14:textId="717E7C4F">
      <w:pPr>
        <w:spacing w:after="0" w:line="240" w:lineRule="auto"/>
        <w:ind w:left="360"/>
        <w:rPr>
          <w:rFonts w:eastAsia="Times New Roman" w:cstheme="minorHAnsi"/>
        </w:rPr>
      </w:pPr>
      <w:r w:rsidRPr="00C26C28">
        <w:rPr>
          <w:rFonts w:eastAsia="Times New Roman" w:cstheme="minorHAnsi"/>
        </w:rPr>
        <w:t xml:space="preserve">Patty Troppe, Westat, </w:t>
      </w:r>
      <w:r w:rsidRPr="0083506B" w:rsidR="00DF7A56">
        <w:rPr>
          <w:rFonts w:eastAsia="Times New Roman" w:cstheme="minorHAnsi"/>
        </w:rPr>
        <w:t>Project Director</w:t>
      </w:r>
    </w:p>
    <w:p w:rsidRPr="00C26C28" w:rsidR="00DF7A56" w:rsidP="00DF7A56" w:rsidRDefault="00DF7A56" w14:paraId="612FC031" w14:textId="77777777">
      <w:pPr>
        <w:spacing w:after="0" w:line="240" w:lineRule="auto"/>
        <w:ind w:left="360"/>
        <w:rPr>
          <w:rFonts w:eastAsia="Times New Roman" w:cstheme="minorHAnsi"/>
        </w:rPr>
      </w:pPr>
      <w:r w:rsidRPr="0083506B">
        <w:rPr>
          <w:rFonts w:eastAsia="Times New Roman" w:cstheme="minorHAnsi"/>
        </w:rPr>
        <w:t>Art Thacker, HumRRO, Principal Investigator</w:t>
      </w:r>
    </w:p>
    <w:p w:rsidRPr="0083506B" w:rsidR="00C26C28" w:rsidP="00C26C28" w:rsidRDefault="00C26C28" w14:paraId="5BC63064" w14:textId="726C2174">
      <w:pPr>
        <w:spacing w:after="0" w:line="240" w:lineRule="auto"/>
        <w:ind w:left="360"/>
        <w:rPr>
          <w:rFonts w:eastAsia="Times New Roman" w:cstheme="minorHAnsi"/>
        </w:rPr>
      </w:pPr>
      <w:r w:rsidRPr="00C26C28">
        <w:rPr>
          <w:rFonts w:eastAsia="Times New Roman" w:cstheme="minorHAnsi"/>
        </w:rPr>
        <w:t>Lou Rizzo, Westat, Senior Statis</w:t>
      </w:r>
      <w:r w:rsidRPr="0083506B" w:rsidR="00DF7A56">
        <w:rPr>
          <w:rFonts w:eastAsia="Times New Roman" w:cstheme="minorHAnsi"/>
        </w:rPr>
        <w:t>tician</w:t>
      </w:r>
    </w:p>
    <w:p w:rsidRPr="0083506B" w:rsidR="00C26C28" w:rsidP="00C26C28" w:rsidRDefault="00C26C28" w14:paraId="138417D7" w14:textId="5FC4D6F0">
      <w:pPr>
        <w:spacing w:after="0" w:line="240" w:lineRule="auto"/>
        <w:ind w:left="360"/>
        <w:rPr>
          <w:rFonts w:eastAsia="Times New Roman" w:cstheme="minorHAnsi"/>
        </w:rPr>
      </w:pPr>
      <w:r w:rsidRPr="0083506B">
        <w:rPr>
          <w:rFonts w:eastAsia="Times New Roman" w:cstheme="minorHAnsi"/>
        </w:rPr>
        <w:t xml:space="preserve">Rob Olsen, Westat, </w:t>
      </w:r>
      <w:bookmarkEnd w:id="17"/>
      <w:r w:rsidR="000779DC">
        <w:t>Quality Support Advisor</w:t>
      </w:r>
    </w:p>
    <w:sectPr w:rsidRPr="0083506B" w:rsidR="00C26C28" w:rsidSect="00A21E80">
      <w:footerReference w:type="default" r:id="rId17"/>
      <w:pgSz w:w="12240" w:h="15840"/>
      <w:pgMar w:top="144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42618" w14:textId="77777777" w:rsidR="00452BD1" w:rsidRDefault="00452BD1" w:rsidP="00202833">
      <w:pPr>
        <w:spacing w:after="0" w:line="240" w:lineRule="auto"/>
      </w:pPr>
      <w:r>
        <w:separator/>
      </w:r>
    </w:p>
  </w:endnote>
  <w:endnote w:type="continuationSeparator" w:id="0">
    <w:p w14:paraId="5047E10B" w14:textId="77777777" w:rsidR="00452BD1" w:rsidRDefault="00452BD1" w:rsidP="00202833">
      <w:pPr>
        <w:spacing w:after="0" w:line="240" w:lineRule="auto"/>
      </w:pPr>
      <w:r>
        <w:continuationSeparator/>
      </w:r>
    </w:p>
  </w:endnote>
  <w:endnote w:type="continuationNotice" w:id="1">
    <w:p w14:paraId="0FD1C42A" w14:textId="77777777" w:rsidR="00452BD1" w:rsidRDefault="00452B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DCB6E" w14:textId="77777777" w:rsidR="009C324D" w:rsidRDefault="009C3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8328E" w14:textId="77777777" w:rsidR="009C324D" w:rsidRDefault="009C324D" w:rsidP="00DD41BD">
    <w:pPr>
      <w:pStyle w:val="Footer"/>
      <w:pBdr>
        <w:top w:val="single" w:sz="36" w:space="1" w:color="305280"/>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BAB4" w14:textId="77777777" w:rsidR="009C324D" w:rsidRDefault="009C324D" w:rsidP="00DD41BD">
    <w:pPr>
      <w:pStyle w:val="Footer"/>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6EED7" w14:textId="77777777" w:rsidR="009C324D" w:rsidRPr="00463EBF" w:rsidRDefault="009C324D" w:rsidP="00463E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320252"/>
      <w:docPartObj>
        <w:docPartGallery w:val="Page Numbers (Bottom of Page)"/>
        <w:docPartUnique/>
      </w:docPartObj>
    </w:sdtPr>
    <w:sdtEndPr>
      <w:rPr>
        <w:noProof/>
      </w:rPr>
    </w:sdtEndPr>
    <w:sdtContent>
      <w:p w14:paraId="5F0E7D98" w14:textId="396FEB83" w:rsidR="009C324D" w:rsidRDefault="009C324D">
        <w:pPr>
          <w:pStyle w:val="Footer"/>
          <w:jc w:val="center"/>
        </w:pPr>
        <w:r>
          <w:fldChar w:fldCharType="begin"/>
        </w:r>
        <w:r>
          <w:instrText xml:space="preserve"> PAGE   \* MERGEFORMAT </w:instrText>
        </w:r>
        <w:r>
          <w:fldChar w:fldCharType="separate"/>
        </w:r>
        <w:r w:rsidR="00216C4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811AE" w14:textId="77777777" w:rsidR="00452BD1" w:rsidRDefault="00452BD1" w:rsidP="00202833">
      <w:pPr>
        <w:spacing w:after="0" w:line="240" w:lineRule="auto"/>
      </w:pPr>
      <w:r>
        <w:separator/>
      </w:r>
    </w:p>
  </w:footnote>
  <w:footnote w:type="continuationSeparator" w:id="0">
    <w:p w14:paraId="34F82F0A" w14:textId="77777777" w:rsidR="00452BD1" w:rsidRDefault="00452BD1" w:rsidP="00202833">
      <w:pPr>
        <w:spacing w:after="0" w:line="240" w:lineRule="auto"/>
      </w:pPr>
      <w:r>
        <w:continuationSeparator/>
      </w:r>
    </w:p>
  </w:footnote>
  <w:footnote w:type="continuationNotice" w:id="1">
    <w:p w14:paraId="7354AD0A" w14:textId="77777777" w:rsidR="00452BD1" w:rsidRDefault="00452BD1">
      <w:pPr>
        <w:spacing w:after="0" w:line="240" w:lineRule="auto"/>
      </w:pPr>
    </w:p>
  </w:footnote>
  <w:footnote w:id="2">
    <w:p w14:paraId="2FC81ED4" w14:textId="77777777" w:rsidR="009C324D" w:rsidRDefault="009C324D" w:rsidP="00EF6B62">
      <w:pPr>
        <w:pStyle w:val="N0-FlLftBullet"/>
        <w:spacing w:after="120"/>
        <w:ind w:left="0" w:firstLine="0"/>
      </w:pPr>
      <w:r w:rsidRPr="009E27ED">
        <w:rPr>
          <w:rStyle w:val="FootnoteReference"/>
          <w:sz w:val="20"/>
        </w:rPr>
        <w:footnoteRef/>
      </w:r>
      <w:r w:rsidRPr="009E27ED">
        <w:rPr>
          <w:sz w:val="20"/>
        </w:rPr>
        <w:t xml:space="preserve"> </w:t>
      </w:r>
      <w:r w:rsidRPr="009E27ED">
        <w:rPr>
          <w:rFonts w:asciiTheme="minorHAnsi" w:hAnsiTheme="minorHAnsi"/>
          <w:sz w:val="20"/>
        </w:rPr>
        <w:t xml:space="preserve">Improving America’s Schools Act of 1994, P.L. 103-382, 20 U.S.C. § 6301 </w:t>
      </w:r>
      <w:r w:rsidRPr="009E27ED">
        <w:rPr>
          <w:rFonts w:asciiTheme="minorHAnsi" w:hAnsiTheme="minorHAnsi"/>
          <w:i/>
          <w:iCs/>
          <w:sz w:val="20"/>
        </w:rPr>
        <w:t>et seq.</w:t>
      </w:r>
      <w:r w:rsidRPr="009E27ED">
        <w:rPr>
          <w:rFonts w:asciiTheme="minorHAnsi" w:hAnsiTheme="minorHAnsi"/>
          <w:sz w:val="20"/>
        </w:rPr>
        <w:t xml:space="preserve"> </w:t>
      </w:r>
    </w:p>
  </w:footnote>
  <w:footnote w:id="3">
    <w:p w14:paraId="3A985201" w14:textId="136DD67F" w:rsidR="009C324D" w:rsidRDefault="009C324D" w:rsidP="00887841">
      <w:pPr>
        <w:pStyle w:val="FootnoteText"/>
        <w:keepLines/>
      </w:pPr>
      <w:r>
        <w:rPr>
          <w:rStyle w:val="FootnoteReference"/>
        </w:rPr>
        <w:footnoteRef/>
      </w:r>
      <w:r>
        <w:t xml:space="preserve"> The estimated number of districts for Georgia and North Carolina in 2019-20 are based on their IADA applications. These states have not yet submitted the APR for their first year of implementation (i.e., the 2019-20 school year). </w:t>
      </w:r>
    </w:p>
  </w:footnote>
  <w:footnote w:id="4">
    <w:p w14:paraId="1A69C1A6" w14:textId="6C3B2A27" w:rsidR="009C324D" w:rsidRPr="00242B8A" w:rsidRDefault="009C324D" w:rsidP="00104BDF">
      <w:pPr>
        <w:pStyle w:val="FootnoteText"/>
      </w:pPr>
      <w:r w:rsidRPr="00CB1209">
        <w:rPr>
          <w:rStyle w:val="FootnoteReference"/>
        </w:rPr>
        <w:footnoteRef/>
      </w:r>
      <w:r w:rsidRPr="00CB1209">
        <w:t xml:space="preserve"> </w:t>
      </w:r>
      <w:r w:rsidRPr="009529C6">
        <w:t>I</w:t>
      </w:r>
      <w:r w:rsidRPr="004E282F">
        <w:t xml:space="preserve">f a district has fewer than two participating schools for spring 2021 or three participating schools for spring 2022, </w:t>
      </w:r>
      <w:r w:rsidRPr="00242B8A">
        <w:t xml:space="preserve">all participating schools </w:t>
      </w:r>
      <w:r w:rsidR="000D0E56">
        <w:t xml:space="preserve">in that district will be selected </w:t>
      </w:r>
      <w:r w:rsidRPr="00242B8A">
        <w:t xml:space="preserve">for the evaluation. </w:t>
      </w:r>
    </w:p>
  </w:footnote>
  <w:footnote w:id="5">
    <w:p w14:paraId="0FBBED74" w14:textId="39ED40AB" w:rsidR="009C324D" w:rsidRDefault="009C324D">
      <w:pPr>
        <w:pStyle w:val="FootnoteText"/>
      </w:pPr>
      <w:r>
        <w:rPr>
          <w:rStyle w:val="FootnoteReference"/>
        </w:rPr>
        <w:footnoteRef/>
      </w:r>
      <w:r>
        <w:t xml:space="preserve"> Unless there is only one participating school in the district, in which case there is no variance.</w:t>
      </w:r>
    </w:p>
  </w:footnote>
  <w:footnote w:id="6">
    <w:p w14:paraId="34F3208D" w14:textId="686E8C62" w:rsidR="00AD0216" w:rsidRPr="003D358F" w:rsidRDefault="00AD0216" w:rsidP="00AD0216">
      <w:pPr>
        <w:autoSpaceDE w:val="0"/>
        <w:autoSpaceDN w:val="0"/>
        <w:adjustRightInd w:val="0"/>
        <w:spacing w:after="0" w:line="240" w:lineRule="auto"/>
        <w:rPr>
          <w:rFonts w:cstheme="minorHAnsi"/>
          <w:sz w:val="20"/>
          <w:szCs w:val="20"/>
        </w:rPr>
      </w:pPr>
      <w:r>
        <w:rPr>
          <w:rStyle w:val="FootnoteReference"/>
        </w:rPr>
        <w:footnoteRef/>
      </w:r>
      <w:r>
        <w:t xml:space="preserve"> </w:t>
      </w:r>
      <w:r w:rsidRPr="003D358F">
        <w:rPr>
          <w:rFonts w:cstheme="minorHAnsi"/>
          <w:sz w:val="20"/>
          <w:szCs w:val="20"/>
        </w:rPr>
        <w:t xml:space="preserve">The original reference for this is </w:t>
      </w:r>
      <w:proofErr w:type="spellStart"/>
      <w:r>
        <w:rPr>
          <w:rFonts w:cstheme="minorHAnsi"/>
          <w:sz w:val="20"/>
          <w:szCs w:val="20"/>
        </w:rPr>
        <w:t>Keyfitz</w:t>
      </w:r>
      <w:proofErr w:type="spellEnd"/>
      <w:r>
        <w:rPr>
          <w:rFonts w:cstheme="minorHAnsi"/>
          <w:sz w:val="20"/>
          <w:szCs w:val="20"/>
        </w:rPr>
        <w:t xml:space="preserve">, N. (1951). </w:t>
      </w:r>
      <w:r w:rsidRPr="003D358F">
        <w:rPr>
          <w:rFonts w:cstheme="minorHAnsi"/>
          <w:sz w:val="20"/>
          <w:szCs w:val="20"/>
        </w:rPr>
        <w:t>Sampling with Probabilities Proportionate to Size: Adjustment for Changes in Probabilities</w:t>
      </w:r>
      <w:r>
        <w:rPr>
          <w:rFonts w:cstheme="minorHAnsi"/>
          <w:sz w:val="20"/>
          <w:szCs w:val="20"/>
        </w:rPr>
        <w:t>.</w:t>
      </w:r>
      <w:r w:rsidRPr="003D358F">
        <w:rPr>
          <w:rFonts w:cstheme="minorHAnsi"/>
          <w:sz w:val="20"/>
          <w:szCs w:val="20"/>
        </w:rPr>
        <w:t xml:space="preserve"> </w:t>
      </w:r>
      <w:r w:rsidRPr="003D358F">
        <w:rPr>
          <w:rFonts w:cstheme="minorHAnsi"/>
          <w:i/>
          <w:sz w:val="20"/>
          <w:szCs w:val="20"/>
        </w:rPr>
        <w:t>Journal of the American Statistical Association, 46</w:t>
      </w:r>
      <w:r w:rsidRPr="003D358F">
        <w:rPr>
          <w:rFonts w:cstheme="minorHAnsi"/>
          <w:sz w:val="20"/>
          <w:szCs w:val="20"/>
        </w:rPr>
        <w:t>, 105-109. A</w:t>
      </w:r>
      <w:r>
        <w:rPr>
          <w:rFonts w:cstheme="minorHAnsi"/>
          <w:sz w:val="20"/>
          <w:szCs w:val="20"/>
        </w:rPr>
        <w:t xml:space="preserve"> comprehensive reference</w:t>
      </w:r>
      <w:r w:rsidRPr="003D358F">
        <w:rPr>
          <w:rFonts w:cstheme="minorHAnsi"/>
          <w:sz w:val="20"/>
          <w:szCs w:val="20"/>
        </w:rPr>
        <w:t xml:space="preserve"> for the later extensive work on this </w:t>
      </w:r>
      <w:r>
        <w:rPr>
          <w:rFonts w:cstheme="minorHAnsi"/>
          <w:sz w:val="20"/>
          <w:szCs w:val="20"/>
        </w:rPr>
        <w:t xml:space="preserve">(up to 1999) </w:t>
      </w:r>
      <w:r w:rsidRPr="003D358F">
        <w:rPr>
          <w:rFonts w:cstheme="minorHAnsi"/>
          <w:sz w:val="20"/>
          <w:szCs w:val="20"/>
        </w:rPr>
        <w:t xml:space="preserve">is </w:t>
      </w:r>
      <w:r>
        <w:rPr>
          <w:rFonts w:cstheme="minorHAnsi"/>
          <w:color w:val="222222"/>
          <w:sz w:val="20"/>
          <w:szCs w:val="20"/>
          <w:shd w:val="clear" w:color="auto" w:fill="FFFFFF"/>
        </w:rPr>
        <w:t>Ernst, L.</w:t>
      </w:r>
      <w:r w:rsidRPr="003D358F">
        <w:rPr>
          <w:rFonts w:cstheme="minorHAnsi"/>
          <w:color w:val="222222"/>
          <w:sz w:val="20"/>
          <w:szCs w:val="20"/>
          <w:shd w:val="clear" w:color="auto" w:fill="FFFFFF"/>
        </w:rPr>
        <w:t xml:space="preserve"> R.</w:t>
      </w:r>
      <w:r>
        <w:rPr>
          <w:rFonts w:cstheme="minorHAnsi"/>
          <w:color w:val="222222"/>
          <w:sz w:val="20"/>
          <w:szCs w:val="20"/>
          <w:shd w:val="clear" w:color="auto" w:fill="FFFFFF"/>
        </w:rPr>
        <w:t xml:space="preserve"> (1999). </w:t>
      </w:r>
      <w:r w:rsidRPr="003D358F">
        <w:rPr>
          <w:rFonts w:cstheme="minorHAnsi"/>
          <w:color w:val="222222"/>
          <w:sz w:val="20"/>
          <w:szCs w:val="20"/>
          <w:shd w:val="clear" w:color="auto" w:fill="FFFFFF"/>
        </w:rPr>
        <w:t>The maximization and minimization of sample overlap prob</w:t>
      </w:r>
      <w:r>
        <w:rPr>
          <w:rFonts w:cstheme="minorHAnsi"/>
          <w:color w:val="222222"/>
          <w:sz w:val="20"/>
          <w:szCs w:val="20"/>
          <w:shd w:val="clear" w:color="auto" w:fill="FFFFFF"/>
        </w:rPr>
        <w:t xml:space="preserve">lems: A half century of results. </w:t>
      </w:r>
      <w:r w:rsidRPr="003D358F">
        <w:rPr>
          <w:rFonts w:cstheme="minorHAnsi"/>
          <w:i/>
          <w:iCs/>
          <w:color w:val="222222"/>
          <w:sz w:val="20"/>
          <w:szCs w:val="20"/>
        </w:rPr>
        <w:t>Bulletin of the International Statistical Institute, Proceedings</w:t>
      </w:r>
      <w:r>
        <w:rPr>
          <w:rFonts w:cstheme="minorHAnsi"/>
          <w:i/>
          <w:iCs/>
          <w:color w:val="222222"/>
          <w:sz w:val="20"/>
          <w:szCs w:val="20"/>
        </w:rPr>
        <w:t>, 58.</w:t>
      </w:r>
    </w:p>
  </w:footnote>
  <w:footnote w:id="7">
    <w:p w14:paraId="3E4E1AEB" w14:textId="45EA030F" w:rsidR="009C324D" w:rsidRDefault="009C324D" w:rsidP="00AA2DB2">
      <w:pPr>
        <w:pStyle w:val="FootnoteText"/>
      </w:pPr>
      <w:r>
        <w:rPr>
          <w:rStyle w:val="FootnoteReference"/>
        </w:rPr>
        <w:footnoteRef/>
      </w:r>
      <w:r>
        <w:t xml:space="preserve"> </w:t>
      </w:r>
      <w:r w:rsidRPr="00EB527C">
        <w:t>For example, if a</w:t>
      </w:r>
      <w:r>
        <w:t xml:space="preserve"> </w:t>
      </w:r>
      <w:r w:rsidRPr="00EB527C">
        <w:t>school has</w:t>
      </w:r>
      <w:r>
        <w:t xml:space="preserve"> a</w:t>
      </w:r>
      <w:r w:rsidRPr="00EB527C">
        <w:t xml:space="preserve"> probability of selection </w:t>
      </w:r>
      <w:r>
        <w:t xml:space="preserve">of </w:t>
      </w:r>
      <w:r w:rsidRPr="00EB527C">
        <w:t xml:space="preserve">90% </w:t>
      </w:r>
      <w:r>
        <w:t>for spring 2021</w:t>
      </w:r>
      <w:r w:rsidRPr="00EB527C">
        <w:t xml:space="preserve"> and only 10% </w:t>
      </w:r>
      <w:r>
        <w:t>for spring 2022</w:t>
      </w:r>
      <w:r w:rsidRPr="00EB527C">
        <w:t xml:space="preserve">, then to assure the school really has a 10% chance of selection </w:t>
      </w:r>
      <w:r>
        <w:t>for spring 2022,</w:t>
      </w:r>
      <w:r w:rsidRPr="00EB527C">
        <w:t xml:space="preserve"> it is necessary to give the school some chance of deselection (not being selected </w:t>
      </w:r>
      <w:r>
        <w:t>for spring 2022</w:t>
      </w:r>
      <w:r w:rsidRPr="00EB527C">
        <w:t xml:space="preserve">). A fully longitudinal sample would ignore this consideration and retain the school through </w:t>
      </w:r>
      <w:r>
        <w:t>spring 2022</w:t>
      </w:r>
      <w:r w:rsidRPr="00EB527C">
        <w:t xml:space="preserve"> with its too-large chance of selection, which, when weighted would erode the precision of the cross-sectional</w:t>
      </w:r>
      <w:r>
        <w:t xml:space="preserve"> spring 2022 </w:t>
      </w:r>
      <w:r w:rsidRPr="00EB527C">
        <w:t xml:space="preserve">estimate. Under </w:t>
      </w:r>
      <w:proofErr w:type="spellStart"/>
      <w:r w:rsidRPr="00EB527C">
        <w:t>keyfitzing</w:t>
      </w:r>
      <w:proofErr w:type="spellEnd"/>
      <w:r>
        <w:t>,</w:t>
      </w:r>
      <w:r w:rsidRPr="00EB527C">
        <w:t xml:space="preserve"> the school’s weight for </w:t>
      </w:r>
      <w:r>
        <w:t>spring 2022</w:t>
      </w:r>
      <w:r w:rsidRPr="00EB527C">
        <w:t xml:space="preserve"> will reflect the correct chance of selection.</w:t>
      </w:r>
    </w:p>
  </w:footnote>
  <w:footnote w:id="8">
    <w:p w14:paraId="2574FC16" w14:textId="0C389A6F" w:rsidR="009C324D" w:rsidRDefault="009C324D" w:rsidP="0097703E">
      <w:pPr>
        <w:pStyle w:val="FootnoteText"/>
      </w:pPr>
      <w:r>
        <w:rPr>
          <w:rStyle w:val="FootnoteReference"/>
        </w:rPr>
        <w:footnoteRef/>
      </w:r>
      <w:r>
        <w:t xml:space="preserve"> </w:t>
      </w:r>
      <w:r w:rsidR="00BB4192">
        <w:t xml:space="preserve">For example: </w:t>
      </w:r>
      <w:r>
        <w:t xml:space="preserve">Epps, S.R., Jackson, R.H., Olsen, R.O., </w:t>
      </w:r>
      <w:proofErr w:type="spellStart"/>
      <w:r>
        <w:t>Shivji</w:t>
      </w:r>
      <w:proofErr w:type="spellEnd"/>
      <w:r>
        <w:t xml:space="preserve">, A., &amp; Roy, R. (2016). </w:t>
      </w:r>
      <w:r w:rsidRPr="008B66E4">
        <w:rPr>
          <w:i/>
        </w:rPr>
        <w:t>Upward Bound at 50: Reporting on Implementation Practices Today</w:t>
      </w:r>
      <w:r>
        <w:t xml:space="preserve"> (NCEE 2017-4005). Washington, DC: National Center for Education Evaluation, Institute of Education Sciences, U.S. Department of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6A88" w14:textId="77777777" w:rsidR="009C324D" w:rsidRDefault="009C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D736" w14:textId="77777777" w:rsidR="009C324D" w:rsidRDefault="009C324D" w:rsidP="00DD41BD">
    <w:pPr>
      <w:pStyle w:val="Header"/>
      <w:spacing w:line="14" w:lineRule="exact"/>
    </w:pPr>
    <w:r>
      <w:rPr>
        <w:noProof/>
      </w:rPr>
      <w:drawing>
        <wp:anchor distT="0" distB="0" distL="114300" distR="114300" simplePos="0" relativeHeight="251659264" behindDoc="1" locked="0" layoutInCell="1" allowOverlap="1" wp14:anchorId="09E537DB" wp14:editId="399C7459">
          <wp:simplePos x="0" y="0"/>
          <wp:positionH relativeFrom="column">
            <wp:posOffset>-77098</wp:posOffset>
          </wp:positionH>
          <wp:positionV relativeFrom="paragraph">
            <wp:posOffset>1928941</wp:posOffset>
          </wp:positionV>
          <wp:extent cx="6949440" cy="6721029"/>
          <wp:effectExtent l="0" t="0" r="381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49440" cy="6721029"/>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5A790" w14:textId="77777777" w:rsidR="009C324D" w:rsidRDefault="009C324D" w:rsidP="00DD41BD">
    <w:pPr>
      <w:pStyle w:val="Header"/>
      <w:ind w:left="-540" w:right="-63"/>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B2F1" w14:textId="5DD460A9" w:rsidR="009C324D" w:rsidRDefault="009C324D" w:rsidP="00DD41BD">
    <w:pPr>
      <w:pStyle w:val="Heade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7CC3C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987A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6C7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A25D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1E30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267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46C8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2CE8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FC8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830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64417"/>
    <w:multiLevelType w:val="hybridMultilevel"/>
    <w:tmpl w:val="C45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66998"/>
    <w:multiLevelType w:val="hybridMultilevel"/>
    <w:tmpl w:val="A13C2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641C4F"/>
    <w:multiLevelType w:val="hybridMultilevel"/>
    <w:tmpl w:val="62F82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E1396"/>
    <w:multiLevelType w:val="hybridMultilevel"/>
    <w:tmpl w:val="3DD6C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EB7A69"/>
    <w:multiLevelType w:val="hybridMultilevel"/>
    <w:tmpl w:val="A05EA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9092FA7"/>
    <w:multiLevelType w:val="hybridMultilevel"/>
    <w:tmpl w:val="AD6A2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6B2114"/>
    <w:multiLevelType w:val="hybridMultilevel"/>
    <w:tmpl w:val="D5F2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25AEE"/>
    <w:multiLevelType w:val="hybridMultilevel"/>
    <w:tmpl w:val="9CCCD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C83B18"/>
    <w:multiLevelType w:val="hybridMultilevel"/>
    <w:tmpl w:val="B53AE75A"/>
    <w:lvl w:ilvl="0" w:tplc="EFD0A9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F10E7"/>
    <w:multiLevelType w:val="hybridMultilevel"/>
    <w:tmpl w:val="3830D9A8"/>
    <w:lvl w:ilvl="0" w:tplc="88DA8FD8">
      <w:start w:val="1"/>
      <w:numFmt w:val="lowerLetter"/>
      <w:lvlText w:val="(%1)"/>
      <w:lvlJc w:val="left"/>
      <w:pPr>
        <w:ind w:left="1220" w:hanging="334"/>
      </w:pPr>
      <w:rPr>
        <w:rFonts w:ascii="Century" w:eastAsia="Century" w:hAnsi="Century" w:cs="Century" w:hint="default"/>
        <w:w w:val="99"/>
        <w:sz w:val="20"/>
        <w:szCs w:val="20"/>
      </w:rPr>
    </w:lvl>
    <w:lvl w:ilvl="1" w:tplc="EAB835F0">
      <w:start w:val="1"/>
      <w:numFmt w:val="decimal"/>
      <w:lvlText w:val="(%2)"/>
      <w:lvlJc w:val="left"/>
      <w:pPr>
        <w:ind w:left="1620" w:hanging="345"/>
      </w:pPr>
      <w:rPr>
        <w:rFonts w:ascii="Century" w:eastAsia="Century" w:hAnsi="Century" w:cs="Century" w:hint="default"/>
        <w:w w:val="99"/>
        <w:sz w:val="20"/>
        <w:szCs w:val="20"/>
      </w:rPr>
    </w:lvl>
    <w:lvl w:ilvl="2" w:tplc="B90A31C0">
      <w:start w:val="1"/>
      <w:numFmt w:val="upperLetter"/>
      <w:lvlText w:val="(%3)"/>
      <w:lvlJc w:val="left"/>
      <w:pPr>
        <w:ind w:left="2020" w:hanging="382"/>
      </w:pPr>
      <w:rPr>
        <w:rFonts w:ascii="Century" w:eastAsia="Century" w:hAnsi="Century" w:cs="Century" w:hint="default"/>
        <w:w w:val="99"/>
        <w:sz w:val="20"/>
        <w:szCs w:val="20"/>
      </w:rPr>
    </w:lvl>
    <w:lvl w:ilvl="3" w:tplc="FDF09C3E">
      <w:start w:val="1"/>
      <w:numFmt w:val="lowerRoman"/>
      <w:lvlText w:val="(%4)"/>
      <w:lvlJc w:val="left"/>
      <w:pPr>
        <w:ind w:left="2420" w:hanging="271"/>
      </w:pPr>
      <w:rPr>
        <w:rFonts w:ascii="Century" w:eastAsia="Century" w:hAnsi="Century" w:cs="Century" w:hint="default"/>
        <w:w w:val="100"/>
        <w:sz w:val="20"/>
        <w:szCs w:val="20"/>
      </w:rPr>
    </w:lvl>
    <w:lvl w:ilvl="4" w:tplc="898C4148">
      <w:start w:val="1"/>
      <w:numFmt w:val="upperRoman"/>
      <w:lvlText w:val="(%5)"/>
      <w:lvlJc w:val="left"/>
      <w:pPr>
        <w:ind w:left="2820" w:hanging="316"/>
      </w:pPr>
      <w:rPr>
        <w:rFonts w:ascii="Century" w:eastAsia="Century" w:hAnsi="Century" w:cs="Century" w:hint="default"/>
        <w:w w:val="99"/>
        <w:sz w:val="20"/>
        <w:szCs w:val="20"/>
      </w:rPr>
    </w:lvl>
    <w:lvl w:ilvl="5" w:tplc="BE4053D4">
      <w:numFmt w:val="bullet"/>
      <w:lvlText w:val="•"/>
      <w:lvlJc w:val="left"/>
      <w:pPr>
        <w:ind w:left="2760" w:hanging="316"/>
      </w:pPr>
      <w:rPr>
        <w:rFonts w:hint="default"/>
      </w:rPr>
    </w:lvl>
    <w:lvl w:ilvl="6" w:tplc="761441DE">
      <w:numFmt w:val="bullet"/>
      <w:lvlText w:val="•"/>
      <w:lvlJc w:val="left"/>
      <w:pPr>
        <w:ind w:left="2820" w:hanging="316"/>
      </w:pPr>
      <w:rPr>
        <w:rFonts w:hint="default"/>
      </w:rPr>
    </w:lvl>
    <w:lvl w:ilvl="7" w:tplc="2E6416CC">
      <w:numFmt w:val="bullet"/>
      <w:lvlText w:val="•"/>
      <w:lvlJc w:val="left"/>
      <w:pPr>
        <w:ind w:left="3100" w:hanging="316"/>
      </w:pPr>
      <w:rPr>
        <w:rFonts w:hint="default"/>
      </w:rPr>
    </w:lvl>
    <w:lvl w:ilvl="8" w:tplc="E3C48280">
      <w:numFmt w:val="bullet"/>
      <w:lvlText w:val="•"/>
      <w:lvlJc w:val="left"/>
      <w:pPr>
        <w:ind w:left="3729" w:hanging="316"/>
      </w:pPr>
      <w:rPr>
        <w:rFonts w:hint="default"/>
      </w:rPr>
    </w:lvl>
  </w:abstractNum>
  <w:abstractNum w:abstractNumId="22" w15:restartNumberingAfterBreak="0">
    <w:nsid w:val="4A3E79CD"/>
    <w:multiLevelType w:val="hybridMultilevel"/>
    <w:tmpl w:val="B6B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32E49"/>
    <w:multiLevelType w:val="hybridMultilevel"/>
    <w:tmpl w:val="CCCC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73098"/>
    <w:multiLevelType w:val="hybridMultilevel"/>
    <w:tmpl w:val="DE1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4505F"/>
    <w:multiLevelType w:val="hybridMultilevel"/>
    <w:tmpl w:val="B53AE75A"/>
    <w:lvl w:ilvl="0" w:tplc="EFD0A9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5C4161"/>
    <w:multiLevelType w:val="hybridMultilevel"/>
    <w:tmpl w:val="DBD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F50F5C"/>
    <w:multiLevelType w:val="hybridMultilevel"/>
    <w:tmpl w:val="015E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01703"/>
    <w:multiLevelType w:val="hybridMultilevel"/>
    <w:tmpl w:val="1AE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21981"/>
    <w:multiLevelType w:val="hybridMultilevel"/>
    <w:tmpl w:val="CEF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62DD2"/>
    <w:multiLevelType w:val="hybridMultilevel"/>
    <w:tmpl w:val="2CC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3150E"/>
    <w:multiLevelType w:val="hybridMultilevel"/>
    <w:tmpl w:val="01F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1046A"/>
    <w:multiLevelType w:val="hybridMultilevel"/>
    <w:tmpl w:val="A3629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2524B"/>
    <w:multiLevelType w:val="hybridMultilevel"/>
    <w:tmpl w:val="58229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C65A7"/>
    <w:multiLevelType w:val="hybridMultilevel"/>
    <w:tmpl w:val="CDFCB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1BC1859"/>
    <w:multiLevelType w:val="hybridMultilevel"/>
    <w:tmpl w:val="3B129538"/>
    <w:lvl w:ilvl="0" w:tplc="F438C7CE">
      <w:start w:val="1"/>
      <w:numFmt w:val="bullet"/>
      <w:pStyle w:val="TB-TableBullet"/>
      <w:lvlText w:val=""/>
      <w:lvlJc w:val="left"/>
      <w:pPr>
        <w:ind w:left="720" w:hanging="360"/>
      </w:pPr>
      <w:rPr>
        <w:rFonts w:ascii="Symbol" w:hAnsi="Symbol" w:hint="default"/>
        <w:color w:val="00467F"/>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3621F"/>
    <w:multiLevelType w:val="hybridMultilevel"/>
    <w:tmpl w:val="71DC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57C7E"/>
    <w:multiLevelType w:val="hybridMultilevel"/>
    <w:tmpl w:val="57CA5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13"/>
  </w:num>
  <w:num w:numId="5">
    <w:abstractNumId w:val="32"/>
  </w:num>
  <w:num w:numId="6">
    <w:abstractNumId w:val="34"/>
  </w:num>
  <w:num w:numId="7">
    <w:abstractNumId w:val="12"/>
  </w:num>
  <w:num w:numId="8">
    <w:abstractNumId w:val="18"/>
  </w:num>
  <w:num w:numId="9">
    <w:abstractNumId w:val="33"/>
  </w:num>
  <w:num w:numId="10">
    <w:abstractNumId w:val="10"/>
  </w:num>
  <w:num w:numId="11">
    <w:abstractNumId w:val="36"/>
  </w:num>
  <w:num w:numId="12">
    <w:abstractNumId w:val="30"/>
  </w:num>
  <w:num w:numId="13">
    <w:abstractNumId w:val="14"/>
  </w:num>
  <w:num w:numId="14">
    <w:abstractNumId w:val="20"/>
  </w:num>
  <w:num w:numId="15">
    <w:abstractNumId w:val="11"/>
  </w:num>
  <w:num w:numId="16">
    <w:abstractNumId w:val="16"/>
  </w:num>
  <w:num w:numId="17">
    <w:abstractNumId w:val="25"/>
  </w:num>
  <w:num w:numId="18">
    <w:abstractNumId w:val="19"/>
  </w:num>
  <w:num w:numId="19">
    <w:abstractNumId w:val="21"/>
  </w:num>
  <w:num w:numId="20">
    <w:abstractNumId w:val="37"/>
  </w:num>
  <w:num w:numId="21">
    <w:abstractNumId w:val="28"/>
  </w:num>
  <w:num w:numId="22">
    <w:abstractNumId w:val="35"/>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4"/>
  </w:num>
  <w:num w:numId="35">
    <w:abstractNumId w:val="14"/>
  </w:num>
  <w:num w:numId="36">
    <w:abstractNumId w:val="22"/>
  </w:num>
  <w:num w:numId="37">
    <w:abstractNumId w:val="29"/>
  </w:num>
  <w:num w:numId="38">
    <w:abstractNumId w:val="26"/>
  </w:num>
  <w:num w:numId="39">
    <w:abstractNumId w:val="15"/>
  </w:num>
  <w:num w:numId="40">
    <w:abstractNumId w:val="1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6A"/>
    <w:rsid w:val="00000880"/>
    <w:rsid w:val="000020C6"/>
    <w:rsid w:val="0000415E"/>
    <w:rsid w:val="00004B27"/>
    <w:rsid w:val="00006F7B"/>
    <w:rsid w:val="0000776D"/>
    <w:rsid w:val="00007788"/>
    <w:rsid w:val="00007AE1"/>
    <w:rsid w:val="00011465"/>
    <w:rsid w:val="00012B01"/>
    <w:rsid w:val="00013BDE"/>
    <w:rsid w:val="0001449D"/>
    <w:rsid w:val="0001757E"/>
    <w:rsid w:val="0002380E"/>
    <w:rsid w:val="0003553D"/>
    <w:rsid w:val="00037718"/>
    <w:rsid w:val="00040412"/>
    <w:rsid w:val="000444DB"/>
    <w:rsid w:val="00045621"/>
    <w:rsid w:val="00045689"/>
    <w:rsid w:val="000459D6"/>
    <w:rsid w:val="00046080"/>
    <w:rsid w:val="00047BC2"/>
    <w:rsid w:val="00051EFC"/>
    <w:rsid w:val="0005219A"/>
    <w:rsid w:val="00052A61"/>
    <w:rsid w:val="00054B09"/>
    <w:rsid w:val="00054FBF"/>
    <w:rsid w:val="000554DA"/>
    <w:rsid w:val="000578F6"/>
    <w:rsid w:val="0006095E"/>
    <w:rsid w:val="00060C3A"/>
    <w:rsid w:val="000613E3"/>
    <w:rsid w:val="000622EA"/>
    <w:rsid w:val="00062456"/>
    <w:rsid w:val="000648C1"/>
    <w:rsid w:val="00064E71"/>
    <w:rsid w:val="00070F6F"/>
    <w:rsid w:val="00074912"/>
    <w:rsid w:val="00075E9A"/>
    <w:rsid w:val="000779DC"/>
    <w:rsid w:val="00077DD9"/>
    <w:rsid w:val="000829F2"/>
    <w:rsid w:val="0008391D"/>
    <w:rsid w:val="00086793"/>
    <w:rsid w:val="00090E6C"/>
    <w:rsid w:val="00090E99"/>
    <w:rsid w:val="000966FB"/>
    <w:rsid w:val="000A098D"/>
    <w:rsid w:val="000B5645"/>
    <w:rsid w:val="000B5C91"/>
    <w:rsid w:val="000B6608"/>
    <w:rsid w:val="000B68DC"/>
    <w:rsid w:val="000B6BAD"/>
    <w:rsid w:val="000B6E66"/>
    <w:rsid w:val="000B7B43"/>
    <w:rsid w:val="000B7D16"/>
    <w:rsid w:val="000C1760"/>
    <w:rsid w:val="000C4942"/>
    <w:rsid w:val="000D0E56"/>
    <w:rsid w:val="000D6BAE"/>
    <w:rsid w:val="000D770E"/>
    <w:rsid w:val="000D7AF4"/>
    <w:rsid w:val="000D7D33"/>
    <w:rsid w:val="000E0D81"/>
    <w:rsid w:val="000E1A09"/>
    <w:rsid w:val="000E36CD"/>
    <w:rsid w:val="000E45DC"/>
    <w:rsid w:val="000E56C0"/>
    <w:rsid w:val="000E631B"/>
    <w:rsid w:val="000E7522"/>
    <w:rsid w:val="000F0664"/>
    <w:rsid w:val="000F187D"/>
    <w:rsid w:val="000F1E01"/>
    <w:rsid w:val="000F20E4"/>
    <w:rsid w:val="000F2973"/>
    <w:rsid w:val="000F6522"/>
    <w:rsid w:val="00100958"/>
    <w:rsid w:val="00100BA1"/>
    <w:rsid w:val="001040B6"/>
    <w:rsid w:val="00104BDF"/>
    <w:rsid w:val="00106F24"/>
    <w:rsid w:val="00112B6A"/>
    <w:rsid w:val="00114FB3"/>
    <w:rsid w:val="001179E2"/>
    <w:rsid w:val="00121C3B"/>
    <w:rsid w:val="00122673"/>
    <w:rsid w:val="0012296E"/>
    <w:rsid w:val="00126B4F"/>
    <w:rsid w:val="00127EC3"/>
    <w:rsid w:val="001311DA"/>
    <w:rsid w:val="001324AF"/>
    <w:rsid w:val="00132C2D"/>
    <w:rsid w:val="0013426A"/>
    <w:rsid w:val="00135348"/>
    <w:rsid w:val="001378AC"/>
    <w:rsid w:val="001406D7"/>
    <w:rsid w:val="00141B32"/>
    <w:rsid w:val="00141EDD"/>
    <w:rsid w:val="001434AC"/>
    <w:rsid w:val="00143B17"/>
    <w:rsid w:val="00146274"/>
    <w:rsid w:val="00150F5D"/>
    <w:rsid w:val="00153949"/>
    <w:rsid w:val="00153E2F"/>
    <w:rsid w:val="0015484A"/>
    <w:rsid w:val="00156C90"/>
    <w:rsid w:val="00160DD5"/>
    <w:rsid w:val="00162BC2"/>
    <w:rsid w:val="001652CA"/>
    <w:rsid w:val="00166112"/>
    <w:rsid w:val="00167610"/>
    <w:rsid w:val="001716FE"/>
    <w:rsid w:val="00172A82"/>
    <w:rsid w:val="00175FC8"/>
    <w:rsid w:val="001779A4"/>
    <w:rsid w:val="001852AD"/>
    <w:rsid w:val="00185DCC"/>
    <w:rsid w:val="001872E8"/>
    <w:rsid w:val="0018743C"/>
    <w:rsid w:val="00187D4F"/>
    <w:rsid w:val="00190C10"/>
    <w:rsid w:val="00191ADC"/>
    <w:rsid w:val="00193316"/>
    <w:rsid w:val="00196884"/>
    <w:rsid w:val="00196B78"/>
    <w:rsid w:val="00197254"/>
    <w:rsid w:val="001A2321"/>
    <w:rsid w:val="001A7795"/>
    <w:rsid w:val="001A7CCE"/>
    <w:rsid w:val="001B16A3"/>
    <w:rsid w:val="001B2CBD"/>
    <w:rsid w:val="001B4188"/>
    <w:rsid w:val="001B4337"/>
    <w:rsid w:val="001B6C27"/>
    <w:rsid w:val="001C28BC"/>
    <w:rsid w:val="001C3D0F"/>
    <w:rsid w:val="001C5A77"/>
    <w:rsid w:val="001C5CF0"/>
    <w:rsid w:val="001C63E8"/>
    <w:rsid w:val="001C700D"/>
    <w:rsid w:val="001D15FF"/>
    <w:rsid w:val="001D20EB"/>
    <w:rsid w:val="001D32BA"/>
    <w:rsid w:val="001D72E5"/>
    <w:rsid w:val="001D7892"/>
    <w:rsid w:val="001E2B94"/>
    <w:rsid w:val="001E3E29"/>
    <w:rsid w:val="001E45ED"/>
    <w:rsid w:val="001E48C6"/>
    <w:rsid w:val="001E6383"/>
    <w:rsid w:val="001E7E37"/>
    <w:rsid w:val="001F04D7"/>
    <w:rsid w:val="001F0819"/>
    <w:rsid w:val="001F133D"/>
    <w:rsid w:val="001F353F"/>
    <w:rsid w:val="001F7405"/>
    <w:rsid w:val="002008A3"/>
    <w:rsid w:val="00201CED"/>
    <w:rsid w:val="00202833"/>
    <w:rsid w:val="00205E72"/>
    <w:rsid w:val="00210B8B"/>
    <w:rsid w:val="002134AA"/>
    <w:rsid w:val="00216C4A"/>
    <w:rsid w:val="002174C9"/>
    <w:rsid w:val="002224E5"/>
    <w:rsid w:val="002229A2"/>
    <w:rsid w:val="00222A48"/>
    <w:rsid w:val="00223E46"/>
    <w:rsid w:val="002308CA"/>
    <w:rsid w:val="00231B1C"/>
    <w:rsid w:val="002355EF"/>
    <w:rsid w:val="00236E1C"/>
    <w:rsid w:val="002406C7"/>
    <w:rsid w:val="002434E0"/>
    <w:rsid w:val="002439D7"/>
    <w:rsid w:val="00246754"/>
    <w:rsid w:val="00247DBD"/>
    <w:rsid w:val="00250F33"/>
    <w:rsid w:val="002511FA"/>
    <w:rsid w:val="002526AC"/>
    <w:rsid w:val="00252B97"/>
    <w:rsid w:val="002544ED"/>
    <w:rsid w:val="002562C7"/>
    <w:rsid w:val="00261D68"/>
    <w:rsid w:val="00261FAD"/>
    <w:rsid w:val="0026290F"/>
    <w:rsid w:val="00262F6D"/>
    <w:rsid w:val="00265D63"/>
    <w:rsid w:val="002674F3"/>
    <w:rsid w:val="00270037"/>
    <w:rsid w:val="00282F63"/>
    <w:rsid w:val="00284890"/>
    <w:rsid w:val="00285B69"/>
    <w:rsid w:val="002865A7"/>
    <w:rsid w:val="0029009B"/>
    <w:rsid w:val="00293D11"/>
    <w:rsid w:val="00293D7B"/>
    <w:rsid w:val="00297253"/>
    <w:rsid w:val="002A096C"/>
    <w:rsid w:val="002A1004"/>
    <w:rsid w:val="002A1BCF"/>
    <w:rsid w:val="002A247F"/>
    <w:rsid w:val="002A35A3"/>
    <w:rsid w:val="002A4E09"/>
    <w:rsid w:val="002A7EE3"/>
    <w:rsid w:val="002B1636"/>
    <w:rsid w:val="002B2DFC"/>
    <w:rsid w:val="002B382D"/>
    <w:rsid w:val="002C2C8C"/>
    <w:rsid w:val="002C2CED"/>
    <w:rsid w:val="002C2FF6"/>
    <w:rsid w:val="002C42E4"/>
    <w:rsid w:val="002D10B1"/>
    <w:rsid w:val="002D199B"/>
    <w:rsid w:val="002D4219"/>
    <w:rsid w:val="002D439B"/>
    <w:rsid w:val="002E08AE"/>
    <w:rsid w:val="002E1323"/>
    <w:rsid w:val="002E18CE"/>
    <w:rsid w:val="002E6F4F"/>
    <w:rsid w:val="002E76E4"/>
    <w:rsid w:val="002F212C"/>
    <w:rsid w:val="002F28A9"/>
    <w:rsid w:val="002F42A2"/>
    <w:rsid w:val="002F590A"/>
    <w:rsid w:val="00301DB1"/>
    <w:rsid w:val="00301F57"/>
    <w:rsid w:val="00303C3B"/>
    <w:rsid w:val="00305E25"/>
    <w:rsid w:val="0030605A"/>
    <w:rsid w:val="00310091"/>
    <w:rsid w:val="0031354A"/>
    <w:rsid w:val="00313F65"/>
    <w:rsid w:val="0031408D"/>
    <w:rsid w:val="003147F7"/>
    <w:rsid w:val="0031621E"/>
    <w:rsid w:val="003219A3"/>
    <w:rsid w:val="00322CAF"/>
    <w:rsid w:val="0032448D"/>
    <w:rsid w:val="0033082C"/>
    <w:rsid w:val="00332774"/>
    <w:rsid w:val="00335CB7"/>
    <w:rsid w:val="00342F59"/>
    <w:rsid w:val="003433B0"/>
    <w:rsid w:val="003514BF"/>
    <w:rsid w:val="003541E6"/>
    <w:rsid w:val="003616CE"/>
    <w:rsid w:val="0036221A"/>
    <w:rsid w:val="00363C08"/>
    <w:rsid w:val="003643B7"/>
    <w:rsid w:val="00367EE0"/>
    <w:rsid w:val="003703FB"/>
    <w:rsid w:val="003763E3"/>
    <w:rsid w:val="00377B48"/>
    <w:rsid w:val="00383202"/>
    <w:rsid w:val="00383643"/>
    <w:rsid w:val="00384550"/>
    <w:rsid w:val="003877B8"/>
    <w:rsid w:val="00393464"/>
    <w:rsid w:val="00393918"/>
    <w:rsid w:val="003946A2"/>
    <w:rsid w:val="00395BC2"/>
    <w:rsid w:val="00396094"/>
    <w:rsid w:val="003A600E"/>
    <w:rsid w:val="003A6C96"/>
    <w:rsid w:val="003B19FB"/>
    <w:rsid w:val="003B532F"/>
    <w:rsid w:val="003B5CCA"/>
    <w:rsid w:val="003C248F"/>
    <w:rsid w:val="003C4368"/>
    <w:rsid w:val="003C4D57"/>
    <w:rsid w:val="003D01FF"/>
    <w:rsid w:val="003D044A"/>
    <w:rsid w:val="003D0468"/>
    <w:rsid w:val="003D2AD2"/>
    <w:rsid w:val="003D330C"/>
    <w:rsid w:val="003D358F"/>
    <w:rsid w:val="003D65D3"/>
    <w:rsid w:val="003D780B"/>
    <w:rsid w:val="003E13C5"/>
    <w:rsid w:val="003E1847"/>
    <w:rsid w:val="003E2945"/>
    <w:rsid w:val="003E5B2E"/>
    <w:rsid w:val="003F0D8D"/>
    <w:rsid w:val="003F15AA"/>
    <w:rsid w:val="003F16BB"/>
    <w:rsid w:val="003F3EAF"/>
    <w:rsid w:val="004041A9"/>
    <w:rsid w:val="00405D3E"/>
    <w:rsid w:val="00410F62"/>
    <w:rsid w:val="00411F18"/>
    <w:rsid w:val="00416799"/>
    <w:rsid w:val="00420A21"/>
    <w:rsid w:val="00423491"/>
    <w:rsid w:val="004324A6"/>
    <w:rsid w:val="00433956"/>
    <w:rsid w:val="00440D97"/>
    <w:rsid w:val="0044197A"/>
    <w:rsid w:val="00441AEB"/>
    <w:rsid w:val="004423D7"/>
    <w:rsid w:val="00450D8C"/>
    <w:rsid w:val="00452BD1"/>
    <w:rsid w:val="004634D0"/>
    <w:rsid w:val="00463EBF"/>
    <w:rsid w:val="00464ABE"/>
    <w:rsid w:val="004671A0"/>
    <w:rsid w:val="00473606"/>
    <w:rsid w:val="00475884"/>
    <w:rsid w:val="00476878"/>
    <w:rsid w:val="00480031"/>
    <w:rsid w:val="004817C3"/>
    <w:rsid w:val="0048224F"/>
    <w:rsid w:val="00483828"/>
    <w:rsid w:val="00487110"/>
    <w:rsid w:val="00493C99"/>
    <w:rsid w:val="004A089B"/>
    <w:rsid w:val="004A0CEB"/>
    <w:rsid w:val="004A3D7D"/>
    <w:rsid w:val="004A56C3"/>
    <w:rsid w:val="004A6682"/>
    <w:rsid w:val="004A69E2"/>
    <w:rsid w:val="004A6BE2"/>
    <w:rsid w:val="004B10C3"/>
    <w:rsid w:val="004B18BF"/>
    <w:rsid w:val="004B2F57"/>
    <w:rsid w:val="004B40BB"/>
    <w:rsid w:val="004B6609"/>
    <w:rsid w:val="004B6C2A"/>
    <w:rsid w:val="004B6E80"/>
    <w:rsid w:val="004C013D"/>
    <w:rsid w:val="004C2F5C"/>
    <w:rsid w:val="004C3537"/>
    <w:rsid w:val="004C4587"/>
    <w:rsid w:val="004C6EDE"/>
    <w:rsid w:val="004C7E1A"/>
    <w:rsid w:val="004D0DB6"/>
    <w:rsid w:val="004D31C5"/>
    <w:rsid w:val="004D4FB0"/>
    <w:rsid w:val="004D5C24"/>
    <w:rsid w:val="004D6ABE"/>
    <w:rsid w:val="004D718E"/>
    <w:rsid w:val="004E1B05"/>
    <w:rsid w:val="004E1FDB"/>
    <w:rsid w:val="004E63C0"/>
    <w:rsid w:val="004F0651"/>
    <w:rsid w:val="004F23CE"/>
    <w:rsid w:val="004F3924"/>
    <w:rsid w:val="004F4441"/>
    <w:rsid w:val="004F4CA5"/>
    <w:rsid w:val="004F75EA"/>
    <w:rsid w:val="005008AD"/>
    <w:rsid w:val="00502753"/>
    <w:rsid w:val="00502785"/>
    <w:rsid w:val="00504896"/>
    <w:rsid w:val="00505CB7"/>
    <w:rsid w:val="00506F21"/>
    <w:rsid w:val="00510F12"/>
    <w:rsid w:val="00511DE9"/>
    <w:rsid w:val="00512069"/>
    <w:rsid w:val="00512272"/>
    <w:rsid w:val="005226F7"/>
    <w:rsid w:val="00522E60"/>
    <w:rsid w:val="00524001"/>
    <w:rsid w:val="00525C44"/>
    <w:rsid w:val="005311A2"/>
    <w:rsid w:val="005337EF"/>
    <w:rsid w:val="005339E1"/>
    <w:rsid w:val="00534D9E"/>
    <w:rsid w:val="00535F18"/>
    <w:rsid w:val="00537DCF"/>
    <w:rsid w:val="005411D8"/>
    <w:rsid w:val="005422C9"/>
    <w:rsid w:val="00543642"/>
    <w:rsid w:val="005436CD"/>
    <w:rsid w:val="00544BDE"/>
    <w:rsid w:val="00545B8C"/>
    <w:rsid w:val="005478CD"/>
    <w:rsid w:val="00553614"/>
    <w:rsid w:val="00553F8F"/>
    <w:rsid w:val="005543AA"/>
    <w:rsid w:val="0055666D"/>
    <w:rsid w:val="0056382B"/>
    <w:rsid w:val="00570E1D"/>
    <w:rsid w:val="00571CDF"/>
    <w:rsid w:val="00573D52"/>
    <w:rsid w:val="005775B1"/>
    <w:rsid w:val="005801FD"/>
    <w:rsid w:val="0058202D"/>
    <w:rsid w:val="00582E7D"/>
    <w:rsid w:val="00583EE7"/>
    <w:rsid w:val="00584A29"/>
    <w:rsid w:val="005859A7"/>
    <w:rsid w:val="00592976"/>
    <w:rsid w:val="00592BF2"/>
    <w:rsid w:val="005975F4"/>
    <w:rsid w:val="005A1EE5"/>
    <w:rsid w:val="005B4738"/>
    <w:rsid w:val="005B4FC8"/>
    <w:rsid w:val="005B537E"/>
    <w:rsid w:val="005B598B"/>
    <w:rsid w:val="005B7BE0"/>
    <w:rsid w:val="005C368A"/>
    <w:rsid w:val="005C4258"/>
    <w:rsid w:val="005C6889"/>
    <w:rsid w:val="005D1BAC"/>
    <w:rsid w:val="005D396D"/>
    <w:rsid w:val="005D5DD8"/>
    <w:rsid w:val="005D6863"/>
    <w:rsid w:val="005E25B9"/>
    <w:rsid w:val="005E26DF"/>
    <w:rsid w:val="005E2F07"/>
    <w:rsid w:val="005E3681"/>
    <w:rsid w:val="005E3AF6"/>
    <w:rsid w:val="005F15A0"/>
    <w:rsid w:val="005F1F02"/>
    <w:rsid w:val="005F3B2E"/>
    <w:rsid w:val="005F3CB6"/>
    <w:rsid w:val="005F3E19"/>
    <w:rsid w:val="005F5AE0"/>
    <w:rsid w:val="005F602A"/>
    <w:rsid w:val="00600820"/>
    <w:rsid w:val="0060315E"/>
    <w:rsid w:val="006044A6"/>
    <w:rsid w:val="00604A42"/>
    <w:rsid w:val="006052B1"/>
    <w:rsid w:val="00605EBD"/>
    <w:rsid w:val="006160D9"/>
    <w:rsid w:val="00616FD5"/>
    <w:rsid w:val="0062133E"/>
    <w:rsid w:val="00624E9C"/>
    <w:rsid w:val="00625977"/>
    <w:rsid w:val="0062685D"/>
    <w:rsid w:val="00631526"/>
    <w:rsid w:val="00631CD4"/>
    <w:rsid w:val="00632712"/>
    <w:rsid w:val="00633D05"/>
    <w:rsid w:val="00635CF0"/>
    <w:rsid w:val="006414BE"/>
    <w:rsid w:val="00643125"/>
    <w:rsid w:val="006439B5"/>
    <w:rsid w:val="006464ED"/>
    <w:rsid w:val="0065007F"/>
    <w:rsid w:val="0065177A"/>
    <w:rsid w:val="00652EFB"/>
    <w:rsid w:val="00663C7C"/>
    <w:rsid w:val="00663EE5"/>
    <w:rsid w:val="006678F1"/>
    <w:rsid w:val="0067121B"/>
    <w:rsid w:val="006722E4"/>
    <w:rsid w:val="00676F7C"/>
    <w:rsid w:val="006770E4"/>
    <w:rsid w:val="006779EF"/>
    <w:rsid w:val="006825A5"/>
    <w:rsid w:val="00682AD0"/>
    <w:rsid w:val="006849CF"/>
    <w:rsid w:val="00684C81"/>
    <w:rsid w:val="00684FDE"/>
    <w:rsid w:val="006858E4"/>
    <w:rsid w:val="00686032"/>
    <w:rsid w:val="00692582"/>
    <w:rsid w:val="00696694"/>
    <w:rsid w:val="00697823"/>
    <w:rsid w:val="006A00B7"/>
    <w:rsid w:val="006A17FF"/>
    <w:rsid w:val="006A397A"/>
    <w:rsid w:val="006A62C7"/>
    <w:rsid w:val="006A76A5"/>
    <w:rsid w:val="006B16F9"/>
    <w:rsid w:val="006B254D"/>
    <w:rsid w:val="006B5A68"/>
    <w:rsid w:val="006B662D"/>
    <w:rsid w:val="006B79E9"/>
    <w:rsid w:val="006C0255"/>
    <w:rsid w:val="006C351A"/>
    <w:rsid w:val="006C445C"/>
    <w:rsid w:val="006C7CAF"/>
    <w:rsid w:val="006D2928"/>
    <w:rsid w:val="006D593B"/>
    <w:rsid w:val="006E19B5"/>
    <w:rsid w:val="006E3748"/>
    <w:rsid w:val="006E4FF3"/>
    <w:rsid w:val="006E50E8"/>
    <w:rsid w:val="006E5204"/>
    <w:rsid w:val="006E5B8F"/>
    <w:rsid w:val="006F0CD6"/>
    <w:rsid w:val="006F1659"/>
    <w:rsid w:val="006F16AC"/>
    <w:rsid w:val="006F32A1"/>
    <w:rsid w:val="006F3FEB"/>
    <w:rsid w:val="007022AB"/>
    <w:rsid w:val="0071310C"/>
    <w:rsid w:val="00714958"/>
    <w:rsid w:val="00717033"/>
    <w:rsid w:val="0072222E"/>
    <w:rsid w:val="0072272B"/>
    <w:rsid w:val="007233E7"/>
    <w:rsid w:val="00725D4B"/>
    <w:rsid w:val="007260CD"/>
    <w:rsid w:val="00727573"/>
    <w:rsid w:val="00730034"/>
    <w:rsid w:val="0073168D"/>
    <w:rsid w:val="007332D3"/>
    <w:rsid w:val="007350D7"/>
    <w:rsid w:val="0073584B"/>
    <w:rsid w:val="00736422"/>
    <w:rsid w:val="00743B37"/>
    <w:rsid w:val="007457F7"/>
    <w:rsid w:val="00746CB4"/>
    <w:rsid w:val="00750836"/>
    <w:rsid w:val="00753462"/>
    <w:rsid w:val="00753786"/>
    <w:rsid w:val="00755CCF"/>
    <w:rsid w:val="00755FE4"/>
    <w:rsid w:val="007566E3"/>
    <w:rsid w:val="00757068"/>
    <w:rsid w:val="00757388"/>
    <w:rsid w:val="00757DA2"/>
    <w:rsid w:val="00763116"/>
    <w:rsid w:val="00763218"/>
    <w:rsid w:val="0076442D"/>
    <w:rsid w:val="00767499"/>
    <w:rsid w:val="00767698"/>
    <w:rsid w:val="00770778"/>
    <w:rsid w:val="00773529"/>
    <w:rsid w:val="00776FBE"/>
    <w:rsid w:val="00777462"/>
    <w:rsid w:val="0078005B"/>
    <w:rsid w:val="0078030A"/>
    <w:rsid w:val="00780A51"/>
    <w:rsid w:val="00780ECD"/>
    <w:rsid w:val="00790ECF"/>
    <w:rsid w:val="00791D5E"/>
    <w:rsid w:val="00791EDC"/>
    <w:rsid w:val="00791FDE"/>
    <w:rsid w:val="00795B4C"/>
    <w:rsid w:val="00797170"/>
    <w:rsid w:val="007A008F"/>
    <w:rsid w:val="007A1660"/>
    <w:rsid w:val="007A1B99"/>
    <w:rsid w:val="007A4B81"/>
    <w:rsid w:val="007A7C94"/>
    <w:rsid w:val="007B3DC3"/>
    <w:rsid w:val="007B435A"/>
    <w:rsid w:val="007B6662"/>
    <w:rsid w:val="007B7AE4"/>
    <w:rsid w:val="007C4BEB"/>
    <w:rsid w:val="007C61E0"/>
    <w:rsid w:val="007D0F42"/>
    <w:rsid w:val="007D245F"/>
    <w:rsid w:val="007D56EB"/>
    <w:rsid w:val="007D5C12"/>
    <w:rsid w:val="007D62D3"/>
    <w:rsid w:val="007E0AC6"/>
    <w:rsid w:val="007F2468"/>
    <w:rsid w:val="007F383E"/>
    <w:rsid w:val="007F512A"/>
    <w:rsid w:val="007F7ABB"/>
    <w:rsid w:val="00802D2F"/>
    <w:rsid w:val="00805703"/>
    <w:rsid w:val="0081081C"/>
    <w:rsid w:val="00813E29"/>
    <w:rsid w:val="0081595A"/>
    <w:rsid w:val="00815A74"/>
    <w:rsid w:val="008162E6"/>
    <w:rsid w:val="0081703A"/>
    <w:rsid w:val="008217AE"/>
    <w:rsid w:val="00824301"/>
    <w:rsid w:val="0083186F"/>
    <w:rsid w:val="0083506B"/>
    <w:rsid w:val="00835432"/>
    <w:rsid w:val="00835BB8"/>
    <w:rsid w:val="008366DE"/>
    <w:rsid w:val="0083677B"/>
    <w:rsid w:val="008377CD"/>
    <w:rsid w:val="00843629"/>
    <w:rsid w:val="00845905"/>
    <w:rsid w:val="00845D89"/>
    <w:rsid w:val="008468CB"/>
    <w:rsid w:val="0084786F"/>
    <w:rsid w:val="00850CC8"/>
    <w:rsid w:val="00854AC9"/>
    <w:rsid w:val="00855C4C"/>
    <w:rsid w:val="00862628"/>
    <w:rsid w:val="0087089A"/>
    <w:rsid w:val="00872DB5"/>
    <w:rsid w:val="00873E97"/>
    <w:rsid w:val="00874BF6"/>
    <w:rsid w:val="0087519D"/>
    <w:rsid w:val="008751BC"/>
    <w:rsid w:val="0087665C"/>
    <w:rsid w:val="008778AE"/>
    <w:rsid w:val="008805C2"/>
    <w:rsid w:val="0088067F"/>
    <w:rsid w:val="00882B1D"/>
    <w:rsid w:val="00883109"/>
    <w:rsid w:val="008848FB"/>
    <w:rsid w:val="0088600B"/>
    <w:rsid w:val="00886DE2"/>
    <w:rsid w:val="00887841"/>
    <w:rsid w:val="00887F08"/>
    <w:rsid w:val="008900B8"/>
    <w:rsid w:val="008914F6"/>
    <w:rsid w:val="008919D6"/>
    <w:rsid w:val="00896BF6"/>
    <w:rsid w:val="00896CBD"/>
    <w:rsid w:val="00897136"/>
    <w:rsid w:val="008A1A64"/>
    <w:rsid w:val="008A327E"/>
    <w:rsid w:val="008A36AB"/>
    <w:rsid w:val="008A66CE"/>
    <w:rsid w:val="008A6D13"/>
    <w:rsid w:val="008B0365"/>
    <w:rsid w:val="008B17D9"/>
    <w:rsid w:val="008B2C56"/>
    <w:rsid w:val="008B5BFC"/>
    <w:rsid w:val="008B5D44"/>
    <w:rsid w:val="008C1EF1"/>
    <w:rsid w:val="008C1FDB"/>
    <w:rsid w:val="008C3715"/>
    <w:rsid w:val="008C37BE"/>
    <w:rsid w:val="008C4302"/>
    <w:rsid w:val="008C48C8"/>
    <w:rsid w:val="008C629C"/>
    <w:rsid w:val="008D04B0"/>
    <w:rsid w:val="008D0949"/>
    <w:rsid w:val="008D1A8C"/>
    <w:rsid w:val="008D3283"/>
    <w:rsid w:val="008D336C"/>
    <w:rsid w:val="008E05B6"/>
    <w:rsid w:val="008E2BBE"/>
    <w:rsid w:val="008E4588"/>
    <w:rsid w:val="008E6A71"/>
    <w:rsid w:val="008E7CD0"/>
    <w:rsid w:val="008F1C3C"/>
    <w:rsid w:val="008F3555"/>
    <w:rsid w:val="008F605F"/>
    <w:rsid w:val="008F64B5"/>
    <w:rsid w:val="008F73B7"/>
    <w:rsid w:val="008F79DB"/>
    <w:rsid w:val="008F7A3A"/>
    <w:rsid w:val="009001B8"/>
    <w:rsid w:val="00901C81"/>
    <w:rsid w:val="00903FBB"/>
    <w:rsid w:val="00905AAC"/>
    <w:rsid w:val="00906561"/>
    <w:rsid w:val="00906CC5"/>
    <w:rsid w:val="00907269"/>
    <w:rsid w:val="00907B18"/>
    <w:rsid w:val="00907E97"/>
    <w:rsid w:val="009159C7"/>
    <w:rsid w:val="00915D48"/>
    <w:rsid w:val="009171D7"/>
    <w:rsid w:val="009203C1"/>
    <w:rsid w:val="00920AAF"/>
    <w:rsid w:val="00921044"/>
    <w:rsid w:val="009210A5"/>
    <w:rsid w:val="00922083"/>
    <w:rsid w:val="009220BB"/>
    <w:rsid w:val="00922BE7"/>
    <w:rsid w:val="00924337"/>
    <w:rsid w:val="00924AE4"/>
    <w:rsid w:val="00925457"/>
    <w:rsid w:val="00926A05"/>
    <w:rsid w:val="009300E2"/>
    <w:rsid w:val="00932FEF"/>
    <w:rsid w:val="00933C71"/>
    <w:rsid w:val="00933EF0"/>
    <w:rsid w:val="009370AB"/>
    <w:rsid w:val="00942697"/>
    <w:rsid w:val="009436F3"/>
    <w:rsid w:val="009503C1"/>
    <w:rsid w:val="00952A75"/>
    <w:rsid w:val="0095766F"/>
    <w:rsid w:val="00961545"/>
    <w:rsid w:val="00962ADD"/>
    <w:rsid w:val="009651AB"/>
    <w:rsid w:val="00967872"/>
    <w:rsid w:val="009711DC"/>
    <w:rsid w:val="0097703E"/>
    <w:rsid w:val="0098368D"/>
    <w:rsid w:val="00985408"/>
    <w:rsid w:val="00986E8F"/>
    <w:rsid w:val="00990450"/>
    <w:rsid w:val="00993833"/>
    <w:rsid w:val="00993B4E"/>
    <w:rsid w:val="0099557D"/>
    <w:rsid w:val="009A1A85"/>
    <w:rsid w:val="009A227A"/>
    <w:rsid w:val="009B56C7"/>
    <w:rsid w:val="009B6978"/>
    <w:rsid w:val="009B70BC"/>
    <w:rsid w:val="009C1A55"/>
    <w:rsid w:val="009C324D"/>
    <w:rsid w:val="009C35EE"/>
    <w:rsid w:val="009C3980"/>
    <w:rsid w:val="009D1E28"/>
    <w:rsid w:val="009D457D"/>
    <w:rsid w:val="009D6297"/>
    <w:rsid w:val="009E27ED"/>
    <w:rsid w:val="009E4767"/>
    <w:rsid w:val="009E75FE"/>
    <w:rsid w:val="009F20DE"/>
    <w:rsid w:val="009F21A5"/>
    <w:rsid w:val="009F24E2"/>
    <w:rsid w:val="009F29F1"/>
    <w:rsid w:val="009F2B88"/>
    <w:rsid w:val="009F3EA6"/>
    <w:rsid w:val="009F4406"/>
    <w:rsid w:val="00A01A04"/>
    <w:rsid w:val="00A02335"/>
    <w:rsid w:val="00A0438D"/>
    <w:rsid w:val="00A076E3"/>
    <w:rsid w:val="00A110E6"/>
    <w:rsid w:val="00A142D5"/>
    <w:rsid w:val="00A1460B"/>
    <w:rsid w:val="00A17AFA"/>
    <w:rsid w:val="00A206E8"/>
    <w:rsid w:val="00A214E4"/>
    <w:rsid w:val="00A21516"/>
    <w:rsid w:val="00A21E80"/>
    <w:rsid w:val="00A23E1F"/>
    <w:rsid w:val="00A2426D"/>
    <w:rsid w:val="00A24DE3"/>
    <w:rsid w:val="00A25A8D"/>
    <w:rsid w:val="00A267A5"/>
    <w:rsid w:val="00A26D29"/>
    <w:rsid w:val="00A30D75"/>
    <w:rsid w:val="00A31600"/>
    <w:rsid w:val="00A31FC7"/>
    <w:rsid w:val="00A33A50"/>
    <w:rsid w:val="00A33CAA"/>
    <w:rsid w:val="00A3484B"/>
    <w:rsid w:val="00A36017"/>
    <w:rsid w:val="00A3733F"/>
    <w:rsid w:val="00A43172"/>
    <w:rsid w:val="00A46053"/>
    <w:rsid w:val="00A52587"/>
    <w:rsid w:val="00A54335"/>
    <w:rsid w:val="00A56B8A"/>
    <w:rsid w:val="00A57D49"/>
    <w:rsid w:val="00A57EB5"/>
    <w:rsid w:val="00A62DE7"/>
    <w:rsid w:val="00A64CB8"/>
    <w:rsid w:val="00A65C38"/>
    <w:rsid w:val="00A67D3A"/>
    <w:rsid w:val="00A77609"/>
    <w:rsid w:val="00A812CA"/>
    <w:rsid w:val="00A81A1C"/>
    <w:rsid w:val="00A824E8"/>
    <w:rsid w:val="00A86B86"/>
    <w:rsid w:val="00A90A14"/>
    <w:rsid w:val="00A930A3"/>
    <w:rsid w:val="00A94B75"/>
    <w:rsid w:val="00A95534"/>
    <w:rsid w:val="00A96669"/>
    <w:rsid w:val="00AA0B1A"/>
    <w:rsid w:val="00AA1573"/>
    <w:rsid w:val="00AA2DB2"/>
    <w:rsid w:val="00AA32D8"/>
    <w:rsid w:val="00AA34C7"/>
    <w:rsid w:val="00AA46E1"/>
    <w:rsid w:val="00AA4E1A"/>
    <w:rsid w:val="00AA5E25"/>
    <w:rsid w:val="00AA6912"/>
    <w:rsid w:val="00AA6E75"/>
    <w:rsid w:val="00AA73B7"/>
    <w:rsid w:val="00AB03D1"/>
    <w:rsid w:val="00AB06C8"/>
    <w:rsid w:val="00AB3100"/>
    <w:rsid w:val="00AB3D87"/>
    <w:rsid w:val="00AB61A0"/>
    <w:rsid w:val="00AC1B03"/>
    <w:rsid w:val="00AC3892"/>
    <w:rsid w:val="00AC38A6"/>
    <w:rsid w:val="00AC48F9"/>
    <w:rsid w:val="00AC4EDF"/>
    <w:rsid w:val="00AC6563"/>
    <w:rsid w:val="00AD0216"/>
    <w:rsid w:val="00AD03E8"/>
    <w:rsid w:val="00AD33BA"/>
    <w:rsid w:val="00AD3FB6"/>
    <w:rsid w:val="00AE3C35"/>
    <w:rsid w:val="00AE4174"/>
    <w:rsid w:val="00AF3B81"/>
    <w:rsid w:val="00AF6069"/>
    <w:rsid w:val="00B005BD"/>
    <w:rsid w:val="00B01AE6"/>
    <w:rsid w:val="00B0291B"/>
    <w:rsid w:val="00B03EC7"/>
    <w:rsid w:val="00B0581B"/>
    <w:rsid w:val="00B076E9"/>
    <w:rsid w:val="00B1082C"/>
    <w:rsid w:val="00B1186A"/>
    <w:rsid w:val="00B145BA"/>
    <w:rsid w:val="00B20712"/>
    <w:rsid w:val="00B2100F"/>
    <w:rsid w:val="00B22AF8"/>
    <w:rsid w:val="00B22BE4"/>
    <w:rsid w:val="00B23917"/>
    <w:rsid w:val="00B23C15"/>
    <w:rsid w:val="00B24037"/>
    <w:rsid w:val="00B27835"/>
    <w:rsid w:val="00B3100C"/>
    <w:rsid w:val="00B34385"/>
    <w:rsid w:val="00B3645F"/>
    <w:rsid w:val="00B37428"/>
    <w:rsid w:val="00B37862"/>
    <w:rsid w:val="00B37A4C"/>
    <w:rsid w:val="00B42241"/>
    <w:rsid w:val="00B422C1"/>
    <w:rsid w:val="00B43AE7"/>
    <w:rsid w:val="00B445EB"/>
    <w:rsid w:val="00B44D92"/>
    <w:rsid w:val="00B51544"/>
    <w:rsid w:val="00B52BF4"/>
    <w:rsid w:val="00B546AE"/>
    <w:rsid w:val="00B5797B"/>
    <w:rsid w:val="00B606A4"/>
    <w:rsid w:val="00B61DCE"/>
    <w:rsid w:val="00B61FC4"/>
    <w:rsid w:val="00B624DF"/>
    <w:rsid w:val="00B63440"/>
    <w:rsid w:val="00B65398"/>
    <w:rsid w:val="00B655D8"/>
    <w:rsid w:val="00B6587A"/>
    <w:rsid w:val="00B66909"/>
    <w:rsid w:val="00B674C1"/>
    <w:rsid w:val="00B71095"/>
    <w:rsid w:val="00B71A64"/>
    <w:rsid w:val="00B72138"/>
    <w:rsid w:val="00B72B22"/>
    <w:rsid w:val="00B7667F"/>
    <w:rsid w:val="00B77250"/>
    <w:rsid w:val="00B80948"/>
    <w:rsid w:val="00B82E60"/>
    <w:rsid w:val="00B84F12"/>
    <w:rsid w:val="00B8540D"/>
    <w:rsid w:val="00B856D3"/>
    <w:rsid w:val="00B8645D"/>
    <w:rsid w:val="00B865EF"/>
    <w:rsid w:val="00B92AC8"/>
    <w:rsid w:val="00B92F4F"/>
    <w:rsid w:val="00B95AF8"/>
    <w:rsid w:val="00BA22F6"/>
    <w:rsid w:val="00BA33FA"/>
    <w:rsid w:val="00BA4A44"/>
    <w:rsid w:val="00BB07DE"/>
    <w:rsid w:val="00BB0F45"/>
    <w:rsid w:val="00BB3CE2"/>
    <w:rsid w:val="00BB4192"/>
    <w:rsid w:val="00BB481A"/>
    <w:rsid w:val="00BB4B96"/>
    <w:rsid w:val="00BC4588"/>
    <w:rsid w:val="00BC45AB"/>
    <w:rsid w:val="00BC6575"/>
    <w:rsid w:val="00BC7556"/>
    <w:rsid w:val="00BD7771"/>
    <w:rsid w:val="00BD7D1C"/>
    <w:rsid w:val="00BE3B5F"/>
    <w:rsid w:val="00BE5291"/>
    <w:rsid w:val="00BE7236"/>
    <w:rsid w:val="00BF399F"/>
    <w:rsid w:val="00BF3FA7"/>
    <w:rsid w:val="00C005FD"/>
    <w:rsid w:val="00C03138"/>
    <w:rsid w:val="00C13581"/>
    <w:rsid w:val="00C22BBE"/>
    <w:rsid w:val="00C22DED"/>
    <w:rsid w:val="00C2574A"/>
    <w:rsid w:val="00C25B47"/>
    <w:rsid w:val="00C260CC"/>
    <w:rsid w:val="00C26C28"/>
    <w:rsid w:val="00C350A1"/>
    <w:rsid w:val="00C4144B"/>
    <w:rsid w:val="00C43C92"/>
    <w:rsid w:val="00C463F8"/>
    <w:rsid w:val="00C47A41"/>
    <w:rsid w:val="00C47F83"/>
    <w:rsid w:val="00C50D94"/>
    <w:rsid w:val="00C5113D"/>
    <w:rsid w:val="00C5421F"/>
    <w:rsid w:val="00C6331F"/>
    <w:rsid w:val="00C658B1"/>
    <w:rsid w:val="00C659FB"/>
    <w:rsid w:val="00C6743B"/>
    <w:rsid w:val="00C73332"/>
    <w:rsid w:val="00C74FB7"/>
    <w:rsid w:val="00C75397"/>
    <w:rsid w:val="00C85F77"/>
    <w:rsid w:val="00C866EB"/>
    <w:rsid w:val="00C8786B"/>
    <w:rsid w:val="00C878E6"/>
    <w:rsid w:val="00C91B41"/>
    <w:rsid w:val="00C91D15"/>
    <w:rsid w:val="00C9250A"/>
    <w:rsid w:val="00C95103"/>
    <w:rsid w:val="00C9529B"/>
    <w:rsid w:val="00C96077"/>
    <w:rsid w:val="00C96C1A"/>
    <w:rsid w:val="00C97406"/>
    <w:rsid w:val="00CA59FB"/>
    <w:rsid w:val="00CA7276"/>
    <w:rsid w:val="00CB01AB"/>
    <w:rsid w:val="00CB0C13"/>
    <w:rsid w:val="00CB22D4"/>
    <w:rsid w:val="00CB2DEB"/>
    <w:rsid w:val="00CB2E02"/>
    <w:rsid w:val="00CB590B"/>
    <w:rsid w:val="00CB5A4E"/>
    <w:rsid w:val="00CB5DF6"/>
    <w:rsid w:val="00CC0F8C"/>
    <w:rsid w:val="00CC1D08"/>
    <w:rsid w:val="00CC5907"/>
    <w:rsid w:val="00CC6670"/>
    <w:rsid w:val="00CC7260"/>
    <w:rsid w:val="00CC7B54"/>
    <w:rsid w:val="00CD06CD"/>
    <w:rsid w:val="00CD16AA"/>
    <w:rsid w:val="00CD17C8"/>
    <w:rsid w:val="00CD1E8B"/>
    <w:rsid w:val="00CD43C5"/>
    <w:rsid w:val="00CE0587"/>
    <w:rsid w:val="00CE0645"/>
    <w:rsid w:val="00CE140E"/>
    <w:rsid w:val="00CE2BFA"/>
    <w:rsid w:val="00CE2F88"/>
    <w:rsid w:val="00CF0FF3"/>
    <w:rsid w:val="00CF75C1"/>
    <w:rsid w:val="00D016E9"/>
    <w:rsid w:val="00D01FB1"/>
    <w:rsid w:val="00D04902"/>
    <w:rsid w:val="00D066CF"/>
    <w:rsid w:val="00D11C4A"/>
    <w:rsid w:val="00D138A7"/>
    <w:rsid w:val="00D14703"/>
    <w:rsid w:val="00D178E0"/>
    <w:rsid w:val="00D42232"/>
    <w:rsid w:val="00D429DE"/>
    <w:rsid w:val="00D47B94"/>
    <w:rsid w:val="00D504EC"/>
    <w:rsid w:val="00D542B7"/>
    <w:rsid w:val="00D5474B"/>
    <w:rsid w:val="00D55F7B"/>
    <w:rsid w:val="00D56265"/>
    <w:rsid w:val="00D56D2E"/>
    <w:rsid w:val="00D60B48"/>
    <w:rsid w:val="00D62D20"/>
    <w:rsid w:val="00D63643"/>
    <w:rsid w:val="00D75DDF"/>
    <w:rsid w:val="00D77486"/>
    <w:rsid w:val="00D77E78"/>
    <w:rsid w:val="00D8023D"/>
    <w:rsid w:val="00D80D8E"/>
    <w:rsid w:val="00D83CF9"/>
    <w:rsid w:val="00D84CF5"/>
    <w:rsid w:val="00D8779B"/>
    <w:rsid w:val="00D912F3"/>
    <w:rsid w:val="00D91A0F"/>
    <w:rsid w:val="00D9451D"/>
    <w:rsid w:val="00D9461B"/>
    <w:rsid w:val="00D95FAE"/>
    <w:rsid w:val="00D966FC"/>
    <w:rsid w:val="00D97496"/>
    <w:rsid w:val="00DA11E1"/>
    <w:rsid w:val="00DA1398"/>
    <w:rsid w:val="00DA149E"/>
    <w:rsid w:val="00DA2A74"/>
    <w:rsid w:val="00DA37F8"/>
    <w:rsid w:val="00DA4730"/>
    <w:rsid w:val="00DA72A4"/>
    <w:rsid w:val="00DA7501"/>
    <w:rsid w:val="00DB32A4"/>
    <w:rsid w:val="00DB7F6F"/>
    <w:rsid w:val="00DC50D7"/>
    <w:rsid w:val="00DC77B1"/>
    <w:rsid w:val="00DD1730"/>
    <w:rsid w:val="00DD2608"/>
    <w:rsid w:val="00DD26BA"/>
    <w:rsid w:val="00DD41BD"/>
    <w:rsid w:val="00DD7FF3"/>
    <w:rsid w:val="00DE21AD"/>
    <w:rsid w:val="00DE2224"/>
    <w:rsid w:val="00DE300E"/>
    <w:rsid w:val="00DE4160"/>
    <w:rsid w:val="00DF627F"/>
    <w:rsid w:val="00DF7A56"/>
    <w:rsid w:val="00E05007"/>
    <w:rsid w:val="00E06630"/>
    <w:rsid w:val="00E067A7"/>
    <w:rsid w:val="00E1182E"/>
    <w:rsid w:val="00E14843"/>
    <w:rsid w:val="00E14A32"/>
    <w:rsid w:val="00E16F71"/>
    <w:rsid w:val="00E1792E"/>
    <w:rsid w:val="00E206D7"/>
    <w:rsid w:val="00E20F50"/>
    <w:rsid w:val="00E22A41"/>
    <w:rsid w:val="00E2366D"/>
    <w:rsid w:val="00E24ADA"/>
    <w:rsid w:val="00E3273B"/>
    <w:rsid w:val="00E37190"/>
    <w:rsid w:val="00E37279"/>
    <w:rsid w:val="00E42600"/>
    <w:rsid w:val="00E4523E"/>
    <w:rsid w:val="00E463EC"/>
    <w:rsid w:val="00E5013F"/>
    <w:rsid w:val="00E57434"/>
    <w:rsid w:val="00E62416"/>
    <w:rsid w:val="00E6396F"/>
    <w:rsid w:val="00E65591"/>
    <w:rsid w:val="00E66321"/>
    <w:rsid w:val="00E712A3"/>
    <w:rsid w:val="00E71D3E"/>
    <w:rsid w:val="00E73063"/>
    <w:rsid w:val="00E75FA9"/>
    <w:rsid w:val="00E766A6"/>
    <w:rsid w:val="00E86FCC"/>
    <w:rsid w:val="00E9177A"/>
    <w:rsid w:val="00E91B8E"/>
    <w:rsid w:val="00E95EA6"/>
    <w:rsid w:val="00E97811"/>
    <w:rsid w:val="00E97A0C"/>
    <w:rsid w:val="00E97B68"/>
    <w:rsid w:val="00EA2299"/>
    <w:rsid w:val="00EA3B0E"/>
    <w:rsid w:val="00EA5690"/>
    <w:rsid w:val="00EA6BC9"/>
    <w:rsid w:val="00EA7471"/>
    <w:rsid w:val="00EB050B"/>
    <w:rsid w:val="00EB07FF"/>
    <w:rsid w:val="00EB63E6"/>
    <w:rsid w:val="00EC21E4"/>
    <w:rsid w:val="00EC2625"/>
    <w:rsid w:val="00EC454E"/>
    <w:rsid w:val="00EC4E93"/>
    <w:rsid w:val="00EC584B"/>
    <w:rsid w:val="00EC5885"/>
    <w:rsid w:val="00EC6E9E"/>
    <w:rsid w:val="00ED6467"/>
    <w:rsid w:val="00ED7309"/>
    <w:rsid w:val="00EE0CEC"/>
    <w:rsid w:val="00EE2BD4"/>
    <w:rsid w:val="00EE34B9"/>
    <w:rsid w:val="00EE38E8"/>
    <w:rsid w:val="00EE5082"/>
    <w:rsid w:val="00EE6507"/>
    <w:rsid w:val="00EF5371"/>
    <w:rsid w:val="00EF6B62"/>
    <w:rsid w:val="00EF70E6"/>
    <w:rsid w:val="00F002A5"/>
    <w:rsid w:val="00F04182"/>
    <w:rsid w:val="00F06285"/>
    <w:rsid w:val="00F06663"/>
    <w:rsid w:val="00F20981"/>
    <w:rsid w:val="00F2200B"/>
    <w:rsid w:val="00F226BE"/>
    <w:rsid w:val="00F233A8"/>
    <w:rsid w:val="00F24047"/>
    <w:rsid w:val="00F26086"/>
    <w:rsid w:val="00F33201"/>
    <w:rsid w:val="00F33395"/>
    <w:rsid w:val="00F36B64"/>
    <w:rsid w:val="00F40FD1"/>
    <w:rsid w:val="00F42016"/>
    <w:rsid w:val="00F42EBC"/>
    <w:rsid w:val="00F44C08"/>
    <w:rsid w:val="00F44CDE"/>
    <w:rsid w:val="00F45342"/>
    <w:rsid w:val="00F4687A"/>
    <w:rsid w:val="00F469A4"/>
    <w:rsid w:val="00F52A3E"/>
    <w:rsid w:val="00F56FBF"/>
    <w:rsid w:val="00F57AAA"/>
    <w:rsid w:val="00F600CA"/>
    <w:rsid w:val="00F62974"/>
    <w:rsid w:val="00F642B7"/>
    <w:rsid w:val="00F65A7E"/>
    <w:rsid w:val="00F65FD5"/>
    <w:rsid w:val="00F663EF"/>
    <w:rsid w:val="00F665C9"/>
    <w:rsid w:val="00F66C2B"/>
    <w:rsid w:val="00F67201"/>
    <w:rsid w:val="00F67355"/>
    <w:rsid w:val="00F70701"/>
    <w:rsid w:val="00F71EBF"/>
    <w:rsid w:val="00F73640"/>
    <w:rsid w:val="00F740D3"/>
    <w:rsid w:val="00F745E2"/>
    <w:rsid w:val="00F77B21"/>
    <w:rsid w:val="00F77FBF"/>
    <w:rsid w:val="00F828AC"/>
    <w:rsid w:val="00F848FF"/>
    <w:rsid w:val="00F84B1F"/>
    <w:rsid w:val="00F8688A"/>
    <w:rsid w:val="00F91985"/>
    <w:rsid w:val="00F939DA"/>
    <w:rsid w:val="00F97D3E"/>
    <w:rsid w:val="00F97FC9"/>
    <w:rsid w:val="00FA094D"/>
    <w:rsid w:val="00FA7FA6"/>
    <w:rsid w:val="00FB21E7"/>
    <w:rsid w:val="00FB318D"/>
    <w:rsid w:val="00FB402A"/>
    <w:rsid w:val="00FB4A6C"/>
    <w:rsid w:val="00FC1031"/>
    <w:rsid w:val="00FC4183"/>
    <w:rsid w:val="00FC4726"/>
    <w:rsid w:val="00FC489E"/>
    <w:rsid w:val="00FC5652"/>
    <w:rsid w:val="00FC663A"/>
    <w:rsid w:val="00FC6658"/>
    <w:rsid w:val="00FC78BF"/>
    <w:rsid w:val="00FD0349"/>
    <w:rsid w:val="00FD59C8"/>
    <w:rsid w:val="00FE2539"/>
    <w:rsid w:val="00FE4A26"/>
    <w:rsid w:val="00FE54AD"/>
    <w:rsid w:val="00FE77DC"/>
    <w:rsid w:val="00FF01BD"/>
    <w:rsid w:val="00FF1DC8"/>
    <w:rsid w:val="00FF2CC6"/>
    <w:rsid w:val="00FF3E60"/>
    <w:rsid w:val="00FF424E"/>
    <w:rsid w:val="00FF7677"/>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6166E"/>
  <w15:chartTrackingRefBased/>
  <w15:docId w15:val="{D12E38BC-8265-4567-A67B-98FF9D7E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E80"/>
  </w:style>
  <w:style w:type="paragraph" w:styleId="Heading1">
    <w:name w:val="heading 1"/>
    <w:aliases w:val="H1-Sec.Head"/>
    <w:basedOn w:val="Normal"/>
    <w:next w:val="Normal"/>
    <w:link w:val="Heading1Char"/>
    <w:uiPriority w:val="99"/>
    <w:qFormat/>
    <w:rsid w:val="00933C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Chap. Head"/>
    <w:basedOn w:val="Normal"/>
    <w:next w:val="L1-FlLSp12"/>
    <w:link w:val="Heading2Char"/>
    <w:qFormat/>
    <w:rsid w:val="002224E5"/>
    <w:pPr>
      <w:keepNext/>
      <w:keepLines/>
      <w:tabs>
        <w:tab w:val="left" w:pos="720"/>
        <w:tab w:val="left" w:pos="1440"/>
      </w:tabs>
      <w:overflowPunct w:val="0"/>
      <w:autoSpaceDE w:val="0"/>
      <w:autoSpaceDN w:val="0"/>
      <w:adjustRightInd w:val="0"/>
      <w:spacing w:after="120" w:line="240" w:lineRule="auto"/>
      <w:textAlignment w:val="baseline"/>
      <w:outlineLvl w:val="1"/>
    </w:pPr>
    <w:rPr>
      <w:rFonts w:eastAsia="Times New Roman" w:cs="Times New Roman"/>
      <w:b/>
    </w:rPr>
  </w:style>
  <w:style w:type="paragraph" w:styleId="Heading3">
    <w:name w:val="heading 3"/>
    <w:aliases w:val="H3-Sec. Head"/>
    <w:basedOn w:val="N1-1stBullet"/>
    <w:next w:val="L1-FlLSp12"/>
    <w:link w:val="Heading3Char"/>
    <w:qFormat/>
    <w:rsid w:val="002224E5"/>
    <w:pPr>
      <w:numPr>
        <w:numId w:val="0"/>
      </w:numPr>
      <w:outlineLvl w:val="2"/>
    </w:pPr>
    <w:rPr>
      <w:rFonts w:asciiTheme="minorHAnsi" w:hAnsiTheme="minorHAnsi"/>
      <w:b/>
      <w:sz w:val="22"/>
      <w:szCs w:val="22"/>
    </w:rPr>
  </w:style>
  <w:style w:type="paragraph" w:styleId="Heading4">
    <w:name w:val="heading 4"/>
    <w:aliases w:val="H4-Sec. Head"/>
    <w:basedOn w:val="N1-1stBullet"/>
    <w:next w:val="L1-FlLSp12"/>
    <w:link w:val="Heading4Char"/>
    <w:qFormat/>
    <w:rsid w:val="002224E5"/>
    <w:pPr>
      <w:numPr>
        <w:numId w:val="0"/>
      </w:numPr>
      <w:ind w:left="1080" w:hanging="1080"/>
      <w:outlineLvl w:val="3"/>
    </w:pPr>
    <w:rPr>
      <w:rFonts w:asciiTheme="minorHAnsi" w:eastAsia="Calibri" w:hAnsiTheme="minorHAnsi"/>
      <w:b/>
      <w:sz w:val="22"/>
      <w:szCs w:val="22"/>
    </w:rPr>
  </w:style>
  <w:style w:type="paragraph" w:styleId="Heading6">
    <w:name w:val="heading 6"/>
    <w:basedOn w:val="Normal"/>
    <w:next w:val="Normal"/>
    <w:link w:val="Heading6Char"/>
    <w:uiPriority w:val="9"/>
    <w:semiHidden/>
    <w:unhideWhenUsed/>
    <w:qFormat/>
    <w:rsid w:val="0019725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26A"/>
    <w:rPr>
      <w:sz w:val="16"/>
      <w:szCs w:val="16"/>
    </w:rPr>
  </w:style>
  <w:style w:type="paragraph" w:styleId="CommentText">
    <w:name w:val="annotation text"/>
    <w:basedOn w:val="Normal"/>
    <w:link w:val="CommentTextChar"/>
    <w:uiPriority w:val="99"/>
    <w:unhideWhenUsed/>
    <w:rsid w:val="0013426A"/>
    <w:pPr>
      <w:spacing w:line="240" w:lineRule="auto"/>
    </w:pPr>
    <w:rPr>
      <w:sz w:val="20"/>
      <w:szCs w:val="20"/>
    </w:rPr>
  </w:style>
  <w:style w:type="character" w:customStyle="1" w:styleId="CommentTextChar">
    <w:name w:val="Comment Text Char"/>
    <w:basedOn w:val="DefaultParagraphFont"/>
    <w:link w:val="CommentText"/>
    <w:uiPriority w:val="99"/>
    <w:rsid w:val="0013426A"/>
    <w:rPr>
      <w:sz w:val="20"/>
      <w:szCs w:val="20"/>
    </w:rPr>
  </w:style>
  <w:style w:type="paragraph" w:styleId="BalloonText">
    <w:name w:val="Balloon Text"/>
    <w:basedOn w:val="Normal"/>
    <w:link w:val="BalloonTextChar"/>
    <w:uiPriority w:val="99"/>
    <w:semiHidden/>
    <w:unhideWhenUsed/>
    <w:rsid w:val="00134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6A"/>
    <w:rPr>
      <w:rFonts w:ascii="Segoe UI" w:hAnsi="Segoe UI" w:cs="Segoe UI"/>
      <w:sz w:val="18"/>
      <w:szCs w:val="18"/>
    </w:rPr>
  </w:style>
  <w:style w:type="paragraph" w:styleId="ListParagraph">
    <w:name w:val="List Paragraph"/>
    <w:basedOn w:val="Normal"/>
    <w:uiPriority w:val="34"/>
    <w:qFormat/>
    <w:rsid w:val="0013426A"/>
    <w:pPr>
      <w:ind w:left="720"/>
      <w:contextualSpacing/>
    </w:pPr>
  </w:style>
  <w:style w:type="character" w:customStyle="1" w:styleId="Heading2Char">
    <w:name w:val="Heading 2 Char"/>
    <w:aliases w:val="H2-Chap. Head Char"/>
    <w:basedOn w:val="DefaultParagraphFont"/>
    <w:link w:val="Heading2"/>
    <w:rsid w:val="002224E5"/>
    <w:rPr>
      <w:rFonts w:eastAsia="Times New Roman" w:cs="Times New Roman"/>
      <w:b/>
    </w:rPr>
  </w:style>
  <w:style w:type="character" w:styleId="Strong">
    <w:name w:val="Strong"/>
    <w:basedOn w:val="DefaultParagraphFont"/>
    <w:uiPriority w:val="22"/>
    <w:qFormat/>
    <w:rsid w:val="0013426A"/>
    <w:rPr>
      <w:b/>
      <w:bCs/>
    </w:rPr>
  </w:style>
  <w:style w:type="paragraph" w:customStyle="1" w:styleId="NormalSS">
    <w:name w:val="NormalSS"/>
    <w:basedOn w:val="Normal"/>
    <w:link w:val="NormalSSChar"/>
    <w:qFormat/>
    <w:rsid w:val="0013426A"/>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13426A"/>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13426A"/>
    <w:pPr>
      <w:ind w:left="720" w:hanging="720"/>
      <w:outlineLvl w:val="2"/>
    </w:pPr>
    <w:rPr>
      <w:rFonts w:ascii="Arial Black" w:hAnsi="Arial Black"/>
      <w:szCs w:val="20"/>
    </w:rPr>
  </w:style>
  <w:style w:type="character" w:customStyle="1" w:styleId="H3AlphaChar">
    <w:name w:val="H3_Alpha Char"/>
    <w:basedOn w:val="Heading2Char"/>
    <w:link w:val="H3Alpha"/>
    <w:rsid w:val="0013426A"/>
    <w:rPr>
      <w:rFonts w:ascii="Arial Black" w:eastAsia="Times New Roman" w:hAnsi="Arial Black" w:cs="Times New Roman"/>
      <w:b/>
      <w:color w:val="365F91" w:themeColor="accent1" w:themeShade="BF"/>
      <w:sz w:val="26"/>
      <w:szCs w:val="20"/>
    </w:rPr>
  </w:style>
  <w:style w:type="paragraph" w:styleId="Title">
    <w:name w:val="Title"/>
    <w:basedOn w:val="Normal"/>
    <w:link w:val="TitleChar"/>
    <w:qFormat/>
    <w:rsid w:val="0013426A"/>
    <w:pPr>
      <w:widowControl w:val="0"/>
      <w:spacing w:after="240" w:line="240" w:lineRule="auto"/>
      <w:jc w:val="center"/>
    </w:pPr>
    <w:rPr>
      <w:rFonts w:ascii="Calibri" w:eastAsia="Times New Roman" w:hAnsi="Calibri" w:cs="Times New Roman"/>
      <w:b/>
      <w:color w:val="003C79"/>
      <w:sz w:val="32"/>
      <w:szCs w:val="20"/>
    </w:rPr>
  </w:style>
  <w:style w:type="character" w:customStyle="1" w:styleId="TitleChar">
    <w:name w:val="Title Char"/>
    <w:basedOn w:val="DefaultParagraphFont"/>
    <w:link w:val="Title"/>
    <w:rsid w:val="0013426A"/>
    <w:rPr>
      <w:rFonts w:ascii="Calibri" w:eastAsia="Times New Roman" w:hAnsi="Calibri" w:cs="Times New Roman"/>
      <w:b/>
      <w:color w:val="003C79"/>
      <w:sz w:val="32"/>
      <w:szCs w:val="20"/>
    </w:rPr>
  </w:style>
  <w:style w:type="paragraph" w:styleId="CommentSubject">
    <w:name w:val="annotation subject"/>
    <w:basedOn w:val="CommentText"/>
    <w:next w:val="CommentText"/>
    <w:link w:val="CommentSubjectChar"/>
    <w:uiPriority w:val="99"/>
    <w:semiHidden/>
    <w:unhideWhenUsed/>
    <w:rsid w:val="000A098D"/>
    <w:rPr>
      <w:b/>
      <w:bCs/>
    </w:rPr>
  </w:style>
  <w:style w:type="character" w:customStyle="1" w:styleId="CommentSubjectChar">
    <w:name w:val="Comment Subject Char"/>
    <w:basedOn w:val="CommentTextChar"/>
    <w:link w:val="CommentSubject"/>
    <w:uiPriority w:val="99"/>
    <w:semiHidden/>
    <w:rsid w:val="000A098D"/>
    <w:rPr>
      <w:b/>
      <w:bCs/>
      <w:sz w:val="20"/>
      <w:szCs w:val="20"/>
    </w:rPr>
  </w:style>
  <w:style w:type="character" w:customStyle="1" w:styleId="Heading1Char">
    <w:name w:val="Heading 1 Char"/>
    <w:aliases w:val="H1-Sec.Head Char"/>
    <w:basedOn w:val="DefaultParagraphFont"/>
    <w:link w:val="Heading1"/>
    <w:uiPriority w:val="99"/>
    <w:rsid w:val="00933C7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rsid w:val="000B6BA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0B6BAD"/>
    <w:rPr>
      <w:rFonts w:ascii="Times New Roman" w:eastAsia="Times New Roman" w:hAnsi="Times New Roman" w:cs="Times New Roman"/>
      <w:szCs w:val="20"/>
    </w:rPr>
  </w:style>
  <w:style w:type="table" w:styleId="TableGrid">
    <w:name w:val="Table Grid"/>
    <w:basedOn w:val="TableNormal"/>
    <w:uiPriority w:val="59"/>
    <w:rsid w:val="00AA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A6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1-1stBullet">
    <w:name w:val="N1-1st Bullet"/>
    <w:basedOn w:val="Normal"/>
    <w:link w:val="N1-1stBulletChar"/>
    <w:rsid w:val="00B72B22"/>
    <w:pPr>
      <w:numPr>
        <w:numId w:val="13"/>
      </w:numPr>
      <w:spacing w:after="240" w:line="240" w:lineRule="atLeast"/>
    </w:pPr>
    <w:rPr>
      <w:rFonts w:ascii="Garamond" w:eastAsia="Times New Roman" w:hAnsi="Garamond" w:cs="Times New Roman"/>
      <w:sz w:val="24"/>
      <w:szCs w:val="20"/>
    </w:rPr>
  </w:style>
  <w:style w:type="paragraph" w:customStyle="1" w:styleId="ExhibitText">
    <w:name w:val="Exhibit Text"/>
    <w:basedOn w:val="Normal"/>
    <w:qFormat/>
    <w:rsid w:val="00583EE7"/>
    <w:pPr>
      <w:spacing w:before="40" w:after="40" w:line="264" w:lineRule="auto"/>
    </w:pPr>
    <w:rPr>
      <w:rFonts w:ascii="Arial" w:eastAsia="Times New Roman" w:hAnsi="Arial" w:cs="Arial"/>
      <w:bCs/>
      <w:color w:val="000000"/>
      <w:sz w:val="20"/>
      <w:szCs w:val="24"/>
    </w:rPr>
  </w:style>
  <w:style w:type="paragraph" w:customStyle="1" w:styleId="ExhibitColumnHeader">
    <w:name w:val="Exhibit Column Header"/>
    <w:basedOn w:val="Normal"/>
    <w:qFormat/>
    <w:rsid w:val="00583EE7"/>
    <w:pPr>
      <w:spacing w:before="20" w:after="20" w:line="240" w:lineRule="auto"/>
    </w:pPr>
    <w:rPr>
      <w:rFonts w:ascii="Arial" w:eastAsia="Times New Roman" w:hAnsi="Arial" w:cs="Arial"/>
      <w:b/>
      <w:color w:val="000000" w:themeColor="text1"/>
      <w:sz w:val="20"/>
      <w:szCs w:val="24"/>
    </w:rPr>
  </w:style>
  <w:style w:type="character" w:styleId="Hyperlink">
    <w:name w:val="Hyperlink"/>
    <w:basedOn w:val="DefaultParagraphFont"/>
    <w:uiPriority w:val="99"/>
    <w:rsid w:val="00583EE7"/>
    <w:rPr>
      <w:color w:val="0000FF"/>
      <w:u w:val="single"/>
    </w:rPr>
  </w:style>
  <w:style w:type="character" w:styleId="FollowedHyperlink">
    <w:name w:val="FollowedHyperlink"/>
    <w:basedOn w:val="DefaultParagraphFont"/>
    <w:uiPriority w:val="99"/>
    <w:semiHidden/>
    <w:unhideWhenUsed/>
    <w:rsid w:val="00583EE7"/>
    <w:rPr>
      <w:color w:val="800080" w:themeColor="followedHyperlink"/>
      <w:u w:val="single"/>
    </w:rPr>
  </w:style>
  <w:style w:type="paragraph" w:styleId="Header">
    <w:name w:val="header"/>
    <w:basedOn w:val="Normal"/>
    <w:link w:val="HeaderChar"/>
    <w:uiPriority w:val="99"/>
    <w:unhideWhenUsed/>
    <w:rsid w:val="00202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833"/>
  </w:style>
  <w:style w:type="paragraph" w:styleId="Footer">
    <w:name w:val="footer"/>
    <w:basedOn w:val="Normal"/>
    <w:link w:val="FooterChar"/>
    <w:uiPriority w:val="99"/>
    <w:unhideWhenUsed/>
    <w:rsid w:val="00202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833"/>
  </w:style>
  <w:style w:type="paragraph" w:customStyle="1" w:styleId="SL-FlLftSgl">
    <w:name w:val="SL-Fl Lft Sgl"/>
    <w:rsid w:val="003D044A"/>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ReportCover-Prepared">
    <w:name w:val="ReportCover-Prepared"/>
    <w:basedOn w:val="Normal"/>
    <w:rsid w:val="00684C81"/>
    <w:pPr>
      <w:spacing w:after="0" w:line="260" w:lineRule="exact"/>
    </w:pPr>
    <w:rPr>
      <w:rFonts w:ascii="Franklin Gothic Medium" w:eastAsia="Times New Roman" w:hAnsi="Franklin Gothic Medium" w:cs="Times New Roman"/>
      <w:color w:val="003C79"/>
      <w:sz w:val="20"/>
      <w:szCs w:val="20"/>
    </w:rPr>
  </w:style>
  <w:style w:type="paragraph" w:customStyle="1" w:styleId="ReportCover-Subtitle">
    <w:name w:val="ReportCover-Subtitle"/>
    <w:basedOn w:val="Normal"/>
    <w:rsid w:val="00684C81"/>
    <w:pPr>
      <w:spacing w:before="360" w:after="0" w:line="340" w:lineRule="exact"/>
    </w:pPr>
    <w:rPr>
      <w:rFonts w:ascii="Franklin Gothic Medium" w:eastAsia="Times New Roman" w:hAnsi="Franklin Gothic Medium" w:cs="Times New Roman"/>
      <w:b/>
      <w:color w:val="003C79"/>
      <w:sz w:val="32"/>
      <w:szCs w:val="40"/>
    </w:rPr>
  </w:style>
  <w:style w:type="paragraph" w:styleId="FootnoteText">
    <w:name w:val="footnote text"/>
    <w:aliases w:val="F1,*Footnote Text,bv"/>
    <w:basedOn w:val="Normal"/>
    <w:link w:val="FootnoteTextChar"/>
    <w:uiPriority w:val="99"/>
    <w:unhideWhenUsed/>
    <w:rsid w:val="0031621E"/>
    <w:pPr>
      <w:spacing w:after="0" w:line="240" w:lineRule="auto"/>
    </w:pPr>
    <w:rPr>
      <w:sz w:val="20"/>
      <w:szCs w:val="20"/>
    </w:rPr>
  </w:style>
  <w:style w:type="character" w:customStyle="1" w:styleId="FootnoteTextChar">
    <w:name w:val="Footnote Text Char"/>
    <w:aliases w:val="F1 Char,*Footnote Text Char,bv Char"/>
    <w:basedOn w:val="DefaultParagraphFont"/>
    <w:link w:val="FootnoteText"/>
    <w:uiPriority w:val="99"/>
    <w:rsid w:val="0031621E"/>
    <w:rPr>
      <w:sz w:val="20"/>
      <w:szCs w:val="20"/>
    </w:rPr>
  </w:style>
  <w:style w:type="character" w:styleId="FootnoteReference">
    <w:name w:val="footnote reference"/>
    <w:aliases w:val="*Footnote Reference"/>
    <w:basedOn w:val="DefaultParagraphFont"/>
    <w:uiPriority w:val="99"/>
    <w:unhideWhenUsed/>
    <w:rsid w:val="0031621E"/>
    <w:rPr>
      <w:vertAlign w:val="superscript"/>
    </w:rPr>
  </w:style>
  <w:style w:type="paragraph" w:customStyle="1" w:styleId="N0-FlLftBullet">
    <w:name w:val="N0-Fl Lft Bullet"/>
    <w:basedOn w:val="Normal"/>
    <w:rsid w:val="00942697"/>
    <w:pPr>
      <w:tabs>
        <w:tab w:val="left" w:pos="576"/>
      </w:tabs>
      <w:spacing w:after="240" w:line="240" w:lineRule="atLeast"/>
      <w:ind w:left="576" w:hanging="576"/>
    </w:pPr>
    <w:rPr>
      <w:rFonts w:ascii="Garamond" w:eastAsia="Times New Roman" w:hAnsi="Garamond" w:cs="Times New Roman"/>
      <w:sz w:val="24"/>
      <w:szCs w:val="20"/>
    </w:rPr>
  </w:style>
  <w:style w:type="paragraph" w:customStyle="1" w:styleId="L1-FlLSp12">
    <w:name w:val="L1-FlL Sp&amp;1/2"/>
    <w:basedOn w:val="Normal"/>
    <w:link w:val="L1-FlLSp12Char"/>
    <w:rsid w:val="001434AC"/>
    <w:pPr>
      <w:tabs>
        <w:tab w:val="left" w:pos="1152"/>
      </w:tabs>
      <w:spacing w:after="240" w:line="360" w:lineRule="auto"/>
    </w:pPr>
    <w:rPr>
      <w:rFonts w:ascii="Garamond" w:eastAsia="Times New Roman" w:hAnsi="Garamond" w:cs="Times New Roman"/>
      <w:sz w:val="24"/>
      <w:szCs w:val="20"/>
    </w:rPr>
  </w:style>
  <w:style w:type="paragraph" w:customStyle="1" w:styleId="P1-StandPara">
    <w:name w:val="P1-Stand Para"/>
    <w:basedOn w:val="Normal"/>
    <w:rsid w:val="00922083"/>
    <w:pPr>
      <w:spacing w:after="0" w:line="480" w:lineRule="auto"/>
      <w:ind w:firstLine="576"/>
    </w:pPr>
    <w:rPr>
      <w:rFonts w:ascii="Garamond" w:eastAsia="Times New Roman" w:hAnsi="Garamond" w:cs="Times New Roman"/>
      <w:sz w:val="24"/>
      <w:szCs w:val="20"/>
    </w:rPr>
  </w:style>
  <w:style w:type="paragraph" w:customStyle="1" w:styleId="TB-TableBullet">
    <w:name w:val="TB-Table Bullet"/>
    <w:basedOn w:val="TX-TableText"/>
    <w:qFormat/>
    <w:rsid w:val="00D75DDF"/>
    <w:pPr>
      <w:numPr>
        <w:numId w:val="22"/>
      </w:numPr>
      <w:ind w:left="288" w:hanging="288"/>
    </w:pPr>
  </w:style>
  <w:style w:type="paragraph" w:customStyle="1" w:styleId="TX-TableText">
    <w:name w:val="TX-Table Text"/>
    <w:rsid w:val="00D75DDF"/>
    <w:pPr>
      <w:spacing w:after="0" w:line="240" w:lineRule="auto"/>
    </w:pPr>
    <w:rPr>
      <w:rFonts w:ascii="Franklin Gothic Medium" w:eastAsia="Times New Roman" w:hAnsi="Franklin Gothic Medium" w:cs="Times New Roman"/>
      <w:sz w:val="20"/>
      <w:szCs w:val="20"/>
    </w:rPr>
  </w:style>
  <w:style w:type="character" w:customStyle="1" w:styleId="L1-FlLSp12Char">
    <w:name w:val="L1-FlL Sp&amp;1/2 Char"/>
    <w:basedOn w:val="DefaultParagraphFont"/>
    <w:link w:val="L1-FlLSp12"/>
    <w:rsid w:val="00205E72"/>
    <w:rPr>
      <w:rFonts w:ascii="Garamond" w:eastAsia="Times New Roman" w:hAnsi="Garamond" w:cs="Times New Roman"/>
      <w:sz w:val="24"/>
      <w:szCs w:val="20"/>
    </w:rPr>
  </w:style>
  <w:style w:type="character" w:customStyle="1" w:styleId="medium-normal">
    <w:name w:val="medium-normal"/>
    <w:basedOn w:val="DefaultParagraphFont"/>
    <w:rsid w:val="00C350A1"/>
  </w:style>
  <w:style w:type="paragraph" w:styleId="NormalWeb">
    <w:name w:val="Normal (Web)"/>
    <w:basedOn w:val="Normal"/>
    <w:uiPriority w:val="99"/>
    <w:unhideWhenUsed/>
    <w:rsid w:val="00C350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0A1"/>
    <w:rPr>
      <w:i/>
      <w:iCs/>
    </w:rPr>
  </w:style>
  <w:style w:type="paragraph" w:styleId="PlainText">
    <w:name w:val="Plain Text"/>
    <w:basedOn w:val="Normal"/>
    <w:link w:val="PlainTextChar"/>
    <w:uiPriority w:val="99"/>
    <w:semiHidden/>
    <w:unhideWhenUsed/>
    <w:rsid w:val="00C350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50A1"/>
    <w:rPr>
      <w:rFonts w:ascii="Consolas" w:hAnsi="Consolas"/>
      <w:sz w:val="21"/>
      <w:szCs w:val="21"/>
    </w:rPr>
  </w:style>
  <w:style w:type="paragraph" w:customStyle="1" w:styleId="bodytext0">
    <w:name w:val="bodytext"/>
    <w:basedOn w:val="Normal"/>
    <w:rsid w:val="00C350A1"/>
    <w:pPr>
      <w:spacing w:before="100" w:beforeAutospacing="1" w:after="100" w:afterAutospacing="1" w:line="240" w:lineRule="auto"/>
    </w:pPr>
    <w:rPr>
      <w:rFonts w:ascii="Arial" w:eastAsia="Times New Roman" w:hAnsi="Arial" w:cs="Arial"/>
      <w:color w:val="333333"/>
      <w:sz w:val="18"/>
      <w:szCs w:val="18"/>
    </w:rPr>
  </w:style>
  <w:style w:type="character" w:customStyle="1" w:styleId="programtitle1">
    <w:name w:val="programtitle1"/>
    <w:basedOn w:val="DefaultParagraphFont"/>
    <w:rsid w:val="00C350A1"/>
    <w:rPr>
      <w:rFonts w:ascii="Verdana" w:hAnsi="Verdana" w:hint="default"/>
      <w:b/>
      <w:bCs/>
      <w:caps/>
      <w:color w:val="333333"/>
      <w:sz w:val="24"/>
      <w:szCs w:val="24"/>
    </w:rPr>
  </w:style>
  <w:style w:type="character" w:customStyle="1" w:styleId="Heading6Char">
    <w:name w:val="Heading 6 Char"/>
    <w:basedOn w:val="DefaultParagraphFont"/>
    <w:link w:val="Heading6"/>
    <w:uiPriority w:val="9"/>
    <w:semiHidden/>
    <w:rsid w:val="00197254"/>
    <w:rPr>
      <w:rFonts w:asciiTheme="majorHAnsi" w:eastAsiaTheme="majorEastAsia" w:hAnsiTheme="majorHAnsi" w:cstheme="majorBidi"/>
      <w:color w:val="243F60" w:themeColor="accent1" w:themeShade="7F"/>
    </w:rPr>
  </w:style>
  <w:style w:type="paragraph" w:customStyle="1" w:styleId="Default">
    <w:name w:val="Default"/>
    <w:rsid w:val="001972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C-TableofContentsHeading">
    <w:name w:val="TC-Table of Contents Heading"/>
    <w:basedOn w:val="Heading1"/>
    <w:next w:val="Normal"/>
    <w:rsid w:val="00A21E80"/>
    <w:pPr>
      <w:pBdr>
        <w:bottom w:val="single" w:sz="24" w:space="1" w:color="819BBD"/>
      </w:pBdr>
      <w:spacing w:before="0" w:after="720" w:line="240" w:lineRule="auto"/>
      <w:ind w:left="6869"/>
      <w:jc w:val="center"/>
      <w:outlineLvl w:val="1"/>
    </w:pPr>
    <w:rPr>
      <w:rFonts w:ascii="Franklin Gothic Medium" w:eastAsia="Times New Roman" w:hAnsi="Franklin Gothic Medium" w:cs="Times New Roman"/>
      <w:b/>
      <w:color w:val="00467F"/>
      <w:szCs w:val="20"/>
    </w:rPr>
  </w:style>
  <w:style w:type="paragraph" w:styleId="TOC1">
    <w:name w:val="toc 1"/>
    <w:basedOn w:val="Normal"/>
    <w:uiPriority w:val="39"/>
    <w:rsid w:val="002224E5"/>
    <w:pPr>
      <w:tabs>
        <w:tab w:val="left" w:pos="1440"/>
        <w:tab w:val="right" w:leader="dot" w:pos="8208"/>
        <w:tab w:val="left" w:pos="8640"/>
      </w:tabs>
      <w:spacing w:after="240" w:line="240" w:lineRule="auto"/>
      <w:ind w:left="1440" w:right="1800" w:hanging="1152"/>
    </w:pPr>
    <w:rPr>
      <w:rFonts w:ascii="Garamond" w:eastAsia="Times New Roman" w:hAnsi="Garamond" w:cs="Times New Roman"/>
      <w:sz w:val="24"/>
      <w:szCs w:val="20"/>
    </w:rPr>
  </w:style>
  <w:style w:type="paragraph" w:styleId="TOC2">
    <w:name w:val="toc 2"/>
    <w:basedOn w:val="Normal"/>
    <w:uiPriority w:val="39"/>
    <w:rsid w:val="002224E5"/>
    <w:pPr>
      <w:tabs>
        <w:tab w:val="left" w:pos="2160"/>
        <w:tab w:val="right" w:leader="dot" w:pos="8208"/>
        <w:tab w:val="left" w:pos="8640"/>
      </w:tabs>
      <w:spacing w:after="240" w:line="240" w:lineRule="auto"/>
      <w:ind w:left="2160" w:right="1800" w:hanging="720"/>
      <w:contextualSpacing/>
    </w:pPr>
    <w:rPr>
      <w:rFonts w:ascii="Garamond" w:eastAsia="Times New Roman" w:hAnsi="Garamond" w:cs="Times New Roman"/>
      <w:sz w:val="24"/>
    </w:rPr>
  </w:style>
  <w:style w:type="paragraph" w:styleId="TOC3">
    <w:name w:val="toc 3"/>
    <w:basedOn w:val="Normal"/>
    <w:uiPriority w:val="39"/>
    <w:rsid w:val="002224E5"/>
    <w:pPr>
      <w:tabs>
        <w:tab w:val="left" w:pos="3024"/>
        <w:tab w:val="right" w:leader="dot" w:pos="8208"/>
        <w:tab w:val="left" w:pos="8640"/>
      </w:tabs>
      <w:spacing w:after="240" w:line="240" w:lineRule="auto"/>
      <w:ind w:left="3024" w:right="1800" w:hanging="864"/>
      <w:contextualSpacing/>
    </w:pPr>
    <w:rPr>
      <w:rFonts w:ascii="Garamond" w:eastAsia="Times New Roman" w:hAnsi="Garamond" w:cs="Times New Roman"/>
      <w:sz w:val="24"/>
      <w:szCs w:val="20"/>
    </w:rPr>
  </w:style>
  <w:style w:type="paragraph" w:styleId="TOC4">
    <w:name w:val="toc 4"/>
    <w:basedOn w:val="Normal"/>
    <w:rsid w:val="00A21E80"/>
    <w:pPr>
      <w:tabs>
        <w:tab w:val="left" w:pos="3888"/>
        <w:tab w:val="right" w:leader="dot" w:pos="8208"/>
        <w:tab w:val="left" w:pos="8640"/>
      </w:tabs>
      <w:spacing w:after="240" w:line="240" w:lineRule="auto"/>
      <w:ind w:left="3888" w:right="1800" w:hanging="864"/>
      <w:contextualSpacing/>
    </w:pPr>
    <w:rPr>
      <w:rFonts w:ascii="Garamond" w:eastAsia="Times New Roman" w:hAnsi="Garamond" w:cs="Times New Roman"/>
      <w:sz w:val="24"/>
      <w:szCs w:val="20"/>
    </w:rPr>
  </w:style>
  <w:style w:type="paragraph" w:customStyle="1" w:styleId="T0-ChapPgHd">
    <w:name w:val="T0-Chap/Pg Hd"/>
    <w:basedOn w:val="Normal"/>
    <w:rsid w:val="00A21E80"/>
    <w:pPr>
      <w:tabs>
        <w:tab w:val="left" w:pos="8640"/>
      </w:tabs>
      <w:spacing w:before="480" w:after="240" w:line="240" w:lineRule="auto"/>
    </w:pPr>
    <w:rPr>
      <w:rFonts w:ascii="Franklin Gothic Medium" w:eastAsia="Times New Roman" w:hAnsi="Franklin Gothic Medium" w:cs="Times New Roman"/>
      <w:sz w:val="24"/>
      <w:szCs w:val="20"/>
      <w:u w:val="words"/>
    </w:rPr>
  </w:style>
  <w:style w:type="character" w:customStyle="1" w:styleId="Heading3Char">
    <w:name w:val="Heading 3 Char"/>
    <w:aliases w:val="H3-Sec. Head Char"/>
    <w:basedOn w:val="DefaultParagraphFont"/>
    <w:link w:val="Heading3"/>
    <w:rsid w:val="002224E5"/>
    <w:rPr>
      <w:rFonts w:eastAsia="Times New Roman" w:cs="Times New Roman"/>
      <w:b/>
    </w:rPr>
  </w:style>
  <w:style w:type="paragraph" w:customStyle="1" w:styleId="CoverPage-Title">
    <w:name w:val="CoverPage-Title"/>
    <w:basedOn w:val="Normal"/>
    <w:rsid w:val="00463EBF"/>
    <w:pPr>
      <w:spacing w:before="600" w:after="0" w:line="480" w:lineRule="exact"/>
      <w:ind w:left="547" w:right="144"/>
      <w:contextualSpacing/>
    </w:pPr>
    <w:rPr>
      <w:rFonts w:ascii="Franklin Gothic Medium" w:eastAsia="Times New Roman" w:hAnsi="Franklin Gothic Medium" w:cs="Times New Roman"/>
      <w:b/>
      <w:color w:val="003C79"/>
      <w:sz w:val="44"/>
      <w:szCs w:val="40"/>
    </w:rPr>
  </w:style>
  <w:style w:type="paragraph" w:customStyle="1" w:styleId="CoverPage-Part">
    <w:name w:val="CoverPage-Part"/>
    <w:basedOn w:val="Normal"/>
    <w:rsid w:val="00463EBF"/>
    <w:pPr>
      <w:spacing w:before="1200" w:after="1200" w:line="240" w:lineRule="atLeast"/>
      <w:ind w:left="1812" w:hanging="1092"/>
      <w:contextualSpacing/>
    </w:pPr>
    <w:rPr>
      <w:rFonts w:ascii="Franklin Gothic Medium" w:eastAsia="Times New Roman" w:hAnsi="Franklin Gothic Medium" w:cs="Times New Roman"/>
      <w:color w:val="003C79"/>
      <w:sz w:val="32"/>
      <w:szCs w:val="28"/>
    </w:rPr>
  </w:style>
  <w:style w:type="character" w:customStyle="1" w:styleId="N1-1stBulletChar">
    <w:name w:val="N1-1st Bullet Char"/>
    <w:basedOn w:val="DefaultParagraphFont"/>
    <w:link w:val="N1-1stBullet"/>
    <w:locked/>
    <w:rsid w:val="00045621"/>
    <w:rPr>
      <w:rFonts w:ascii="Garamond" w:eastAsia="Times New Roman" w:hAnsi="Garamond" w:cs="Times New Roman"/>
      <w:sz w:val="24"/>
      <w:szCs w:val="20"/>
    </w:rPr>
  </w:style>
  <w:style w:type="paragraph" w:customStyle="1" w:styleId="TH-TableHeading">
    <w:name w:val="TH-Table Heading"/>
    <w:rsid w:val="005411D8"/>
    <w:pPr>
      <w:keepNext/>
      <w:keepLines/>
      <w:spacing w:after="0" w:line="240" w:lineRule="auto"/>
      <w:jc w:val="center"/>
    </w:pPr>
    <w:rPr>
      <w:rFonts w:ascii="Franklin Gothic Medium" w:eastAsia="Times New Roman" w:hAnsi="Franklin Gothic Medium" w:cs="Times New Roman"/>
      <w:b/>
      <w:sz w:val="20"/>
      <w:szCs w:val="20"/>
    </w:rPr>
  </w:style>
  <w:style w:type="paragraph" w:customStyle="1" w:styleId="TT-TableTitle">
    <w:name w:val="TT-Table Title"/>
    <w:rsid w:val="005411D8"/>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table" w:customStyle="1" w:styleId="TableWestatStandardFormat1">
    <w:name w:val="Table Westat Standard Format1"/>
    <w:basedOn w:val="TableNormal"/>
    <w:rsid w:val="005411D8"/>
    <w:pPr>
      <w:spacing w:after="0" w:line="240" w:lineRule="auto"/>
    </w:pPr>
    <w:rPr>
      <w:rFonts w:ascii="Franklin Gothic Medium" w:eastAsiaTheme="minorEastAsia"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F-TblFN">
    <w:name w:val="TF-Tbl FN"/>
    <w:basedOn w:val="FootnoteText"/>
    <w:rsid w:val="00E06630"/>
    <w:pPr>
      <w:tabs>
        <w:tab w:val="left" w:pos="120"/>
      </w:tabs>
      <w:spacing w:before="120"/>
      <w:ind w:left="115" w:hanging="115"/>
    </w:pPr>
    <w:rPr>
      <w:rFonts w:ascii="Franklin Gothic Medium" w:eastAsia="Times New Roman" w:hAnsi="Franklin Gothic Medium" w:cs="Times New Roman"/>
      <w:sz w:val="18"/>
    </w:rPr>
  </w:style>
  <w:style w:type="character" w:customStyle="1" w:styleId="Heading4Char">
    <w:name w:val="Heading 4 Char"/>
    <w:aliases w:val="H4-Sec. Head Char"/>
    <w:basedOn w:val="DefaultParagraphFont"/>
    <w:link w:val="Heading4"/>
    <w:rsid w:val="002224E5"/>
    <w:rPr>
      <w:rFonts w:eastAsia="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717062">
      <w:bodyDiv w:val="1"/>
      <w:marLeft w:val="0"/>
      <w:marRight w:val="0"/>
      <w:marTop w:val="0"/>
      <w:marBottom w:val="0"/>
      <w:divBdr>
        <w:top w:val="none" w:sz="0" w:space="0" w:color="auto"/>
        <w:left w:val="none" w:sz="0" w:space="0" w:color="auto"/>
        <w:bottom w:val="none" w:sz="0" w:space="0" w:color="auto"/>
        <w:right w:val="none" w:sz="0" w:space="0" w:color="auto"/>
      </w:divBdr>
    </w:div>
    <w:div w:id="113740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01918-0995-4561-B47D-9FEDDD54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10</Pages>
  <Words>3524</Words>
  <Characters>20089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Wei, Thomas</cp:lastModifiedBy>
  <cp:revision>10</cp:revision>
  <dcterms:created xsi:type="dcterms:W3CDTF">2020-07-06T20:23:00Z</dcterms:created>
  <dcterms:modified xsi:type="dcterms:W3CDTF">2020-07-08T03:34:00Z</dcterms:modified>
</cp:coreProperties>
</file>