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12EF9" w:rsidR="0014580C" w:rsidP="00212EF9" w:rsidRDefault="000D40F2" w14:paraId="422856BC" w14:textId="56FD162C">
      <w:pPr>
        <w:jc w:val="center"/>
        <w:rPr>
          <w:rFonts w:ascii="Times New Roman" w:hAnsi="Times New Roman"/>
          <w:b/>
          <w:bCs/>
          <w:sz w:val="26"/>
          <w:szCs w:val="26"/>
        </w:rPr>
      </w:pPr>
      <w:r w:rsidRPr="000D40F2">
        <w:rPr>
          <w:rFonts w:ascii="Times New Roman" w:hAnsi="Times New Roman"/>
          <w:b/>
          <w:bCs/>
          <w:sz w:val="26"/>
          <w:szCs w:val="26"/>
        </w:rPr>
        <w:t xml:space="preserve">Consolidated </w:t>
      </w:r>
      <w:r w:rsidRPr="00152A6C" w:rsidR="009C7F55">
        <w:rPr>
          <w:rFonts w:ascii="Times New Roman" w:hAnsi="Times New Roman"/>
          <w:b/>
          <w:bCs/>
          <w:sz w:val="26"/>
          <w:szCs w:val="26"/>
        </w:rPr>
        <w:t>Supporting Statement</w:t>
      </w:r>
      <w:r w:rsidRPr="00152A6C" w:rsidR="002953E1">
        <w:rPr>
          <w:rFonts w:ascii="Times New Roman" w:hAnsi="Times New Roman"/>
          <w:b/>
          <w:bCs/>
          <w:sz w:val="26"/>
          <w:szCs w:val="26"/>
        </w:rPr>
        <w:t xml:space="preserve"> for</w:t>
      </w:r>
      <w:r w:rsidRPr="000D40F2" w:rsidR="0014580C">
        <w:rPr>
          <w:rFonts w:ascii="Times New Roman" w:hAnsi="Times New Roman"/>
          <w:b/>
          <w:bCs/>
          <w:sz w:val="26"/>
          <w:szCs w:val="26"/>
        </w:rPr>
        <w:t>:</w:t>
      </w:r>
      <w:r w:rsidR="00B41166">
        <w:rPr>
          <w:rFonts w:ascii="Times New Roman" w:hAnsi="Times New Roman"/>
          <w:b/>
          <w:bCs/>
          <w:sz w:val="26"/>
          <w:szCs w:val="26"/>
        </w:rPr>
        <w:t xml:space="preserve">  </w:t>
      </w:r>
      <w:bookmarkStart w:name="_Hlk47100635" w:id="0"/>
      <w:r w:rsidRPr="00212EF9" w:rsidR="0014580C">
        <w:rPr>
          <w:rFonts w:ascii="Times New Roman" w:hAnsi="Times New Roman"/>
          <w:b/>
          <w:bCs/>
          <w:sz w:val="26"/>
          <w:szCs w:val="26"/>
        </w:rPr>
        <w:t>FERC Form No. 2 (Annual Report for Major Natural Gas Companies</w:t>
      </w:r>
      <w:r>
        <w:rPr>
          <w:rFonts w:ascii="Times New Roman" w:hAnsi="Times New Roman"/>
          <w:b/>
          <w:bCs/>
          <w:sz w:val="26"/>
          <w:szCs w:val="26"/>
        </w:rPr>
        <w:t>) (</w:t>
      </w:r>
      <w:r w:rsidRPr="00212EF9" w:rsidR="0014580C">
        <w:rPr>
          <w:rFonts w:ascii="Times New Roman" w:hAnsi="Times New Roman"/>
          <w:b/>
          <w:bCs/>
          <w:sz w:val="26"/>
          <w:szCs w:val="26"/>
        </w:rPr>
        <w:t>OMB Control No. 1902-0028)</w:t>
      </w:r>
      <w:r w:rsidRPr="00212EF9">
        <w:rPr>
          <w:rFonts w:ascii="Times New Roman" w:hAnsi="Times New Roman"/>
          <w:b/>
          <w:bCs/>
          <w:sz w:val="26"/>
          <w:szCs w:val="26"/>
        </w:rPr>
        <w:t xml:space="preserve"> and</w:t>
      </w:r>
      <w:r>
        <w:rPr>
          <w:rFonts w:ascii="Times New Roman" w:hAnsi="Times New Roman"/>
          <w:b/>
          <w:bCs/>
          <w:sz w:val="26"/>
          <w:szCs w:val="26"/>
        </w:rPr>
        <w:t xml:space="preserve"> </w:t>
      </w:r>
      <w:r w:rsidRPr="00212EF9" w:rsidR="0014580C">
        <w:rPr>
          <w:rFonts w:ascii="Times New Roman" w:hAnsi="Times New Roman"/>
          <w:b/>
          <w:bCs/>
          <w:sz w:val="26"/>
          <w:szCs w:val="26"/>
        </w:rPr>
        <w:t>FERC Form No. 2-A (Annual Report for Non- Major Natural Gas Companies</w:t>
      </w:r>
      <w:r>
        <w:rPr>
          <w:rFonts w:ascii="Times New Roman" w:hAnsi="Times New Roman"/>
          <w:b/>
          <w:bCs/>
          <w:sz w:val="26"/>
          <w:szCs w:val="26"/>
        </w:rPr>
        <w:t>)</w:t>
      </w:r>
      <w:r w:rsidRPr="00212EF9" w:rsidR="0014580C">
        <w:rPr>
          <w:rFonts w:ascii="Times New Roman" w:hAnsi="Times New Roman"/>
          <w:b/>
          <w:bCs/>
          <w:sz w:val="26"/>
          <w:szCs w:val="26"/>
        </w:rPr>
        <w:t xml:space="preserve"> </w:t>
      </w:r>
      <w:r>
        <w:rPr>
          <w:rFonts w:ascii="Times New Roman" w:hAnsi="Times New Roman"/>
          <w:b/>
          <w:bCs/>
          <w:sz w:val="26"/>
          <w:szCs w:val="26"/>
        </w:rPr>
        <w:t>(</w:t>
      </w:r>
      <w:r w:rsidRPr="00212EF9" w:rsidR="0014580C">
        <w:rPr>
          <w:rFonts w:ascii="Times New Roman" w:hAnsi="Times New Roman"/>
          <w:b/>
          <w:bCs/>
          <w:sz w:val="26"/>
          <w:szCs w:val="26"/>
        </w:rPr>
        <w:t>OMB Control No. 1902-0030</w:t>
      </w:r>
      <w:r>
        <w:rPr>
          <w:rFonts w:ascii="Times New Roman" w:hAnsi="Times New Roman"/>
          <w:b/>
          <w:bCs/>
          <w:sz w:val="26"/>
          <w:szCs w:val="26"/>
        </w:rPr>
        <w:t>)</w:t>
      </w:r>
    </w:p>
    <w:bookmarkEnd w:id="0"/>
    <w:p w:rsidR="000D40F2" w:rsidP="00212EF9" w:rsidRDefault="000D40F2" w14:paraId="7384BF55" w14:textId="3350D13B">
      <w:pPr>
        <w:widowControl w:val="0"/>
        <w:autoSpaceDE w:val="0"/>
        <w:autoSpaceDN w:val="0"/>
        <w:adjustRightInd w:val="0"/>
        <w:spacing w:after="0" w:line="480" w:lineRule="auto"/>
        <w:ind w:firstLine="720"/>
        <w:rPr>
          <w:rFonts w:ascii="Times New Roman" w:hAnsi="Times New Roman" w:eastAsia="Times New Roman"/>
          <w:sz w:val="26"/>
          <w:szCs w:val="26"/>
        </w:rPr>
      </w:pPr>
      <w:r w:rsidRPr="000D40F2">
        <w:rPr>
          <w:rFonts w:ascii="Times New Roman" w:hAnsi="Times New Roman" w:eastAsia="Times New Roman"/>
          <w:sz w:val="26"/>
          <w:szCs w:val="26"/>
        </w:rPr>
        <w:t xml:space="preserve">The Federal Energy Regulatory Commission (Commission or FERC) requests that the Office of Management and Budget (OMB) review and approve, for three years, </w:t>
      </w:r>
      <w:r w:rsidRPr="000D40F2">
        <w:rPr>
          <w:rFonts w:ascii="Times New Roman" w:hAnsi="Times New Roman" w:eastAsia="Times New Roman"/>
          <w:bCs/>
          <w:sz w:val="26"/>
          <w:szCs w:val="26"/>
        </w:rPr>
        <w:t xml:space="preserve">FERC Form No. </w:t>
      </w:r>
      <w:r>
        <w:rPr>
          <w:rFonts w:ascii="Times New Roman" w:hAnsi="Times New Roman" w:eastAsia="Times New Roman"/>
          <w:bCs/>
          <w:sz w:val="26"/>
          <w:szCs w:val="26"/>
        </w:rPr>
        <w:t>2</w:t>
      </w:r>
      <w:r w:rsidRPr="000D40F2">
        <w:rPr>
          <w:rFonts w:ascii="Times New Roman" w:hAnsi="Times New Roman" w:eastAsia="Times New Roman"/>
          <w:bCs/>
          <w:sz w:val="26"/>
          <w:szCs w:val="26"/>
        </w:rPr>
        <w:t xml:space="preserve"> (Annual Report f</w:t>
      </w:r>
      <w:r>
        <w:rPr>
          <w:rFonts w:ascii="Times New Roman" w:hAnsi="Times New Roman" w:eastAsia="Times New Roman"/>
          <w:bCs/>
          <w:sz w:val="26"/>
          <w:szCs w:val="26"/>
        </w:rPr>
        <w:t>or</w:t>
      </w:r>
      <w:r w:rsidRPr="000D40F2">
        <w:rPr>
          <w:rFonts w:ascii="Times New Roman" w:hAnsi="Times New Roman" w:eastAsia="Times New Roman"/>
          <w:bCs/>
          <w:sz w:val="26"/>
          <w:szCs w:val="26"/>
        </w:rPr>
        <w:t xml:space="preserve"> </w:t>
      </w:r>
      <w:r>
        <w:rPr>
          <w:rFonts w:ascii="Times New Roman" w:hAnsi="Times New Roman" w:eastAsia="Times New Roman"/>
          <w:bCs/>
          <w:sz w:val="26"/>
          <w:szCs w:val="26"/>
        </w:rPr>
        <w:t>Major Natural Gas</w:t>
      </w:r>
      <w:r w:rsidRPr="000D40F2">
        <w:rPr>
          <w:rFonts w:ascii="Times New Roman" w:hAnsi="Times New Roman" w:eastAsia="Times New Roman"/>
          <w:bCs/>
          <w:sz w:val="26"/>
          <w:szCs w:val="26"/>
        </w:rPr>
        <w:t xml:space="preserve"> Companies, OMB Control No. 1902-002</w:t>
      </w:r>
      <w:r>
        <w:rPr>
          <w:rFonts w:ascii="Times New Roman" w:hAnsi="Times New Roman" w:eastAsia="Times New Roman"/>
          <w:bCs/>
          <w:sz w:val="26"/>
          <w:szCs w:val="26"/>
        </w:rPr>
        <w:t>8</w:t>
      </w:r>
      <w:r w:rsidRPr="000D40F2">
        <w:rPr>
          <w:rFonts w:ascii="Times New Roman" w:hAnsi="Times New Roman" w:eastAsia="Times New Roman"/>
          <w:bCs/>
          <w:sz w:val="26"/>
          <w:szCs w:val="26"/>
        </w:rPr>
        <w:t>)</w:t>
      </w:r>
      <w:r w:rsidRPr="000D40F2">
        <w:rPr>
          <w:rFonts w:ascii="Times New Roman" w:hAnsi="Times New Roman" w:eastAsia="Times New Roman"/>
          <w:sz w:val="26"/>
          <w:szCs w:val="26"/>
        </w:rPr>
        <w:t xml:space="preserve"> </w:t>
      </w:r>
      <w:r w:rsidRPr="000D40F2">
        <w:rPr>
          <w:rFonts w:ascii="Times New Roman" w:hAnsi="Times New Roman" w:eastAsia="Times New Roman"/>
          <w:bCs/>
          <w:sz w:val="26"/>
          <w:szCs w:val="26"/>
        </w:rPr>
        <w:t xml:space="preserve">and FERC Form No. </w:t>
      </w:r>
      <w:r>
        <w:rPr>
          <w:rFonts w:ascii="Times New Roman" w:hAnsi="Times New Roman" w:eastAsia="Times New Roman"/>
          <w:bCs/>
          <w:sz w:val="26"/>
          <w:szCs w:val="26"/>
        </w:rPr>
        <w:t>2-A</w:t>
      </w:r>
      <w:r w:rsidRPr="000D40F2">
        <w:rPr>
          <w:rFonts w:ascii="Times New Roman" w:hAnsi="Times New Roman" w:eastAsia="Times New Roman"/>
          <w:bCs/>
          <w:sz w:val="26"/>
          <w:szCs w:val="26"/>
        </w:rPr>
        <w:t xml:space="preserve"> (</w:t>
      </w:r>
      <w:r>
        <w:rPr>
          <w:rFonts w:ascii="Times New Roman" w:hAnsi="Times New Roman" w:eastAsia="Times New Roman"/>
          <w:bCs/>
          <w:sz w:val="26"/>
          <w:szCs w:val="26"/>
        </w:rPr>
        <w:t>Annual Report for Non-Major Natural Gas Companies</w:t>
      </w:r>
      <w:r w:rsidRPr="000D40F2">
        <w:rPr>
          <w:rFonts w:ascii="Times New Roman" w:hAnsi="Times New Roman" w:eastAsia="Times New Roman"/>
          <w:bCs/>
          <w:sz w:val="26"/>
          <w:szCs w:val="26"/>
        </w:rPr>
        <w:t>, OMB Control No. 1902-0206), with no changes to the reporting requirements</w:t>
      </w:r>
      <w:r w:rsidRPr="000D40F2">
        <w:rPr>
          <w:rFonts w:ascii="Times New Roman" w:hAnsi="Times New Roman" w:eastAsia="Times New Roman"/>
          <w:sz w:val="26"/>
          <w:szCs w:val="26"/>
        </w:rPr>
        <w:t>.</w:t>
      </w:r>
      <w:r w:rsidRPr="000D40F2">
        <w:rPr>
          <w:rFonts w:ascii="Times New Roman" w:hAnsi="Times New Roman" w:eastAsia="Times New Roman"/>
          <w:sz w:val="26"/>
          <w:szCs w:val="26"/>
          <w:vertAlign w:val="superscript"/>
        </w:rPr>
        <w:footnoteReference w:id="2"/>
      </w:r>
      <w:r w:rsidRPr="000D40F2">
        <w:rPr>
          <w:rFonts w:ascii="Times New Roman" w:hAnsi="Times New Roman" w:eastAsia="Times New Roman"/>
          <w:sz w:val="26"/>
          <w:szCs w:val="26"/>
          <w:vertAlign w:val="superscript"/>
        </w:rPr>
        <w:t xml:space="preserve">  </w:t>
      </w:r>
      <w:r w:rsidRPr="000D40F2">
        <w:rPr>
          <w:rFonts w:ascii="Times New Roman" w:hAnsi="Times New Roman" w:eastAsia="Times New Roman"/>
          <w:sz w:val="26"/>
          <w:szCs w:val="26"/>
        </w:rPr>
        <w:t xml:space="preserve">FERC Form No. </w:t>
      </w:r>
      <w:r>
        <w:rPr>
          <w:rFonts w:ascii="Times New Roman" w:hAnsi="Times New Roman" w:eastAsia="Times New Roman"/>
          <w:sz w:val="26"/>
          <w:szCs w:val="26"/>
        </w:rPr>
        <w:t>2</w:t>
      </w:r>
      <w:r w:rsidRPr="000D40F2">
        <w:rPr>
          <w:rFonts w:ascii="Times New Roman" w:hAnsi="Times New Roman" w:eastAsia="Times New Roman"/>
          <w:sz w:val="26"/>
          <w:szCs w:val="26"/>
        </w:rPr>
        <w:t xml:space="preserve"> is mandated in Title 18 Code of Federal Regulations (CFR) </w:t>
      </w:r>
      <w:r w:rsidR="00487F61">
        <w:rPr>
          <w:rFonts w:ascii="Times New Roman" w:hAnsi="Times New Roman" w:eastAsia="Times New Roman"/>
          <w:sz w:val="26"/>
          <w:szCs w:val="26"/>
        </w:rPr>
        <w:t>§</w:t>
      </w:r>
      <w:r>
        <w:rPr>
          <w:rFonts w:ascii="Times New Roman" w:hAnsi="Times New Roman" w:eastAsia="Times New Roman"/>
          <w:sz w:val="26"/>
          <w:szCs w:val="26"/>
        </w:rPr>
        <w:t>260.1</w:t>
      </w:r>
      <w:r w:rsidRPr="000D40F2">
        <w:rPr>
          <w:rFonts w:ascii="Times New Roman" w:hAnsi="Times New Roman" w:eastAsia="Times New Roman"/>
          <w:sz w:val="26"/>
          <w:szCs w:val="26"/>
        </w:rPr>
        <w:t xml:space="preserve">. FERC Form No. </w:t>
      </w:r>
      <w:r>
        <w:rPr>
          <w:rFonts w:ascii="Times New Roman" w:hAnsi="Times New Roman" w:eastAsia="Times New Roman"/>
          <w:sz w:val="26"/>
          <w:szCs w:val="26"/>
        </w:rPr>
        <w:t>2-A</w:t>
      </w:r>
      <w:r w:rsidRPr="000D40F2">
        <w:rPr>
          <w:rFonts w:ascii="Times New Roman" w:hAnsi="Times New Roman" w:eastAsia="Times New Roman"/>
          <w:sz w:val="26"/>
          <w:szCs w:val="26"/>
        </w:rPr>
        <w:t xml:space="preserve"> is mandated in 18 CFR </w:t>
      </w:r>
      <w:r w:rsidR="00487F61">
        <w:rPr>
          <w:rFonts w:ascii="Times New Roman" w:hAnsi="Times New Roman" w:eastAsia="Times New Roman"/>
          <w:sz w:val="26"/>
          <w:szCs w:val="26"/>
        </w:rPr>
        <w:t>§</w:t>
      </w:r>
      <w:r>
        <w:rPr>
          <w:rFonts w:ascii="Times New Roman" w:hAnsi="Times New Roman" w:eastAsia="Times New Roman"/>
          <w:sz w:val="26"/>
          <w:szCs w:val="26"/>
        </w:rPr>
        <w:t>260.2</w:t>
      </w:r>
      <w:r w:rsidRPr="000D40F2">
        <w:rPr>
          <w:rFonts w:ascii="Times New Roman" w:hAnsi="Times New Roman" w:eastAsia="Times New Roman"/>
          <w:sz w:val="26"/>
          <w:szCs w:val="26"/>
        </w:rPr>
        <w:t xml:space="preserve">. </w:t>
      </w:r>
    </w:p>
    <w:p w:rsidRPr="00E9060E" w:rsidR="009D3942" w:rsidP="00212EF9" w:rsidRDefault="007E5B5A" w14:paraId="1C13F22C" w14:textId="44034D50">
      <w:pPr>
        <w:widowControl w:val="0"/>
        <w:autoSpaceDE w:val="0"/>
        <w:autoSpaceDN w:val="0"/>
        <w:adjustRightInd w:val="0"/>
        <w:spacing w:after="0" w:line="480" w:lineRule="auto"/>
        <w:ind w:firstLine="720"/>
        <w:rPr>
          <w:rFonts w:ascii="Times New Roman" w:hAnsi="Times New Roman"/>
          <w:b/>
          <w:sz w:val="26"/>
          <w:szCs w:val="26"/>
        </w:rPr>
      </w:pPr>
      <w:r w:rsidRPr="007E5B5A">
        <w:rPr>
          <w:rFonts w:ascii="Times New Roman" w:hAnsi="Times New Roman" w:eastAsia="Times New Roman"/>
          <w:sz w:val="26"/>
          <w:szCs w:val="26"/>
        </w:rPr>
        <w:t xml:space="preserve">Currently, </w:t>
      </w:r>
      <w:r>
        <w:rPr>
          <w:rFonts w:ascii="Times New Roman" w:hAnsi="Times New Roman" w:eastAsia="Times New Roman"/>
          <w:sz w:val="26"/>
          <w:szCs w:val="26"/>
        </w:rPr>
        <w:t xml:space="preserve">FERC Form No. 2 and 2-A </w:t>
      </w:r>
      <w:r w:rsidRPr="007E5B5A">
        <w:rPr>
          <w:rFonts w:ascii="Times New Roman" w:hAnsi="Times New Roman" w:eastAsia="Times New Roman"/>
          <w:sz w:val="26"/>
          <w:szCs w:val="26"/>
        </w:rPr>
        <w:t xml:space="preserve">filers transmit the information in the Commission </w:t>
      </w:r>
      <w:r w:rsidR="00487F61">
        <w:rPr>
          <w:rFonts w:ascii="Times New Roman" w:hAnsi="Times New Roman" w:eastAsia="Times New Roman"/>
          <w:sz w:val="26"/>
          <w:szCs w:val="26"/>
        </w:rPr>
        <w:t>f</w:t>
      </w:r>
      <w:r w:rsidRPr="007E5B5A">
        <w:rPr>
          <w:rFonts w:ascii="Times New Roman" w:hAnsi="Times New Roman" w:eastAsia="Times New Roman"/>
          <w:sz w:val="26"/>
          <w:szCs w:val="26"/>
        </w:rPr>
        <w:t xml:space="preserve">orms to the Commission using a software application called Virtual FoxPro (VFP).  This application is no longer supported by its developer, Microsoft Corporation.  As a result, in April 2015, the Commission issued an order announcing its intention to replace the VFP filing format for the Commission Forms with an </w:t>
      </w:r>
      <w:proofErr w:type="spellStart"/>
      <w:r w:rsidRPr="007E5B5A">
        <w:rPr>
          <w:rFonts w:ascii="Times New Roman" w:hAnsi="Times New Roman" w:eastAsia="Times New Roman"/>
          <w:sz w:val="26"/>
          <w:szCs w:val="26"/>
        </w:rPr>
        <w:t>eXtensible</w:t>
      </w:r>
      <w:proofErr w:type="spellEnd"/>
      <w:r w:rsidRPr="007E5B5A">
        <w:rPr>
          <w:rFonts w:ascii="Times New Roman" w:hAnsi="Times New Roman" w:eastAsia="Times New Roman"/>
          <w:sz w:val="26"/>
          <w:szCs w:val="26"/>
        </w:rPr>
        <w:t xml:space="preserve"> Markup </w:t>
      </w:r>
      <w:r w:rsidRPr="007E5B5A">
        <w:rPr>
          <w:rFonts w:ascii="Times New Roman" w:hAnsi="Times New Roman" w:eastAsia="Times New Roman"/>
          <w:sz w:val="26"/>
          <w:szCs w:val="26"/>
        </w:rPr>
        <w:lastRenderedPageBreak/>
        <w:t>Language (XML)-based filing format.</w:t>
      </w:r>
      <w:r w:rsidRPr="007E5B5A">
        <w:rPr>
          <w:rFonts w:ascii="Times New Roman" w:hAnsi="Times New Roman" w:eastAsia="Times New Roman"/>
          <w:b/>
          <w:sz w:val="26"/>
          <w:szCs w:val="26"/>
          <w:vertAlign w:val="superscript"/>
        </w:rPr>
        <w:footnoteReference w:id="3"/>
      </w:r>
      <w:r w:rsidRPr="007E5B5A">
        <w:rPr>
          <w:rFonts w:ascii="Times New Roman" w:hAnsi="Times New Roman" w:eastAsia="Times New Roman"/>
          <w:sz w:val="26"/>
          <w:szCs w:val="26"/>
        </w:rPr>
        <w:t xml:space="preserve">  On June 20, 2019, the Commission issued Order No. 859, which adopted </w:t>
      </w:r>
      <w:proofErr w:type="spellStart"/>
      <w:r w:rsidRPr="00C30B8A" w:rsidR="00C30B8A">
        <w:rPr>
          <w:rFonts w:ascii="Times New Roman" w:hAnsi="Times New Roman" w:eastAsia="Times New Roman"/>
          <w:sz w:val="26"/>
          <w:szCs w:val="26"/>
        </w:rPr>
        <w:t>eXtensible</w:t>
      </w:r>
      <w:proofErr w:type="spellEnd"/>
      <w:r w:rsidRPr="00C30B8A" w:rsidR="00C30B8A">
        <w:rPr>
          <w:rFonts w:ascii="Times New Roman" w:hAnsi="Times New Roman" w:eastAsia="Times New Roman"/>
          <w:sz w:val="26"/>
          <w:szCs w:val="26"/>
        </w:rPr>
        <w:t xml:space="preserve"> Business Reporting Language </w:t>
      </w:r>
      <w:r w:rsidR="00C30B8A">
        <w:rPr>
          <w:rFonts w:ascii="Times New Roman" w:hAnsi="Times New Roman" w:eastAsia="Times New Roman"/>
          <w:sz w:val="26"/>
          <w:szCs w:val="26"/>
        </w:rPr>
        <w:t>(</w:t>
      </w:r>
      <w:r w:rsidRPr="007E5B5A">
        <w:rPr>
          <w:rFonts w:ascii="Times New Roman" w:hAnsi="Times New Roman" w:eastAsia="Times New Roman"/>
          <w:sz w:val="26"/>
          <w:szCs w:val="26"/>
        </w:rPr>
        <w:t>XBRL</w:t>
      </w:r>
      <w:r w:rsidR="00C30B8A">
        <w:rPr>
          <w:rFonts w:ascii="Times New Roman" w:hAnsi="Times New Roman" w:eastAsia="Times New Roman"/>
          <w:sz w:val="26"/>
          <w:szCs w:val="26"/>
        </w:rPr>
        <w:t>)</w:t>
      </w:r>
      <w:r w:rsidRPr="007E5B5A">
        <w:rPr>
          <w:rFonts w:ascii="Times New Roman" w:hAnsi="Times New Roman" w:eastAsia="Times New Roman"/>
          <w:sz w:val="26"/>
          <w:szCs w:val="26"/>
        </w:rPr>
        <w:t xml:space="preserve"> as the standard for filing Commission Forms.</w:t>
      </w:r>
      <w:r w:rsidRPr="00212EF9">
        <w:rPr>
          <w:rStyle w:val="FootnoteReference"/>
          <w:rFonts w:ascii="Times New Roman" w:hAnsi="Times New Roman" w:eastAsia="Times New Roman"/>
          <w:sz w:val="26"/>
          <w:szCs w:val="26"/>
          <w:vertAlign w:val="superscript"/>
        </w:rPr>
        <w:footnoteReference w:id="4"/>
      </w:r>
      <w:r w:rsidRPr="007E5B5A">
        <w:rPr>
          <w:rFonts w:ascii="Times New Roman" w:hAnsi="Times New Roman" w:eastAsia="Times New Roman"/>
          <w:sz w:val="26"/>
          <w:szCs w:val="26"/>
        </w:rPr>
        <w:t xml:space="preserve">  OMB issued its decisions on the proposed changes in the </w:t>
      </w:r>
      <w:r w:rsidR="00500691">
        <w:rPr>
          <w:rFonts w:ascii="Times New Roman" w:hAnsi="Times New Roman" w:eastAsia="Times New Roman"/>
          <w:sz w:val="26"/>
          <w:szCs w:val="26"/>
        </w:rPr>
        <w:t>XBRL/</w:t>
      </w:r>
      <w:proofErr w:type="spellStart"/>
      <w:r w:rsidR="00C30B8A">
        <w:rPr>
          <w:rFonts w:ascii="Times New Roman" w:hAnsi="Times New Roman" w:eastAsia="Times New Roman"/>
          <w:sz w:val="26"/>
          <w:szCs w:val="26"/>
        </w:rPr>
        <w:t>e</w:t>
      </w:r>
      <w:r w:rsidRPr="007E5B5A">
        <w:rPr>
          <w:rFonts w:ascii="Times New Roman" w:hAnsi="Times New Roman" w:eastAsia="Times New Roman"/>
          <w:sz w:val="26"/>
          <w:szCs w:val="26"/>
        </w:rPr>
        <w:t>Forms</w:t>
      </w:r>
      <w:proofErr w:type="spellEnd"/>
      <w:r w:rsidRPr="007E5B5A">
        <w:rPr>
          <w:rFonts w:ascii="Times New Roman" w:hAnsi="Times New Roman" w:eastAsia="Times New Roman"/>
          <w:sz w:val="26"/>
          <w:szCs w:val="26"/>
        </w:rPr>
        <w:t xml:space="preserve"> Refresh Rulemaking in Docket No. RM19-12 on </w:t>
      </w:r>
      <w:r w:rsidR="00D60934">
        <w:rPr>
          <w:rFonts w:ascii="Times New Roman" w:hAnsi="Times New Roman" w:eastAsia="Times New Roman"/>
          <w:sz w:val="26"/>
          <w:szCs w:val="26"/>
        </w:rPr>
        <w:t>September 9, 2019</w:t>
      </w:r>
      <w:r w:rsidR="00487F61">
        <w:rPr>
          <w:rFonts w:ascii="Times New Roman" w:hAnsi="Times New Roman" w:eastAsia="Times New Roman"/>
          <w:sz w:val="26"/>
          <w:szCs w:val="26"/>
        </w:rPr>
        <w:t>.</w:t>
      </w:r>
      <w:r>
        <w:rPr>
          <w:rFonts w:ascii="Times New Roman" w:hAnsi="Times New Roman" w:eastAsia="Times New Roman"/>
          <w:sz w:val="26"/>
          <w:szCs w:val="26"/>
        </w:rPr>
        <w:t xml:space="preserve">  To the extent the </w:t>
      </w:r>
      <w:r w:rsidR="00A8669F">
        <w:rPr>
          <w:rFonts w:ascii="Times New Roman" w:hAnsi="Times New Roman" w:eastAsia="Times New Roman"/>
          <w:sz w:val="26"/>
          <w:szCs w:val="26"/>
        </w:rPr>
        <w:t xml:space="preserve">OMB-approved </w:t>
      </w:r>
      <w:r>
        <w:rPr>
          <w:rFonts w:ascii="Times New Roman" w:hAnsi="Times New Roman" w:eastAsia="Times New Roman"/>
          <w:sz w:val="26"/>
          <w:szCs w:val="26"/>
        </w:rPr>
        <w:t>XBRL/</w:t>
      </w:r>
      <w:proofErr w:type="spellStart"/>
      <w:r w:rsidR="00C30B8A">
        <w:rPr>
          <w:rFonts w:ascii="Times New Roman" w:hAnsi="Times New Roman" w:eastAsia="Times New Roman"/>
          <w:sz w:val="26"/>
          <w:szCs w:val="26"/>
        </w:rPr>
        <w:t>e</w:t>
      </w:r>
      <w:r>
        <w:rPr>
          <w:rFonts w:ascii="Times New Roman" w:hAnsi="Times New Roman" w:eastAsia="Times New Roman"/>
          <w:sz w:val="26"/>
          <w:szCs w:val="26"/>
        </w:rPr>
        <w:t>Forms</w:t>
      </w:r>
      <w:proofErr w:type="spellEnd"/>
      <w:r>
        <w:rPr>
          <w:rFonts w:ascii="Times New Roman" w:hAnsi="Times New Roman" w:eastAsia="Times New Roman"/>
          <w:sz w:val="26"/>
          <w:szCs w:val="26"/>
        </w:rPr>
        <w:t xml:space="preserve"> Refresh burden estimates are relevant</w:t>
      </w:r>
      <w:r w:rsidR="00A8669F">
        <w:rPr>
          <w:rFonts w:ascii="Times New Roman" w:hAnsi="Times New Roman" w:eastAsia="Times New Roman"/>
          <w:sz w:val="26"/>
          <w:szCs w:val="26"/>
        </w:rPr>
        <w:t xml:space="preserve"> to FERC Form Nos. 2 and 2-A respondents</w:t>
      </w:r>
      <w:r>
        <w:rPr>
          <w:rFonts w:ascii="Times New Roman" w:hAnsi="Times New Roman" w:eastAsia="Times New Roman"/>
          <w:sz w:val="26"/>
          <w:szCs w:val="26"/>
        </w:rPr>
        <w:t>, the</w:t>
      </w:r>
      <w:r w:rsidR="00A8669F">
        <w:rPr>
          <w:rFonts w:ascii="Times New Roman" w:hAnsi="Times New Roman" w:eastAsia="Times New Roman"/>
          <w:sz w:val="26"/>
          <w:szCs w:val="26"/>
        </w:rPr>
        <w:t xml:space="preserve"> estimates</w:t>
      </w:r>
      <w:r>
        <w:rPr>
          <w:rFonts w:ascii="Times New Roman" w:hAnsi="Times New Roman" w:eastAsia="Times New Roman"/>
          <w:sz w:val="26"/>
          <w:szCs w:val="26"/>
        </w:rPr>
        <w:t xml:space="preserve"> are </w:t>
      </w:r>
      <w:r w:rsidR="00A8669F">
        <w:rPr>
          <w:rFonts w:ascii="Times New Roman" w:hAnsi="Times New Roman" w:eastAsia="Times New Roman"/>
          <w:sz w:val="26"/>
          <w:szCs w:val="26"/>
        </w:rPr>
        <w:t>included in sections 12</w:t>
      </w:r>
      <w:r w:rsidR="00487F61">
        <w:rPr>
          <w:rFonts w:ascii="Times New Roman" w:hAnsi="Times New Roman" w:eastAsia="Times New Roman"/>
          <w:sz w:val="26"/>
          <w:szCs w:val="26"/>
        </w:rPr>
        <w:t>-</w:t>
      </w:r>
      <w:r w:rsidR="00A8669F">
        <w:rPr>
          <w:rFonts w:ascii="Times New Roman" w:hAnsi="Times New Roman" w:eastAsia="Times New Roman"/>
          <w:sz w:val="26"/>
          <w:szCs w:val="26"/>
        </w:rPr>
        <w:t>1</w:t>
      </w:r>
      <w:r w:rsidR="00500691">
        <w:rPr>
          <w:rFonts w:ascii="Times New Roman" w:hAnsi="Times New Roman" w:eastAsia="Times New Roman"/>
          <w:sz w:val="26"/>
          <w:szCs w:val="26"/>
        </w:rPr>
        <w:t>5</w:t>
      </w:r>
      <w:r w:rsidR="00A8669F">
        <w:rPr>
          <w:rFonts w:ascii="Times New Roman" w:hAnsi="Times New Roman" w:eastAsia="Times New Roman"/>
          <w:sz w:val="26"/>
          <w:szCs w:val="26"/>
        </w:rPr>
        <w:t xml:space="preserve"> below.</w:t>
      </w:r>
    </w:p>
    <w:p w:rsidRPr="00E9060E" w:rsidR="00963B12" w:rsidP="001F096A" w:rsidRDefault="00963B12" w14:paraId="3BFB6861" w14:textId="77777777">
      <w:pPr>
        <w:spacing w:after="0" w:line="240" w:lineRule="auto"/>
        <w:rPr>
          <w:rFonts w:ascii="Times New Roman" w:hAnsi="Times New Roman"/>
          <w:sz w:val="26"/>
          <w:szCs w:val="26"/>
        </w:rPr>
      </w:pPr>
    </w:p>
    <w:p w:rsidRPr="00E9060E" w:rsidR="009C7F55" w:rsidP="00BD0F89" w:rsidRDefault="009C7F55" w14:paraId="41D5B9C4" w14:textId="77777777">
      <w:pPr>
        <w:pStyle w:val="ListParagraph"/>
        <w:numPr>
          <w:ilvl w:val="0"/>
          <w:numId w:val="14"/>
        </w:numPr>
        <w:spacing w:after="0" w:line="240" w:lineRule="auto"/>
        <w:rPr>
          <w:rFonts w:ascii="Times New Roman" w:hAnsi="Times New Roman"/>
          <w:b/>
          <w:sz w:val="26"/>
          <w:szCs w:val="26"/>
        </w:rPr>
      </w:pPr>
      <w:r w:rsidRPr="00E9060E">
        <w:rPr>
          <w:rFonts w:ascii="Times New Roman" w:hAnsi="Times New Roman"/>
          <w:b/>
          <w:sz w:val="26"/>
          <w:szCs w:val="26"/>
        </w:rPr>
        <w:t xml:space="preserve">CIRCUMSTANCES THAT MAKE THE COLLECTION OF INFORMATION NECESSARY </w:t>
      </w:r>
    </w:p>
    <w:p w:rsidR="006E5D79" w:rsidP="00BD0F89" w:rsidRDefault="006E5D79" w14:paraId="5D6A7A60" w14:textId="05E7FF3A">
      <w:pPr>
        <w:spacing w:after="0" w:line="240" w:lineRule="auto"/>
        <w:rPr>
          <w:rFonts w:ascii="Times New Roman" w:hAnsi="Times New Roman" w:eastAsia="Times New Roman"/>
          <w:b/>
          <w:sz w:val="26"/>
          <w:szCs w:val="26"/>
        </w:rPr>
      </w:pPr>
    </w:p>
    <w:p w:rsidRPr="00DE7921" w:rsidR="002C4518" w:rsidP="002C4518" w:rsidRDefault="002C4518" w14:paraId="27C17640" w14:textId="77777777">
      <w:pPr>
        <w:spacing w:after="0" w:line="480" w:lineRule="auto"/>
        <w:rPr>
          <w:rFonts w:ascii="Times New Roman" w:hAnsi="Times New Roman" w:eastAsia="Times New Roman"/>
          <w:sz w:val="26"/>
          <w:szCs w:val="26"/>
        </w:rPr>
      </w:pPr>
      <w:r w:rsidRPr="00DE7921">
        <w:rPr>
          <w:rFonts w:ascii="Times New Roman" w:hAnsi="Times New Roman" w:eastAsia="Times New Roman"/>
          <w:sz w:val="26"/>
          <w:szCs w:val="26"/>
        </w:rPr>
        <w:t xml:space="preserve">Pursuant to sections 8, 10 and 14 of the Natural Gas Act (NGA), (15 U.S.C. 717g, 717i, and 717m), the Commission is authorized to conduct investigations and collect and record data, and to prescribe rules and regulations concerning accounts, records and memoranda as necessary or appropriate for purposes of administering the NGA.  The Commission may prescribe a system of accounts for jurisdictional companies and, after notice and opportunity for hearing, may determine the accounts in which </w:t>
      </w:r>
      <w:proofErr w:type="gramStart"/>
      <w:r w:rsidRPr="00DE7921">
        <w:rPr>
          <w:rFonts w:ascii="Times New Roman" w:hAnsi="Times New Roman" w:eastAsia="Times New Roman"/>
          <w:sz w:val="26"/>
          <w:szCs w:val="26"/>
        </w:rPr>
        <w:t>particular outlays</w:t>
      </w:r>
      <w:proofErr w:type="gramEnd"/>
      <w:r w:rsidRPr="00DE7921">
        <w:rPr>
          <w:rFonts w:ascii="Times New Roman" w:hAnsi="Times New Roman" w:eastAsia="Times New Roman"/>
          <w:sz w:val="26"/>
          <w:szCs w:val="26"/>
        </w:rPr>
        <w:t xml:space="preserve"> and receipts will be entered, charged or credited.  </w:t>
      </w:r>
    </w:p>
    <w:p w:rsidRPr="00DE7921" w:rsidR="002C4518" w:rsidP="002C4518" w:rsidRDefault="002C4518" w14:paraId="43E23EC1" w14:textId="627F1D16">
      <w:pPr>
        <w:spacing w:after="0" w:line="480" w:lineRule="auto"/>
        <w:ind w:firstLine="720"/>
        <w:rPr>
          <w:rFonts w:ascii="Times New Roman" w:hAnsi="Times New Roman" w:eastAsia="Times New Roman"/>
          <w:sz w:val="26"/>
          <w:szCs w:val="24"/>
        </w:rPr>
      </w:pPr>
      <w:r w:rsidRPr="00DE7921">
        <w:rPr>
          <w:rFonts w:ascii="Times New Roman" w:hAnsi="Times New Roman" w:eastAsia="Times New Roman"/>
          <w:sz w:val="26"/>
          <w:szCs w:val="26"/>
        </w:rPr>
        <w:t xml:space="preserve">The Commission collects FERC Form Nos. 2 and 2-A information as prescribed in 18 CFR </w:t>
      </w:r>
      <w:r w:rsidR="00C30B8A">
        <w:rPr>
          <w:rFonts w:ascii="Times New Roman" w:hAnsi="Times New Roman" w:eastAsia="Times New Roman"/>
          <w:sz w:val="26"/>
          <w:szCs w:val="26"/>
        </w:rPr>
        <w:t>§</w:t>
      </w:r>
      <w:r w:rsidRPr="00DE7921">
        <w:rPr>
          <w:rFonts w:ascii="Times New Roman" w:hAnsi="Times New Roman" w:eastAsia="Times New Roman"/>
          <w:sz w:val="26"/>
          <w:szCs w:val="26"/>
        </w:rPr>
        <w:t xml:space="preserve">260.1 and 18 CFR </w:t>
      </w:r>
      <w:r w:rsidR="00C30B8A">
        <w:rPr>
          <w:rFonts w:ascii="Times New Roman" w:hAnsi="Times New Roman" w:eastAsia="Times New Roman"/>
          <w:sz w:val="26"/>
          <w:szCs w:val="26"/>
        </w:rPr>
        <w:t>§</w:t>
      </w:r>
      <w:r w:rsidRPr="00DE7921">
        <w:rPr>
          <w:rFonts w:ascii="Times New Roman" w:hAnsi="Times New Roman" w:eastAsia="Times New Roman"/>
          <w:sz w:val="26"/>
          <w:szCs w:val="26"/>
        </w:rPr>
        <w:t>260.2.</w:t>
      </w:r>
      <w:r w:rsidRPr="00DE7921">
        <w:rPr>
          <w:rFonts w:ascii="Times New Roman" w:hAnsi="Times New Roman" w:eastAsia="Times New Roman"/>
          <w:sz w:val="26"/>
          <w:szCs w:val="24"/>
        </w:rPr>
        <w:t xml:space="preserve">  These forms provide information concerning a </w:t>
      </w:r>
      <w:r w:rsidRPr="00DE7921">
        <w:rPr>
          <w:rFonts w:ascii="Times New Roman" w:hAnsi="Times New Roman" w:eastAsia="Times New Roman"/>
          <w:sz w:val="26"/>
          <w:szCs w:val="24"/>
        </w:rPr>
        <w:lastRenderedPageBreak/>
        <w:t>company’s current performance, compiled using the Commission’s Uniform System of Accounts (</w:t>
      </w:r>
      <w:proofErr w:type="spellStart"/>
      <w:r w:rsidRPr="00DE7921">
        <w:rPr>
          <w:rFonts w:ascii="Times New Roman" w:hAnsi="Times New Roman" w:eastAsia="Times New Roman"/>
          <w:sz w:val="26"/>
          <w:szCs w:val="24"/>
        </w:rPr>
        <w:t>USofA</w:t>
      </w:r>
      <w:proofErr w:type="spellEnd"/>
      <w:r w:rsidRPr="00DE7921">
        <w:rPr>
          <w:rFonts w:ascii="Times New Roman" w:hAnsi="Times New Roman" w:eastAsia="Times New Roman"/>
          <w:sz w:val="26"/>
          <w:szCs w:val="24"/>
        </w:rPr>
        <w:t>).</w:t>
      </w:r>
      <w:r w:rsidRPr="00DE7921">
        <w:rPr>
          <w:rFonts w:ascii="Times New Roman" w:hAnsi="Times New Roman" w:eastAsia="Times New Roman"/>
          <w:b/>
          <w:sz w:val="26"/>
          <w:szCs w:val="24"/>
          <w:vertAlign w:val="superscript"/>
        </w:rPr>
        <w:footnoteReference w:id="5"/>
      </w:r>
      <w:r w:rsidRPr="00DE7921">
        <w:rPr>
          <w:rFonts w:ascii="Times New Roman" w:hAnsi="Times New Roman" w:eastAsia="Times New Roman"/>
          <w:sz w:val="26"/>
          <w:szCs w:val="24"/>
        </w:rPr>
        <w:t xml:space="preserve">  FERC Form No. 2</w:t>
      </w:r>
      <w:r w:rsidRPr="00DE7921">
        <w:rPr>
          <w:rFonts w:ascii="Times New Roman" w:hAnsi="Times New Roman" w:eastAsia="Times New Roman"/>
          <w:b/>
          <w:sz w:val="26"/>
          <w:szCs w:val="24"/>
        </w:rPr>
        <w:t xml:space="preserve"> </w:t>
      </w:r>
      <w:r w:rsidRPr="00DE7921">
        <w:rPr>
          <w:rFonts w:ascii="Times New Roman" w:hAnsi="Times New Roman" w:eastAsia="Times New Roman"/>
          <w:sz w:val="26"/>
          <w:szCs w:val="24"/>
        </w:rPr>
        <w:t xml:space="preserve">is filed by “Major” natural gas companies that have combined natural gas transported or stored for a fee that exceeds 50 million Dekatherms in each of the three previous calendar years.  FERC Form No. 2-A is filed by “Non-Major” natural gas companies that do not meet the filing threshold for the FERC Form </w:t>
      </w:r>
      <w:proofErr w:type="gramStart"/>
      <w:r w:rsidRPr="00DE7921">
        <w:rPr>
          <w:rFonts w:ascii="Times New Roman" w:hAnsi="Times New Roman" w:eastAsia="Times New Roman"/>
          <w:sz w:val="26"/>
          <w:szCs w:val="24"/>
        </w:rPr>
        <w:t>No. 2, but</w:t>
      </w:r>
      <w:proofErr w:type="gramEnd"/>
      <w:r w:rsidRPr="00DE7921">
        <w:rPr>
          <w:rFonts w:ascii="Times New Roman" w:hAnsi="Times New Roman" w:eastAsia="Times New Roman"/>
          <w:sz w:val="26"/>
          <w:szCs w:val="24"/>
        </w:rPr>
        <w:t xml:space="preserve"> have total gas sales or volume transactions that exceed 200,000 Dekatherms in each of the three previous calendar years.  </w:t>
      </w:r>
    </w:p>
    <w:p w:rsidRPr="00DE7921" w:rsidR="002C4518" w:rsidP="002C4518" w:rsidRDefault="00C30B8A" w14:paraId="598E5338" w14:textId="2865800B">
      <w:pPr>
        <w:spacing w:after="0" w:line="480" w:lineRule="auto"/>
        <w:ind w:firstLine="720"/>
        <w:rPr>
          <w:rFonts w:ascii="Times New Roman" w:hAnsi="Times New Roman" w:eastAsia="Times New Roman"/>
          <w:sz w:val="26"/>
          <w:szCs w:val="24"/>
        </w:rPr>
      </w:pPr>
      <w:r>
        <w:rPr>
          <w:rFonts w:ascii="Times New Roman" w:hAnsi="Times New Roman" w:eastAsia="Times New Roman"/>
          <w:sz w:val="26"/>
          <w:szCs w:val="24"/>
        </w:rPr>
        <w:t xml:space="preserve">The forms </w:t>
      </w:r>
      <w:r w:rsidRPr="00DE7921" w:rsidR="002C4518">
        <w:rPr>
          <w:rFonts w:ascii="Times New Roman" w:hAnsi="Times New Roman" w:eastAsia="Times New Roman"/>
          <w:sz w:val="26"/>
          <w:szCs w:val="24"/>
        </w:rPr>
        <w:t xml:space="preserve">provide information concerning a company’s financial and operational information.  The forms contain schedules which include a basic set of financial statements:  Comparative Balance Sheet, Statement of Income and Retained Earnings, Statement of Cash Flows, and the Statement of Comprehensive Income and Hedging Activities.  Supporting schedules containing supplementary information are filed, including revenues and the related quantities of products sold or transported; account balances for various operating and maintenance expenses; selected plant cost data; and other information. </w:t>
      </w:r>
    </w:p>
    <w:p w:rsidRPr="00DE7921" w:rsidR="002C4518" w:rsidP="002C4518" w:rsidRDefault="002C4518" w14:paraId="441B74C5" w14:textId="59DCBA93">
      <w:pPr>
        <w:spacing w:after="0" w:line="480" w:lineRule="auto"/>
        <w:ind w:firstLine="720"/>
        <w:rPr>
          <w:rFonts w:ascii="Times New Roman" w:hAnsi="Times New Roman" w:eastAsia="Times New Roman"/>
          <w:sz w:val="26"/>
          <w:szCs w:val="24"/>
        </w:rPr>
      </w:pPr>
      <w:r w:rsidRPr="00DE7921">
        <w:rPr>
          <w:rFonts w:ascii="Times New Roman" w:hAnsi="Times New Roman" w:eastAsia="Times New Roman"/>
          <w:sz w:val="26"/>
          <w:szCs w:val="24"/>
        </w:rPr>
        <w:t xml:space="preserve">The information collected assists the Commission in the administration of its jurisdictional responsibilities and is used by Commission staff, state regulatory agencies, customers, financial analysts and others in the review of the financial condition of regulated companies.  The information is also used in various rate proceedings, industry </w:t>
      </w:r>
      <w:r w:rsidRPr="00DE7921">
        <w:rPr>
          <w:rFonts w:ascii="Times New Roman" w:hAnsi="Times New Roman" w:eastAsia="Times New Roman"/>
          <w:sz w:val="26"/>
          <w:szCs w:val="24"/>
        </w:rPr>
        <w:lastRenderedPageBreak/>
        <w:t xml:space="preserve">analyses and in the </w:t>
      </w:r>
      <w:proofErr w:type="gramStart"/>
      <w:r w:rsidRPr="00DE7921">
        <w:rPr>
          <w:rFonts w:ascii="Times New Roman" w:hAnsi="Times New Roman" w:eastAsia="Times New Roman"/>
          <w:sz w:val="26"/>
          <w:szCs w:val="24"/>
        </w:rPr>
        <w:t>Commission’s</w:t>
      </w:r>
      <w:proofErr w:type="gramEnd"/>
      <w:r w:rsidRPr="00DE7921">
        <w:rPr>
          <w:rFonts w:ascii="Times New Roman" w:hAnsi="Times New Roman" w:eastAsia="Times New Roman"/>
          <w:sz w:val="26"/>
          <w:szCs w:val="24"/>
        </w:rPr>
        <w:t xml:space="preserve"> audit programs and</w:t>
      </w:r>
      <w:r w:rsidR="00C30B8A">
        <w:rPr>
          <w:rFonts w:ascii="Times New Roman" w:hAnsi="Times New Roman" w:eastAsia="Times New Roman"/>
          <w:sz w:val="26"/>
          <w:szCs w:val="24"/>
        </w:rPr>
        <w:t>,</w:t>
      </w:r>
      <w:r w:rsidRPr="00DE7921">
        <w:rPr>
          <w:rFonts w:ascii="Times New Roman" w:hAnsi="Times New Roman" w:eastAsia="Times New Roman"/>
          <w:sz w:val="26"/>
          <w:szCs w:val="24"/>
        </w:rPr>
        <w:t xml:space="preserve"> as appropriate, for the computation of annual charges.  The information is made available to the public, interveners and all interested parties to assist in the proceedings before the Commission.  For financial information to be useful to the Commission, it must be understandable, relevant, reliable and timely.  The Form Nos. 2 and 2-A financial statements are prepared in accordance with the Commission’s </w:t>
      </w:r>
      <w:proofErr w:type="spellStart"/>
      <w:r w:rsidRPr="00DE7921">
        <w:rPr>
          <w:rFonts w:ascii="Times New Roman" w:hAnsi="Times New Roman" w:eastAsia="Times New Roman"/>
          <w:sz w:val="26"/>
          <w:szCs w:val="24"/>
        </w:rPr>
        <w:t>USofA</w:t>
      </w:r>
      <w:proofErr w:type="spellEnd"/>
      <w:r w:rsidRPr="00DE7921">
        <w:rPr>
          <w:rFonts w:ascii="Times New Roman" w:hAnsi="Times New Roman" w:eastAsia="Times New Roman"/>
          <w:sz w:val="26"/>
          <w:szCs w:val="24"/>
        </w:rPr>
        <w:t xml:space="preserve"> and related regulations, and provide data that enables the Commission to develop and monitor cost-based rates, analyze costs of different services and classes of assets, and compare costs across lines of business.  The use of the </w:t>
      </w:r>
      <w:proofErr w:type="spellStart"/>
      <w:r w:rsidRPr="00DE7921">
        <w:rPr>
          <w:rFonts w:ascii="Times New Roman" w:hAnsi="Times New Roman" w:eastAsia="Times New Roman"/>
          <w:sz w:val="26"/>
          <w:szCs w:val="24"/>
        </w:rPr>
        <w:t>USofA</w:t>
      </w:r>
      <w:proofErr w:type="spellEnd"/>
      <w:r w:rsidRPr="00DE7921">
        <w:rPr>
          <w:rFonts w:ascii="Times New Roman" w:hAnsi="Times New Roman" w:eastAsia="Times New Roman"/>
          <w:sz w:val="26"/>
          <w:szCs w:val="24"/>
        </w:rPr>
        <w:t xml:space="preserve"> permits natural gas companies to account for similar transactions and events in a consistent manner, and to communicate those results to the Commission on a periodic basis.  Comparability of data and financial statement analysis for a particular entity from one period to the next, or between entities, within the same industry, would be difficult to achieve if each company maintained its own accounting records using dissimilar accounting methods and classifications to record similar transactions and events.</w:t>
      </w:r>
    </w:p>
    <w:p w:rsidRPr="00DE7921" w:rsidR="002C4518" w:rsidP="002C4518" w:rsidRDefault="002C4518" w14:paraId="6C5B72D8" w14:textId="77777777">
      <w:pPr>
        <w:spacing w:after="0" w:line="480" w:lineRule="auto"/>
        <w:rPr>
          <w:rFonts w:ascii="Times New Roman" w:hAnsi="Times New Roman" w:eastAsia="Times New Roman"/>
          <w:sz w:val="26"/>
          <w:szCs w:val="24"/>
        </w:rPr>
      </w:pPr>
      <w:r w:rsidRPr="00DE7921">
        <w:rPr>
          <w:rFonts w:ascii="Times New Roman" w:hAnsi="Times New Roman" w:eastAsia="Times New Roman"/>
          <w:sz w:val="26"/>
          <w:szCs w:val="24"/>
        </w:rPr>
        <w:t>In summary, without the information collected in the forms, it would be difficult for the Commission to ensure, as required by the NGA, that a pipeline’s rates remain just and reasonable, respond to Congressional and outside inquires, and make decisions in a timely manner.</w:t>
      </w:r>
    </w:p>
    <w:p w:rsidRPr="00E9060E" w:rsidR="00471F97" w:rsidP="00BD0F89" w:rsidRDefault="00471F97" w14:paraId="025D3203" w14:textId="77777777">
      <w:pPr>
        <w:pStyle w:val="ListParagraph"/>
        <w:numPr>
          <w:ilvl w:val="0"/>
          <w:numId w:val="14"/>
        </w:numPr>
        <w:spacing w:after="0" w:line="240" w:lineRule="auto"/>
        <w:rPr>
          <w:rFonts w:ascii="Times New Roman" w:hAnsi="Times New Roman"/>
          <w:b/>
          <w:sz w:val="26"/>
          <w:szCs w:val="26"/>
        </w:rPr>
      </w:pPr>
      <w:r w:rsidRPr="00E9060E">
        <w:rPr>
          <w:rFonts w:ascii="Times New Roman" w:hAnsi="Times New Roman"/>
          <w:b/>
          <w:sz w:val="26"/>
          <w:szCs w:val="26"/>
        </w:rPr>
        <w:t>HOW, BY WHOM, AND FOR WHAT PURPOSE THE INFORMATION IS TO BE USED AND THE CONSEQUENCES OF NOT COLLECTING THE INFORMATION</w:t>
      </w:r>
    </w:p>
    <w:p w:rsidRPr="00E9060E" w:rsidR="007445A8" w:rsidP="00BD0F89" w:rsidRDefault="007445A8" w14:paraId="4C545E0D" w14:textId="77777777">
      <w:pPr>
        <w:spacing w:after="0" w:line="240" w:lineRule="auto"/>
        <w:rPr>
          <w:rFonts w:ascii="Times New Roman" w:hAnsi="Times New Roman"/>
          <w:sz w:val="26"/>
          <w:szCs w:val="26"/>
        </w:rPr>
      </w:pPr>
    </w:p>
    <w:p w:rsidRPr="00E9060E" w:rsidR="00BE75DC" w:rsidP="00BD0F89" w:rsidRDefault="00BE75DC" w14:paraId="6649A203" w14:textId="77777777">
      <w:pPr>
        <w:spacing w:after="0" w:line="240" w:lineRule="auto"/>
        <w:rPr>
          <w:rFonts w:ascii="Times New Roman" w:hAnsi="Times New Roman"/>
          <w:sz w:val="26"/>
          <w:szCs w:val="26"/>
        </w:rPr>
      </w:pPr>
    </w:p>
    <w:p w:rsidRPr="00E9060E" w:rsidR="002C0DA6" w:rsidP="00212EF9" w:rsidRDefault="0062523A" w14:paraId="7360E280" w14:textId="7C685808">
      <w:pPr>
        <w:spacing w:after="0" w:line="480" w:lineRule="auto"/>
        <w:ind w:firstLine="360"/>
        <w:rPr>
          <w:rFonts w:ascii="Times New Roman" w:hAnsi="Times New Roman"/>
          <w:sz w:val="26"/>
          <w:szCs w:val="26"/>
        </w:rPr>
      </w:pPr>
      <w:r w:rsidRPr="00212EF9">
        <w:rPr>
          <w:rFonts w:ascii="Times New Roman" w:hAnsi="Times New Roman"/>
          <w:bCs/>
          <w:sz w:val="26"/>
          <w:szCs w:val="26"/>
        </w:rPr>
        <w:t>FERC</w:t>
      </w:r>
      <w:r w:rsidRPr="00212EF9" w:rsidR="002123B8">
        <w:rPr>
          <w:rFonts w:ascii="Times New Roman" w:hAnsi="Times New Roman"/>
          <w:bCs/>
          <w:sz w:val="26"/>
          <w:szCs w:val="26"/>
        </w:rPr>
        <w:t xml:space="preserve"> Form Nos. </w:t>
      </w:r>
      <w:r w:rsidRPr="00212EF9">
        <w:rPr>
          <w:rFonts w:ascii="Times New Roman" w:hAnsi="Times New Roman"/>
          <w:bCs/>
          <w:sz w:val="26"/>
          <w:szCs w:val="26"/>
        </w:rPr>
        <w:t>2</w:t>
      </w:r>
      <w:r w:rsidRPr="00212EF9" w:rsidR="00560F70">
        <w:rPr>
          <w:rFonts w:ascii="Times New Roman" w:hAnsi="Times New Roman"/>
          <w:bCs/>
          <w:sz w:val="26"/>
          <w:szCs w:val="26"/>
        </w:rPr>
        <w:t xml:space="preserve"> and</w:t>
      </w:r>
      <w:r w:rsidRPr="00212EF9">
        <w:rPr>
          <w:rFonts w:ascii="Times New Roman" w:hAnsi="Times New Roman"/>
          <w:bCs/>
          <w:sz w:val="26"/>
          <w:szCs w:val="26"/>
        </w:rPr>
        <w:t xml:space="preserve"> </w:t>
      </w:r>
      <w:r w:rsidRPr="00212EF9" w:rsidR="00AC3A31">
        <w:rPr>
          <w:rFonts w:ascii="Times New Roman" w:hAnsi="Times New Roman"/>
          <w:bCs/>
          <w:sz w:val="26"/>
          <w:szCs w:val="26"/>
        </w:rPr>
        <w:t>2-A</w:t>
      </w:r>
      <w:r w:rsidRPr="00212EF9" w:rsidR="00152A6C">
        <w:rPr>
          <w:rFonts w:ascii="Times New Roman" w:hAnsi="Times New Roman"/>
          <w:bCs/>
          <w:sz w:val="26"/>
          <w:szCs w:val="26"/>
        </w:rPr>
        <w:t xml:space="preserve"> </w:t>
      </w:r>
      <w:r w:rsidRPr="00E956D6" w:rsidR="00A326E2">
        <w:rPr>
          <w:rFonts w:ascii="Times New Roman" w:hAnsi="Times New Roman"/>
          <w:bCs/>
          <w:sz w:val="26"/>
          <w:szCs w:val="26"/>
        </w:rPr>
        <w:t>provide</w:t>
      </w:r>
      <w:r w:rsidRPr="00E9060E" w:rsidR="00A326E2">
        <w:rPr>
          <w:rFonts w:ascii="Times New Roman" w:hAnsi="Times New Roman"/>
          <w:sz w:val="26"/>
          <w:szCs w:val="26"/>
        </w:rPr>
        <w:t xml:space="preserve"> information concerning a company’s current performance, compiled using the Commission’s </w:t>
      </w:r>
      <w:proofErr w:type="spellStart"/>
      <w:r w:rsidRPr="00E9060E" w:rsidR="00A326E2">
        <w:rPr>
          <w:rFonts w:ascii="Times New Roman" w:hAnsi="Times New Roman"/>
          <w:sz w:val="26"/>
          <w:szCs w:val="26"/>
        </w:rPr>
        <w:t>USofA</w:t>
      </w:r>
      <w:proofErr w:type="spellEnd"/>
      <w:r w:rsidRPr="00E9060E" w:rsidR="00A326E2">
        <w:rPr>
          <w:rFonts w:ascii="Times New Roman" w:hAnsi="Times New Roman"/>
          <w:sz w:val="26"/>
          <w:szCs w:val="26"/>
        </w:rPr>
        <w:t>.</w:t>
      </w:r>
      <w:r w:rsidRPr="00E9060E" w:rsidR="00A326E2">
        <w:rPr>
          <w:rFonts w:ascii="Times New Roman" w:hAnsi="Times New Roman"/>
          <w:b/>
          <w:sz w:val="26"/>
          <w:szCs w:val="26"/>
          <w:vertAlign w:val="superscript"/>
        </w:rPr>
        <w:footnoteReference w:id="6"/>
      </w:r>
      <w:r w:rsidRPr="00E9060E" w:rsidR="00A326E2">
        <w:rPr>
          <w:rFonts w:ascii="Times New Roman" w:hAnsi="Times New Roman"/>
          <w:sz w:val="26"/>
          <w:szCs w:val="26"/>
        </w:rPr>
        <w:t xml:space="preserve">  </w:t>
      </w:r>
      <w:r w:rsidR="00536181">
        <w:rPr>
          <w:rFonts w:ascii="Times New Roman" w:hAnsi="Times New Roman"/>
          <w:sz w:val="26"/>
          <w:szCs w:val="26"/>
        </w:rPr>
        <w:t xml:space="preserve">FERC </w:t>
      </w:r>
      <w:r w:rsidRPr="00E9060E" w:rsidR="002C0DA6">
        <w:rPr>
          <w:rFonts w:ascii="Times New Roman" w:hAnsi="Times New Roman"/>
          <w:sz w:val="26"/>
          <w:szCs w:val="26"/>
        </w:rPr>
        <w:t>Form No. 2</w:t>
      </w:r>
      <w:r w:rsidRPr="00E9060E" w:rsidR="002C0DA6">
        <w:rPr>
          <w:rFonts w:ascii="Times New Roman" w:hAnsi="Times New Roman"/>
          <w:b/>
          <w:sz w:val="26"/>
          <w:szCs w:val="26"/>
        </w:rPr>
        <w:t xml:space="preserve"> </w:t>
      </w:r>
      <w:r w:rsidRPr="00E9060E" w:rsidR="002C0DA6">
        <w:rPr>
          <w:rFonts w:ascii="Times New Roman" w:hAnsi="Times New Roman"/>
          <w:sz w:val="26"/>
          <w:szCs w:val="26"/>
        </w:rPr>
        <w:t xml:space="preserve">is filed by </w:t>
      </w:r>
      <w:r w:rsidR="00A344C4">
        <w:rPr>
          <w:rFonts w:ascii="Times New Roman" w:hAnsi="Times New Roman"/>
          <w:sz w:val="26"/>
          <w:szCs w:val="26"/>
        </w:rPr>
        <w:t>“</w:t>
      </w:r>
      <w:r w:rsidRPr="00E9060E" w:rsidR="00156589">
        <w:rPr>
          <w:rFonts w:ascii="Times New Roman" w:hAnsi="Times New Roman"/>
          <w:sz w:val="26"/>
          <w:szCs w:val="26"/>
        </w:rPr>
        <w:t>M</w:t>
      </w:r>
      <w:r w:rsidRPr="00E9060E" w:rsidR="002C0DA6">
        <w:rPr>
          <w:rFonts w:ascii="Times New Roman" w:hAnsi="Times New Roman"/>
          <w:sz w:val="26"/>
          <w:szCs w:val="26"/>
        </w:rPr>
        <w:t>ajor</w:t>
      </w:r>
      <w:r w:rsidR="00A344C4">
        <w:rPr>
          <w:rFonts w:ascii="Times New Roman" w:hAnsi="Times New Roman"/>
          <w:sz w:val="26"/>
          <w:szCs w:val="26"/>
        </w:rPr>
        <w:t>”</w:t>
      </w:r>
      <w:r w:rsidRPr="00E9060E" w:rsidR="002C0DA6">
        <w:rPr>
          <w:rFonts w:ascii="Times New Roman" w:hAnsi="Times New Roman"/>
          <w:sz w:val="26"/>
          <w:szCs w:val="26"/>
        </w:rPr>
        <w:t xml:space="preserve"> natural gas companies that have combined </w:t>
      </w:r>
      <w:r w:rsidR="006800CE">
        <w:rPr>
          <w:rFonts w:ascii="Times New Roman" w:hAnsi="Times New Roman"/>
          <w:sz w:val="26"/>
          <w:szCs w:val="26"/>
        </w:rPr>
        <w:t xml:space="preserve">natural </w:t>
      </w:r>
      <w:r w:rsidRPr="00E9060E" w:rsidR="002C0DA6">
        <w:rPr>
          <w:rFonts w:ascii="Times New Roman" w:hAnsi="Times New Roman"/>
          <w:sz w:val="26"/>
          <w:szCs w:val="26"/>
        </w:rPr>
        <w:t xml:space="preserve">gas transported or stored for a fee that exceeds 50 million Dekatherms in each of the three previous calendar years.  </w:t>
      </w:r>
      <w:r w:rsidR="009E2F41">
        <w:rPr>
          <w:rFonts w:ascii="Times New Roman" w:hAnsi="Times New Roman"/>
          <w:sz w:val="26"/>
          <w:szCs w:val="26"/>
        </w:rPr>
        <w:t xml:space="preserve">FERC </w:t>
      </w:r>
      <w:r w:rsidRPr="00E9060E">
        <w:rPr>
          <w:rFonts w:ascii="Times New Roman" w:hAnsi="Times New Roman"/>
          <w:sz w:val="26"/>
          <w:szCs w:val="26"/>
        </w:rPr>
        <w:t xml:space="preserve">Form No. 2-A is filed by </w:t>
      </w:r>
      <w:r w:rsidR="00A344C4">
        <w:rPr>
          <w:rFonts w:ascii="Times New Roman" w:hAnsi="Times New Roman"/>
          <w:sz w:val="26"/>
          <w:szCs w:val="26"/>
        </w:rPr>
        <w:t>“</w:t>
      </w:r>
      <w:r w:rsidRPr="00E9060E">
        <w:rPr>
          <w:rFonts w:ascii="Times New Roman" w:hAnsi="Times New Roman"/>
          <w:sz w:val="26"/>
          <w:szCs w:val="26"/>
        </w:rPr>
        <w:t>Non-Major</w:t>
      </w:r>
      <w:r w:rsidR="00A344C4">
        <w:rPr>
          <w:rFonts w:ascii="Times New Roman" w:hAnsi="Times New Roman"/>
          <w:sz w:val="26"/>
          <w:szCs w:val="26"/>
        </w:rPr>
        <w:t>”</w:t>
      </w:r>
      <w:r w:rsidRPr="00E9060E">
        <w:rPr>
          <w:rFonts w:ascii="Times New Roman" w:hAnsi="Times New Roman"/>
          <w:sz w:val="26"/>
          <w:szCs w:val="26"/>
        </w:rPr>
        <w:t xml:space="preserve"> natural gas companies that have total gas sales or volume transactions that exceeds 200,000 Dekatherms</w:t>
      </w:r>
      <w:r w:rsidR="00536181">
        <w:rPr>
          <w:rFonts w:ascii="Times New Roman" w:hAnsi="Times New Roman"/>
          <w:sz w:val="26"/>
          <w:szCs w:val="26"/>
        </w:rPr>
        <w:t xml:space="preserve"> in each of the three previous calendar </w:t>
      </w:r>
      <w:proofErr w:type="gramStart"/>
      <w:r w:rsidR="00536181">
        <w:rPr>
          <w:rFonts w:ascii="Times New Roman" w:hAnsi="Times New Roman"/>
          <w:sz w:val="26"/>
          <w:szCs w:val="26"/>
        </w:rPr>
        <w:t>years</w:t>
      </w:r>
      <w:r w:rsidRPr="00E9060E">
        <w:rPr>
          <w:rFonts w:ascii="Times New Roman" w:hAnsi="Times New Roman"/>
          <w:sz w:val="26"/>
          <w:szCs w:val="26"/>
        </w:rPr>
        <w:t>, but</w:t>
      </w:r>
      <w:proofErr w:type="gramEnd"/>
      <w:r w:rsidRPr="00E9060E">
        <w:rPr>
          <w:rFonts w:ascii="Times New Roman" w:hAnsi="Times New Roman"/>
          <w:sz w:val="26"/>
          <w:szCs w:val="26"/>
        </w:rPr>
        <w:t xml:space="preserve"> does not qualify as</w:t>
      </w:r>
      <w:r w:rsidRPr="00E9060E" w:rsidR="00156589">
        <w:rPr>
          <w:rFonts w:ascii="Times New Roman" w:hAnsi="Times New Roman"/>
          <w:sz w:val="26"/>
          <w:szCs w:val="26"/>
        </w:rPr>
        <w:t xml:space="preserve"> Major</w:t>
      </w:r>
      <w:r w:rsidRPr="00E9060E">
        <w:rPr>
          <w:rFonts w:ascii="Times New Roman" w:hAnsi="Times New Roman"/>
          <w:sz w:val="26"/>
          <w:szCs w:val="26"/>
        </w:rPr>
        <w:t>.</w:t>
      </w:r>
      <w:r w:rsidRPr="00E9060E" w:rsidR="003A3DE2">
        <w:rPr>
          <w:rFonts w:ascii="Times New Roman" w:hAnsi="Times New Roman"/>
          <w:sz w:val="26"/>
          <w:szCs w:val="26"/>
        </w:rPr>
        <w:t xml:space="preserve">  </w:t>
      </w:r>
    </w:p>
    <w:p w:rsidRPr="00E9060E" w:rsidR="002C0DA6" w:rsidP="00212EF9" w:rsidRDefault="002C0DA6" w14:paraId="76956A35" w14:textId="4A0630E1">
      <w:pPr>
        <w:spacing w:after="0" w:line="480" w:lineRule="auto"/>
        <w:ind w:firstLine="360"/>
        <w:rPr>
          <w:rFonts w:ascii="Times New Roman" w:hAnsi="Times New Roman"/>
          <w:sz w:val="26"/>
          <w:szCs w:val="26"/>
        </w:rPr>
      </w:pPr>
      <w:r w:rsidRPr="00E9060E">
        <w:rPr>
          <w:rFonts w:ascii="Times New Roman" w:hAnsi="Times New Roman"/>
          <w:sz w:val="26"/>
          <w:szCs w:val="26"/>
        </w:rPr>
        <w:t>Th</w:t>
      </w:r>
      <w:r w:rsidRPr="00E9060E" w:rsidR="0062523A">
        <w:rPr>
          <w:rFonts w:ascii="Times New Roman" w:hAnsi="Times New Roman"/>
          <w:sz w:val="26"/>
          <w:szCs w:val="26"/>
        </w:rPr>
        <w:t>e</w:t>
      </w:r>
      <w:r w:rsidRPr="00E9060E">
        <w:rPr>
          <w:rFonts w:ascii="Times New Roman" w:hAnsi="Times New Roman"/>
          <w:sz w:val="26"/>
          <w:szCs w:val="26"/>
        </w:rPr>
        <w:t xml:space="preserve"> form</w:t>
      </w:r>
      <w:r w:rsidRPr="00E9060E" w:rsidR="0062523A">
        <w:rPr>
          <w:rFonts w:ascii="Times New Roman" w:hAnsi="Times New Roman"/>
          <w:sz w:val="26"/>
          <w:szCs w:val="26"/>
        </w:rPr>
        <w:t>s</w:t>
      </w:r>
      <w:r w:rsidRPr="00E9060E">
        <w:rPr>
          <w:rFonts w:ascii="Times New Roman" w:hAnsi="Times New Roman"/>
          <w:sz w:val="26"/>
          <w:szCs w:val="26"/>
        </w:rPr>
        <w:t xml:space="preserve"> provide information concerning a company’s past performance and its </w:t>
      </w:r>
      <w:proofErr w:type="gramStart"/>
      <w:r w:rsidRPr="00E9060E">
        <w:rPr>
          <w:rFonts w:ascii="Times New Roman" w:hAnsi="Times New Roman"/>
          <w:sz w:val="26"/>
          <w:szCs w:val="26"/>
        </w:rPr>
        <w:t>future prospects</w:t>
      </w:r>
      <w:proofErr w:type="gramEnd"/>
      <w:r w:rsidRPr="00E9060E" w:rsidR="006540D2">
        <w:rPr>
          <w:rFonts w:ascii="Times New Roman" w:hAnsi="Times New Roman"/>
          <w:sz w:val="26"/>
          <w:szCs w:val="26"/>
        </w:rPr>
        <w:t xml:space="preserve"> and </w:t>
      </w:r>
      <w:r w:rsidRPr="00E9060E">
        <w:rPr>
          <w:rFonts w:ascii="Times New Roman" w:hAnsi="Times New Roman"/>
          <w:sz w:val="26"/>
          <w:szCs w:val="26"/>
        </w:rPr>
        <w:t>is based on the companies’ financial and other information.   The form</w:t>
      </w:r>
      <w:r w:rsidRPr="00E9060E" w:rsidR="0062523A">
        <w:rPr>
          <w:rFonts w:ascii="Times New Roman" w:hAnsi="Times New Roman"/>
          <w:sz w:val="26"/>
          <w:szCs w:val="26"/>
        </w:rPr>
        <w:t>s</w:t>
      </w:r>
      <w:r w:rsidRPr="00E9060E">
        <w:rPr>
          <w:rFonts w:ascii="Times New Roman" w:hAnsi="Times New Roman"/>
          <w:sz w:val="26"/>
          <w:szCs w:val="26"/>
        </w:rPr>
        <w:t xml:space="preserve"> contain schedules which include a basic set of financial statements:  Comparative Balance Sheet, Statement of Income and Retained Earnings, Statement of Cash Flows, and the Statement of Comprehensive Income and Hedging Activities.  Supporting schedules containing supplementary information are filed, including revenues and the related quantities of products sold or transported; account balances for various operating and maintenance expenses; selected plant cost data; and other information.</w:t>
      </w:r>
    </w:p>
    <w:p w:rsidRPr="00E9060E" w:rsidR="002C0DA6" w:rsidP="00212EF9" w:rsidRDefault="002C0DA6" w14:paraId="0F5132F9" w14:textId="6A8DF8E2">
      <w:pPr>
        <w:spacing w:after="0" w:line="480" w:lineRule="auto"/>
        <w:ind w:firstLine="360"/>
        <w:rPr>
          <w:rFonts w:ascii="Times New Roman" w:hAnsi="Times New Roman"/>
          <w:sz w:val="26"/>
          <w:szCs w:val="26"/>
        </w:rPr>
      </w:pPr>
      <w:r w:rsidRPr="00E9060E">
        <w:rPr>
          <w:rFonts w:ascii="Times New Roman" w:hAnsi="Times New Roman"/>
          <w:sz w:val="26"/>
          <w:szCs w:val="26"/>
        </w:rPr>
        <w:t>The i</w:t>
      </w:r>
      <w:r w:rsidRPr="00E9060E" w:rsidR="003C0E57">
        <w:rPr>
          <w:rFonts w:ascii="Times New Roman" w:hAnsi="Times New Roman"/>
          <w:sz w:val="26"/>
          <w:szCs w:val="26"/>
        </w:rPr>
        <w:t>nformation collected</w:t>
      </w:r>
      <w:r w:rsidRPr="00E9060E">
        <w:rPr>
          <w:rFonts w:ascii="Times New Roman" w:hAnsi="Times New Roman"/>
          <w:sz w:val="26"/>
          <w:szCs w:val="26"/>
        </w:rPr>
        <w:t xml:space="preserve"> assists the Commission in the administration of its jurisdictional responsibilities and is used by Commission staff, state regulatory agencies, customers, financial analysts and others in the review of the financial condition of regulated companies.  The information is also used in various rate proceedings, industry </w:t>
      </w:r>
      <w:r w:rsidRPr="00E9060E">
        <w:rPr>
          <w:rFonts w:ascii="Times New Roman" w:hAnsi="Times New Roman"/>
          <w:sz w:val="26"/>
          <w:szCs w:val="26"/>
        </w:rPr>
        <w:lastRenderedPageBreak/>
        <w:t xml:space="preserve">analyses and in the </w:t>
      </w:r>
      <w:proofErr w:type="gramStart"/>
      <w:r w:rsidRPr="00E9060E">
        <w:rPr>
          <w:rFonts w:ascii="Times New Roman" w:hAnsi="Times New Roman"/>
          <w:sz w:val="26"/>
          <w:szCs w:val="26"/>
        </w:rPr>
        <w:t>Commission</w:t>
      </w:r>
      <w:r w:rsidR="007B3BB5">
        <w:rPr>
          <w:rFonts w:ascii="Times New Roman" w:hAnsi="Times New Roman"/>
          <w:sz w:val="26"/>
          <w:szCs w:val="26"/>
        </w:rPr>
        <w:t>’</w:t>
      </w:r>
      <w:r w:rsidRPr="00E9060E">
        <w:rPr>
          <w:rFonts w:ascii="Times New Roman" w:hAnsi="Times New Roman"/>
          <w:sz w:val="26"/>
          <w:szCs w:val="26"/>
        </w:rPr>
        <w:t>s</w:t>
      </w:r>
      <w:proofErr w:type="gramEnd"/>
      <w:r w:rsidRPr="00E9060E">
        <w:rPr>
          <w:rFonts w:ascii="Times New Roman" w:hAnsi="Times New Roman"/>
          <w:sz w:val="26"/>
          <w:szCs w:val="26"/>
        </w:rPr>
        <w:t xml:space="preserve"> audit programs and as appropriate, for the computation of annual charges based on Page No. 520 of the </w:t>
      </w:r>
      <w:r w:rsidR="009E2F41">
        <w:rPr>
          <w:rFonts w:ascii="Times New Roman" w:hAnsi="Times New Roman"/>
          <w:sz w:val="26"/>
          <w:szCs w:val="26"/>
        </w:rPr>
        <w:t xml:space="preserve">FERC </w:t>
      </w:r>
      <w:r w:rsidRPr="00E9060E" w:rsidR="003A3DE2">
        <w:rPr>
          <w:rFonts w:ascii="Times New Roman" w:hAnsi="Times New Roman"/>
          <w:sz w:val="26"/>
          <w:szCs w:val="26"/>
        </w:rPr>
        <w:t xml:space="preserve">Form No. </w:t>
      </w:r>
      <w:r w:rsidRPr="00E9060E" w:rsidR="003C0E57">
        <w:rPr>
          <w:rFonts w:ascii="Times New Roman" w:hAnsi="Times New Roman"/>
          <w:sz w:val="26"/>
          <w:szCs w:val="26"/>
        </w:rPr>
        <w:t>2</w:t>
      </w:r>
      <w:r w:rsidRPr="00E9060E">
        <w:rPr>
          <w:rFonts w:ascii="Times New Roman" w:hAnsi="Times New Roman"/>
          <w:sz w:val="26"/>
          <w:szCs w:val="26"/>
        </w:rPr>
        <w:t xml:space="preserve">.  The Commission provides the information to the public, interveners and all interested parties to assist in the proceedings before the Commission. </w:t>
      </w:r>
    </w:p>
    <w:p w:rsidRPr="00E9060E" w:rsidR="002C0DA6" w:rsidP="00212EF9" w:rsidRDefault="003C0E57" w14:paraId="7F34A694" w14:textId="1A968BF9">
      <w:pPr>
        <w:spacing w:after="0" w:line="480" w:lineRule="auto"/>
        <w:ind w:firstLine="360"/>
        <w:rPr>
          <w:rFonts w:ascii="Times New Roman" w:hAnsi="Times New Roman"/>
          <w:sz w:val="26"/>
          <w:szCs w:val="26"/>
        </w:rPr>
      </w:pPr>
      <w:r w:rsidRPr="00E9060E">
        <w:rPr>
          <w:rFonts w:ascii="Times New Roman" w:hAnsi="Times New Roman"/>
          <w:sz w:val="26"/>
          <w:szCs w:val="26"/>
        </w:rPr>
        <w:t xml:space="preserve">In addition, </w:t>
      </w:r>
      <w:r w:rsidR="002C4518">
        <w:rPr>
          <w:rFonts w:ascii="Times New Roman" w:hAnsi="Times New Roman"/>
          <w:sz w:val="26"/>
          <w:szCs w:val="26"/>
        </w:rPr>
        <w:t>FERC Form Nos. 2 and 2-A</w:t>
      </w:r>
      <w:r w:rsidRPr="00E9060E" w:rsidR="002C0DA6">
        <w:rPr>
          <w:rFonts w:ascii="Times New Roman" w:hAnsi="Times New Roman"/>
          <w:sz w:val="26"/>
          <w:szCs w:val="26"/>
        </w:rPr>
        <w:t xml:space="preserve"> provide the Commission, as well as others, with an informative picture of the jurisdictional entities</w:t>
      </w:r>
      <w:r w:rsidR="00C5150A">
        <w:rPr>
          <w:rFonts w:ascii="Times New Roman" w:hAnsi="Times New Roman"/>
          <w:sz w:val="26"/>
          <w:szCs w:val="26"/>
        </w:rPr>
        <w:t>’</w:t>
      </w:r>
      <w:r w:rsidRPr="00E9060E" w:rsidR="002C0DA6">
        <w:rPr>
          <w:rFonts w:ascii="Times New Roman" w:hAnsi="Times New Roman"/>
          <w:sz w:val="26"/>
          <w:szCs w:val="26"/>
        </w:rPr>
        <w:t xml:space="preserve"> financial condition along with other relevant data that is used by the Commission in making economic judgments about the entity or its industry.  For financial information to be useful to the Commission, it must be understandable, relevant, reliable and timely.   The </w:t>
      </w:r>
      <w:r w:rsidRPr="00E9060E">
        <w:rPr>
          <w:rFonts w:ascii="Times New Roman" w:hAnsi="Times New Roman"/>
          <w:sz w:val="26"/>
          <w:szCs w:val="26"/>
        </w:rPr>
        <w:t>F</w:t>
      </w:r>
      <w:r w:rsidRPr="00E9060E" w:rsidR="003A3DE2">
        <w:rPr>
          <w:rFonts w:ascii="Times New Roman" w:hAnsi="Times New Roman"/>
          <w:sz w:val="26"/>
          <w:szCs w:val="26"/>
        </w:rPr>
        <w:t xml:space="preserve">orm Nos. </w:t>
      </w:r>
      <w:r w:rsidRPr="00E9060E">
        <w:rPr>
          <w:rFonts w:ascii="Times New Roman" w:hAnsi="Times New Roman"/>
          <w:sz w:val="26"/>
          <w:szCs w:val="26"/>
        </w:rPr>
        <w:t>2 and 2</w:t>
      </w:r>
      <w:r w:rsidRPr="00E9060E" w:rsidR="003A3DE2">
        <w:rPr>
          <w:rFonts w:ascii="Times New Roman" w:hAnsi="Times New Roman"/>
          <w:sz w:val="26"/>
          <w:szCs w:val="26"/>
        </w:rPr>
        <w:t>-</w:t>
      </w:r>
      <w:r w:rsidRPr="00E9060E">
        <w:rPr>
          <w:rFonts w:ascii="Times New Roman" w:hAnsi="Times New Roman"/>
          <w:sz w:val="26"/>
          <w:szCs w:val="26"/>
        </w:rPr>
        <w:t>A</w:t>
      </w:r>
      <w:r w:rsidRPr="00E9060E" w:rsidR="002C0DA6">
        <w:rPr>
          <w:rFonts w:ascii="Times New Roman" w:hAnsi="Times New Roman"/>
          <w:sz w:val="26"/>
          <w:szCs w:val="26"/>
        </w:rPr>
        <w:t xml:space="preserve"> financial statements are prepared in accordance with the Commission’s </w:t>
      </w:r>
      <w:proofErr w:type="spellStart"/>
      <w:r w:rsidRPr="00E9060E" w:rsidR="002C0DA6">
        <w:rPr>
          <w:rFonts w:ascii="Times New Roman" w:hAnsi="Times New Roman"/>
          <w:sz w:val="26"/>
          <w:szCs w:val="26"/>
        </w:rPr>
        <w:t>USofA</w:t>
      </w:r>
      <w:proofErr w:type="spellEnd"/>
      <w:r w:rsidRPr="00E9060E" w:rsidR="002C0DA6">
        <w:rPr>
          <w:rFonts w:ascii="Times New Roman" w:hAnsi="Times New Roman"/>
          <w:sz w:val="26"/>
          <w:szCs w:val="26"/>
        </w:rPr>
        <w:t xml:space="preserve"> and related regulations, and provide data that enables the Commission to develop and monitor cost-based rates, analyze costs of different services and classes of assets, and compare costs across lines of business. The use of </w:t>
      </w:r>
      <w:r w:rsidR="00536181">
        <w:rPr>
          <w:rFonts w:ascii="Times New Roman" w:hAnsi="Times New Roman"/>
          <w:sz w:val="26"/>
          <w:szCs w:val="26"/>
        </w:rPr>
        <w:t xml:space="preserve">the </w:t>
      </w:r>
      <w:proofErr w:type="spellStart"/>
      <w:r w:rsidR="00536181">
        <w:rPr>
          <w:rFonts w:ascii="Times New Roman" w:hAnsi="Times New Roman"/>
          <w:sz w:val="26"/>
          <w:szCs w:val="26"/>
        </w:rPr>
        <w:t>USofA</w:t>
      </w:r>
      <w:proofErr w:type="spellEnd"/>
      <w:r w:rsidRPr="00E9060E" w:rsidR="002C0DA6">
        <w:rPr>
          <w:rFonts w:ascii="Times New Roman" w:hAnsi="Times New Roman"/>
          <w:sz w:val="26"/>
          <w:szCs w:val="26"/>
        </w:rPr>
        <w:t xml:space="preserve"> permits natural gas companies to account for similar transactions and events in a consistent </w:t>
      </w:r>
      <w:proofErr w:type="gramStart"/>
      <w:r w:rsidRPr="00E9060E" w:rsidR="002C0DA6">
        <w:rPr>
          <w:rFonts w:ascii="Times New Roman" w:hAnsi="Times New Roman"/>
          <w:sz w:val="26"/>
          <w:szCs w:val="26"/>
        </w:rPr>
        <w:t>manner, and</w:t>
      </w:r>
      <w:proofErr w:type="gramEnd"/>
      <w:r w:rsidRPr="00E9060E" w:rsidR="002C0DA6">
        <w:rPr>
          <w:rFonts w:ascii="Times New Roman" w:hAnsi="Times New Roman"/>
          <w:sz w:val="26"/>
          <w:szCs w:val="26"/>
        </w:rPr>
        <w:t xml:space="preserve"> communicate those results to the Commission on a periodic basis.  Comparability of data and financial statement analysis for a particular entity from one period to the next, or between entities, within the same industry, would be difficult to achieve if each company maintained its own accounting records using dissimilar accounting methods and classifications to record similar transactions and events.</w:t>
      </w:r>
    </w:p>
    <w:p w:rsidRPr="00E9060E" w:rsidR="00BA412D" w:rsidP="00212EF9" w:rsidRDefault="002C0DA6" w14:paraId="020B1BA7" w14:textId="1C848DBA">
      <w:pPr>
        <w:spacing w:after="0" w:line="480" w:lineRule="auto"/>
        <w:ind w:firstLine="360"/>
        <w:rPr>
          <w:rFonts w:ascii="Times New Roman" w:hAnsi="Times New Roman"/>
          <w:sz w:val="26"/>
          <w:szCs w:val="26"/>
        </w:rPr>
      </w:pPr>
      <w:r w:rsidRPr="00E9060E">
        <w:rPr>
          <w:rFonts w:ascii="Times New Roman" w:hAnsi="Times New Roman"/>
          <w:sz w:val="26"/>
          <w:szCs w:val="26"/>
        </w:rPr>
        <w:t>In summary, without the information collected in th</w:t>
      </w:r>
      <w:r w:rsidRPr="00E9060E" w:rsidR="000C0209">
        <w:rPr>
          <w:rFonts w:ascii="Times New Roman" w:hAnsi="Times New Roman"/>
          <w:sz w:val="26"/>
          <w:szCs w:val="26"/>
        </w:rPr>
        <w:t>e</w:t>
      </w:r>
      <w:r w:rsidRPr="00E9060E">
        <w:rPr>
          <w:rFonts w:ascii="Times New Roman" w:hAnsi="Times New Roman"/>
          <w:sz w:val="26"/>
          <w:szCs w:val="26"/>
        </w:rPr>
        <w:t xml:space="preserve"> form</w:t>
      </w:r>
      <w:r w:rsidRPr="00E9060E" w:rsidR="000C0209">
        <w:rPr>
          <w:rFonts w:ascii="Times New Roman" w:hAnsi="Times New Roman"/>
          <w:sz w:val="26"/>
          <w:szCs w:val="26"/>
        </w:rPr>
        <w:t>s,</w:t>
      </w:r>
      <w:r w:rsidRPr="00E9060E">
        <w:rPr>
          <w:rFonts w:ascii="Times New Roman" w:hAnsi="Times New Roman"/>
          <w:sz w:val="26"/>
          <w:szCs w:val="26"/>
        </w:rPr>
        <w:t xml:space="preserve"> </w:t>
      </w:r>
      <w:r w:rsidRPr="00E9060E" w:rsidR="000F448F">
        <w:rPr>
          <w:rFonts w:ascii="Times New Roman" w:hAnsi="Times New Roman"/>
          <w:sz w:val="26"/>
          <w:szCs w:val="26"/>
        </w:rPr>
        <w:t xml:space="preserve">it would be difficult for </w:t>
      </w:r>
      <w:r w:rsidRPr="00E9060E">
        <w:rPr>
          <w:rFonts w:ascii="Times New Roman" w:hAnsi="Times New Roman"/>
          <w:sz w:val="26"/>
          <w:szCs w:val="26"/>
        </w:rPr>
        <w:t xml:space="preserve">the Commission to ensure, as required by the NGA, that a pipeline’s rates remain just and </w:t>
      </w:r>
      <w:r w:rsidRPr="00E9060E">
        <w:rPr>
          <w:rFonts w:ascii="Times New Roman" w:hAnsi="Times New Roman"/>
          <w:sz w:val="26"/>
          <w:szCs w:val="26"/>
        </w:rPr>
        <w:lastRenderedPageBreak/>
        <w:t>reasonable, respond to Congressional and outside inquires</w:t>
      </w:r>
      <w:r w:rsidR="00536181">
        <w:rPr>
          <w:rFonts w:ascii="Times New Roman" w:hAnsi="Times New Roman"/>
          <w:sz w:val="26"/>
          <w:szCs w:val="26"/>
        </w:rPr>
        <w:t>,</w:t>
      </w:r>
      <w:r w:rsidRPr="00E9060E">
        <w:rPr>
          <w:rFonts w:ascii="Times New Roman" w:hAnsi="Times New Roman"/>
          <w:sz w:val="26"/>
          <w:szCs w:val="26"/>
        </w:rPr>
        <w:t xml:space="preserve"> and make decisions in a timely manner, particularly to rapidly changing financial conditions of entities subject to its jurisdiction.</w:t>
      </w:r>
    </w:p>
    <w:p w:rsidRPr="00E9060E" w:rsidR="0088425D" w:rsidP="00BD0F89" w:rsidRDefault="0088425D" w14:paraId="65A0AAFB" w14:textId="77777777">
      <w:pPr>
        <w:spacing w:after="0" w:line="240" w:lineRule="auto"/>
        <w:rPr>
          <w:rFonts w:ascii="Times New Roman" w:hAnsi="Times New Roman"/>
          <w:sz w:val="26"/>
          <w:szCs w:val="26"/>
        </w:rPr>
      </w:pPr>
    </w:p>
    <w:p w:rsidRPr="00E9060E" w:rsidR="00471F97" w:rsidP="00BD0F89" w:rsidRDefault="00471F97" w14:paraId="5FCC3BB8" w14:textId="77777777">
      <w:pPr>
        <w:pStyle w:val="ListParagraph"/>
        <w:numPr>
          <w:ilvl w:val="0"/>
          <w:numId w:val="14"/>
        </w:numPr>
        <w:spacing w:after="0" w:line="240" w:lineRule="auto"/>
        <w:rPr>
          <w:rFonts w:ascii="Times New Roman" w:hAnsi="Times New Roman"/>
          <w:b/>
          <w:sz w:val="26"/>
          <w:szCs w:val="26"/>
        </w:rPr>
      </w:pPr>
      <w:r w:rsidRPr="00E9060E">
        <w:rPr>
          <w:rFonts w:ascii="Times New Roman" w:hAnsi="Times New Roman"/>
          <w:b/>
          <w:sz w:val="26"/>
          <w:szCs w:val="26"/>
        </w:rPr>
        <w:t>DESCRIBE ANY CONSIDERATION OF THE USE OF IMPROVED INFORMATION TECHNOLOGY TO REDUCE THE BURDEN AND TECHNICAL OR LEGAL OBSTACLES TO REDUCING BURDEN</w:t>
      </w:r>
    </w:p>
    <w:p w:rsidR="00471F97" w:rsidP="00BD0F89" w:rsidRDefault="00471F97" w14:paraId="391BE832" w14:textId="52DB7C06">
      <w:pPr>
        <w:spacing w:after="0" w:line="240" w:lineRule="auto"/>
        <w:ind w:left="360" w:hanging="360"/>
        <w:rPr>
          <w:rFonts w:ascii="Times New Roman" w:hAnsi="Times New Roman"/>
          <w:sz w:val="26"/>
          <w:szCs w:val="26"/>
        </w:rPr>
      </w:pPr>
    </w:p>
    <w:p w:rsidRPr="00E9060E" w:rsidR="00615A97" w:rsidP="00212EF9" w:rsidRDefault="002C4518" w14:paraId="465BD484" w14:textId="404E65E5">
      <w:pPr>
        <w:spacing w:after="0" w:line="480" w:lineRule="auto"/>
        <w:ind w:firstLine="360"/>
        <w:rPr>
          <w:rFonts w:ascii="Times New Roman" w:hAnsi="Times New Roman"/>
          <w:sz w:val="26"/>
          <w:szCs w:val="26"/>
        </w:rPr>
      </w:pPr>
      <w:r>
        <w:rPr>
          <w:rFonts w:ascii="Times New Roman" w:hAnsi="Times New Roman"/>
          <w:sz w:val="26"/>
          <w:szCs w:val="26"/>
        </w:rPr>
        <w:t>There is a</w:t>
      </w:r>
      <w:r w:rsidR="00152A6C">
        <w:rPr>
          <w:rFonts w:ascii="Times New Roman" w:hAnsi="Times New Roman"/>
          <w:sz w:val="26"/>
          <w:szCs w:val="26"/>
        </w:rPr>
        <w:t xml:space="preserve"> separate and</w:t>
      </w:r>
      <w:r>
        <w:rPr>
          <w:rFonts w:ascii="Times New Roman" w:hAnsi="Times New Roman"/>
          <w:sz w:val="26"/>
          <w:szCs w:val="26"/>
        </w:rPr>
        <w:t xml:space="preserve"> ongoing effort to </w:t>
      </w:r>
      <w:r w:rsidR="00152A6C">
        <w:rPr>
          <w:rFonts w:ascii="Times New Roman" w:hAnsi="Times New Roman"/>
          <w:sz w:val="26"/>
          <w:szCs w:val="26"/>
        </w:rPr>
        <w:t xml:space="preserve">implement </w:t>
      </w:r>
      <w:r>
        <w:rPr>
          <w:rFonts w:ascii="Times New Roman" w:hAnsi="Times New Roman"/>
          <w:sz w:val="26"/>
          <w:szCs w:val="26"/>
        </w:rPr>
        <w:t>improved information technology to reduce the burden</w:t>
      </w:r>
      <w:r w:rsidR="00E42653">
        <w:rPr>
          <w:rFonts w:ascii="Times New Roman" w:hAnsi="Times New Roman"/>
          <w:sz w:val="26"/>
          <w:szCs w:val="26"/>
        </w:rPr>
        <w:t xml:space="preserve"> on filers</w:t>
      </w:r>
      <w:r>
        <w:rPr>
          <w:rFonts w:ascii="Times New Roman" w:hAnsi="Times New Roman"/>
          <w:sz w:val="26"/>
          <w:szCs w:val="26"/>
        </w:rPr>
        <w:t>.</w:t>
      </w:r>
      <w:r w:rsidR="00152A6C">
        <w:rPr>
          <w:rFonts w:ascii="Times New Roman" w:hAnsi="Times New Roman"/>
          <w:sz w:val="26"/>
          <w:szCs w:val="26"/>
        </w:rPr>
        <w:t xml:space="preserve">  </w:t>
      </w:r>
      <w:r w:rsidRPr="00152A6C" w:rsidR="00152A6C">
        <w:rPr>
          <w:rFonts w:ascii="Times New Roman" w:hAnsi="Times New Roman"/>
          <w:sz w:val="26"/>
          <w:szCs w:val="26"/>
        </w:rPr>
        <w:t xml:space="preserve">FERC Form Nos. 2 and 2-A are part of the “Forms Refresh” effort, which is a separate activity </w:t>
      </w:r>
      <w:r w:rsidR="00152A6C">
        <w:rPr>
          <w:rFonts w:ascii="Times New Roman" w:hAnsi="Times New Roman"/>
          <w:sz w:val="26"/>
          <w:szCs w:val="26"/>
        </w:rPr>
        <w:t xml:space="preserve">in which the Commission has announced the transition from a software platform that is no longer supported by the vendor to </w:t>
      </w:r>
      <w:r w:rsidR="00E42653">
        <w:rPr>
          <w:rFonts w:ascii="Times New Roman" w:hAnsi="Times New Roman"/>
          <w:sz w:val="26"/>
          <w:szCs w:val="26"/>
        </w:rPr>
        <w:t xml:space="preserve">“XBRL” - </w:t>
      </w:r>
      <w:r w:rsidR="00152A6C">
        <w:rPr>
          <w:rFonts w:ascii="Times New Roman" w:hAnsi="Times New Roman"/>
          <w:sz w:val="26"/>
          <w:szCs w:val="26"/>
        </w:rPr>
        <w:t>a more modern and efficient approach that should make the information in the forms easier for the filers to submit.</w:t>
      </w:r>
      <w:r w:rsidRPr="00212EF9" w:rsidR="00E42653">
        <w:rPr>
          <w:rStyle w:val="FootnoteReference"/>
          <w:rFonts w:ascii="Times New Roman" w:hAnsi="Times New Roman"/>
          <w:sz w:val="26"/>
          <w:szCs w:val="26"/>
          <w:vertAlign w:val="superscript"/>
        </w:rPr>
        <w:footnoteReference w:id="7"/>
      </w:r>
      <w:r w:rsidR="00152A6C">
        <w:rPr>
          <w:rFonts w:ascii="Times New Roman" w:hAnsi="Times New Roman"/>
          <w:sz w:val="26"/>
          <w:szCs w:val="26"/>
        </w:rPr>
        <w:t xml:space="preserve"> </w:t>
      </w:r>
      <w:r w:rsidR="00E42653">
        <w:rPr>
          <w:rFonts w:ascii="Times New Roman" w:hAnsi="Times New Roman"/>
          <w:sz w:val="26"/>
          <w:szCs w:val="26"/>
        </w:rPr>
        <w:t>In addition, t</w:t>
      </w:r>
      <w:r w:rsidRPr="00E9060E" w:rsidR="00615A97">
        <w:rPr>
          <w:rFonts w:ascii="Times New Roman" w:hAnsi="Times New Roman"/>
          <w:sz w:val="26"/>
          <w:szCs w:val="26"/>
        </w:rPr>
        <w:t>he use of XBRL should make the information in these forms easier for data users to analyze</w:t>
      </w:r>
      <w:r w:rsidR="00615A97">
        <w:rPr>
          <w:rFonts w:ascii="Times New Roman" w:hAnsi="Times New Roman"/>
          <w:sz w:val="26"/>
          <w:szCs w:val="26"/>
        </w:rPr>
        <w:t>,</w:t>
      </w:r>
      <w:r w:rsidRPr="00E9060E" w:rsidR="00615A97">
        <w:rPr>
          <w:rFonts w:ascii="Times New Roman" w:hAnsi="Times New Roman"/>
          <w:sz w:val="26"/>
          <w:szCs w:val="26"/>
        </w:rPr>
        <w:t xml:space="preserve"> and assist in automating regulatory filings.  </w:t>
      </w:r>
      <w:r w:rsidR="00E42653">
        <w:rPr>
          <w:rFonts w:ascii="Times New Roman" w:hAnsi="Times New Roman"/>
          <w:sz w:val="26"/>
          <w:szCs w:val="26"/>
        </w:rPr>
        <w:t>T</w:t>
      </w:r>
      <w:r w:rsidRPr="00E9060E" w:rsidR="00615A97">
        <w:rPr>
          <w:rFonts w:ascii="Times New Roman" w:hAnsi="Times New Roman"/>
          <w:sz w:val="26"/>
          <w:szCs w:val="26"/>
        </w:rPr>
        <w:t>he Commission believes that transitioning from the current Visual FoxPro system to XBRL will decrease the costs</w:t>
      </w:r>
      <w:r w:rsidR="00615A97">
        <w:rPr>
          <w:rFonts w:ascii="Times New Roman" w:hAnsi="Times New Roman"/>
          <w:sz w:val="26"/>
          <w:szCs w:val="26"/>
        </w:rPr>
        <w:t xml:space="preserve"> (</w:t>
      </w:r>
      <w:r w:rsidRPr="00E9060E" w:rsidR="00615A97">
        <w:rPr>
          <w:rFonts w:ascii="Times New Roman" w:hAnsi="Times New Roman"/>
          <w:sz w:val="26"/>
          <w:szCs w:val="26"/>
        </w:rPr>
        <w:t>over time</w:t>
      </w:r>
      <w:r w:rsidR="00615A97">
        <w:rPr>
          <w:rFonts w:ascii="Times New Roman" w:hAnsi="Times New Roman"/>
          <w:sz w:val="26"/>
          <w:szCs w:val="26"/>
        </w:rPr>
        <w:t>)</w:t>
      </w:r>
      <w:r w:rsidRPr="00E9060E" w:rsidR="00615A97">
        <w:rPr>
          <w:rFonts w:ascii="Times New Roman" w:hAnsi="Times New Roman"/>
          <w:sz w:val="26"/>
          <w:szCs w:val="26"/>
        </w:rPr>
        <w:t xml:space="preserve"> of preparing the necessary data for submission and complying with future changes to filing requirements set forth by the Commission.  </w:t>
      </w:r>
    </w:p>
    <w:p w:rsidRPr="00E9060E" w:rsidR="0088425D" w:rsidP="00212EF9" w:rsidRDefault="0088425D" w14:paraId="00645005" w14:textId="155C09E2">
      <w:pPr>
        <w:spacing w:after="0" w:line="240" w:lineRule="auto"/>
        <w:rPr>
          <w:rFonts w:ascii="Times New Roman" w:hAnsi="Times New Roman"/>
          <w:sz w:val="26"/>
          <w:szCs w:val="26"/>
        </w:rPr>
      </w:pPr>
      <w:r w:rsidRPr="00E9060E">
        <w:rPr>
          <w:rFonts w:ascii="Times New Roman" w:hAnsi="Times New Roman"/>
          <w:sz w:val="26"/>
          <w:szCs w:val="26"/>
        </w:rPr>
        <w:t xml:space="preserve">  </w:t>
      </w:r>
    </w:p>
    <w:p w:rsidRPr="00E9060E" w:rsidR="00F0627E" w:rsidP="00BD0F89" w:rsidRDefault="00F0627E" w14:paraId="235E8FE2" w14:textId="77777777">
      <w:pPr>
        <w:pStyle w:val="ListParagraph"/>
        <w:numPr>
          <w:ilvl w:val="0"/>
          <w:numId w:val="14"/>
        </w:numPr>
        <w:spacing w:after="0" w:line="240" w:lineRule="auto"/>
        <w:rPr>
          <w:rFonts w:ascii="Times New Roman" w:hAnsi="Times New Roman"/>
          <w:b/>
          <w:sz w:val="26"/>
          <w:szCs w:val="26"/>
        </w:rPr>
      </w:pPr>
      <w:r w:rsidRPr="00E9060E">
        <w:rPr>
          <w:rFonts w:ascii="Times New Roman" w:hAnsi="Times New Roman"/>
          <w:b/>
          <w:sz w:val="26"/>
          <w:szCs w:val="26"/>
        </w:rPr>
        <w:t xml:space="preserve">DESCRIBE EFFORTS TO IDENTIFY DUPLICATION AND SHOW SPECIFICALLY WHY ANY SIMILAR INFORMATION ALREADY </w:t>
      </w:r>
      <w:r w:rsidRPr="00E9060E">
        <w:rPr>
          <w:rFonts w:ascii="Times New Roman" w:hAnsi="Times New Roman"/>
          <w:b/>
          <w:sz w:val="26"/>
          <w:szCs w:val="26"/>
        </w:rPr>
        <w:lastRenderedPageBreak/>
        <w:t>AVAILABLE CANNOT BE USED OR MODIFIED FOR USE FOR THE PURPOSE(S) DESCRIBED IN INSTRUCTION NO. 2</w:t>
      </w:r>
    </w:p>
    <w:p w:rsidRPr="00E9060E" w:rsidR="009E5CAC" w:rsidP="00BD0F89" w:rsidRDefault="009E5CAC" w14:paraId="3EEAEE0E" w14:textId="77777777">
      <w:pPr>
        <w:spacing w:after="0" w:line="240" w:lineRule="auto"/>
        <w:ind w:left="360" w:hanging="360"/>
        <w:rPr>
          <w:rFonts w:ascii="Times New Roman" w:hAnsi="Times New Roman"/>
          <w:sz w:val="26"/>
          <w:szCs w:val="26"/>
        </w:rPr>
      </w:pPr>
    </w:p>
    <w:p w:rsidRPr="00E9060E" w:rsidR="007D436E" w:rsidP="00212EF9" w:rsidRDefault="009E5CAC" w14:paraId="36DF0E8B" w14:textId="5BE0BEFB">
      <w:pPr>
        <w:spacing w:after="0" w:line="480" w:lineRule="auto"/>
        <w:rPr>
          <w:rFonts w:ascii="Times New Roman" w:hAnsi="Times New Roman"/>
          <w:sz w:val="26"/>
          <w:szCs w:val="26"/>
        </w:rPr>
      </w:pPr>
      <w:r>
        <w:rPr>
          <w:rFonts w:ascii="Times New Roman" w:hAnsi="Times New Roman"/>
          <w:sz w:val="26"/>
          <w:szCs w:val="26"/>
        </w:rPr>
        <w:tab/>
      </w:r>
      <w:r w:rsidRPr="00152A6C" w:rsidR="00152A6C">
        <w:rPr>
          <w:rFonts w:ascii="Times New Roman" w:hAnsi="Times New Roman"/>
          <w:sz w:val="26"/>
          <w:szCs w:val="26"/>
        </w:rPr>
        <w:t xml:space="preserve">Filing requirements are periodically reviewed as OMB review dates arise or as the Commission may deem necessary in carrying out its regulatory responsibilities under the Act </w:t>
      </w:r>
      <w:proofErr w:type="gramStart"/>
      <w:r w:rsidRPr="00152A6C" w:rsidR="00152A6C">
        <w:rPr>
          <w:rFonts w:ascii="Times New Roman" w:hAnsi="Times New Roman"/>
          <w:sz w:val="26"/>
          <w:szCs w:val="26"/>
        </w:rPr>
        <w:t>in an effort to</w:t>
      </w:r>
      <w:proofErr w:type="gramEnd"/>
      <w:r w:rsidRPr="00152A6C" w:rsidR="00152A6C">
        <w:rPr>
          <w:rFonts w:ascii="Times New Roman" w:hAnsi="Times New Roman"/>
          <w:sz w:val="26"/>
          <w:szCs w:val="26"/>
        </w:rPr>
        <w:t xml:space="preserve"> alleviate duplication.  All Commission information collections are subject to analysis by Commission staff and are examined for redundancy.  To date, the Commission has not found duplication of the proposed data requirements.  </w:t>
      </w:r>
    </w:p>
    <w:p w:rsidRPr="00E9060E" w:rsidR="007D436E" w:rsidP="00212EF9" w:rsidRDefault="007D436E" w14:paraId="263DBB92" w14:textId="7704D45A">
      <w:pPr>
        <w:spacing w:after="0" w:line="480" w:lineRule="auto"/>
        <w:ind w:firstLine="360"/>
        <w:rPr>
          <w:rFonts w:ascii="Times New Roman" w:hAnsi="Times New Roman"/>
          <w:sz w:val="26"/>
          <w:szCs w:val="26"/>
        </w:rPr>
      </w:pPr>
      <w:r w:rsidRPr="00E9060E">
        <w:rPr>
          <w:rFonts w:ascii="Times New Roman" w:hAnsi="Times New Roman"/>
          <w:sz w:val="26"/>
          <w:szCs w:val="26"/>
        </w:rPr>
        <w:t>While some jurisdictional entities may file similar information with the Securities and Exchange Commission (SEC), the level of detail concerning assets, liabilities, stockholders</w:t>
      </w:r>
      <w:r w:rsidR="00045AD7">
        <w:rPr>
          <w:rFonts w:ascii="Times New Roman" w:hAnsi="Times New Roman"/>
          <w:sz w:val="26"/>
          <w:szCs w:val="26"/>
        </w:rPr>
        <w:t>’</w:t>
      </w:r>
      <w:r w:rsidRPr="00E9060E">
        <w:rPr>
          <w:rFonts w:ascii="Times New Roman" w:hAnsi="Times New Roman"/>
          <w:sz w:val="26"/>
          <w:szCs w:val="26"/>
        </w:rPr>
        <w:t xml:space="preserve"> equity along with the revenues, expenses, gains, and losses is different for the Commission and the SEC.  The financial statements filed with the SEC are on a consolidated, or parent company basis.  The Commission notes that </w:t>
      </w:r>
      <w:proofErr w:type="gramStart"/>
      <w:r w:rsidRPr="00E9060E">
        <w:rPr>
          <w:rFonts w:ascii="Times New Roman" w:hAnsi="Times New Roman"/>
          <w:sz w:val="26"/>
          <w:szCs w:val="26"/>
        </w:rPr>
        <w:t>a majority of</w:t>
      </w:r>
      <w:proofErr w:type="gramEnd"/>
      <w:r w:rsidRPr="00E9060E">
        <w:rPr>
          <w:rFonts w:ascii="Times New Roman" w:hAnsi="Times New Roman"/>
          <w:sz w:val="26"/>
          <w:szCs w:val="26"/>
        </w:rPr>
        <w:t xml:space="preserve"> the jurisdictional entities that it regulates files financial information with the SEC that consolidates their assets, liabilities and profits with their parent company, or combine</w:t>
      </w:r>
      <w:r w:rsidR="00C30B8A">
        <w:rPr>
          <w:rFonts w:ascii="Times New Roman" w:hAnsi="Times New Roman"/>
          <w:sz w:val="26"/>
          <w:szCs w:val="26"/>
        </w:rPr>
        <w:t>s</w:t>
      </w:r>
      <w:r w:rsidRPr="00E9060E">
        <w:rPr>
          <w:rFonts w:ascii="Times New Roman" w:hAnsi="Times New Roman"/>
          <w:sz w:val="26"/>
          <w:szCs w:val="26"/>
        </w:rPr>
        <w:t xml:space="preserve"> the regulated and unregulated operations in the reports to the SEC.  While consolidation is appropriate for SEC reporting, the Commission requires more detailed information concerning the results of operations, and the financial position of each jurisdictional entity in order to meet its regulatory needs.  Therefore, the Commission has required jurisdictional entities to file financial information on a jurisdictional entity level basis using a uniform system of accounts.</w:t>
      </w:r>
    </w:p>
    <w:p w:rsidRPr="00E9060E" w:rsidR="00F0627E" w:rsidP="00BD0F89" w:rsidRDefault="00F0627E" w14:paraId="2F70AA54" w14:textId="77777777">
      <w:pPr>
        <w:spacing w:after="0" w:line="240" w:lineRule="auto"/>
        <w:rPr>
          <w:rFonts w:ascii="Times New Roman" w:hAnsi="Times New Roman"/>
          <w:sz w:val="26"/>
          <w:szCs w:val="26"/>
        </w:rPr>
      </w:pPr>
    </w:p>
    <w:p w:rsidRPr="00E9060E" w:rsidR="00F0627E" w:rsidP="00BD0F89" w:rsidRDefault="00F0627E" w14:paraId="1043320F" w14:textId="77777777">
      <w:pPr>
        <w:pStyle w:val="ListParagraph"/>
        <w:numPr>
          <w:ilvl w:val="0"/>
          <w:numId w:val="14"/>
        </w:numPr>
        <w:spacing w:after="0" w:line="240" w:lineRule="auto"/>
        <w:rPr>
          <w:rFonts w:ascii="Times New Roman" w:hAnsi="Times New Roman"/>
          <w:b/>
          <w:sz w:val="26"/>
          <w:szCs w:val="26"/>
        </w:rPr>
      </w:pPr>
      <w:r w:rsidRPr="00E9060E">
        <w:rPr>
          <w:rFonts w:ascii="Times New Roman" w:hAnsi="Times New Roman"/>
          <w:b/>
          <w:sz w:val="26"/>
          <w:szCs w:val="26"/>
        </w:rPr>
        <w:t>METHODS USED TO MINIMIZE THE BURDEN IN COLLECTION OF INFORMATION INVOLVING SMALL ENTITIES</w:t>
      </w:r>
    </w:p>
    <w:p w:rsidRPr="00E9060E" w:rsidR="00F0627E" w:rsidP="00BD0F89" w:rsidRDefault="00F0627E" w14:paraId="7CE41F3F" w14:textId="77777777">
      <w:pPr>
        <w:spacing w:after="0" w:line="240" w:lineRule="auto"/>
        <w:rPr>
          <w:rFonts w:ascii="Times New Roman" w:hAnsi="Times New Roman"/>
          <w:sz w:val="26"/>
          <w:szCs w:val="26"/>
        </w:rPr>
      </w:pPr>
    </w:p>
    <w:p w:rsidRPr="00E9060E" w:rsidR="007D436E" w:rsidP="00212EF9" w:rsidRDefault="003C0867" w14:paraId="568F9DC2" w14:textId="4C54E963">
      <w:pPr>
        <w:spacing w:after="0" w:line="480" w:lineRule="auto"/>
        <w:ind w:firstLine="360"/>
        <w:rPr>
          <w:rFonts w:ascii="Times New Roman" w:hAnsi="Times New Roman" w:eastAsia="Times New Roman"/>
          <w:sz w:val="26"/>
          <w:szCs w:val="26"/>
        </w:rPr>
      </w:pPr>
      <w:r w:rsidRPr="003C0867">
        <w:rPr>
          <w:rFonts w:ascii="Times New Roman" w:hAnsi="Times New Roman" w:eastAsia="Times New Roman"/>
          <w:sz w:val="26"/>
          <w:szCs w:val="26"/>
        </w:rPr>
        <w:t xml:space="preserve">FERC Form No. 2 is filed by “Major” natural gas companies that have combined gas transported or stored for a fee that exceeds 50 million Dekatherms in each of the three previous calendar years.  </w:t>
      </w:r>
      <w:r w:rsidR="005539AC">
        <w:rPr>
          <w:rFonts w:ascii="Times New Roman" w:hAnsi="Times New Roman" w:eastAsia="Times New Roman"/>
          <w:sz w:val="26"/>
          <w:szCs w:val="26"/>
        </w:rPr>
        <w:t xml:space="preserve">FERC </w:t>
      </w:r>
      <w:r w:rsidRPr="003C0867">
        <w:rPr>
          <w:rFonts w:ascii="Times New Roman" w:hAnsi="Times New Roman" w:eastAsia="Times New Roman"/>
          <w:sz w:val="26"/>
          <w:szCs w:val="26"/>
        </w:rPr>
        <w:t xml:space="preserve">Form No. 2-A is filed by “Non-Major” natural gas companies that have total gas sales or volume transactions that exceeds 200,000 Dekatherms in each of the three previous calendar </w:t>
      </w:r>
      <w:proofErr w:type="gramStart"/>
      <w:r w:rsidRPr="003C0867">
        <w:rPr>
          <w:rFonts w:ascii="Times New Roman" w:hAnsi="Times New Roman" w:eastAsia="Times New Roman"/>
          <w:sz w:val="26"/>
          <w:szCs w:val="26"/>
        </w:rPr>
        <w:t>years, but</w:t>
      </w:r>
      <w:proofErr w:type="gramEnd"/>
      <w:r w:rsidRPr="003C0867">
        <w:rPr>
          <w:rFonts w:ascii="Times New Roman" w:hAnsi="Times New Roman" w:eastAsia="Times New Roman"/>
          <w:sz w:val="26"/>
          <w:szCs w:val="26"/>
        </w:rPr>
        <w:t xml:space="preserve"> does not qualify as Major. </w:t>
      </w:r>
      <w:r w:rsidRPr="00E9060E" w:rsidR="007D436E">
        <w:rPr>
          <w:rFonts w:ascii="Times New Roman" w:hAnsi="Times New Roman" w:eastAsia="Times New Roman"/>
          <w:sz w:val="26"/>
          <w:szCs w:val="26"/>
        </w:rPr>
        <w:t xml:space="preserve">If the reporting requirements represent an undue burden on small businesses, the affected entity may seek a waiver of the </w:t>
      </w:r>
      <w:r w:rsidR="00332C5C">
        <w:rPr>
          <w:rFonts w:ascii="Times New Roman" w:hAnsi="Times New Roman" w:eastAsia="Times New Roman"/>
          <w:sz w:val="26"/>
          <w:szCs w:val="26"/>
        </w:rPr>
        <w:t>filing</w:t>
      </w:r>
      <w:r w:rsidRPr="00E9060E" w:rsidR="007D436E">
        <w:rPr>
          <w:rFonts w:ascii="Times New Roman" w:hAnsi="Times New Roman" w:eastAsia="Times New Roman"/>
          <w:sz w:val="26"/>
          <w:szCs w:val="26"/>
        </w:rPr>
        <w:t xml:space="preserve"> requirements from the Commission.  However, the Commission believes that the information collected on these forms is the minimum necessary to provide a meaningful review of financial conditions and </w:t>
      </w:r>
      <w:r w:rsidR="00332C5C">
        <w:rPr>
          <w:rFonts w:ascii="Times New Roman" w:hAnsi="Times New Roman" w:eastAsia="Times New Roman"/>
          <w:sz w:val="26"/>
          <w:szCs w:val="26"/>
        </w:rPr>
        <w:t xml:space="preserve">that </w:t>
      </w:r>
      <w:r w:rsidRPr="00E9060E" w:rsidR="007D436E">
        <w:rPr>
          <w:rFonts w:ascii="Times New Roman" w:hAnsi="Times New Roman" w:eastAsia="Times New Roman"/>
          <w:sz w:val="26"/>
          <w:szCs w:val="26"/>
        </w:rPr>
        <w:t>impose</w:t>
      </w:r>
      <w:r w:rsidR="00332C5C">
        <w:rPr>
          <w:rFonts w:ascii="Times New Roman" w:hAnsi="Times New Roman" w:eastAsia="Times New Roman"/>
          <w:sz w:val="26"/>
          <w:szCs w:val="26"/>
        </w:rPr>
        <w:t>s</w:t>
      </w:r>
      <w:r w:rsidRPr="00E9060E" w:rsidR="007D436E">
        <w:rPr>
          <w:rFonts w:ascii="Times New Roman" w:hAnsi="Times New Roman" w:eastAsia="Times New Roman"/>
          <w:sz w:val="26"/>
          <w:szCs w:val="26"/>
        </w:rPr>
        <w:t xml:space="preserve"> the least possible burden on entities.  </w:t>
      </w:r>
    </w:p>
    <w:p w:rsidRPr="00E9060E" w:rsidR="00680C13" w:rsidP="00BD0F89" w:rsidRDefault="00680C13" w14:paraId="5EA40EA4" w14:textId="77777777">
      <w:pPr>
        <w:spacing w:after="0" w:line="240" w:lineRule="auto"/>
        <w:rPr>
          <w:rFonts w:ascii="Times New Roman" w:hAnsi="Times New Roman" w:eastAsia="Times New Roman"/>
          <w:sz w:val="26"/>
          <w:szCs w:val="26"/>
        </w:rPr>
      </w:pPr>
    </w:p>
    <w:p w:rsidRPr="00E9060E" w:rsidR="00F0627E" w:rsidP="00BD0F89" w:rsidRDefault="00F0627E" w14:paraId="26442DFE" w14:textId="77777777">
      <w:pPr>
        <w:pStyle w:val="ListParagraph"/>
        <w:numPr>
          <w:ilvl w:val="0"/>
          <w:numId w:val="14"/>
        </w:numPr>
        <w:spacing w:after="0" w:line="240" w:lineRule="auto"/>
        <w:rPr>
          <w:rFonts w:ascii="Times New Roman" w:hAnsi="Times New Roman"/>
          <w:b/>
          <w:sz w:val="26"/>
          <w:szCs w:val="26"/>
        </w:rPr>
      </w:pPr>
      <w:r w:rsidRPr="00E9060E">
        <w:rPr>
          <w:rFonts w:ascii="Times New Roman" w:hAnsi="Times New Roman"/>
          <w:b/>
          <w:sz w:val="26"/>
          <w:szCs w:val="26"/>
        </w:rPr>
        <w:t>CONSEQUENCE TO FEDERAL PROGRAM IF COLLECTION WERE CONDUCTED LESS FREQUENTLY</w:t>
      </w:r>
    </w:p>
    <w:p w:rsidRPr="00E9060E" w:rsidR="00F0627E" w:rsidP="00BD0F89" w:rsidRDefault="00F0627E" w14:paraId="20A53002" w14:textId="77777777">
      <w:pPr>
        <w:spacing w:after="0" w:line="240" w:lineRule="auto"/>
        <w:rPr>
          <w:rFonts w:ascii="Times New Roman" w:hAnsi="Times New Roman"/>
          <w:sz w:val="26"/>
          <w:szCs w:val="26"/>
        </w:rPr>
      </w:pPr>
    </w:p>
    <w:p w:rsidRPr="00E9060E" w:rsidR="00F0627E" w:rsidP="00212EF9" w:rsidRDefault="009E5CAC" w14:paraId="3319550E" w14:textId="566D4B65">
      <w:pPr>
        <w:spacing w:line="480" w:lineRule="auto"/>
        <w:rPr>
          <w:rFonts w:ascii="Times New Roman" w:hAnsi="Times New Roman"/>
          <w:sz w:val="26"/>
          <w:szCs w:val="26"/>
        </w:rPr>
      </w:pPr>
      <w:r>
        <w:rPr>
          <w:rFonts w:ascii="Times New Roman" w:hAnsi="Times New Roman" w:eastAsia="Times New Roman"/>
          <w:sz w:val="26"/>
          <w:szCs w:val="26"/>
        </w:rPr>
        <w:tab/>
        <w:t>A</w:t>
      </w:r>
      <w:r w:rsidRPr="00E9060E" w:rsidR="002C0DA6">
        <w:rPr>
          <w:rFonts w:ascii="Times New Roman" w:hAnsi="Times New Roman" w:eastAsia="Times New Roman"/>
          <w:sz w:val="26"/>
          <w:szCs w:val="26"/>
        </w:rPr>
        <w:t xml:space="preserve">nnual reporting is consistent with </w:t>
      </w:r>
      <w:r w:rsidR="008B0858">
        <w:rPr>
          <w:rFonts w:ascii="Times New Roman" w:hAnsi="Times New Roman" w:eastAsia="Times New Roman"/>
          <w:sz w:val="26"/>
          <w:szCs w:val="26"/>
        </w:rPr>
        <w:t>companies’</w:t>
      </w:r>
      <w:r w:rsidRPr="00E9060E" w:rsidR="002C0DA6">
        <w:rPr>
          <w:rFonts w:ascii="Times New Roman" w:hAnsi="Times New Roman" w:eastAsia="Times New Roman"/>
          <w:sz w:val="26"/>
          <w:szCs w:val="26"/>
        </w:rPr>
        <w:t xml:space="preserve"> </w:t>
      </w:r>
      <w:proofErr w:type="gramStart"/>
      <w:r w:rsidRPr="00E9060E" w:rsidR="002C0DA6">
        <w:rPr>
          <w:rFonts w:ascii="Times New Roman" w:hAnsi="Times New Roman" w:eastAsia="Times New Roman"/>
          <w:sz w:val="26"/>
          <w:szCs w:val="26"/>
        </w:rPr>
        <w:t>reporting  to</w:t>
      </w:r>
      <w:proofErr w:type="gramEnd"/>
      <w:r w:rsidRPr="00E9060E" w:rsidR="002C0DA6">
        <w:rPr>
          <w:rFonts w:ascii="Times New Roman" w:hAnsi="Times New Roman" w:eastAsia="Times New Roman"/>
          <w:sz w:val="26"/>
          <w:szCs w:val="26"/>
        </w:rPr>
        <w:t xml:space="preserve"> their own management, the Internal Revenue Service, state and other Federal agencies.  </w:t>
      </w:r>
      <w:r w:rsidRPr="003C0867" w:rsidR="003C0867">
        <w:rPr>
          <w:rFonts w:ascii="Times New Roman" w:hAnsi="Times New Roman" w:eastAsia="Times New Roman"/>
          <w:sz w:val="26"/>
          <w:szCs w:val="26"/>
        </w:rPr>
        <w:t>If the collections were conducted less frequently, the Commission would have difficulty performing its mandated review responsibilities with respect to the assessment of the financial condition of public utilities and licensees</w:t>
      </w:r>
      <w:r w:rsidR="003C0867">
        <w:rPr>
          <w:rFonts w:ascii="Times New Roman" w:hAnsi="Times New Roman" w:eastAsia="Times New Roman"/>
          <w:sz w:val="26"/>
          <w:szCs w:val="26"/>
        </w:rPr>
        <w:t xml:space="preserve"> and </w:t>
      </w:r>
      <w:r w:rsidRPr="00E9060E" w:rsidR="002C0DA6">
        <w:rPr>
          <w:rFonts w:ascii="Times New Roman" w:hAnsi="Times New Roman" w:eastAsia="Times New Roman"/>
          <w:sz w:val="26"/>
          <w:szCs w:val="26"/>
        </w:rPr>
        <w:t xml:space="preserve">the Commission and third parties would </w:t>
      </w:r>
      <w:r w:rsidRPr="00E9060E" w:rsidR="0003545C">
        <w:rPr>
          <w:rFonts w:ascii="Times New Roman" w:hAnsi="Times New Roman" w:eastAsia="Times New Roman"/>
          <w:sz w:val="26"/>
          <w:szCs w:val="26"/>
        </w:rPr>
        <w:t>have difficulty</w:t>
      </w:r>
      <w:r w:rsidRPr="00E9060E" w:rsidR="002C0DA6">
        <w:rPr>
          <w:rFonts w:ascii="Times New Roman" w:hAnsi="Times New Roman" w:eastAsia="Times New Roman"/>
          <w:sz w:val="26"/>
          <w:szCs w:val="26"/>
        </w:rPr>
        <w:t xml:space="preserve"> respond</w:t>
      </w:r>
      <w:r w:rsidRPr="00E9060E" w:rsidR="0003545C">
        <w:rPr>
          <w:rFonts w:ascii="Times New Roman" w:hAnsi="Times New Roman" w:eastAsia="Times New Roman"/>
          <w:sz w:val="26"/>
          <w:szCs w:val="26"/>
        </w:rPr>
        <w:t>ing to</w:t>
      </w:r>
      <w:r w:rsidRPr="00E9060E" w:rsidR="002C0DA6">
        <w:rPr>
          <w:rFonts w:ascii="Times New Roman" w:hAnsi="Times New Roman" w:eastAsia="Times New Roman"/>
          <w:sz w:val="26"/>
          <w:szCs w:val="26"/>
        </w:rPr>
        <w:t xml:space="preserve"> and mak</w:t>
      </w:r>
      <w:r w:rsidRPr="00E9060E" w:rsidR="0003545C">
        <w:rPr>
          <w:rFonts w:ascii="Times New Roman" w:hAnsi="Times New Roman" w:eastAsia="Times New Roman"/>
          <w:sz w:val="26"/>
          <w:szCs w:val="26"/>
        </w:rPr>
        <w:t>ing</w:t>
      </w:r>
      <w:r w:rsidRPr="00E9060E" w:rsidR="002C0DA6">
        <w:rPr>
          <w:rFonts w:ascii="Times New Roman" w:hAnsi="Times New Roman" w:eastAsia="Times New Roman"/>
          <w:sz w:val="26"/>
          <w:szCs w:val="26"/>
        </w:rPr>
        <w:t xml:space="preserve"> full</w:t>
      </w:r>
      <w:r w:rsidRPr="00E9060E" w:rsidR="0003545C">
        <w:rPr>
          <w:rFonts w:ascii="Times New Roman" w:hAnsi="Times New Roman" w:eastAsia="Times New Roman"/>
          <w:sz w:val="26"/>
          <w:szCs w:val="26"/>
        </w:rPr>
        <w:t>y</w:t>
      </w:r>
      <w:r w:rsidRPr="00E9060E" w:rsidR="002C0DA6">
        <w:rPr>
          <w:rFonts w:ascii="Times New Roman" w:hAnsi="Times New Roman" w:eastAsia="Times New Roman"/>
          <w:sz w:val="26"/>
          <w:szCs w:val="26"/>
        </w:rPr>
        <w:t xml:space="preserve"> informed decisions in a timely manner particularly to rapidly changing financial conditions of entities subject to </w:t>
      </w:r>
      <w:r w:rsidR="00950E12">
        <w:rPr>
          <w:rFonts w:ascii="Times New Roman" w:hAnsi="Times New Roman" w:eastAsia="Times New Roman"/>
          <w:sz w:val="26"/>
          <w:szCs w:val="26"/>
        </w:rPr>
        <w:t>the Commission’s</w:t>
      </w:r>
      <w:r w:rsidRPr="00E9060E" w:rsidR="002C0DA6">
        <w:rPr>
          <w:rFonts w:ascii="Times New Roman" w:hAnsi="Times New Roman" w:eastAsia="Times New Roman"/>
          <w:sz w:val="26"/>
          <w:szCs w:val="26"/>
        </w:rPr>
        <w:t xml:space="preserve"> jurisdiction.</w:t>
      </w:r>
      <w:r w:rsidR="00646564">
        <w:rPr>
          <w:rFonts w:ascii="Times New Roman" w:hAnsi="Times New Roman" w:eastAsia="Times New Roman"/>
          <w:sz w:val="26"/>
          <w:szCs w:val="26"/>
        </w:rPr>
        <w:t xml:space="preserve"> </w:t>
      </w:r>
      <w:r w:rsidRPr="00E9060E" w:rsidR="00C443EF">
        <w:rPr>
          <w:rFonts w:ascii="Times New Roman" w:hAnsi="Times New Roman"/>
          <w:sz w:val="26"/>
          <w:szCs w:val="26"/>
        </w:rPr>
        <w:t xml:space="preserve">Some of the information </w:t>
      </w:r>
      <w:proofErr w:type="gramStart"/>
      <w:r w:rsidRPr="00E9060E" w:rsidR="00C443EF">
        <w:rPr>
          <w:rFonts w:ascii="Times New Roman" w:hAnsi="Times New Roman"/>
          <w:sz w:val="26"/>
          <w:szCs w:val="26"/>
        </w:rPr>
        <w:t>in particular filings</w:t>
      </w:r>
      <w:proofErr w:type="gramEnd"/>
      <w:r w:rsidRPr="00E9060E" w:rsidR="00C443EF">
        <w:rPr>
          <w:rFonts w:ascii="Times New Roman" w:hAnsi="Times New Roman"/>
          <w:sz w:val="26"/>
          <w:szCs w:val="26"/>
        </w:rPr>
        <w:t xml:space="preserve"> may change markedly from one year to the next.  If the information were collected less frequently, the </w:t>
      </w:r>
      <w:r w:rsidRPr="00E9060E" w:rsidR="00C443EF">
        <w:rPr>
          <w:rFonts w:ascii="Times New Roman" w:hAnsi="Times New Roman"/>
          <w:sz w:val="26"/>
          <w:szCs w:val="26"/>
        </w:rPr>
        <w:lastRenderedPageBreak/>
        <w:t xml:space="preserve">Commission would </w:t>
      </w:r>
      <w:r w:rsidRPr="00E9060E" w:rsidR="0003545C">
        <w:rPr>
          <w:rFonts w:ascii="Times New Roman" w:hAnsi="Times New Roman"/>
          <w:sz w:val="26"/>
          <w:szCs w:val="26"/>
        </w:rPr>
        <w:t xml:space="preserve">have difficulty </w:t>
      </w:r>
      <w:r w:rsidRPr="00E9060E" w:rsidR="00C443EF">
        <w:rPr>
          <w:rFonts w:ascii="Times New Roman" w:hAnsi="Times New Roman"/>
          <w:sz w:val="26"/>
          <w:szCs w:val="26"/>
        </w:rPr>
        <w:t>perform</w:t>
      </w:r>
      <w:r w:rsidRPr="00E9060E" w:rsidR="0003545C">
        <w:rPr>
          <w:rFonts w:ascii="Times New Roman" w:hAnsi="Times New Roman"/>
          <w:sz w:val="26"/>
          <w:szCs w:val="26"/>
        </w:rPr>
        <w:t>ing</w:t>
      </w:r>
      <w:r w:rsidRPr="00E9060E" w:rsidR="00C443EF">
        <w:rPr>
          <w:rFonts w:ascii="Times New Roman" w:hAnsi="Times New Roman"/>
          <w:sz w:val="26"/>
          <w:szCs w:val="26"/>
        </w:rPr>
        <w:t xml:space="preserve"> its mandated review and oversight in a timely and accurate manner.</w:t>
      </w:r>
      <w:r w:rsidRPr="00E9060E" w:rsidR="00B75C18">
        <w:rPr>
          <w:rFonts w:ascii="Times New Roman" w:hAnsi="Times New Roman"/>
          <w:sz w:val="26"/>
          <w:szCs w:val="26"/>
        </w:rPr>
        <w:t xml:space="preserve">  </w:t>
      </w:r>
    </w:p>
    <w:p w:rsidRPr="00E9060E" w:rsidR="00F0627E" w:rsidP="00BD0F89" w:rsidRDefault="00F0627E" w14:paraId="6DE0BCEB" w14:textId="77777777">
      <w:pPr>
        <w:pStyle w:val="ListParagraph"/>
        <w:numPr>
          <w:ilvl w:val="0"/>
          <w:numId w:val="14"/>
        </w:numPr>
        <w:spacing w:after="0" w:line="240" w:lineRule="auto"/>
        <w:rPr>
          <w:rFonts w:ascii="Times New Roman" w:hAnsi="Times New Roman"/>
          <w:b/>
          <w:sz w:val="26"/>
          <w:szCs w:val="26"/>
        </w:rPr>
      </w:pPr>
      <w:r w:rsidRPr="00E9060E">
        <w:rPr>
          <w:rFonts w:ascii="Times New Roman" w:hAnsi="Times New Roman"/>
          <w:b/>
          <w:sz w:val="26"/>
          <w:szCs w:val="26"/>
        </w:rPr>
        <w:t>EXPLAIN ANY SPECIAL CIRCUMSTANCES RELATING TO THE INFORMATION COLLECTION</w:t>
      </w:r>
    </w:p>
    <w:p w:rsidRPr="00E9060E" w:rsidR="00F0627E" w:rsidP="00BD0F89" w:rsidRDefault="00F0627E" w14:paraId="61BC8479" w14:textId="77777777">
      <w:pPr>
        <w:spacing w:after="0" w:line="240" w:lineRule="auto"/>
        <w:rPr>
          <w:rFonts w:ascii="Times New Roman" w:hAnsi="Times New Roman"/>
          <w:sz w:val="26"/>
          <w:szCs w:val="26"/>
        </w:rPr>
      </w:pPr>
    </w:p>
    <w:p w:rsidRPr="00E9060E" w:rsidR="00F0627E" w:rsidP="00212EF9" w:rsidRDefault="00F0627E" w14:paraId="1832EE9A" w14:textId="77777777">
      <w:pPr>
        <w:spacing w:after="0" w:line="480" w:lineRule="auto"/>
        <w:ind w:firstLine="360"/>
        <w:rPr>
          <w:rFonts w:ascii="Times New Roman" w:hAnsi="Times New Roman"/>
          <w:sz w:val="26"/>
          <w:szCs w:val="26"/>
        </w:rPr>
      </w:pPr>
      <w:r w:rsidRPr="00E9060E">
        <w:rPr>
          <w:rFonts w:ascii="Times New Roman" w:hAnsi="Times New Roman"/>
          <w:sz w:val="26"/>
          <w:szCs w:val="26"/>
        </w:rPr>
        <w:t>There are no special circumstances related to th</w:t>
      </w:r>
      <w:r w:rsidRPr="00E9060E" w:rsidR="00EC66AC">
        <w:rPr>
          <w:rFonts w:ascii="Times New Roman" w:hAnsi="Times New Roman"/>
          <w:sz w:val="26"/>
          <w:szCs w:val="26"/>
        </w:rPr>
        <w:t>ese</w:t>
      </w:r>
      <w:r w:rsidRPr="00E9060E">
        <w:rPr>
          <w:rFonts w:ascii="Times New Roman" w:hAnsi="Times New Roman"/>
          <w:sz w:val="26"/>
          <w:szCs w:val="26"/>
        </w:rPr>
        <w:t xml:space="preserve"> information collection</w:t>
      </w:r>
      <w:r w:rsidRPr="00E9060E" w:rsidR="00EC66AC">
        <w:rPr>
          <w:rFonts w:ascii="Times New Roman" w:hAnsi="Times New Roman"/>
          <w:sz w:val="26"/>
          <w:szCs w:val="26"/>
        </w:rPr>
        <w:t>s</w:t>
      </w:r>
      <w:r w:rsidRPr="00E9060E" w:rsidR="001F56F4">
        <w:rPr>
          <w:rFonts w:ascii="Times New Roman" w:hAnsi="Times New Roman"/>
          <w:sz w:val="26"/>
          <w:szCs w:val="26"/>
        </w:rPr>
        <w:t>, other than those mentioned below</w:t>
      </w:r>
      <w:r w:rsidRPr="00E9060E">
        <w:rPr>
          <w:rFonts w:ascii="Times New Roman" w:hAnsi="Times New Roman"/>
          <w:sz w:val="26"/>
          <w:szCs w:val="26"/>
        </w:rPr>
        <w:t>.</w:t>
      </w:r>
    </w:p>
    <w:p w:rsidRPr="00E9060E" w:rsidR="00517EC0" w:rsidP="00BD0F89" w:rsidRDefault="00517EC0" w14:paraId="74F838D9" w14:textId="77777777">
      <w:pPr>
        <w:spacing w:after="0" w:line="240" w:lineRule="auto"/>
        <w:ind w:left="360" w:hanging="360"/>
        <w:rPr>
          <w:rFonts w:ascii="Times New Roman" w:hAnsi="Times New Roman"/>
          <w:sz w:val="26"/>
          <w:szCs w:val="26"/>
        </w:rPr>
      </w:pPr>
    </w:p>
    <w:p w:rsidRPr="00E9060E" w:rsidR="00F0627E" w:rsidP="00BD0F89" w:rsidRDefault="00F0627E" w14:paraId="75DA9249" w14:textId="77777777">
      <w:pPr>
        <w:pStyle w:val="ListParagraph"/>
        <w:numPr>
          <w:ilvl w:val="0"/>
          <w:numId w:val="14"/>
        </w:numPr>
        <w:spacing w:after="0" w:line="240" w:lineRule="auto"/>
        <w:rPr>
          <w:rFonts w:ascii="Times New Roman" w:hAnsi="Times New Roman"/>
          <w:b/>
          <w:sz w:val="26"/>
          <w:szCs w:val="26"/>
        </w:rPr>
      </w:pPr>
      <w:r w:rsidRPr="00E9060E">
        <w:rPr>
          <w:rFonts w:ascii="Times New Roman" w:hAnsi="Times New Roman"/>
          <w:b/>
          <w:sz w:val="26"/>
          <w:szCs w:val="26"/>
        </w:rPr>
        <w:t>DESCRIBE EFFORTS TO CONSULT OUTSIDE THE AGENCY: SUMMARIZE PUBLIC COMMENTS AND THE AGENCY’S RESPONSE</w:t>
      </w:r>
    </w:p>
    <w:p w:rsidRPr="00E9060E" w:rsidR="00F0627E" w:rsidP="00BD0F89" w:rsidRDefault="00F0627E" w14:paraId="5D2AE01F" w14:textId="77777777">
      <w:pPr>
        <w:spacing w:after="0" w:line="240" w:lineRule="auto"/>
        <w:rPr>
          <w:rFonts w:ascii="Times New Roman" w:hAnsi="Times New Roman"/>
          <w:sz w:val="26"/>
          <w:szCs w:val="26"/>
        </w:rPr>
      </w:pPr>
    </w:p>
    <w:p w:rsidRPr="00AE4269" w:rsidR="008A7B09" w:rsidP="00AE4269" w:rsidRDefault="00193CF6" w14:paraId="780E1467" w14:textId="7E788E7F">
      <w:pPr>
        <w:spacing w:after="0" w:line="480" w:lineRule="auto"/>
        <w:ind w:firstLine="720"/>
        <w:rPr>
          <w:rFonts w:ascii="Times New Roman" w:hAnsi="Times New Roman" w:eastAsia="Times New Roman"/>
          <w:sz w:val="26"/>
          <w:szCs w:val="24"/>
        </w:rPr>
      </w:pPr>
      <w:r w:rsidRPr="00193CF6">
        <w:rPr>
          <w:rFonts w:ascii="Times New Roman" w:hAnsi="Times New Roman" w:eastAsia="Times New Roman"/>
          <w:sz w:val="26"/>
          <w:szCs w:val="24"/>
        </w:rPr>
        <w:t xml:space="preserve">On April 30, 2020, the Commission published a </w:t>
      </w:r>
      <w:r>
        <w:rPr>
          <w:rFonts w:ascii="Times New Roman" w:hAnsi="Times New Roman" w:eastAsia="Times New Roman"/>
          <w:sz w:val="26"/>
          <w:szCs w:val="24"/>
        </w:rPr>
        <w:t xml:space="preserve">60-day </w:t>
      </w:r>
      <w:r w:rsidR="00036F93">
        <w:rPr>
          <w:rFonts w:ascii="Times New Roman" w:hAnsi="Times New Roman" w:eastAsia="Times New Roman"/>
          <w:sz w:val="26"/>
          <w:szCs w:val="24"/>
        </w:rPr>
        <w:t>N</w:t>
      </w:r>
      <w:r w:rsidR="00152A6C">
        <w:rPr>
          <w:rFonts w:ascii="Times New Roman" w:hAnsi="Times New Roman" w:eastAsia="Times New Roman"/>
          <w:sz w:val="26"/>
          <w:szCs w:val="24"/>
        </w:rPr>
        <w:t>otice</w:t>
      </w:r>
      <w:r w:rsidR="00036F93">
        <w:rPr>
          <w:rFonts w:ascii="Times New Roman" w:hAnsi="Times New Roman" w:eastAsia="Times New Roman"/>
          <w:sz w:val="26"/>
          <w:szCs w:val="24"/>
        </w:rPr>
        <w:t xml:space="preserve"> (</w:t>
      </w:r>
      <w:r w:rsidRPr="00036F93" w:rsidR="00036F93">
        <w:rPr>
          <w:rFonts w:ascii="Times New Roman" w:hAnsi="Times New Roman" w:eastAsia="Times New Roman"/>
          <w:sz w:val="26"/>
          <w:szCs w:val="24"/>
        </w:rPr>
        <w:t xml:space="preserve">Docket </w:t>
      </w:r>
      <w:proofErr w:type="gramStart"/>
      <w:r w:rsidRPr="00036F93" w:rsidR="00036F93">
        <w:rPr>
          <w:rFonts w:ascii="Times New Roman" w:hAnsi="Times New Roman" w:eastAsia="Times New Roman"/>
          <w:sz w:val="26"/>
          <w:szCs w:val="24"/>
        </w:rPr>
        <w:t>No.IC</w:t>
      </w:r>
      <w:proofErr w:type="gramEnd"/>
      <w:r w:rsidRPr="00036F93" w:rsidR="00036F93">
        <w:rPr>
          <w:rFonts w:ascii="Times New Roman" w:hAnsi="Times New Roman" w:eastAsia="Times New Roman"/>
          <w:sz w:val="26"/>
          <w:szCs w:val="24"/>
        </w:rPr>
        <w:t>20-10-000</w:t>
      </w:r>
      <w:r w:rsidR="00036F93">
        <w:rPr>
          <w:rFonts w:ascii="Times New Roman" w:hAnsi="Times New Roman" w:eastAsia="Times New Roman"/>
          <w:sz w:val="26"/>
          <w:szCs w:val="24"/>
        </w:rPr>
        <w:t>)</w:t>
      </w:r>
      <w:r w:rsidRPr="00036F93" w:rsidR="00036F93">
        <w:rPr>
          <w:rFonts w:ascii="Times New Roman" w:hAnsi="Times New Roman" w:eastAsia="Times New Roman"/>
          <w:sz w:val="26"/>
          <w:szCs w:val="24"/>
        </w:rPr>
        <w:t xml:space="preserve"> </w:t>
      </w:r>
      <w:r w:rsidRPr="00193CF6">
        <w:rPr>
          <w:rFonts w:ascii="Times New Roman" w:hAnsi="Times New Roman" w:eastAsia="Times New Roman"/>
          <w:sz w:val="26"/>
          <w:szCs w:val="24"/>
        </w:rPr>
        <w:t xml:space="preserve">in the Federal Register </w:t>
      </w:r>
      <w:r w:rsidRPr="00036F93" w:rsidR="00036F93">
        <w:rPr>
          <w:rFonts w:ascii="Times New Roman" w:hAnsi="Times New Roman" w:eastAsia="Times New Roman"/>
          <w:sz w:val="26"/>
          <w:szCs w:val="24"/>
        </w:rPr>
        <w:t>(85 FR 23954)</w:t>
      </w:r>
      <w:r w:rsidR="00036F93">
        <w:rPr>
          <w:rFonts w:ascii="Times New Roman" w:hAnsi="Times New Roman" w:eastAsia="Times New Roman"/>
          <w:sz w:val="26"/>
          <w:szCs w:val="24"/>
        </w:rPr>
        <w:t xml:space="preserve"> </w:t>
      </w:r>
      <w:r w:rsidRPr="00193CF6">
        <w:rPr>
          <w:rFonts w:ascii="Times New Roman" w:hAnsi="Times New Roman" w:eastAsia="Times New Roman"/>
          <w:sz w:val="26"/>
          <w:szCs w:val="24"/>
        </w:rPr>
        <w:t>requesting public comments</w:t>
      </w:r>
      <w:r w:rsidR="00036F93">
        <w:rPr>
          <w:rFonts w:ascii="Times New Roman" w:hAnsi="Times New Roman" w:eastAsia="Times New Roman"/>
          <w:sz w:val="26"/>
          <w:szCs w:val="24"/>
        </w:rPr>
        <w:t xml:space="preserve"> regarding the FERC Form Nos. 2 and 2-A.  No</w:t>
      </w:r>
      <w:r w:rsidR="00E956D6">
        <w:rPr>
          <w:rFonts w:ascii="Times New Roman" w:hAnsi="Times New Roman" w:eastAsia="Times New Roman"/>
          <w:sz w:val="26"/>
          <w:szCs w:val="24"/>
        </w:rPr>
        <w:t xml:space="preserve"> comments were received </w:t>
      </w:r>
      <w:r w:rsidR="00036F93">
        <w:rPr>
          <w:rFonts w:ascii="Times New Roman" w:hAnsi="Times New Roman" w:eastAsia="Times New Roman"/>
          <w:sz w:val="26"/>
          <w:szCs w:val="24"/>
        </w:rPr>
        <w:t>in response to</w:t>
      </w:r>
      <w:r w:rsidR="00E956D6">
        <w:rPr>
          <w:rFonts w:ascii="Times New Roman" w:hAnsi="Times New Roman" w:eastAsia="Times New Roman"/>
          <w:sz w:val="26"/>
          <w:szCs w:val="24"/>
        </w:rPr>
        <w:t xml:space="preserve"> the 60-day</w:t>
      </w:r>
      <w:r w:rsidR="00036F93">
        <w:rPr>
          <w:rFonts w:ascii="Times New Roman" w:hAnsi="Times New Roman" w:eastAsia="Times New Roman"/>
          <w:sz w:val="26"/>
          <w:szCs w:val="24"/>
        </w:rPr>
        <w:t xml:space="preserve"> notice</w:t>
      </w:r>
      <w:r w:rsidRPr="00193CF6">
        <w:rPr>
          <w:rFonts w:ascii="Times New Roman" w:hAnsi="Times New Roman" w:eastAsia="Times New Roman"/>
          <w:sz w:val="26"/>
          <w:szCs w:val="24"/>
        </w:rPr>
        <w:t xml:space="preserve">.  </w:t>
      </w:r>
      <w:r w:rsidR="00036F93">
        <w:rPr>
          <w:rFonts w:ascii="Times New Roman" w:hAnsi="Times New Roman" w:eastAsia="Times New Roman"/>
          <w:sz w:val="26"/>
          <w:szCs w:val="24"/>
        </w:rPr>
        <w:t>O</w:t>
      </w:r>
      <w:r w:rsidRPr="00036F93" w:rsidR="00036F93">
        <w:rPr>
          <w:rFonts w:ascii="Times New Roman" w:hAnsi="Times New Roman" w:eastAsia="Times New Roman"/>
          <w:sz w:val="26"/>
          <w:szCs w:val="24"/>
        </w:rPr>
        <w:t>n July 20, 2020</w:t>
      </w:r>
      <w:r w:rsidR="00036F93">
        <w:rPr>
          <w:rFonts w:ascii="Times New Roman" w:hAnsi="Times New Roman" w:eastAsia="Times New Roman"/>
          <w:sz w:val="26"/>
          <w:szCs w:val="24"/>
        </w:rPr>
        <w:t>,</w:t>
      </w:r>
      <w:r w:rsidRPr="00036F93" w:rsidR="00036F93">
        <w:rPr>
          <w:rFonts w:ascii="Times New Roman" w:hAnsi="Times New Roman" w:eastAsia="Times New Roman"/>
          <w:sz w:val="26"/>
          <w:szCs w:val="24"/>
        </w:rPr>
        <w:t xml:space="preserve"> </w:t>
      </w:r>
      <w:r w:rsidR="00036F93">
        <w:rPr>
          <w:rFonts w:ascii="Times New Roman" w:hAnsi="Times New Roman" w:eastAsia="Times New Roman"/>
          <w:sz w:val="26"/>
          <w:szCs w:val="24"/>
        </w:rPr>
        <w:t>t</w:t>
      </w:r>
      <w:r>
        <w:rPr>
          <w:rFonts w:ascii="Times New Roman" w:hAnsi="Times New Roman" w:eastAsia="Times New Roman"/>
          <w:sz w:val="26"/>
          <w:szCs w:val="24"/>
        </w:rPr>
        <w:t xml:space="preserve">he </w:t>
      </w:r>
      <w:r w:rsidR="00036F93">
        <w:rPr>
          <w:rFonts w:ascii="Times New Roman" w:hAnsi="Times New Roman" w:eastAsia="Times New Roman"/>
          <w:sz w:val="26"/>
          <w:szCs w:val="24"/>
        </w:rPr>
        <w:t xml:space="preserve">Commission </w:t>
      </w:r>
      <w:proofErr w:type="spellStart"/>
      <w:r w:rsidR="00036F93">
        <w:rPr>
          <w:rFonts w:ascii="Times New Roman" w:hAnsi="Times New Roman" w:eastAsia="Times New Roman"/>
          <w:sz w:val="26"/>
          <w:szCs w:val="24"/>
        </w:rPr>
        <w:t>pubished</w:t>
      </w:r>
      <w:proofErr w:type="spellEnd"/>
      <w:r w:rsidR="00036F93">
        <w:rPr>
          <w:rFonts w:ascii="Times New Roman" w:hAnsi="Times New Roman" w:eastAsia="Times New Roman"/>
          <w:sz w:val="26"/>
          <w:szCs w:val="24"/>
        </w:rPr>
        <w:t xml:space="preserve"> a </w:t>
      </w:r>
      <w:r>
        <w:rPr>
          <w:rFonts w:ascii="Times New Roman" w:hAnsi="Times New Roman" w:eastAsia="Times New Roman"/>
          <w:sz w:val="26"/>
          <w:szCs w:val="24"/>
        </w:rPr>
        <w:t xml:space="preserve">30-day </w:t>
      </w:r>
      <w:r w:rsidR="00036F93">
        <w:rPr>
          <w:rFonts w:ascii="Times New Roman" w:hAnsi="Times New Roman" w:eastAsia="Times New Roman"/>
          <w:sz w:val="26"/>
          <w:szCs w:val="24"/>
        </w:rPr>
        <w:t>N</w:t>
      </w:r>
      <w:r>
        <w:rPr>
          <w:rFonts w:ascii="Times New Roman" w:hAnsi="Times New Roman" w:eastAsia="Times New Roman"/>
          <w:sz w:val="26"/>
          <w:szCs w:val="24"/>
        </w:rPr>
        <w:t>otice</w:t>
      </w:r>
      <w:r w:rsidR="00036F93">
        <w:rPr>
          <w:rFonts w:ascii="Times New Roman" w:hAnsi="Times New Roman" w:eastAsia="Times New Roman"/>
          <w:sz w:val="26"/>
          <w:szCs w:val="24"/>
        </w:rPr>
        <w:t xml:space="preserve"> requesting public comments concerning the FERC Form Nos</w:t>
      </w:r>
      <w:r w:rsidR="006347AA">
        <w:rPr>
          <w:rFonts w:ascii="Times New Roman" w:hAnsi="Times New Roman" w:eastAsia="Times New Roman"/>
          <w:sz w:val="26"/>
          <w:szCs w:val="24"/>
        </w:rPr>
        <w:t>.</w:t>
      </w:r>
      <w:r w:rsidR="00036F93">
        <w:rPr>
          <w:rFonts w:ascii="Times New Roman" w:hAnsi="Times New Roman" w:eastAsia="Times New Roman"/>
          <w:sz w:val="26"/>
          <w:szCs w:val="24"/>
        </w:rPr>
        <w:t xml:space="preserve"> 2 and 2-A.</w:t>
      </w:r>
      <w:r>
        <w:rPr>
          <w:rFonts w:ascii="Times New Roman" w:hAnsi="Times New Roman" w:eastAsia="Times New Roman"/>
          <w:sz w:val="26"/>
          <w:szCs w:val="24"/>
        </w:rPr>
        <w:t xml:space="preserve"> </w:t>
      </w:r>
      <w:r w:rsidR="00E956D6">
        <w:rPr>
          <w:rFonts w:ascii="Times New Roman" w:hAnsi="Times New Roman" w:eastAsia="Times New Roman"/>
          <w:sz w:val="26"/>
          <w:szCs w:val="24"/>
        </w:rPr>
        <w:t>(85</w:t>
      </w:r>
      <w:r w:rsidR="00036F93">
        <w:rPr>
          <w:rFonts w:ascii="Times New Roman" w:hAnsi="Times New Roman" w:eastAsia="Times New Roman"/>
          <w:sz w:val="26"/>
          <w:szCs w:val="24"/>
        </w:rPr>
        <w:t xml:space="preserve"> </w:t>
      </w:r>
      <w:r w:rsidR="00E956D6">
        <w:rPr>
          <w:rFonts w:ascii="Times New Roman" w:hAnsi="Times New Roman" w:eastAsia="Times New Roman"/>
          <w:sz w:val="26"/>
          <w:szCs w:val="24"/>
        </w:rPr>
        <w:t>FR</w:t>
      </w:r>
      <w:r w:rsidR="00036F93">
        <w:rPr>
          <w:rFonts w:ascii="Times New Roman" w:hAnsi="Times New Roman" w:eastAsia="Times New Roman"/>
          <w:sz w:val="26"/>
          <w:szCs w:val="24"/>
        </w:rPr>
        <w:t xml:space="preserve"> </w:t>
      </w:r>
      <w:r w:rsidR="00E956D6">
        <w:rPr>
          <w:rFonts w:ascii="Times New Roman" w:hAnsi="Times New Roman" w:eastAsia="Times New Roman"/>
          <w:sz w:val="26"/>
          <w:szCs w:val="24"/>
        </w:rPr>
        <w:t>43831)</w:t>
      </w:r>
      <w:r w:rsidR="0017569A">
        <w:rPr>
          <w:rFonts w:ascii="Times New Roman" w:hAnsi="Times New Roman" w:eastAsia="Times New Roman"/>
          <w:sz w:val="26"/>
          <w:szCs w:val="24"/>
        </w:rPr>
        <w:t xml:space="preserve"> an Errata notice was also published to incorporate XBRL Refresh Burden on September 14, 2020 (85FR56597)</w:t>
      </w:r>
      <w:r>
        <w:rPr>
          <w:rFonts w:ascii="Times New Roman" w:hAnsi="Times New Roman" w:eastAsia="Times New Roman"/>
          <w:sz w:val="26"/>
          <w:szCs w:val="24"/>
        </w:rPr>
        <w:t>.</w:t>
      </w:r>
    </w:p>
    <w:p w:rsidRPr="00E9060E" w:rsidR="009C451A" w:rsidP="00BD0F89" w:rsidRDefault="009C451A" w14:paraId="1F5BA73E" w14:textId="77777777">
      <w:pPr>
        <w:pStyle w:val="ListParagraph"/>
        <w:spacing w:after="0" w:line="240" w:lineRule="auto"/>
        <w:ind w:left="0"/>
        <w:rPr>
          <w:rFonts w:ascii="Times New Roman" w:hAnsi="Times New Roman"/>
          <w:b/>
          <w:sz w:val="26"/>
          <w:szCs w:val="26"/>
        </w:rPr>
      </w:pPr>
    </w:p>
    <w:p w:rsidRPr="00E9060E" w:rsidR="00F0627E" w:rsidP="00BD0F89" w:rsidRDefault="00F0627E" w14:paraId="1A2BC3FA" w14:textId="77777777">
      <w:pPr>
        <w:pStyle w:val="ListParagraph"/>
        <w:numPr>
          <w:ilvl w:val="0"/>
          <w:numId w:val="14"/>
        </w:numPr>
        <w:spacing w:after="0" w:line="240" w:lineRule="auto"/>
        <w:rPr>
          <w:rFonts w:ascii="Times New Roman" w:hAnsi="Times New Roman"/>
          <w:b/>
          <w:sz w:val="26"/>
          <w:szCs w:val="26"/>
        </w:rPr>
      </w:pPr>
      <w:r w:rsidRPr="00E9060E">
        <w:rPr>
          <w:rFonts w:ascii="Times New Roman" w:hAnsi="Times New Roman"/>
          <w:b/>
          <w:sz w:val="26"/>
          <w:szCs w:val="26"/>
        </w:rPr>
        <w:t>EXPLAIN ANY PAYMENT OR GIFTS TO RESPONDENTS</w:t>
      </w:r>
    </w:p>
    <w:p w:rsidRPr="00E9060E" w:rsidR="00F0627E" w:rsidP="00BD0F89" w:rsidRDefault="00F0627E" w14:paraId="1C0A081E" w14:textId="77777777">
      <w:pPr>
        <w:spacing w:after="0" w:line="240" w:lineRule="auto"/>
        <w:rPr>
          <w:rFonts w:ascii="Times New Roman" w:hAnsi="Times New Roman"/>
          <w:sz w:val="26"/>
          <w:szCs w:val="26"/>
        </w:rPr>
      </w:pPr>
    </w:p>
    <w:p w:rsidRPr="00E9060E" w:rsidR="00F0627E" w:rsidP="00212EF9" w:rsidRDefault="00F0627E" w14:paraId="47E62683" w14:textId="0E45FA06">
      <w:pPr>
        <w:spacing w:after="0" w:line="240" w:lineRule="auto"/>
        <w:ind w:firstLine="360"/>
        <w:rPr>
          <w:rFonts w:ascii="Times New Roman" w:hAnsi="Times New Roman"/>
          <w:sz w:val="26"/>
          <w:szCs w:val="26"/>
        </w:rPr>
      </w:pPr>
      <w:r w:rsidRPr="00E9060E">
        <w:rPr>
          <w:rFonts w:ascii="Times New Roman" w:hAnsi="Times New Roman"/>
          <w:sz w:val="26"/>
          <w:szCs w:val="26"/>
        </w:rPr>
        <w:t>The</w:t>
      </w:r>
      <w:r w:rsidR="00036F93">
        <w:rPr>
          <w:rFonts w:ascii="Times New Roman" w:hAnsi="Times New Roman"/>
          <w:sz w:val="26"/>
          <w:szCs w:val="26"/>
        </w:rPr>
        <w:t xml:space="preserve"> Commission does not make any</w:t>
      </w:r>
      <w:r w:rsidRPr="00E9060E">
        <w:rPr>
          <w:rFonts w:ascii="Times New Roman" w:hAnsi="Times New Roman"/>
          <w:sz w:val="26"/>
          <w:szCs w:val="26"/>
        </w:rPr>
        <w:t xml:space="preserve"> payments or gifts to respondents.</w:t>
      </w:r>
    </w:p>
    <w:p w:rsidRPr="00E9060E" w:rsidR="00F0627E" w:rsidP="00BD0F89" w:rsidRDefault="00F0627E" w14:paraId="63605198" w14:textId="77777777">
      <w:pPr>
        <w:spacing w:after="0" w:line="240" w:lineRule="auto"/>
        <w:rPr>
          <w:rFonts w:ascii="Times New Roman" w:hAnsi="Times New Roman"/>
          <w:sz w:val="26"/>
          <w:szCs w:val="26"/>
        </w:rPr>
      </w:pPr>
    </w:p>
    <w:p w:rsidRPr="00E9060E" w:rsidR="00F0627E" w:rsidP="00BD0F89" w:rsidRDefault="00F0627E" w14:paraId="0127248A" w14:textId="77777777">
      <w:pPr>
        <w:pStyle w:val="ListParagraph"/>
        <w:numPr>
          <w:ilvl w:val="0"/>
          <w:numId w:val="14"/>
        </w:numPr>
        <w:spacing w:after="0" w:line="240" w:lineRule="auto"/>
        <w:rPr>
          <w:rFonts w:ascii="Times New Roman" w:hAnsi="Times New Roman"/>
          <w:b/>
          <w:sz w:val="26"/>
          <w:szCs w:val="26"/>
        </w:rPr>
      </w:pPr>
      <w:r w:rsidRPr="00E9060E">
        <w:rPr>
          <w:rFonts w:ascii="Times New Roman" w:hAnsi="Times New Roman"/>
          <w:b/>
          <w:sz w:val="26"/>
          <w:szCs w:val="26"/>
        </w:rPr>
        <w:t>DESCRIBE ANY ASSURANCE OF CONFIDENTIALITY PROVIDED TO RESPONDENTS</w:t>
      </w:r>
    </w:p>
    <w:p w:rsidRPr="00E9060E" w:rsidR="00F0627E" w:rsidP="00BD0F89" w:rsidRDefault="00F0627E" w14:paraId="55B18053" w14:textId="77777777">
      <w:pPr>
        <w:spacing w:after="0" w:line="240" w:lineRule="auto"/>
        <w:rPr>
          <w:rFonts w:ascii="Times New Roman" w:hAnsi="Times New Roman"/>
          <w:sz w:val="26"/>
          <w:szCs w:val="26"/>
        </w:rPr>
      </w:pPr>
    </w:p>
    <w:p w:rsidRPr="00E9060E" w:rsidR="00F0627E" w:rsidP="00212EF9" w:rsidRDefault="00F0627E" w14:paraId="1594C0DB" w14:textId="5BD2254A">
      <w:pPr>
        <w:spacing w:after="0" w:line="480" w:lineRule="auto"/>
        <w:rPr>
          <w:rFonts w:ascii="Times New Roman" w:hAnsi="Times New Roman"/>
          <w:sz w:val="26"/>
          <w:szCs w:val="26"/>
        </w:rPr>
      </w:pPr>
      <w:r w:rsidRPr="00E9060E">
        <w:rPr>
          <w:rFonts w:ascii="Times New Roman" w:hAnsi="Times New Roman"/>
          <w:sz w:val="26"/>
          <w:szCs w:val="26"/>
        </w:rPr>
        <w:t>The</w:t>
      </w:r>
      <w:r w:rsidR="00402793">
        <w:rPr>
          <w:rFonts w:ascii="Times New Roman" w:hAnsi="Times New Roman"/>
          <w:sz w:val="26"/>
          <w:szCs w:val="26"/>
        </w:rPr>
        <w:t xml:space="preserve"> information collected in FERC Form Nos. 2 and 2-A is </w:t>
      </w:r>
      <w:proofErr w:type="spellStart"/>
      <w:r w:rsidR="00402793">
        <w:rPr>
          <w:rFonts w:ascii="Times New Roman" w:hAnsi="Times New Roman"/>
          <w:sz w:val="26"/>
          <w:szCs w:val="26"/>
        </w:rPr>
        <w:t>publically</w:t>
      </w:r>
      <w:proofErr w:type="spellEnd"/>
      <w:r w:rsidR="00402793">
        <w:rPr>
          <w:rFonts w:ascii="Times New Roman" w:hAnsi="Times New Roman"/>
          <w:sz w:val="26"/>
          <w:szCs w:val="26"/>
        </w:rPr>
        <w:t xml:space="preserve"> available</w:t>
      </w:r>
      <w:r w:rsidRPr="00E9060E">
        <w:rPr>
          <w:rFonts w:ascii="Times New Roman" w:hAnsi="Times New Roman"/>
          <w:sz w:val="26"/>
          <w:szCs w:val="26"/>
        </w:rPr>
        <w:t xml:space="preserve">.  </w:t>
      </w:r>
      <w:r w:rsidR="00C30B8A">
        <w:rPr>
          <w:rFonts w:ascii="Times New Roman" w:hAnsi="Times New Roman"/>
          <w:sz w:val="26"/>
          <w:szCs w:val="26"/>
        </w:rPr>
        <w:t xml:space="preserve">However, </w:t>
      </w:r>
      <w:r w:rsidR="00402793">
        <w:rPr>
          <w:rFonts w:ascii="Times New Roman" w:hAnsi="Times New Roman"/>
          <w:sz w:val="26"/>
          <w:szCs w:val="26"/>
        </w:rPr>
        <w:t>T</w:t>
      </w:r>
      <w:r w:rsidRPr="00E9060E">
        <w:rPr>
          <w:rFonts w:ascii="Times New Roman" w:hAnsi="Times New Roman"/>
          <w:sz w:val="26"/>
          <w:szCs w:val="26"/>
        </w:rPr>
        <w:t xml:space="preserve">he Commission will consider specific requests for confidential treatment (e.g. </w:t>
      </w:r>
      <w:r w:rsidRPr="00E9060E">
        <w:rPr>
          <w:rFonts w:ascii="Times New Roman" w:hAnsi="Times New Roman"/>
          <w:sz w:val="26"/>
          <w:szCs w:val="26"/>
        </w:rPr>
        <w:lastRenderedPageBreak/>
        <w:t xml:space="preserve">Critical </w:t>
      </w:r>
      <w:r w:rsidRPr="00E9060E" w:rsidR="00084A7F">
        <w:rPr>
          <w:rFonts w:ascii="Times New Roman" w:hAnsi="Times New Roman"/>
          <w:sz w:val="26"/>
          <w:szCs w:val="26"/>
        </w:rPr>
        <w:t>Energy/Electric</w:t>
      </w:r>
      <w:r w:rsidRPr="00E9060E">
        <w:rPr>
          <w:rFonts w:ascii="Times New Roman" w:hAnsi="Times New Roman"/>
          <w:sz w:val="26"/>
          <w:szCs w:val="26"/>
        </w:rPr>
        <w:t xml:space="preserve"> Infrastructure Information [CEII] or </w:t>
      </w:r>
      <w:r w:rsidR="00C30B8A">
        <w:rPr>
          <w:rFonts w:ascii="Times New Roman" w:hAnsi="Times New Roman"/>
          <w:sz w:val="26"/>
          <w:szCs w:val="26"/>
        </w:rPr>
        <w:t>privileged</w:t>
      </w:r>
      <w:r w:rsidRPr="00E9060E">
        <w:rPr>
          <w:rFonts w:ascii="Times New Roman" w:hAnsi="Times New Roman"/>
          <w:sz w:val="26"/>
          <w:szCs w:val="26"/>
        </w:rPr>
        <w:t>) to the extent permitted by law.</w:t>
      </w:r>
      <w:r w:rsidRPr="00E9060E">
        <w:rPr>
          <w:rFonts w:ascii="Times New Roman" w:hAnsi="Times New Roman"/>
          <w:b/>
          <w:sz w:val="26"/>
          <w:szCs w:val="26"/>
          <w:vertAlign w:val="superscript"/>
        </w:rPr>
        <w:footnoteReference w:id="8"/>
      </w:r>
      <w:r w:rsidRPr="00E9060E">
        <w:rPr>
          <w:rFonts w:ascii="Times New Roman" w:hAnsi="Times New Roman"/>
          <w:sz w:val="26"/>
          <w:szCs w:val="26"/>
        </w:rPr>
        <w:t xml:space="preserve">  The Commission will review each request for confidential treatment on a case-by-case basis.</w:t>
      </w:r>
      <w:r w:rsidRPr="00E9060E" w:rsidR="00084A7F">
        <w:rPr>
          <w:rFonts w:ascii="Times New Roman" w:hAnsi="Times New Roman"/>
          <w:sz w:val="26"/>
          <w:szCs w:val="26"/>
        </w:rPr>
        <w:t xml:space="preserve"> </w:t>
      </w:r>
    </w:p>
    <w:p w:rsidRPr="00E9060E" w:rsidR="00F0627E" w:rsidP="00BD0F89" w:rsidRDefault="00F0627E" w14:paraId="3F7300DB" w14:textId="77777777">
      <w:pPr>
        <w:pStyle w:val="ListParagraph"/>
        <w:numPr>
          <w:ilvl w:val="0"/>
          <w:numId w:val="14"/>
        </w:numPr>
        <w:spacing w:after="0" w:line="240" w:lineRule="auto"/>
        <w:rPr>
          <w:rFonts w:ascii="Times New Roman" w:hAnsi="Times New Roman"/>
          <w:b/>
          <w:sz w:val="26"/>
          <w:szCs w:val="26"/>
        </w:rPr>
      </w:pPr>
      <w:r w:rsidRPr="00E9060E">
        <w:rPr>
          <w:rFonts w:ascii="Times New Roman" w:hAnsi="Times New Roman"/>
          <w:b/>
          <w:sz w:val="26"/>
          <w:szCs w:val="26"/>
        </w:rPr>
        <w:t>PROVIDE ADDITIONAL JUSTIFICATION FOR ANY QUESTIONS OF A SENSITIVE NATURE, SUCH AS SEXUAL BEHAVIOR AND ATTITUDES, RELIGIOUS BELIEFS, AND OTHER MATTERS THAT ARE COMMONLY CONSIDERED PRIVATE.</w:t>
      </w:r>
    </w:p>
    <w:p w:rsidRPr="00E9060E" w:rsidR="00F0627E" w:rsidP="00BD0F89" w:rsidRDefault="00F0627E" w14:paraId="39F4AE19" w14:textId="77777777">
      <w:pPr>
        <w:spacing w:after="0" w:line="240" w:lineRule="auto"/>
        <w:rPr>
          <w:rFonts w:ascii="Times New Roman" w:hAnsi="Times New Roman"/>
          <w:sz w:val="26"/>
          <w:szCs w:val="26"/>
        </w:rPr>
      </w:pPr>
    </w:p>
    <w:p w:rsidRPr="00E9060E" w:rsidR="00F0627E" w:rsidP="00212EF9" w:rsidRDefault="00F0627E" w14:paraId="7AC7B511" w14:textId="27ED5E9D">
      <w:pPr>
        <w:spacing w:after="0" w:line="240" w:lineRule="auto"/>
        <w:ind w:firstLine="360"/>
        <w:rPr>
          <w:rFonts w:ascii="Times New Roman" w:hAnsi="Times New Roman"/>
          <w:sz w:val="26"/>
          <w:szCs w:val="26"/>
        </w:rPr>
      </w:pPr>
      <w:r w:rsidRPr="00E9060E">
        <w:rPr>
          <w:rFonts w:ascii="Times New Roman" w:hAnsi="Times New Roman"/>
          <w:sz w:val="26"/>
          <w:szCs w:val="26"/>
        </w:rPr>
        <w:t>The</w:t>
      </w:r>
      <w:r w:rsidR="00402793">
        <w:rPr>
          <w:rFonts w:ascii="Times New Roman" w:hAnsi="Times New Roman"/>
          <w:sz w:val="26"/>
          <w:szCs w:val="26"/>
        </w:rPr>
        <w:t xml:space="preserve"> forms do not contain</w:t>
      </w:r>
      <w:r w:rsidRPr="00E9060E">
        <w:rPr>
          <w:rFonts w:ascii="Times New Roman" w:hAnsi="Times New Roman"/>
          <w:sz w:val="26"/>
          <w:szCs w:val="26"/>
        </w:rPr>
        <w:t xml:space="preserve"> questions of a sensitive nature. </w:t>
      </w:r>
    </w:p>
    <w:p w:rsidRPr="00E9060E" w:rsidR="00F0627E" w:rsidP="00BD0F89" w:rsidRDefault="00F0627E" w14:paraId="5A7A5206" w14:textId="77777777">
      <w:pPr>
        <w:spacing w:after="0" w:line="240" w:lineRule="auto"/>
        <w:rPr>
          <w:rFonts w:ascii="Times New Roman" w:hAnsi="Times New Roman"/>
          <w:sz w:val="26"/>
          <w:szCs w:val="26"/>
        </w:rPr>
      </w:pPr>
    </w:p>
    <w:p w:rsidRPr="00E9060E" w:rsidR="00F0627E" w:rsidP="00BD0F89" w:rsidRDefault="00F0627E" w14:paraId="21A98BF8" w14:textId="77777777">
      <w:pPr>
        <w:pStyle w:val="ListParagraph"/>
        <w:numPr>
          <w:ilvl w:val="0"/>
          <w:numId w:val="14"/>
        </w:numPr>
        <w:spacing w:after="0" w:line="240" w:lineRule="auto"/>
        <w:rPr>
          <w:rFonts w:ascii="Times New Roman" w:hAnsi="Times New Roman"/>
          <w:sz w:val="26"/>
          <w:szCs w:val="26"/>
        </w:rPr>
      </w:pPr>
      <w:r w:rsidRPr="00E9060E">
        <w:rPr>
          <w:rFonts w:ascii="Times New Roman" w:hAnsi="Times New Roman"/>
          <w:b/>
          <w:sz w:val="26"/>
          <w:szCs w:val="26"/>
        </w:rPr>
        <w:t>ESTIMATED BURDEN OF COLLECTION OF INFORMATION</w:t>
      </w:r>
    </w:p>
    <w:p w:rsidRPr="00E9060E" w:rsidR="00100E2F" w:rsidP="00100E2F" w:rsidRDefault="004A36E5" w14:paraId="331A1EE9" w14:textId="778C3BEE">
      <w:pPr>
        <w:spacing w:after="0" w:line="240" w:lineRule="auto"/>
        <w:rPr>
          <w:rFonts w:ascii="Times New Roman" w:hAnsi="Times New Roman"/>
          <w:sz w:val="26"/>
          <w:szCs w:val="26"/>
        </w:rPr>
      </w:pPr>
      <w:r w:rsidRPr="00E9060E">
        <w:rPr>
          <w:rFonts w:ascii="Times New Roman" w:hAnsi="Times New Roman"/>
          <w:sz w:val="26"/>
          <w:szCs w:val="26"/>
        </w:rPr>
        <w:t xml:space="preserve"> </w:t>
      </w:r>
    </w:p>
    <w:p w:rsidRPr="00045E48" w:rsidR="00045E48" w:rsidP="00045E48" w:rsidRDefault="00045E48" w14:paraId="3E124E44" w14:textId="77777777">
      <w:pPr>
        <w:spacing w:after="0" w:line="480" w:lineRule="auto"/>
        <w:rPr>
          <w:rFonts w:ascii="Times New Roman" w:hAnsi="Times New Roman" w:eastAsia="Times New Roman"/>
          <w:bCs/>
          <w:i/>
          <w:sz w:val="26"/>
          <w:szCs w:val="24"/>
        </w:rPr>
      </w:pPr>
      <w:r w:rsidRPr="00045E48">
        <w:rPr>
          <w:rFonts w:ascii="Times New Roman" w:hAnsi="Times New Roman" w:eastAsia="Times New Roman"/>
          <w:bCs/>
          <w:i/>
          <w:sz w:val="26"/>
          <w:szCs w:val="24"/>
        </w:rPr>
        <w:t xml:space="preserve">Type of Respondent: </w:t>
      </w:r>
      <w:r w:rsidRPr="00045E48">
        <w:rPr>
          <w:rFonts w:ascii="Times New Roman" w:hAnsi="Times New Roman" w:eastAsia="Times New Roman"/>
          <w:bCs/>
          <w:sz w:val="26"/>
          <w:szCs w:val="24"/>
        </w:rPr>
        <w:t>Major and Non-Major Natural Gas Companies.</w:t>
      </w:r>
      <w:r w:rsidRPr="00045E48">
        <w:rPr>
          <w:rFonts w:ascii="Times New Roman" w:hAnsi="Times New Roman" w:eastAsia="Times New Roman"/>
          <w:bCs/>
          <w:i/>
          <w:sz w:val="26"/>
          <w:szCs w:val="24"/>
        </w:rPr>
        <w:t xml:space="preserve"> </w:t>
      </w:r>
    </w:p>
    <w:p w:rsidRPr="00045E48" w:rsidR="00045E48" w:rsidP="00045E48" w:rsidRDefault="00045E48" w14:paraId="5F516B1B" w14:textId="58537D35">
      <w:pPr>
        <w:spacing w:after="0" w:line="480" w:lineRule="auto"/>
        <w:rPr>
          <w:rFonts w:ascii="Times New Roman" w:hAnsi="Times New Roman" w:eastAsia="Times New Roman"/>
          <w:sz w:val="26"/>
          <w:szCs w:val="26"/>
        </w:rPr>
      </w:pPr>
      <w:r w:rsidRPr="00212EF9">
        <w:rPr>
          <w:rFonts w:ascii="Times New Roman" w:hAnsi="Times New Roman" w:eastAsia="Times New Roman"/>
          <w:i/>
          <w:sz w:val="26"/>
          <w:szCs w:val="26"/>
        </w:rPr>
        <w:t>Estimate of Annual Burden</w:t>
      </w:r>
      <w:r w:rsidRPr="00CC5561">
        <w:rPr>
          <w:rFonts w:ascii="Times New Roman" w:hAnsi="Times New Roman" w:eastAsia="Times New Roman"/>
          <w:b/>
          <w:iCs/>
          <w:sz w:val="26"/>
          <w:szCs w:val="26"/>
          <w:vertAlign w:val="superscript"/>
        </w:rPr>
        <w:footnoteReference w:id="9"/>
      </w:r>
      <w:r w:rsidRPr="00CC5561">
        <w:rPr>
          <w:rFonts w:ascii="Times New Roman" w:hAnsi="Times New Roman" w:eastAsia="Times New Roman"/>
          <w:iCs/>
          <w:sz w:val="26"/>
          <w:szCs w:val="26"/>
        </w:rPr>
        <w:t>:</w:t>
      </w:r>
      <w:r w:rsidRPr="00CC5561">
        <w:rPr>
          <w:rFonts w:ascii="Times New Roman" w:hAnsi="Times New Roman" w:eastAsia="Times New Roman"/>
          <w:i/>
          <w:sz w:val="26"/>
          <w:szCs w:val="26"/>
        </w:rPr>
        <w:t xml:space="preserve"> </w:t>
      </w:r>
      <w:r w:rsidRPr="00045E48">
        <w:rPr>
          <w:rFonts w:ascii="Times New Roman" w:hAnsi="Times New Roman" w:eastAsia="Times New Roman"/>
          <w:sz w:val="26"/>
          <w:szCs w:val="26"/>
        </w:rPr>
        <w:t>The Commission estimates the annual public reporting burden and cost</w:t>
      </w:r>
      <w:r w:rsidRPr="00045E48">
        <w:rPr>
          <w:rFonts w:ascii="Times New Roman" w:hAnsi="Times New Roman" w:eastAsia="Times New Roman"/>
          <w:b/>
          <w:sz w:val="26"/>
          <w:szCs w:val="26"/>
          <w:vertAlign w:val="superscript"/>
        </w:rPr>
        <w:footnoteReference w:id="10"/>
      </w:r>
      <w:r w:rsidRPr="00045E48">
        <w:rPr>
          <w:rFonts w:ascii="Times New Roman" w:hAnsi="Times New Roman" w:eastAsia="Times New Roman"/>
          <w:sz w:val="26"/>
          <w:szCs w:val="26"/>
        </w:rPr>
        <w:t xml:space="preserve"> for the information collection as shown in the following table</w:t>
      </w:r>
      <w:r w:rsidR="000A22D0">
        <w:rPr>
          <w:rFonts w:ascii="Times New Roman" w:hAnsi="Times New Roman" w:eastAsia="Times New Roman"/>
          <w:sz w:val="26"/>
          <w:szCs w:val="26"/>
        </w:rPr>
        <w:t>.  The table also includes previously approved burden estimates for the final rule in RM19-12-000 that reflect a one-time implementation of an XBRL-based reporting system (</w:t>
      </w:r>
      <w:r w:rsidR="00B3415C">
        <w:rPr>
          <w:rFonts w:ascii="Times New Roman" w:hAnsi="Times New Roman" w:eastAsia="Times New Roman"/>
          <w:sz w:val="26"/>
          <w:szCs w:val="26"/>
        </w:rPr>
        <w:t xml:space="preserve">100 hours per respondent for </w:t>
      </w:r>
      <w:r w:rsidR="000A22D0">
        <w:rPr>
          <w:rFonts w:ascii="Times New Roman" w:hAnsi="Times New Roman" w:eastAsia="Times New Roman"/>
          <w:sz w:val="26"/>
          <w:szCs w:val="26"/>
        </w:rPr>
        <w:t>Year 1) and an ongoing estimate for maintenance of the XBRL-based reporting system (</w:t>
      </w:r>
      <w:r w:rsidR="00B3415C">
        <w:rPr>
          <w:rFonts w:ascii="Times New Roman" w:hAnsi="Times New Roman" w:eastAsia="Times New Roman"/>
          <w:sz w:val="26"/>
          <w:szCs w:val="26"/>
        </w:rPr>
        <w:t xml:space="preserve">14 hours per respondent for </w:t>
      </w:r>
      <w:r w:rsidR="000A22D0">
        <w:rPr>
          <w:rFonts w:ascii="Times New Roman" w:hAnsi="Times New Roman" w:eastAsia="Times New Roman"/>
          <w:sz w:val="26"/>
          <w:szCs w:val="26"/>
        </w:rPr>
        <w:t>Years 2 and 3).</w:t>
      </w:r>
      <w:r w:rsidR="00B3415C">
        <w:rPr>
          <w:rFonts w:ascii="Times New Roman" w:hAnsi="Times New Roman" w:eastAsia="Times New Roman"/>
          <w:sz w:val="26"/>
          <w:szCs w:val="26"/>
        </w:rPr>
        <w:t xml:space="preserve">  For convenience, the three </w:t>
      </w:r>
      <w:r w:rsidR="00B3415C">
        <w:rPr>
          <w:rFonts w:ascii="Times New Roman" w:hAnsi="Times New Roman" w:eastAsia="Times New Roman"/>
          <w:sz w:val="26"/>
          <w:szCs w:val="26"/>
        </w:rPr>
        <w:lastRenderedPageBreak/>
        <w:t>years of XBRL costs are averaged over three years (100</w:t>
      </w:r>
      <w:r w:rsidR="0024602D">
        <w:rPr>
          <w:rFonts w:ascii="Times New Roman" w:hAnsi="Times New Roman" w:eastAsia="Times New Roman"/>
          <w:sz w:val="26"/>
          <w:szCs w:val="26"/>
        </w:rPr>
        <w:t>hrs</w:t>
      </w:r>
      <w:r w:rsidR="00B3415C">
        <w:rPr>
          <w:rFonts w:ascii="Times New Roman" w:hAnsi="Times New Roman" w:eastAsia="Times New Roman"/>
          <w:sz w:val="26"/>
          <w:szCs w:val="26"/>
        </w:rPr>
        <w:t xml:space="preserve"> + 14</w:t>
      </w:r>
      <w:r w:rsidR="0024602D">
        <w:rPr>
          <w:rFonts w:ascii="Times New Roman" w:hAnsi="Times New Roman" w:eastAsia="Times New Roman"/>
          <w:sz w:val="26"/>
          <w:szCs w:val="26"/>
        </w:rPr>
        <w:t>hrs</w:t>
      </w:r>
      <w:r w:rsidR="00B3415C">
        <w:rPr>
          <w:rFonts w:ascii="Times New Roman" w:hAnsi="Times New Roman" w:eastAsia="Times New Roman"/>
          <w:sz w:val="26"/>
          <w:szCs w:val="26"/>
        </w:rPr>
        <w:t xml:space="preserve"> + 14</w:t>
      </w:r>
      <w:r w:rsidR="0024602D">
        <w:rPr>
          <w:rFonts w:ascii="Times New Roman" w:hAnsi="Times New Roman" w:eastAsia="Times New Roman"/>
          <w:sz w:val="26"/>
          <w:szCs w:val="26"/>
        </w:rPr>
        <w:t>hrs</w:t>
      </w:r>
      <w:r w:rsidR="00B3415C">
        <w:rPr>
          <w:rFonts w:ascii="Times New Roman" w:hAnsi="Times New Roman" w:eastAsia="Times New Roman"/>
          <w:sz w:val="26"/>
          <w:szCs w:val="26"/>
        </w:rPr>
        <w:t>) ÷ 3</w:t>
      </w:r>
      <w:r w:rsidR="00CC3601">
        <w:rPr>
          <w:rFonts w:ascii="Times New Roman" w:hAnsi="Times New Roman" w:eastAsia="Times New Roman"/>
          <w:sz w:val="26"/>
          <w:szCs w:val="26"/>
        </w:rPr>
        <w:t xml:space="preserve"> </w:t>
      </w:r>
      <w:r w:rsidR="004D3E78">
        <w:rPr>
          <w:rFonts w:ascii="Times New Roman" w:hAnsi="Times New Roman" w:eastAsia="Times New Roman"/>
          <w:sz w:val="26"/>
          <w:szCs w:val="26"/>
        </w:rPr>
        <w:t>years</w:t>
      </w:r>
      <w:r w:rsidR="00B3415C">
        <w:rPr>
          <w:rFonts w:ascii="Times New Roman" w:hAnsi="Times New Roman" w:eastAsia="Times New Roman"/>
          <w:sz w:val="26"/>
          <w:szCs w:val="26"/>
        </w:rPr>
        <w:t>) to reflect an average burden of 42</w:t>
      </w:r>
      <w:r w:rsidR="009C1062">
        <w:rPr>
          <w:rFonts w:ascii="Times New Roman" w:hAnsi="Times New Roman" w:eastAsia="Times New Roman"/>
          <w:sz w:val="26"/>
          <w:szCs w:val="26"/>
        </w:rPr>
        <w:t>.66</w:t>
      </w:r>
      <w:r w:rsidR="00B3415C">
        <w:rPr>
          <w:rFonts w:ascii="Times New Roman" w:hAnsi="Times New Roman" w:eastAsia="Times New Roman"/>
          <w:sz w:val="26"/>
          <w:szCs w:val="26"/>
        </w:rPr>
        <w:t xml:space="preserve"> hours per year per respondent.</w:t>
      </w:r>
    </w:p>
    <w:p w:rsidR="00045E48" w:rsidP="00DE7921" w:rsidRDefault="00045E48" w14:paraId="17A31D6B" w14:textId="77777777">
      <w:pPr>
        <w:spacing w:after="0" w:line="240" w:lineRule="auto"/>
        <w:rPr>
          <w:rFonts w:ascii="Times New Roman" w:hAnsi="Times New Roman"/>
          <w:sz w:val="26"/>
          <w:szCs w:val="26"/>
        </w:rPr>
      </w:pPr>
    </w:p>
    <w:p w:rsidRPr="00E9060E" w:rsidR="00DE7921" w:rsidP="00DE7921" w:rsidRDefault="00DE7921" w14:paraId="45F1EE46" w14:textId="77777777">
      <w:pPr>
        <w:spacing w:after="0" w:line="240" w:lineRule="auto"/>
        <w:ind w:left="1080"/>
        <w:rPr>
          <w:rFonts w:ascii="Times New Roman" w:hAnsi="Times New Roman"/>
          <w:sz w:val="26"/>
          <w:szCs w:val="26"/>
        </w:rPr>
      </w:pPr>
    </w:p>
    <w:tbl>
      <w:tblPr>
        <w:tblW w:w="51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706"/>
        <w:gridCol w:w="6"/>
        <w:gridCol w:w="1164"/>
        <w:gridCol w:w="1259"/>
        <w:gridCol w:w="1467"/>
        <w:gridCol w:w="1259"/>
        <w:gridCol w:w="1620"/>
        <w:gridCol w:w="1234"/>
      </w:tblGrid>
      <w:tr w:rsidRPr="00DE7921" w:rsidR="007E7910" w:rsidTr="00212EF9" w14:paraId="797776AB" w14:textId="77777777">
        <w:trPr>
          <w:cantSplit/>
          <w:jc w:val="center"/>
        </w:trPr>
        <w:tc>
          <w:tcPr>
            <w:tcW w:w="881" w:type="pct"/>
            <w:gridSpan w:val="2"/>
            <w:tcBorders>
              <w:top w:val="single" w:color="auto" w:sz="4" w:space="0"/>
              <w:left w:val="single" w:color="auto" w:sz="4" w:space="0"/>
              <w:bottom w:val="single" w:color="auto" w:sz="4" w:space="0"/>
              <w:right w:val="single" w:color="auto" w:sz="4" w:space="0"/>
            </w:tcBorders>
            <w:shd w:val="clear" w:color="auto" w:fill="D9D9D9"/>
            <w:vAlign w:val="bottom"/>
            <w:hideMark/>
          </w:tcPr>
          <w:p w:rsidRPr="00DE7921" w:rsidR="00DE7921" w:rsidP="00DE7921" w:rsidRDefault="00DE7921" w14:paraId="57922636" w14:textId="77777777">
            <w:pPr>
              <w:spacing w:after="0" w:line="240" w:lineRule="auto"/>
              <w:rPr>
                <w:rFonts w:ascii="Times New Roman" w:hAnsi="Times New Roman"/>
                <w:sz w:val="26"/>
                <w:szCs w:val="26"/>
              </w:rPr>
            </w:pPr>
            <w:r w:rsidRPr="00DE7921">
              <w:rPr>
                <w:rFonts w:ascii="Times New Roman" w:hAnsi="Times New Roman"/>
                <w:sz w:val="26"/>
                <w:szCs w:val="26"/>
              </w:rPr>
              <w:t>Information Collection (FERC Form No.)</w:t>
            </w:r>
          </w:p>
        </w:tc>
        <w:tc>
          <w:tcPr>
            <w:tcW w:w="599" w:type="pct"/>
            <w:tcBorders>
              <w:top w:val="single" w:color="auto" w:sz="4" w:space="0"/>
              <w:left w:val="single" w:color="auto" w:sz="4" w:space="0"/>
              <w:bottom w:val="single" w:color="auto" w:sz="4" w:space="0"/>
              <w:right w:val="single" w:color="auto" w:sz="4" w:space="0"/>
            </w:tcBorders>
            <w:shd w:val="clear" w:color="auto" w:fill="D9D9D9"/>
            <w:vAlign w:val="bottom"/>
            <w:hideMark/>
          </w:tcPr>
          <w:p w:rsidRPr="00DE7921" w:rsidR="00DE7921" w:rsidP="00DE7921" w:rsidRDefault="00DE7921" w14:paraId="1CD0BC89" w14:textId="77777777">
            <w:pPr>
              <w:spacing w:after="0" w:line="240" w:lineRule="auto"/>
              <w:rPr>
                <w:rFonts w:ascii="Times New Roman" w:hAnsi="Times New Roman"/>
                <w:sz w:val="26"/>
                <w:szCs w:val="26"/>
              </w:rPr>
            </w:pPr>
            <w:r w:rsidRPr="00DE7921">
              <w:rPr>
                <w:rFonts w:ascii="Times New Roman" w:hAnsi="Times New Roman"/>
                <w:sz w:val="26"/>
                <w:szCs w:val="26"/>
              </w:rPr>
              <w:t>Number of Respondents</w:t>
            </w:r>
          </w:p>
          <w:p w:rsidRPr="00DE7921" w:rsidR="00DE7921" w:rsidP="00DE7921" w:rsidRDefault="00DE7921" w14:paraId="0EDDA239" w14:textId="77777777">
            <w:pPr>
              <w:spacing w:after="0" w:line="240" w:lineRule="auto"/>
              <w:rPr>
                <w:rFonts w:ascii="Times New Roman" w:hAnsi="Times New Roman"/>
                <w:sz w:val="26"/>
                <w:szCs w:val="26"/>
              </w:rPr>
            </w:pPr>
            <w:r w:rsidRPr="00DE7921">
              <w:rPr>
                <w:rFonts w:ascii="Times New Roman" w:hAnsi="Times New Roman"/>
                <w:sz w:val="26"/>
                <w:szCs w:val="26"/>
              </w:rPr>
              <w:t>(1)</w:t>
            </w:r>
          </w:p>
        </w:tc>
        <w:tc>
          <w:tcPr>
            <w:tcW w:w="648" w:type="pct"/>
            <w:tcBorders>
              <w:top w:val="single" w:color="auto" w:sz="4" w:space="0"/>
              <w:left w:val="single" w:color="auto" w:sz="4" w:space="0"/>
              <w:bottom w:val="single" w:color="auto" w:sz="4" w:space="0"/>
              <w:right w:val="single" w:color="auto" w:sz="4" w:space="0"/>
            </w:tcBorders>
            <w:shd w:val="clear" w:color="auto" w:fill="D9D9D9"/>
            <w:vAlign w:val="bottom"/>
            <w:hideMark/>
          </w:tcPr>
          <w:p w:rsidRPr="00DE7921" w:rsidR="00DE7921" w:rsidP="00DE7921" w:rsidRDefault="00DE7921" w14:paraId="67A51F00" w14:textId="77777777">
            <w:pPr>
              <w:spacing w:after="0" w:line="240" w:lineRule="auto"/>
              <w:rPr>
                <w:rFonts w:ascii="Times New Roman" w:hAnsi="Times New Roman"/>
                <w:sz w:val="26"/>
                <w:szCs w:val="26"/>
              </w:rPr>
            </w:pPr>
            <w:r w:rsidRPr="00DE7921">
              <w:rPr>
                <w:rFonts w:ascii="Times New Roman" w:hAnsi="Times New Roman"/>
                <w:sz w:val="26"/>
                <w:szCs w:val="26"/>
              </w:rPr>
              <w:t>Annual Number of Responses per Respondent</w:t>
            </w:r>
          </w:p>
          <w:p w:rsidRPr="00DE7921" w:rsidR="00DE7921" w:rsidP="00DE7921" w:rsidRDefault="00DE7921" w14:paraId="44A328FA" w14:textId="77777777">
            <w:pPr>
              <w:spacing w:after="0" w:line="240" w:lineRule="auto"/>
              <w:rPr>
                <w:rFonts w:ascii="Times New Roman" w:hAnsi="Times New Roman"/>
                <w:sz w:val="26"/>
                <w:szCs w:val="26"/>
              </w:rPr>
            </w:pPr>
            <w:r w:rsidRPr="00DE7921">
              <w:rPr>
                <w:rFonts w:ascii="Times New Roman" w:hAnsi="Times New Roman"/>
                <w:sz w:val="26"/>
                <w:szCs w:val="26"/>
              </w:rPr>
              <w:t>(2)</w:t>
            </w:r>
          </w:p>
        </w:tc>
        <w:tc>
          <w:tcPr>
            <w:tcW w:w="755" w:type="pct"/>
            <w:tcBorders>
              <w:top w:val="single" w:color="auto" w:sz="4" w:space="0"/>
              <w:left w:val="single" w:color="auto" w:sz="4" w:space="0"/>
              <w:bottom w:val="single" w:color="auto" w:sz="4" w:space="0"/>
              <w:right w:val="single" w:color="auto" w:sz="4" w:space="0"/>
            </w:tcBorders>
            <w:shd w:val="clear" w:color="auto" w:fill="D9D9D9"/>
            <w:vAlign w:val="bottom"/>
            <w:hideMark/>
          </w:tcPr>
          <w:p w:rsidRPr="00DE7921" w:rsidR="00DE7921" w:rsidP="00DE7921" w:rsidRDefault="00DE7921" w14:paraId="4267E0D4" w14:textId="77777777">
            <w:pPr>
              <w:spacing w:after="0" w:line="240" w:lineRule="auto"/>
              <w:rPr>
                <w:rFonts w:ascii="Times New Roman" w:hAnsi="Times New Roman"/>
                <w:sz w:val="26"/>
                <w:szCs w:val="26"/>
              </w:rPr>
            </w:pPr>
            <w:r w:rsidRPr="00DE7921">
              <w:rPr>
                <w:rFonts w:ascii="Times New Roman" w:hAnsi="Times New Roman"/>
                <w:sz w:val="26"/>
                <w:szCs w:val="26"/>
              </w:rPr>
              <w:t>Total Number of Responses</w:t>
            </w:r>
          </w:p>
          <w:p w:rsidRPr="00DE7921" w:rsidR="00DE7921" w:rsidP="00DE7921" w:rsidRDefault="00DE7921" w14:paraId="2628EEF9" w14:textId="77777777">
            <w:pPr>
              <w:spacing w:after="0" w:line="240" w:lineRule="auto"/>
              <w:rPr>
                <w:rFonts w:ascii="Times New Roman" w:hAnsi="Times New Roman"/>
                <w:sz w:val="26"/>
                <w:szCs w:val="26"/>
              </w:rPr>
            </w:pPr>
            <w:r w:rsidRPr="00DE7921">
              <w:rPr>
                <w:rFonts w:ascii="Times New Roman" w:hAnsi="Times New Roman"/>
                <w:sz w:val="26"/>
                <w:szCs w:val="26"/>
              </w:rPr>
              <w:t>(</w:t>
            </w:r>
            <w:proofErr w:type="gramStart"/>
            <w:r w:rsidRPr="00DE7921">
              <w:rPr>
                <w:rFonts w:ascii="Times New Roman" w:hAnsi="Times New Roman"/>
                <w:sz w:val="26"/>
                <w:szCs w:val="26"/>
              </w:rPr>
              <w:t>1)*</w:t>
            </w:r>
            <w:proofErr w:type="gramEnd"/>
            <w:r w:rsidRPr="00DE7921">
              <w:rPr>
                <w:rFonts w:ascii="Times New Roman" w:hAnsi="Times New Roman"/>
                <w:sz w:val="26"/>
                <w:szCs w:val="26"/>
              </w:rPr>
              <w:t>(2)=(3)</w:t>
            </w:r>
          </w:p>
        </w:tc>
        <w:tc>
          <w:tcPr>
            <w:tcW w:w="648" w:type="pct"/>
            <w:tcBorders>
              <w:top w:val="single" w:color="auto" w:sz="4" w:space="0"/>
              <w:left w:val="single" w:color="auto" w:sz="4" w:space="0"/>
              <w:bottom w:val="single" w:color="auto" w:sz="4" w:space="0"/>
              <w:right w:val="single" w:color="auto" w:sz="4" w:space="0"/>
            </w:tcBorders>
            <w:shd w:val="clear" w:color="auto" w:fill="D9D9D9"/>
            <w:vAlign w:val="bottom"/>
            <w:hideMark/>
          </w:tcPr>
          <w:p w:rsidRPr="00DE7921" w:rsidR="00DE7921" w:rsidP="00DE7921" w:rsidRDefault="00DE7921" w14:paraId="0B6484A7" w14:textId="66BE24C9">
            <w:pPr>
              <w:spacing w:after="0" w:line="240" w:lineRule="auto"/>
              <w:rPr>
                <w:rFonts w:ascii="Times New Roman" w:hAnsi="Times New Roman"/>
                <w:sz w:val="26"/>
                <w:szCs w:val="26"/>
              </w:rPr>
            </w:pPr>
            <w:r w:rsidRPr="00DE7921">
              <w:rPr>
                <w:rFonts w:ascii="Times New Roman" w:hAnsi="Times New Roman"/>
                <w:sz w:val="26"/>
                <w:szCs w:val="26"/>
              </w:rPr>
              <w:t xml:space="preserve">Average Burden &amp; Cost </w:t>
            </w:r>
            <w:r w:rsidR="00AC137F">
              <w:rPr>
                <w:rFonts w:ascii="Times New Roman" w:hAnsi="Times New Roman"/>
                <w:sz w:val="26"/>
                <w:szCs w:val="26"/>
              </w:rPr>
              <w:t xml:space="preserve">($) </w:t>
            </w:r>
            <w:r w:rsidRPr="00DE7921">
              <w:rPr>
                <w:rFonts w:ascii="Times New Roman" w:hAnsi="Times New Roman"/>
                <w:sz w:val="26"/>
                <w:szCs w:val="26"/>
              </w:rPr>
              <w:t>Per Response</w:t>
            </w:r>
          </w:p>
          <w:p w:rsidRPr="00DE7921" w:rsidR="00DE7921" w:rsidP="00DE7921" w:rsidRDefault="00DE7921" w14:paraId="2A41A501" w14:textId="77777777">
            <w:pPr>
              <w:spacing w:after="0" w:line="240" w:lineRule="auto"/>
              <w:rPr>
                <w:rFonts w:ascii="Times New Roman" w:hAnsi="Times New Roman"/>
                <w:sz w:val="26"/>
                <w:szCs w:val="26"/>
              </w:rPr>
            </w:pPr>
            <w:r w:rsidRPr="00DE7921">
              <w:rPr>
                <w:rFonts w:ascii="Times New Roman" w:hAnsi="Times New Roman"/>
                <w:sz w:val="26"/>
                <w:szCs w:val="26"/>
              </w:rPr>
              <w:t>(4)</w:t>
            </w:r>
          </w:p>
        </w:tc>
        <w:tc>
          <w:tcPr>
            <w:tcW w:w="834" w:type="pct"/>
            <w:tcBorders>
              <w:top w:val="single" w:color="auto" w:sz="4" w:space="0"/>
              <w:left w:val="single" w:color="auto" w:sz="4" w:space="0"/>
              <w:bottom w:val="single" w:color="auto" w:sz="4" w:space="0"/>
              <w:right w:val="single" w:color="auto" w:sz="4" w:space="0"/>
            </w:tcBorders>
            <w:shd w:val="clear" w:color="auto" w:fill="D9D9D9"/>
            <w:vAlign w:val="bottom"/>
            <w:hideMark/>
          </w:tcPr>
          <w:p w:rsidRPr="00DE7921" w:rsidR="00DE7921" w:rsidP="00DE7921" w:rsidRDefault="00DE7921" w14:paraId="3363E2E4" w14:textId="34F38CD8">
            <w:pPr>
              <w:spacing w:after="0" w:line="240" w:lineRule="auto"/>
              <w:rPr>
                <w:rFonts w:ascii="Times New Roman" w:hAnsi="Times New Roman"/>
                <w:sz w:val="26"/>
                <w:szCs w:val="26"/>
              </w:rPr>
            </w:pPr>
            <w:r w:rsidRPr="00DE7921">
              <w:rPr>
                <w:rFonts w:ascii="Times New Roman" w:hAnsi="Times New Roman"/>
                <w:sz w:val="26"/>
                <w:szCs w:val="26"/>
              </w:rPr>
              <w:t xml:space="preserve">Total Annual Burden Hours &amp; </w:t>
            </w:r>
            <w:proofErr w:type="gramStart"/>
            <w:r w:rsidRPr="00DE7921">
              <w:rPr>
                <w:rFonts w:ascii="Times New Roman" w:hAnsi="Times New Roman"/>
                <w:sz w:val="26"/>
                <w:szCs w:val="26"/>
              </w:rPr>
              <w:t>Cost</w:t>
            </w:r>
            <w:r w:rsidR="00AC137F">
              <w:rPr>
                <w:rFonts w:ascii="Times New Roman" w:hAnsi="Times New Roman"/>
                <w:sz w:val="26"/>
                <w:szCs w:val="26"/>
              </w:rPr>
              <w:t>(</w:t>
            </w:r>
            <w:proofErr w:type="gramEnd"/>
            <w:r w:rsidR="00AC137F">
              <w:rPr>
                <w:rFonts w:ascii="Times New Roman" w:hAnsi="Times New Roman"/>
                <w:sz w:val="26"/>
                <w:szCs w:val="26"/>
              </w:rPr>
              <w:t>$)</w:t>
            </w:r>
            <w:r w:rsidRPr="00DE7921">
              <w:rPr>
                <w:rFonts w:ascii="Times New Roman" w:hAnsi="Times New Roman"/>
                <w:sz w:val="26"/>
                <w:szCs w:val="26"/>
                <w:vertAlign w:val="superscript"/>
              </w:rPr>
              <w:footnoteReference w:id="11"/>
            </w:r>
          </w:p>
          <w:p w:rsidRPr="00DE7921" w:rsidR="00DE7921" w:rsidP="00DE7921" w:rsidRDefault="00DE7921" w14:paraId="1A042244" w14:textId="77777777">
            <w:pPr>
              <w:spacing w:after="0" w:line="240" w:lineRule="auto"/>
              <w:rPr>
                <w:rFonts w:ascii="Times New Roman" w:hAnsi="Times New Roman"/>
                <w:sz w:val="26"/>
                <w:szCs w:val="26"/>
              </w:rPr>
            </w:pPr>
            <w:r w:rsidRPr="00DE7921">
              <w:rPr>
                <w:rFonts w:ascii="Times New Roman" w:hAnsi="Times New Roman"/>
                <w:sz w:val="26"/>
                <w:szCs w:val="26"/>
              </w:rPr>
              <w:t>(</w:t>
            </w:r>
            <w:proofErr w:type="gramStart"/>
            <w:r w:rsidRPr="00DE7921">
              <w:rPr>
                <w:rFonts w:ascii="Times New Roman" w:hAnsi="Times New Roman"/>
                <w:sz w:val="26"/>
                <w:szCs w:val="26"/>
              </w:rPr>
              <w:t>3)*</w:t>
            </w:r>
            <w:proofErr w:type="gramEnd"/>
            <w:r w:rsidRPr="00DE7921">
              <w:rPr>
                <w:rFonts w:ascii="Times New Roman" w:hAnsi="Times New Roman"/>
                <w:sz w:val="26"/>
                <w:szCs w:val="26"/>
              </w:rPr>
              <w:t>(4)=(5)</w:t>
            </w:r>
          </w:p>
        </w:tc>
        <w:tc>
          <w:tcPr>
            <w:tcW w:w="635" w:type="pct"/>
            <w:tcBorders>
              <w:top w:val="single" w:color="auto" w:sz="4" w:space="0"/>
              <w:left w:val="single" w:color="auto" w:sz="4" w:space="0"/>
              <w:bottom w:val="single" w:color="auto" w:sz="4" w:space="0"/>
              <w:right w:val="single" w:color="auto" w:sz="4" w:space="0"/>
            </w:tcBorders>
            <w:shd w:val="clear" w:color="auto" w:fill="D9D9D9"/>
            <w:vAlign w:val="bottom"/>
            <w:hideMark/>
          </w:tcPr>
          <w:p w:rsidRPr="00DE7921" w:rsidR="00DE7921" w:rsidP="00DE7921" w:rsidRDefault="00DE7921" w14:paraId="2BA35196" w14:textId="77777777">
            <w:pPr>
              <w:spacing w:after="0" w:line="240" w:lineRule="auto"/>
              <w:rPr>
                <w:rFonts w:ascii="Times New Roman" w:hAnsi="Times New Roman"/>
                <w:sz w:val="26"/>
                <w:szCs w:val="26"/>
              </w:rPr>
            </w:pPr>
            <w:r w:rsidRPr="00DE7921">
              <w:rPr>
                <w:rFonts w:ascii="Times New Roman" w:hAnsi="Times New Roman"/>
                <w:sz w:val="26"/>
                <w:szCs w:val="26"/>
              </w:rPr>
              <w:t>Annual Cost per Respondent ($)</w:t>
            </w:r>
          </w:p>
          <w:p w:rsidRPr="00DE7921" w:rsidR="00DE7921" w:rsidP="00DE7921" w:rsidRDefault="00DE7921" w14:paraId="337DBAE3" w14:textId="77777777">
            <w:pPr>
              <w:spacing w:after="0" w:line="240" w:lineRule="auto"/>
              <w:rPr>
                <w:rFonts w:ascii="Times New Roman" w:hAnsi="Times New Roman"/>
                <w:sz w:val="26"/>
                <w:szCs w:val="26"/>
              </w:rPr>
            </w:pPr>
            <w:r w:rsidRPr="00DE7921">
              <w:rPr>
                <w:rFonts w:ascii="Times New Roman" w:hAnsi="Times New Roman"/>
                <w:sz w:val="26"/>
                <w:szCs w:val="26"/>
              </w:rPr>
              <w:t>(</w:t>
            </w:r>
            <w:proofErr w:type="gramStart"/>
            <w:r w:rsidRPr="00DE7921">
              <w:rPr>
                <w:rFonts w:ascii="Times New Roman" w:hAnsi="Times New Roman"/>
                <w:sz w:val="26"/>
                <w:szCs w:val="26"/>
              </w:rPr>
              <w:t>5)÷</w:t>
            </w:r>
            <w:proofErr w:type="gramEnd"/>
            <w:r w:rsidRPr="00DE7921">
              <w:rPr>
                <w:rFonts w:ascii="Times New Roman" w:hAnsi="Times New Roman"/>
                <w:sz w:val="26"/>
                <w:szCs w:val="26"/>
              </w:rPr>
              <w:t>(1)</w:t>
            </w:r>
          </w:p>
        </w:tc>
      </w:tr>
      <w:tr w:rsidRPr="00DE7921" w:rsidR="00240857" w:rsidTr="00240857" w14:paraId="773B227A" w14:textId="77777777">
        <w:trPr>
          <w:cantSplit/>
          <w:jc w:val="center"/>
        </w:trPr>
        <w:tc>
          <w:tcPr>
            <w:tcW w:w="5000" w:type="pct"/>
            <w:gridSpan w:val="8"/>
            <w:tcBorders>
              <w:top w:val="single" w:color="auto" w:sz="4" w:space="0"/>
              <w:left w:val="single" w:color="auto" w:sz="4" w:space="0"/>
              <w:bottom w:val="single" w:color="auto" w:sz="4" w:space="0"/>
              <w:right w:val="single" w:color="auto" w:sz="4" w:space="0"/>
            </w:tcBorders>
          </w:tcPr>
          <w:p w:rsidRPr="00212EF9" w:rsidR="00240857" w:rsidP="00DE7921" w:rsidRDefault="00240857" w14:paraId="19309119" w14:textId="387360D9">
            <w:pPr>
              <w:spacing w:after="0" w:line="240" w:lineRule="auto"/>
              <w:rPr>
                <w:rFonts w:ascii="Times New Roman" w:hAnsi="Times New Roman"/>
                <w:b/>
                <w:bCs/>
                <w:sz w:val="26"/>
                <w:szCs w:val="26"/>
                <w:highlight w:val="lightGray"/>
              </w:rPr>
            </w:pPr>
            <w:r w:rsidRPr="00212EF9">
              <w:rPr>
                <w:rFonts w:ascii="Times New Roman" w:hAnsi="Times New Roman"/>
                <w:b/>
                <w:bCs/>
                <w:sz w:val="26"/>
                <w:szCs w:val="26"/>
              </w:rPr>
              <w:t>Form No. 2</w:t>
            </w:r>
            <w:r w:rsidR="001F647D">
              <w:rPr>
                <w:rFonts w:ascii="Times New Roman" w:hAnsi="Times New Roman"/>
                <w:b/>
                <w:bCs/>
                <w:sz w:val="26"/>
                <w:szCs w:val="26"/>
              </w:rPr>
              <w:t xml:space="preserve"> -representing 100 respondents</w:t>
            </w:r>
          </w:p>
        </w:tc>
      </w:tr>
      <w:tr w:rsidRPr="00DE7921" w:rsidR="00DE7921" w:rsidTr="00212EF9" w14:paraId="5EA1EF3F" w14:textId="77777777">
        <w:trPr>
          <w:cantSplit/>
          <w:jc w:val="center"/>
        </w:trPr>
        <w:tc>
          <w:tcPr>
            <w:tcW w:w="881" w:type="pct"/>
            <w:gridSpan w:val="2"/>
            <w:tcBorders>
              <w:top w:val="single" w:color="auto" w:sz="4" w:space="0"/>
              <w:left w:val="single" w:color="auto" w:sz="4" w:space="0"/>
              <w:bottom w:val="single" w:color="auto" w:sz="4" w:space="0"/>
              <w:right w:val="single" w:color="auto" w:sz="4" w:space="0"/>
            </w:tcBorders>
            <w:hideMark/>
          </w:tcPr>
          <w:p w:rsidRPr="00DE7921" w:rsidR="00DE7921" w:rsidP="00DE7921" w:rsidRDefault="00670B7B" w14:paraId="77108703" w14:textId="367C6032">
            <w:pPr>
              <w:spacing w:after="0" w:line="240" w:lineRule="auto"/>
              <w:rPr>
                <w:rFonts w:ascii="Times New Roman" w:hAnsi="Times New Roman"/>
                <w:sz w:val="26"/>
                <w:szCs w:val="26"/>
              </w:rPr>
            </w:pPr>
            <w:r>
              <w:rPr>
                <w:rFonts w:ascii="Times New Roman" w:hAnsi="Times New Roman"/>
                <w:sz w:val="26"/>
                <w:szCs w:val="26"/>
              </w:rPr>
              <w:t>Burden to Comply with Filing Requirement</w:t>
            </w:r>
          </w:p>
        </w:tc>
        <w:tc>
          <w:tcPr>
            <w:tcW w:w="599" w:type="pct"/>
            <w:tcBorders>
              <w:top w:val="single" w:color="auto" w:sz="4" w:space="0"/>
              <w:left w:val="single" w:color="auto" w:sz="4" w:space="0"/>
              <w:bottom w:val="single" w:color="auto" w:sz="4" w:space="0"/>
              <w:right w:val="single" w:color="auto" w:sz="4" w:space="0"/>
            </w:tcBorders>
            <w:vAlign w:val="bottom"/>
            <w:hideMark/>
          </w:tcPr>
          <w:p w:rsidRPr="00DE7921" w:rsidR="00DE7921" w:rsidP="00212EF9" w:rsidRDefault="00DE7921" w14:paraId="501878E6" w14:textId="77777777">
            <w:pPr>
              <w:spacing w:after="0" w:line="240" w:lineRule="auto"/>
              <w:jc w:val="right"/>
              <w:rPr>
                <w:rFonts w:ascii="Times New Roman" w:hAnsi="Times New Roman"/>
                <w:sz w:val="26"/>
                <w:szCs w:val="26"/>
              </w:rPr>
            </w:pPr>
            <w:r w:rsidRPr="00DE7921">
              <w:rPr>
                <w:rFonts w:ascii="Times New Roman" w:hAnsi="Times New Roman"/>
                <w:sz w:val="26"/>
                <w:szCs w:val="26"/>
              </w:rPr>
              <w:t>100</w:t>
            </w:r>
          </w:p>
        </w:tc>
        <w:tc>
          <w:tcPr>
            <w:tcW w:w="648" w:type="pct"/>
            <w:tcBorders>
              <w:top w:val="single" w:color="auto" w:sz="4" w:space="0"/>
              <w:left w:val="single" w:color="auto" w:sz="4" w:space="0"/>
              <w:bottom w:val="single" w:color="auto" w:sz="4" w:space="0"/>
              <w:right w:val="single" w:color="auto" w:sz="4" w:space="0"/>
            </w:tcBorders>
            <w:vAlign w:val="bottom"/>
            <w:hideMark/>
          </w:tcPr>
          <w:p w:rsidRPr="00DE7921" w:rsidR="00DE7921" w:rsidP="00212EF9" w:rsidRDefault="00DE7921" w14:paraId="55E2DE4E" w14:textId="77777777">
            <w:pPr>
              <w:spacing w:after="0" w:line="240" w:lineRule="auto"/>
              <w:jc w:val="right"/>
              <w:rPr>
                <w:rFonts w:ascii="Times New Roman" w:hAnsi="Times New Roman"/>
                <w:sz w:val="26"/>
                <w:szCs w:val="26"/>
              </w:rPr>
            </w:pPr>
            <w:r w:rsidRPr="00DE7921">
              <w:rPr>
                <w:rFonts w:ascii="Times New Roman" w:hAnsi="Times New Roman"/>
                <w:sz w:val="26"/>
                <w:szCs w:val="26"/>
              </w:rPr>
              <w:t>1</w:t>
            </w:r>
          </w:p>
        </w:tc>
        <w:tc>
          <w:tcPr>
            <w:tcW w:w="755" w:type="pct"/>
            <w:tcBorders>
              <w:top w:val="single" w:color="auto" w:sz="4" w:space="0"/>
              <w:left w:val="single" w:color="auto" w:sz="4" w:space="0"/>
              <w:bottom w:val="single" w:color="auto" w:sz="4" w:space="0"/>
              <w:right w:val="single" w:color="auto" w:sz="4" w:space="0"/>
            </w:tcBorders>
            <w:vAlign w:val="bottom"/>
            <w:hideMark/>
          </w:tcPr>
          <w:p w:rsidRPr="00DE7921" w:rsidR="00DE7921" w:rsidP="00212EF9" w:rsidRDefault="00DE7921" w14:paraId="7B772C80" w14:textId="77777777">
            <w:pPr>
              <w:spacing w:after="0" w:line="240" w:lineRule="auto"/>
              <w:jc w:val="right"/>
              <w:rPr>
                <w:rFonts w:ascii="Times New Roman" w:hAnsi="Times New Roman"/>
                <w:sz w:val="26"/>
                <w:szCs w:val="26"/>
              </w:rPr>
            </w:pPr>
            <w:r w:rsidRPr="00DE7921">
              <w:rPr>
                <w:rFonts w:ascii="Times New Roman" w:hAnsi="Times New Roman"/>
                <w:sz w:val="26"/>
                <w:szCs w:val="26"/>
              </w:rPr>
              <w:t>100</w:t>
            </w:r>
          </w:p>
        </w:tc>
        <w:tc>
          <w:tcPr>
            <w:tcW w:w="648" w:type="pct"/>
            <w:tcBorders>
              <w:top w:val="single" w:color="auto" w:sz="4" w:space="0"/>
              <w:left w:val="single" w:color="auto" w:sz="4" w:space="0"/>
              <w:bottom w:val="single" w:color="auto" w:sz="4" w:space="0"/>
              <w:right w:val="single" w:color="auto" w:sz="4" w:space="0"/>
            </w:tcBorders>
            <w:vAlign w:val="bottom"/>
            <w:hideMark/>
          </w:tcPr>
          <w:p w:rsidRPr="00DE7921" w:rsidR="00DE7921" w:rsidP="00212EF9" w:rsidRDefault="00DE7921" w14:paraId="25F3265C" w14:textId="316FCB61">
            <w:pPr>
              <w:spacing w:after="0" w:line="240" w:lineRule="auto"/>
              <w:jc w:val="right"/>
              <w:rPr>
                <w:rFonts w:ascii="Times New Roman" w:hAnsi="Times New Roman"/>
                <w:sz w:val="26"/>
                <w:szCs w:val="26"/>
              </w:rPr>
            </w:pPr>
            <w:r w:rsidRPr="00DE7921">
              <w:rPr>
                <w:rFonts w:ascii="Times New Roman" w:hAnsi="Times New Roman"/>
                <w:sz w:val="26"/>
                <w:szCs w:val="26"/>
              </w:rPr>
              <w:t>1,671.6</w:t>
            </w:r>
            <w:r w:rsidR="003C548A">
              <w:rPr>
                <w:rFonts w:ascii="Times New Roman" w:hAnsi="Times New Roman"/>
                <w:sz w:val="26"/>
                <w:szCs w:val="26"/>
              </w:rPr>
              <w:t>7</w:t>
            </w:r>
            <w:r w:rsidRPr="00DE7921">
              <w:rPr>
                <w:rFonts w:ascii="Times New Roman" w:hAnsi="Times New Roman"/>
                <w:sz w:val="26"/>
                <w:szCs w:val="26"/>
              </w:rPr>
              <w:t xml:space="preserve"> hrs.; $133,73</w:t>
            </w:r>
            <w:r w:rsidR="003C548A">
              <w:rPr>
                <w:rFonts w:ascii="Times New Roman" w:hAnsi="Times New Roman"/>
                <w:sz w:val="26"/>
                <w:szCs w:val="26"/>
              </w:rPr>
              <w:t>4</w:t>
            </w:r>
          </w:p>
        </w:tc>
        <w:tc>
          <w:tcPr>
            <w:tcW w:w="834" w:type="pct"/>
            <w:tcBorders>
              <w:top w:val="single" w:color="auto" w:sz="4" w:space="0"/>
              <w:left w:val="single" w:color="auto" w:sz="4" w:space="0"/>
              <w:bottom w:val="single" w:color="auto" w:sz="4" w:space="0"/>
              <w:right w:val="single" w:color="auto" w:sz="4" w:space="0"/>
            </w:tcBorders>
            <w:vAlign w:val="bottom"/>
            <w:hideMark/>
          </w:tcPr>
          <w:p w:rsidRPr="00DE7921" w:rsidR="00DE7921" w:rsidP="00212EF9" w:rsidRDefault="00DE7921" w14:paraId="7C1354A3" w14:textId="7A3BB7CB">
            <w:pPr>
              <w:spacing w:after="0" w:line="240" w:lineRule="auto"/>
              <w:jc w:val="right"/>
              <w:rPr>
                <w:rFonts w:ascii="Times New Roman" w:hAnsi="Times New Roman"/>
                <w:sz w:val="26"/>
                <w:szCs w:val="26"/>
              </w:rPr>
            </w:pPr>
            <w:r w:rsidRPr="00DE7921">
              <w:rPr>
                <w:rFonts w:ascii="Times New Roman" w:hAnsi="Times New Roman"/>
                <w:sz w:val="26"/>
                <w:szCs w:val="26"/>
              </w:rPr>
              <w:t>167,16</w:t>
            </w:r>
            <w:r w:rsidR="003C548A">
              <w:rPr>
                <w:rFonts w:ascii="Times New Roman" w:hAnsi="Times New Roman"/>
                <w:sz w:val="26"/>
                <w:szCs w:val="26"/>
              </w:rPr>
              <w:t>7</w:t>
            </w:r>
            <w:r w:rsidRPr="00DE7921">
              <w:rPr>
                <w:rFonts w:ascii="Times New Roman" w:hAnsi="Times New Roman"/>
                <w:sz w:val="26"/>
                <w:szCs w:val="26"/>
              </w:rPr>
              <w:t xml:space="preserve"> hrs.; $13,373,</w:t>
            </w:r>
            <w:r w:rsidR="00CC3601">
              <w:rPr>
                <w:rFonts w:ascii="Times New Roman" w:hAnsi="Times New Roman"/>
                <w:sz w:val="26"/>
                <w:szCs w:val="26"/>
              </w:rPr>
              <w:t>360</w:t>
            </w:r>
          </w:p>
        </w:tc>
        <w:tc>
          <w:tcPr>
            <w:tcW w:w="635" w:type="pct"/>
            <w:tcBorders>
              <w:top w:val="single" w:color="auto" w:sz="4" w:space="0"/>
              <w:left w:val="single" w:color="auto" w:sz="4" w:space="0"/>
              <w:bottom w:val="single" w:color="auto" w:sz="4" w:space="0"/>
              <w:right w:val="single" w:color="auto" w:sz="4" w:space="0"/>
            </w:tcBorders>
            <w:vAlign w:val="bottom"/>
            <w:hideMark/>
          </w:tcPr>
          <w:p w:rsidRPr="00DE7921" w:rsidR="00DE7921" w:rsidP="00212EF9" w:rsidRDefault="00DE7921" w14:paraId="0CA2DA6B" w14:textId="6006F290">
            <w:pPr>
              <w:spacing w:after="0" w:line="240" w:lineRule="auto"/>
              <w:jc w:val="right"/>
              <w:rPr>
                <w:rFonts w:ascii="Times New Roman" w:hAnsi="Times New Roman"/>
                <w:sz w:val="26"/>
                <w:szCs w:val="26"/>
              </w:rPr>
            </w:pPr>
            <w:r w:rsidRPr="00DE7921">
              <w:rPr>
                <w:rFonts w:ascii="Times New Roman" w:hAnsi="Times New Roman"/>
                <w:sz w:val="26"/>
                <w:szCs w:val="26"/>
              </w:rPr>
              <w:t>$133,73</w:t>
            </w:r>
            <w:r w:rsidR="003C548A">
              <w:rPr>
                <w:rFonts w:ascii="Times New Roman" w:hAnsi="Times New Roman"/>
                <w:sz w:val="26"/>
                <w:szCs w:val="26"/>
              </w:rPr>
              <w:t>4</w:t>
            </w:r>
          </w:p>
        </w:tc>
      </w:tr>
      <w:tr w:rsidRPr="00DE7921" w:rsidR="005061BB" w:rsidTr="00212EF9" w14:paraId="3D0BE7E4" w14:textId="77777777">
        <w:trPr>
          <w:cantSplit/>
          <w:jc w:val="center"/>
        </w:trPr>
        <w:tc>
          <w:tcPr>
            <w:tcW w:w="878" w:type="pct"/>
            <w:tcBorders>
              <w:top w:val="single" w:color="auto" w:sz="4" w:space="0"/>
              <w:left w:val="single" w:color="auto" w:sz="4" w:space="0"/>
              <w:bottom w:val="single" w:color="auto" w:sz="4" w:space="0"/>
              <w:right w:val="single" w:color="auto" w:sz="4" w:space="0"/>
            </w:tcBorders>
          </w:tcPr>
          <w:p w:rsidRPr="00DE7921" w:rsidR="005061BB" w:rsidP="00DE7921" w:rsidRDefault="005061BB" w14:paraId="2AE52346" w14:textId="64B06934">
            <w:pPr>
              <w:spacing w:after="0" w:line="240" w:lineRule="auto"/>
              <w:rPr>
                <w:rFonts w:ascii="Times New Roman" w:hAnsi="Times New Roman"/>
                <w:sz w:val="26"/>
                <w:szCs w:val="26"/>
              </w:rPr>
            </w:pPr>
            <w:bookmarkStart w:name="_Hlk47097577" w:id="3"/>
            <w:r w:rsidRPr="00212EF9">
              <w:rPr>
                <w:rFonts w:ascii="Times New Roman" w:hAnsi="Times New Roman"/>
                <w:sz w:val="26"/>
                <w:szCs w:val="26"/>
              </w:rPr>
              <w:t xml:space="preserve">Burden to Prepare and Submit in </w:t>
            </w:r>
            <w:proofErr w:type="gramStart"/>
            <w:r w:rsidRPr="00212EF9">
              <w:rPr>
                <w:rFonts w:ascii="Times New Roman" w:hAnsi="Times New Roman"/>
                <w:sz w:val="26"/>
                <w:szCs w:val="26"/>
              </w:rPr>
              <w:t>XBRL</w:t>
            </w:r>
            <w:r w:rsidR="001F647D">
              <w:rPr>
                <w:rFonts w:ascii="Times New Roman" w:hAnsi="Times New Roman"/>
                <w:sz w:val="26"/>
                <w:szCs w:val="26"/>
              </w:rPr>
              <w:t>(</w:t>
            </w:r>
            <w:proofErr w:type="gramEnd"/>
            <w:r w:rsidR="0026282B">
              <w:rPr>
                <w:rFonts w:ascii="Times New Roman" w:hAnsi="Times New Roman"/>
                <w:sz w:val="26"/>
                <w:szCs w:val="26"/>
              </w:rPr>
              <w:t>represented using the</w:t>
            </w:r>
            <w:r w:rsidR="009761A3">
              <w:rPr>
                <w:rFonts w:ascii="Times New Roman" w:hAnsi="Times New Roman"/>
                <w:sz w:val="26"/>
                <w:szCs w:val="26"/>
              </w:rPr>
              <w:t xml:space="preserve"> same number of respondents and</w:t>
            </w:r>
            <w:r w:rsidR="000C1167">
              <w:rPr>
                <w:rFonts w:ascii="Times New Roman" w:hAnsi="Times New Roman"/>
                <w:sz w:val="26"/>
                <w:szCs w:val="26"/>
              </w:rPr>
              <w:t xml:space="preserve"> </w:t>
            </w:r>
            <w:r w:rsidR="009761A3">
              <w:rPr>
                <w:rFonts w:ascii="Times New Roman" w:hAnsi="Times New Roman"/>
                <w:sz w:val="26"/>
                <w:szCs w:val="26"/>
              </w:rPr>
              <w:t>responses</w:t>
            </w:r>
            <w:r w:rsidR="000C1167">
              <w:rPr>
                <w:rFonts w:ascii="Times New Roman" w:hAnsi="Times New Roman"/>
                <w:sz w:val="26"/>
                <w:szCs w:val="26"/>
              </w:rPr>
              <w:t xml:space="preserve"> </w:t>
            </w:r>
            <w:r w:rsidR="009761A3">
              <w:rPr>
                <w:rFonts w:ascii="Times New Roman" w:hAnsi="Times New Roman"/>
                <w:sz w:val="26"/>
                <w:szCs w:val="26"/>
              </w:rPr>
              <w:t>normally received annually</w:t>
            </w:r>
            <w:r w:rsidR="001F647D">
              <w:rPr>
                <w:rFonts w:ascii="Times New Roman" w:hAnsi="Times New Roman"/>
                <w:sz w:val="26"/>
                <w:szCs w:val="26"/>
              </w:rPr>
              <w:t>)</w:t>
            </w:r>
          </w:p>
        </w:tc>
        <w:tc>
          <w:tcPr>
            <w:tcW w:w="602" w:type="pct"/>
            <w:gridSpan w:val="2"/>
            <w:tcBorders>
              <w:top w:val="single" w:color="auto" w:sz="4" w:space="0"/>
              <w:left w:val="single" w:color="auto" w:sz="4" w:space="0"/>
              <w:bottom w:val="single" w:color="auto" w:sz="4" w:space="0"/>
              <w:right w:val="single" w:color="auto" w:sz="4" w:space="0"/>
            </w:tcBorders>
            <w:vAlign w:val="bottom"/>
          </w:tcPr>
          <w:p w:rsidRPr="00DE7921" w:rsidR="005061BB" w:rsidP="00212EF9" w:rsidRDefault="00087BA4" w14:paraId="271270C8" w14:textId="215EF1A7">
            <w:pPr>
              <w:spacing w:after="0" w:line="240" w:lineRule="auto"/>
              <w:jc w:val="right"/>
              <w:rPr>
                <w:rFonts w:ascii="Times New Roman" w:hAnsi="Times New Roman"/>
                <w:sz w:val="26"/>
                <w:szCs w:val="26"/>
              </w:rPr>
            </w:pPr>
            <w:r w:rsidDel="00087BA4">
              <w:rPr>
                <w:rFonts w:ascii="Times New Roman" w:hAnsi="Times New Roman"/>
                <w:sz w:val="26"/>
                <w:szCs w:val="26"/>
              </w:rPr>
              <w:t xml:space="preserve"> </w:t>
            </w:r>
            <w:r w:rsidR="005061BB">
              <w:rPr>
                <w:rFonts w:ascii="Times New Roman" w:hAnsi="Times New Roman"/>
                <w:sz w:val="26"/>
                <w:szCs w:val="26"/>
              </w:rPr>
              <w:t>100</w:t>
            </w:r>
          </w:p>
        </w:tc>
        <w:tc>
          <w:tcPr>
            <w:tcW w:w="648" w:type="pct"/>
            <w:tcBorders>
              <w:top w:val="single" w:color="auto" w:sz="4" w:space="0"/>
              <w:left w:val="single" w:color="auto" w:sz="4" w:space="0"/>
              <w:bottom w:val="single" w:color="auto" w:sz="4" w:space="0"/>
              <w:right w:val="single" w:color="auto" w:sz="4" w:space="0"/>
            </w:tcBorders>
            <w:vAlign w:val="bottom"/>
          </w:tcPr>
          <w:p w:rsidRPr="00DE7921" w:rsidR="005061BB" w:rsidP="00212EF9" w:rsidRDefault="005061BB" w14:paraId="3F7972BE" w14:textId="2D18FE92">
            <w:pPr>
              <w:spacing w:after="0" w:line="240" w:lineRule="auto"/>
              <w:jc w:val="right"/>
              <w:rPr>
                <w:rFonts w:ascii="Times New Roman" w:hAnsi="Times New Roman"/>
                <w:sz w:val="26"/>
                <w:szCs w:val="26"/>
              </w:rPr>
            </w:pPr>
            <w:r>
              <w:rPr>
                <w:rFonts w:ascii="Times New Roman" w:hAnsi="Times New Roman"/>
                <w:sz w:val="26"/>
                <w:szCs w:val="26"/>
              </w:rPr>
              <w:t>1</w:t>
            </w:r>
          </w:p>
        </w:tc>
        <w:tc>
          <w:tcPr>
            <w:tcW w:w="755" w:type="pct"/>
            <w:tcBorders>
              <w:top w:val="single" w:color="auto" w:sz="4" w:space="0"/>
              <w:left w:val="single" w:color="auto" w:sz="4" w:space="0"/>
              <w:bottom w:val="single" w:color="auto" w:sz="4" w:space="0"/>
              <w:right w:val="single" w:color="auto" w:sz="4" w:space="0"/>
            </w:tcBorders>
            <w:vAlign w:val="bottom"/>
          </w:tcPr>
          <w:p w:rsidRPr="00DE7921" w:rsidR="005061BB" w:rsidP="00212EF9" w:rsidRDefault="005061BB" w14:paraId="4A0B7F95" w14:textId="431AD281">
            <w:pPr>
              <w:spacing w:after="0" w:line="240" w:lineRule="auto"/>
              <w:jc w:val="right"/>
              <w:rPr>
                <w:rFonts w:ascii="Times New Roman" w:hAnsi="Times New Roman"/>
                <w:sz w:val="26"/>
                <w:szCs w:val="26"/>
              </w:rPr>
            </w:pPr>
            <w:r>
              <w:rPr>
                <w:rFonts w:ascii="Times New Roman" w:hAnsi="Times New Roman"/>
                <w:sz w:val="26"/>
                <w:szCs w:val="26"/>
              </w:rPr>
              <w:t>10</w:t>
            </w:r>
            <w:r w:rsidR="003A48E3">
              <w:rPr>
                <w:rFonts w:ascii="Times New Roman" w:hAnsi="Times New Roman"/>
                <w:sz w:val="26"/>
                <w:szCs w:val="26"/>
              </w:rPr>
              <w:t>0</w:t>
            </w:r>
          </w:p>
        </w:tc>
        <w:tc>
          <w:tcPr>
            <w:tcW w:w="648" w:type="pct"/>
            <w:tcBorders>
              <w:top w:val="single" w:color="auto" w:sz="4" w:space="0"/>
              <w:left w:val="single" w:color="auto" w:sz="4" w:space="0"/>
              <w:bottom w:val="single" w:color="auto" w:sz="4" w:space="0"/>
              <w:right w:val="single" w:color="auto" w:sz="4" w:space="0"/>
            </w:tcBorders>
            <w:vAlign w:val="bottom"/>
          </w:tcPr>
          <w:p w:rsidRPr="00DE7921" w:rsidR="005061BB" w:rsidP="00212EF9" w:rsidRDefault="005061BB" w14:paraId="362A41FC" w14:textId="653320AD">
            <w:pPr>
              <w:spacing w:after="0" w:line="240" w:lineRule="auto"/>
              <w:jc w:val="right"/>
              <w:rPr>
                <w:rFonts w:ascii="Times New Roman" w:hAnsi="Times New Roman"/>
                <w:sz w:val="26"/>
                <w:szCs w:val="26"/>
              </w:rPr>
            </w:pPr>
            <w:r>
              <w:rPr>
                <w:rFonts w:ascii="Times New Roman" w:hAnsi="Times New Roman"/>
                <w:sz w:val="26"/>
                <w:szCs w:val="26"/>
              </w:rPr>
              <w:t>42.66 hrs.; $3413</w:t>
            </w:r>
          </w:p>
        </w:tc>
        <w:tc>
          <w:tcPr>
            <w:tcW w:w="834" w:type="pct"/>
            <w:tcBorders>
              <w:top w:val="single" w:color="auto" w:sz="4" w:space="0"/>
              <w:left w:val="single" w:color="auto" w:sz="4" w:space="0"/>
              <w:bottom w:val="single" w:color="auto" w:sz="4" w:space="0"/>
              <w:right w:val="single" w:color="auto" w:sz="4" w:space="0"/>
            </w:tcBorders>
            <w:vAlign w:val="bottom"/>
          </w:tcPr>
          <w:p w:rsidRPr="00DE7921" w:rsidR="005061BB" w:rsidP="00212EF9" w:rsidRDefault="005061BB" w14:paraId="0E3225A2" w14:textId="5757080A">
            <w:pPr>
              <w:spacing w:after="0" w:line="240" w:lineRule="auto"/>
              <w:jc w:val="right"/>
              <w:rPr>
                <w:rFonts w:ascii="Times New Roman" w:hAnsi="Times New Roman"/>
                <w:sz w:val="26"/>
                <w:szCs w:val="26"/>
              </w:rPr>
            </w:pPr>
            <w:r>
              <w:rPr>
                <w:rFonts w:ascii="Times New Roman" w:hAnsi="Times New Roman"/>
                <w:sz w:val="26"/>
                <w:szCs w:val="26"/>
              </w:rPr>
              <w:t>4</w:t>
            </w:r>
            <w:r w:rsidR="0084440F">
              <w:rPr>
                <w:rFonts w:ascii="Times New Roman" w:hAnsi="Times New Roman"/>
                <w:sz w:val="26"/>
                <w:szCs w:val="26"/>
              </w:rPr>
              <w:t>,</w:t>
            </w:r>
            <w:r>
              <w:rPr>
                <w:rFonts w:ascii="Times New Roman" w:hAnsi="Times New Roman"/>
                <w:sz w:val="26"/>
                <w:szCs w:val="26"/>
              </w:rPr>
              <w:t>266 hrs.; $341,</w:t>
            </w:r>
            <w:r w:rsidR="00CC3601">
              <w:rPr>
                <w:rFonts w:ascii="Times New Roman" w:hAnsi="Times New Roman"/>
                <w:sz w:val="26"/>
                <w:szCs w:val="26"/>
              </w:rPr>
              <w:t>280</w:t>
            </w:r>
          </w:p>
        </w:tc>
        <w:tc>
          <w:tcPr>
            <w:tcW w:w="635" w:type="pct"/>
            <w:tcBorders>
              <w:top w:val="single" w:color="auto" w:sz="4" w:space="0"/>
              <w:left w:val="single" w:color="auto" w:sz="4" w:space="0"/>
              <w:bottom w:val="single" w:color="auto" w:sz="4" w:space="0"/>
              <w:right w:val="single" w:color="auto" w:sz="4" w:space="0"/>
            </w:tcBorders>
            <w:vAlign w:val="bottom"/>
          </w:tcPr>
          <w:p w:rsidRPr="00DE7921" w:rsidR="005061BB" w:rsidP="00212EF9" w:rsidRDefault="005061BB" w14:paraId="34DA7D76" w14:textId="40DC5A46">
            <w:pPr>
              <w:spacing w:after="0" w:line="240" w:lineRule="auto"/>
              <w:jc w:val="right"/>
              <w:rPr>
                <w:rFonts w:ascii="Times New Roman" w:hAnsi="Times New Roman"/>
                <w:sz w:val="26"/>
                <w:szCs w:val="26"/>
              </w:rPr>
            </w:pPr>
            <w:r>
              <w:rPr>
                <w:rFonts w:ascii="Times New Roman" w:hAnsi="Times New Roman"/>
                <w:sz w:val="26"/>
                <w:szCs w:val="26"/>
              </w:rPr>
              <w:t>$3,413</w:t>
            </w:r>
          </w:p>
        </w:tc>
      </w:tr>
      <w:tr w:rsidRPr="00DE7921" w:rsidR="007E7910" w:rsidTr="00212EF9" w14:paraId="06F285CC" w14:textId="77777777">
        <w:trPr>
          <w:cantSplit/>
          <w:jc w:val="center"/>
        </w:trPr>
        <w:tc>
          <w:tcPr>
            <w:tcW w:w="881" w:type="pct"/>
            <w:gridSpan w:val="2"/>
            <w:tcBorders>
              <w:top w:val="single" w:color="auto" w:sz="4" w:space="0"/>
              <w:left w:val="single" w:color="auto" w:sz="4" w:space="0"/>
              <w:bottom w:val="single" w:color="auto" w:sz="4" w:space="0"/>
              <w:right w:val="single" w:color="auto" w:sz="4" w:space="0"/>
            </w:tcBorders>
          </w:tcPr>
          <w:p w:rsidRPr="00212EF9" w:rsidR="007E7910" w:rsidDel="00240857" w:rsidP="00DE7921" w:rsidRDefault="00216A7C" w14:paraId="50241199" w14:textId="712B92AE">
            <w:pPr>
              <w:spacing w:after="0" w:line="240" w:lineRule="auto"/>
              <w:rPr>
                <w:rFonts w:ascii="Times New Roman" w:hAnsi="Times New Roman"/>
                <w:b/>
                <w:bCs/>
                <w:sz w:val="26"/>
                <w:szCs w:val="26"/>
              </w:rPr>
            </w:pPr>
            <w:r w:rsidRPr="00212EF9">
              <w:rPr>
                <w:rFonts w:ascii="Times New Roman" w:hAnsi="Times New Roman"/>
                <w:b/>
                <w:bCs/>
                <w:sz w:val="26"/>
                <w:szCs w:val="26"/>
              </w:rPr>
              <w:t xml:space="preserve">Form No. 2 </w:t>
            </w:r>
            <w:r w:rsidRPr="00212EF9" w:rsidR="007E7910">
              <w:rPr>
                <w:rFonts w:ascii="Times New Roman" w:hAnsi="Times New Roman"/>
                <w:b/>
                <w:bCs/>
                <w:sz w:val="26"/>
                <w:szCs w:val="26"/>
              </w:rPr>
              <w:t>Total</w:t>
            </w:r>
          </w:p>
        </w:tc>
        <w:tc>
          <w:tcPr>
            <w:tcW w:w="599" w:type="pct"/>
            <w:tcBorders>
              <w:top w:val="single" w:color="auto" w:sz="4" w:space="0"/>
              <w:left w:val="single" w:color="auto" w:sz="4" w:space="0"/>
              <w:bottom w:val="single" w:color="auto" w:sz="4" w:space="0"/>
              <w:right w:val="single" w:color="auto" w:sz="4" w:space="0"/>
            </w:tcBorders>
            <w:vAlign w:val="bottom"/>
          </w:tcPr>
          <w:p w:rsidR="007E7910" w:rsidDel="00240857" w:rsidP="00212EF9" w:rsidRDefault="00D664FC" w14:paraId="12C40B21" w14:textId="279CE459">
            <w:pPr>
              <w:spacing w:after="0" w:line="240" w:lineRule="auto"/>
              <w:jc w:val="right"/>
              <w:rPr>
                <w:rFonts w:ascii="Times New Roman" w:hAnsi="Times New Roman"/>
                <w:sz w:val="26"/>
                <w:szCs w:val="26"/>
              </w:rPr>
            </w:pPr>
            <w:r>
              <w:rPr>
                <w:rFonts w:ascii="Times New Roman" w:hAnsi="Times New Roman"/>
                <w:sz w:val="26"/>
                <w:szCs w:val="26"/>
              </w:rPr>
              <w:t>100</w:t>
            </w:r>
          </w:p>
        </w:tc>
        <w:tc>
          <w:tcPr>
            <w:tcW w:w="648" w:type="pct"/>
            <w:tcBorders>
              <w:top w:val="single" w:color="auto" w:sz="4" w:space="0"/>
              <w:left w:val="single" w:color="auto" w:sz="4" w:space="0"/>
              <w:bottom w:val="single" w:color="auto" w:sz="4" w:space="0"/>
              <w:right w:val="single" w:color="auto" w:sz="4" w:space="0"/>
            </w:tcBorders>
            <w:vAlign w:val="bottom"/>
          </w:tcPr>
          <w:p w:rsidR="007E7910" w:rsidDel="00240857" w:rsidP="00212EF9" w:rsidRDefault="007E7910" w14:paraId="05EB9DB9" w14:textId="493F1F24">
            <w:pPr>
              <w:spacing w:after="0" w:line="240" w:lineRule="auto"/>
              <w:jc w:val="right"/>
              <w:rPr>
                <w:rFonts w:ascii="Times New Roman" w:hAnsi="Times New Roman"/>
                <w:sz w:val="26"/>
                <w:szCs w:val="26"/>
              </w:rPr>
            </w:pPr>
            <w:r>
              <w:rPr>
                <w:rFonts w:ascii="Times New Roman" w:hAnsi="Times New Roman"/>
                <w:sz w:val="26"/>
                <w:szCs w:val="26"/>
              </w:rPr>
              <w:t>1</w:t>
            </w:r>
          </w:p>
        </w:tc>
        <w:tc>
          <w:tcPr>
            <w:tcW w:w="755" w:type="pct"/>
            <w:tcBorders>
              <w:top w:val="single" w:color="auto" w:sz="4" w:space="0"/>
              <w:left w:val="single" w:color="auto" w:sz="4" w:space="0"/>
              <w:bottom w:val="single" w:color="auto" w:sz="4" w:space="0"/>
              <w:right w:val="single" w:color="auto" w:sz="4" w:space="0"/>
            </w:tcBorders>
            <w:vAlign w:val="bottom"/>
          </w:tcPr>
          <w:p w:rsidR="007E7910" w:rsidDel="00240857" w:rsidP="00212EF9" w:rsidRDefault="00D664FC" w14:paraId="0E2441BD" w14:textId="703F4A62">
            <w:pPr>
              <w:spacing w:after="0" w:line="240" w:lineRule="auto"/>
              <w:jc w:val="right"/>
              <w:rPr>
                <w:rFonts w:ascii="Times New Roman" w:hAnsi="Times New Roman"/>
                <w:sz w:val="26"/>
                <w:szCs w:val="26"/>
              </w:rPr>
            </w:pPr>
            <w:r>
              <w:rPr>
                <w:rFonts w:ascii="Times New Roman" w:hAnsi="Times New Roman"/>
                <w:sz w:val="26"/>
                <w:szCs w:val="26"/>
              </w:rPr>
              <w:t>2</w:t>
            </w:r>
            <w:r w:rsidR="007E7910">
              <w:rPr>
                <w:rFonts w:ascii="Times New Roman" w:hAnsi="Times New Roman"/>
                <w:sz w:val="26"/>
                <w:szCs w:val="26"/>
              </w:rPr>
              <w:t>00</w:t>
            </w:r>
          </w:p>
        </w:tc>
        <w:tc>
          <w:tcPr>
            <w:tcW w:w="648" w:type="pct"/>
            <w:tcBorders>
              <w:top w:val="single" w:color="auto" w:sz="4" w:space="0"/>
              <w:left w:val="single" w:color="auto" w:sz="4" w:space="0"/>
              <w:bottom w:val="single" w:color="auto" w:sz="4" w:space="0"/>
              <w:right w:val="single" w:color="auto" w:sz="4" w:space="0"/>
            </w:tcBorders>
            <w:vAlign w:val="bottom"/>
          </w:tcPr>
          <w:p w:rsidR="007E7910" w:rsidP="00212EF9" w:rsidRDefault="007E7910" w14:paraId="1FFAA40A" w14:textId="4C26D3F3">
            <w:pPr>
              <w:spacing w:after="0" w:line="240" w:lineRule="auto"/>
              <w:jc w:val="right"/>
              <w:rPr>
                <w:rFonts w:ascii="Times New Roman" w:hAnsi="Times New Roman"/>
                <w:sz w:val="26"/>
                <w:szCs w:val="26"/>
              </w:rPr>
            </w:pPr>
            <w:r>
              <w:rPr>
                <w:rFonts w:ascii="Times New Roman" w:hAnsi="Times New Roman"/>
                <w:sz w:val="26"/>
                <w:szCs w:val="26"/>
              </w:rPr>
              <w:t>1</w:t>
            </w:r>
            <w:r w:rsidR="0084440F">
              <w:rPr>
                <w:rFonts w:ascii="Times New Roman" w:hAnsi="Times New Roman"/>
                <w:sz w:val="26"/>
                <w:szCs w:val="26"/>
              </w:rPr>
              <w:t>,</w:t>
            </w:r>
            <w:r>
              <w:rPr>
                <w:rFonts w:ascii="Times New Roman" w:hAnsi="Times New Roman"/>
                <w:sz w:val="26"/>
                <w:szCs w:val="26"/>
              </w:rPr>
              <w:t>714.32 hrs.; $1</w:t>
            </w:r>
            <w:r w:rsidR="003C548A">
              <w:rPr>
                <w:rFonts w:ascii="Times New Roman" w:hAnsi="Times New Roman"/>
                <w:sz w:val="26"/>
                <w:szCs w:val="26"/>
              </w:rPr>
              <w:t>37,147</w:t>
            </w:r>
          </w:p>
        </w:tc>
        <w:tc>
          <w:tcPr>
            <w:tcW w:w="834" w:type="pct"/>
            <w:tcBorders>
              <w:top w:val="single" w:color="auto" w:sz="4" w:space="0"/>
              <w:left w:val="single" w:color="auto" w:sz="4" w:space="0"/>
              <w:bottom w:val="single" w:color="auto" w:sz="4" w:space="0"/>
              <w:right w:val="single" w:color="auto" w:sz="4" w:space="0"/>
            </w:tcBorders>
            <w:vAlign w:val="bottom"/>
          </w:tcPr>
          <w:p w:rsidR="007E7910" w:rsidP="00212EF9" w:rsidRDefault="003C548A" w14:paraId="6D73C5D5" w14:textId="68269381">
            <w:pPr>
              <w:spacing w:after="0" w:line="240" w:lineRule="auto"/>
              <w:jc w:val="right"/>
              <w:rPr>
                <w:rFonts w:ascii="Times New Roman" w:hAnsi="Times New Roman"/>
                <w:sz w:val="26"/>
                <w:szCs w:val="26"/>
              </w:rPr>
            </w:pPr>
            <w:r>
              <w:rPr>
                <w:rFonts w:ascii="Times New Roman" w:hAnsi="Times New Roman"/>
                <w:sz w:val="26"/>
                <w:szCs w:val="26"/>
              </w:rPr>
              <w:t>171,433 hrs.; $13,714,700</w:t>
            </w:r>
          </w:p>
        </w:tc>
        <w:tc>
          <w:tcPr>
            <w:tcW w:w="635" w:type="pct"/>
            <w:tcBorders>
              <w:top w:val="single" w:color="auto" w:sz="4" w:space="0"/>
              <w:left w:val="single" w:color="auto" w:sz="4" w:space="0"/>
              <w:bottom w:val="single" w:color="auto" w:sz="4" w:space="0"/>
              <w:right w:val="single" w:color="auto" w:sz="4" w:space="0"/>
            </w:tcBorders>
            <w:vAlign w:val="bottom"/>
          </w:tcPr>
          <w:p w:rsidR="007E7910" w:rsidP="00212EF9" w:rsidRDefault="007E7910" w14:paraId="0D79710C" w14:textId="53B4E99C">
            <w:pPr>
              <w:spacing w:after="0" w:line="240" w:lineRule="auto"/>
              <w:jc w:val="right"/>
              <w:rPr>
                <w:rFonts w:ascii="Times New Roman" w:hAnsi="Times New Roman"/>
                <w:sz w:val="26"/>
                <w:szCs w:val="26"/>
              </w:rPr>
            </w:pPr>
            <w:r>
              <w:rPr>
                <w:rFonts w:ascii="Times New Roman" w:hAnsi="Times New Roman"/>
                <w:sz w:val="26"/>
                <w:szCs w:val="26"/>
              </w:rPr>
              <w:t>$137,14</w:t>
            </w:r>
            <w:r w:rsidR="003C548A">
              <w:rPr>
                <w:rFonts w:ascii="Times New Roman" w:hAnsi="Times New Roman"/>
                <w:sz w:val="26"/>
                <w:szCs w:val="26"/>
              </w:rPr>
              <w:t>7</w:t>
            </w:r>
          </w:p>
        </w:tc>
      </w:tr>
      <w:bookmarkEnd w:id="3"/>
      <w:tr w:rsidRPr="00DE7921" w:rsidR="00240857" w:rsidTr="00240857" w14:paraId="261CB6A2" w14:textId="77777777">
        <w:trPr>
          <w:cantSplit/>
          <w:jc w:val="center"/>
        </w:trPr>
        <w:tc>
          <w:tcPr>
            <w:tcW w:w="5000" w:type="pct"/>
            <w:gridSpan w:val="8"/>
            <w:tcBorders>
              <w:top w:val="single" w:color="auto" w:sz="4" w:space="0"/>
              <w:left w:val="single" w:color="auto" w:sz="4" w:space="0"/>
              <w:bottom w:val="single" w:color="auto" w:sz="4" w:space="0"/>
              <w:right w:val="single" w:color="auto" w:sz="4" w:space="0"/>
            </w:tcBorders>
          </w:tcPr>
          <w:p w:rsidRPr="00240857" w:rsidR="00240857" w:rsidP="00DE7921" w:rsidRDefault="00240857" w14:paraId="56EEE6E5" w14:textId="30B883EA">
            <w:pPr>
              <w:spacing w:after="0" w:line="240" w:lineRule="auto"/>
              <w:rPr>
                <w:rFonts w:ascii="Times New Roman" w:hAnsi="Times New Roman"/>
                <w:sz w:val="26"/>
                <w:szCs w:val="26"/>
              </w:rPr>
            </w:pPr>
            <w:r w:rsidRPr="00212EF9">
              <w:rPr>
                <w:rFonts w:ascii="Times New Roman" w:hAnsi="Times New Roman"/>
                <w:b/>
                <w:bCs/>
                <w:sz w:val="26"/>
                <w:szCs w:val="26"/>
              </w:rPr>
              <w:t xml:space="preserve">Form </w:t>
            </w:r>
            <w:r w:rsidRPr="00240857">
              <w:rPr>
                <w:rFonts w:ascii="Times New Roman" w:hAnsi="Times New Roman"/>
                <w:b/>
                <w:bCs/>
                <w:sz w:val="26"/>
                <w:szCs w:val="26"/>
              </w:rPr>
              <w:t>N</w:t>
            </w:r>
            <w:r w:rsidRPr="00212EF9">
              <w:rPr>
                <w:rFonts w:ascii="Times New Roman" w:hAnsi="Times New Roman"/>
                <w:b/>
                <w:bCs/>
                <w:sz w:val="26"/>
                <w:szCs w:val="26"/>
              </w:rPr>
              <w:t>o. 2A</w:t>
            </w:r>
            <w:r w:rsidR="001F647D">
              <w:rPr>
                <w:rFonts w:ascii="Times New Roman" w:hAnsi="Times New Roman"/>
                <w:b/>
                <w:bCs/>
                <w:sz w:val="26"/>
                <w:szCs w:val="26"/>
              </w:rPr>
              <w:t>-representing 81 respondents</w:t>
            </w:r>
          </w:p>
        </w:tc>
      </w:tr>
      <w:tr w:rsidRPr="00DE7921" w:rsidR="00DE7921" w:rsidTr="00212EF9" w14:paraId="5E94D82C" w14:textId="77777777">
        <w:trPr>
          <w:cantSplit/>
          <w:jc w:val="center"/>
        </w:trPr>
        <w:tc>
          <w:tcPr>
            <w:tcW w:w="881" w:type="pct"/>
            <w:gridSpan w:val="2"/>
            <w:tcBorders>
              <w:top w:val="single" w:color="auto" w:sz="4" w:space="0"/>
              <w:left w:val="single" w:color="auto" w:sz="4" w:space="0"/>
              <w:bottom w:val="single" w:color="auto" w:sz="4" w:space="0"/>
              <w:right w:val="single" w:color="auto" w:sz="4" w:space="0"/>
            </w:tcBorders>
            <w:hideMark/>
          </w:tcPr>
          <w:p w:rsidRPr="00DE7921" w:rsidR="00DE7921" w:rsidP="00DE7921" w:rsidRDefault="00670B7B" w14:paraId="05641C75" w14:textId="3FC355A5">
            <w:pPr>
              <w:spacing w:after="0" w:line="240" w:lineRule="auto"/>
              <w:rPr>
                <w:rFonts w:ascii="Times New Roman" w:hAnsi="Times New Roman"/>
                <w:sz w:val="26"/>
                <w:szCs w:val="26"/>
              </w:rPr>
            </w:pPr>
            <w:r>
              <w:rPr>
                <w:rFonts w:ascii="Times New Roman" w:hAnsi="Times New Roman"/>
                <w:sz w:val="26"/>
                <w:szCs w:val="26"/>
              </w:rPr>
              <w:t>Burden to Comply with Filing Requirement</w:t>
            </w:r>
          </w:p>
        </w:tc>
        <w:tc>
          <w:tcPr>
            <w:tcW w:w="599" w:type="pct"/>
            <w:tcBorders>
              <w:top w:val="single" w:color="auto" w:sz="4" w:space="0"/>
              <w:left w:val="single" w:color="auto" w:sz="4" w:space="0"/>
              <w:bottom w:val="single" w:color="auto" w:sz="4" w:space="0"/>
              <w:right w:val="single" w:color="auto" w:sz="4" w:space="0"/>
            </w:tcBorders>
            <w:vAlign w:val="bottom"/>
            <w:hideMark/>
          </w:tcPr>
          <w:p w:rsidRPr="00DE7921" w:rsidR="00DE7921" w:rsidP="00212EF9" w:rsidRDefault="00AC69D4" w14:paraId="6CA45C70" w14:textId="43B9771B">
            <w:pPr>
              <w:spacing w:after="0" w:line="240" w:lineRule="auto"/>
              <w:jc w:val="right"/>
              <w:rPr>
                <w:rFonts w:ascii="Times New Roman" w:hAnsi="Times New Roman"/>
                <w:sz w:val="26"/>
                <w:szCs w:val="26"/>
              </w:rPr>
            </w:pPr>
            <w:r>
              <w:rPr>
                <w:rFonts w:ascii="Times New Roman" w:hAnsi="Times New Roman"/>
                <w:sz w:val="26"/>
                <w:szCs w:val="26"/>
              </w:rPr>
              <w:t>81</w:t>
            </w:r>
          </w:p>
        </w:tc>
        <w:tc>
          <w:tcPr>
            <w:tcW w:w="648" w:type="pct"/>
            <w:tcBorders>
              <w:top w:val="single" w:color="auto" w:sz="4" w:space="0"/>
              <w:left w:val="single" w:color="auto" w:sz="4" w:space="0"/>
              <w:bottom w:val="single" w:color="auto" w:sz="4" w:space="0"/>
              <w:right w:val="single" w:color="auto" w:sz="4" w:space="0"/>
            </w:tcBorders>
            <w:vAlign w:val="bottom"/>
            <w:hideMark/>
          </w:tcPr>
          <w:p w:rsidRPr="00DE7921" w:rsidR="00DE7921" w:rsidP="00212EF9" w:rsidRDefault="00DE7921" w14:paraId="787B2DC5" w14:textId="77777777">
            <w:pPr>
              <w:spacing w:after="0" w:line="240" w:lineRule="auto"/>
              <w:jc w:val="right"/>
              <w:rPr>
                <w:rFonts w:ascii="Times New Roman" w:hAnsi="Times New Roman"/>
                <w:sz w:val="26"/>
                <w:szCs w:val="26"/>
              </w:rPr>
            </w:pPr>
            <w:r w:rsidRPr="00DE7921">
              <w:rPr>
                <w:rFonts w:ascii="Times New Roman" w:hAnsi="Times New Roman"/>
                <w:sz w:val="26"/>
                <w:szCs w:val="26"/>
              </w:rPr>
              <w:t>1</w:t>
            </w:r>
          </w:p>
        </w:tc>
        <w:tc>
          <w:tcPr>
            <w:tcW w:w="755" w:type="pct"/>
            <w:tcBorders>
              <w:top w:val="single" w:color="auto" w:sz="4" w:space="0"/>
              <w:left w:val="single" w:color="auto" w:sz="4" w:space="0"/>
              <w:bottom w:val="single" w:color="auto" w:sz="4" w:space="0"/>
              <w:right w:val="single" w:color="auto" w:sz="4" w:space="0"/>
            </w:tcBorders>
            <w:vAlign w:val="bottom"/>
            <w:hideMark/>
          </w:tcPr>
          <w:p w:rsidRPr="00DE7921" w:rsidR="00DE7921" w:rsidP="00212EF9" w:rsidRDefault="00DE7921" w14:paraId="2897CCCA" w14:textId="77777777">
            <w:pPr>
              <w:spacing w:after="0" w:line="240" w:lineRule="auto"/>
              <w:jc w:val="right"/>
              <w:rPr>
                <w:rFonts w:ascii="Times New Roman" w:hAnsi="Times New Roman"/>
                <w:sz w:val="26"/>
                <w:szCs w:val="26"/>
              </w:rPr>
            </w:pPr>
            <w:r w:rsidRPr="00DE7921">
              <w:rPr>
                <w:rFonts w:ascii="Times New Roman" w:hAnsi="Times New Roman"/>
                <w:sz w:val="26"/>
                <w:szCs w:val="26"/>
              </w:rPr>
              <w:t>81</w:t>
            </w:r>
          </w:p>
        </w:tc>
        <w:tc>
          <w:tcPr>
            <w:tcW w:w="648" w:type="pct"/>
            <w:tcBorders>
              <w:top w:val="single" w:color="auto" w:sz="4" w:space="0"/>
              <w:left w:val="single" w:color="auto" w:sz="4" w:space="0"/>
              <w:bottom w:val="single" w:color="auto" w:sz="4" w:space="0"/>
              <w:right w:val="single" w:color="auto" w:sz="4" w:space="0"/>
            </w:tcBorders>
            <w:vAlign w:val="bottom"/>
            <w:hideMark/>
          </w:tcPr>
          <w:p w:rsidRPr="00DE7921" w:rsidR="00DE7921" w:rsidP="00212EF9" w:rsidRDefault="00DE7921" w14:paraId="62981C59" w14:textId="77777777">
            <w:pPr>
              <w:spacing w:after="0" w:line="240" w:lineRule="auto"/>
              <w:jc w:val="right"/>
              <w:rPr>
                <w:rFonts w:ascii="Times New Roman" w:hAnsi="Times New Roman"/>
                <w:sz w:val="26"/>
                <w:szCs w:val="26"/>
              </w:rPr>
            </w:pPr>
            <w:r w:rsidRPr="00DE7921">
              <w:rPr>
                <w:rFonts w:ascii="Times New Roman" w:hAnsi="Times New Roman"/>
                <w:sz w:val="26"/>
                <w:szCs w:val="26"/>
              </w:rPr>
              <w:t>296 hrs.; $23,680</w:t>
            </w:r>
          </w:p>
        </w:tc>
        <w:tc>
          <w:tcPr>
            <w:tcW w:w="834" w:type="pct"/>
            <w:tcBorders>
              <w:top w:val="single" w:color="auto" w:sz="4" w:space="0"/>
              <w:left w:val="single" w:color="auto" w:sz="4" w:space="0"/>
              <w:bottom w:val="single" w:color="auto" w:sz="4" w:space="0"/>
              <w:right w:val="single" w:color="auto" w:sz="4" w:space="0"/>
            </w:tcBorders>
            <w:vAlign w:val="bottom"/>
            <w:hideMark/>
          </w:tcPr>
          <w:p w:rsidRPr="00DE7921" w:rsidR="00DE7921" w:rsidP="00212EF9" w:rsidRDefault="00DE7921" w14:paraId="008480AA" w14:textId="77777777">
            <w:pPr>
              <w:spacing w:after="0" w:line="240" w:lineRule="auto"/>
              <w:jc w:val="right"/>
              <w:rPr>
                <w:rFonts w:ascii="Times New Roman" w:hAnsi="Times New Roman"/>
                <w:sz w:val="26"/>
                <w:szCs w:val="26"/>
              </w:rPr>
            </w:pPr>
            <w:r w:rsidRPr="00DE7921">
              <w:rPr>
                <w:rFonts w:ascii="Times New Roman" w:hAnsi="Times New Roman"/>
                <w:sz w:val="26"/>
                <w:szCs w:val="26"/>
              </w:rPr>
              <w:t>23,976 hrs.; $1,918,080</w:t>
            </w:r>
          </w:p>
        </w:tc>
        <w:tc>
          <w:tcPr>
            <w:tcW w:w="635" w:type="pct"/>
            <w:tcBorders>
              <w:top w:val="single" w:color="auto" w:sz="4" w:space="0"/>
              <w:left w:val="single" w:color="auto" w:sz="4" w:space="0"/>
              <w:bottom w:val="single" w:color="auto" w:sz="4" w:space="0"/>
              <w:right w:val="single" w:color="auto" w:sz="4" w:space="0"/>
            </w:tcBorders>
            <w:vAlign w:val="bottom"/>
            <w:hideMark/>
          </w:tcPr>
          <w:p w:rsidRPr="00DE7921" w:rsidR="00DE7921" w:rsidP="00212EF9" w:rsidRDefault="00DE7921" w14:paraId="7648B6AC" w14:textId="77777777">
            <w:pPr>
              <w:spacing w:after="0" w:line="240" w:lineRule="auto"/>
              <w:jc w:val="right"/>
              <w:rPr>
                <w:rFonts w:ascii="Times New Roman" w:hAnsi="Times New Roman"/>
                <w:sz w:val="26"/>
                <w:szCs w:val="26"/>
              </w:rPr>
            </w:pPr>
            <w:r w:rsidRPr="00DE7921">
              <w:rPr>
                <w:rFonts w:ascii="Times New Roman" w:hAnsi="Times New Roman"/>
                <w:sz w:val="26"/>
                <w:szCs w:val="26"/>
              </w:rPr>
              <w:t>$23,680</w:t>
            </w:r>
          </w:p>
        </w:tc>
      </w:tr>
      <w:tr w:rsidRPr="00DE7921" w:rsidR="009761A3" w:rsidTr="00212EF9" w14:paraId="741FB463" w14:textId="77777777">
        <w:trPr>
          <w:cantSplit/>
          <w:trHeight w:val="1070"/>
          <w:jc w:val="center"/>
        </w:trPr>
        <w:tc>
          <w:tcPr>
            <w:tcW w:w="878" w:type="pct"/>
            <w:tcBorders>
              <w:top w:val="single" w:color="auto" w:sz="4" w:space="0"/>
              <w:left w:val="single" w:color="auto" w:sz="4" w:space="0"/>
              <w:bottom w:val="single" w:color="auto" w:sz="4" w:space="0"/>
              <w:right w:val="single" w:color="auto" w:sz="4" w:space="0"/>
            </w:tcBorders>
          </w:tcPr>
          <w:p w:rsidRPr="00DE7921" w:rsidR="009761A3" w:rsidP="009761A3" w:rsidRDefault="009761A3" w14:paraId="65F68DC8" w14:textId="3D1B15C9">
            <w:pPr>
              <w:spacing w:after="0" w:line="240" w:lineRule="auto"/>
              <w:rPr>
                <w:rFonts w:ascii="Times New Roman" w:hAnsi="Times New Roman"/>
                <w:sz w:val="26"/>
                <w:szCs w:val="26"/>
              </w:rPr>
            </w:pPr>
            <w:r w:rsidRPr="00212EF9">
              <w:rPr>
                <w:rFonts w:ascii="Times New Roman" w:hAnsi="Times New Roman"/>
                <w:sz w:val="26"/>
                <w:szCs w:val="26"/>
              </w:rPr>
              <w:lastRenderedPageBreak/>
              <w:t>Burden to Prepare and Submit in XBRL</w:t>
            </w:r>
            <w:r w:rsidR="003A48E3">
              <w:rPr>
                <w:rFonts w:ascii="Times New Roman" w:hAnsi="Times New Roman"/>
                <w:sz w:val="26"/>
                <w:szCs w:val="26"/>
              </w:rPr>
              <w:t xml:space="preserve"> </w:t>
            </w:r>
            <w:r w:rsidRPr="003A48E3">
              <w:rPr>
                <w:rFonts w:ascii="Times New Roman" w:hAnsi="Times New Roman"/>
                <w:sz w:val="26"/>
                <w:szCs w:val="26"/>
              </w:rPr>
              <w:t>(r</w:t>
            </w:r>
            <w:r w:rsidRPr="009761A3">
              <w:rPr>
                <w:rFonts w:ascii="Times New Roman" w:hAnsi="Times New Roman"/>
                <w:sz w:val="26"/>
                <w:szCs w:val="26"/>
              </w:rPr>
              <w:t>epresented using the same number of respondents and</w:t>
            </w:r>
            <w:r w:rsidR="000C1167">
              <w:rPr>
                <w:rFonts w:ascii="Times New Roman" w:hAnsi="Times New Roman"/>
                <w:sz w:val="26"/>
                <w:szCs w:val="26"/>
              </w:rPr>
              <w:t xml:space="preserve"> </w:t>
            </w:r>
            <w:r w:rsidRPr="009761A3">
              <w:rPr>
                <w:rFonts w:ascii="Times New Roman" w:hAnsi="Times New Roman"/>
                <w:sz w:val="26"/>
                <w:szCs w:val="26"/>
              </w:rPr>
              <w:t>responses</w:t>
            </w:r>
            <w:r w:rsidR="000C1167">
              <w:rPr>
                <w:rFonts w:ascii="Times New Roman" w:hAnsi="Times New Roman"/>
                <w:sz w:val="26"/>
                <w:szCs w:val="26"/>
              </w:rPr>
              <w:t xml:space="preserve"> </w:t>
            </w:r>
            <w:r w:rsidRPr="009761A3">
              <w:rPr>
                <w:rFonts w:ascii="Times New Roman" w:hAnsi="Times New Roman"/>
                <w:sz w:val="26"/>
                <w:szCs w:val="26"/>
              </w:rPr>
              <w:t xml:space="preserve">normally received annually) </w:t>
            </w:r>
          </w:p>
        </w:tc>
        <w:tc>
          <w:tcPr>
            <w:tcW w:w="602" w:type="pct"/>
            <w:gridSpan w:val="2"/>
            <w:tcBorders>
              <w:top w:val="single" w:color="auto" w:sz="4" w:space="0"/>
              <w:left w:val="single" w:color="auto" w:sz="4" w:space="0"/>
              <w:bottom w:val="single" w:color="auto" w:sz="4" w:space="0"/>
              <w:right w:val="single" w:color="auto" w:sz="4" w:space="0"/>
            </w:tcBorders>
            <w:vAlign w:val="bottom"/>
          </w:tcPr>
          <w:p w:rsidRPr="00DE7921" w:rsidR="009761A3" w:rsidP="00212EF9" w:rsidRDefault="009761A3" w14:paraId="3EAA2E1D" w14:textId="7B33C30F">
            <w:pPr>
              <w:spacing w:after="0" w:line="240" w:lineRule="auto"/>
              <w:jc w:val="right"/>
              <w:rPr>
                <w:rFonts w:ascii="Times New Roman" w:hAnsi="Times New Roman"/>
                <w:sz w:val="26"/>
                <w:szCs w:val="26"/>
              </w:rPr>
            </w:pPr>
            <w:r>
              <w:rPr>
                <w:rFonts w:ascii="Times New Roman" w:hAnsi="Times New Roman"/>
                <w:sz w:val="26"/>
                <w:szCs w:val="26"/>
              </w:rPr>
              <w:t>81</w:t>
            </w:r>
          </w:p>
        </w:tc>
        <w:tc>
          <w:tcPr>
            <w:tcW w:w="648" w:type="pct"/>
            <w:tcBorders>
              <w:top w:val="single" w:color="auto" w:sz="4" w:space="0"/>
              <w:left w:val="single" w:color="auto" w:sz="4" w:space="0"/>
              <w:bottom w:val="single" w:color="auto" w:sz="4" w:space="0"/>
              <w:right w:val="single" w:color="auto" w:sz="4" w:space="0"/>
            </w:tcBorders>
            <w:vAlign w:val="bottom"/>
          </w:tcPr>
          <w:p w:rsidRPr="00DE7921" w:rsidR="009761A3" w:rsidP="00212EF9" w:rsidRDefault="009761A3" w14:paraId="21B7DD10" w14:textId="2442C3CB">
            <w:pPr>
              <w:spacing w:after="0" w:line="240" w:lineRule="auto"/>
              <w:jc w:val="right"/>
              <w:rPr>
                <w:rFonts w:ascii="Times New Roman" w:hAnsi="Times New Roman"/>
                <w:sz w:val="26"/>
                <w:szCs w:val="26"/>
              </w:rPr>
            </w:pPr>
            <w:r>
              <w:rPr>
                <w:rFonts w:ascii="Times New Roman" w:hAnsi="Times New Roman"/>
                <w:sz w:val="26"/>
                <w:szCs w:val="26"/>
              </w:rPr>
              <w:t>1</w:t>
            </w:r>
          </w:p>
        </w:tc>
        <w:tc>
          <w:tcPr>
            <w:tcW w:w="755" w:type="pct"/>
            <w:tcBorders>
              <w:top w:val="single" w:color="auto" w:sz="4" w:space="0"/>
              <w:left w:val="single" w:color="auto" w:sz="4" w:space="0"/>
              <w:bottom w:val="single" w:color="auto" w:sz="4" w:space="0"/>
              <w:right w:val="single" w:color="auto" w:sz="4" w:space="0"/>
            </w:tcBorders>
            <w:vAlign w:val="bottom"/>
          </w:tcPr>
          <w:p w:rsidRPr="00DE7921" w:rsidR="009761A3" w:rsidP="00212EF9" w:rsidRDefault="009761A3" w14:paraId="4EB7CF02" w14:textId="23C3ABF4">
            <w:pPr>
              <w:spacing w:after="0" w:line="240" w:lineRule="auto"/>
              <w:jc w:val="right"/>
              <w:rPr>
                <w:rFonts w:ascii="Times New Roman" w:hAnsi="Times New Roman"/>
                <w:sz w:val="26"/>
                <w:szCs w:val="26"/>
              </w:rPr>
            </w:pPr>
            <w:r>
              <w:rPr>
                <w:rFonts w:ascii="Times New Roman" w:hAnsi="Times New Roman"/>
                <w:sz w:val="26"/>
                <w:szCs w:val="26"/>
              </w:rPr>
              <w:t>81</w:t>
            </w:r>
          </w:p>
        </w:tc>
        <w:tc>
          <w:tcPr>
            <w:tcW w:w="648" w:type="pct"/>
            <w:tcBorders>
              <w:top w:val="single" w:color="auto" w:sz="4" w:space="0"/>
              <w:left w:val="single" w:color="auto" w:sz="4" w:space="0"/>
              <w:bottom w:val="single" w:color="auto" w:sz="4" w:space="0"/>
              <w:right w:val="single" w:color="auto" w:sz="4" w:space="0"/>
            </w:tcBorders>
            <w:vAlign w:val="bottom"/>
          </w:tcPr>
          <w:p w:rsidRPr="00DE7921" w:rsidR="009761A3" w:rsidP="00212EF9" w:rsidRDefault="009761A3" w14:paraId="7C8D719D" w14:textId="6D5F0B81">
            <w:pPr>
              <w:spacing w:after="0" w:line="240" w:lineRule="auto"/>
              <w:jc w:val="right"/>
              <w:rPr>
                <w:rFonts w:ascii="Times New Roman" w:hAnsi="Times New Roman"/>
                <w:sz w:val="26"/>
                <w:szCs w:val="26"/>
              </w:rPr>
            </w:pPr>
            <w:r>
              <w:rPr>
                <w:rFonts w:ascii="Times New Roman" w:hAnsi="Times New Roman"/>
                <w:sz w:val="26"/>
                <w:szCs w:val="26"/>
              </w:rPr>
              <w:t>42.66 hrs.; $3413</w:t>
            </w:r>
          </w:p>
        </w:tc>
        <w:tc>
          <w:tcPr>
            <w:tcW w:w="834" w:type="pct"/>
            <w:tcBorders>
              <w:top w:val="single" w:color="auto" w:sz="4" w:space="0"/>
              <w:left w:val="single" w:color="auto" w:sz="4" w:space="0"/>
              <w:bottom w:val="single" w:color="auto" w:sz="4" w:space="0"/>
              <w:right w:val="single" w:color="auto" w:sz="4" w:space="0"/>
            </w:tcBorders>
            <w:vAlign w:val="bottom"/>
          </w:tcPr>
          <w:p w:rsidRPr="00DE7921" w:rsidR="009761A3" w:rsidP="00212EF9" w:rsidRDefault="00F30435" w14:paraId="594C97D5" w14:textId="7316C7A2">
            <w:pPr>
              <w:spacing w:after="0" w:line="240" w:lineRule="auto"/>
              <w:jc w:val="right"/>
              <w:rPr>
                <w:rFonts w:ascii="Times New Roman" w:hAnsi="Times New Roman"/>
                <w:sz w:val="26"/>
                <w:szCs w:val="26"/>
              </w:rPr>
            </w:pPr>
            <w:r w:rsidRPr="00212EF9">
              <w:rPr>
                <w:rFonts w:ascii="Times New Roman" w:hAnsi="Times New Roman"/>
                <w:sz w:val="26"/>
                <w:szCs w:val="26"/>
              </w:rPr>
              <w:t>3</w:t>
            </w:r>
            <w:r w:rsidRPr="00212EF9" w:rsidR="00C91BFF">
              <w:rPr>
                <w:rFonts w:ascii="Times New Roman" w:hAnsi="Times New Roman"/>
                <w:sz w:val="26"/>
                <w:szCs w:val="26"/>
              </w:rPr>
              <w:t>,</w:t>
            </w:r>
            <w:r w:rsidRPr="00212EF9">
              <w:rPr>
                <w:rFonts w:ascii="Times New Roman" w:hAnsi="Times New Roman"/>
                <w:sz w:val="26"/>
                <w:szCs w:val="26"/>
              </w:rPr>
              <w:t>455.46</w:t>
            </w:r>
            <w:r w:rsidR="009761A3">
              <w:rPr>
                <w:rFonts w:ascii="Times New Roman" w:hAnsi="Times New Roman"/>
                <w:sz w:val="26"/>
                <w:szCs w:val="26"/>
              </w:rPr>
              <w:t xml:space="preserve"> hrs.; $</w:t>
            </w:r>
            <w:r>
              <w:rPr>
                <w:rFonts w:ascii="Times New Roman" w:hAnsi="Times New Roman"/>
                <w:sz w:val="26"/>
                <w:szCs w:val="26"/>
              </w:rPr>
              <w:t>276,453</w:t>
            </w:r>
          </w:p>
        </w:tc>
        <w:tc>
          <w:tcPr>
            <w:tcW w:w="635" w:type="pct"/>
            <w:tcBorders>
              <w:top w:val="single" w:color="auto" w:sz="4" w:space="0"/>
              <w:left w:val="single" w:color="auto" w:sz="4" w:space="0"/>
              <w:bottom w:val="single" w:color="auto" w:sz="4" w:space="0"/>
              <w:right w:val="single" w:color="auto" w:sz="4" w:space="0"/>
            </w:tcBorders>
            <w:vAlign w:val="bottom"/>
          </w:tcPr>
          <w:p w:rsidRPr="00DE7921" w:rsidR="009761A3" w:rsidP="00212EF9" w:rsidRDefault="009761A3" w14:paraId="6A69B3B2" w14:textId="4BF57F52">
            <w:pPr>
              <w:spacing w:after="0" w:line="240" w:lineRule="auto"/>
              <w:jc w:val="right"/>
              <w:rPr>
                <w:rFonts w:ascii="Times New Roman" w:hAnsi="Times New Roman"/>
                <w:sz w:val="26"/>
                <w:szCs w:val="26"/>
              </w:rPr>
            </w:pPr>
            <w:r>
              <w:rPr>
                <w:rFonts w:ascii="Times New Roman" w:hAnsi="Times New Roman"/>
                <w:sz w:val="26"/>
                <w:szCs w:val="26"/>
              </w:rPr>
              <w:t>$3,413</w:t>
            </w:r>
          </w:p>
        </w:tc>
      </w:tr>
      <w:tr w:rsidRPr="00DE7921" w:rsidR="00240857" w:rsidTr="00212EF9" w14:paraId="4AEC8F82" w14:textId="77777777">
        <w:trPr>
          <w:cantSplit/>
          <w:trHeight w:val="440"/>
          <w:jc w:val="center"/>
        </w:trPr>
        <w:tc>
          <w:tcPr>
            <w:tcW w:w="881" w:type="pct"/>
            <w:gridSpan w:val="2"/>
            <w:tcBorders>
              <w:top w:val="single" w:color="auto" w:sz="4" w:space="0"/>
              <w:left w:val="single" w:color="auto" w:sz="4" w:space="0"/>
              <w:bottom w:val="single" w:color="auto" w:sz="4" w:space="0"/>
              <w:right w:val="single" w:color="auto" w:sz="4" w:space="0"/>
            </w:tcBorders>
          </w:tcPr>
          <w:p w:rsidRPr="00212EF9" w:rsidR="00240857" w:rsidP="00240857" w:rsidRDefault="00216A7C" w14:paraId="27F72B3B" w14:textId="66980603">
            <w:pPr>
              <w:spacing w:after="0" w:line="240" w:lineRule="auto"/>
              <w:rPr>
                <w:rFonts w:ascii="Times New Roman" w:hAnsi="Times New Roman"/>
                <w:b/>
                <w:bCs/>
                <w:sz w:val="26"/>
                <w:szCs w:val="26"/>
              </w:rPr>
            </w:pPr>
            <w:r>
              <w:rPr>
                <w:rFonts w:ascii="Times New Roman" w:hAnsi="Times New Roman"/>
                <w:b/>
                <w:bCs/>
                <w:sz w:val="26"/>
                <w:szCs w:val="26"/>
              </w:rPr>
              <w:t xml:space="preserve">Form No. 2-A </w:t>
            </w:r>
            <w:r w:rsidRPr="00212EF9" w:rsidR="00240857">
              <w:rPr>
                <w:rFonts w:ascii="Times New Roman" w:hAnsi="Times New Roman"/>
                <w:b/>
                <w:bCs/>
                <w:sz w:val="26"/>
                <w:szCs w:val="26"/>
              </w:rPr>
              <w:t>Total</w:t>
            </w:r>
          </w:p>
        </w:tc>
        <w:tc>
          <w:tcPr>
            <w:tcW w:w="599" w:type="pct"/>
            <w:tcBorders>
              <w:top w:val="single" w:color="auto" w:sz="4" w:space="0"/>
              <w:left w:val="single" w:color="auto" w:sz="4" w:space="0"/>
              <w:bottom w:val="single" w:color="auto" w:sz="4" w:space="0"/>
              <w:right w:val="single" w:color="auto" w:sz="4" w:space="0"/>
            </w:tcBorders>
            <w:vAlign w:val="bottom"/>
          </w:tcPr>
          <w:p w:rsidR="00240857" w:rsidP="00212EF9" w:rsidRDefault="00D664FC" w14:paraId="50423932" w14:textId="12FE5FE0">
            <w:pPr>
              <w:spacing w:after="0" w:line="240" w:lineRule="auto"/>
              <w:jc w:val="right"/>
              <w:rPr>
                <w:rFonts w:ascii="Times New Roman" w:hAnsi="Times New Roman"/>
                <w:sz w:val="26"/>
                <w:szCs w:val="26"/>
              </w:rPr>
            </w:pPr>
            <w:r>
              <w:rPr>
                <w:rFonts w:ascii="Times New Roman" w:hAnsi="Times New Roman"/>
                <w:sz w:val="26"/>
                <w:szCs w:val="26"/>
              </w:rPr>
              <w:t>81</w:t>
            </w:r>
          </w:p>
        </w:tc>
        <w:tc>
          <w:tcPr>
            <w:tcW w:w="648" w:type="pct"/>
            <w:tcBorders>
              <w:top w:val="single" w:color="auto" w:sz="4" w:space="0"/>
              <w:left w:val="single" w:color="auto" w:sz="4" w:space="0"/>
              <w:bottom w:val="single" w:color="auto" w:sz="4" w:space="0"/>
              <w:right w:val="single" w:color="auto" w:sz="4" w:space="0"/>
            </w:tcBorders>
            <w:vAlign w:val="bottom"/>
          </w:tcPr>
          <w:p w:rsidR="00240857" w:rsidP="00212EF9" w:rsidRDefault="00240857" w14:paraId="179906F0" w14:textId="3350D9DD">
            <w:pPr>
              <w:spacing w:after="0" w:line="240" w:lineRule="auto"/>
              <w:jc w:val="right"/>
              <w:rPr>
                <w:rFonts w:ascii="Times New Roman" w:hAnsi="Times New Roman"/>
                <w:sz w:val="26"/>
                <w:szCs w:val="26"/>
              </w:rPr>
            </w:pPr>
            <w:r>
              <w:rPr>
                <w:rFonts w:ascii="Times New Roman" w:hAnsi="Times New Roman"/>
                <w:sz w:val="26"/>
                <w:szCs w:val="26"/>
              </w:rPr>
              <w:t>1</w:t>
            </w:r>
          </w:p>
        </w:tc>
        <w:tc>
          <w:tcPr>
            <w:tcW w:w="755" w:type="pct"/>
            <w:tcBorders>
              <w:top w:val="single" w:color="auto" w:sz="4" w:space="0"/>
              <w:left w:val="single" w:color="auto" w:sz="4" w:space="0"/>
              <w:bottom w:val="single" w:color="auto" w:sz="4" w:space="0"/>
              <w:right w:val="single" w:color="auto" w:sz="4" w:space="0"/>
            </w:tcBorders>
            <w:vAlign w:val="bottom"/>
          </w:tcPr>
          <w:p w:rsidR="00240857" w:rsidP="00D664FC" w:rsidRDefault="00D664FC" w14:paraId="64ABDB82" w14:textId="4D26C9AA">
            <w:pPr>
              <w:spacing w:after="0" w:line="240" w:lineRule="auto"/>
              <w:jc w:val="right"/>
              <w:rPr>
                <w:rFonts w:ascii="Times New Roman" w:hAnsi="Times New Roman"/>
                <w:sz w:val="26"/>
                <w:szCs w:val="26"/>
              </w:rPr>
            </w:pPr>
            <w:r>
              <w:rPr>
                <w:rFonts w:ascii="Times New Roman" w:hAnsi="Times New Roman"/>
                <w:sz w:val="26"/>
                <w:szCs w:val="26"/>
              </w:rPr>
              <w:t>162</w:t>
            </w:r>
          </w:p>
        </w:tc>
        <w:tc>
          <w:tcPr>
            <w:tcW w:w="648" w:type="pct"/>
            <w:tcBorders>
              <w:top w:val="single" w:color="auto" w:sz="4" w:space="0"/>
              <w:left w:val="single" w:color="auto" w:sz="4" w:space="0"/>
              <w:bottom w:val="single" w:color="auto" w:sz="4" w:space="0"/>
              <w:right w:val="single" w:color="auto" w:sz="4" w:space="0"/>
            </w:tcBorders>
            <w:vAlign w:val="bottom"/>
          </w:tcPr>
          <w:p w:rsidR="00240857" w:rsidP="00212EF9" w:rsidRDefault="007E7910" w14:paraId="3010FE84" w14:textId="2DDBE3FB">
            <w:pPr>
              <w:spacing w:after="0" w:line="240" w:lineRule="auto"/>
              <w:jc w:val="right"/>
              <w:rPr>
                <w:rFonts w:ascii="Times New Roman" w:hAnsi="Times New Roman"/>
                <w:sz w:val="26"/>
                <w:szCs w:val="26"/>
              </w:rPr>
            </w:pPr>
            <w:r>
              <w:rPr>
                <w:rFonts w:ascii="Times New Roman" w:hAnsi="Times New Roman"/>
                <w:sz w:val="26"/>
                <w:szCs w:val="26"/>
              </w:rPr>
              <w:t>338.66 hrs.; $27,093</w:t>
            </w:r>
          </w:p>
        </w:tc>
        <w:tc>
          <w:tcPr>
            <w:tcW w:w="834" w:type="pct"/>
            <w:tcBorders>
              <w:top w:val="single" w:color="auto" w:sz="4" w:space="0"/>
              <w:left w:val="single" w:color="auto" w:sz="4" w:space="0"/>
              <w:bottom w:val="single" w:color="auto" w:sz="4" w:space="0"/>
              <w:right w:val="single" w:color="auto" w:sz="4" w:space="0"/>
            </w:tcBorders>
            <w:vAlign w:val="bottom"/>
          </w:tcPr>
          <w:p w:rsidR="00240857" w:rsidP="00212EF9" w:rsidRDefault="00F30435" w14:paraId="1700E433" w14:textId="148E2C16">
            <w:pPr>
              <w:spacing w:after="0" w:line="240" w:lineRule="auto"/>
              <w:jc w:val="right"/>
              <w:rPr>
                <w:rFonts w:ascii="Times New Roman" w:hAnsi="Times New Roman"/>
                <w:sz w:val="26"/>
                <w:szCs w:val="26"/>
              </w:rPr>
            </w:pPr>
            <w:r>
              <w:rPr>
                <w:rFonts w:ascii="Times New Roman" w:hAnsi="Times New Roman"/>
                <w:sz w:val="26"/>
                <w:szCs w:val="26"/>
              </w:rPr>
              <w:t xml:space="preserve">27,431.46 </w:t>
            </w:r>
            <w:r w:rsidR="007E7910">
              <w:rPr>
                <w:rFonts w:ascii="Times New Roman" w:hAnsi="Times New Roman"/>
                <w:sz w:val="26"/>
                <w:szCs w:val="26"/>
              </w:rPr>
              <w:t>hrs.; $</w:t>
            </w:r>
            <w:r>
              <w:rPr>
                <w:rFonts w:ascii="Times New Roman" w:hAnsi="Times New Roman"/>
                <w:sz w:val="26"/>
                <w:szCs w:val="26"/>
              </w:rPr>
              <w:t>2,194, 533</w:t>
            </w:r>
          </w:p>
        </w:tc>
        <w:tc>
          <w:tcPr>
            <w:tcW w:w="635" w:type="pct"/>
            <w:tcBorders>
              <w:top w:val="single" w:color="auto" w:sz="4" w:space="0"/>
              <w:left w:val="single" w:color="auto" w:sz="4" w:space="0"/>
              <w:bottom w:val="single" w:color="auto" w:sz="4" w:space="0"/>
              <w:right w:val="single" w:color="auto" w:sz="4" w:space="0"/>
            </w:tcBorders>
            <w:vAlign w:val="bottom"/>
          </w:tcPr>
          <w:p w:rsidR="00240857" w:rsidDel="00D44DF1" w:rsidP="00212EF9" w:rsidRDefault="007E7910" w14:paraId="183F2EA1" w14:textId="72CC0E4D">
            <w:pPr>
              <w:spacing w:after="0" w:line="240" w:lineRule="auto"/>
              <w:jc w:val="right"/>
              <w:rPr>
                <w:rFonts w:ascii="Times New Roman" w:hAnsi="Times New Roman"/>
                <w:sz w:val="26"/>
                <w:szCs w:val="26"/>
              </w:rPr>
            </w:pPr>
            <w:r>
              <w:rPr>
                <w:rFonts w:ascii="Times New Roman" w:hAnsi="Times New Roman"/>
                <w:sz w:val="26"/>
                <w:szCs w:val="26"/>
              </w:rPr>
              <w:t>$27,093</w:t>
            </w:r>
          </w:p>
        </w:tc>
      </w:tr>
    </w:tbl>
    <w:p w:rsidRPr="00E9060E" w:rsidR="009E3BA7" w:rsidP="00BD0F89" w:rsidRDefault="009E3BA7" w14:paraId="568EAB31" w14:textId="77777777">
      <w:pPr>
        <w:spacing w:after="0" w:line="240" w:lineRule="auto"/>
        <w:rPr>
          <w:rFonts w:ascii="Times New Roman" w:hAnsi="Times New Roman"/>
          <w:sz w:val="26"/>
          <w:szCs w:val="26"/>
        </w:rPr>
      </w:pPr>
    </w:p>
    <w:p w:rsidR="00500691" w:rsidP="00B3415C" w:rsidRDefault="00500691" w14:paraId="5FA92A64" w14:textId="33CE3226">
      <w:pPr>
        <w:rPr>
          <w:rFonts w:ascii="Times New Roman" w:hAnsi="Times New Roman"/>
          <w:sz w:val="26"/>
          <w:szCs w:val="26"/>
        </w:rPr>
      </w:pPr>
      <w:r>
        <w:rPr>
          <w:rFonts w:ascii="Times New Roman" w:hAnsi="Times New Roman"/>
          <w:sz w:val="26"/>
          <w:szCs w:val="26"/>
        </w:rPr>
        <w:t>Totals:</w:t>
      </w:r>
    </w:p>
    <w:p w:rsidR="00500691" w:rsidP="00500691" w:rsidRDefault="00500691" w14:paraId="35105F11" w14:textId="1658629D">
      <w:pPr>
        <w:pStyle w:val="ListParagraph"/>
        <w:numPr>
          <w:ilvl w:val="0"/>
          <w:numId w:val="36"/>
        </w:numPr>
        <w:rPr>
          <w:rFonts w:ascii="Times New Roman" w:hAnsi="Times New Roman"/>
          <w:sz w:val="26"/>
          <w:szCs w:val="26"/>
        </w:rPr>
      </w:pPr>
      <w:r>
        <w:rPr>
          <w:rFonts w:ascii="Times New Roman" w:hAnsi="Times New Roman"/>
          <w:sz w:val="26"/>
          <w:szCs w:val="26"/>
        </w:rPr>
        <w:t>The number of annual responses related to the FERC Form Nos. 2 and 2-A is 181 responses.</w:t>
      </w:r>
    </w:p>
    <w:p w:rsidR="00500691" w:rsidP="00500691" w:rsidRDefault="00500691" w14:paraId="57CBEFB5" w14:textId="0866B174">
      <w:pPr>
        <w:pStyle w:val="ListParagraph"/>
        <w:numPr>
          <w:ilvl w:val="0"/>
          <w:numId w:val="36"/>
        </w:numPr>
        <w:rPr>
          <w:rFonts w:ascii="Times New Roman" w:hAnsi="Times New Roman"/>
          <w:sz w:val="26"/>
          <w:szCs w:val="26"/>
        </w:rPr>
      </w:pPr>
      <w:r>
        <w:rPr>
          <w:rFonts w:ascii="Times New Roman" w:hAnsi="Times New Roman"/>
          <w:sz w:val="26"/>
          <w:szCs w:val="26"/>
        </w:rPr>
        <w:t xml:space="preserve">The </w:t>
      </w:r>
      <w:r w:rsidR="00DB7245">
        <w:rPr>
          <w:rFonts w:ascii="Times New Roman" w:hAnsi="Times New Roman"/>
          <w:sz w:val="26"/>
          <w:szCs w:val="26"/>
        </w:rPr>
        <w:t xml:space="preserve">total industry </w:t>
      </w:r>
      <w:r>
        <w:rPr>
          <w:rFonts w:ascii="Times New Roman" w:hAnsi="Times New Roman"/>
          <w:sz w:val="26"/>
          <w:szCs w:val="26"/>
        </w:rPr>
        <w:t>burden of complying with the filing requirement is</w:t>
      </w:r>
      <w:r w:rsidR="00450F91">
        <w:rPr>
          <w:rFonts w:ascii="Times New Roman" w:hAnsi="Times New Roman"/>
          <w:sz w:val="26"/>
          <w:szCs w:val="26"/>
        </w:rPr>
        <w:t xml:space="preserve"> 167,16</w:t>
      </w:r>
      <w:r w:rsidR="007F5DB1">
        <w:rPr>
          <w:rFonts w:ascii="Times New Roman" w:hAnsi="Times New Roman"/>
          <w:sz w:val="26"/>
          <w:szCs w:val="26"/>
        </w:rPr>
        <w:t xml:space="preserve">7 </w:t>
      </w:r>
      <w:r w:rsidR="00450F91">
        <w:rPr>
          <w:rFonts w:ascii="Times New Roman" w:hAnsi="Times New Roman"/>
          <w:sz w:val="26"/>
          <w:szCs w:val="26"/>
        </w:rPr>
        <w:t>hours</w:t>
      </w:r>
      <w:r w:rsidR="00F30435">
        <w:rPr>
          <w:rFonts w:ascii="Times New Roman" w:hAnsi="Times New Roman"/>
          <w:sz w:val="26"/>
          <w:szCs w:val="26"/>
        </w:rPr>
        <w:t xml:space="preserve"> </w:t>
      </w:r>
      <w:r w:rsidR="007F5DB1">
        <w:rPr>
          <w:rFonts w:ascii="Times New Roman" w:hAnsi="Times New Roman"/>
          <w:sz w:val="26"/>
          <w:szCs w:val="26"/>
        </w:rPr>
        <w:t>(rounded)</w:t>
      </w:r>
      <w:r w:rsidR="00450F91">
        <w:rPr>
          <w:rFonts w:ascii="Times New Roman" w:hAnsi="Times New Roman"/>
          <w:sz w:val="26"/>
          <w:szCs w:val="26"/>
        </w:rPr>
        <w:t xml:space="preserve"> for FERC Form No. 2 and 23,976 hours for FERC Form No. 2-A.</w:t>
      </w:r>
    </w:p>
    <w:p w:rsidRPr="00212EF9" w:rsidR="00450F91" w:rsidP="00212EF9" w:rsidRDefault="00450F91" w14:paraId="0C6611D8" w14:textId="6247D28C">
      <w:pPr>
        <w:pStyle w:val="ListParagraph"/>
        <w:numPr>
          <w:ilvl w:val="0"/>
          <w:numId w:val="36"/>
        </w:numPr>
        <w:rPr>
          <w:rFonts w:ascii="Times New Roman" w:hAnsi="Times New Roman"/>
          <w:sz w:val="26"/>
          <w:szCs w:val="26"/>
        </w:rPr>
      </w:pPr>
      <w:r>
        <w:rPr>
          <w:rFonts w:ascii="Times New Roman" w:hAnsi="Times New Roman"/>
          <w:sz w:val="26"/>
          <w:szCs w:val="26"/>
        </w:rPr>
        <w:t xml:space="preserve">The </w:t>
      </w:r>
      <w:r w:rsidR="00DB7245">
        <w:rPr>
          <w:rFonts w:ascii="Times New Roman" w:hAnsi="Times New Roman"/>
          <w:sz w:val="26"/>
          <w:szCs w:val="26"/>
        </w:rPr>
        <w:t xml:space="preserve">total industry </w:t>
      </w:r>
      <w:r>
        <w:rPr>
          <w:rFonts w:ascii="Times New Roman" w:hAnsi="Times New Roman"/>
          <w:sz w:val="26"/>
          <w:szCs w:val="26"/>
        </w:rPr>
        <w:t xml:space="preserve">burden of preparing and submitting in XBRL </w:t>
      </w:r>
      <w:r w:rsidR="007F5DB1">
        <w:rPr>
          <w:rFonts w:ascii="Times New Roman" w:hAnsi="Times New Roman"/>
          <w:sz w:val="26"/>
          <w:szCs w:val="26"/>
        </w:rPr>
        <w:t>carried over from RM19-12 (approve</w:t>
      </w:r>
      <w:r w:rsidR="00F30435">
        <w:rPr>
          <w:rFonts w:ascii="Times New Roman" w:hAnsi="Times New Roman"/>
          <w:sz w:val="26"/>
          <w:szCs w:val="26"/>
        </w:rPr>
        <w:t>d</w:t>
      </w:r>
      <w:r w:rsidR="007F5DB1">
        <w:rPr>
          <w:rFonts w:ascii="Times New Roman" w:hAnsi="Times New Roman"/>
          <w:sz w:val="26"/>
          <w:szCs w:val="26"/>
        </w:rPr>
        <w:t xml:space="preserve"> 9/2019) 100 hours per form for the first year and plus 14 hours per form for the remaining </w:t>
      </w:r>
      <w:r w:rsidR="007E7910">
        <w:rPr>
          <w:rFonts w:ascii="Times New Roman" w:hAnsi="Times New Roman"/>
          <w:sz w:val="26"/>
          <w:szCs w:val="26"/>
        </w:rPr>
        <w:t>2 years (100 +14+14=128; 128</w:t>
      </w:r>
      <w:r w:rsidR="00CC3601">
        <w:rPr>
          <w:rFonts w:ascii="Times New Roman" w:hAnsi="Times New Roman"/>
          <w:sz w:val="26"/>
          <w:szCs w:val="26"/>
        </w:rPr>
        <w:t xml:space="preserve"> hrs.</w:t>
      </w:r>
      <w:r w:rsidR="007E7910">
        <w:rPr>
          <w:rFonts w:ascii="Times New Roman" w:hAnsi="Times New Roman"/>
          <w:sz w:val="26"/>
          <w:szCs w:val="26"/>
        </w:rPr>
        <w:t>/3</w:t>
      </w:r>
      <w:r w:rsidR="00CC3601">
        <w:rPr>
          <w:rFonts w:ascii="Times New Roman" w:hAnsi="Times New Roman"/>
          <w:sz w:val="26"/>
          <w:szCs w:val="26"/>
        </w:rPr>
        <w:t xml:space="preserve"> </w:t>
      </w:r>
      <w:r w:rsidR="007E7910">
        <w:rPr>
          <w:rFonts w:ascii="Times New Roman" w:hAnsi="Times New Roman"/>
          <w:sz w:val="26"/>
          <w:szCs w:val="26"/>
        </w:rPr>
        <w:t>yrs</w:t>
      </w:r>
      <w:r w:rsidR="00CC3601">
        <w:rPr>
          <w:rFonts w:ascii="Times New Roman" w:hAnsi="Times New Roman"/>
          <w:sz w:val="26"/>
          <w:szCs w:val="26"/>
        </w:rPr>
        <w:t>.</w:t>
      </w:r>
      <w:r w:rsidR="007E7910">
        <w:rPr>
          <w:rFonts w:ascii="Times New Roman" w:hAnsi="Times New Roman"/>
          <w:sz w:val="26"/>
          <w:szCs w:val="26"/>
        </w:rPr>
        <w:t xml:space="preserve"> = 42.66</w:t>
      </w:r>
      <w:r w:rsidR="00CC3601">
        <w:rPr>
          <w:rFonts w:ascii="Times New Roman" w:hAnsi="Times New Roman"/>
          <w:sz w:val="26"/>
          <w:szCs w:val="26"/>
        </w:rPr>
        <w:t xml:space="preserve"> hrs.</w:t>
      </w:r>
      <w:r w:rsidR="007E7910">
        <w:rPr>
          <w:rFonts w:ascii="Times New Roman" w:hAnsi="Times New Roman"/>
          <w:sz w:val="26"/>
          <w:szCs w:val="26"/>
        </w:rPr>
        <w:t xml:space="preserve">) </w:t>
      </w:r>
      <w:r w:rsidRPr="00450F91">
        <w:rPr>
          <w:rFonts w:ascii="Times New Roman" w:hAnsi="Times New Roman"/>
          <w:sz w:val="26"/>
          <w:szCs w:val="26"/>
        </w:rPr>
        <w:t>is 4</w:t>
      </w:r>
      <w:r w:rsidR="00CC3601">
        <w:rPr>
          <w:rFonts w:ascii="Times New Roman" w:hAnsi="Times New Roman"/>
          <w:sz w:val="26"/>
          <w:szCs w:val="26"/>
        </w:rPr>
        <w:t>,</w:t>
      </w:r>
      <w:r w:rsidRPr="00450F91">
        <w:rPr>
          <w:rFonts w:ascii="Times New Roman" w:hAnsi="Times New Roman"/>
          <w:sz w:val="26"/>
          <w:szCs w:val="26"/>
        </w:rPr>
        <w:t>2</w:t>
      </w:r>
      <w:r w:rsidR="007F5DB1">
        <w:rPr>
          <w:rFonts w:ascii="Times New Roman" w:hAnsi="Times New Roman"/>
          <w:sz w:val="26"/>
          <w:szCs w:val="26"/>
        </w:rPr>
        <w:t>66</w:t>
      </w:r>
      <w:r w:rsidRPr="00450F91">
        <w:rPr>
          <w:rFonts w:ascii="Times New Roman" w:hAnsi="Times New Roman"/>
          <w:sz w:val="26"/>
          <w:szCs w:val="26"/>
        </w:rPr>
        <w:t xml:space="preserve"> hours </w:t>
      </w:r>
      <w:r>
        <w:rPr>
          <w:rFonts w:ascii="Times New Roman" w:hAnsi="Times New Roman"/>
          <w:sz w:val="26"/>
          <w:szCs w:val="26"/>
        </w:rPr>
        <w:t xml:space="preserve">for FERC Form No. 2 and </w:t>
      </w:r>
      <w:r w:rsidR="00C91BFF">
        <w:rPr>
          <w:rFonts w:ascii="Times New Roman" w:hAnsi="Times New Roman"/>
          <w:sz w:val="26"/>
          <w:szCs w:val="26"/>
        </w:rPr>
        <w:t>3,455.46</w:t>
      </w:r>
      <w:r>
        <w:rPr>
          <w:rFonts w:ascii="Times New Roman" w:hAnsi="Times New Roman"/>
          <w:sz w:val="26"/>
          <w:szCs w:val="26"/>
        </w:rPr>
        <w:t xml:space="preserve"> hours for FERC Form No. 2-A.</w:t>
      </w:r>
    </w:p>
    <w:p w:rsidR="00500691" w:rsidRDefault="00500691" w14:paraId="0E04866C" w14:textId="5A1E0F37">
      <w:pPr>
        <w:spacing w:after="0" w:line="240" w:lineRule="auto"/>
        <w:rPr>
          <w:rFonts w:ascii="Times New Roman" w:hAnsi="Times New Roman"/>
          <w:sz w:val="26"/>
          <w:szCs w:val="26"/>
        </w:rPr>
      </w:pPr>
    </w:p>
    <w:p w:rsidRPr="00E9060E" w:rsidR="00974AFC" w:rsidP="00212EF9" w:rsidRDefault="00974AFC" w14:paraId="09148C17" w14:textId="77777777">
      <w:pPr>
        <w:rPr>
          <w:rFonts w:ascii="Times New Roman" w:hAnsi="Times New Roman"/>
          <w:b/>
          <w:sz w:val="26"/>
          <w:szCs w:val="26"/>
        </w:rPr>
      </w:pPr>
      <w:r w:rsidRPr="00E9060E">
        <w:rPr>
          <w:rFonts w:ascii="Times New Roman" w:hAnsi="Times New Roman"/>
          <w:b/>
          <w:sz w:val="26"/>
          <w:szCs w:val="26"/>
        </w:rPr>
        <w:t>13.</w:t>
      </w:r>
      <w:r w:rsidRPr="00E9060E" w:rsidR="00BF3095">
        <w:rPr>
          <w:rFonts w:ascii="Times New Roman" w:hAnsi="Times New Roman"/>
          <w:b/>
          <w:sz w:val="26"/>
          <w:szCs w:val="26"/>
        </w:rPr>
        <w:t xml:space="preserve">   ESTIMATE OF THE TOTAL ANNUAL COST BURDEN TO </w:t>
      </w:r>
      <w:r w:rsidRPr="00E9060E" w:rsidR="00F1537F">
        <w:rPr>
          <w:rFonts w:ascii="Times New Roman" w:hAnsi="Times New Roman"/>
          <w:b/>
          <w:sz w:val="26"/>
          <w:szCs w:val="26"/>
        </w:rPr>
        <w:t>RESPONDENTS</w:t>
      </w:r>
      <w:r w:rsidRPr="00E9060E" w:rsidR="00BF3095">
        <w:rPr>
          <w:rFonts w:ascii="Times New Roman" w:hAnsi="Times New Roman"/>
          <w:b/>
          <w:sz w:val="26"/>
          <w:szCs w:val="26"/>
        </w:rPr>
        <w:t xml:space="preserve"> </w:t>
      </w:r>
    </w:p>
    <w:p w:rsidR="00974AFC" w:rsidP="00212EF9" w:rsidRDefault="000C2190" w14:paraId="744F03A0" w14:textId="6B7E00B4">
      <w:pPr>
        <w:spacing w:after="0" w:line="240" w:lineRule="auto"/>
        <w:ind w:firstLine="720"/>
        <w:rPr>
          <w:rFonts w:ascii="Times New Roman" w:hAnsi="Times New Roman"/>
          <w:sz w:val="26"/>
          <w:szCs w:val="26"/>
        </w:rPr>
      </w:pPr>
      <w:r>
        <w:rPr>
          <w:rFonts w:ascii="Times New Roman" w:hAnsi="Times New Roman"/>
          <w:sz w:val="26"/>
          <w:szCs w:val="26"/>
        </w:rPr>
        <w:t>I</w:t>
      </w:r>
      <w:r w:rsidR="00DB7245">
        <w:rPr>
          <w:rFonts w:ascii="Times New Roman" w:hAnsi="Times New Roman"/>
          <w:sz w:val="26"/>
          <w:szCs w:val="26"/>
        </w:rPr>
        <w:t>n RM19-12-000, the burden to prepare and submit in XBRL included the following out-of-pocket expenses:</w:t>
      </w:r>
    </w:p>
    <w:p w:rsidR="00DB7245" w:rsidP="00BD0F89" w:rsidRDefault="00DB7245" w14:paraId="18FFEB0D" w14:textId="02A66595">
      <w:pPr>
        <w:spacing w:after="0" w:line="240" w:lineRule="auto"/>
        <w:rPr>
          <w:rFonts w:ascii="Times New Roman" w:hAnsi="Times New Roman"/>
          <w:sz w:val="26"/>
          <w:szCs w:val="26"/>
        </w:rPr>
      </w:pPr>
    </w:p>
    <w:p w:rsidR="00DB7245" w:rsidP="00BD0F89" w:rsidRDefault="00DB7245" w14:paraId="4493BA67" w14:textId="025AF921">
      <w:pPr>
        <w:spacing w:after="0" w:line="240" w:lineRule="auto"/>
        <w:rPr>
          <w:rFonts w:ascii="Times New Roman" w:hAnsi="Times New Roman"/>
          <w:sz w:val="26"/>
          <w:szCs w:val="26"/>
        </w:rPr>
      </w:pPr>
      <w:r w:rsidRPr="00DB7245">
        <w:rPr>
          <w:rFonts w:ascii="Times New Roman" w:hAnsi="Times New Roman"/>
          <w:sz w:val="26"/>
          <w:szCs w:val="26"/>
        </w:rPr>
        <w:t xml:space="preserve">Year 1: Due to the relatively recent development of the XBRL technology, its fairly limited implementation at other agencies, and the substantial differences in the data collected among agencies and corresponding final code to implement XBRL-based reporting systems, the Commission does not have sufficient data to specifically quantify </w:t>
      </w:r>
      <w:r w:rsidRPr="00DB7245">
        <w:rPr>
          <w:rFonts w:ascii="Times New Roman" w:hAnsi="Times New Roman"/>
          <w:sz w:val="26"/>
          <w:szCs w:val="26"/>
        </w:rPr>
        <w:lastRenderedPageBreak/>
        <w:t xml:space="preserve">the out of pocket expenses in Year 1.  Further, the complexity of each filer’s current reporting system and the individual methods chosen for tagging data may vary considerably by filer, making estimates for out of pocket costs difficult to calculate for implementing XBRL in Year 1.  Thus, the estimates for the cost of implementation are reflected in the Year 1 burden hours </w:t>
      </w:r>
      <w:r w:rsidR="00D55068">
        <w:rPr>
          <w:rFonts w:ascii="Times New Roman" w:hAnsi="Times New Roman"/>
          <w:sz w:val="26"/>
          <w:szCs w:val="26"/>
        </w:rPr>
        <w:t xml:space="preserve">and cost </w:t>
      </w:r>
      <w:r w:rsidRPr="00DB7245">
        <w:rPr>
          <w:rFonts w:ascii="Times New Roman" w:hAnsi="Times New Roman"/>
          <w:sz w:val="26"/>
          <w:szCs w:val="26"/>
        </w:rPr>
        <w:t>estimate</w:t>
      </w:r>
      <w:r w:rsidR="00D55068">
        <w:rPr>
          <w:rFonts w:ascii="Times New Roman" w:hAnsi="Times New Roman"/>
          <w:sz w:val="26"/>
          <w:szCs w:val="26"/>
        </w:rPr>
        <w:t>s</w:t>
      </w:r>
      <w:r w:rsidRPr="00DB7245">
        <w:rPr>
          <w:rFonts w:ascii="Times New Roman" w:hAnsi="Times New Roman"/>
          <w:sz w:val="26"/>
          <w:szCs w:val="26"/>
        </w:rPr>
        <w:t xml:space="preserve"> for each form</w:t>
      </w:r>
      <w:r w:rsidR="00D55068">
        <w:rPr>
          <w:rFonts w:ascii="Times New Roman" w:hAnsi="Times New Roman"/>
          <w:sz w:val="26"/>
          <w:szCs w:val="26"/>
        </w:rPr>
        <w:t>, as described in #12</w:t>
      </w:r>
      <w:r w:rsidRPr="00DB7245">
        <w:rPr>
          <w:rFonts w:ascii="Times New Roman" w:hAnsi="Times New Roman"/>
          <w:sz w:val="26"/>
          <w:szCs w:val="26"/>
        </w:rPr>
        <w:t>.</w:t>
      </w:r>
    </w:p>
    <w:p w:rsidRPr="00E9060E" w:rsidR="00DB7245" w:rsidP="00BD0F89" w:rsidRDefault="00DB7245" w14:paraId="0675B94B" w14:textId="77777777">
      <w:pPr>
        <w:spacing w:after="0" w:line="240" w:lineRule="auto"/>
        <w:rPr>
          <w:rFonts w:ascii="Times New Roman" w:hAnsi="Times New Roman"/>
          <w:sz w:val="26"/>
          <w:szCs w:val="26"/>
        </w:rPr>
      </w:pPr>
    </w:p>
    <w:p w:rsidRPr="00DB7245" w:rsidR="00DB7245" w:rsidP="00DB7245" w:rsidRDefault="00DB7245" w14:paraId="4A6913FD" w14:textId="65F6AAE0">
      <w:pPr>
        <w:spacing w:after="0" w:line="240" w:lineRule="auto"/>
        <w:rPr>
          <w:rFonts w:ascii="Times New Roman" w:hAnsi="Times New Roman" w:eastAsiaTheme="minorHAnsi"/>
          <w:sz w:val="26"/>
          <w:szCs w:val="26"/>
        </w:rPr>
      </w:pPr>
      <w:r w:rsidRPr="00DB7245">
        <w:rPr>
          <w:rFonts w:ascii="Times New Roman" w:hAnsi="Times New Roman" w:eastAsiaTheme="minorHAnsi"/>
          <w:sz w:val="26"/>
          <w:szCs w:val="26"/>
        </w:rPr>
        <w:t>In Years 2 and 3 (following the first year of implementation)</w:t>
      </w:r>
      <w:r w:rsidRPr="00212EF9" w:rsidR="00D442C9">
        <w:rPr>
          <w:rStyle w:val="FootnoteReference"/>
          <w:rFonts w:ascii="Times New Roman" w:hAnsi="Times New Roman" w:eastAsiaTheme="minorHAnsi"/>
          <w:sz w:val="26"/>
          <w:szCs w:val="26"/>
          <w:vertAlign w:val="superscript"/>
        </w:rPr>
        <w:footnoteReference w:id="12"/>
      </w:r>
      <w:r w:rsidRPr="00DB7245">
        <w:rPr>
          <w:rFonts w:ascii="Times New Roman" w:hAnsi="Times New Roman" w:eastAsiaTheme="minorHAnsi"/>
          <w:sz w:val="26"/>
          <w:szCs w:val="26"/>
        </w:rPr>
        <w:t>, we estimate that filers would incur the following out-of-pocket expenses for software, consulting, or filing agent services used</w:t>
      </w:r>
      <w:r w:rsidR="00C91BFF">
        <w:rPr>
          <w:rFonts w:ascii="Times New Roman" w:hAnsi="Times New Roman" w:eastAsiaTheme="minorHAnsi"/>
          <w:sz w:val="26"/>
          <w:szCs w:val="26"/>
        </w:rPr>
        <w:t xml:space="preserve"> (</w:t>
      </w:r>
      <w:r w:rsidRPr="00C91BFF" w:rsidR="00C91BFF">
        <w:rPr>
          <w:rFonts w:ascii="Times New Roman" w:hAnsi="Times New Roman" w:eastAsiaTheme="minorHAnsi"/>
          <w:bCs/>
          <w:sz w:val="26"/>
          <w:szCs w:val="26"/>
        </w:rPr>
        <w:t>the costs of Years 2 and 3 (2 of the 3 years in this OMB clearance cycle) are being averaged over the 3-year clearance cycle</w:t>
      </w:r>
      <w:r w:rsidR="00C91BFF">
        <w:rPr>
          <w:rFonts w:ascii="Times New Roman" w:hAnsi="Times New Roman" w:eastAsiaTheme="minorHAnsi"/>
          <w:bCs/>
          <w:sz w:val="26"/>
          <w:szCs w:val="26"/>
        </w:rPr>
        <w:t>)</w:t>
      </w:r>
      <w:r w:rsidRPr="00DB7245">
        <w:rPr>
          <w:rFonts w:ascii="Times New Roman" w:hAnsi="Times New Roman" w:eastAsiaTheme="minorHAnsi"/>
          <w:sz w:val="26"/>
          <w:szCs w:val="26"/>
        </w:rPr>
        <w:t>:</w:t>
      </w:r>
    </w:p>
    <w:p w:rsidRPr="00DB7245" w:rsidR="00DB7245" w:rsidP="00212EF9" w:rsidRDefault="00DB7245" w14:paraId="3C30B564" w14:textId="3D19B520">
      <w:pPr>
        <w:spacing w:after="0" w:line="240" w:lineRule="auto"/>
        <w:ind w:left="720"/>
        <w:rPr>
          <w:rFonts w:ascii="Times New Roman" w:hAnsi="Times New Roman" w:eastAsiaTheme="minorHAnsi"/>
          <w:sz w:val="26"/>
          <w:szCs w:val="26"/>
        </w:rPr>
      </w:pPr>
      <w:r w:rsidRPr="00DB7245">
        <w:rPr>
          <w:rFonts w:ascii="Times New Roman" w:hAnsi="Times New Roman" w:eastAsiaTheme="minorHAnsi"/>
          <w:sz w:val="26"/>
          <w:szCs w:val="26"/>
        </w:rPr>
        <w:t>•</w:t>
      </w:r>
      <w:r w:rsidRPr="00DB7245">
        <w:rPr>
          <w:rFonts w:ascii="Times New Roman" w:hAnsi="Times New Roman" w:eastAsiaTheme="minorHAnsi"/>
          <w:sz w:val="26"/>
          <w:szCs w:val="26"/>
        </w:rPr>
        <w:tab/>
        <w:t>XBRL Form Nos. 2</w:t>
      </w:r>
      <w:r w:rsidR="005A11FF">
        <w:rPr>
          <w:rFonts w:ascii="Times New Roman" w:hAnsi="Times New Roman" w:eastAsiaTheme="minorHAnsi"/>
          <w:sz w:val="26"/>
          <w:szCs w:val="26"/>
        </w:rPr>
        <w:t xml:space="preserve"> and</w:t>
      </w:r>
      <w:r w:rsidRPr="00DB7245">
        <w:rPr>
          <w:rFonts w:ascii="Times New Roman" w:hAnsi="Times New Roman" w:eastAsiaTheme="minorHAnsi"/>
          <w:sz w:val="26"/>
          <w:szCs w:val="26"/>
        </w:rPr>
        <w:t xml:space="preserve"> 2-A</w:t>
      </w:r>
    </w:p>
    <w:p w:rsidRPr="00212EF9" w:rsidR="00DB7245" w:rsidP="00212EF9" w:rsidRDefault="00DB7245" w14:paraId="33AB870F" w14:textId="43CDED23">
      <w:pPr>
        <w:pStyle w:val="ListParagraph"/>
        <w:numPr>
          <w:ilvl w:val="0"/>
          <w:numId w:val="37"/>
        </w:numPr>
        <w:spacing w:after="0" w:line="240" w:lineRule="auto"/>
        <w:rPr>
          <w:rFonts w:ascii="Times New Roman" w:hAnsi="Times New Roman" w:eastAsiaTheme="minorHAnsi"/>
          <w:sz w:val="26"/>
          <w:szCs w:val="26"/>
        </w:rPr>
      </w:pPr>
      <w:r w:rsidRPr="00212EF9">
        <w:rPr>
          <w:rFonts w:ascii="Times New Roman" w:hAnsi="Times New Roman" w:eastAsiaTheme="minorHAnsi"/>
          <w:sz w:val="26"/>
          <w:szCs w:val="26"/>
        </w:rPr>
        <w:t>Out-of-pocket cost for software and filing agent services: $4,912 for each filing</w:t>
      </w:r>
      <w:r w:rsidR="00550E13">
        <w:rPr>
          <w:rFonts w:ascii="Times New Roman" w:hAnsi="Times New Roman" w:eastAsiaTheme="minorHAnsi"/>
          <w:sz w:val="26"/>
          <w:szCs w:val="26"/>
        </w:rPr>
        <w:t xml:space="preserve"> (response) for each year</w:t>
      </w:r>
      <w:r w:rsidRPr="00212EF9">
        <w:rPr>
          <w:rFonts w:ascii="Times New Roman" w:hAnsi="Times New Roman" w:eastAsiaTheme="minorHAnsi"/>
          <w:sz w:val="26"/>
          <w:szCs w:val="26"/>
        </w:rPr>
        <w:t xml:space="preserve">. </w:t>
      </w:r>
    </w:p>
    <w:p w:rsidR="00977691" w:rsidP="00977691" w:rsidRDefault="00DB7245" w14:paraId="0975B216" w14:textId="66ADCD13">
      <w:pPr>
        <w:pStyle w:val="ListParagraph"/>
        <w:numPr>
          <w:ilvl w:val="0"/>
          <w:numId w:val="37"/>
        </w:numPr>
        <w:spacing w:after="0" w:line="240" w:lineRule="auto"/>
        <w:rPr>
          <w:rFonts w:ascii="Times New Roman" w:hAnsi="Times New Roman" w:eastAsiaTheme="minorHAnsi"/>
          <w:sz w:val="26"/>
          <w:szCs w:val="26"/>
        </w:rPr>
      </w:pPr>
      <w:r w:rsidRPr="00212EF9">
        <w:rPr>
          <w:rFonts w:ascii="Times New Roman" w:hAnsi="Times New Roman" w:eastAsiaTheme="minorHAnsi"/>
          <w:sz w:val="26"/>
          <w:szCs w:val="26"/>
        </w:rPr>
        <w:t xml:space="preserve">Total </w:t>
      </w:r>
      <w:r w:rsidR="00550E13">
        <w:rPr>
          <w:rFonts w:ascii="Times New Roman" w:hAnsi="Times New Roman" w:eastAsiaTheme="minorHAnsi"/>
          <w:sz w:val="26"/>
          <w:szCs w:val="26"/>
        </w:rPr>
        <w:t xml:space="preserve">annual </w:t>
      </w:r>
      <w:r w:rsidRPr="00212EF9">
        <w:rPr>
          <w:rFonts w:ascii="Times New Roman" w:hAnsi="Times New Roman" w:eastAsiaTheme="minorHAnsi"/>
          <w:sz w:val="26"/>
          <w:szCs w:val="26"/>
        </w:rPr>
        <w:t>out-of-pocket cost for software and filing agent services per year</w:t>
      </w:r>
      <w:r w:rsidRPr="00550E13" w:rsidR="00550E13">
        <w:rPr>
          <w:rFonts w:ascii="Times New Roman" w:hAnsi="Times New Roman" w:eastAsiaTheme="minorHAnsi"/>
          <w:sz w:val="26"/>
          <w:szCs w:val="26"/>
        </w:rPr>
        <w:t xml:space="preserve"> </w:t>
      </w:r>
      <w:r w:rsidR="00550E13">
        <w:rPr>
          <w:rFonts w:ascii="Times New Roman" w:hAnsi="Times New Roman" w:eastAsiaTheme="minorHAnsi"/>
          <w:sz w:val="26"/>
          <w:szCs w:val="26"/>
        </w:rPr>
        <w:t xml:space="preserve">for Years 2 and 3 for the total no. </w:t>
      </w:r>
      <w:proofErr w:type="gramStart"/>
      <w:r w:rsidR="00550E13">
        <w:rPr>
          <w:rFonts w:ascii="Times New Roman" w:hAnsi="Times New Roman" w:eastAsiaTheme="minorHAnsi"/>
          <w:sz w:val="26"/>
          <w:szCs w:val="26"/>
        </w:rPr>
        <w:t>of  respondents</w:t>
      </w:r>
      <w:proofErr w:type="gramEnd"/>
      <w:r w:rsidR="00550E13">
        <w:rPr>
          <w:rFonts w:ascii="Times New Roman" w:hAnsi="Times New Roman" w:eastAsiaTheme="minorHAnsi"/>
          <w:sz w:val="26"/>
          <w:szCs w:val="26"/>
        </w:rPr>
        <w:t xml:space="preserve"> of FERC Form Nos. 2 and 2-A</w:t>
      </w:r>
      <w:r w:rsidRPr="00212EF9">
        <w:rPr>
          <w:rFonts w:ascii="Times New Roman" w:hAnsi="Times New Roman" w:eastAsiaTheme="minorHAnsi"/>
          <w:sz w:val="26"/>
          <w:szCs w:val="26"/>
        </w:rPr>
        <w:t>:  (</w:t>
      </w:r>
      <w:r w:rsidRPr="00212EF9" w:rsidR="005A11FF">
        <w:rPr>
          <w:rFonts w:ascii="Times New Roman" w:hAnsi="Times New Roman" w:eastAsiaTheme="minorHAnsi"/>
          <w:sz w:val="26"/>
          <w:szCs w:val="26"/>
        </w:rPr>
        <w:t>181</w:t>
      </w:r>
      <w:r w:rsidRPr="00212EF9">
        <w:rPr>
          <w:rFonts w:ascii="Times New Roman" w:hAnsi="Times New Roman" w:eastAsiaTheme="minorHAnsi"/>
          <w:sz w:val="26"/>
          <w:szCs w:val="26"/>
        </w:rPr>
        <w:t xml:space="preserve"> respondents) * ($4,912 for each filing) = $</w:t>
      </w:r>
      <w:r w:rsidRPr="00212EF9" w:rsidR="005A11FF">
        <w:rPr>
          <w:rFonts w:ascii="Times New Roman" w:hAnsi="Times New Roman" w:eastAsiaTheme="minorHAnsi"/>
          <w:sz w:val="26"/>
          <w:szCs w:val="26"/>
        </w:rPr>
        <w:t>889,0</w:t>
      </w:r>
      <w:r w:rsidRPr="00212EF9" w:rsidR="0064062A">
        <w:rPr>
          <w:rFonts w:ascii="Times New Roman" w:hAnsi="Times New Roman" w:eastAsiaTheme="minorHAnsi"/>
          <w:sz w:val="26"/>
          <w:szCs w:val="26"/>
        </w:rPr>
        <w:t>72</w:t>
      </w:r>
      <w:r w:rsidRPr="00212EF9" w:rsidR="00270B47">
        <w:rPr>
          <w:rFonts w:ascii="Times New Roman" w:hAnsi="Times New Roman" w:eastAsiaTheme="minorHAnsi"/>
          <w:sz w:val="26"/>
          <w:szCs w:val="26"/>
        </w:rPr>
        <w:t xml:space="preserve"> </w:t>
      </w:r>
      <w:r w:rsidRPr="00212EF9" w:rsidR="0064062A">
        <w:rPr>
          <w:rFonts w:ascii="Times New Roman" w:hAnsi="Times New Roman" w:eastAsiaTheme="minorHAnsi"/>
          <w:sz w:val="26"/>
          <w:szCs w:val="26"/>
        </w:rPr>
        <w:t>.</w:t>
      </w:r>
      <w:r w:rsidRPr="00212EF9" w:rsidDel="000D3C3E">
        <w:rPr>
          <w:rFonts w:ascii="Times New Roman" w:hAnsi="Times New Roman" w:eastAsiaTheme="minorHAnsi"/>
          <w:sz w:val="26"/>
          <w:szCs w:val="26"/>
        </w:rPr>
        <w:t xml:space="preserve"> </w:t>
      </w:r>
      <w:r w:rsidRPr="00212EF9" w:rsidR="00270B47">
        <w:rPr>
          <w:rFonts w:ascii="Times New Roman" w:hAnsi="Times New Roman" w:eastAsiaTheme="minorHAnsi"/>
          <w:sz w:val="26"/>
          <w:szCs w:val="26"/>
        </w:rPr>
        <w:t xml:space="preserve"> </w:t>
      </w:r>
    </w:p>
    <w:p w:rsidR="000D3C3E" w:rsidP="00BD0F89" w:rsidRDefault="000D3C3E" w14:paraId="34FC2B82" w14:textId="71E43339">
      <w:pPr>
        <w:spacing w:after="0" w:line="240" w:lineRule="auto"/>
        <w:rPr>
          <w:rFonts w:ascii="Times New Roman" w:hAnsi="Times New Roman"/>
          <w:sz w:val="26"/>
          <w:szCs w:val="26"/>
        </w:rPr>
      </w:pPr>
    </w:p>
    <w:p w:rsidRPr="00E9060E" w:rsidR="0055420F" w:rsidP="00BD0F89" w:rsidRDefault="0055420F" w14:paraId="5A8DFFC7" w14:textId="77777777">
      <w:pPr>
        <w:spacing w:after="0" w:line="240" w:lineRule="auto"/>
        <w:rPr>
          <w:rFonts w:ascii="Times New Roman" w:hAnsi="Times New Roman"/>
          <w:sz w:val="26"/>
          <w:szCs w:val="26"/>
        </w:rPr>
      </w:pPr>
    </w:p>
    <w:p w:rsidRPr="00E9060E" w:rsidR="00F0627E" w:rsidP="00BD0F89" w:rsidRDefault="00974AFC" w14:paraId="64AF384F" w14:textId="77777777">
      <w:pPr>
        <w:pStyle w:val="ListParagraph"/>
        <w:spacing w:after="0" w:line="240" w:lineRule="auto"/>
        <w:ind w:left="0"/>
        <w:rPr>
          <w:rFonts w:ascii="Times New Roman" w:hAnsi="Times New Roman"/>
          <w:sz w:val="26"/>
          <w:szCs w:val="26"/>
        </w:rPr>
      </w:pPr>
      <w:r w:rsidRPr="00E9060E">
        <w:rPr>
          <w:rFonts w:ascii="Times New Roman" w:hAnsi="Times New Roman"/>
          <w:b/>
          <w:sz w:val="26"/>
          <w:szCs w:val="26"/>
        </w:rPr>
        <w:t xml:space="preserve">14.  </w:t>
      </w:r>
      <w:r w:rsidRPr="00212EF9" w:rsidR="00BF3095">
        <w:rPr>
          <w:rFonts w:ascii="Times New Roman" w:hAnsi="Times New Roman"/>
          <w:b/>
          <w:sz w:val="26"/>
          <w:szCs w:val="26"/>
        </w:rPr>
        <w:t>ESTIMATED ANNUALIZED COST TO FEDERAL GOVERNMENT</w:t>
      </w:r>
    </w:p>
    <w:p w:rsidRPr="00E9060E" w:rsidR="00BF3095" w:rsidP="00BD0F89" w:rsidRDefault="00BF3095" w14:paraId="31100877" w14:textId="77777777">
      <w:pPr>
        <w:pStyle w:val="ListParagraph"/>
        <w:spacing w:after="0" w:line="240" w:lineRule="auto"/>
        <w:ind w:left="0"/>
        <w:rPr>
          <w:rFonts w:ascii="Times New Roman" w:hAnsi="Times New Roman"/>
          <w:sz w:val="26"/>
          <w:szCs w:val="26"/>
        </w:rPr>
      </w:pPr>
    </w:p>
    <w:p w:rsidR="00A116AE" w:rsidP="0051491B" w:rsidRDefault="00244BC9" w14:paraId="69F13D91" w14:textId="6710CA28">
      <w:pPr>
        <w:spacing w:after="0" w:line="240" w:lineRule="auto"/>
        <w:rPr>
          <w:rFonts w:ascii="Times New Roman" w:hAnsi="Times New Roman"/>
          <w:sz w:val="26"/>
          <w:szCs w:val="26"/>
        </w:rPr>
      </w:pPr>
      <w:r w:rsidRPr="00E9060E">
        <w:rPr>
          <w:rFonts w:ascii="Times New Roman" w:hAnsi="Times New Roman"/>
          <w:sz w:val="26"/>
          <w:szCs w:val="26"/>
        </w:rPr>
        <w:t xml:space="preserve">The estimate of the cost for </w:t>
      </w:r>
      <w:r w:rsidR="007B6467">
        <w:rPr>
          <w:rFonts w:ascii="Times New Roman" w:hAnsi="Times New Roman"/>
          <w:sz w:val="26"/>
          <w:szCs w:val="26"/>
        </w:rPr>
        <w:t>“</w:t>
      </w:r>
      <w:r w:rsidRPr="00E9060E">
        <w:rPr>
          <w:rFonts w:ascii="Times New Roman" w:hAnsi="Times New Roman"/>
          <w:sz w:val="26"/>
          <w:szCs w:val="26"/>
        </w:rPr>
        <w:t>analysis and processing of filings</w:t>
      </w:r>
      <w:r w:rsidR="007B6467">
        <w:rPr>
          <w:rFonts w:ascii="Times New Roman" w:hAnsi="Times New Roman"/>
          <w:sz w:val="26"/>
          <w:szCs w:val="26"/>
        </w:rPr>
        <w:t>”</w:t>
      </w:r>
      <w:r w:rsidRPr="00E9060E" w:rsidR="00247EBC">
        <w:rPr>
          <w:rStyle w:val="FootnoteReference"/>
          <w:rFonts w:ascii="Times New Roman" w:hAnsi="Times New Roman"/>
          <w:sz w:val="26"/>
          <w:szCs w:val="26"/>
          <w:vertAlign w:val="superscript"/>
        </w:rPr>
        <w:footnoteReference w:id="13"/>
      </w:r>
      <w:r w:rsidRPr="00E9060E">
        <w:rPr>
          <w:rFonts w:ascii="Times New Roman" w:hAnsi="Times New Roman"/>
          <w:sz w:val="26"/>
          <w:szCs w:val="26"/>
          <w:vertAlign w:val="superscript"/>
        </w:rPr>
        <w:t xml:space="preserve"> </w:t>
      </w:r>
      <w:r w:rsidRPr="00E9060E">
        <w:rPr>
          <w:rFonts w:ascii="Times New Roman" w:hAnsi="Times New Roman"/>
          <w:sz w:val="26"/>
          <w:szCs w:val="26"/>
        </w:rPr>
        <w:t>is based on salaries and benefits for professional and clerical support.  This estimated cost represents staff analysis, decision-making, and review of any actual filings submitted in response to the information collection</w:t>
      </w:r>
      <w:r w:rsidRPr="00E9060E" w:rsidR="00946E0D">
        <w:rPr>
          <w:rFonts w:ascii="Times New Roman" w:hAnsi="Times New Roman"/>
          <w:sz w:val="26"/>
          <w:szCs w:val="26"/>
        </w:rPr>
        <w:t>s</w:t>
      </w:r>
      <w:r w:rsidRPr="00E9060E">
        <w:rPr>
          <w:rFonts w:ascii="Times New Roman" w:hAnsi="Times New Roman"/>
          <w:sz w:val="26"/>
          <w:szCs w:val="26"/>
        </w:rPr>
        <w:t>.</w:t>
      </w:r>
      <w:r w:rsidRPr="00E9060E" w:rsidR="00247EBC">
        <w:rPr>
          <w:rFonts w:ascii="Times New Roman" w:hAnsi="Times New Roman"/>
          <w:sz w:val="26"/>
          <w:szCs w:val="26"/>
        </w:rPr>
        <w:t xml:space="preserve">  </w:t>
      </w:r>
    </w:p>
    <w:p w:rsidR="00C77A47" w:rsidP="0051491B" w:rsidRDefault="00C77A47" w14:paraId="2A73D7EE" w14:textId="77777777">
      <w:pPr>
        <w:spacing w:after="0" w:line="240" w:lineRule="auto"/>
        <w:rPr>
          <w:rFonts w:ascii="Times New Roman" w:hAnsi="Times New Roman"/>
          <w:sz w:val="26"/>
          <w:szCs w:val="26"/>
        </w:rPr>
      </w:pPr>
    </w:p>
    <w:p w:rsidR="00441917" w:rsidP="00BD0F89" w:rsidRDefault="00441917" w14:paraId="2BE36025" w14:textId="64E95260">
      <w:pPr>
        <w:spacing w:after="0" w:line="240" w:lineRule="auto"/>
        <w:rPr>
          <w:rFonts w:ascii="Times New Roman" w:hAnsi="Times New Roman"/>
          <w:b/>
          <w:sz w:val="26"/>
          <w:szCs w:val="26"/>
        </w:rPr>
      </w:pPr>
    </w:p>
    <w:tbl>
      <w:tblPr>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158"/>
        <w:gridCol w:w="2250"/>
        <w:gridCol w:w="2448"/>
      </w:tblGrid>
      <w:tr w:rsidRPr="00F93C35" w:rsidR="00F93C35" w:rsidTr="002933AC" w14:paraId="05588A6D" w14:textId="77777777">
        <w:trPr>
          <w:jc w:val="right"/>
        </w:trPr>
        <w:tc>
          <w:tcPr>
            <w:tcW w:w="4158" w:type="dxa"/>
            <w:shd w:val="clear" w:color="auto" w:fill="auto"/>
          </w:tcPr>
          <w:p w:rsidRPr="00F93C35" w:rsidR="00F93C35" w:rsidP="00F93C35" w:rsidRDefault="00F14C75" w14:paraId="7A0399E5" w14:textId="6EBD4954">
            <w:pPr>
              <w:spacing w:after="0" w:line="240" w:lineRule="auto"/>
              <w:rPr>
                <w:rFonts w:ascii="Times New Roman" w:hAnsi="Times New Roman" w:eastAsia="Times New Roman"/>
                <w:b/>
                <w:sz w:val="26"/>
                <w:szCs w:val="26"/>
              </w:rPr>
            </w:pPr>
            <w:r>
              <w:rPr>
                <w:rFonts w:ascii="Times New Roman" w:hAnsi="Times New Roman" w:eastAsia="Times New Roman"/>
                <w:b/>
                <w:sz w:val="26"/>
                <w:szCs w:val="26"/>
              </w:rPr>
              <w:t>Form No. 2</w:t>
            </w:r>
          </w:p>
        </w:tc>
        <w:tc>
          <w:tcPr>
            <w:tcW w:w="2250" w:type="dxa"/>
            <w:shd w:val="clear" w:color="auto" w:fill="auto"/>
            <w:vAlign w:val="bottom"/>
          </w:tcPr>
          <w:p w:rsidRPr="00F93C35" w:rsidR="00F93C35" w:rsidP="00F93C35" w:rsidRDefault="00F93C35" w14:paraId="7733CDAA" w14:textId="77777777">
            <w:pPr>
              <w:spacing w:after="0" w:line="240" w:lineRule="auto"/>
              <w:jc w:val="center"/>
              <w:rPr>
                <w:rFonts w:ascii="Times New Roman" w:hAnsi="Times New Roman" w:eastAsia="Times New Roman"/>
                <w:b/>
                <w:sz w:val="26"/>
                <w:szCs w:val="26"/>
              </w:rPr>
            </w:pPr>
            <w:r w:rsidRPr="00F93C35">
              <w:rPr>
                <w:rFonts w:ascii="Times New Roman" w:hAnsi="Times New Roman" w:eastAsia="Times New Roman"/>
                <w:b/>
                <w:sz w:val="26"/>
                <w:szCs w:val="26"/>
              </w:rPr>
              <w:t>No. of Employees (FTE’s)</w:t>
            </w:r>
            <w:r w:rsidRPr="00F93C35">
              <w:rPr>
                <w:rFonts w:ascii="Times New Roman" w:hAnsi="Times New Roman" w:eastAsia="Times New Roman"/>
                <w:sz w:val="26"/>
                <w:szCs w:val="26"/>
                <w:vertAlign w:val="superscript"/>
              </w:rPr>
              <w:footnoteReference w:id="14"/>
            </w:r>
          </w:p>
        </w:tc>
        <w:tc>
          <w:tcPr>
            <w:tcW w:w="2448" w:type="dxa"/>
            <w:shd w:val="clear" w:color="auto" w:fill="auto"/>
            <w:vAlign w:val="bottom"/>
          </w:tcPr>
          <w:p w:rsidRPr="00F93C35" w:rsidR="00F93C35" w:rsidP="00F93C35" w:rsidRDefault="00F93C35" w14:paraId="1965ED1E" w14:textId="77777777">
            <w:pPr>
              <w:spacing w:after="0" w:line="240" w:lineRule="auto"/>
              <w:jc w:val="center"/>
              <w:rPr>
                <w:rFonts w:ascii="Times New Roman" w:hAnsi="Times New Roman" w:eastAsia="Times New Roman"/>
                <w:b/>
                <w:sz w:val="26"/>
                <w:szCs w:val="26"/>
              </w:rPr>
            </w:pPr>
            <w:r w:rsidRPr="00F93C35">
              <w:rPr>
                <w:rFonts w:ascii="Times New Roman" w:hAnsi="Times New Roman" w:eastAsia="Times New Roman"/>
                <w:b/>
                <w:sz w:val="26"/>
                <w:szCs w:val="26"/>
              </w:rPr>
              <w:t xml:space="preserve">Estimated Annual Federal Cost ($) </w:t>
            </w:r>
          </w:p>
          <w:p w:rsidRPr="00F93C35" w:rsidR="00F93C35" w:rsidP="00F93C35" w:rsidRDefault="00F93C35" w14:paraId="76466333" w14:textId="77777777">
            <w:pPr>
              <w:spacing w:after="0" w:line="240" w:lineRule="auto"/>
              <w:jc w:val="center"/>
              <w:rPr>
                <w:rFonts w:ascii="Times New Roman" w:hAnsi="Times New Roman" w:eastAsia="Times New Roman"/>
                <w:b/>
                <w:sz w:val="26"/>
                <w:szCs w:val="26"/>
              </w:rPr>
            </w:pPr>
            <w:r w:rsidRPr="00F93C35">
              <w:rPr>
                <w:rFonts w:ascii="Times New Roman" w:hAnsi="Times New Roman" w:eastAsia="Times New Roman"/>
                <w:b/>
                <w:sz w:val="26"/>
                <w:szCs w:val="26"/>
              </w:rPr>
              <w:t>(rounded)</w:t>
            </w:r>
          </w:p>
        </w:tc>
      </w:tr>
      <w:tr w:rsidRPr="00F93C35" w:rsidR="00F93C35" w:rsidTr="002933AC" w14:paraId="06115922" w14:textId="77777777">
        <w:trPr>
          <w:jc w:val="right"/>
        </w:trPr>
        <w:tc>
          <w:tcPr>
            <w:tcW w:w="4158" w:type="dxa"/>
            <w:shd w:val="clear" w:color="auto" w:fill="auto"/>
          </w:tcPr>
          <w:p w:rsidRPr="00F93C35" w:rsidR="00F93C35" w:rsidP="00F93C35" w:rsidRDefault="00F93C35" w14:paraId="30C3247B" w14:textId="77777777">
            <w:pPr>
              <w:spacing w:after="0" w:line="240" w:lineRule="auto"/>
              <w:rPr>
                <w:rFonts w:ascii="Times New Roman" w:hAnsi="Times New Roman" w:eastAsia="Times New Roman"/>
                <w:bCs/>
                <w:sz w:val="26"/>
                <w:szCs w:val="26"/>
              </w:rPr>
            </w:pPr>
            <w:r w:rsidRPr="00F93C35">
              <w:rPr>
                <w:rFonts w:ascii="Times New Roman" w:hAnsi="Times New Roman" w:eastAsia="Times New Roman"/>
                <w:bCs/>
                <w:sz w:val="26"/>
                <w:szCs w:val="26"/>
              </w:rPr>
              <w:t>Analysis and Processing of Filings</w:t>
            </w:r>
            <w:r w:rsidRPr="00F93C35">
              <w:rPr>
                <w:rFonts w:ascii="Times New Roman" w:hAnsi="Times New Roman" w:eastAsia="Times New Roman"/>
                <w:b/>
                <w:bCs/>
                <w:sz w:val="26"/>
                <w:szCs w:val="26"/>
                <w:vertAlign w:val="superscript"/>
              </w:rPr>
              <w:footnoteReference w:id="15"/>
            </w:r>
            <w:r w:rsidRPr="00F93C35">
              <w:rPr>
                <w:rFonts w:ascii="Times New Roman" w:hAnsi="Times New Roman" w:eastAsia="Times New Roman"/>
                <w:bCs/>
                <w:sz w:val="26"/>
                <w:szCs w:val="26"/>
              </w:rPr>
              <w:t xml:space="preserve"> </w:t>
            </w:r>
          </w:p>
        </w:tc>
        <w:tc>
          <w:tcPr>
            <w:tcW w:w="2250" w:type="dxa"/>
            <w:shd w:val="clear" w:color="auto" w:fill="auto"/>
            <w:vAlign w:val="bottom"/>
          </w:tcPr>
          <w:p w:rsidRPr="00F93C35" w:rsidR="00F93C35" w:rsidP="00F93C35" w:rsidRDefault="000D3C3E" w14:paraId="495B54F4" w14:textId="2A97F97F">
            <w:pPr>
              <w:spacing w:after="0" w:line="240" w:lineRule="auto"/>
              <w:jc w:val="right"/>
              <w:rPr>
                <w:rFonts w:ascii="Times New Roman" w:hAnsi="Times New Roman" w:eastAsia="Times New Roman"/>
                <w:sz w:val="26"/>
                <w:szCs w:val="26"/>
              </w:rPr>
            </w:pPr>
            <w:r>
              <w:rPr>
                <w:rFonts w:ascii="Times New Roman" w:hAnsi="Times New Roman" w:eastAsia="Times New Roman"/>
                <w:sz w:val="26"/>
                <w:szCs w:val="26"/>
              </w:rPr>
              <w:t>1.0</w:t>
            </w:r>
          </w:p>
        </w:tc>
        <w:tc>
          <w:tcPr>
            <w:tcW w:w="2448" w:type="dxa"/>
            <w:shd w:val="clear" w:color="auto" w:fill="auto"/>
            <w:vAlign w:val="bottom"/>
          </w:tcPr>
          <w:p w:rsidRPr="00F93C35" w:rsidR="00F93C35" w:rsidP="00F93C35" w:rsidRDefault="000D3C3E" w14:paraId="4FD6FF6A" w14:textId="234B5362">
            <w:pPr>
              <w:spacing w:after="0" w:line="240" w:lineRule="auto"/>
              <w:jc w:val="right"/>
              <w:rPr>
                <w:rFonts w:ascii="Times New Roman" w:hAnsi="Times New Roman" w:eastAsia="Times New Roman"/>
                <w:sz w:val="26"/>
                <w:szCs w:val="26"/>
              </w:rPr>
            </w:pPr>
            <w:r>
              <w:rPr>
                <w:rFonts w:ascii="Times New Roman" w:hAnsi="Times New Roman" w:eastAsia="Times New Roman"/>
                <w:sz w:val="26"/>
                <w:szCs w:val="26"/>
              </w:rPr>
              <w:t>$16</w:t>
            </w:r>
            <w:r w:rsidR="00165839">
              <w:rPr>
                <w:rFonts w:ascii="Times New Roman" w:hAnsi="Times New Roman" w:eastAsia="Times New Roman"/>
                <w:sz w:val="26"/>
                <w:szCs w:val="26"/>
              </w:rPr>
              <w:t>7</w:t>
            </w:r>
            <w:r>
              <w:rPr>
                <w:rFonts w:ascii="Times New Roman" w:hAnsi="Times New Roman" w:eastAsia="Times New Roman"/>
                <w:sz w:val="26"/>
                <w:szCs w:val="26"/>
              </w:rPr>
              <w:t>,</w:t>
            </w:r>
            <w:r w:rsidR="00165839">
              <w:rPr>
                <w:rFonts w:ascii="Times New Roman" w:hAnsi="Times New Roman" w:eastAsia="Times New Roman"/>
                <w:sz w:val="26"/>
                <w:szCs w:val="26"/>
              </w:rPr>
              <w:t>091</w:t>
            </w:r>
          </w:p>
        </w:tc>
      </w:tr>
      <w:tr w:rsidRPr="00F93C35" w:rsidR="00F93C35" w:rsidTr="002933AC" w14:paraId="5B5A21BB" w14:textId="77777777">
        <w:trPr>
          <w:jc w:val="right"/>
        </w:trPr>
        <w:tc>
          <w:tcPr>
            <w:tcW w:w="4158" w:type="dxa"/>
            <w:shd w:val="clear" w:color="auto" w:fill="auto"/>
          </w:tcPr>
          <w:p w:rsidRPr="00F93C35" w:rsidR="00F93C35" w:rsidP="00F93C35" w:rsidRDefault="00F93C35" w14:paraId="629515BC" w14:textId="2E9A07DD">
            <w:pPr>
              <w:spacing w:after="0" w:line="240" w:lineRule="auto"/>
              <w:rPr>
                <w:rFonts w:ascii="Times New Roman" w:hAnsi="Times New Roman" w:eastAsia="Times New Roman"/>
                <w:bCs/>
                <w:sz w:val="26"/>
                <w:szCs w:val="26"/>
              </w:rPr>
            </w:pPr>
            <w:r w:rsidRPr="00F93C35">
              <w:rPr>
                <w:rFonts w:ascii="Times New Roman" w:hAnsi="Times New Roman" w:eastAsia="Times New Roman"/>
                <w:bCs/>
                <w:sz w:val="26"/>
                <w:szCs w:val="26"/>
              </w:rPr>
              <w:lastRenderedPageBreak/>
              <w:t>PRA Administrative Cost</w:t>
            </w:r>
            <w:r w:rsidR="00036F93">
              <w:rPr>
                <w:rFonts w:ascii="Times New Roman" w:hAnsi="Times New Roman" w:eastAsia="Times New Roman"/>
                <w:bCs/>
                <w:sz w:val="26"/>
                <w:szCs w:val="26"/>
              </w:rPr>
              <w:t xml:space="preserve"> </w:t>
            </w:r>
          </w:p>
        </w:tc>
        <w:tc>
          <w:tcPr>
            <w:tcW w:w="2250" w:type="dxa"/>
            <w:shd w:val="clear" w:color="auto" w:fill="auto"/>
            <w:vAlign w:val="bottom"/>
          </w:tcPr>
          <w:p w:rsidRPr="00F93C35" w:rsidR="00F93C35" w:rsidP="00F93C35" w:rsidRDefault="00F93C35" w14:paraId="0C6FC9D5" w14:textId="77777777">
            <w:pPr>
              <w:spacing w:after="0" w:line="240" w:lineRule="auto"/>
              <w:jc w:val="right"/>
              <w:rPr>
                <w:rFonts w:ascii="Times New Roman" w:hAnsi="Times New Roman" w:eastAsia="Times New Roman"/>
                <w:b/>
                <w:sz w:val="26"/>
                <w:szCs w:val="26"/>
              </w:rPr>
            </w:pPr>
          </w:p>
        </w:tc>
        <w:tc>
          <w:tcPr>
            <w:tcW w:w="2448" w:type="dxa"/>
            <w:shd w:val="clear" w:color="auto" w:fill="auto"/>
            <w:vAlign w:val="bottom"/>
          </w:tcPr>
          <w:p w:rsidRPr="00F93C35" w:rsidR="00F93C35" w:rsidP="00F93C35" w:rsidRDefault="00F93C35" w14:paraId="379E9F82" w14:textId="2C5834C0">
            <w:pPr>
              <w:spacing w:after="0" w:line="240" w:lineRule="auto"/>
              <w:jc w:val="right"/>
              <w:rPr>
                <w:rFonts w:ascii="Times New Roman" w:hAnsi="Times New Roman" w:eastAsia="Times New Roman"/>
                <w:sz w:val="26"/>
                <w:szCs w:val="26"/>
              </w:rPr>
            </w:pPr>
            <w:r w:rsidRPr="00F93C35">
              <w:rPr>
                <w:rFonts w:ascii="Times New Roman" w:hAnsi="Times New Roman" w:eastAsia="Times New Roman"/>
                <w:sz w:val="26"/>
                <w:szCs w:val="26"/>
              </w:rPr>
              <w:t>$</w:t>
            </w:r>
            <w:r w:rsidR="00CE1107">
              <w:rPr>
                <w:rFonts w:ascii="Times New Roman" w:hAnsi="Times New Roman" w:eastAsia="Times New Roman"/>
                <w:sz w:val="26"/>
                <w:szCs w:val="26"/>
              </w:rPr>
              <w:t>4,832</w:t>
            </w:r>
          </w:p>
        </w:tc>
      </w:tr>
      <w:tr w:rsidRPr="00F93C35" w:rsidR="00F93C35" w:rsidTr="002933AC" w14:paraId="6E3D5240" w14:textId="77777777">
        <w:trPr>
          <w:jc w:val="right"/>
        </w:trPr>
        <w:tc>
          <w:tcPr>
            <w:tcW w:w="4158" w:type="dxa"/>
            <w:shd w:val="clear" w:color="auto" w:fill="auto"/>
          </w:tcPr>
          <w:p w:rsidRPr="00F93C35" w:rsidR="00F93C35" w:rsidP="00F93C35" w:rsidRDefault="009C6915" w14:paraId="2BCCE52B" w14:textId="4EEC8516">
            <w:pPr>
              <w:spacing w:after="0" w:line="240" w:lineRule="auto"/>
              <w:rPr>
                <w:rFonts w:ascii="Times New Roman" w:hAnsi="Times New Roman" w:eastAsia="Times New Roman"/>
                <w:bCs/>
                <w:sz w:val="26"/>
                <w:szCs w:val="26"/>
              </w:rPr>
            </w:pPr>
            <w:r>
              <w:rPr>
                <w:rFonts w:ascii="Times New Roman" w:hAnsi="Times New Roman" w:eastAsia="Times New Roman"/>
                <w:bCs/>
                <w:sz w:val="26"/>
                <w:szCs w:val="26"/>
              </w:rPr>
              <w:t xml:space="preserve">XBRL </w:t>
            </w:r>
            <w:r w:rsidRPr="00F93C35" w:rsidR="00F93C35">
              <w:rPr>
                <w:rFonts w:ascii="Times New Roman" w:hAnsi="Times New Roman" w:eastAsia="Times New Roman"/>
                <w:bCs/>
                <w:sz w:val="26"/>
                <w:szCs w:val="26"/>
              </w:rPr>
              <w:t xml:space="preserve">FERC </w:t>
            </w:r>
            <w:r>
              <w:rPr>
                <w:rFonts w:ascii="Times New Roman" w:hAnsi="Times New Roman" w:eastAsia="Times New Roman"/>
                <w:bCs/>
                <w:sz w:val="26"/>
                <w:szCs w:val="26"/>
              </w:rPr>
              <w:t xml:space="preserve">IT development, implementation, and </w:t>
            </w:r>
            <w:proofErr w:type="spellStart"/>
            <w:r>
              <w:rPr>
                <w:rFonts w:ascii="Times New Roman" w:hAnsi="Times New Roman" w:eastAsia="Times New Roman"/>
                <w:bCs/>
                <w:sz w:val="26"/>
                <w:szCs w:val="26"/>
              </w:rPr>
              <w:t>maintanence</w:t>
            </w:r>
            <w:proofErr w:type="spellEnd"/>
            <w:r>
              <w:rPr>
                <w:rFonts w:ascii="Times New Roman" w:hAnsi="Times New Roman" w:eastAsia="Times New Roman"/>
                <w:bCs/>
                <w:sz w:val="26"/>
                <w:szCs w:val="26"/>
              </w:rPr>
              <w:t xml:space="preserve"> costs approved in RM19-12-000</w:t>
            </w:r>
            <w:r w:rsidR="00F14C75">
              <w:rPr>
                <w:rFonts w:ascii="Times New Roman" w:hAnsi="Times New Roman" w:eastAsia="Times New Roman"/>
                <w:bCs/>
                <w:sz w:val="26"/>
                <w:szCs w:val="26"/>
              </w:rPr>
              <w:t>.</w:t>
            </w:r>
          </w:p>
        </w:tc>
        <w:tc>
          <w:tcPr>
            <w:tcW w:w="2250" w:type="dxa"/>
            <w:shd w:val="clear" w:color="auto" w:fill="auto"/>
            <w:vAlign w:val="bottom"/>
          </w:tcPr>
          <w:p w:rsidRPr="00F93C35" w:rsidR="00F93C35" w:rsidP="00F93C35" w:rsidRDefault="00F93C35" w14:paraId="6E805B1D" w14:textId="77777777">
            <w:pPr>
              <w:spacing w:after="0" w:line="240" w:lineRule="auto"/>
              <w:jc w:val="right"/>
              <w:rPr>
                <w:rFonts w:ascii="Times New Roman" w:hAnsi="Times New Roman" w:eastAsia="Times New Roman"/>
                <w:b/>
                <w:sz w:val="26"/>
                <w:szCs w:val="26"/>
              </w:rPr>
            </w:pPr>
          </w:p>
        </w:tc>
        <w:tc>
          <w:tcPr>
            <w:tcW w:w="2448" w:type="dxa"/>
            <w:shd w:val="clear" w:color="auto" w:fill="auto"/>
            <w:vAlign w:val="bottom"/>
          </w:tcPr>
          <w:p w:rsidRPr="004157B4" w:rsidR="00F93C35" w:rsidP="00F93C35" w:rsidRDefault="00516A6C" w14:paraId="4D346617" w14:textId="7305099A">
            <w:pPr>
              <w:spacing w:after="0" w:line="240" w:lineRule="auto"/>
              <w:jc w:val="right"/>
              <w:rPr>
                <w:rFonts w:ascii="Times New Roman" w:hAnsi="Times New Roman" w:eastAsia="Times New Roman"/>
                <w:sz w:val="26"/>
                <w:szCs w:val="26"/>
              </w:rPr>
            </w:pPr>
            <w:r w:rsidRPr="00212EF9">
              <w:rPr>
                <w:rFonts w:ascii="Times New Roman" w:hAnsi="Times New Roman" w:eastAsia="Times New Roman"/>
                <w:sz w:val="26"/>
                <w:szCs w:val="26"/>
              </w:rPr>
              <w:t>$</w:t>
            </w:r>
            <w:r w:rsidR="00165839">
              <w:rPr>
                <w:rFonts w:ascii="Times New Roman" w:hAnsi="Times New Roman" w:eastAsia="Times New Roman"/>
                <w:sz w:val="26"/>
                <w:szCs w:val="26"/>
              </w:rPr>
              <w:t>179,996</w:t>
            </w:r>
            <w:r w:rsidR="00CE1107">
              <w:rPr>
                <w:rFonts w:ascii="Times New Roman" w:hAnsi="Times New Roman" w:eastAsia="Times New Roman"/>
                <w:sz w:val="26"/>
                <w:szCs w:val="26"/>
              </w:rPr>
              <w:t>.</w:t>
            </w:r>
            <w:r w:rsidR="00165839">
              <w:rPr>
                <w:rFonts w:ascii="Times New Roman" w:hAnsi="Times New Roman" w:eastAsia="Times New Roman"/>
                <w:sz w:val="26"/>
                <w:szCs w:val="26"/>
              </w:rPr>
              <w:t>32</w:t>
            </w:r>
          </w:p>
        </w:tc>
      </w:tr>
      <w:tr w:rsidRPr="00F93C35" w:rsidR="006800F3" w:rsidTr="002933AC" w14:paraId="0CA94382" w14:textId="77777777">
        <w:trPr>
          <w:jc w:val="right"/>
        </w:trPr>
        <w:tc>
          <w:tcPr>
            <w:tcW w:w="4158" w:type="dxa"/>
            <w:shd w:val="clear" w:color="auto" w:fill="auto"/>
          </w:tcPr>
          <w:p w:rsidRPr="00F93C35" w:rsidR="006800F3" w:rsidP="00F93C35" w:rsidRDefault="006800F3" w14:paraId="2D5AC7D7" w14:textId="39B426B8">
            <w:pPr>
              <w:spacing w:after="0" w:line="240" w:lineRule="auto"/>
              <w:rPr>
                <w:rFonts w:ascii="Times New Roman" w:hAnsi="Times New Roman" w:eastAsia="Times New Roman"/>
                <w:bCs/>
                <w:sz w:val="26"/>
                <w:szCs w:val="26"/>
              </w:rPr>
            </w:pPr>
            <w:r>
              <w:rPr>
                <w:rFonts w:ascii="Times New Roman" w:hAnsi="Times New Roman" w:eastAsia="Times New Roman"/>
                <w:bCs/>
                <w:sz w:val="26"/>
                <w:szCs w:val="26"/>
              </w:rPr>
              <w:t xml:space="preserve">FERC </w:t>
            </w:r>
            <w:r w:rsidR="009C6915">
              <w:rPr>
                <w:rFonts w:ascii="Times New Roman" w:hAnsi="Times New Roman" w:eastAsia="Times New Roman"/>
                <w:bCs/>
                <w:sz w:val="26"/>
                <w:szCs w:val="26"/>
              </w:rPr>
              <w:t>total</w:t>
            </w:r>
          </w:p>
        </w:tc>
        <w:tc>
          <w:tcPr>
            <w:tcW w:w="2250" w:type="dxa"/>
            <w:shd w:val="clear" w:color="auto" w:fill="auto"/>
            <w:vAlign w:val="bottom"/>
          </w:tcPr>
          <w:p w:rsidRPr="00F93C35" w:rsidR="006800F3" w:rsidP="00F93C35" w:rsidRDefault="006800F3" w14:paraId="0EB15B26" w14:textId="77777777">
            <w:pPr>
              <w:spacing w:after="0" w:line="240" w:lineRule="auto"/>
              <w:jc w:val="right"/>
              <w:rPr>
                <w:rFonts w:ascii="Times New Roman" w:hAnsi="Times New Roman" w:eastAsia="Times New Roman"/>
                <w:b/>
                <w:sz w:val="26"/>
                <w:szCs w:val="26"/>
              </w:rPr>
            </w:pPr>
          </w:p>
        </w:tc>
        <w:tc>
          <w:tcPr>
            <w:tcW w:w="2448" w:type="dxa"/>
            <w:shd w:val="clear" w:color="auto" w:fill="auto"/>
            <w:vAlign w:val="bottom"/>
          </w:tcPr>
          <w:p w:rsidRPr="004157B4" w:rsidR="006800F3" w:rsidP="00F93C35" w:rsidRDefault="00F8458F" w14:paraId="450284B1" w14:textId="5AEB74F3">
            <w:pPr>
              <w:spacing w:after="0" w:line="240" w:lineRule="auto"/>
              <w:jc w:val="right"/>
              <w:rPr>
                <w:rFonts w:ascii="Times New Roman" w:hAnsi="Times New Roman" w:eastAsia="Times New Roman"/>
                <w:sz w:val="26"/>
                <w:szCs w:val="26"/>
              </w:rPr>
            </w:pPr>
            <w:r>
              <w:rPr>
                <w:rFonts w:ascii="Times New Roman" w:hAnsi="Times New Roman" w:eastAsia="Times New Roman"/>
                <w:sz w:val="26"/>
                <w:szCs w:val="26"/>
              </w:rPr>
              <w:t>$351,919.32</w:t>
            </w:r>
          </w:p>
        </w:tc>
      </w:tr>
    </w:tbl>
    <w:p w:rsidR="00F14C75" w:rsidP="00BD0F89" w:rsidRDefault="00F14C75" w14:paraId="137666B7" w14:textId="77777777">
      <w:pPr>
        <w:spacing w:after="0" w:line="240" w:lineRule="auto"/>
        <w:rPr>
          <w:rStyle w:val="CommentReference"/>
        </w:rPr>
      </w:pPr>
    </w:p>
    <w:tbl>
      <w:tblPr>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158"/>
        <w:gridCol w:w="2250"/>
        <w:gridCol w:w="2448"/>
      </w:tblGrid>
      <w:tr w:rsidRPr="00F93C35" w:rsidR="00F14C75" w:rsidTr="00F97A1A" w14:paraId="5CDDE11A" w14:textId="77777777">
        <w:trPr>
          <w:jc w:val="right"/>
        </w:trPr>
        <w:tc>
          <w:tcPr>
            <w:tcW w:w="4158" w:type="dxa"/>
            <w:shd w:val="clear" w:color="auto" w:fill="auto"/>
          </w:tcPr>
          <w:p w:rsidRPr="00F14C75" w:rsidR="00F14C75" w:rsidP="00F14C75" w:rsidRDefault="00F14C75" w14:paraId="404F372C" w14:textId="2BE430F2">
            <w:pPr>
              <w:spacing w:after="0" w:line="240" w:lineRule="auto"/>
              <w:jc w:val="center"/>
              <w:rPr>
                <w:rFonts w:ascii="Times New Roman" w:hAnsi="Times New Roman" w:eastAsia="Times New Roman"/>
                <w:b/>
                <w:sz w:val="26"/>
                <w:szCs w:val="26"/>
              </w:rPr>
            </w:pPr>
            <w:r>
              <w:rPr>
                <w:rFonts w:ascii="Times New Roman" w:hAnsi="Times New Roman" w:eastAsia="Times New Roman"/>
                <w:b/>
                <w:sz w:val="26"/>
                <w:szCs w:val="26"/>
              </w:rPr>
              <w:t>FORM No. 2</w:t>
            </w:r>
            <w:r w:rsidR="00C77A47">
              <w:rPr>
                <w:rFonts w:ascii="Times New Roman" w:hAnsi="Times New Roman" w:eastAsia="Times New Roman"/>
                <w:b/>
                <w:sz w:val="26"/>
                <w:szCs w:val="26"/>
              </w:rPr>
              <w:t>-</w:t>
            </w:r>
            <w:r>
              <w:rPr>
                <w:rFonts w:ascii="Times New Roman" w:hAnsi="Times New Roman" w:eastAsia="Times New Roman"/>
                <w:b/>
                <w:sz w:val="26"/>
                <w:szCs w:val="26"/>
              </w:rPr>
              <w:t>A</w:t>
            </w:r>
          </w:p>
        </w:tc>
        <w:tc>
          <w:tcPr>
            <w:tcW w:w="2250" w:type="dxa"/>
            <w:shd w:val="clear" w:color="auto" w:fill="auto"/>
            <w:vAlign w:val="bottom"/>
          </w:tcPr>
          <w:p w:rsidRPr="00F93C35" w:rsidR="00F14C75" w:rsidP="00F97A1A" w:rsidRDefault="00F14C75" w14:paraId="3A0471C5" w14:textId="77777777">
            <w:pPr>
              <w:spacing w:after="0" w:line="240" w:lineRule="auto"/>
              <w:jc w:val="center"/>
              <w:rPr>
                <w:rFonts w:ascii="Times New Roman" w:hAnsi="Times New Roman" w:eastAsia="Times New Roman"/>
                <w:b/>
                <w:sz w:val="26"/>
                <w:szCs w:val="26"/>
              </w:rPr>
            </w:pPr>
            <w:r w:rsidRPr="00F93C35">
              <w:rPr>
                <w:rFonts w:ascii="Times New Roman" w:hAnsi="Times New Roman" w:eastAsia="Times New Roman"/>
                <w:b/>
                <w:sz w:val="26"/>
                <w:szCs w:val="26"/>
              </w:rPr>
              <w:t>No. of Employees (FTE’s)</w:t>
            </w:r>
            <w:r w:rsidRPr="00F93C35">
              <w:rPr>
                <w:rFonts w:ascii="Times New Roman" w:hAnsi="Times New Roman" w:eastAsia="Times New Roman"/>
                <w:sz w:val="26"/>
                <w:szCs w:val="26"/>
                <w:vertAlign w:val="superscript"/>
              </w:rPr>
              <w:footnoteReference w:id="16"/>
            </w:r>
          </w:p>
        </w:tc>
        <w:tc>
          <w:tcPr>
            <w:tcW w:w="2448" w:type="dxa"/>
            <w:shd w:val="clear" w:color="auto" w:fill="auto"/>
            <w:vAlign w:val="bottom"/>
          </w:tcPr>
          <w:p w:rsidRPr="00F93C35" w:rsidR="00F14C75" w:rsidP="00F97A1A" w:rsidRDefault="00F14C75" w14:paraId="578D63CA" w14:textId="77777777">
            <w:pPr>
              <w:spacing w:after="0" w:line="240" w:lineRule="auto"/>
              <w:jc w:val="center"/>
              <w:rPr>
                <w:rFonts w:ascii="Times New Roman" w:hAnsi="Times New Roman" w:eastAsia="Times New Roman"/>
                <w:b/>
                <w:sz w:val="26"/>
                <w:szCs w:val="26"/>
              </w:rPr>
            </w:pPr>
            <w:r w:rsidRPr="00F93C35">
              <w:rPr>
                <w:rFonts w:ascii="Times New Roman" w:hAnsi="Times New Roman" w:eastAsia="Times New Roman"/>
                <w:b/>
                <w:sz w:val="26"/>
                <w:szCs w:val="26"/>
              </w:rPr>
              <w:t xml:space="preserve">Estimated Annual Federal Cost ($) </w:t>
            </w:r>
          </w:p>
          <w:p w:rsidRPr="00F93C35" w:rsidR="00F14C75" w:rsidP="00F97A1A" w:rsidRDefault="00F14C75" w14:paraId="663A1253" w14:textId="77777777">
            <w:pPr>
              <w:spacing w:after="0" w:line="240" w:lineRule="auto"/>
              <w:jc w:val="center"/>
              <w:rPr>
                <w:rFonts w:ascii="Times New Roman" w:hAnsi="Times New Roman" w:eastAsia="Times New Roman"/>
                <w:b/>
                <w:sz w:val="26"/>
                <w:szCs w:val="26"/>
              </w:rPr>
            </w:pPr>
            <w:r w:rsidRPr="00F93C35">
              <w:rPr>
                <w:rFonts w:ascii="Times New Roman" w:hAnsi="Times New Roman" w:eastAsia="Times New Roman"/>
                <w:b/>
                <w:sz w:val="26"/>
                <w:szCs w:val="26"/>
              </w:rPr>
              <w:t>(rounded)</w:t>
            </w:r>
          </w:p>
        </w:tc>
      </w:tr>
      <w:tr w:rsidRPr="00F93C35" w:rsidR="00F14C75" w:rsidTr="00F97A1A" w14:paraId="086CCCA5" w14:textId="77777777">
        <w:trPr>
          <w:jc w:val="right"/>
        </w:trPr>
        <w:tc>
          <w:tcPr>
            <w:tcW w:w="4158" w:type="dxa"/>
            <w:shd w:val="clear" w:color="auto" w:fill="auto"/>
          </w:tcPr>
          <w:p w:rsidRPr="00F93C35" w:rsidR="00F14C75" w:rsidP="00F97A1A" w:rsidRDefault="00F14C75" w14:paraId="47119250" w14:textId="77777777">
            <w:pPr>
              <w:spacing w:after="0" w:line="240" w:lineRule="auto"/>
              <w:rPr>
                <w:rFonts w:ascii="Times New Roman" w:hAnsi="Times New Roman" w:eastAsia="Times New Roman"/>
                <w:bCs/>
                <w:sz w:val="26"/>
                <w:szCs w:val="26"/>
              </w:rPr>
            </w:pPr>
            <w:r w:rsidRPr="00F93C35">
              <w:rPr>
                <w:rFonts w:ascii="Times New Roman" w:hAnsi="Times New Roman" w:eastAsia="Times New Roman"/>
                <w:bCs/>
                <w:sz w:val="26"/>
                <w:szCs w:val="26"/>
              </w:rPr>
              <w:t>Analysis and Processing of Filings</w:t>
            </w:r>
            <w:r w:rsidRPr="00F93C35">
              <w:rPr>
                <w:rFonts w:ascii="Times New Roman" w:hAnsi="Times New Roman" w:eastAsia="Times New Roman"/>
                <w:b/>
                <w:bCs/>
                <w:sz w:val="26"/>
                <w:szCs w:val="26"/>
                <w:vertAlign w:val="superscript"/>
              </w:rPr>
              <w:footnoteReference w:id="17"/>
            </w:r>
            <w:r w:rsidRPr="00F93C35">
              <w:rPr>
                <w:rFonts w:ascii="Times New Roman" w:hAnsi="Times New Roman" w:eastAsia="Times New Roman"/>
                <w:bCs/>
                <w:sz w:val="26"/>
                <w:szCs w:val="26"/>
              </w:rPr>
              <w:t xml:space="preserve"> </w:t>
            </w:r>
          </w:p>
        </w:tc>
        <w:tc>
          <w:tcPr>
            <w:tcW w:w="2250" w:type="dxa"/>
            <w:shd w:val="clear" w:color="auto" w:fill="auto"/>
            <w:vAlign w:val="bottom"/>
          </w:tcPr>
          <w:p w:rsidRPr="00F93C35" w:rsidR="00F14C75" w:rsidP="00F97A1A" w:rsidRDefault="00F14C75" w14:paraId="0826E82C" w14:textId="15F27E26">
            <w:pPr>
              <w:spacing w:after="0" w:line="240" w:lineRule="auto"/>
              <w:jc w:val="right"/>
              <w:rPr>
                <w:rFonts w:ascii="Times New Roman" w:hAnsi="Times New Roman" w:eastAsia="Times New Roman"/>
                <w:sz w:val="26"/>
                <w:szCs w:val="26"/>
              </w:rPr>
            </w:pPr>
            <w:r>
              <w:rPr>
                <w:rFonts w:ascii="Times New Roman" w:hAnsi="Times New Roman" w:eastAsia="Times New Roman"/>
                <w:sz w:val="26"/>
                <w:szCs w:val="26"/>
              </w:rPr>
              <w:t>.69</w:t>
            </w:r>
          </w:p>
        </w:tc>
        <w:tc>
          <w:tcPr>
            <w:tcW w:w="2448" w:type="dxa"/>
            <w:shd w:val="clear" w:color="auto" w:fill="auto"/>
            <w:vAlign w:val="bottom"/>
          </w:tcPr>
          <w:p w:rsidRPr="00F93C35" w:rsidR="00F14C75" w:rsidP="00F97A1A" w:rsidRDefault="00F14C75" w14:paraId="57A5A30B" w14:textId="3B16F703">
            <w:pPr>
              <w:spacing w:after="0" w:line="240" w:lineRule="auto"/>
              <w:jc w:val="right"/>
              <w:rPr>
                <w:rFonts w:ascii="Times New Roman" w:hAnsi="Times New Roman" w:eastAsia="Times New Roman"/>
                <w:sz w:val="26"/>
                <w:szCs w:val="26"/>
              </w:rPr>
            </w:pPr>
            <w:r>
              <w:rPr>
                <w:rFonts w:ascii="Times New Roman" w:hAnsi="Times New Roman" w:eastAsia="Times New Roman"/>
                <w:sz w:val="26"/>
                <w:szCs w:val="26"/>
              </w:rPr>
              <w:t>$1</w:t>
            </w:r>
            <w:r w:rsidR="00F8458F">
              <w:rPr>
                <w:rFonts w:ascii="Times New Roman" w:hAnsi="Times New Roman" w:eastAsia="Times New Roman"/>
                <w:sz w:val="26"/>
                <w:szCs w:val="26"/>
              </w:rPr>
              <w:t>15,292.79</w:t>
            </w:r>
          </w:p>
        </w:tc>
      </w:tr>
      <w:tr w:rsidRPr="00F93C35" w:rsidR="00F14C75" w:rsidTr="00F97A1A" w14:paraId="1D3A7DCA" w14:textId="77777777">
        <w:trPr>
          <w:jc w:val="right"/>
        </w:trPr>
        <w:tc>
          <w:tcPr>
            <w:tcW w:w="4158" w:type="dxa"/>
            <w:shd w:val="clear" w:color="auto" w:fill="auto"/>
          </w:tcPr>
          <w:p w:rsidRPr="00F93C35" w:rsidR="00F14C75" w:rsidP="00F97A1A" w:rsidRDefault="00F14C75" w14:paraId="50F37BC8" w14:textId="17F1D279">
            <w:pPr>
              <w:spacing w:after="0" w:line="240" w:lineRule="auto"/>
              <w:rPr>
                <w:rFonts w:ascii="Times New Roman" w:hAnsi="Times New Roman" w:eastAsia="Times New Roman"/>
                <w:bCs/>
                <w:sz w:val="26"/>
                <w:szCs w:val="26"/>
              </w:rPr>
            </w:pPr>
            <w:r w:rsidRPr="00F93C35">
              <w:rPr>
                <w:rFonts w:ascii="Times New Roman" w:hAnsi="Times New Roman" w:eastAsia="Times New Roman"/>
                <w:bCs/>
                <w:sz w:val="26"/>
                <w:szCs w:val="26"/>
              </w:rPr>
              <w:t>PRA Administrative Cost</w:t>
            </w:r>
            <w:r>
              <w:rPr>
                <w:rFonts w:ascii="Times New Roman" w:hAnsi="Times New Roman" w:eastAsia="Times New Roman"/>
                <w:bCs/>
                <w:sz w:val="26"/>
                <w:szCs w:val="26"/>
              </w:rPr>
              <w:t xml:space="preserve"> </w:t>
            </w:r>
          </w:p>
        </w:tc>
        <w:tc>
          <w:tcPr>
            <w:tcW w:w="2250" w:type="dxa"/>
            <w:shd w:val="clear" w:color="auto" w:fill="auto"/>
            <w:vAlign w:val="bottom"/>
          </w:tcPr>
          <w:p w:rsidRPr="00F93C35" w:rsidR="00F14C75" w:rsidP="00F97A1A" w:rsidRDefault="00F14C75" w14:paraId="27E07715" w14:textId="77777777">
            <w:pPr>
              <w:spacing w:after="0" w:line="240" w:lineRule="auto"/>
              <w:jc w:val="right"/>
              <w:rPr>
                <w:rFonts w:ascii="Times New Roman" w:hAnsi="Times New Roman" w:eastAsia="Times New Roman"/>
                <w:b/>
                <w:sz w:val="26"/>
                <w:szCs w:val="26"/>
              </w:rPr>
            </w:pPr>
          </w:p>
        </w:tc>
        <w:tc>
          <w:tcPr>
            <w:tcW w:w="2448" w:type="dxa"/>
            <w:shd w:val="clear" w:color="auto" w:fill="auto"/>
            <w:vAlign w:val="bottom"/>
          </w:tcPr>
          <w:p w:rsidRPr="00F93C35" w:rsidR="00F14C75" w:rsidP="00F97A1A" w:rsidRDefault="00F14C75" w14:paraId="694528C8" w14:textId="0C8D31AB">
            <w:pPr>
              <w:spacing w:after="0" w:line="240" w:lineRule="auto"/>
              <w:jc w:val="right"/>
              <w:rPr>
                <w:rFonts w:ascii="Times New Roman" w:hAnsi="Times New Roman" w:eastAsia="Times New Roman"/>
                <w:sz w:val="26"/>
                <w:szCs w:val="26"/>
              </w:rPr>
            </w:pPr>
            <w:r w:rsidRPr="00F93C35">
              <w:rPr>
                <w:rFonts w:ascii="Times New Roman" w:hAnsi="Times New Roman" w:eastAsia="Times New Roman"/>
                <w:sz w:val="26"/>
                <w:szCs w:val="26"/>
              </w:rPr>
              <w:t>$</w:t>
            </w:r>
            <w:r>
              <w:rPr>
                <w:rFonts w:ascii="Times New Roman" w:hAnsi="Times New Roman" w:eastAsia="Times New Roman"/>
                <w:sz w:val="26"/>
                <w:szCs w:val="26"/>
              </w:rPr>
              <w:t>4,832</w:t>
            </w:r>
          </w:p>
        </w:tc>
      </w:tr>
      <w:tr w:rsidRPr="00F93C35" w:rsidR="00F14C75" w:rsidTr="00F97A1A" w14:paraId="20AD882E" w14:textId="77777777">
        <w:trPr>
          <w:jc w:val="right"/>
        </w:trPr>
        <w:tc>
          <w:tcPr>
            <w:tcW w:w="4158" w:type="dxa"/>
            <w:shd w:val="clear" w:color="auto" w:fill="auto"/>
          </w:tcPr>
          <w:p w:rsidRPr="00F93C35" w:rsidR="00F14C75" w:rsidP="00F97A1A" w:rsidRDefault="00F14C75" w14:paraId="67F86EE5" w14:textId="1FB72698">
            <w:pPr>
              <w:spacing w:after="0" w:line="240" w:lineRule="auto"/>
              <w:rPr>
                <w:rFonts w:ascii="Times New Roman" w:hAnsi="Times New Roman" w:eastAsia="Times New Roman"/>
                <w:bCs/>
                <w:sz w:val="26"/>
                <w:szCs w:val="26"/>
              </w:rPr>
            </w:pPr>
            <w:r>
              <w:rPr>
                <w:rFonts w:ascii="Times New Roman" w:hAnsi="Times New Roman" w:eastAsia="Times New Roman"/>
                <w:bCs/>
                <w:sz w:val="26"/>
                <w:szCs w:val="26"/>
              </w:rPr>
              <w:t xml:space="preserve">XBRL </w:t>
            </w:r>
            <w:r w:rsidRPr="00F93C35">
              <w:rPr>
                <w:rFonts w:ascii="Times New Roman" w:hAnsi="Times New Roman" w:eastAsia="Times New Roman"/>
                <w:bCs/>
                <w:sz w:val="26"/>
                <w:szCs w:val="26"/>
              </w:rPr>
              <w:t xml:space="preserve">FERC </w:t>
            </w:r>
            <w:r>
              <w:rPr>
                <w:rFonts w:ascii="Times New Roman" w:hAnsi="Times New Roman" w:eastAsia="Times New Roman"/>
                <w:bCs/>
                <w:sz w:val="26"/>
                <w:szCs w:val="26"/>
              </w:rPr>
              <w:t xml:space="preserve">IT development, implementation, and </w:t>
            </w:r>
            <w:proofErr w:type="spellStart"/>
            <w:r>
              <w:rPr>
                <w:rFonts w:ascii="Times New Roman" w:hAnsi="Times New Roman" w:eastAsia="Times New Roman"/>
                <w:bCs/>
                <w:sz w:val="26"/>
                <w:szCs w:val="26"/>
              </w:rPr>
              <w:t>maintanence</w:t>
            </w:r>
            <w:proofErr w:type="spellEnd"/>
            <w:r>
              <w:rPr>
                <w:rFonts w:ascii="Times New Roman" w:hAnsi="Times New Roman" w:eastAsia="Times New Roman"/>
                <w:bCs/>
                <w:sz w:val="26"/>
                <w:szCs w:val="26"/>
              </w:rPr>
              <w:t xml:space="preserve"> costs approved in RM19-12-000 </w:t>
            </w:r>
          </w:p>
        </w:tc>
        <w:tc>
          <w:tcPr>
            <w:tcW w:w="2250" w:type="dxa"/>
            <w:shd w:val="clear" w:color="auto" w:fill="auto"/>
            <w:vAlign w:val="bottom"/>
          </w:tcPr>
          <w:p w:rsidRPr="00F93C35" w:rsidR="00F14C75" w:rsidP="00F97A1A" w:rsidRDefault="00F14C75" w14:paraId="40C33017" w14:textId="77777777">
            <w:pPr>
              <w:spacing w:after="0" w:line="240" w:lineRule="auto"/>
              <w:jc w:val="right"/>
              <w:rPr>
                <w:rFonts w:ascii="Times New Roman" w:hAnsi="Times New Roman" w:eastAsia="Times New Roman"/>
                <w:b/>
                <w:sz w:val="26"/>
                <w:szCs w:val="26"/>
              </w:rPr>
            </w:pPr>
          </w:p>
        </w:tc>
        <w:tc>
          <w:tcPr>
            <w:tcW w:w="2448" w:type="dxa"/>
            <w:shd w:val="clear" w:color="auto" w:fill="auto"/>
            <w:vAlign w:val="bottom"/>
          </w:tcPr>
          <w:p w:rsidRPr="004157B4" w:rsidR="00F14C75" w:rsidP="00F97A1A" w:rsidRDefault="00F14C75" w14:paraId="1B18C796" w14:textId="182C76D0">
            <w:pPr>
              <w:spacing w:after="0" w:line="240" w:lineRule="auto"/>
              <w:jc w:val="right"/>
              <w:rPr>
                <w:rFonts w:ascii="Times New Roman" w:hAnsi="Times New Roman" w:eastAsia="Times New Roman"/>
                <w:sz w:val="26"/>
                <w:szCs w:val="26"/>
              </w:rPr>
            </w:pPr>
            <w:r w:rsidRPr="00212EF9">
              <w:rPr>
                <w:rFonts w:ascii="Times New Roman" w:hAnsi="Times New Roman" w:eastAsia="Times New Roman"/>
                <w:sz w:val="26"/>
                <w:szCs w:val="26"/>
              </w:rPr>
              <w:t>$</w:t>
            </w:r>
            <w:r>
              <w:rPr>
                <w:rFonts w:ascii="Times New Roman" w:hAnsi="Times New Roman" w:eastAsia="Times New Roman"/>
                <w:sz w:val="26"/>
                <w:szCs w:val="26"/>
              </w:rPr>
              <w:t>179,996.32</w:t>
            </w:r>
          </w:p>
        </w:tc>
      </w:tr>
      <w:tr w:rsidRPr="00F93C35" w:rsidR="00F14C75" w:rsidTr="00F97A1A" w14:paraId="362AA113" w14:textId="77777777">
        <w:trPr>
          <w:jc w:val="right"/>
        </w:trPr>
        <w:tc>
          <w:tcPr>
            <w:tcW w:w="4158" w:type="dxa"/>
            <w:shd w:val="clear" w:color="auto" w:fill="auto"/>
          </w:tcPr>
          <w:p w:rsidRPr="00F93C35" w:rsidR="00F14C75" w:rsidP="00F97A1A" w:rsidRDefault="00F14C75" w14:paraId="3C4E1983" w14:textId="77777777">
            <w:pPr>
              <w:spacing w:after="0" w:line="240" w:lineRule="auto"/>
              <w:rPr>
                <w:rFonts w:ascii="Times New Roman" w:hAnsi="Times New Roman" w:eastAsia="Times New Roman"/>
                <w:bCs/>
                <w:sz w:val="26"/>
                <w:szCs w:val="26"/>
              </w:rPr>
            </w:pPr>
            <w:r>
              <w:rPr>
                <w:rFonts w:ascii="Times New Roman" w:hAnsi="Times New Roman" w:eastAsia="Times New Roman"/>
                <w:bCs/>
                <w:sz w:val="26"/>
                <w:szCs w:val="26"/>
              </w:rPr>
              <w:t>FERC total</w:t>
            </w:r>
          </w:p>
        </w:tc>
        <w:tc>
          <w:tcPr>
            <w:tcW w:w="2250" w:type="dxa"/>
            <w:shd w:val="clear" w:color="auto" w:fill="auto"/>
            <w:vAlign w:val="bottom"/>
          </w:tcPr>
          <w:p w:rsidRPr="00F93C35" w:rsidR="00F14C75" w:rsidP="00F97A1A" w:rsidRDefault="00F14C75" w14:paraId="1B359766" w14:textId="77777777">
            <w:pPr>
              <w:spacing w:after="0" w:line="240" w:lineRule="auto"/>
              <w:jc w:val="right"/>
              <w:rPr>
                <w:rFonts w:ascii="Times New Roman" w:hAnsi="Times New Roman" w:eastAsia="Times New Roman"/>
                <w:b/>
                <w:sz w:val="26"/>
                <w:szCs w:val="26"/>
              </w:rPr>
            </w:pPr>
          </w:p>
        </w:tc>
        <w:tc>
          <w:tcPr>
            <w:tcW w:w="2448" w:type="dxa"/>
            <w:shd w:val="clear" w:color="auto" w:fill="auto"/>
            <w:vAlign w:val="bottom"/>
          </w:tcPr>
          <w:p w:rsidRPr="004157B4" w:rsidR="00F14C75" w:rsidP="00F97A1A" w:rsidRDefault="00F14C75" w14:paraId="71FDF19A" w14:textId="612A93B1">
            <w:pPr>
              <w:spacing w:after="0" w:line="240" w:lineRule="auto"/>
              <w:jc w:val="right"/>
              <w:rPr>
                <w:rFonts w:ascii="Times New Roman" w:hAnsi="Times New Roman" w:eastAsia="Times New Roman"/>
                <w:sz w:val="26"/>
                <w:szCs w:val="26"/>
              </w:rPr>
            </w:pPr>
            <w:r w:rsidRPr="00212EF9">
              <w:rPr>
                <w:rFonts w:ascii="Times New Roman" w:hAnsi="Times New Roman" w:eastAsia="Times New Roman"/>
                <w:sz w:val="26"/>
                <w:szCs w:val="26"/>
              </w:rPr>
              <w:t>$</w:t>
            </w:r>
            <w:r w:rsidR="00F8458F">
              <w:rPr>
                <w:rFonts w:ascii="Times New Roman" w:hAnsi="Times New Roman" w:eastAsia="Times New Roman"/>
                <w:sz w:val="26"/>
                <w:szCs w:val="26"/>
              </w:rPr>
              <w:t>300,121.11</w:t>
            </w:r>
          </w:p>
        </w:tc>
      </w:tr>
    </w:tbl>
    <w:p w:rsidR="00F93C35" w:rsidP="00BD0F89" w:rsidRDefault="00F93C35" w14:paraId="660A0690" w14:textId="56A1ACFE">
      <w:pPr>
        <w:spacing w:after="0" w:line="240" w:lineRule="auto"/>
        <w:rPr>
          <w:rFonts w:ascii="Times New Roman" w:hAnsi="Times New Roman"/>
          <w:b/>
          <w:sz w:val="26"/>
          <w:szCs w:val="26"/>
        </w:rPr>
      </w:pPr>
    </w:p>
    <w:p w:rsidRPr="00212EF9" w:rsidR="00732F3E" w:rsidP="00BD0F89" w:rsidRDefault="00732F3E" w14:paraId="5F678C55" w14:textId="0209B9AE">
      <w:pPr>
        <w:spacing w:after="0" w:line="240" w:lineRule="auto"/>
        <w:rPr>
          <w:rFonts w:ascii="Times New Roman" w:hAnsi="Times New Roman"/>
          <w:bCs/>
          <w:sz w:val="26"/>
          <w:szCs w:val="26"/>
        </w:rPr>
      </w:pPr>
      <w:r w:rsidRPr="00212EF9">
        <w:rPr>
          <w:rFonts w:ascii="Times New Roman" w:hAnsi="Times New Roman"/>
          <w:bCs/>
          <w:sz w:val="26"/>
          <w:szCs w:val="26"/>
        </w:rPr>
        <w:t>XBRL FERC IT Costs:</w:t>
      </w:r>
    </w:p>
    <w:p w:rsidRPr="00212EF9" w:rsidR="00732F3E" w:rsidP="00BD0F89" w:rsidRDefault="00732F3E" w14:paraId="4A250906" w14:textId="77777777">
      <w:pPr>
        <w:spacing w:after="0" w:line="240" w:lineRule="auto"/>
        <w:rPr>
          <w:rFonts w:ascii="Times New Roman" w:hAnsi="Times New Roman"/>
          <w:bCs/>
          <w:sz w:val="26"/>
          <w:szCs w:val="26"/>
        </w:rPr>
      </w:pPr>
    </w:p>
    <w:p w:rsidRPr="00212EF9" w:rsidR="00212382" w:rsidP="00BD0F89" w:rsidRDefault="00212382" w14:paraId="1E303099" w14:textId="3970DA8C">
      <w:pPr>
        <w:spacing w:after="0" w:line="240" w:lineRule="auto"/>
        <w:rPr>
          <w:rFonts w:ascii="Times New Roman" w:hAnsi="Times New Roman"/>
          <w:bCs/>
          <w:sz w:val="26"/>
          <w:szCs w:val="26"/>
        </w:rPr>
      </w:pPr>
      <w:r w:rsidRPr="00212EF9">
        <w:rPr>
          <w:rFonts w:ascii="Times New Roman" w:hAnsi="Times New Roman"/>
          <w:bCs/>
          <w:sz w:val="26"/>
          <w:szCs w:val="26"/>
        </w:rPr>
        <w:t xml:space="preserve">For administrative convenience, in RM19-12-000, the XBRL </w:t>
      </w:r>
      <w:r w:rsidRPr="00212EF9" w:rsidR="00516A6C">
        <w:rPr>
          <w:rFonts w:ascii="Times New Roman" w:hAnsi="Times New Roman"/>
          <w:bCs/>
          <w:sz w:val="26"/>
          <w:szCs w:val="26"/>
        </w:rPr>
        <w:t xml:space="preserve">FERC </w:t>
      </w:r>
      <w:r w:rsidRPr="00212EF9">
        <w:rPr>
          <w:rFonts w:ascii="Times New Roman" w:hAnsi="Times New Roman"/>
          <w:bCs/>
          <w:sz w:val="26"/>
          <w:szCs w:val="26"/>
        </w:rPr>
        <w:t xml:space="preserve">IT </w:t>
      </w:r>
      <w:r w:rsidRPr="00212EF9" w:rsidR="00516A6C">
        <w:rPr>
          <w:rFonts w:ascii="Times New Roman" w:hAnsi="Times New Roman"/>
          <w:bCs/>
          <w:sz w:val="26"/>
          <w:szCs w:val="26"/>
        </w:rPr>
        <w:t xml:space="preserve">development, implementation and maintenance </w:t>
      </w:r>
      <w:r w:rsidRPr="00212EF9">
        <w:rPr>
          <w:rFonts w:ascii="Times New Roman" w:hAnsi="Times New Roman"/>
          <w:bCs/>
          <w:sz w:val="26"/>
          <w:szCs w:val="26"/>
        </w:rPr>
        <w:t>cost of $5,399,889.45 was sp</w:t>
      </w:r>
      <w:r w:rsidRPr="00212EF9" w:rsidR="003C11D8">
        <w:rPr>
          <w:rFonts w:ascii="Times New Roman" w:hAnsi="Times New Roman"/>
          <w:bCs/>
          <w:sz w:val="26"/>
          <w:szCs w:val="26"/>
        </w:rPr>
        <w:t>l</w:t>
      </w:r>
      <w:r w:rsidRPr="00212EF9">
        <w:rPr>
          <w:rFonts w:ascii="Times New Roman" w:hAnsi="Times New Roman"/>
          <w:bCs/>
          <w:sz w:val="26"/>
          <w:szCs w:val="26"/>
        </w:rPr>
        <w:t>it equally over each of Years 1-3 for each of the 10 forms, giving $179,996.32 [($5,399,889.45 ÷ 10) ÷ 3 = $179,996.32] annually per form.   For the</w:t>
      </w:r>
      <w:r w:rsidRPr="00212EF9" w:rsidR="00516A6C">
        <w:rPr>
          <w:rFonts w:ascii="Times New Roman" w:hAnsi="Times New Roman"/>
          <w:bCs/>
          <w:sz w:val="26"/>
          <w:szCs w:val="26"/>
        </w:rPr>
        <w:t>se</w:t>
      </w:r>
      <w:r w:rsidRPr="00212EF9">
        <w:rPr>
          <w:rFonts w:ascii="Times New Roman" w:hAnsi="Times New Roman"/>
          <w:bCs/>
          <w:sz w:val="26"/>
          <w:szCs w:val="26"/>
        </w:rPr>
        <w:t xml:space="preserve"> XBRL IT costs, the Commission is currently in Year 1 (2020), which leaves the remaining two years of costs</w:t>
      </w:r>
      <w:r w:rsidRPr="00212EF9" w:rsidR="00516A6C">
        <w:rPr>
          <w:rFonts w:ascii="Times New Roman" w:hAnsi="Times New Roman"/>
          <w:bCs/>
          <w:sz w:val="26"/>
          <w:szCs w:val="26"/>
        </w:rPr>
        <w:t xml:space="preserve"> (2021 and 2022) relevant to this collection cycle.  </w:t>
      </w:r>
    </w:p>
    <w:p w:rsidRPr="00212EF9" w:rsidR="00732F3E" w:rsidP="00BD0F89" w:rsidRDefault="00732F3E" w14:paraId="4BAF2971" w14:textId="19D5C1AC">
      <w:pPr>
        <w:spacing w:after="0" w:line="240" w:lineRule="auto"/>
        <w:rPr>
          <w:rFonts w:ascii="Times New Roman" w:hAnsi="Times New Roman"/>
          <w:bCs/>
          <w:sz w:val="26"/>
          <w:szCs w:val="26"/>
        </w:rPr>
      </w:pPr>
    </w:p>
    <w:p w:rsidRPr="00212EF9" w:rsidR="00732F3E" w:rsidP="00BD0F89" w:rsidRDefault="00732F3E" w14:paraId="3873B35C" w14:textId="08D7A0BB">
      <w:pPr>
        <w:spacing w:after="0" w:line="240" w:lineRule="auto"/>
        <w:rPr>
          <w:rFonts w:ascii="Times New Roman" w:hAnsi="Times New Roman"/>
          <w:bCs/>
          <w:sz w:val="26"/>
          <w:szCs w:val="26"/>
        </w:rPr>
      </w:pPr>
      <w:r w:rsidRPr="00212EF9">
        <w:rPr>
          <w:rFonts w:ascii="Times New Roman" w:hAnsi="Times New Roman"/>
          <w:bCs/>
          <w:sz w:val="26"/>
          <w:szCs w:val="26"/>
        </w:rPr>
        <w:t>*</w:t>
      </w:r>
      <w:bookmarkStart w:name="_Hlk52978916" w:id="4"/>
      <w:r w:rsidRPr="00212EF9">
        <w:rPr>
          <w:rFonts w:ascii="Times New Roman" w:hAnsi="Times New Roman"/>
          <w:bCs/>
          <w:sz w:val="26"/>
          <w:szCs w:val="26"/>
        </w:rPr>
        <w:t>There are no XBRL FERC IT costs for Year 3 (2023) of the collection cycle.</w:t>
      </w:r>
      <w:r w:rsidRPr="00212EF9" w:rsidR="003C11D8">
        <w:rPr>
          <w:rFonts w:ascii="Times New Roman" w:hAnsi="Times New Roman"/>
          <w:bCs/>
          <w:sz w:val="26"/>
          <w:szCs w:val="26"/>
        </w:rPr>
        <w:t xml:space="preserve">  </w:t>
      </w:r>
      <w:bookmarkEnd w:id="4"/>
      <w:r w:rsidRPr="00212EF9" w:rsidR="003C11D8">
        <w:rPr>
          <w:rFonts w:ascii="Times New Roman" w:hAnsi="Times New Roman"/>
          <w:bCs/>
          <w:sz w:val="26"/>
          <w:szCs w:val="26"/>
        </w:rPr>
        <w:t xml:space="preserve">As indicated below, </w:t>
      </w:r>
      <w:bookmarkStart w:name="_Hlk49437212" w:id="5"/>
      <w:r w:rsidRPr="00212EF9" w:rsidR="003C11D8">
        <w:rPr>
          <w:rFonts w:ascii="Times New Roman" w:hAnsi="Times New Roman"/>
          <w:bCs/>
          <w:sz w:val="26"/>
          <w:szCs w:val="26"/>
        </w:rPr>
        <w:t>the costs of Years 2 and 3 (2 of the 3 years in this OMB clearance cycle) are being averaged over the 3-year clearance cycle</w:t>
      </w:r>
      <w:bookmarkEnd w:id="5"/>
      <w:r w:rsidRPr="00212EF9" w:rsidR="003C11D8">
        <w:rPr>
          <w:rFonts w:ascii="Times New Roman" w:hAnsi="Times New Roman"/>
          <w:bCs/>
          <w:sz w:val="26"/>
          <w:szCs w:val="26"/>
        </w:rPr>
        <w:t xml:space="preserve">. </w:t>
      </w:r>
    </w:p>
    <w:p w:rsidRPr="00212EF9" w:rsidR="00212382" w:rsidP="00BD0F89" w:rsidRDefault="00212382" w14:paraId="5948D151" w14:textId="77777777">
      <w:pPr>
        <w:spacing w:after="0" w:line="240" w:lineRule="auto"/>
        <w:rPr>
          <w:rFonts w:ascii="Times New Roman" w:hAnsi="Times New Roman"/>
          <w:b/>
          <w:sz w:val="26"/>
          <w:szCs w:val="26"/>
        </w:rPr>
      </w:pPr>
    </w:p>
    <w:p w:rsidRPr="00E9060E" w:rsidR="00F20B97" w:rsidP="00BD0F89" w:rsidRDefault="00F20B97" w14:paraId="43CA34DD" w14:textId="0B57F3CD">
      <w:pPr>
        <w:spacing w:after="0" w:line="240" w:lineRule="auto"/>
        <w:rPr>
          <w:rFonts w:ascii="Times New Roman" w:hAnsi="Times New Roman"/>
          <w:b/>
          <w:sz w:val="26"/>
          <w:szCs w:val="26"/>
        </w:rPr>
      </w:pPr>
      <w:r w:rsidRPr="00212EF9">
        <w:rPr>
          <w:rFonts w:ascii="Times New Roman" w:hAnsi="Times New Roman"/>
          <w:b/>
          <w:sz w:val="26"/>
          <w:szCs w:val="26"/>
        </w:rPr>
        <w:t>15. REASONS FOR CHANGES IN BURDEN INCLUDING THE NEED FOR ANY INCREASE</w:t>
      </w:r>
    </w:p>
    <w:p w:rsidR="00F20B97" w:rsidP="00BD0F89" w:rsidRDefault="00F20B97" w14:paraId="3F5AE378" w14:textId="1FA45B1C">
      <w:pPr>
        <w:spacing w:after="0" w:line="240" w:lineRule="auto"/>
        <w:rPr>
          <w:rFonts w:ascii="Times New Roman" w:hAnsi="Times New Roman"/>
          <w:sz w:val="26"/>
          <w:szCs w:val="26"/>
        </w:rPr>
      </w:pPr>
    </w:p>
    <w:p w:rsidR="00F751BE" w:rsidP="00F93C35" w:rsidRDefault="00F751BE" w14:paraId="6284BDDF" w14:textId="0278A410">
      <w:pPr>
        <w:spacing w:after="0" w:line="240" w:lineRule="auto"/>
        <w:rPr>
          <w:rFonts w:ascii="Times New Roman" w:hAnsi="Times New Roman" w:eastAsia="Times New Roman"/>
          <w:sz w:val="26"/>
          <w:szCs w:val="24"/>
        </w:rPr>
      </w:pPr>
      <w:r w:rsidRPr="00131BED">
        <w:rPr>
          <w:rFonts w:ascii="Times New Roman" w:hAnsi="Times New Roman" w:eastAsia="Times New Roman"/>
          <w:b/>
          <w:bCs/>
          <w:sz w:val="26"/>
          <w:szCs w:val="24"/>
        </w:rPr>
        <w:t>Program Change.</w:t>
      </w:r>
      <w:r>
        <w:rPr>
          <w:rFonts w:ascii="Times New Roman" w:hAnsi="Times New Roman" w:eastAsia="Times New Roman"/>
          <w:sz w:val="26"/>
          <w:szCs w:val="24"/>
        </w:rPr>
        <w:t xml:space="preserve">  </w:t>
      </w:r>
      <w:r w:rsidR="00EE0D9E">
        <w:rPr>
          <w:rFonts w:ascii="Times New Roman" w:hAnsi="Times New Roman"/>
          <w:bCs/>
          <w:sz w:val="26"/>
          <w:szCs w:val="26"/>
        </w:rPr>
        <w:t>T</w:t>
      </w:r>
      <w:r w:rsidR="00152AFE">
        <w:rPr>
          <w:rFonts w:ascii="Times New Roman" w:hAnsi="Times New Roman" w:eastAsia="Times New Roman"/>
          <w:sz w:val="26"/>
          <w:szCs w:val="24"/>
        </w:rPr>
        <w:t xml:space="preserve">here is a </w:t>
      </w:r>
      <w:proofErr w:type="spellStart"/>
      <w:r w:rsidR="00152AFE">
        <w:rPr>
          <w:rFonts w:ascii="Times New Roman" w:hAnsi="Times New Roman" w:eastAsia="Times New Roman"/>
          <w:sz w:val="26"/>
          <w:szCs w:val="24"/>
        </w:rPr>
        <w:t>carry over</w:t>
      </w:r>
      <w:proofErr w:type="spellEnd"/>
      <w:r w:rsidR="00152AFE">
        <w:rPr>
          <w:rFonts w:ascii="Times New Roman" w:hAnsi="Times New Roman" w:eastAsia="Times New Roman"/>
          <w:sz w:val="26"/>
          <w:szCs w:val="24"/>
        </w:rPr>
        <w:t xml:space="preserve"> of Annual Cost Burden from RM19-12 XBRL Implementation and maintenance cost that is incorporated for Year 2 and Year 3</w:t>
      </w:r>
      <w:r w:rsidR="00426EC0">
        <w:rPr>
          <w:rFonts w:ascii="Times New Roman" w:hAnsi="Times New Roman" w:eastAsia="Times New Roman"/>
          <w:sz w:val="26"/>
          <w:szCs w:val="24"/>
        </w:rPr>
        <w:t xml:space="preserve"> (Year 1 and Year 2 of the collection cycle)</w:t>
      </w:r>
      <w:r w:rsidR="00152AFE">
        <w:rPr>
          <w:rFonts w:ascii="Times New Roman" w:hAnsi="Times New Roman" w:eastAsia="Times New Roman"/>
          <w:sz w:val="26"/>
          <w:szCs w:val="24"/>
        </w:rPr>
        <w:t xml:space="preserve"> ending in 2022.</w:t>
      </w:r>
      <w:r w:rsidR="00EE0D9E">
        <w:rPr>
          <w:rFonts w:ascii="Times New Roman" w:hAnsi="Times New Roman" w:eastAsia="Times New Roman"/>
          <w:sz w:val="26"/>
          <w:szCs w:val="24"/>
        </w:rPr>
        <w:t xml:space="preserve">  </w:t>
      </w:r>
      <w:r w:rsidRPr="00212EF9" w:rsidR="00EE0D9E">
        <w:rPr>
          <w:rFonts w:ascii="Times New Roman" w:hAnsi="Times New Roman"/>
          <w:bCs/>
          <w:sz w:val="26"/>
          <w:szCs w:val="26"/>
        </w:rPr>
        <w:t>There are no XBRL FERC IT costs for Year 3 (2023) of the collection cycle.</w:t>
      </w:r>
    </w:p>
    <w:p w:rsidR="00F751BE" w:rsidP="00F93C35" w:rsidRDefault="00F751BE" w14:paraId="39846B73" w14:textId="77777777">
      <w:pPr>
        <w:spacing w:after="0" w:line="240" w:lineRule="auto"/>
        <w:rPr>
          <w:rFonts w:ascii="Times New Roman" w:hAnsi="Times New Roman" w:eastAsia="Times New Roman"/>
          <w:sz w:val="26"/>
          <w:szCs w:val="24"/>
        </w:rPr>
      </w:pPr>
    </w:p>
    <w:p w:rsidR="00F93C35" w:rsidP="00F93C35" w:rsidRDefault="006C56A3" w14:paraId="5C2E442B" w14:textId="50B760E9">
      <w:pPr>
        <w:spacing w:after="0" w:line="240" w:lineRule="auto"/>
        <w:rPr>
          <w:rFonts w:ascii="Times New Roman" w:hAnsi="Times New Roman" w:eastAsia="Times New Roman"/>
          <w:sz w:val="26"/>
          <w:szCs w:val="24"/>
        </w:rPr>
      </w:pPr>
      <w:r w:rsidRPr="00212EF9">
        <w:rPr>
          <w:rFonts w:ascii="Times New Roman" w:hAnsi="Times New Roman" w:eastAsia="Times New Roman"/>
          <w:b/>
          <w:bCs/>
          <w:sz w:val="26"/>
          <w:szCs w:val="24"/>
        </w:rPr>
        <w:lastRenderedPageBreak/>
        <w:t>Adjustments in Estimate.</w:t>
      </w:r>
      <w:r>
        <w:rPr>
          <w:rFonts w:ascii="Times New Roman" w:hAnsi="Times New Roman" w:eastAsia="Times New Roman"/>
          <w:sz w:val="26"/>
          <w:szCs w:val="24"/>
        </w:rPr>
        <w:t xml:space="preserve">  </w:t>
      </w:r>
      <w:r w:rsidRPr="00F93C35" w:rsidR="00F93C35">
        <w:rPr>
          <w:rFonts w:ascii="Times New Roman" w:hAnsi="Times New Roman" w:eastAsia="Times New Roman"/>
          <w:sz w:val="26"/>
          <w:szCs w:val="24"/>
        </w:rPr>
        <w:t>There are no changes to the information collection requirements</w:t>
      </w:r>
      <w:r w:rsidR="002933AC">
        <w:rPr>
          <w:rFonts w:ascii="Times New Roman" w:hAnsi="Times New Roman" w:eastAsia="Times New Roman"/>
          <w:sz w:val="26"/>
          <w:szCs w:val="24"/>
        </w:rPr>
        <w:t>.</w:t>
      </w:r>
      <w:r w:rsidRPr="00F93C35" w:rsidR="00F93C35">
        <w:rPr>
          <w:rFonts w:ascii="Times New Roman" w:hAnsi="Times New Roman" w:eastAsia="Times New Roman"/>
          <w:sz w:val="26"/>
          <w:szCs w:val="24"/>
        </w:rPr>
        <w:t xml:space="preserve">  </w:t>
      </w:r>
      <w:r w:rsidR="00B24E2F">
        <w:rPr>
          <w:rFonts w:ascii="Times New Roman" w:hAnsi="Times New Roman" w:eastAsia="Times New Roman"/>
          <w:sz w:val="26"/>
          <w:szCs w:val="24"/>
        </w:rPr>
        <w:t>H</w:t>
      </w:r>
      <w:r w:rsidRPr="00F93C35" w:rsidR="00F93C35">
        <w:rPr>
          <w:rFonts w:ascii="Times New Roman" w:hAnsi="Times New Roman" w:eastAsia="Times New Roman"/>
          <w:sz w:val="26"/>
          <w:szCs w:val="24"/>
        </w:rPr>
        <w:t>owever</w:t>
      </w:r>
      <w:r w:rsidR="00B24E2F">
        <w:rPr>
          <w:rFonts w:ascii="Times New Roman" w:hAnsi="Times New Roman" w:eastAsia="Times New Roman"/>
          <w:sz w:val="26"/>
          <w:szCs w:val="24"/>
        </w:rPr>
        <w:t>,</w:t>
      </w:r>
      <w:r w:rsidRPr="00F93C35" w:rsidR="00F93C35">
        <w:rPr>
          <w:rFonts w:ascii="Times New Roman" w:hAnsi="Times New Roman" w:eastAsia="Times New Roman"/>
          <w:sz w:val="26"/>
          <w:szCs w:val="24"/>
        </w:rPr>
        <w:t xml:space="preserve"> the estimated number of </w:t>
      </w:r>
      <w:r w:rsidR="000D3C3E">
        <w:rPr>
          <w:rFonts w:ascii="Times New Roman" w:hAnsi="Times New Roman" w:eastAsia="Times New Roman"/>
          <w:sz w:val="26"/>
          <w:szCs w:val="24"/>
        </w:rPr>
        <w:t>respondents</w:t>
      </w:r>
      <w:r w:rsidRPr="00F93C35" w:rsidR="00F93C35">
        <w:rPr>
          <w:rFonts w:ascii="Times New Roman" w:hAnsi="Times New Roman" w:eastAsia="Times New Roman"/>
          <w:sz w:val="26"/>
          <w:szCs w:val="24"/>
        </w:rPr>
        <w:t xml:space="preserve"> is updated based on normal fluctuations in industry.  [These revised estimates are also reflected in #12 above</w:t>
      </w:r>
      <w:r w:rsidR="00581F72">
        <w:rPr>
          <w:rFonts w:ascii="Times New Roman" w:hAnsi="Times New Roman" w:eastAsia="Times New Roman"/>
          <w:sz w:val="26"/>
          <w:szCs w:val="24"/>
        </w:rPr>
        <w:t>.]</w:t>
      </w:r>
    </w:p>
    <w:p w:rsidR="009C6915" w:rsidP="00F93C35" w:rsidRDefault="009C6915" w14:paraId="5627CC98" w14:textId="4FE0C3E0">
      <w:pPr>
        <w:spacing w:after="0" w:line="240" w:lineRule="auto"/>
        <w:rPr>
          <w:rFonts w:ascii="Times New Roman" w:hAnsi="Times New Roman" w:eastAsia="Times New Roman"/>
          <w:sz w:val="26"/>
          <w:szCs w:val="24"/>
        </w:rPr>
      </w:pPr>
    </w:p>
    <w:p w:rsidR="0024602D" w:rsidP="00F93C35" w:rsidRDefault="006C56A3" w14:paraId="7B6CA0FE" w14:textId="76C27856">
      <w:pPr>
        <w:widowControl w:val="0"/>
        <w:autoSpaceDE w:val="0"/>
        <w:autoSpaceDN w:val="0"/>
        <w:adjustRightInd w:val="0"/>
        <w:spacing w:after="0" w:line="240" w:lineRule="auto"/>
        <w:rPr>
          <w:rFonts w:ascii="Times New Roman" w:hAnsi="Times New Roman" w:eastAsia="Times New Roman"/>
          <w:sz w:val="26"/>
          <w:szCs w:val="26"/>
        </w:rPr>
      </w:pPr>
      <w:r w:rsidRPr="006C56A3">
        <w:rPr>
          <w:rFonts w:ascii="Times New Roman" w:hAnsi="Times New Roman" w:eastAsia="Times New Roman"/>
          <w:sz w:val="26"/>
          <w:szCs w:val="26"/>
        </w:rPr>
        <w:t xml:space="preserve">The following table </w:t>
      </w:r>
      <w:r w:rsidR="0024602D">
        <w:rPr>
          <w:rFonts w:ascii="Times New Roman" w:hAnsi="Times New Roman" w:eastAsia="Times New Roman"/>
          <w:sz w:val="26"/>
          <w:szCs w:val="26"/>
        </w:rPr>
        <w:t>includes</w:t>
      </w:r>
      <w:r w:rsidRPr="006C56A3">
        <w:rPr>
          <w:rFonts w:ascii="Times New Roman" w:hAnsi="Times New Roman" w:eastAsia="Times New Roman"/>
          <w:sz w:val="26"/>
          <w:szCs w:val="26"/>
        </w:rPr>
        <w:t xml:space="preserve"> </w:t>
      </w:r>
      <w:r w:rsidR="003C11D8">
        <w:rPr>
          <w:rFonts w:ascii="Times New Roman" w:hAnsi="Times New Roman" w:eastAsia="Times New Roman"/>
          <w:sz w:val="26"/>
          <w:szCs w:val="26"/>
        </w:rPr>
        <w:t>adjustment</w:t>
      </w:r>
      <w:r w:rsidR="00F751BE">
        <w:rPr>
          <w:rFonts w:ascii="Times New Roman" w:hAnsi="Times New Roman" w:eastAsia="Times New Roman"/>
          <w:sz w:val="26"/>
          <w:szCs w:val="26"/>
        </w:rPr>
        <w:t xml:space="preserve">s </w:t>
      </w:r>
      <w:r w:rsidRPr="006C56A3">
        <w:rPr>
          <w:rFonts w:ascii="Times New Roman" w:hAnsi="Times New Roman" w:eastAsia="Times New Roman"/>
          <w:sz w:val="26"/>
          <w:szCs w:val="26"/>
        </w:rPr>
        <w:t xml:space="preserve">due to the </w:t>
      </w:r>
      <w:r w:rsidR="00F751BE">
        <w:rPr>
          <w:rFonts w:ascii="Times New Roman" w:hAnsi="Times New Roman" w:eastAsia="Times New Roman"/>
          <w:sz w:val="26"/>
          <w:szCs w:val="26"/>
        </w:rPr>
        <w:t xml:space="preserve">continuing implementation of the </w:t>
      </w:r>
      <w:r w:rsidRPr="006C56A3">
        <w:rPr>
          <w:rFonts w:ascii="Times New Roman" w:hAnsi="Times New Roman" w:eastAsia="Times New Roman"/>
          <w:sz w:val="26"/>
          <w:szCs w:val="26"/>
        </w:rPr>
        <w:t>final rule in Docket No. RM19-12</w:t>
      </w:r>
      <w:r w:rsidR="0024602D">
        <w:rPr>
          <w:rFonts w:ascii="Times New Roman" w:hAnsi="Times New Roman" w:eastAsia="Times New Roman"/>
          <w:sz w:val="26"/>
          <w:szCs w:val="26"/>
        </w:rPr>
        <w:t>-000</w:t>
      </w:r>
      <w:r w:rsidR="00F14C75">
        <w:rPr>
          <w:rFonts w:ascii="Times New Roman" w:hAnsi="Times New Roman" w:eastAsia="Times New Roman"/>
          <w:sz w:val="26"/>
          <w:szCs w:val="26"/>
        </w:rPr>
        <w:t xml:space="preserve"> from the X</w:t>
      </w:r>
      <w:r w:rsidR="00F97A1A">
        <w:rPr>
          <w:rFonts w:ascii="Times New Roman" w:hAnsi="Times New Roman" w:eastAsia="Times New Roman"/>
          <w:sz w:val="26"/>
          <w:szCs w:val="26"/>
        </w:rPr>
        <w:t>BRL</w:t>
      </w:r>
      <w:r w:rsidR="00F14C75">
        <w:rPr>
          <w:rFonts w:ascii="Times New Roman" w:hAnsi="Times New Roman" w:eastAsia="Times New Roman"/>
          <w:sz w:val="26"/>
          <w:szCs w:val="26"/>
        </w:rPr>
        <w:t xml:space="preserve"> Refresh (approved 9/2019)</w:t>
      </w:r>
      <w:r w:rsidR="0024602D">
        <w:rPr>
          <w:rFonts w:ascii="Times New Roman" w:hAnsi="Times New Roman" w:eastAsia="Times New Roman"/>
          <w:sz w:val="26"/>
          <w:szCs w:val="26"/>
        </w:rPr>
        <w:t xml:space="preserve">. </w:t>
      </w:r>
    </w:p>
    <w:p w:rsidR="00470D4A" w:rsidP="00F93C35" w:rsidRDefault="00470D4A" w14:paraId="120267C0" w14:textId="0152EFFE">
      <w:pPr>
        <w:widowControl w:val="0"/>
        <w:autoSpaceDE w:val="0"/>
        <w:autoSpaceDN w:val="0"/>
        <w:adjustRightInd w:val="0"/>
        <w:spacing w:after="0" w:line="240" w:lineRule="auto"/>
        <w:rPr>
          <w:rFonts w:ascii="Times New Roman" w:hAnsi="Times New Roman" w:eastAsia="Times New Roman"/>
          <w:sz w:val="26"/>
          <w:szCs w:val="26"/>
        </w:rPr>
      </w:pPr>
    </w:p>
    <w:p w:rsidR="00F751BE" w:rsidP="00F751BE" w:rsidRDefault="00470D4A" w14:paraId="7477A64F" w14:textId="22ED2845">
      <w:pPr>
        <w:widowControl w:val="0"/>
        <w:autoSpaceDE w:val="0"/>
        <w:autoSpaceDN w:val="0"/>
        <w:adjustRightInd w:val="0"/>
        <w:spacing w:after="0" w:line="240" w:lineRule="auto"/>
        <w:ind w:left="720"/>
        <w:rPr>
          <w:rFonts w:ascii="Times New Roman" w:hAnsi="Times New Roman" w:eastAsia="Times New Roman"/>
          <w:sz w:val="26"/>
          <w:szCs w:val="26"/>
        </w:rPr>
      </w:pPr>
      <w:r>
        <w:rPr>
          <w:rFonts w:ascii="Times New Roman" w:hAnsi="Times New Roman" w:eastAsia="Times New Roman"/>
          <w:sz w:val="26"/>
          <w:szCs w:val="26"/>
        </w:rPr>
        <w:t>Annual cost burden totals are derived from $4,912</w:t>
      </w:r>
      <w:r w:rsidR="000C1167">
        <w:rPr>
          <w:rFonts w:ascii="Times New Roman" w:hAnsi="Times New Roman" w:eastAsia="Times New Roman"/>
          <w:sz w:val="26"/>
          <w:szCs w:val="26"/>
        </w:rPr>
        <w:t xml:space="preserve"> (</w:t>
      </w:r>
      <w:r w:rsidR="00F751BE">
        <w:rPr>
          <w:rFonts w:ascii="Times New Roman" w:hAnsi="Times New Roman" w:eastAsia="Times New Roman"/>
          <w:sz w:val="26"/>
          <w:szCs w:val="26"/>
        </w:rPr>
        <w:t>per response per year</w:t>
      </w:r>
      <w:r w:rsidR="000C1167">
        <w:rPr>
          <w:rFonts w:ascii="Times New Roman" w:hAnsi="Times New Roman" w:eastAsia="Times New Roman"/>
          <w:sz w:val="26"/>
          <w:szCs w:val="26"/>
        </w:rPr>
        <w:t>)</w:t>
      </w:r>
      <w:r>
        <w:rPr>
          <w:rFonts w:ascii="Times New Roman" w:hAnsi="Times New Roman" w:eastAsia="Times New Roman"/>
          <w:sz w:val="26"/>
          <w:szCs w:val="26"/>
        </w:rPr>
        <w:t xml:space="preserve"> x 2 years remaining for the XBRL refresh divided by 3 years of the </w:t>
      </w:r>
      <w:r w:rsidR="00F751BE">
        <w:rPr>
          <w:rFonts w:ascii="Times New Roman" w:hAnsi="Times New Roman" w:eastAsia="Times New Roman"/>
          <w:sz w:val="26"/>
          <w:szCs w:val="26"/>
        </w:rPr>
        <w:t xml:space="preserve">OMB </w:t>
      </w:r>
      <w:r>
        <w:rPr>
          <w:rFonts w:ascii="Times New Roman" w:hAnsi="Times New Roman" w:eastAsia="Times New Roman"/>
          <w:sz w:val="26"/>
          <w:szCs w:val="26"/>
        </w:rPr>
        <w:t>renewal</w:t>
      </w:r>
      <w:r w:rsidR="00F751BE">
        <w:rPr>
          <w:rFonts w:ascii="Times New Roman" w:hAnsi="Times New Roman" w:eastAsia="Times New Roman"/>
          <w:sz w:val="26"/>
          <w:szCs w:val="26"/>
        </w:rPr>
        <w:t xml:space="preserve"> period giving an annual average per response</w:t>
      </w:r>
      <w:r>
        <w:rPr>
          <w:rFonts w:ascii="Times New Roman" w:hAnsi="Times New Roman" w:eastAsia="Times New Roman"/>
          <w:sz w:val="26"/>
          <w:szCs w:val="26"/>
        </w:rPr>
        <w:t xml:space="preserve"> of $3,274.66. </w:t>
      </w:r>
    </w:p>
    <w:p w:rsidRPr="00212EF9" w:rsidR="00F751BE" w:rsidP="00212EF9" w:rsidRDefault="00470D4A" w14:paraId="43FCE927" w14:textId="6E8FC187">
      <w:pPr>
        <w:pStyle w:val="ListParagraph"/>
        <w:widowControl w:val="0"/>
        <w:numPr>
          <w:ilvl w:val="0"/>
          <w:numId w:val="39"/>
        </w:numPr>
        <w:autoSpaceDE w:val="0"/>
        <w:autoSpaceDN w:val="0"/>
        <w:adjustRightInd w:val="0"/>
        <w:spacing w:after="0" w:line="240" w:lineRule="auto"/>
        <w:rPr>
          <w:rFonts w:ascii="Times New Roman" w:hAnsi="Times New Roman" w:eastAsia="Times New Roman"/>
          <w:sz w:val="26"/>
          <w:szCs w:val="26"/>
        </w:rPr>
      </w:pPr>
      <w:r w:rsidRPr="00212EF9">
        <w:rPr>
          <w:rFonts w:ascii="Times New Roman" w:hAnsi="Times New Roman" w:eastAsia="Times New Roman"/>
          <w:b/>
          <w:bCs/>
          <w:sz w:val="26"/>
          <w:szCs w:val="26"/>
        </w:rPr>
        <w:t>Form 2</w:t>
      </w:r>
      <w:r w:rsidRPr="00212EF9">
        <w:rPr>
          <w:rFonts w:ascii="Times New Roman" w:hAnsi="Times New Roman" w:eastAsia="Times New Roman"/>
          <w:sz w:val="26"/>
          <w:szCs w:val="26"/>
        </w:rPr>
        <w:t xml:space="preserve"> -$3,274.66</w:t>
      </w:r>
      <w:r w:rsidR="008F2627">
        <w:rPr>
          <w:rFonts w:ascii="Times New Roman" w:hAnsi="Times New Roman" w:eastAsia="Times New Roman"/>
          <w:sz w:val="26"/>
          <w:szCs w:val="26"/>
        </w:rPr>
        <w:t xml:space="preserve"> per response/yr.</w:t>
      </w:r>
      <w:r w:rsidRPr="00212EF9">
        <w:rPr>
          <w:rFonts w:ascii="Times New Roman" w:hAnsi="Times New Roman" w:eastAsia="Times New Roman"/>
          <w:sz w:val="26"/>
          <w:szCs w:val="26"/>
        </w:rPr>
        <w:t xml:space="preserve"> x 100 </w:t>
      </w:r>
      <w:r w:rsidR="00F751BE">
        <w:rPr>
          <w:rFonts w:ascii="Times New Roman" w:hAnsi="Times New Roman" w:eastAsia="Times New Roman"/>
          <w:sz w:val="26"/>
          <w:szCs w:val="26"/>
        </w:rPr>
        <w:t>responses</w:t>
      </w:r>
      <w:r w:rsidRPr="00212EF9">
        <w:rPr>
          <w:rFonts w:ascii="Times New Roman" w:hAnsi="Times New Roman" w:eastAsia="Times New Roman"/>
          <w:sz w:val="26"/>
          <w:szCs w:val="26"/>
        </w:rPr>
        <w:t>= $327,466</w:t>
      </w:r>
      <w:r w:rsidR="00F751BE">
        <w:rPr>
          <w:rFonts w:ascii="Times New Roman" w:hAnsi="Times New Roman" w:eastAsia="Times New Roman"/>
          <w:sz w:val="26"/>
          <w:szCs w:val="26"/>
        </w:rPr>
        <w:t xml:space="preserve"> per year</w:t>
      </w:r>
      <w:r w:rsidRPr="00212EF9">
        <w:rPr>
          <w:rFonts w:ascii="Times New Roman" w:hAnsi="Times New Roman" w:eastAsia="Times New Roman"/>
          <w:sz w:val="26"/>
          <w:szCs w:val="26"/>
        </w:rPr>
        <w:t xml:space="preserve">. </w:t>
      </w:r>
    </w:p>
    <w:p w:rsidRPr="00212EF9" w:rsidR="00470D4A" w:rsidP="00212EF9" w:rsidRDefault="00470D4A" w14:paraId="65CDA270" w14:textId="6B6492BE">
      <w:pPr>
        <w:pStyle w:val="ListParagraph"/>
        <w:widowControl w:val="0"/>
        <w:numPr>
          <w:ilvl w:val="0"/>
          <w:numId w:val="39"/>
        </w:numPr>
        <w:autoSpaceDE w:val="0"/>
        <w:autoSpaceDN w:val="0"/>
        <w:adjustRightInd w:val="0"/>
        <w:spacing w:after="0" w:line="240" w:lineRule="auto"/>
        <w:rPr>
          <w:rFonts w:ascii="Times New Roman" w:hAnsi="Times New Roman" w:eastAsia="Times New Roman"/>
          <w:sz w:val="26"/>
          <w:szCs w:val="26"/>
        </w:rPr>
      </w:pPr>
      <w:r w:rsidRPr="00212EF9">
        <w:rPr>
          <w:rFonts w:ascii="Times New Roman" w:hAnsi="Times New Roman" w:eastAsia="Times New Roman"/>
          <w:b/>
          <w:bCs/>
          <w:sz w:val="26"/>
          <w:szCs w:val="26"/>
        </w:rPr>
        <w:t>Form 2A</w:t>
      </w:r>
      <w:r w:rsidRPr="00212EF9">
        <w:rPr>
          <w:rFonts w:ascii="Times New Roman" w:hAnsi="Times New Roman" w:eastAsia="Times New Roman"/>
          <w:sz w:val="26"/>
          <w:szCs w:val="26"/>
        </w:rPr>
        <w:t xml:space="preserve"> - $3,274.66</w:t>
      </w:r>
      <w:r w:rsidR="008F2627">
        <w:rPr>
          <w:rFonts w:ascii="Times New Roman" w:hAnsi="Times New Roman" w:eastAsia="Times New Roman"/>
          <w:sz w:val="26"/>
          <w:szCs w:val="26"/>
        </w:rPr>
        <w:t xml:space="preserve"> per response/yr.</w:t>
      </w:r>
      <w:r w:rsidRPr="00212EF9">
        <w:rPr>
          <w:rFonts w:ascii="Times New Roman" w:hAnsi="Times New Roman" w:eastAsia="Times New Roman"/>
          <w:sz w:val="26"/>
          <w:szCs w:val="26"/>
        </w:rPr>
        <w:t xml:space="preserve"> x 81 </w:t>
      </w:r>
      <w:r w:rsidR="00F751BE">
        <w:rPr>
          <w:rFonts w:ascii="Times New Roman" w:hAnsi="Times New Roman" w:eastAsia="Times New Roman"/>
          <w:sz w:val="26"/>
          <w:szCs w:val="26"/>
        </w:rPr>
        <w:t>responses</w:t>
      </w:r>
      <w:r w:rsidRPr="00212EF9">
        <w:rPr>
          <w:rFonts w:ascii="Times New Roman" w:hAnsi="Times New Roman" w:eastAsia="Times New Roman"/>
          <w:sz w:val="26"/>
          <w:szCs w:val="26"/>
        </w:rPr>
        <w:t>= $265,247.46</w:t>
      </w:r>
      <w:r w:rsidR="00F751BE">
        <w:rPr>
          <w:rFonts w:ascii="Times New Roman" w:hAnsi="Times New Roman" w:eastAsia="Times New Roman"/>
          <w:sz w:val="26"/>
          <w:szCs w:val="26"/>
        </w:rPr>
        <w:t xml:space="preserve"> per year</w:t>
      </w:r>
      <w:r w:rsidRPr="00212EF9">
        <w:rPr>
          <w:rFonts w:ascii="Times New Roman" w:hAnsi="Times New Roman" w:eastAsia="Times New Roman"/>
          <w:sz w:val="26"/>
          <w:szCs w:val="26"/>
        </w:rPr>
        <w:t>.</w:t>
      </w:r>
    </w:p>
    <w:p w:rsidR="00F14C75" w:rsidP="00F93C35" w:rsidRDefault="00F14C75" w14:paraId="4E9F4943" w14:textId="4FCA7E3C">
      <w:pPr>
        <w:widowControl w:val="0"/>
        <w:autoSpaceDE w:val="0"/>
        <w:autoSpaceDN w:val="0"/>
        <w:adjustRightInd w:val="0"/>
        <w:spacing w:after="0" w:line="240" w:lineRule="auto"/>
        <w:rPr>
          <w:rFonts w:ascii="Times New Roman" w:hAnsi="Times New Roman" w:eastAsia="Times New Roman"/>
          <w:sz w:val="26"/>
          <w:szCs w:val="26"/>
        </w:rPr>
      </w:pPr>
    </w:p>
    <w:p w:rsidRPr="00F14C75" w:rsidR="00F14C75" w:rsidP="00F93C35" w:rsidRDefault="00F14C75" w14:paraId="2659970B" w14:textId="61C339B1">
      <w:pPr>
        <w:widowControl w:val="0"/>
        <w:autoSpaceDE w:val="0"/>
        <w:autoSpaceDN w:val="0"/>
        <w:adjustRightInd w:val="0"/>
        <w:spacing w:after="0" w:line="240" w:lineRule="auto"/>
        <w:rPr>
          <w:rFonts w:ascii="Times New Roman" w:hAnsi="Times New Roman" w:eastAsia="Times New Roman"/>
          <w:b/>
          <w:bCs/>
          <w:sz w:val="26"/>
          <w:szCs w:val="26"/>
        </w:rPr>
      </w:pPr>
      <w:r>
        <w:rPr>
          <w:rFonts w:ascii="Times New Roman" w:hAnsi="Times New Roman" w:eastAsia="Times New Roman"/>
          <w:b/>
          <w:bCs/>
          <w:sz w:val="26"/>
          <w:szCs w:val="26"/>
        </w:rPr>
        <w:t xml:space="preserve"> </w:t>
      </w:r>
    </w:p>
    <w:p w:rsidRPr="00F93C35" w:rsidR="00F93C35" w:rsidP="00F93C35" w:rsidRDefault="00F93C35" w14:paraId="1686BE72" w14:textId="736814B5">
      <w:pPr>
        <w:widowControl w:val="0"/>
        <w:autoSpaceDE w:val="0"/>
        <w:autoSpaceDN w:val="0"/>
        <w:adjustRightInd w:val="0"/>
        <w:spacing w:after="0" w:line="240" w:lineRule="auto"/>
        <w:rPr>
          <w:rFonts w:ascii="Times New Roman" w:hAnsi="Times New Roman" w:eastAsia="Times New Roman"/>
          <w:sz w:val="26"/>
          <w:szCs w:val="26"/>
        </w:rPr>
      </w:pPr>
    </w:p>
    <w:tbl>
      <w:tblPr>
        <w:tblW w:w="83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620"/>
        <w:gridCol w:w="1620"/>
        <w:gridCol w:w="1800"/>
        <w:gridCol w:w="1890"/>
        <w:gridCol w:w="1440"/>
      </w:tblGrid>
      <w:tr w:rsidRPr="00F93C35" w:rsidR="004157B4" w:rsidTr="00F97A1A" w14:paraId="119636EC" w14:textId="77777777">
        <w:trPr>
          <w:trHeight w:val="870"/>
        </w:trPr>
        <w:tc>
          <w:tcPr>
            <w:tcW w:w="1620" w:type="dxa"/>
            <w:shd w:val="clear" w:color="auto" w:fill="D9D9D9"/>
            <w:vAlign w:val="bottom"/>
          </w:tcPr>
          <w:p w:rsidRPr="00F93C35" w:rsidR="00F93C35" w:rsidP="00F93C35" w:rsidRDefault="00F93C35" w14:paraId="4A44CBD1" w14:textId="39EC4255">
            <w:pPr>
              <w:widowControl w:val="0"/>
              <w:autoSpaceDE w:val="0"/>
              <w:autoSpaceDN w:val="0"/>
              <w:adjustRightInd w:val="0"/>
              <w:spacing w:after="0" w:line="240" w:lineRule="auto"/>
              <w:ind w:hanging="18"/>
              <w:rPr>
                <w:rFonts w:ascii="Times New Roman" w:hAnsi="Times New Roman" w:eastAsia="Times New Roman"/>
                <w:b/>
                <w:sz w:val="26"/>
                <w:szCs w:val="26"/>
              </w:rPr>
            </w:pPr>
            <w:bookmarkStart w:name="_Hlk45550480" w:id="6"/>
            <w:r w:rsidRPr="00F93C35">
              <w:rPr>
                <w:rFonts w:ascii="Times New Roman" w:hAnsi="Times New Roman" w:eastAsia="Times New Roman"/>
                <w:b/>
                <w:sz w:val="26"/>
                <w:szCs w:val="26"/>
              </w:rPr>
              <w:t>F</w:t>
            </w:r>
            <w:r w:rsidR="00555C3C">
              <w:rPr>
                <w:rFonts w:ascii="Times New Roman" w:hAnsi="Times New Roman" w:eastAsia="Times New Roman"/>
                <w:b/>
                <w:sz w:val="26"/>
                <w:szCs w:val="26"/>
              </w:rPr>
              <w:t xml:space="preserve">orm No. </w:t>
            </w:r>
            <w:r w:rsidR="002933AC">
              <w:rPr>
                <w:rFonts w:ascii="Times New Roman" w:hAnsi="Times New Roman" w:eastAsia="Times New Roman"/>
                <w:b/>
                <w:sz w:val="26"/>
                <w:szCs w:val="26"/>
              </w:rPr>
              <w:t>2</w:t>
            </w:r>
          </w:p>
        </w:tc>
        <w:tc>
          <w:tcPr>
            <w:tcW w:w="1620" w:type="dxa"/>
            <w:shd w:val="clear" w:color="auto" w:fill="D9D9D9"/>
            <w:vAlign w:val="bottom"/>
          </w:tcPr>
          <w:p w:rsidRPr="00F93C35" w:rsidR="00F93C35" w:rsidP="00F93C35" w:rsidRDefault="00F93C35" w14:paraId="4C4BF7CD" w14:textId="77777777">
            <w:pPr>
              <w:widowControl w:val="0"/>
              <w:autoSpaceDE w:val="0"/>
              <w:autoSpaceDN w:val="0"/>
              <w:adjustRightInd w:val="0"/>
              <w:spacing w:after="0" w:line="240" w:lineRule="auto"/>
              <w:ind w:firstLine="1"/>
              <w:jc w:val="center"/>
              <w:rPr>
                <w:rFonts w:ascii="Times New Roman" w:hAnsi="Times New Roman" w:eastAsia="Times New Roman"/>
                <w:b/>
                <w:sz w:val="26"/>
                <w:szCs w:val="26"/>
              </w:rPr>
            </w:pPr>
            <w:r w:rsidRPr="00F93C35">
              <w:rPr>
                <w:rFonts w:ascii="Times New Roman" w:hAnsi="Times New Roman" w:eastAsia="Times New Roman"/>
                <w:b/>
                <w:sz w:val="26"/>
                <w:szCs w:val="26"/>
              </w:rPr>
              <w:t>Total Request</w:t>
            </w:r>
          </w:p>
        </w:tc>
        <w:tc>
          <w:tcPr>
            <w:tcW w:w="1800" w:type="dxa"/>
            <w:shd w:val="clear" w:color="auto" w:fill="D9D9D9"/>
            <w:vAlign w:val="bottom"/>
          </w:tcPr>
          <w:p w:rsidRPr="00F93C35" w:rsidR="00F93C35" w:rsidP="00F93C35" w:rsidRDefault="00F93C35" w14:paraId="196E5C60" w14:textId="77777777">
            <w:pPr>
              <w:widowControl w:val="0"/>
              <w:autoSpaceDE w:val="0"/>
              <w:autoSpaceDN w:val="0"/>
              <w:adjustRightInd w:val="0"/>
              <w:spacing w:after="0" w:line="240" w:lineRule="auto"/>
              <w:jc w:val="center"/>
              <w:rPr>
                <w:rFonts w:ascii="Times New Roman" w:hAnsi="Times New Roman" w:eastAsia="Times New Roman"/>
                <w:b/>
                <w:sz w:val="26"/>
                <w:szCs w:val="26"/>
              </w:rPr>
            </w:pPr>
            <w:r w:rsidRPr="00F93C35">
              <w:rPr>
                <w:rFonts w:ascii="Times New Roman" w:hAnsi="Times New Roman" w:eastAsia="Times New Roman"/>
                <w:b/>
                <w:sz w:val="26"/>
                <w:szCs w:val="26"/>
              </w:rPr>
              <w:t>Previously Approved</w:t>
            </w:r>
          </w:p>
        </w:tc>
        <w:tc>
          <w:tcPr>
            <w:tcW w:w="1890" w:type="dxa"/>
            <w:shd w:val="clear" w:color="auto" w:fill="D9D9D9"/>
            <w:vAlign w:val="bottom"/>
          </w:tcPr>
          <w:p w:rsidRPr="00F93C35" w:rsidR="00F93C35" w:rsidP="00F93C35" w:rsidRDefault="00F93C35" w14:paraId="39DA8DBE" w14:textId="77777777">
            <w:pPr>
              <w:widowControl w:val="0"/>
              <w:autoSpaceDE w:val="0"/>
              <w:autoSpaceDN w:val="0"/>
              <w:adjustRightInd w:val="0"/>
              <w:spacing w:after="0" w:line="240" w:lineRule="auto"/>
              <w:jc w:val="center"/>
              <w:rPr>
                <w:rFonts w:ascii="Times New Roman" w:hAnsi="Times New Roman" w:eastAsia="Times New Roman"/>
                <w:b/>
                <w:sz w:val="26"/>
                <w:szCs w:val="26"/>
              </w:rPr>
            </w:pPr>
            <w:r w:rsidRPr="00F93C35">
              <w:rPr>
                <w:rFonts w:ascii="Times New Roman" w:hAnsi="Times New Roman" w:eastAsia="Times New Roman"/>
                <w:b/>
                <w:sz w:val="26"/>
                <w:szCs w:val="26"/>
              </w:rPr>
              <w:t>Change due to Adjustment in Estimate</w:t>
            </w:r>
          </w:p>
        </w:tc>
        <w:tc>
          <w:tcPr>
            <w:tcW w:w="1440" w:type="dxa"/>
            <w:shd w:val="clear" w:color="auto" w:fill="D9D9D9"/>
            <w:vAlign w:val="bottom"/>
          </w:tcPr>
          <w:p w:rsidRPr="00F93C35" w:rsidR="00F93C35" w:rsidP="00F93C35" w:rsidRDefault="00F93C35" w14:paraId="107C74B6" w14:textId="77777777">
            <w:pPr>
              <w:widowControl w:val="0"/>
              <w:autoSpaceDE w:val="0"/>
              <w:autoSpaceDN w:val="0"/>
              <w:adjustRightInd w:val="0"/>
              <w:spacing w:after="0" w:line="240" w:lineRule="auto"/>
              <w:jc w:val="center"/>
              <w:rPr>
                <w:rFonts w:ascii="Times New Roman" w:hAnsi="Times New Roman" w:eastAsia="Times New Roman"/>
                <w:b/>
                <w:sz w:val="26"/>
                <w:szCs w:val="26"/>
              </w:rPr>
            </w:pPr>
            <w:r w:rsidRPr="00F93C35">
              <w:rPr>
                <w:rFonts w:ascii="Times New Roman" w:hAnsi="Times New Roman" w:eastAsia="Times New Roman"/>
                <w:b/>
                <w:sz w:val="26"/>
                <w:szCs w:val="26"/>
              </w:rPr>
              <w:t>Change Due to Agency Discretion</w:t>
            </w:r>
          </w:p>
        </w:tc>
      </w:tr>
      <w:tr w:rsidRPr="00F93C35" w:rsidR="004157B4" w:rsidTr="00F97A1A" w14:paraId="5CE5204B" w14:textId="77777777">
        <w:trPr>
          <w:trHeight w:val="591"/>
        </w:trPr>
        <w:tc>
          <w:tcPr>
            <w:tcW w:w="1620" w:type="dxa"/>
            <w:vAlign w:val="bottom"/>
          </w:tcPr>
          <w:p w:rsidRPr="00F93C35" w:rsidR="00F93C35" w:rsidP="00F93C35" w:rsidRDefault="00F93C35" w14:paraId="4AC5B62E" w14:textId="77777777">
            <w:pPr>
              <w:widowControl w:val="0"/>
              <w:autoSpaceDE w:val="0"/>
              <w:autoSpaceDN w:val="0"/>
              <w:adjustRightInd w:val="0"/>
              <w:spacing w:after="0" w:line="240" w:lineRule="auto"/>
              <w:ind w:left="-18"/>
              <w:rPr>
                <w:rFonts w:ascii="Times New Roman" w:hAnsi="Times New Roman" w:eastAsia="Times New Roman"/>
                <w:sz w:val="26"/>
                <w:szCs w:val="26"/>
              </w:rPr>
            </w:pPr>
            <w:r w:rsidRPr="00F93C35">
              <w:rPr>
                <w:rFonts w:ascii="Times New Roman" w:hAnsi="Times New Roman" w:eastAsia="Times New Roman"/>
                <w:sz w:val="26"/>
                <w:szCs w:val="26"/>
              </w:rPr>
              <w:t>Annual Number of Responses</w:t>
            </w:r>
          </w:p>
        </w:tc>
        <w:tc>
          <w:tcPr>
            <w:tcW w:w="1620" w:type="dxa"/>
            <w:vAlign w:val="center"/>
          </w:tcPr>
          <w:p w:rsidRPr="00F93C35" w:rsidR="00F93C35" w:rsidP="00F93C35" w:rsidRDefault="00152AFE" w14:paraId="1DEAD044" w14:textId="0785C951">
            <w:pPr>
              <w:widowControl w:val="0"/>
              <w:autoSpaceDE w:val="0"/>
              <w:autoSpaceDN w:val="0"/>
              <w:adjustRightInd w:val="0"/>
              <w:spacing w:after="0" w:line="240" w:lineRule="auto"/>
              <w:ind w:firstLine="3"/>
              <w:jc w:val="right"/>
              <w:rPr>
                <w:rFonts w:ascii="Times New Roman" w:hAnsi="Times New Roman" w:eastAsia="Times New Roman"/>
                <w:sz w:val="26"/>
                <w:szCs w:val="26"/>
              </w:rPr>
            </w:pPr>
            <w:r>
              <w:rPr>
                <w:rFonts w:ascii="Times New Roman" w:hAnsi="Times New Roman" w:eastAsia="Times New Roman"/>
                <w:sz w:val="26"/>
                <w:szCs w:val="26"/>
              </w:rPr>
              <w:t>2</w:t>
            </w:r>
            <w:r w:rsidR="002933AC">
              <w:rPr>
                <w:rFonts w:ascii="Times New Roman" w:hAnsi="Times New Roman" w:eastAsia="Times New Roman"/>
                <w:sz w:val="26"/>
                <w:szCs w:val="26"/>
              </w:rPr>
              <w:t>00</w:t>
            </w:r>
          </w:p>
        </w:tc>
        <w:tc>
          <w:tcPr>
            <w:tcW w:w="1800" w:type="dxa"/>
            <w:vAlign w:val="center"/>
          </w:tcPr>
          <w:p w:rsidRPr="00F93C35" w:rsidR="00F93C35" w:rsidP="00F93C35" w:rsidRDefault="002933AC" w14:paraId="5444741A" w14:textId="22CC270B">
            <w:pPr>
              <w:widowControl w:val="0"/>
              <w:autoSpaceDE w:val="0"/>
              <w:autoSpaceDN w:val="0"/>
              <w:adjustRightInd w:val="0"/>
              <w:spacing w:after="0" w:line="240" w:lineRule="auto"/>
              <w:ind w:firstLine="3"/>
              <w:jc w:val="right"/>
              <w:rPr>
                <w:rFonts w:ascii="Times New Roman" w:hAnsi="Times New Roman" w:eastAsia="Times New Roman"/>
                <w:sz w:val="26"/>
                <w:szCs w:val="26"/>
              </w:rPr>
            </w:pPr>
            <w:r>
              <w:rPr>
                <w:rFonts w:ascii="Times New Roman" w:hAnsi="Times New Roman" w:eastAsia="Times New Roman"/>
                <w:sz w:val="26"/>
                <w:szCs w:val="26"/>
              </w:rPr>
              <w:t>92</w:t>
            </w:r>
          </w:p>
        </w:tc>
        <w:tc>
          <w:tcPr>
            <w:tcW w:w="1890" w:type="dxa"/>
            <w:vAlign w:val="center"/>
          </w:tcPr>
          <w:p w:rsidRPr="00F93C35" w:rsidR="00F93C35" w:rsidP="00F93C35" w:rsidRDefault="00DC11B3" w14:paraId="6126FA83" w14:textId="736B3B4D">
            <w:pPr>
              <w:widowControl w:val="0"/>
              <w:autoSpaceDE w:val="0"/>
              <w:autoSpaceDN w:val="0"/>
              <w:adjustRightInd w:val="0"/>
              <w:spacing w:after="0" w:line="240" w:lineRule="auto"/>
              <w:ind w:firstLine="3"/>
              <w:jc w:val="right"/>
              <w:rPr>
                <w:rFonts w:ascii="Times New Roman" w:hAnsi="Times New Roman" w:eastAsia="Times New Roman"/>
                <w:sz w:val="26"/>
                <w:szCs w:val="26"/>
              </w:rPr>
            </w:pPr>
            <w:r>
              <w:rPr>
                <w:rFonts w:ascii="Times New Roman" w:hAnsi="Times New Roman" w:eastAsia="Times New Roman"/>
                <w:sz w:val="26"/>
                <w:szCs w:val="26"/>
              </w:rPr>
              <w:t>8</w:t>
            </w:r>
          </w:p>
        </w:tc>
        <w:tc>
          <w:tcPr>
            <w:tcW w:w="1440" w:type="dxa"/>
            <w:vAlign w:val="center"/>
          </w:tcPr>
          <w:p w:rsidRPr="00F93C35" w:rsidR="00F93C35" w:rsidP="00F93C35" w:rsidRDefault="00152AFE" w14:paraId="2F65511A" w14:textId="4B872E0C">
            <w:pPr>
              <w:widowControl w:val="0"/>
              <w:autoSpaceDE w:val="0"/>
              <w:autoSpaceDN w:val="0"/>
              <w:adjustRightInd w:val="0"/>
              <w:spacing w:after="0" w:line="240" w:lineRule="auto"/>
              <w:ind w:firstLine="3"/>
              <w:jc w:val="right"/>
              <w:rPr>
                <w:rFonts w:ascii="Times New Roman" w:hAnsi="Times New Roman" w:eastAsia="Times New Roman"/>
                <w:sz w:val="26"/>
                <w:szCs w:val="26"/>
              </w:rPr>
            </w:pPr>
            <w:r>
              <w:rPr>
                <w:rFonts w:ascii="Times New Roman" w:hAnsi="Times New Roman" w:eastAsia="Times New Roman"/>
                <w:sz w:val="26"/>
                <w:szCs w:val="26"/>
              </w:rPr>
              <w:t>100</w:t>
            </w:r>
          </w:p>
        </w:tc>
      </w:tr>
      <w:tr w:rsidRPr="00F93C35" w:rsidR="004157B4" w:rsidTr="00F97A1A" w14:paraId="36970AF6" w14:textId="77777777">
        <w:trPr>
          <w:trHeight w:val="575"/>
        </w:trPr>
        <w:tc>
          <w:tcPr>
            <w:tcW w:w="1620" w:type="dxa"/>
          </w:tcPr>
          <w:p w:rsidRPr="00F93C35" w:rsidR="00F93C35" w:rsidP="00F93C35" w:rsidRDefault="00F93C35" w14:paraId="5D14D2E2" w14:textId="77777777">
            <w:pPr>
              <w:widowControl w:val="0"/>
              <w:autoSpaceDE w:val="0"/>
              <w:autoSpaceDN w:val="0"/>
              <w:adjustRightInd w:val="0"/>
              <w:spacing w:after="0" w:line="240" w:lineRule="auto"/>
              <w:rPr>
                <w:rFonts w:ascii="Times New Roman" w:hAnsi="Times New Roman" w:eastAsia="Times New Roman"/>
                <w:sz w:val="26"/>
                <w:szCs w:val="26"/>
              </w:rPr>
            </w:pPr>
            <w:r w:rsidRPr="00F93C35">
              <w:rPr>
                <w:rFonts w:ascii="Times New Roman" w:hAnsi="Times New Roman" w:eastAsia="Times New Roman"/>
                <w:sz w:val="26"/>
                <w:szCs w:val="26"/>
              </w:rPr>
              <w:t>Annual Time Burden (Hr.)</w:t>
            </w:r>
          </w:p>
        </w:tc>
        <w:tc>
          <w:tcPr>
            <w:tcW w:w="1620" w:type="dxa"/>
            <w:vAlign w:val="center"/>
          </w:tcPr>
          <w:p w:rsidRPr="00F93C35" w:rsidR="00F93C35" w:rsidP="00F93C35" w:rsidRDefault="002933AC" w14:paraId="02EB08B0" w14:textId="4556F910">
            <w:pPr>
              <w:widowControl w:val="0"/>
              <w:autoSpaceDE w:val="0"/>
              <w:autoSpaceDN w:val="0"/>
              <w:adjustRightInd w:val="0"/>
              <w:spacing w:after="0" w:line="240" w:lineRule="auto"/>
              <w:ind w:firstLine="3"/>
              <w:jc w:val="right"/>
              <w:rPr>
                <w:rFonts w:ascii="Times New Roman" w:hAnsi="Times New Roman" w:eastAsia="Times New Roman"/>
                <w:sz w:val="26"/>
                <w:szCs w:val="26"/>
              </w:rPr>
            </w:pPr>
            <w:r>
              <w:rPr>
                <w:rFonts w:ascii="Times New Roman" w:hAnsi="Times New Roman" w:eastAsia="Times New Roman"/>
                <w:sz w:val="26"/>
                <w:szCs w:val="26"/>
              </w:rPr>
              <w:t>1</w:t>
            </w:r>
            <w:r w:rsidR="00E21944">
              <w:rPr>
                <w:rFonts w:ascii="Times New Roman" w:hAnsi="Times New Roman" w:eastAsia="Times New Roman"/>
                <w:sz w:val="26"/>
                <w:szCs w:val="26"/>
              </w:rPr>
              <w:t>71,433</w:t>
            </w:r>
          </w:p>
        </w:tc>
        <w:tc>
          <w:tcPr>
            <w:tcW w:w="1800" w:type="dxa"/>
            <w:vAlign w:val="center"/>
          </w:tcPr>
          <w:p w:rsidRPr="00F93C35" w:rsidR="00F93C35" w:rsidP="00F93C35" w:rsidRDefault="00DC11B3" w14:paraId="0DB90096" w14:textId="65B888F6">
            <w:pPr>
              <w:widowControl w:val="0"/>
              <w:autoSpaceDE w:val="0"/>
              <w:autoSpaceDN w:val="0"/>
              <w:adjustRightInd w:val="0"/>
              <w:spacing w:after="0" w:line="240" w:lineRule="auto"/>
              <w:ind w:firstLine="3"/>
              <w:jc w:val="right"/>
              <w:rPr>
                <w:rFonts w:ascii="Times New Roman" w:hAnsi="Times New Roman" w:eastAsia="Times New Roman"/>
                <w:sz w:val="26"/>
                <w:szCs w:val="26"/>
              </w:rPr>
            </w:pPr>
            <w:r>
              <w:rPr>
                <w:rFonts w:ascii="Times New Roman" w:hAnsi="Times New Roman" w:eastAsia="Times New Roman"/>
                <w:sz w:val="26"/>
                <w:szCs w:val="26"/>
              </w:rPr>
              <w:t>153,793</w:t>
            </w:r>
          </w:p>
        </w:tc>
        <w:tc>
          <w:tcPr>
            <w:tcW w:w="1890" w:type="dxa"/>
            <w:vAlign w:val="center"/>
          </w:tcPr>
          <w:p w:rsidRPr="00F93C35" w:rsidR="00F93C35" w:rsidP="00F93C35" w:rsidRDefault="002933AC" w14:paraId="0D583A43" w14:textId="11BB924C">
            <w:pPr>
              <w:widowControl w:val="0"/>
              <w:autoSpaceDE w:val="0"/>
              <w:autoSpaceDN w:val="0"/>
              <w:adjustRightInd w:val="0"/>
              <w:spacing w:after="0" w:line="240" w:lineRule="auto"/>
              <w:ind w:firstLine="3"/>
              <w:jc w:val="right"/>
              <w:rPr>
                <w:rFonts w:ascii="Times New Roman" w:hAnsi="Times New Roman" w:eastAsia="Times New Roman"/>
                <w:sz w:val="26"/>
                <w:szCs w:val="26"/>
              </w:rPr>
            </w:pPr>
            <w:r>
              <w:rPr>
                <w:rFonts w:ascii="Times New Roman" w:hAnsi="Times New Roman" w:eastAsia="Times New Roman"/>
                <w:sz w:val="26"/>
                <w:szCs w:val="26"/>
              </w:rPr>
              <w:t>1</w:t>
            </w:r>
            <w:r w:rsidR="00E21944">
              <w:rPr>
                <w:rFonts w:ascii="Times New Roman" w:hAnsi="Times New Roman" w:eastAsia="Times New Roman"/>
                <w:sz w:val="26"/>
                <w:szCs w:val="26"/>
              </w:rPr>
              <w:t>3,374</w:t>
            </w:r>
          </w:p>
        </w:tc>
        <w:tc>
          <w:tcPr>
            <w:tcW w:w="1440" w:type="dxa"/>
            <w:vAlign w:val="center"/>
          </w:tcPr>
          <w:p w:rsidRPr="00F93C35" w:rsidR="00F93C35" w:rsidP="00F93C35" w:rsidRDefault="00152AFE" w14:paraId="0CBFD690" w14:textId="6DB4C0A6">
            <w:pPr>
              <w:widowControl w:val="0"/>
              <w:autoSpaceDE w:val="0"/>
              <w:autoSpaceDN w:val="0"/>
              <w:adjustRightInd w:val="0"/>
              <w:spacing w:after="0" w:line="240" w:lineRule="auto"/>
              <w:ind w:firstLine="3"/>
              <w:jc w:val="right"/>
              <w:rPr>
                <w:rFonts w:ascii="Times New Roman" w:hAnsi="Times New Roman" w:eastAsia="Times New Roman"/>
                <w:sz w:val="26"/>
                <w:szCs w:val="26"/>
              </w:rPr>
            </w:pPr>
            <w:r>
              <w:rPr>
                <w:rFonts w:ascii="Times New Roman" w:hAnsi="Times New Roman" w:eastAsia="Times New Roman"/>
                <w:sz w:val="26"/>
                <w:szCs w:val="26"/>
              </w:rPr>
              <w:t>4266</w:t>
            </w:r>
          </w:p>
        </w:tc>
      </w:tr>
      <w:tr w:rsidRPr="00F93C35" w:rsidR="004157B4" w:rsidTr="00F97A1A" w14:paraId="5BD083A1" w14:textId="77777777">
        <w:trPr>
          <w:trHeight w:val="295"/>
        </w:trPr>
        <w:tc>
          <w:tcPr>
            <w:tcW w:w="1620" w:type="dxa"/>
          </w:tcPr>
          <w:p w:rsidRPr="00F93C35" w:rsidR="00F93C35" w:rsidP="00F93C35" w:rsidRDefault="00F93C35" w14:paraId="5B8C3F21" w14:textId="3741AFD0">
            <w:pPr>
              <w:widowControl w:val="0"/>
              <w:autoSpaceDE w:val="0"/>
              <w:autoSpaceDN w:val="0"/>
              <w:adjustRightInd w:val="0"/>
              <w:spacing w:after="0" w:line="240" w:lineRule="auto"/>
              <w:rPr>
                <w:rFonts w:ascii="Times New Roman" w:hAnsi="Times New Roman" w:eastAsia="Times New Roman"/>
                <w:sz w:val="26"/>
                <w:szCs w:val="26"/>
              </w:rPr>
            </w:pPr>
            <w:r w:rsidRPr="00F93C35">
              <w:rPr>
                <w:rFonts w:ascii="Times New Roman" w:hAnsi="Times New Roman" w:eastAsia="Times New Roman"/>
                <w:sz w:val="26"/>
                <w:szCs w:val="26"/>
              </w:rPr>
              <w:t>Annual Cost Burden ($)</w:t>
            </w:r>
            <w:r w:rsidR="0024602D">
              <w:rPr>
                <w:rFonts w:ascii="Times New Roman" w:hAnsi="Times New Roman" w:eastAsia="Times New Roman"/>
                <w:sz w:val="26"/>
                <w:szCs w:val="26"/>
              </w:rPr>
              <w:t xml:space="preserve"> XBRL approved in RM19-12-000</w:t>
            </w:r>
          </w:p>
        </w:tc>
        <w:tc>
          <w:tcPr>
            <w:tcW w:w="1620" w:type="dxa"/>
            <w:vAlign w:val="center"/>
          </w:tcPr>
          <w:p w:rsidRPr="00F93C35" w:rsidR="00F93C35" w:rsidP="00F93C35" w:rsidRDefault="0024602D" w14:paraId="2E5EC4EF" w14:textId="04B04D8E">
            <w:pPr>
              <w:widowControl w:val="0"/>
              <w:autoSpaceDE w:val="0"/>
              <w:autoSpaceDN w:val="0"/>
              <w:adjustRightInd w:val="0"/>
              <w:spacing w:after="0" w:line="240" w:lineRule="auto"/>
              <w:ind w:firstLine="3"/>
              <w:jc w:val="right"/>
              <w:rPr>
                <w:rFonts w:ascii="Times New Roman" w:hAnsi="Times New Roman" w:eastAsia="Times New Roman"/>
                <w:sz w:val="26"/>
                <w:szCs w:val="26"/>
              </w:rPr>
            </w:pPr>
            <w:r w:rsidRPr="0024602D">
              <w:rPr>
                <w:rFonts w:ascii="Times New Roman" w:hAnsi="Times New Roman" w:eastAsia="Times New Roman"/>
                <w:sz w:val="26"/>
                <w:szCs w:val="26"/>
              </w:rPr>
              <w:t>$</w:t>
            </w:r>
            <w:r w:rsidR="004157B4">
              <w:rPr>
                <w:rFonts w:ascii="Times New Roman" w:hAnsi="Times New Roman" w:eastAsia="Times New Roman"/>
                <w:sz w:val="26"/>
                <w:szCs w:val="26"/>
              </w:rPr>
              <w:t>327,466</w:t>
            </w:r>
          </w:p>
        </w:tc>
        <w:tc>
          <w:tcPr>
            <w:tcW w:w="1800" w:type="dxa"/>
            <w:vAlign w:val="center"/>
          </w:tcPr>
          <w:p w:rsidRPr="00F93C35" w:rsidR="00F93C35" w:rsidP="00F93C35" w:rsidRDefault="006C56A3" w14:paraId="04B5C68A" w14:textId="4CF46FB7">
            <w:pPr>
              <w:widowControl w:val="0"/>
              <w:autoSpaceDE w:val="0"/>
              <w:autoSpaceDN w:val="0"/>
              <w:adjustRightInd w:val="0"/>
              <w:spacing w:after="0" w:line="240" w:lineRule="auto"/>
              <w:ind w:firstLine="3"/>
              <w:jc w:val="right"/>
              <w:rPr>
                <w:rFonts w:ascii="Times New Roman" w:hAnsi="Times New Roman" w:eastAsia="Times New Roman"/>
                <w:sz w:val="26"/>
                <w:szCs w:val="26"/>
              </w:rPr>
            </w:pPr>
            <w:r>
              <w:rPr>
                <w:rFonts w:ascii="Times New Roman" w:hAnsi="Times New Roman" w:eastAsia="Times New Roman"/>
                <w:sz w:val="26"/>
                <w:szCs w:val="26"/>
              </w:rPr>
              <w:t>$</w:t>
            </w:r>
            <w:r w:rsidR="004157B4">
              <w:rPr>
                <w:rFonts w:ascii="Times New Roman" w:hAnsi="Times New Roman" w:eastAsia="Times New Roman"/>
                <w:sz w:val="26"/>
                <w:szCs w:val="26"/>
              </w:rPr>
              <w:t>301,269</w:t>
            </w:r>
          </w:p>
        </w:tc>
        <w:tc>
          <w:tcPr>
            <w:tcW w:w="1890" w:type="dxa"/>
            <w:vAlign w:val="center"/>
          </w:tcPr>
          <w:p w:rsidRPr="00F93C35" w:rsidR="00F93C35" w:rsidP="00F93C35" w:rsidRDefault="00240857" w14:paraId="4C8E5B12" w14:textId="2738E23D">
            <w:pPr>
              <w:widowControl w:val="0"/>
              <w:autoSpaceDE w:val="0"/>
              <w:autoSpaceDN w:val="0"/>
              <w:adjustRightInd w:val="0"/>
              <w:spacing w:after="0" w:line="240" w:lineRule="auto"/>
              <w:ind w:firstLine="3"/>
              <w:jc w:val="right"/>
              <w:rPr>
                <w:rFonts w:ascii="Times New Roman" w:hAnsi="Times New Roman" w:eastAsia="Times New Roman"/>
                <w:sz w:val="26"/>
                <w:szCs w:val="26"/>
              </w:rPr>
            </w:pPr>
            <w:r w:rsidRPr="00240857">
              <w:rPr>
                <w:rFonts w:ascii="Times New Roman" w:hAnsi="Times New Roman" w:eastAsia="Times New Roman"/>
                <w:sz w:val="26"/>
                <w:szCs w:val="26"/>
              </w:rPr>
              <w:t>$2</w:t>
            </w:r>
            <w:r w:rsidR="004157B4">
              <w:rPr>
                <w:rFonts w:ascii="Times New Roman" w:hAnsi="Times New Roman" w:eastAsia="Times New Roman"/>
                <w:sz w:val="26"/>
                <w:szCs w:val="26"/>
              </w:rPr>
              <w:t>6,197</w:t>
            </w:r>
          </w:p>
        </w:tc>
        <w:tc>
          <w:tcPr>
            <w:tcW w:w="1440" w:type="dxa"/>
            <w:vAlign w:val="center"/>
          </w:tcPr>
          <w:p w:rsidRPr="00F93C35" w:rsidR="00F93C35" w:rsidP="00F93C35" w:rsidRDefault="00240857" w14:paraId="0C48B18F" w14:textId="197EC082">
            <w:pPr>
              <w:widowControl w:val="0"/>
              <w:autoSpaceDE w:val="0"/>
              <w:autoSpaceDN w:val="0"/>
              <w:adjustRightInd w:val="0"/>
              <w:spacing w:after="0" w:line="240" w:lineRule="auto"/>
              <w:ind w:firstLine="3"/>
              <w:jc w:val="right"/>
              <w:rPr>
                <w:rFonts w:ascii="Times New Roman" w:hAnsi="Times New Roman" w:eastAsia="Times New Roman"/>
                <w:sz w:val="26"/>
                <w:szCs w:val="26"/>
              </w:rPr>
            </w:pPr>
            <w:r>
              <w:rPr>
                <w:rFonts w:ascii="Times New Roman" w:hAnsi="Times New Roman" w:eastAsia="Times New Roman"/>
                <w:sz w:val="26"/>
                <w:szCs w:val="26"/>
              </w:rPr>
              <w:t>0</w:t>
            </w:r>
          </w:p>
        </w:tc>
      </w:tr>
      <w:bookmarkEnd w:id="6"/>
    </w:tbl>
    <w:p w:rsidR="00F93C35" w:rsidP="00BD0F89" w:rsidRDefault="00F93C35" w14:paraId="7F480E0B" w14:textId="39A239B6">
      <w:pPr>
        <w:spacing w:after="0" w:line="240" w:lineRule="auto"/>
        <w:rPr>
          <w:rFonts w:ascii="Times New Roman" w:hAnsi="Times New Roman"/>
          <w:sz w:val="26"/>
          <w:szCs w:val="26"/>
        </w:rPr>
      </w:pPr>
    </w:p>
    <w:p w:rsidRPr="00E9060E" w:rsidR="00555C3C" w:rsidP="00BD0F89" w:rsidRDefault="00555C3C" w14:paraId="1F8CD961" w14:textId="77777777">
      <w:pPr>
        <w:spacing w:after="0" w:line="240" w:lineRule="auto"/>
        <w:rPr>
          <w:rFonts w:ascii="Times New Roman" w:hAnsi="Times New Roman"/>
          <w:sz w:val="26"/>
          <w:szCs w:val="26"/>
        </w:rPr>
      </w:pPr>
    </w:p>
    <w:tbl>
      <w:tblPr>
        <w:tblW w:w="83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620"/>
        <w:gridCol w:w="1620"/>
        <w:gridCol w:w="1800"/>
        <w:gridCol w:w="1890"/>
        <w:gridCol w:w="1440"/>
      </w:tblGrid>
      <w:tr w:rsidRPr="002933AC" w:rsidR="0063060A" w:rsidTr="00F97A1A" w14:paraId="017E974F" w14:textId="77777777">
        <w:trPr>
          <w:trHeight w:val="870"/>
        </w:trPr>
        <w:tc>
          <w:tcPr>
            <w:tcW w:w="1620" w:type="dxa"/>
            <w:shd w:val="clear" w:color="auto" w:fill="D9D9D9"/>
            <w:vAlign w:val="bottom"/>
          </w:tcPr>
          <w:p w:rsidRPr="002933AC" w:rsidR="002933AC" w:rsidP="002933AC" w:rsidRDefault="002933AC" w14:paraId="3BE9FC76" w14:textId="195165CC">
            <w:pPr>
              <w:spacing w:after="0" w:line="240" w:lineRule="auto"/>
              <w:rPr>
                <w:rFonts w:ascii="Times New Roman" w:hAnsi="Times New Roman"/>
                <w:b/>
                <w:sz w:val="26"/>
                <w:szCs w:val="26"/>
              </w:rPr>
            </w:pPr>
            <w:r w:rsidRPr="002933AC">
              <w:rPr>
                <w:rFonts w:ascii="Times New Roman" w:hAnsi="Times New Roman"/>
                <w:b/>
                <w:sz w:val="26"/>
                <w:szCs w:val="26"/>
              </w:rPr>
              <w:t>F</w:t>
            </w:r>
            <w:r w:rsidR="00555C3C">
              <w:rPr>
                <w:rFonts w:ascii="Times New Roman" w:hAnsi="Times New Roman"/>
                <w:b/>
                <w:sz w:val="26"/>
                <w:szCs w:val="26"/>
              </w:rPr>
              <w:t xml:space="preserve">orm No. </w:t>
            </w:r>
            <w:r w:rsidRPr="002933AC">
              <w:rPr>
                <w:rFonts w:ascii="Times New Roman" w:hAnsi="Times New Roman"/>
                <w:b/>
                <w:sz w:val="26"/>
                <w:szCs w:val="26"/>
              </w:rPr>
              <w:t>2</w:t>
            </w:r>
            <w:r>
              <w:rPr>
                <w:rFonts w:ascii="Times New Roman" w:hAnsi="Times New Roman"/>
                <w:b/>
                <w:sz w:val="26"/>
                <w:szCs w:val="26"/>
              </w:rPr>
              <w:t>A</w:t>
            </w:r>
          </w:p>
        </w:tc>
        <w:tc>
          <w:tcPr>
            <w:tcW w:w="1620" w:type="dxa"/>
            <w:shd w:val="clear" w:color="auto" w:fill="D9D9D9"/>
            <w:vAlign w:val="bottom"/>
          </w:tcPr>
          <w:p w:rsidRPr="002933AC" w:rsidR="002933AC" w:rsidP="002933AC" w:rsidRDefault="002933AC" w14:paraId="1A870D5E" w14:textId="77777777">
            <w:pPr>
              <w:spacing w:after="0" w:line="240" w:lineRule="auto"/>
              <w:rPr>
                <w:rFonts w:ascii="Times New Roman" w:hAnsi="Times New Roman"/>
                <w:b/>
                <w:sz w:val="26"/>
                <w:szCs w:val="26"/>
              </w:rPr>
            </w:pPr>
            <w:r w:rsidRPr="002933AC">
              <w:rPr>
                <w:rFonts w:ascii="Times New Roman" w:hAnsi="Times New Roman"/>
                <w:b/>
                <w:sz w:val="26"/>
                <w:szCs w:val="26"/>
              </w:rPr>
              <w:t>Total Request</w:t>
            </w:r>
          </w:p>
        </w:tc>
        <w:tc>
          <w:tcPr>
            <w:tcW w:w="1800" w:type="dxa"/>
            <w:shd w:val="clear" w:color="auto" w:fill="D9D9D9"/>
            <w:vAlign w:val="bottom"/>
          </w:tcPr>
          <w:p w:rsidRPr="002933AC" w:rsidR="002933AC" w:rsidP="002933AC" w:rsidRDefault="002933AC" w14:paraId="4A188219" w14:textId="77777777">
            <w:pPr>
              <w:spacing w:after="0" w:line="240" w:lineRule="auto"/>
              <w:rPr>
                <w:rFonts w:ascii="Times New Roman" w:hAnsi="Times New Roman"/>
                <w:b/>
                <w:sz w:val="26"/>
                <w:szCs w:val="26"/>
              </w:rPr>
            </w:pPr>
            <w:r w:rsidRPr="002933AC">
              <w:rPr>
                <w:rFonts w:ascii="Times New Roman" w:hAnsi="Times New Roman"/>
                <w:b/>
                <w:sz w:val="26"/>
                <w:szCs w:val="26"/>
              </w:rPr>
              <w:t>Previously Approved</w:t>
            </w:r>
          </w:p>
        </w:tc>
        <w:tc>
          <w:tcPr>
            <w:tcW w:w="1890" w:type="dxa"/>
            <w:shd w:val="clear" w:color="auto" w:fill="D9D9D9"/>
            <w:vAlign w:val="bottom"/>
          </w:tcPr>
          <w:p w:rsidRPr="002933AC" w:rsidR="002933AC" w:rsidP="002933AC" w:rsidRDefault="002933AC" w14:paraId="2943E6B4" w14:textId="77777777">
            <w:pPr>
              <w:spacing w:after="0" w:line="240" w:lineRule="auto"/>
              <w:rPr>
                <w:rFonts w:ascii="Times New Roman" w:hAnsi="Times New Roman"/>
                <w:b/>
                <w:sz w:val="26"/>
                <w:szCs w:val="26"/>
              </w:rPr>
            </w:pPr>
            <w:r w:rsidRPr="002933AC">
              <w:rPr>
                <w:rFonts w:ascii="Times New Roman" w:hAnsi="Times New Roman"/>
                <w:b/>
                <w:sz w:val="26"/>
                <w:szCs w:val="26"/>
              </w:rPr>
              <w:t>Change due to Adjustment in Estimate</w:t>
            </w:r>
          </w:p>
        </w:tc>
        <w:tc>
          <w:tcPr>
            <w:tcW w:w="1440" w:type="dxa"/>
            <w:shd w:val="clear" w:color="auto" w:fill="D9D9D9"/>
            <w:vAlign w:val="bottom"/>
          </w:tcPr>
          <w:p w:rsidRPr="002933AC" w:rsidR="002933AC" w:rsidP="002933AC" w:rsidRDefault="002933AC" w14:paraId="2CF65744" w14:textId="77777777">
            <w:pPr>
              <w:spacing w:after="0" w:line="240" w:lineRule="auto"/>
              <w:rPr>
                <w:rFonts w:ascii="Times New Roman" w:hAnsi="Times New Roman"/>
                <w:b/>
                <w:sz w:val="26"/>
                <w:szCs w:val="26"/>
              </w:rPr>
            </w:pPr>
            <w:r w:rsidRPr="002933AC">
              <w:rPr>
                <w:rFonts w:ascii="Times New Roman" w:hAnsi="Times New Roman"/>
                <w:b/>
                <w:sz w:val="26"/>
                <w:szCs w:val="26"/>
              </w:rPr>
              <w:t>Change Due to Agency Discretion</w:t>
            </w:r>
          </w:p>
        </w:tc>
      </w:tr>
      <w:tr w:rsidRPr="002933AC" w:rsidR="00555C3C" w:rsidTr="00F97A1A" w14:paraId="22B714E7" w14:textId="77777777">
        <w:trPr>
          <w:trHeight w:val="591"/>
        </w:trPr>
        <w:tc>
          <w:tcPr>
            <w:tcW w:w="1620" w:type="dxa"/>
            <w:vAlign w:val="bottom"/>
          </w:tcPr>
          <w:p w:rsidRPr="002933AC" w:rsidR="002933AC" w:rsidP="002933AC" w:rsidRDefault="002933AC" w14:paraId="707F6FBD" w14:textId="77777777">
            <w:pPr>
              <w:spacing w:after="0" w:line="240" w:lineRule="auto"/>
              <w:rPr>
                <w:rFonts w:ascii="Times New Roman" w:hAnsi="Times New Roman"/>
                <w:sz w:val="26"/>
                <w:szCs w:val="26"/>
              </w:rPr>
            </w:pPr>
            <w:r w:rsidRPr="002933AC">
              <w:rPr>
                <w:rFonts w:ascii="Times New Roman" w:hAnsi="Times New Roman"/>
                <w:sz w:val="26"/>
                <w:szCs w:val="26"/>
              </w:rPr>
              <w:lastRenderedPageBreak/>
              <w:t>Annual Number of Responses</w:t>
            </w:r>
          </w:p>
        </w:tc>
        <w:tc>
          <w:tcPr>
            <w:tcW w:w="1620" w:type="dxa"/>
            <w:vAlign w:val="center"/>
          </w:tcPr>
          <w:p w:rsidRPr="002933AC" w:rsidR="002933AC" w:rsidP="00DC11B3" w:rsidRDefault="00152AFE" w14:paraId="63EE8EC9" w14:textId="1AD83383">
            <w:pPr>
              <w:spacing w:after="0" w:line="240" w:lineRule="auto"/>
              <w:jc w:val="right"/>
              <w:rPr>
                <w:rFonts w:ascii="Times New Roman" w:hAnsi="Times New Roman"/>
                <w:sz w:val="26"/>
                <w:szCs w:val="26"/>
              </w:rPr>
            </w:pPr>
            <w:r>
              <w:rPr>
                <w:rFonts w:ascii="Times New Roman" w:hAnsi="Times New Roman"/>
                <w:sz w:val="26"/>
                <w:szCs w:val="26"/>
              </w:rPr>
              <w:t>162</w:t>
            </w:r>
          </w:p>
        </w:tc>
        <w:tc>
          <w:tcPr>
            <w:tcW w:w="1800" w:type="dxa"/>
            <w:vAlign w:val="center"/>
          </w:tcPr>
          <w:p w:rsidRPr="002933AC" w:rsidR="002933AC" w:rsidP="00DC11B3" w:rsidRDefault="002933AC" w14:paraId="51E89467" w14:textId="3F0C6587">
            <w:pPr>
              <w:spacing w:after="0" w:line="240" w:lineRule="auto"/>
              <w:jc w:val="right"/>
              <w:rPr>
                <w:rFonts w:ascii="Times New Roman" w:hAnsi="Times New Roman"/>
                <w:sz w:val="26"/>
                <w:szCs w:val="26"/>
              </w:rPr>
            </w:pPr>
            <w:r>
              <w:rPr>
                <w:rFonts w:ascii="Times New Roman" w:hAnsi="Times New Roman"/>
                <w:sz w:val="26"/>
                <w:szCs w:val="26"/>
              </w:rPr>
              <w:t>73</w:t>
            </w:r>
          </w:p>
        </w:tc>
        <w:tc>
          <w:tcPr>
            <w:tcW w:w="1890" w:type="dxa"/>
            <w:vAlign w:val="center"/>
          </w:tcPr>
          <w:p w:rsidRPr="002933AC" w:rsidR="002933AC" w:rsidP="00DC11B3" w:rsidRDefault="00DC11B3" w14:paraId="62921606" w14:textId="73CEF56D">
            <w:pPr>
              <w:spacing w:after="0" w:line="240" w:lineRule="auto"/>
              <w:jc w:val="right"/>
              <w:rPr>
                <w:rFonts w:ascii="Times New Roman" w:hAnsi="Times New Roman"/>
                <w:sz w:val="26"/>
                <w:szCs w:val="26"/>
              </w:rPr>
            </w:pPr>
            <w:r>
              <w:rPr>
                <w:rFonts w:ascii="Times New Roman" w:hAnsi="Times New Roman"/>
                <w:sz w:val="26"/>
                <w:szCs w:val="26"/>
              </w:rPr>
              <w:t>8</w:t>
            </w:r>
          </w:p>
        </w:tc>
        <w:tc>
          <w:tcPr>
            <w:tcW w:w="1440" w:type="dxa"/>
            <w:vAlign w:val="center"/>
          </w:tcPr>
          <w:p w:rsidRPr="002933AC" w:rsidR="002933AC" w:rsidP="00DC11B3" w:rsidRDefault="00152AFE" w14:paraId="1963BF85" w14:textId="541B20EA">
            <w:pPr>
              <w:spacing w:after="0" w:line="240" w:lineRule="auto"/>
              <w:jc w:val="right"/>
              <w:rPr>
                <w:rFonts w:ascii="Times New Roman" w:hAnsi="Times New Roman"/>
                <w:sz w:val="26"/>
                <w:szCs w:val="26"/>
              </w:rPr>
            </w:pPr>
            <w:r>
              <w:rPr>
                <w:rFonts w:ascii="Times New Roman" w:hAnsi="Times New Roman"/>
                <w:sz w:val="26"/>
                <w:szCs w:val="26"/>
              </w:rPr>
              <w:t>81</w:t>
            </w:r>
          </w:p>
        </w:tc>
      </w:tr>
      <w:tr w:rsidRPr="002933AC" w:rsidR="00555C3C" w:rsidTr="00F97A1A" w14:paraId="637BD147" w14:textId="77777777">
        <w:trPr>
          <w:trHeight w:val="575"/>
        </w:trPr>
        <w:tc>
          <w:tcPr>
            <w:tcW w:w="1620" w:type="dxa"/>
          </w:tcPr>
          <w:p w:rsidRPr="002933AC" w:rsidR="002933AC" w:rsidP="002933AC" w:rsidRDefault="002933AC" w14:paraId="64A9B59C" w14:textId="77777777">
            <w:pPr>
              <w:spacing w:after="0" w:line="240" w:lineRule="auto"/>
              <w:rPr>
                <w:rFonts w:ascii="Times New Roman" w:hAnsi="Times New Roman"/>
                <w:sz w:val="26"/>
                <w:szCs w:val="26"/>
              </w:rPr>
            </w:pPr>
            <w:r w:rsidRPr="002933AC">
              <w:rPr>
                <w:rFonts w:ascii="Times New Roman" w:hAnsi="Times New Roman"/>
                <w:sz w:val="26"/>
                <w:szCs w:val="26"/>
              </w:rPr>
              <w:t>Annual Time Burden (Hr.)</w:t>
            </w:r>
          </w:p>
        </w:tc>
        <w:tc>
          <w:tcPr>
            <w:tcW w:w="1620" w:type="dxa"/>
            <w:vAlign w:val="center"/>
          </w:tcPr>
          <w:p w:rsidRPr="002933AC" w:rsidR="002933AC" w:rsidP="00DC11B3" w:rsidRDefault="00DC11B3" w14:paraId="5DA91DC0" w14:textId="3A78AC43">
            <w:pPr>
              <w:spacing w:after="0" w:line="240" w:lineRule="auto"/>
              <w:jc w:val="right"/>
              <w:rPr>
                <w:rFonts w:ascii="Times New Roman" w:hAnsi="Times New Roman"/>
                <w:sz w:val="26"/>
                <w:szCs w:val="26"/>
              </w:rPr>
            </w:pPr>
            <w:r>
              <w:rPr>
                <w:rFonts w:ascii="Times New Roman" w:hAnsi="Times New Roman"/>
                <w:sz w:val="26"/>
                <w:szCs w:val="26"/>
              </w:rPr>
              <w:t>2</w:t>
            </w:r>
            <w:r w:rsidR="00CD0D3C">
              <w:rPr>
                <w:rFonts w:ascii="Times New Roman" w:hAnsi="Times New Roman"/>
                <w:sz w:val="26"/>
                <w:szCs w:val="26"/>
              </w:rPr>
              <w:t>7,436</w:t>
            </w:r>
            <w:bookmarkStart w:name="_GoBack" w:id="7"/>
            <w:bookmarkEnd w:id="7"/>
          </w:p>
        </w:tc>
        <w:tc>
          <w:tcPr>
            <w:tcW w:w="1800" w:type="dxa"/>
            <w:vAlign w:val="center"/>
          </w:tcPr>
          <w:p w:rsidRPr="002933AC" w:rsidR="002933AC" w:rsidP="00DC11B3" w:rsidRDefault="00DC11B3" w14:paraId="3BE74729" w14:textId="794EED8A">
            <w:pPr>
              <w:spacing w:after="0" w:line="240" w:lineRule="auto"/>
              <w:jc w:val="right"/>
              <w:rPr>
                <w:rFonts w:ascii="Times New Roman" w:hAnsi="Times New Roman"/>
                <w:sz w:val="26"/>
                <w:szCs w:val="26"/>
              </w:rPr>
            </w:pPr>
            <w:r>
              <w:rPr>
                <w:rFonts w:ascii="Times New Roman" w:hAnsi="Times New Roman"/>
                <w:sz w:val="26"/>
                <w:szCs w:val="26"/>
              </w:rPr>
              <w:t>21,612</w:t>
            </w:r>
          </w:p>
        </w:tc>
        <w:tc>
          <w:tcPr>
            <w:tcW w:w="1890" w:type="dxa"/>
            <w:vAlign w:val="center"/>
          </w:tcPr>
          <w:p w:rsidRPr="002933AC" w:rsidR="002933AC" w:rsidP="00DC11B3" w:rsidRDefault="00DC11B3" w14:paraId="32A1C5C3" w14:textId="1AA64FC5">
            <w:pPr>
              <w:spacing w:after="0" w:line="240" w:lineRule="auto"/>
              <w:jc w:val="right"/>
              <w:rPr>
                <w:rFonts w:ascii="Times New Roman" w:hAnsi="Times New Roman"/>
                <w:sz w:val="26"/>
                <w:szCs w:val="26"/>
              </w:rPr>
            </w:pPr>
            <w:r>
              <w:rPr>
                <w:rFonts w:ascii="Times New Roman" w:hAnsi="Times New Roman"/>
                <w:sz w:val="26"/>
                <w:szCs w:val="26"/>
              </w:rPr>
              <w:t>2,369</w:t>
            </w:r>
          </w:p>
        </w:tc>
        <w:tc>
          <w:tcPr>
            <w:tcW w:w="1440" w:type="dxa"/>
            <w:vAlign w:val="center"/>
          </w:tcPr>
          <w:p w:rsidRPr="002933AC" w:rsidR="002933AC" w:rsidP="00DC11B3" w:rsidRDefault="00152AFE" w14:paraId="032CA9D4" w14:textId="76E98CCE">
            <w:pPr>
              <w:spacing w:after="0" w:line="240" w:lineRule="auto"/>
              <w:jc w:val="right"/>
              <w:rPr>
                <w:rFonts w:ascii="Times New Roman" w:hAnsi="Times New Roman"/>
                <w:sz w:val="26"/>
                <w:szCs w:val="26"/>
              </w:rPr>
            </w:pPr>
            <w:r>
              <w:rPr>
                <w:rFonts w:ascii="Times New Roman" w:hAnsi="Times New Roman"/>
                <w:sz w:val="26"/>
                <w:szCs w:val="26"/>
              </w:rPr>
              <w:t>3455</w:t>
            </w:r>
          </w:p>
        </w:tc>
      </w:tr>
      <w:tr w:rsidRPr="002933AC" w:rsidR="00555C3C" w:rsidTr="00F97A1A" w14:paraId="1606D69B" w14:textId="77777777">
        <w:trPr>
          <w:trHeight w:val="295"/>
        </w:trPr>
        <w:tc>
          <w:tcPr>
            <w:tcW w:w="1620" w:type="dxa"/>
          </w:tcPr>
          <w:p w:rsidRPr="002933AC" w:rsidR="002933AC" w:rsidP="002933AC" w:rsidRDefault="002933AC" w14:paraId="20187188" w14:textId="48606C92">
            <w:pPr>
              <w:spacing w:after="0" w:line="240" w:lineRule="auto"/>
              <w:rPr>
                <w:rFonts w:ascii="Times New Roman" w:hAnsi="Times New Roman"/>
                <w:sz w:val="26"/>
                <w:szCs w:val="26"/>
              </w:rPr>
            </w:pPr>
            <w:r w:rsidRPr="002933AC">
              <w:rPr>
                <w:rFonts w:ascii="Times New Roman" w:hAnsi="Times New Roman"/>
                <w:sz w:val="26"/>
                <w:szCs w:val="26"/>
              </w:rPr>
              <w:t>Annual Cost Burden ($)</w:t>
            </w:r>
            <w:r w:rsidR="0024602D">
              <w:rPr>
                <w:rFonts w:ascii="Times New Roman" w:hAnsi="Times New Roman"/>
                <w:sz w:val="26"/>
                <w:szCs w:val="26"/>
              </w:rPr>
              <w:t xml:space="preserve"> XBRL approved in RM19-12-000</w:t>
            </w:r>
          </w:p>
        </w:tc>
        <w:tc>
          <w:tcPr>
            <w:tcW w:w="1620" w:type="dxa"/>
            <w:vAlign w:val="center"/>
          </w:tcPr>
          <w:p w:rsidRPr="002933AC" w:rsidR="002933AC" w:rsidP="00DC11B3" w:rsidRDefault="0024602D" w14:paraId="64C825A0" w14:textId="504B92D7">
            <w:pPr>
              <w:spacing w:after="0" w:line="240" w:lineRule="auto"/>
              <w:jc w:val="right"/>
              <w:rPr>
                <w:rFonts w:ascii="Times New Roman" w:hAnsi="Times New Roman"/>
                <w:sz w:val="26"/>
                <w:szCs w:val="26"/>
              </w:rPr>
            </w:pPr>
            <w:r w:rsidRPr="0024602D">
              <w:rPr>
                <w:rFonts w:ascii="Times New Roman" w:hAnsi="Times New Roman"/>
                <w:sz w:val="26"/>
                <w:szCs w:val="26"/>
              </w:rPr>
              <w:t>$2</w:t>
            </w:r>
            <w:r w:rsidR="0063060A">
              <w:rPr>
                <w:rFonts w:ascii="Times New Roman" w:hAnsi="Times New Roman"/>
                <w:sz w:val="26"/>
                <w:szCs w:val="26"/>
              </w:rPr>
              <w:t>65,247</w:t>
            </w:r>
          </w:p>
        </w:tc>
        <w:tc>
          <w:tcPr>
            <w:tcW w:w="1800" w:type="dxa"/>
            <w:vAlign w:val="center"/>
          </w:tcPr>
          <w:p w:rsidRPr="002933AC" w:rsidR="002933AC" w:rsidP="00DC11B3" w:rsidRDefault="0024602D" w14:paraId="6D58664E" w14:textId="4CA09FD8">
            <w:pPr>
              <w:spacing w:after="0" w:line="240" w:lineRule="auto"/>
              <w:jc w:val="right"/>
              <w:rPr>
                <w:rFonts w:ascii="Times New Roman" w:hAnsi="Times New Roman"/>
                <w:sz w:val="26"/>
                <w:szCs w:val="26"/>
              </w:rPr>
            </w:pPr>
            <w:r>
              <w:rPr>
                <w:rFonts w:ascii="Times New Roman" w:hAnsi="Times New Roman"/>
                <w:sz w:val="26"/>
                <w:szCs w:val="26"/>
              </w:rPr>
              <w:t>$</w:t>
            </w:r>
            <w:r w:rsidR="0063060A">
              <w:rPr>
                <w:rFonts w:ascii="Times New Roman" w:hAnsi="Times New Roman"/>
                <w:sz w:val="26"/>
                <w:szCs w:val="26"/>
              </w:rPr>
              <w:t>239,050</w:t>
            </w:r>
          </w:p>
        </w:tc>
        <w:tc>
          <w:tcPr>
            <w:tcW w:w="1890" w:type="dxa"/>
            <w:vAlign w:val="center"/>
          </w:tcPr>
          <w:p w:rsidRPr="002933AC" w:rsidR="002933AC" w:rsidP="00DC11B3" w:rsidRDefault="00240857" w14:paraId="7359AFD9" w14:textId="7F6B36D5">
            <w:pPr>
              <w:spacing w:after="0" w:line="240" w:lineRule="auto"/>
              <w:jc w:val="right"/>
              <w:rPr>
                <w:rFonts w:ascii="Times New Roman" w:hAnsi="Times New Roman"/>
                <w:sz w:val="26"/>
                <w:szCs w:val="26"/>
              </w:rPr>
            </w:pPr>
            <w:r>
              <w:rPr>
                <w:rFonts w:ascii="Times New Roman" w:hAnsi="Times New Roman"/>
                <w:sz w:val="26"/>
                <w:szCs w:val="26"/>
              </w:rPr>
              <w:t>$</w:t>
            </w:r>
            <w:r w:rsidR="0063060A">
              <w:rPr>
                <w:rFonts w:ascii="Times New Roman" w:hAnsi="Times New Roman"/>
                <w:sz w:val="26"/>
                <w:szCs w:val="26"/>
              </w:rPr>
              <w:t>26,197</w:t>
            </w:r>
          </w:p>
        </w:tc>
        <w:tc>
          <w:tcPr>
            <w:tcW w:w="1440" w:type="dxa"/>
            <w:vAlign w:val="center"/>
          </w:tcPr>
          <w:p w:rsidRPr="002933AC" w:rsidR="002933AC" w:rsidP="00DC11B3" w:rsidRDefault="00240857" w14:paraId="52BC1F3A" w14:textId="1EA48A6F">
            <w:pPr>
              <w:spacing w:after="0" w:line="240" w:lineRule="auto"/>
              <w:jc w:val="right"/>
              <w:rPr>
                <w:rFonts w:ascii="Times New Roman" w:hAnsi="Times New Roman"/>
                <w:sz w:val="26"/>
                <w:szCs w:val="26"/>
              </w:rPr>
            </w:pPr>
            <w:r>
              <w:rPr>
                <w:rFonts w:ascii="Times New Roman" w:hAnsi="Times New Roman"/>
                <w:sz w:val="26"/>
                <w:szCs w:val="26"/>
              </w:rPr>
              <w:t>$0</w:t>
            </w:r>
          </w:p>
        </w:tc>
      </w:tr>
    </w:tbl>
    <w:p w:rsidRPr="00E9060E" w:rsidR="00471F97" w:rsidP="00BD0F89" w:rsidRDefault="00471F97" w14:paraId="4DE62675" w14:textId="77777777">
      <w:pPr>
        <w:spacing w:after="0" w:line="240" w:lineRule="auto"/>
        <w:rPr>
          <w:rFonts w:ascii="Times New Roman" w:hAnsi="Times New Roman"/>
          <w:sz w:val="26"/>
          <w:szCs w:val="26"/>
        </w:rPr>
      </w:pPr>
    </w:p>
    <w:p w:rsidRPr="00E9060E" w:rsidR="00F0627E" w:rsidP="00BD0F89" w:rsidRDefault="00F20B97" w14:paraId="115E3405" w14:textId="77777777">
      <w:pPr>
        <w:spacing w:after="0" w:line="240" w:lineRule="auto"/>
        <w:rPr>
          <w:rFonts w:ascii="Times New Roman" w:hAnsi="Times New Roman"/>
          <w:b/>
          <w:sz w:val="26"/>
          <w:szCs w:val="26"/>
        </w:rPr>
      </w:pPr>
      <w:r w:rsidRPr="00E9060E">
        <w:rPr>
          <w:rFonts w:ascii="Times New Roman" w:hAnsi="Times New Roman"/>
          <w:b/>
          <w:sz w:val="26"/>
          <w:szCs w:val="26"/>
        </w:rPr>
        <w:t xml:space="preserve">16. </w:t>
      </w:r>
      <w:r w:rsidRPr="00E9060E" w:rsidR="00F0627E">
        <w:rPr>
          <w:rFonts w:ascii="Times New Roman" w:hAnsi="Times New Roman"/>
          <w:b/>
          <w:sz w:val="26"/>
          <w:szCs w:val="26"/>
        </w:rPr>
        <w:t>TIME SCHEDULE FOR PUBLICATION OF DATA</w:t>
      </w:r>
    </w:p>
    <w:p w:rsidRPr="00E9060E" w:rsidR="00F0627E" w:rsidP="00BD0F89" w:rsidRDefault="00F0627E" w14:paraId="65FE4B4D" w14:textId="77777777">
      <w:pPr>
        <w:spacing w:after="0" w:line="240" w:lineRule="auto"/>
        <w:rPr>
          <w:rFonts w:ascii="Times New Roman" w:hAnsi="Times New Roman"/>
          <w:sz w:val="26"/>
          <w:szCs w:val="26"/>
        </w:rPr>
      </w:pPr>
    </w:p>
    <w:p w:rsidRPr="00E9060E" w:rsidR="001D289D" w:rsidP="00BD0F89" w:rsidRDefault="001D289D" w14:paraId="679BBE9C" w14:textId="77777777">
      <w:pPr>
        <w:spacing w:after="0" w:line="240" w:lineRule="auto"/>
        <w:rPr>
          <w:rFonts w:ascii="Times New Roman" w:hAnsi="Times New Roman"/>
          <w:sz w:val="26"/>
          <w:szCs w:val="26"/>
        </w:rPr>
      </w:pPr>
      <w:r w:rsidRPr="00E9060E">
        <w:rPr>
          <w:rFonts w:ascii="Times New Roman" w:hAnsi="Times New Roman"/>
          <w:sz w:val="26"/>
          <w:szCs w:val="26"/>
        </w:rPr>
        <w:t xml:space="preserve">There is no publication of </w:t>
      </w:r>
      <w:r w:rsidRPr="00E9060E" w:rsidR="00587AD0">
        <w:rPr>
          <w:rFonts w:ascii="Times New Roman" w:hAnsi="Times New Roman"/>
          <w:sz w:val="26"/>
          <w:szCs w:val="26"/>
        </w:rPr>
        <w:t>data</w:t>
      </w:r>
      <w:r w:rsidRPr="00E9060E">
        <w:rPr>
          <w:rFonts w:ascii="Times New Roman" w:hAnsi="Times New Roman"/>
          <w:sz w:val="26"/>
          <w:szCs w:val="26"/>
        </w:rPr>
        <w:t xml:space="preserve">. </w:t>
      </w:r>
    </w:p>
    <w:p w:rsidRPr="00E9060E" w:rsidR="00F20B97" w:rsidP="00BD0F89" w:rsidRDefault="00F20B97" w14:paraId="5CEC4741" w14:textId="77777777">
      <w:pPr>
        <w:spacing w:after="0" w:line="240" w:lineRule="auto"/>
        <w:rPr>
          <w:rFonts w:ascii="Times New Roman" w:hAnsi="Times New Roman"/>
          <w:sz w:val="26"/>
          <w:szCs w:val="26"/>
        </w:rPr>
      </w:pPr>
    </w:p>
    <w:p w:rsidRPr="00E9060E" w:rsidR="00F0627E" w:rsidP="00BD0F89" w:rsidRDefault="00F20B97" w14:paraId="6F76679F" w14:textId="77777777">
      <w:pPr>
        <w:spacing w:after="0" w:line="240" w:lineRule="auto"/>
        <w:rPr>
          <w:rFonts w:ascii="Times New Roman" w:hAnsi="Times New Roman"/>
          <w:b/>
          <w:sz w:val="26"/>
          <w:szCs w:val="26"/>
        </w:rPr>
      </w:pPr>
      <w:r w:rsidRPr="00E9060E">
        <w:rPr>
          <w:rFonts w:ascii="Times New Roman" w:hAnsi="Times New Roman"/>
          <w:b/>
          <w:sz w:val="26"/>
          <w:szCs w:val="26"/>
        </w:rPr>
        <w:t xml:space="preserve">17. </w:t>
      </w:r>
      <w:r w:rsidRPr="00E9060E" w:rsidR="00F0627E">
        <w:rPr>
          <w:rFonts w:ascii="Times New Roman" w:hAnsi="Times New Roman"/>
          <w:b/>
          <w:sz w:val="26"/>
          <w:szCs w:val="26"/>
        </w:rPr>
        <w:t>DISPLAY OF EXPIRATION DATE</w:t>
      </w:r>
    </w:p>
    <w:p w:rsidRPr="00E9060E" w:rsidR="00F0627E" w:rsidP="00BD0F89" w:rsidRDefault="00F0627E" w14:paraId="2C7224E4" w14:textId="77777777">
      <w:pPr>
        <w:spacing w:after="0" w:line="240" w:lineRule="auto"/>
        <w:rPr>
          <w:rFonts w:ascii="Times New Roman" w:hAnsi="Times New Roman"/>
          <w:sz w:val="26"/>
          <w:szCs w:val="26"/>
        </w:rPr>
      </w:pPr>
    </w:p>
    <w:p w:rsidRPr="00E9060E" w:rsidR="00027DC9" w:rsidP="00BD0F89" w:rsidRDefault="001D289D" w14:paraId="31FE087C" w14:textId="77777777">
      <w:pPr>
        <w:spacing w:after="0" w:line="240" w:lineRule="auto"/>
        <w:rPr>
          <w:rFonts w:ascii="Times New Roman" w:hAnsi="Times New Roman"/>
          <w:color w:val="0000FF"/>
          <w:sz w:val="26"/>
          <w:szCs w:val="26"/>
          <w:u w:val="single"/>
        </w:rPr>
      </w:pPr>
      <w:r w:rsidRPr="00E9060E">
        <w:rPr>
          <w:rFonts w:ascii="Times New Roman" w:hAnsi="Times New Roman"/>
          <w:sz w:val="26"/>
          <w:szCs w:val="26"/>
        </w:rPr>
        <w:t xml:space="preserve">The expiration dates are posted on ferc.gov at </w:t>
      </w:r>
      <w:hyperlink w:history="1" r:id="rId13">
        <w:r w:rsidRPr="00CC7014">
          <w:rPr>
            <w:rStyle w:val="Hyperlink"/>
            <w:rFonts w:ascii="Times New Roman" w:hAnsi="Times New Roman"/>
            <w:color w:val="1F4E79" w:themeColor="accent1" w:themeShade="80"/>
            <w:sz w:val="26"/>
            <w:szCs w:val="26"/>
          </w:rPr>
          <w:t>http://www.ferc.gov/docs-filing/info-collections.asp</w:t>
        </w:r>
      </w:hyperlink>
      <w:r w:rsidRPr="00CC7014">
        <w:rPr>
          <w:rFonts w:ascii="Times New Roman" w:hAnsi="Times New Roman"/>
          <w:color w:val="1F4E79" w:themeColor="accent1" w:themeShade="80"/>
          <w:sz w:val="26"/>
          <w:szCs w:val="26"/>
        </w:rPr>
        <w:t xml:space="preserve"> </w:t>
      </w:r>
      <w:r w:rsidRPr="00E9060E" w:rsidR="00A51BC6">
        <w:rPr>
          <w:rFonts w:ascii="Times New Roman" w:hAnsi="Times New Roman"/>
          <w:sz w:val="26"/>
          <w:szCs w:val="26"/>
        </w:rPr>
        <w:t>and on the forms where applicable.</w:t>
      </w:r>
      <w:r w:rsidRPr="00E9060E">
        <w:rPr>
          <w:rFonts w:ascii="Times New Roman" w:hAnsi="Times New Roman"/>
          <w:sz w:val="26"/>
          <w:szCs w:val="26"/>
        </w:rPr>
        <w:t xml:space="preserve"> </w:t>
      </w:r>
    </w:p>
    <w:p w:rsidRPr="00E9060E" w:rsidR="00027DC9" w:rsidP="00BD0F89" w:rsidRDefault="00027DC9" w14:paraId="799845B9" w14:textId="77777777">
      <w:pPr>
        <w:spacing w:after="0" w:line="240" w:lineRule="auto"/>
        <w:rPr>
          <w:rFonts w:ascii="Times New Roman" w:hAnsi="Times New Roman"/>
          <w:sz w:val="26"/>
          <w:szCs w:val="26"/>
        </w:rPr>
      </w:pPr>
    </w:p>
    <w:p w:rsidRPr="00E9060E" w:rsidR="00F0627E" w:rsidP="00BD0F89" w:rsidRDefault="00F20B97" w14:paraId="61B7D1C0" w14:textId="77777777">
      <w:pPr>
        <w:spacing w:after="0" w:line="240" w:lineRule="auto"/>
        <w:rPr>
          <w:rFonts w:ascii="Times New Roman" w:hAnsi="Times New Roman"/>
          <w:b/>
          <w:sz w:val="26"/>
          <w:szCs w:val="26"/>
        </w:rPr>
      </w:pPr>
      <w:r w:rsidRPr="00E9060E">
        <w:rPr>
          <w:rFonts w:ascii="Times New Roman" w:hAnsi="Times New Roman"/>
          <w:b/>
          <w:sz w:val="26"/>
          <w:szCs w:val="26"/>
        </w:rPr>
        <w:t xml:space="preserve">18.  </w:t>
      </w:r>
      <w:r w:rsidRPr="00E9060E" w:rsidR="00F0627E">
        <w:rPr>
          <w:rFonts w:ascii="Times New Roman" w:hAnsi="Times New Roman"/>
          <w:b/>
          <w:sz w:val="26"/>
          <w:szCs w:val="26"/>
        </w:rPr>
        <w:t>EXCEPTIONS TO THE CERTIFICATION STATEMENT</w:t>
      </w:r>
    </w:p>
    <w:p w:rsidRPr="00E9060E" w:rsidR="001D289D" w:rsidP="00BD0F89" w:rsidRDefault="001D289D" w14:paraId="63F6A337" w14:textId="77777777">
      <w:pPr>
        <w:spacing w:after="0" w:line="240" w:lineRule="auto"/>
        <w:rPr>
          <w:rFonts w:ascii="Times New Roman" w:hAnsi="Times New Roman"/>
          <w:b/>
          <w:sz w:val="26"/>
          <w:szCs w:val="26"/>
        </w:rPr>
      </w:pPr>
    </w:p>
    <w:p w:rsidRPr="00E9060E" w:rsidR="00F0627E" w:rsidP="00C87990" w:rsidRDefault="001D289D" w14:paraId="07E0677A" w14:textId="77777777">
      <w:pPr>
        <w:spacing w:after="160" w:line="240" w:lineRule="auto"/>
        <w:rPr>
          <w:rFonts w:ascii="Times New Roman" w:hAnsi="Times New Roman"/>
          <w:sz w:val="26"/>
          <w:szCs w:val="26"/>
        </w:rPr>
      </w:pPr>
      <w:r w:rsidRPr="00E9060E">
        <w:rPr>
          <w:rFonts w:ascii="Times New Roman" w:hAnsi="Times New Roman"/>
          <w:sz w:val="26"/>
          <w:szCs w:val="26"/>
        </w:rPr>
        <w:t>There are no exception</w:t>
      </w:r>
      <w:r w:rsidRPr="00E9060E" w:rsidR="000836EF">
        <w:rPr>
          <w:rFonts w:ascii="Times New Roman" w:hAnsi="Times New Roman"/>
          <w:sz w:val="26"/>
          <w:szCs w:val="26"/>
        </w:rPr>
        <w:t>s</w:t>
      </w:r>
      <w:r w:rsidRPr="00E9060E">
        <w:rPr>
          <w:rFonts w:ascii="Times New Roman" w:hAnsi="Times New Roman"/>
          <w:sz w:val="26"/>
          <w:szCs w:val="26"/>
        </w:rPr>
        <w:t xml:space="preserve">. </w:t>
      </w:r>
    </w:p>
    <w:sectPr w:rsidRPr="00E9060E" w:rsidR="00F0627E">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21622A" w14:textId="77777777" w:rsidR="00B40967" w:rsidRDefault="00B40967" w:rsidP="009C7F55">
      <w:pPr>
        <w:spacing w:after="0" w:line="240" w:lineRule="auto"/>
      </w:pPr>
      <w:r>
        <w:separator/>
      </w:r>
    </w:p>
  </w:endnote>
  <w:endnote w:type="continuationSeparator" w:id="0">
    <w:p w14:paraId="5252B370" w14:textId="77777777" w:rsidR="00B40967" w:rsidRDefault="00B40967" w:rsidP="009C7F55">
      <w:pPr>
        <w:spacing w:after="0" w:line="240" w:lineRule="auto"/>
      </w:pPr>
      <w:r>
        <w:continuationSeparator/>
      </w:r>
    </w:p>
  </w:endnote>
  <w:endnote w:type="continuationNotice" w:id="1">
    <w:p w14:paraId="1AC9BD6A" w14:textId="77777777" w:rsidR="00B40967" w:rsidRDefault="00B409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DF24D" w14:textId="77777777" w:rsidR="00B40967" w:rsidRDefault="00B409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7812702"/>
      <w:docPartObj>
        <w:docPartGallery w:val="Page Numbers (Bottom of Page)"/>
        <w:docPartUnique/>
      </w:docPartObj>
    </w:sdtPr>
    <w:sdtEndPr>
      <w:rPr>
        <w:noProof/>
      </w:rPr>
    </w:sdtEndPr>
    <w:sdtContent>
      <w:p w14:paraId="694AABE9" w14:textId="31D9813D" w:rsidR="00B40967" w:rsidRDefault="00B40967">
        <w:pPr>
          <w:pStyle w:val="Footer"/>
          <w:jc w:val="right"/>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EEE20" w14:textId="77777777" w:rsidR="00B40967" w:rsidRDefault="00B409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084F80" w14:textId="77777777" w:rsidR="00B40967" w:rsidRDefault="00B40967" w:rsidP="009C7F55">
      <w:pPr>
        <w:spacing w:after="0" w:line="240" w:lineRule="auto"/>
      </w:pPr>
      <w:r>
        <w:separator/>
      </w:r>
    </w:p>
  </w:footnote>
  <w:footnote w:type="continuationSeparator" w:id="0">
    <w:p w14:paraId="58640EAC" w14:textId="77777777" w:rsidR="00B40967" w:rsidRDefault="00B40967" w:rsidP="009C7F55">
      <w:pPr>
        <w:spacing w:after="0" w:line="240" w:lineRule="auto"/>
      </w:pPr>
      <w:r>
        <w:continuationSeparator/>
      </w:r>
    </w:p>
  </w:footnote>
  <w:footnote w:type="continuationNotice" w:id="1">
    <w:p w14:paraId="6E754C68" w14:textId="77777777" w:rsidR="00B40967" w:rsidRDefault="00B40967">
      <w:pPr>
        <w:spacing w:after="0" w:line="240" w:lineRule="auto"/>
      </w:pPr>
    </w:p>
  </w:footnote>
  <w:footnote w:id="2">
    <w:p w14:paraId="46AD1CEF" w14:textId="685D02D6" w:rsidR="00B40967" w:rsidRPr="00BA6434" w:rsidRDefault="00B40967" w:rsidP="00212EF9">
      <w:pPr>
        <w:rPr>
          <w:sz w:val="26"/>
          <w:szCs w:val="26"/>
        </w:rPr>
      </w:pPr>
      <w:r w:rsidRPr="00212EF9">
        <w:rPr>
          <w:rStyle w:val="FootnoteReference"/>
          <w:rFonts w:ascii="Times New Roman" w:hAnsi="Times New Roman"/>
          <w:sz w:val="26"/>
          <w:szCs w:val="26"/>
          <w:vertAlign w:val="superscript"/>
        </w:rPr>
        <w:footnoteRef/>
      </w:r>
      <w:r w:rsidRPr="00212EF9">
        <w:rPr>
          <w:sz w:val="26"/>
          <w:szCs w:val="26"/>
          <w:vertAlign w:val="superscript"/>
        </w:rPr>
        <w:t xml:space="preserve"> </w:t>
      </w:r>
      <w:bookmarkStart w:id="1" w:name="_Hlk45805544"/>
      <w:r w:rsidRPr="00212EF9">
        <w:rPr>
          <w:rFonts w:ascii="Times New Roman" w:hAnsi="Times New Roman"/>
          <w:sz w:val="26"/>
          <w:szCs w:val="26"/>
        </w:rPr>
        <w:t>FERC Form Nos. 2 and 2-A are part of the “</w:t>
      </w:r>
      <w:proofErr w:type="spellStart"/>
      <w:r w:rsidR="00C30B8A">
        <w:rPr>
          <w:rFonts w:ascii="Times New Roman" w:hAnsi="Times New Roman"/>
          <w:sz w:val="26"/>
          <w:szCs w:val="26"/>
        </w:rPr>
        <w:t>e</w:t>
      </w:r>
      <w:r w:rsidRPr="00212EF9">
        <w:rPr>
          <w:rFonts w:ascii="Times New Roman" w:hAnsi="Times New Roman"/>
          <w:sz w:val="26"/>
          <w:szCs w:val="26"/>
        </w:rPr>
        <w:t>Forms</w:t>
      </w:r>
      <w:proofErr w:type="spellEnd"/>
      <w:r w:rsidRPr="00212EF9">
        <w:rPr>
          <w:rFonts w:ascii="Times New Roman" w:hAnsi="Times New Roman"/>
          <w:sz w:val="26"/>
          <w:szCs w:val="26"/>
        </w:rPr>
        <w:t xml:space="preserve"> Refresh” or “XBRL” effort, which is a separate activity and discussed below.  </w:t>
      </w:r>
      <w:r w:rsidRPr="00212EF9">
        <w:rPr>
          <w:rFonts w:ascii="Times New Roman" w:hAnsi="Times New Roman"/>
          <w:i/>
          <w:sz w:val="26"/>
          <w:szCs w:val="26"/>
        </w:rPr>
        <w:t>See Revisions to the Filing Process for Commission Forms</w:t>
      </w:r>
      <w:r w:rsidRPr="00212EF9">
        <w:rPr>
          <w:rFonts w:ascii="Times New Roman" w:hAnsi="Times New Roman"/>
          <w:sz w:val="26"/>
          <w:szCs w:val="26"/>
        </w:rPr>
        <w:t xml:space="preserve">, 166 FERC ¶ 61,027 (2019) (started in Docket No. AD15-11 and ongoing in Docket No. RM19-12). (See ICR Nos. </w:t>
      </w:r>
      <w:r w:rsidRPr="00CC7014">
        <w:rPr>
          <w:rFonts w:ascii="Times New Roman" w:hAnsi="Times New Roman"/>
          <w:color w:val="1F4E79" w:themeColor="accent1" w:themeShade="80"/>
          <w:sz w:val="26"/>
          <w:szCs w:val="26"/>
          <w:u w:val="single"/>
        </w:rPr>
        <w:t xml:space="preserve">201905-1902-007 </w:t>
      </w:r>
      <w:proofErr w:type="gramStart"/>
      <w:r w:rsidRPr="00CC7014">
        <w:rPr>
          <w:rFonts w:ascii="Times New Roman" w:hAnsi="Times New Roman"/>
          <w:color w:val="1F4E79" w:themeColor="accent1" w:themeShade="80"/>
          <w:sz w:val="26"/>
          <w:szCs w:val="26"/>
          <w:u w:val="single"/>
        </w:rPr>
        <w:t>and </w:t>
      </w:r>
      <w:r w:rsidRPr="00CC7014">
        <w:rPr>
          <w:rFonts w:ascii="Times New Roman" w:hAnsi="Times New Roman"/>
          <w:color w:val="1F4E79" w:themeColor="accent1" w:themeShade="80"/>
          <w:sz w:val="26"/>
          <w:szCs w:val="26"/>
        </w:rPr>
        <w:t xml:space="preserve"> </w:t>
      </w:r>
      <w:r w:rsidRPr="00CC7014">
        <w:rPr>
          <w:rFonts w:ascii="Times New Roman" w:hAnsi="Times New Roman"/>
          <w:color w:val="1F4E79" w:themeColor="accent1" w:themeShade="80"/>
          <w:sz w:val="26"/>
          <w:szCs w:val="26"/>
          <w:u w:val="single"/>
        </w:rPr>
        <w:t>201905</w:t>
      </w:r>
      <w:proofErr w:type="gramEnd"/>
      <w:r w:rsidRPr="00CC7014">
        <w:rPr>
          <w:rFonts w:ascii="Times New Roman" w:hAnsi="Times New Roman"/>
          <w:color w:val="1F4E79" w:themeColor="accent1" w:themeShade="80"/>
          <w:sz w:val="26"/>
          <w:szCs w:val="26"/>
          <w:u w:val="single"/>
        </w:rPr>
        <w:t>-1902-009  for FERC Form Nos. 2 and 2-A</w:t>
      </w:r>
      <w:r w:rsidRPr="00CC7014">
        <w:rPr>
          <w:rFonts w:ascii="Times New Roman" w:hAnsi="Times New Roman"/>
          <w:color w:val="1F4E79" w:themeColor="accent1" w:themeShade="80"/>
          <w:sz w:val="26"/>
          <w:szCs w:val="26"/>
        </w:rPr>
        <w:t>.</w:t>
      </w:r>
      <w:r w:rsidRPr="00CC7014">
        <w:rPr>
          <w:rFonts w:ascii="Times New Roman" w:hAnsi="Times New Roman"/>
          <w:color w:val="000000"/>
          <w:sz w:val="26"/>
          <w:szCs w:val="26"/>
        </w:rPr>
        <w:t>)</w:t>
      </w:r>
      <w:r w:rsidRPr="00CC7014">
        <w:rPr>
          <w:rFonts w:ascii="Times New Roman" w:hAnsi="Times New Roman"/>
          <w:sz w:val="26"/>
          <w:szCs w:val="26"/>
        </w:rPr>
        <w:t xml:space="preserve"> More information on the Forms Refresh project is posted at </w:t>
      </w:r>
      <w:hyperlink r:id="rId1" w:history="1">
        <w:r w:rsidRPr="00CC7014">
          <w:rPr>
            <w:rStyle w:val="Hyperlink"/>
            <w:rFonts w:ascii="Times New Roman" w:hAnsi="Times New Roman"/>
            <w:color w:val="1F4E79" w:themeColor="accent1" w:themeShade="80"/>
            <w:sz w:val="26"/>
            <w:szCs w:val="26"/>
          </w:rPr>
          <w:t>http://www.ferc.gov/docs-filing/forms/eforms-refresh.asp</w:t>
        </w:r>
      </w:hyperlink>
      <w:r w:rsidRPr="00CC7014">
        <w:rPr>
          <w:rFonts w:ascii="Times New Roman" w:hAnsi="Times New Roman"/>
          <w:sz w:val="26"/>
          <w:szCs w:val="26"/>
        </w:rPr>
        <w:t>.</w:t>
      </w:r>
      <w:r w:rsidR="00BA4EDD" w:rsidRPr="00CC7014">
        <w:rPr>
          <w:rFonts w:ascii="Times New Roman" w:hAnsi="Times New Roman"/>
          <w:sz w:val="26"/>
          <w:szCs w:val="26"/>
        </w:rPr>
        <w:t xml:space="preserve"> </w:t>
      </w:r>
    </w:p>
    <w:bookmarkEnd w:id="1"/>
    <w:p w14:paraId="7A3BDCCE" w14:textId="687DFEF6" w:rsidR="00B40967" w:rsidRPr="000815F8" w:rsidRDefault="00B40967" w:rsidP="000D40F2">
      <w:pPr>
        <w:pStyle w:val="FootnoteText"/>
        <w:rPr>
          <w:sz w:val="26"/>
          <w:szCs w:val="26"/>
        </w:rPr>
      </w:pPr>
    </w:p>
  </w:footnote>
  <w:footnote w:id="3">
    <w:p w14:paraId="0569B47E" w14:textId="77777777" w:rsidR="00B40967" w:rsidRPr="00B01842" w:rsidRDefault="00B40967" w:rsidP="007E5B5A">
      <w:pPr>
        <w:pStyle w:val="FootnoteText"/>
        <w:rPr>
          <w:sz w:val="26"/>
          <w:szCs w:val="26"/>
        </w:rPr>
      </w:pPr>
      <w:r w:rsidRPr="00212EF9">
        <w:rPr>
          <w:rStyle w:val="FootnoteReference"/>
          <w:sz w:val="26"/>
          <w:szCs w:val="26"/>
          <w:vertAlign w:val="superscript"/>
        </w:rPr>
        <w:footnoteRef/>
      </w:r>
      <w:r w:rsidRPr="00212EF9">
        <w:rPr>
          <w:sz w:val="26"/>
          <w:szCs w:val="26"/>
          <w:vertAlign w:val="superscript"/>
        </w:rPr>
        <w:t xml:space="preserve"> </w:t>
      </w:r>
      <w:r w:rsidRPr="00212EF9">
        <w:rPr>
          <w:i/>
          <w:iCs/>
          <w:sz w:val="26"/>
          <w:szCs w:val="26"/>
        </w:rPr>
        <w:t>Electronic Filing Protocols for Commission Forms</w:t>
      </w:r>
      <w:r w:rsidRPr="00212EF9">
        <w:rPr>
          <w:sz w:val="26"/>
          <w:szCs w:val="26"/>
        </w:rPr>
        <w:t xml:space="preserve">, 151 FERC ¶ 61,025 (2015).  </w:t>
      </w:r>
    </w:p>
  </w:footnote>
  <w:footnote w:id="4">
    <w:p w14:paraId="6878C2F8" w14:textId="676703C1" w:rsidR="00B40967" w:rsidRDefault="00B40967">
      <w:pPr>
        <w:pStyle w:val="FootnoteText"/>
      </w:pPr>
      <w:r w:rsidRPr="00212EF9">
        <w:rPr>
          <w:rStyle w:val="FootnoteReference"/>
          <w:sz w:val="26"/>
          <w:szCs w:val="26"/>
          <w:vertAlign w:val="superscript"/>
        </w:rPr>
        <w:footnoteRef/>
      </w:r>
      <w:r w:rsidRPr="00212EF9">
        <w:rPr>
          <w:sz w:val="26"/>
          <w:szCs w:val="26"/>
          <w:vertAlign w:val="superscript"/>
        </w:rPr>
        <w:t xml:space="preserve"> </w:t>
      </w:r>
      <w:r w:rsidRPr="0035363C">
        <w:rPr>
          <w:i/>
          <w:iCs/>
          <w:sz w:val="26"/>
          <w:szCs w:val="26"/>
        </w:rPr>
        <w:t>Revisions to the Filing Process for Commission Forms</w:t>
      </w:r>
      <w:r w:rsidRPr="0035363C">
        <w:rPr>
          <w:sz w:val="26"/>
          <w:szCs w:val="26"/>
        </w:rPr>
        <w:t>, Order No. 859,  167 FERC ¶ 61,241 (2019).</w:t>
      </w:r>
    </w:p>
  </w:footnote>
  <w:footnote w:id="5">
    <w:p w14:paraId="0B51BB0A" w14:textId="77777777" w:rsidR="00B40967" w:rsidRDefault="00B40967" w:rsidP="002C4518">
      <w:pPr>
        <w:pStyle w:val="FootnoteText"/>
        <w:rPr>
          <w:sz w:val="26"/>
          <w:szCs w:val="26"/>
        </w:rPr>
      </w:pPr>
      <w:r w:rsidRPr="00212EF9">
        <w:rPr>
          <w:rStyle w:val="FootnoteReference"/>
          <w:rFonts w:eastAsia="Calibri"/>
          <w:sz w:val="26"/>
          <w:szCs w:val="26"/>
          <w:vertAlign w:val="superscript"/>
        </w:rPr>
        <w:footnoteRef/>
      </w:r>
      <w:r w:rsidRPr="007E5B5A">
        <w:rPr>
          <w:sz w:val="26"/>
          <w:szCs w:val="26"/>
        </w:rPr>
        <w:t xml:space="preserve"> </w:t>
      </w:r>
      <w:r w:rsidRPr="007E5B5A">
        <w:rPr>
          <w:i/>
          <w:sz w:val="26"/>
          <w:szCs w:val="26"/>
        </w:rPr>
        <w:t>See</w:t>
      </w:r>
      <w:r w:rsidRPr="007E5B5A">
        <w:rPr>
          <w:sz w:val="26"/>
          <w:szCs w:val="26"/>
        </w:rPr>
        <w:t xml:space="preserve"> 18 CFR Part 201 (Uniform System of Accounts Prescribed for Natural Gas</w:t>
      </w:r>
      <w:r>
        <w:rPr>
          <w:sz w:val="26"/>
          <w:szCs w:val="26"/>
        </w:rPr>
        <w:t xml:space="preserve"> Companies Subject to the Provisions of the Natural Gas Act).</w:t>
      </w:r>
    </w:p>
  </w:footnote>
  <w:footnote w:id="6">
    <w:p w14:paraId="7B85E37A" w14:textId="77777777" w:rsidR="00B40967" w:rsidRPr="000113FC" w:rsidRDefault="00B40967" w:rsidP="00A326E2">
      <w:pPr>
        <w:pStyle w:val="FootnoteText"/>
        <w:rPr>
          <w:sz w:val="26"/>
          <w:szCs w:val="26"/>
        </w:rPr>
      </w:pPr>
      <w:r w:rsidRPr="000113FC">
        <w:rPr>
          <w:rStyle w:val="FootnoteReference"/>
          <w:rFonts w:eastAsia="Calibri"/>
          <w:sz w:val="26"/>
          <w:szCs w:val="26"/>
          <w:vertAlign w:val="superscript"/>
        </w:rPr>
        <w:footnoteRef/>
      </w:r>
      <w:r w:rsidRPr="000113FC">
        <w:rPr>
          <w:sz w:val="26"/>
          <w:szCs w:val="26"/>
        </w:rPr>
        <w:t xml:space="preserve"> </w:t>
      </w:r>
      <w:r w:rsidRPr="000113FC">
        <w:rPr>
          <w:i/>
          <w:sz w:val="26"/>
          <w:szCs w:val="26"/>
        </w:rPr>
        <w:t>See</w:t>
      </w:r>
      <w:r w:rsidRPr="000113FC">
        <w:rPr>
          <w:sz w:val="26"/>
          <w:szCs w:val="26"/>
        </w:rPr>
        <w:t xml:space="preserve"> 18 CFR Part 201 (Uniform System </w:t>
      </w:r>
      <w:proofErr w:type="gramStart"/>
      <w:r w:rsidRPr="000113FC">
        <w:rPr>
          <w:sz w:val="26"/>
          <w:szCs w:val="26"/>
        </w:rPr>
        <w:t>Of</w:t>
      </w:r>
      <w:proofErr w:type="gramEnd"/>
      <w:r w:rsidRPr="000113FC">
        <w:rPr>
          <w:sz w:val="26"/>
          <w:szCs w:val="26"/>
        </w:rPr>
        <w:t xml:space="preserve"> Accounts Prescribed For Natural Gas Companies Subject To The Provisions Of The Natural Gas Act).</w:t>
      </w:r>
    </w:p>
  </w:footnote>
  <w:footnote w:id="7">
    <w:p w14:paraId="57BD9F9E" w14:textId="3EEC5A57" w:rsidR="00B40967" w:rsidRPr="00212EF9" w:rsidRDefault="00B40967" w:rsidP="00E42653">
      <w:pPr>
        <w:pStyle w:val="FootnoteText"/>
        <w:rPr>
          <w:sz w:val="26"/>
          <w:szCs w:val="26"/>
        </w:rPr>
      </w:pPr>
      <w:r w:rsidRPr="00212EF9">
        <w:rPr>
          <w:rStyle w:val="FootnoteReference"/>
          <w:sz w:val="26"/>
          <w:szCs w:val="26"/>
          <w:vertAlign w:val="superscript"/>
        </w:rPr>
        <w:footnoteRef/>
      </w:r>
      <w:r w:rsidRPr="00212EF9">
        <w:rPr>
          <w:sz w:val="26"/>
          <w:szCs w:val="26"/>
        </w:rPr>
        <w:t xml:space="preserve"> </w:t>
      </w:r>
      <w:r w:rsidRPr="00212EF9">
        <w:rPr>
          <w:i/>
          <w:iCs/>
          <w:sz w:val="26"/>
          <w:szCs w:val="26"/>
        </w:rPr>
        <w:t>See Revisions to the Filing Process for Commission Forms</w:t>
      </w:r>
      <w:r w:rsidRPr="00212EF9">
        <w:rPr>
          <w:sz w:val="26"/>
          <w:szCs w:val="26"/>
        </w:rPr>
        <w:t xml:space="preserve">, </w:t>
      </w:r>
      <w:r w:rsidRPr="00133EBE">
        <w:rPr>
          <w:sz w:val="26"/>
          <w:szCs w:val="26"/>
        </w:rPr>
        <w:t>167 FERC ¶ 61,241</w:t>
      </w:r>
      <w:r w:rsidRPr="00212EF9">
        <w:rPr>
          <w:sz w:val="26"/>
          <w:szCs w:val="26"/>
        </w:rPr>
        <w:t xml:space="preserve"> (2019) (started in Docket No. AD15-11 and ongoing in Docket No. RM19-12).  (OMB issued its decisions on the changes in the </w:t>
      </w:r>
      <w:proofErr w:type="spellStart"/>
      <w:r w:rsidR="00C30B8A">
        <w:rPr>
          <w:sz w:val="26"/>
          <w:szCs w:val="26"/>
        </w:rPr>
        <w:t>e</w:t>
      </w:r>
      <w:r w:rsidRPr="00212EF9">
        <w:rPr>
          <w:sz w:val="26"/>
          <w:szCs w:val="26"/>
        </w:rPr>
        <w:t>Forms</w:t>
      </w:r>
      <w:proofErr w:type="spellEnd"/>
      <w:r w:rsidRPr="00212EF9">
        <w:rPr>
          <w:sz w:val="26"/>
          <w:szCs w:val="26"/>
        </w:rPr>
        <w:t xml:space="preserve"> Refresh Final Rule in Docket No. RM19-12 on 9/9/2019.)  More information on the </w:t>
      </w:r>
      <w:proofErr w:type="spellStart"/>
      <w:r w:rsidR="00C30B8A">
        <w:rPr>
          <w:sz w:val="26"/>
          <w:szCs w:val="26"/>
        </w:rPr>
        <w:t>e</w:t>
      </w:r>
      <w:r w:rsidRPr="00212EF9">
        <w:rPr>
          <w:sz w:val="26"/>
          <w:szCs w:val="26"/>
        </w:rPr>
        <w:t>Forms</w:t>
      </w:r>
      <w:proofErr w:type="spellEnd"/>
      <w:r w:rsidRPr="00212EF9">
        <w:rPr>
          <w:sz w:val="26"/>
          <w:szCs w:val="26"/>
        </w:rPr>
        <w:t xml:space="preserve"> Refresh project is posted at http://www.ferc.gov/docs-filing/forms/eforms-refresh.asp.</w:t>
      </w:r>
    </w:p>
    <w:p w14:paraId="74438C5C" w14:textId="0699B9A4" w:rsidR="00B40967" w:rsidRDefault="00B40967">
      <w:pPr>
        <w:pStyle w:val="FootnoteText"/>
      </w:pPr>
    </w:p>
  </w:footnote>
  <w:footnote w:id="8">
    <w:p w14:paraId="2236E29A" w14:textId="0AD6663D" w:rsidR="00B40967" w:rsidRPr="000113FC" w:rsidRDefault="00B40967" w:rsidP="00F0627E">
      <w:pPr>
        <w:pStyle w:val="FootnoteText"/>
        <w:rPr>
          <w:sz w:val="26"/>
          <w:szCs w:val="26"/>
        </w:rPr>
      </w:pPr>
      <w:r w:rsidRPr="000113FC">
        <w:rPr>
          <w:rStyle w:val="FootnoteReference"/>
          <w:sz w:val="26"/>
          <w:szCs w:val="26"/>
          <w:vertAlign w:val="superscript"/>
        </w:rPr>
        <w:footnoteRef/>
      </w:r>
      <w:r w:rsidRPr="000113FC">
        <w:rPr>
          <w:sz w:val="26"/>
          <w:szCs w:val="26"/>
        </w:rPr>
        <w:t xml:space="preserve"> 18 C.F.R. §</w:t>
      </w:r>
      <w:r w:rsidRPr="00F3221E">
        <w:rPr>
          <w:sz w:val="26"/>
          <w:szCs w:val="26"/>
        </w:rPr>
        <w:t xml:space="preserve">§ </w:t>
      </w:r>
      <w:r w:rsidRPr="000113FC">
        <w:rPr>
          <w:sz w:val="26"/>
          <w:szCs w:val="26"/>
        </w:rPr>
        <w:t>388.112</w:t>
      </w:r>
      <w:r w:rsidRPr="00F3221E">
        <w:rPr>
          <w:sz w:val="26"/>
          <w:szCs w:val="26"/>
        </w:rPr>
        <w:t xml:space="preserve"> and 388.113</w:t>
      </w:r>
      <w:r w:rsidRPr="000113FC">
        <w:rPr>
          <w:sz w:val="26"/>
          <w:szCs w:val="26"/>
        </w:rPr>
        <w:t xml:space="preserve">.  More information on the CEII definition, program and requirements is posted at </w:t>
      </w:r>
      <w:hyperlink r:id="rId2" w:history="1">
        <w:r w:rsidRPr="00CC7014">
          <w:rPr>
            <w:rStyle w:val="Hyperlink"/>
            <w:color w:val="1F4E79" w:themeColor="accent1" w:themeShade="80"/>
            <w:sz w:val="26"/>
            <w:szCs w:val="26"/>
          </w:rPr>
          <w:t>http://www.ferc.gov/legal/ceii-foia/ceii.asp</w:t>
        </w:r>
      </w:hyperlink>
      <w:r w:rsidRPr="00CC7014">
        <w:rPr>
          <w:color w:val="1F4E79" w:themeColor="accent1" w:themeShade="80"/>
          <w:sz w:val="26"/>
          <w:szCs w:val="26"/>
        </w:rPr>
        <w:t xml:space="preserve">. </w:t>
      </w:r>
    </w:p>
  </w:footnote>
  <w:footnote w:id="9">
    <w:p w14:paraId="5186D3EF" w14:textId="77777777" w:rsidR="00B40967" w:rsidRPr="00212EF9" w:rsidRDefault="00B40967" w:rsidP="00045E48">
      <w:pPr>
        <w:pStyle w:val="FootnoteText"/>
        <w:rPr>
          <w:sz w:val="26"/>
          <w:szCs w:val="26"/>
        </w:rPr>
      </w:pPr>
      <w:r w:rsidRPr="00212EF9">
        <w:rPr>
          <w:rStyle w:val="FootnoteReference"/>
          <w:sz w:val="26"/>
          <w:szCs w:val="26"/>
          <w:vertAlign w:val="superscript"/>
        </w:rPr>
        <w:footnoteRef/>
      </w:r>
      <w:r w:rsidRPr="000D3C3E">
        <w:rPr>
          <w:sz w:val="26"/>
          <w:szCs w:val="26"/>
        </w:rPr>
        <w:t xml:space="preserve"> </w:t>
      </w:r>
      <w:r w:rsidRPr="00212EF9">
        <w:rPr>
          <w:sz w:val="26"/>
          <w:szCs w:val="26"/>
        </w:rPr>
        <w:t>Burden is defined as the total time, effort, or financial resources expended by persons to generate, maintain, retain, or disclose or provide information to or for a Federal agency. For further explanation of what is included in the information collection burden, refer to 5 Code of Federal Regulations 1320.3.</w:t>
      </w:r>
    </w:p>
  </w:footnote>
  <w:footnote w:id="10">
    <w:p w14:paraId="21C1AC27" w14:textId="0C52A209" w:rsidR="00B40967" w:rsidRDefault="00B40967" w:rsidP="003E5912">
      <w:pPr>
        <w:pStyle w:val="FootnoteText"/>
        <w:rPr>
          <w:sz w:val="26"/>
          <w:szCs w:val="26"/>
        </w:rPr>
      </w:pPr>
      <w:r w:rsidRPr="00212EF9">
        <w:rPr>
          <w:rStyle w:val="FootnoteReference"/>
          <w:sz w:val="26"/>
          <w:szCs w:val="26"/>
          <w:vertAlign w:val="superscript"/>
        </w:rPr>
        <w:footnoteRef/>
      </w:r>
      <w:r w:rsidRPr="00212EF9">
        <w:rPr>
          <w:sz w:val="26"/>
          <w:szCs w:val="26"/>
        </w:rPr>
        <w:t xml:space="preserve"> The Commission staff believes the FERC FTE (full-time equivalent) average cost for wages plus benefits is representative of the corresponding cost for the industry respondents</w:t>
      </w:r>
      <w:r>
        <w:rPr>
          <w:sz w:val="26"/>
          <w:szCs w:val="26"/>
        </w:rPr>
        <w:t xml:space="preserve"> to comply with the reporting requirement</w:t>
      </w:r>
      <w:r w:rsidRPr="00212EF9">
        <w:rPr>
          <w:sz w:val="26"/>
          <w:szCs w:val="26"/>
        </w:rPr>
        <w:t>.  Based upon the FERC’s 2019 average cost for salary plus benefits, the average hourly cost is $80/hour.</w:t>
      </w:r>
      <w:r>
        <w:rPr>
          <w:sz w:val="26"/>
          <w:szCs w:val="26"/>
        </w:rPr>
        <w:t xml:space="preserve"> </w:t>
      </w:r>
    </w:p>
    <w:p w14:paraId="0744806E" w14:textId="77777777" w:rsidR="00B40967" w:rsidRDefault="00B40967" w:rsidP="003E5912">
      <w:pPr>
        <w:pStyle w:val="FootnoteText"/>
        <w:rPr>
          <w:sz w:val="26"/>
          <w:szCs w:val="26"/>
        </w:rPr>
      </w:pPr>
    </w:p>
    <w:p w14:paraId="3C7D4B98" w14:textId="4774DD1C" w:rsidR="00B40967" w:rsidRPr="00212EF9" w:rsidRDefault="00B40967" w:rsidP="003E5912">
      <w:pPr>
        <w:pStyle w:val="FootnoteText"/>
        <w:rPr>
          <w:sz w:val="26"/>
          <w:szCs w:val="26"/>
        </w:rPr>
      </w:pPr>
      <w:bookmarkStart w:id="2" w:name="_Hlk47444994"/>
    </w:p>
    <w:bookmarkEnd w:id="2"/>
  </w:footnote>
  <w:footnote w:id="11">
    <w:p w14:paraId="0F3606C0" w14:textId="72C41518" w:rsidR="00B40967" w:rsidRDefault="00B40967" w:rsidP="00DE7921">
      <w:pPr>
        <w:pStyle w:val="FootnoteText"/>
        <w:rPr>
          <w:sz w:val="26"/>
          <w:szCs w:val="26"/>
        </w:rPr>
      </w:pPr>
      <w:r w:rsidRPr="00212EF9">
        <w:rPr>
          <w:rStyle w:val="FootnoteReference"/>
          <w:sz w:val="26"/>
          <w:szCs w:val="26"/>
          <w:vertAlign w:val="superscript"/>
        </w:rPr>
        <w:footnoteRef/>
      </w:r>
      <w:r w:rsidRPr="00212EF9">
        <w:rPr>
          <w:sz w:val="26"/>
          <w:szCs w:val="26"/>
          <w:vertAlign w:val="superscript"/>
        </w:rPr>
        <w:t xml:space="preserve"> </w:t>
      </w:r>
      <w:r w:rsidRPr="000D3C3E">
        <w:rPr>
          <w:sz w:val="26"/>
          <w:szCs w:val="26"/>
        </w:rPr>
        <w:t xml:space="preserve">Every </w:t>
      </w:r>
      <w:r>
        <w:rPr>
          <w:sz w:val="26"/>
          <w:szCs w:val="26"/>
        </w:rPr>
        <w:t xml:space="preserve">cost </w:t>
      </w:r>
      <w:r w:rsidRPr="000D3C3E">
        <w:rPr>
          <w:sz w:val="26"/>
          <w:szCs w:val="26"/>
        </w:rPr>
        <w:t>figure in this column is rounded to the nearest dollar.</w:t>
      </w:r>
    </w:p>
  </w:footnote>
  <w:footnote w:id="12">
    <w:p w14:paraId="43064C89" w14:textId="059EE32F" w:rsidR="00D442C9" w:rsidRPr="005B6E2D" w:rsidRDefault="00D442C9">
      <w:pPr>
        <w:pStyle w:val="FootnoteText"/>
        <w:rPr>
          <w:sz w:val="26"/>
          <w:szCs w:val="26"/>
        </w:rPr>
      </w:pPr>
      <w:r w:rsidRPr="00212EF9">
        <w:rPr>
          <w:rStyle w:val="FootnoteReference"/>
          <w:sz w:val="26"/>
          <w:szCs w:val="26"/>
          <w:vertAlign w:val="superscript"/>
        </w:rPr>
        <w:footnoteRef/>
      </w:r>
      <w:r w:rsidRPr="00212EF9">
        <w:rPr>
          <w:sz w:val="26"/>
          <w:szCs w:val="26"/>
          <w:vertAlign w:val="superscript"/>
        </w:rPr>
        <w:t xml:space="preserve"> </w:t>
      </w:r>
      <w:r w:rsidRPr="005B6E2D">
        <w:rPr>
          <w:sz w:val="26"/>
          <w:szCs w:val="26"/>
        </w:rPr>
        <w:t>Annual cost burden totals are derived from $4,912 (per response per year) x 2 years remaining for the XBRL refresh divided by 3 years of the OMB renewal period giving an annual average per response of $3,274.66.</w:t>
      </w:r>
    </w:p>
  </w:footnote>
  <w:footnote w:id="13">
    <w:p w14:paraId="4F41A94C" w14:textId="04D85872" w:rsidR="00B40967" w:rsidRPr="00C96FBC" w:rsidRDefault="00B40967">
      <w:pPr>
        <w:pStyle w:val="FootnoteText"/>
        <w:rPr>
          <w:sz w:val="26"/>
          <w:szCs w:val="26"/>
        </w:rPr>
      </w:pPr>
      <w:r w:rsidRPr="000113FC">
        <w:rPr>
          <w:rStyle w:val="FootnoteReference"/>
          <w:sz w:val="26"/>
          <w:szCs w:val="26"/>
          <w:vertAlign w:val="superscript"/>
        </w:rPr>
        <w:footnoteRef/>
      </w:r>
      <w:r w:rsidRPr="000113FC">
        <w:rPr>
          <w:sz w:val="26"/>
          <w:szCs w:val="26"/>
          <w:vertAlign w:val="superscript"/>
        </w:rPr>
        <w:t xml:space="preserve"> </w:t>
      </w:r>
      <w:r w:rsidRPr="000113FC">
        <w:rPr>
          <w:sz w:val="26"/>
          <w:szCs w:val="26"/>
        </w:rPr>
        <w:t>The estimate uses the FERC’s FY 201</w:t>
      </w:r>
      <w:r>
        <w:rPr>
          <w:sz w:val="26"/>
          <w:szCs w:val="26"/>
        </w:rPr>
        <w:t>9</w:t>
      </w:r>
      <w:r w:rsidRPr="000113FC">
        <w:rPr>
          <w:sz w:val="26"/>
          <w:szCs w:val="26"/>
        </w:rPr>
        <w:t xml:space="preserve"> average annual salary plus benefits of one FERC FTE (full-time equivalent</w:t>
      </w:r>
      <w:r>
        <w:rPr>
          <w:sz w:val="26"/>
          <w:szCs w:val="26"/>
        </w:rPr>
        <w:t xml:space="preserve"> $167,091 or</w:t>
      </w:r>
      <w:r w:rsidRPr="000113FC">
        <w:rPr>
          <w:sz w:val="26"/>
          <w:szCs w:val="26"/>
        </w:rPr>
        <w:t xml:space="preserve"> $</w:t>
      </w:r>
      <w:r>
        <w:rPr>
          <w:sz w:val="26"/>
          <w:szCs w:val="26"/>
        </w:rPr>
        <w:t>80</w:t>
      </w:r>
      <w:r w:rsidRPr="000113FC">
        <w:rPr>
          <w:sz w:val="26"/>
          <w:szCs w:val="26"/>
        </w:rPr>
        <w:t xml:space="preserve">.00 per hour).  (These estimates were </w:t>
      </w:r>
      <w:r w:rsidRPr="00C96FBC">
        <w:rPr>
          <w:sz w:val="26"/>
          <w:szCs w:val="26"/>
        </w:rPr>
        <w:t>updated in May 2019.)</w:t>
      </w:r>
    </w:p>
  </w:footnote>
  <w:footnote w:id="14">
    <w:p w14:paraId="41894F8B" w14:textId="67CF85EB" w:rsidR="00B40967" w:rsidRPr="00212EF9" w:rsidRDefault="00B40967" w:rsidP="00F93C35">
      <w:pPr>
        <w:pStyle w:val="FootnoteText"/>
        <w:rPr>
          <w:sz w:val="26"/>
          <w:szCs w:val="26"/>
        </w:rPr>
      </w:pPr>
      <w:r w:rsidRPr="00212EF9">
        <w:rPr>
          <w:rStyle w:val="FootnoteReference"/>
          <w:sz w:val="26"/>
          <w:szCs w:val="26"/>
          <w:vertAlign w:val="superscript"/>
        </w:rPr>
        <w:footnoteRef/>
      </w:r>
      <w:r w:rsidRPr="00212EF9">
        <w:rPr>
          <w:sz w:val="26"/>
          <w:szCs w:val="26"/>
        </w:rPr>
        <w:t xml:space="preserve"> FTE=Full-Time E</w:t>
      </w:r>
      <w:r>
        <w:rPr>
          <w:sz w:val="26"/>
          <w:szCs w:val="26"/>
        </w:rPr>
        <w:t>quivalent</w:t>
      </w:r>
      <w:r w:rsidRPr="00212EF9">
        <w:rPr>
          <w:sz w:val="26"/>
          <w:szCs w:val="26"/>
        </w:rPr>
        <w:t xml:space="preserve">.  </w:t>
      </w:r>
    </w:p>
  </w:footnote>
  <w:footnote w:id="15">
    <w:p w14:paraId="4BBD6FB9" w14:textId="77777777" w:rsidR="00B40967" w:rsidRDefault="00B40967" w:rsidP="00F93C35">
      <w:pPr>
        <w:pStyle w:val="FootnoteText"/>
      </w:pPr>
      <w:r w:rsidRPr="00212EF9">
        <w:rPr>
          <w:rStyle w:val="FootnoteReference"/>
          <w:sz w:val="26"/>
          <w:szCs w:val="26"/>
          <w:vertAlign w:val="superscript"/>
        </w:rPr>
        <w:footnoteRef/>
      </w:r>
      <w:r w:rsidRPr="00212EF9">
        <w:rPr>
          <w:sz w:val="26"/>
          <w:szCs w:val="26"/>
        </w:rPr>
        <w:t xml:space="preserve"> The FERC 2019 average salary plus benefits for one FERC full-time equivalent (FTE) is $167,091/year (or $80.00/hour).</w:t>
      </w:r>
    </w:p>
  </w:footnote>
  <w:footnote w:id="16">
    <w:p w14:paraId="14CAA160" w14:textId="1F5186ED" w:rsidR="00B40967" w:rsidRPr="00212EF9" w:rsidRDefault="00B40967" w:rsidP="00F14C75">
      <w:pPr>
        <w:pStyle w:val="FootnoteText"/>
        <w:rPr>
          <w:sz w:val="26"/>
          <w:szCs w:val="26"/>
        </w:rPr>
      </w:pPr>
      <w:r w:rsidRPr="00212EF9">
        <w:rPr>
          <w:rStyle w:val="FootnoteReference"/>
          <w:sz w:val="26"/>
          <w:szCs w:val="26"/>
          <w:vertAlign w:val="superscript"/>
        </w:rPr>
        <w:footnoteRef/>
      </w:r>
      <w:r w:rsidRPr="00212EF9">
        <w:rPr>
          <w:sz w:val="26"/>
          <w:szCs w:val="26"/>
        </w:rPr>
        <w:t xml:space="preserve"> FTE=Full-Time E</w:t>
      </w:r>
      <w:r>
        <w:rPr>
          <w:sz w:val="26"/>
          <w:szCs w:val="26"/>
        </w:rPr>
        <w:t>quivalent</w:t>
      </w:r>
      <w:r w:rsidRPr="00212EF9">
        <w:rPr>
          <w:sz w:val="26"/>
          <w:szCs w:val="26"/>
        </w:rPr>
        <w:t xml:space="preserve">.  </w:t>
      </w:r>
    </w:p>
  </w:footnote>
  <w:footnote w:id="17">
    <w:p w14:paraId="3C9D935A" w14:textId="77777777" w:rsidR="00B40967" w:rsidRDefault="00B40967" w:rsidP="00F14C75">
      <w:pPr>
        <w:pStyle w:val="FootnoteText"/>
      </w:pPr>
      <w:r w:rsidRPr="00212EF9">
        <w:rPr>
          <w:rStyle w:val="FootnoteReference"/>
          <w:sz w:val="26"/>
          <w:szCs w:val="26"/>
          <w:vertAlign w:val="superscript"/>
        </w:rPr>
        <w:footnoteRef/>
      </w:r>
      <w:r w:rsidRPr="00212EF9">
        <w:rPr>
          <w:sz w:val="26"/>
          <w:szCs w:val="26"/>
        </w:rPr>
        <w:t xml:space="preserve"> The FERC 2019 average salary plus benefits for one FERC full-time equivalent (FTE) is $167,091/year (or $80.00/hour).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48B97" w14:textId="77777777" w:rsidR="00B40967" w:rsidRDefault="00B409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A721A" w14:textId="6843B9D2" w:rsidR="00B40967" w:rsidRPr="00212EF9" w:rsidRDefault="00B40967">
    <w:pPr>
      <w:pStyle w:val="Header"/>
      <w:rPr>
        <w:rFonts w:ascii="Times New Roman" w:hAnsi="Times New Roman"/>
        <w:sz w:val="24"/>
        <w:szCs w:val="24"/>
      </w:rPr>
    </w:pPr>
    <w:r w:rsidRPr="00212EF9">
      <w:rPr>
        <w:rFonts w:ascii="Times New Roman" w:hAnsi="Times New Roman"/>
        <w:sz w:val="24"/>
        <w:szCs w:val="24"/>
      </w:rPr>
      <w:t>Docket No.IC20-10-000</w:t>
    </w:r>
  </w:p>
  <w:p w14:paraId="37B7D214" w14:textId="59003772" w:rsidR="00B40967" w:rsidRPr="00212EF9" w:rsidRDefault="00B40967" w:rsidP="00340E17">
    <w:pPr>
      <w:pStyle w:val="Header"/>
      <w:rPr>
        <w:rFonts w:ascii="Times New Roman" w:hAnsi="Times New Roman"/>
        <w:sz w:val="24"/>
        <w:szCs w:val="24"/>
      </w:rPr>
    </w:pPr>
    <w:r w:rsidRPr="00212EF9">
      <w:rPr>
        <w:rFonts w:ascii="Times New Roman" w:hAnsi="Times New Roman"/>
        <w:sz w:val="24"/>
        <w:szCs w:val="24"/>
      </w:rPr>
      <w:t>FERC Form No. 2 (OMB Control No. 1902-0028) and FERC Form No. 2-A  (OMB Control No. 1902-0030)</w:t>
    </w:r>
  </w:p>
  <w:p w14:paraId="093CAA33" w14:textId="77777777" w:rsidR="00B40967" w:rsidRDefault="00B409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4ADB2" w14:textId="77777777" w:rsidR="00B40967" w:rsidRDefault="00B409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50755"/>
    <w:multiLevelType w:val="hybridMultilevel"/>
    <w:tmpl w:val="EAB0F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17ACB"/>
    <w:multiLevelType w:val="hybridMultilevel"/>
    <w:tmpl w:val="FC34F5D8"/>
    <w:lvl w:ilvl="0" w:tplc="DE32E332">
      <w:start w:val="1"/>
      <w:numFmt w:val="bullet"/>
      <w:lvlText w:val=""/>
      <w:lvlJc w:val="left"/>
      <w:pPr>
        <w:tabs>
          <w:tab w:val="num" w:pos="1440"/>
        </w:tabs>
        <w:ind w:left="1440" w:hanging="360"/>
      </w:pPr>
      <w:rPr>
        <w:rFonts w:ascii="Symbol" w:hAnsi="Symbol" w:hint="default"/>
        <w:color w:val="auto"/>
      </w:rPr>
    </w:lvl>
    <w:lvl w:ilvl="1" w:tplc="0409000F">
      <w:start w:val="1"/>
      <w:numFmt w:val="decimal"/>
      <w:lvlText w:val="%2."/>
      <w:lvlJc w:val="left"/>
      <w:pPr>
        <w:tabs>
          <w:tab w:val="num" w:pos="1800"/>
        </w:tabs>
        <w:ind w:left="1800" w:hanging="360"/>
      </w:pPr>
      <w:rPr>
        <w:rFonts w:cs="Times New Roman"/>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0F4A3048"/>
    <w:multiLevelType w:val="hybridMultilevel"/>
    <w:tmpl w:val="005E7582"/>
    <w:lvl w:ilvl="0" w:tplc="DE32E332">
      <w:start w:val="1"/>
      <w:numFmt w:val="bullet"/>
      <w:lvlText w:val=""/>
      <w:lvlJc w:val="left"/>
      <w:pPr>
        <w:tabs>
          <w:tab w:val="num" w:pos="1440"/>
        </w:tabs>
        <w:ind w:left="1440" w:hanging="360"/>
      </w:pPr>
      <w:rPr>
        <w:rFonts w:ascii="Symbol" w:hAnsi="Symbol" w:hint="default"/>
        <w:color w:val="auto"/>
      </w:rPr>
    </w:lvl>
    <w:lvl w:ilvl="1" w:tplc="0409000F">
      <w:start w:val="1"/>
      <w:numFmt w:val="decimal"/>
      <w:lvlText w:val="%2."/>
      <w:lvlJc w:val="left"/>
      <w:pPr>
        <w:tabs>
          <w:tab w:val="num" w:pos="1800"/>
        </w:tabs>
        <w:ind w:left="1800" w:hanging="360"/>
      </w:pPr>
      <w:rPr>
        <w:rFonts w:cs="Times New Roman"/>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0F502655"/>
    <w:multiLevelType w:val="hybridMultilevel"/>
    <w:tmpl w:val="A182A734"/>
    <w:lvl w:ilvl="0" w:tplc="59081F7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6C2963"/>
    <w:multiLevelType w:val="hybridMultilevel"/>
    <w:tmpl w:val="CE1A700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4113FB"/>
    <w:multiLevelType w:val="hybridMultilevel"/>
    <w:tmpl w:val="93E06B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174301C"/>
    <w:multiLevelType w:val="hybridMultilevel"/>
    <w:tmpl w:val="BE5ED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7908C3"/>
    <w:multiLevelType w:val="multilevel"/>
    <w:tmpl w:val="09BE2CFC"/>
    <w:lvl w:ilvl="0">
      <w:start w:val="1"/>
      <w:numFmt w:val="bullet"/>
      <w:lvlText w:val=""/>
      <w:lvlJc w:val="left"/>
      <w:pPr>
        <w:tabs>
          <w:tab w:val="num" w:pos="720"/>
        </w:tabs>
        <w:ind w:left="720" w:hanging="360"/>
      </w:pPr>
      <w:rPr>
        <w:rFonts w:ascii="Symbol" w:hAnsi="Symbol" w:hint="default"/>
        <w:sz w:val="20"/>
      </w:rPr>
    </w:lvl>
    <w:lvl w:ilvl="1">
      <w:start w:val="18"/>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1118BC"/>
    <w:multiLevelType w:val="hybridMultilevel"/>
    <w:tmpl w:val="8BDACA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4B6162D"/>
    <w:multiLevelType w:val="hybridMultilevel"/>
    <w:tmpl w:val="D9DA2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4B59E4"/>
    <w:multiLevelType w:val="hybridMultilevel"/>
    <w:tmpl w:val="793C8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0C7D1B"/>
    <w:multiLevelType w:val="hybridMultilevel"/>
    <w:tmpl w:val="ADCE6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7C4573"/>
    <w:multiLevelType w:val="hybridMultilevel"/>
    <w:tmpl w:val="77D20E7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F14D98"/>
    <w:multiLevelType w:val="hybridMultilevel"/>
    <w:tmpl w:val="1438F8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051A2B"/>
    <w:multiLevelType w:val="hybridMultilevel"/>
    <w:tmpl w:val="403A86EC"/>
    <w:lvl w:ilvl="0" w:tplc="DE32E332">
      <w:start w:val="1"/>
      <w:numFmt w:val="bullet"/>
      <w:lvlText w:val=""/>
      <w:lvlJc w:val="left"/>
      <w:pPr>
        <w:tabs>
          <w:tab w:val="num" w:pos="1440"/>
        </w:tabs>
        <w:ind w:left="1440" w:hanging="360"/>
      </w:pPr>
      <w:rPr>
        <w:rFonts w:ascii="Symbol" w:hAnsi="Symbol" w:hint="default"/>
        <w:color w:val="auto"/>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76A0BBF"/>
    <w:multiLevelType w:val="hybridMultilevel"/>
    <w:tmpl w:val="BC00F5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86A02FA"/>
    <w:multiLevelType w:val="hybridMultilevel"/>
    <w:tmpl w:val="49522658"/>
    <w:lvl w:ilvl="0" w:tplc="7E9E0764">
      <w:start w:val="1"/>
      <w:numFmt w:val="decimal"/>
      <w:lvlText w:val="%1)"/>
      <w:lvlJc w:val="left"/>
      <w:pPr>
        <w:ind w:left="720" w:hanging="360"/>
      </w:pPr>
      <w:rPr>
        <w:i w:val="0"/>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826629"/>
    <w:multiLevelType w:val="multilevel"/>
    <w:tmpl w:val="AD6818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1F06477"/>
    <w:multiLevelType w:val="multilevel"/>
    <w:tmpl w:val="85E426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2614ABA"/>
    <w:multiLevelType w:val="hybridMultilevel"/>
    <w:tmpl w:val="7AEAC9F6"/>
    <w:lvl w:ilvl="0" w:tplc="04090001">
      <w:start w:val="1"/>
      <w:numFmt w:val="bullet"/>
      <w:lvlText w:val=""/>
      <w:lvlJc w:val="left"/>
      <w:pPr>
        <w:ind w:left="1080" w:hanging="360"/>
      </w:pPr>
      <w:rPr>
        <w:rFonts w:ascii="Symbol" w:hAnsi="Symbol" w:hint="default"/>
      </w:rPr>
    </w:lvl>
    <w:lvl w:ilvl="1" w:tplc="95CACDF6">
      <w:start w:val="1"/>
      <w:numFmt w:val="bullet"/>
      <w:lvlText w:val="o"/>
      <w:lvlJc w:val="left"/>
      <w:pPr>
        <w:ind w:left="1800" w:hanging="360"/>
      </w:pPr>
      <w:rPr>
        <w:rFonts w:ascii="Courier New" w:hAnsi="Courier New" w:cs="Courier New" w:hint="default"/>
        <w:vertAlign w:val="baseline"/>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66966E0"/>
    <w:multiLevelType w:val="hybridMultilevel"/>
    <w:tmpl w:val="D9925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7D38C3"/>
    <w:multiLevelType w:val="hybridMultilevel"/>
    <w:tmpl w:val="B6823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0D4B3C"/>
    <w:multiLevelType w:val="hybridMultilevel"/>
    <w:tmpl w:val="04F6B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CC1895"/>
    <w:multiLevelType w:val="hybridMultilevel"/>
    <w:tmpl w:val="AD6818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1B5B27"/>
    <w:multiLevelType w:val="hybridMultilevel"/>
    <w:tmpl w:val="812C1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D40E9F"/>
    <w:multiLevelType w:val="hybridMultilevel"/>
    <w:tmpl w:val="4DF8B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460FD9"/>
    <w:multiLevelType w:val="hybridMultilevel"/>
    <w:tmpl w:val="371A5118"/>
    <w:lvl w:ilvl="0" w:tplc="DE32E332">
      <w:start w:val="1"/>
      <w:numFmt w:val="bullet"/>
      <w:lvlText w:val=""/>
      <w:lvlJc w:val="left"/>
      <w:pPr>
        <w:tabs>
          <w:tab w:val="num" w:pos="1440"/>
        </w:tabs>
        <w:ind w:left="1440" w:hanging="360"/>
      </w:pPr>
      <w:rPr>
        <w:rFonts w:ascii="Symbol" w:hAnsi="Symbol" w:hint="default"/>
        <w:color w:val="auto"/>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8882599"/>
    <w:multiLevelType w:val="hybridMultilevel"/>
    <w:tmpl w:val="3C34292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5BA62A20"/>
    <w:multiLevelType w:val="hybridMultilevel"/>
    <w:tmpl w:val="3A36B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E719D3"/>
    <w:multiLevelType w:val="hybridMultilevel"/>
    <w:tmpl w:val="B9A2F77C"/>
    <w:lvl w:ilvl="0" w:tplc="E4FAF836">
      <w:start w:val="1"/>
      <w:numFmt w:val="decimal"/>
      <w:pStyle w:val="FERCparanumber"/>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1B4714C"/>
    <w:multiLevelType w:val="hybridMultilevel"/>
    <w:tmpl w:val="97ECA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437021"/>
    <w:multiLevelType w:val="hybridMultilevel"/>
    <w:tmpl w:val="A2BEE8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9AF1DF6"/>
    <w:multiLevelType w:val="hybridMultilevel"/>
    <w:tmpl w:val="48FE9A9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3" w15:restartNumberingAfterBreak="0">
    <w:nsid w:val="6D843B68"/>
    <w:multiLevelType w:val="hybridMultilevel"/>
    <w:tmpl w:val="6F9C4B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03B577F"/>
    <w:multiLevelType w:val="hybridMultilevel"/>
    <w:tmpl w:val="9F7031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79AF0F0F"/>
    <w:multiLevelType w:val="hybridMultilevel"/>
    <w:tmpl w:val="04BC19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3C7DBB"/>
    <w:multiLevelType w:val="hybridMultilevel"/>
    <w:tmpl w:val="736A28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3"/>
  </w:num>
  <w:num w:numId="2">
    <w:abstractNumId w:val="32"/>
  </w:num>
  <w:num w:numId="3">
    <w:abstractNumId w:val="21"/>
  </w:num>
  <w:num w:numId="4">
    <w:abstractNumId w:val="33"/>
  </w:num>
  <w:num w:numId="5">
    <w:abstractNumId w:val="5"/>
  </w:num>
  <w:num w:numId="6">
    <w:abstractNumId w:val="35"/>
  </w:num>
  <w:num w:numId="7">
    <w:abstractNumId w:val="7"/>
  </w:num>
  <w:num w:numId="8">
    <w:abstractNumId w:val="3"/>
  </w:num>
  <w:num w:numId="9">
    <w:abstractNumId w:val="18"/>
  </w:num>
  <w:num w:numId="10">
    <w:abstractNumId w:val="11"/>
  </w:num>
  <w:num w:numId="11">
    <w:abstractNumId w:val="25"/>
  </w:num>
  <w:num w:numId="12">
    <w:abstractNumId w:val="17"/>
  </w:num>
  <w:num w:numId="13">
    <w:abstractNumId w:val="4"/>
  </w:num>
  <w:num w:numId="14">
    <w:abstractNumId w:val="36"/>
  </w:num>
  <w:num w:numId="15">
    <w:abstractNumId w:val="13"/>
  </w:num>
  <w:num w:numId="16">
    <w:abstractNumId w:val="28"/>
  </w:num>
  <w:num w:numId="17">
    <w:abstractNumId w:val="9"/>
  </w:num>
  <w:num w:numId="18">
    <w:abstractNumId w:val="16"/>
  </w:num>
  <w:num w:numId="19">
    <w:abstractNumId w:val="22"/>
  </w:num>
  <w:num w:numId="20">
    <w:abstractNumId w:val="19"/>
  </w:num>
  <w:num w:numId="21">
    <w:abstractNumId w:val="31"/>
  </w:num>
  <w:num w:numId="22">
    <w:abstractNumId w:val="15"/>
  </w:num>
  <w:num w:numId="23">
    <w:abstractNumId w:val="12"/>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lvlOverride w:ilvl="1">
      <w:startOverride w:val="1"/>
    </w:lvlOverride>
    <w:lvlOverride w:ilvl="2"/>
    <w:lvlOverride w:ilvl="3"/>
    <w:lvlOverride w:ilvl="4"/>
    <w:lvlOverride w:ilvl="5"/>
    <w:lvlOverride w:ilvl="6"/>
    <w:lvlOverride w:ilvl="7"/>
    <w:lvlOverride w:ilvl="8"/>
  </w:num>
  <w:num w:numId="26">
    <w:abstractNumId w:val="1"/>
    <w:lvlOverride w:ilvl="0"/>
    <w:lvlOverride w:ilvl="1">
      <w:startOverride w:val="1"/>
    </w:lvlOverride>
    <w:lvlOverride w:ilvl="2"/>
    <w:lvlOverride w:ilvl="3"/>
    <w:lvlOverride w:ilvl="4"/>
    <w:lvlOverride w:ilvl="5"/>
    <w:lvlOverride w:ilvl="6"/>
    <w:lvlOverride w:ilvl="7"/>
    <w:lvlOverride w:ilvl="8"/>
  </w:num>
  <w:num w:numId="27">
    <w:abstractNumId w:val="26"/>
  </w:num>
  <w:num w:numId="28">
    <w:abstractNumId w:val="14"/>
  </w:num>
  <w:num w:numId="29">
    <w:abstractNumId w:val="29"/>
  </w:num>
  <w:num w:numId="30">
    <w:abstractNumId w:val="1"/>
  </w:num>
  <w:num w:numId="31">
    <w:abstractNumId w:val="0"/>
  </w:num>
  <w:num w:numId="32">
    <w:abstractNumId w:val="30"/>
  </w:num>
  <w:num w:numId="33">
    <w:abstractNumId w:val="6"/>
  </w:num>
  <w:num w:numId="34">
    <w:abstractNumId w:val="20"/>
  </w:num>
  <w:num w:numId="35">
    <w:abstractNumId w:val="19"/>
  </w:num>
  <w:num w:numId="36">
    <w:abstractNumId w:val="24"/>
  </w:num>
  <w:num w:numId="37">
    <w:abstractNumId w:val="34"/>
  </w:num>
  <w:num w:numId="38">
    <w:abstractNumId w:val="10"/>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F55"/>
    <w:rsid w:val="0000579D"/>
    <w:rsid w:val="000076FA"/>
    <w:rsid w:val="000113FC"/>
    <w:rsid w:val="000201FB"/>
    <w:rsid w:val="00020395"/>
    <w:rsid w:val="00020C6B"/>
    <w:rsid w:val="00024EF8"/>
    <w:rsid w:val="00027998"/>
    <w:rsid w:val="00027DC9"/>
    <w:rsid w:val="00030D70"/>
    <w:rsid w:val="0003147A"/>
    <w:rsid w:val="00031C79"/>
    <w:rsid w:val="0003406E"/>
    <w:rsid w:val="00034914"/>
    <w:rsid w:val="00035067"/>
    <w:rsid w:val="0003545C"/>
    <w:rsid w:val="00036F93"/>
    <w:rsid w:val="00037D0E"/>
    <w:rsid w:val="00037F63"/>
    <w:rsid w:val="00040F9F"/>
    <w:rsid w:val="00041ECE"/>
    <w:rsid w:val="00042C21"/>
    <w:rsid w:val="00044A19"/>
    <w:rsid w:val="00045AD7"/>
    <w:rsid w:val="00045E48"/>
    <w:rsid w:val="00045EFB"/>
    <w:rsid w:val="0006118D"/>
    <w:rsid w:val="00063E71"/>
    <w:rsid w:val="000640BE"/>
    <w:rsid w:val="00064E1A"/>
    <w:rsid w:val="00066375"/>
    <w:rsid w:val="00072071"/>
    <w:rsid w:val="000762E1"/>
    <w:rsid w:val="00077B16"/>
    <w:rsid w:val="000815F8"/>
    <w:rsid w:val="0008202D"/>
    <w:rsid w:val="0008302B"/>
    <w:rsid w:val="000836EF"/>
    <w:rsid w:val="00084A7F"/>
    <w:rsid w:val="00086571"/>
    <w:rsid w:val="00086CB1"/>
    <w:rsid w:val="00087BA4"/>
    <w:rsid w:val="00087DA2"/>
    <w:rsid w:val="000900E8"/>
    <w:rsid w:val="000909E2"/>
    <w:rsid w:val="0009171A"/>
    <w:rsid w:val="00092424"/>
    <w:rsid w:val="000924F2"/>
    <w:rsid w:val="000930CB"/>
    <w:rsid w:val="00094ECF"/>
    <w:rsid w:val="000951BE"/>
    <w:rsid w:val="0009626A"/>
    <w:rsid w:val="000A1722"/>
    <w:rsid w:val="000A22D0"/>
    <w:rsid w:val="000A4E4C"/>
    <w:rsid w:val="000A6077"/>
    <w:rsid w:val="000A6A09"/>
    <w:rsid w:val="000B0965"/>
    <w:rsid w:val="000B31D7"/>
    <w:rsid w:val="000B40D1"/>
    <w:rsid w:val="000B51EA"/>
    <w:rsid w:val="000B72B1"/>
    <w:rsid w:val="000C0209"/>
    <w:rsid w:val="000C1167"/>
    <w:rsid w:val="000C1630"/>
    <w:rsid w:val="000C2190"/>
    <w:rsid w:val="000C60FC"/>
    <w:rsid w:val="000C6A11"/>
    <w:rsid w:val="000D1D54"/>
    <w:rsid w:val="000D3C3E"/>
    <w:rsid w:val="000D3EC3"/>
    <w:rsid w:val="000D3F25"/>
    <w:rsid w:val="000D40F2"/>
    <w:rsid w:val="000E2F0F"/>
    <w:rsid w:val="000E4567"/>
    <w:rsid w:val="000E4925"/>
    <w:rsid w:val="000E6F19"/>
    <w:rsid w:val="000F00C3"/>
    <w:rsid w:val="000F1339"/>
    <w:rsid w:val="000F1377"/>
    <w:rsid w:val="000F35AD"/>
    <w:rsid w:val="000F448F"/>
    <w:rsid w:val="000F619B"/>
    <w:rsid w:val="000F646F"/>
    <w:rsid w:val="000F6ABA"/>
    <w:rsid w:val="00100E2F"/>
    <w:rsid w:val="001012EE"/>
    <w:rsid w:val="00102068"/>
    <w:rsid w:val="001021F0"/>
    <w:rsid w:val="00102BD6"/>
    <w:rsid w:val="0010332E"/>
    <w:rsid w:val="0010372C"/>
    <w:rsid w:val="00104ACF"/>
    <w:rsid w:val="00105BD2"/>
    <w:rsid w:val="001072E3"/>
    <w:rsid w:val="00107DA8"/>
    <w:rsid w:val="0011008E"/>
    <w:rsid w:val="001114E4"/>
    <w:rsid w:val="001121AE"/>
    <w:rsid w:val="001123D4"/>
    <w:rsid w:val="00116509"/>
    <w:rsid w:val="00116CF2"/>
    <w:rsid w:val="001263E8"/>
    <w:rsid w:val="00130FC3"/>
    <w:rsid w:val="00132C6B"/>
    <w:rsid w:val="00132D64"/>
    <w:rsid w:val="00133311"/>
    <w:rsid w:val="00133EBE"/>
    <w:rsid w:val="001360DE"/>
    <w:rsid w:val="0013718A"/>
    <w:rsid w:val="00141C5F"/>
    <w:rsid w:val="00141ED0"/>
    <w:rsid w:val="00142DB5"/>
    <w:rsid w:val="00144FDA"/>
    <w:rsid w:val="0014580C"/>
    <w:rsid w:val="00145CD8"/>
    <w:rsid w:val="00151068"/>
    <w:rsid w:val="00152282"/>
    <w:rsid w:val="00152A6C"/>
    <w:rsid w:val="00152AFE"/>
    <w:rsid w:val="00156589"/>
    <w:rsid w:val="00156C20"/>
    <w:rsid w:val="00163942"/>
    <w:rsid w:val="00165839"/>
    <w:rsid w:val="001668D3"/>
    <w:rsid w:val="00171CAC"/>
    <w:rsid w:val="001728EF"/>
    <w:rsid w:val="0017569A"/>
    <w:rsid w:val="001761B6"/>
    <w:rsid w:val="001763CC"/>
    <w:rsid w:val="00183053"/>
    <w:rsid w:val="00183CBA"/>
    <w:rsid w:val="00185343"/>
    <w:rsid w:val="00185D62"/>
    <w:rsid w:val="00186976"/>
    <w:rsid w:val="001902A4"/>
    <w:rsid w:val="00191A45"/>
    <w:rsid w:val="00193CF6"/>
    <w:rsid w:val="001968EA"/>
    <w:rsid w:val="001A450A"/>
    <w:rsid w:val="001A5362"/>
    <w:rsid w:val="001A5ED7"/>
    <w:rsid w:val="001A62D9"/>
    <w:rsid w:val="001A7ECD"/>
    <w:rsid w:val="001B1ED2"/>
    <w:rsid w:val="001B430C"/>
    <w:rsid w:val="001B5056"/>
    <w:rsid w:val="001C012B"/>
    <w:rsid w:val="001C2900"/>
    <w:rsid w:val="001C2A53"/>
    <w:rsid w:val="001C2A6C"/>
    <w:rsid w:val="001C2FE9"/>
    <w:rsid w:val="001C34B8"/>
    <w:rsid w:val="001C74AB"/>
    <w:rsid w:val="001C79D6"/>
    <w:rsid w:val="001D0B5C"/>
    <w:rsid w:val="001D289D"/>
    <w:rsid w:val="001D6157"/>
    <w:rsid w:val="001D67EE"/>
    <w:rsid w:val="001D785D"/>
    <w:rsid w:val="001D7B2E"/>
    <w:rsid w:val="001E3E6B"/>
    <w:rsid w:val="001E55A1"/>
    <w:rsid w:val="001E5DFC"/>
    <w:rsid w:val="001E6691"/>
    <w:rsid w:val="001F096A"/>
    <w:rsid w:val="001F0B90"/>
    <w:rsid w:val="001F18B7"/>
    <w:rsid w:val="001F2364"/>
    <w:rsid w:val="001F4E99"/>
    <w:rsid w:val="001F56F4"/>
    <w:rsid w:val="001F647D"/>
    <w:rsid w:val="001F7477"/>
    <w:rsid w:val="001F7D8D"/>
    <w:rsid w:val="00200CB5"/>
    <w:rsid w:val="00201EDE"/>
    <w:rsid w:val="00204B38"/>
    <w:rsid w:val="00206783"/>
    <w:rsid w:val="00212382"/>
    <w:rsid w:val="002123B8"/>
    <w:rsid w:val="00212EF9"/>
    <w:rsid w:val="00216A7C"/>
    <w:rsid w:val="00216F0A"/>
    <w:rsid w:val="002200D8"/>
    <w:rsid w:val="002213AA"/>
    <w:rsid w:val="00221430"/>
    <w:rsid w:val="00221EB9"/>
    <w:rsid w:val="00222BC5"/>
    <w:rsid w:val="00227F0E"/>
    <w:rsid w:val="0023069C"/>
    <w:rsid w:val="00230706"/>
    <w:rsid w:val="00232B1B"/>
    <w:rsid w:val="00232DF7"/>
    <w:rsid w:val="0023303D"/>
    <w:rsid w:val="00233478"/>
    <w:rsid w:val="002356D9"/>
    <w:rsid w:val="00236DFB"/>
    <w:rsid w:val="00240857"/>
    <w:rsid w:val="002408E6"/>
    <w:rsid w:val="00244A57"/>
    <w:rsid w:val="00244BC9"/>
    <w:rsid w:val="002458F5"/>
    <w:rsid w:val="0024602D"/>
    <w:rsid w:val="00247273"/>
    <w:rsid w:val="002476F2"/>
    <w:rsid w:val="00247EBC"/>
    <w:rsid w:val="00253A8B"/>
    <w:rsid w:val="002570FB"/>
    <w:rsid w:val="0026269A"/>
    <w:rsid w:val="0026282B"/>
    <w:rsid w:val="00265315"/>
    <w:rsid w:val="00266990"/>
    <w:rsid w:val="00270B47"/>
    <w:rsid w:val="00274467"/>
    <w:rsid w:val="00274E1C"/>
    <w:rsid w:val="00274FED"/>
    <w:rsid w:val="0027683E"/>
    <w:rsid w:val="0027754C"/>
    <w:rsid w:val="00280AFF"/>
    <w:rsid w:val="00282A00"/>
    <w:rsid w:val="00283BFF"/>
    <w:rsid w:val="002913ED"/>
    <w:rsid w:val="00291B70"/>
    <w:rsid w:val="00293111"/>
    <w:rsid w:val="002933AC"/>
    <w:rsid w:val="00293F34"/>
    <w:rsid w:val="00295050"/>
    <w:rsid w:val="002953E1"/>
    <w:rsid w:val="00295EB7"/>
    <w:rsid w:val="002A2FA4"/>
    <w:rsid w:val="002A352B"/>
    <w:rsid w:val="002A725B"/>
    <w:rsid w:val="002B093B"/>
    <w:rsid w:val="002B3A8A"/>
    <w:rsid w:val="002B4655"/>
    <w:rsid w:val="002B7556"/>
    <w:rsid w:val="002C0782"/>
    <w:rsid w:val="002C0DA6"/>
    <w:rsid w:val="002C1287"/>
    <w:rsid w:val="002C248B"/>
    <w:rsid w:val="002C2F20"/>
    <w:rsid w:val="002C3322"/>
    <w:rsid w:val="002C3ADD"/>
    <w:rsid w:val="002C4518"/>
    <w:rsid w:val="002C6711"/>
    <w:rsid w:val="002D0023"/>
    <w:rsid w:val="002D5299"/>
    <w:rsid w:val="002D5CAD"/>
    <w:rsid w:val="002D7472"/>
    <w:rsid w:val="002E034F"/>
    <w:rsid w:val="002E36BA"/>
    <w:rsid w:val="002E3C82"/>
    <w:rsid w:val="002E7379"/>
    <w:rsid w:val="002F0CAD"/>
    <w:rsid w:val="002F30F7"/>
    <w:rsid w:val="002F3E65"/>
    <w:rsid w:val="002F405E"/>
    <w:rsid w:val="002F4935"/>
    <w:rsid w:val="002F4AEF"/>
    <w:rsid w:val="002F5C7C"/>
    <w:rsid w:val="002F641C"/>
    <w:rsid w:val="002F6746"/>
    <w:rsid w:val="00300112"/>
    <w:rsid w:val="003056DE"/>
    <w:rsid w:val="00306736"/>
    <w:rsid w:val="00306DB0"/>
    <w:rsid w:val="00311CD2"/>
    <w:rsid w:val="003141EF"/>
    <w:rsid w:val="00314E84"/>
    <w:rsid w:val="0031780A"/>
    <w:rsid w:val="00320E77"/>
    <w:rsid w:val="00321785"/>
    <w:rsid w:val="003227B5"/>
    <w:rsid w:val="00325D43"/>
    <w:rsid w:val="0032632B"/>
    <w:rsid w:val="00331FD7"/>
    <w:rsid w:val="00332C5C"/>
    <w:rsid w:val="003334C6"/>
    <w:rsid w:val="003346BA"/>
    <w:rsid w:val="00337481"/>
    <w:rsid w:val="003376ED"/>
    <w:rsid w:val="00340E17"/>
    <w:rsid w:val="00343643"/>
    <w:rsid w:val="00344C60"/>
    <w:rsid w:val="003475BC"/>
    <w:rsid w:val="00350618"/>
    <w:rsid w:val="00351E0A"/>
    <w:rsid w:val="00353CBC"/>
    <w:rsid w:val="00353CD5"/>
    <w:rsid w:val="00353E6D"/>
    <w:rsid w:val="0035676A"/>
    <w:rsid w:val="003567C7"/>
    <w:rsid w:val="003568D6"/>
    <w:rsid w:val="00357252"/>
    <w:rsid w:val="00361948"/>
    <w:rsid w:val="003625D4"/>
    <w:rsid w:val="00364E7B"/>
    <w:rsid w:val="003665B8"/>
    <w:rsid w:val="003725EE"/>
    <w:rsid w:val="00373D37"/>
    <w:rsid w:val="00383706"/>
    <w:rsid w:val="003856AE"/>
    <w:rsid w:val="00395C37"/>
    <w:rsid w:val="00395E45"/>
    <w:rsid w:val="00395FB2"/>
    <w:rsid w:val="00397094"/>
    <w:rsid w:val="003A136F"/>
    <w:rsid w:val="003A14EF"/>
    <w:rsid w:val="003A23FA"/>
    <w:rsid w:val="003A3343"/>
    <w:rsid w:val="003A3DE2"/>
    <w:rsid w:val="003A48E3"/>
    <w:rsid w:val="003A4EF3"/>
    <w:rsid w:val="003B2B3C"/>
    <w:rsid w:val="003B49ED"/>
    <w:rsid w:val="003B553B"/>
    <w:rsid w:val="003B5F09"/>
    <w:rsid w:val="003B6C91"/>
    <w:rsid w:val="003C0867"/>
    <w:rsid w:val="003C0E57"/>
    <w:rsid w:val="003C11D8"/>
    <w:rsid w:val="003C1A04"/>
    <w:rsid w:val="003C548A"/>
    <w:rsid w:val="003C729F"/>
    <w:rsid w:val="003C74C2"/>
    <w:rsid w:val="003D08BB"/>
    <w:rsid w:val="003D205A"/>
    <w:rsid w:val="003D2490"/>
    <w:rsid w:val="003D2D84"/>
    <w:rsid w:val="003D3227"/>
    <w:rsid w:val="003D666E"/>
    <w:rsid w:val="003D79BB"/>
    <w:rsid w:val="003E1795"/>
    <w:rsid w:val="003E4EA6"/>
    <w:rsid w:val="003E5912"/>
    <w:rsid w:val="003E6B4D"/>
    <w:rsid w:val="003E74C9"/>
    <w:rsid w:val="003F25BB"/>
    <w:rsid w:val="003F2628"/>
    <w:rsid w:val="003F4A59"/>
    <w:rsid w:val="00402793"/>
    <w:rsid w:val="00402B60"/>
    <w:rsid w:val="00403FA6"/>
    <w:rsid w:val="00404B9B"/>
    <w:rsid w:val="004073F4"/>
    <w:rsid w:val="004101B0"/>
    <w:rsid w:val="0041285F"/>
    <w:rsid w:val="00413357"/>
    <w:rsid w:val="00413C13"/>
    <w:rsid w:val="00414464"/>
    <w:rsid w:val="00415251"/>
    <w:rsid w:val="004157B4"/>
    <w:rsid w:val="00415856"/>
    <w:rsid w:val="00423269"/>
    <w:rsid w:val="00426EC0"/>
    <w:rsid w:val="00427C6E"/>
    <w:rsid w:val="004345EE"/>
    <w:rsid w:val="00434D25"/>
    <w:rsid w:val="004410F1"/>
    <w:rsid w:val="00441917"/>
    <w:rsid w:val="00442CD7"/>
    <w:rsid w:val="004432C4"/>
    <w:rsid w:val="0044394A"/>
    <w:rsid w:val="00444280"/>
    <w:rsid w:val="00444888"/>
    <w:rsid w:val="0044533A"/>
    <w:rsid w:val="00445DAD"/>
    <w:rsid w:val="00446E92"/>
    <w:rsid w:val="004470B4"/>
    <w:rsid w:val="00450550"/>
    <w:rsid w:val="00450F57"/>
    <w:rsid w:val="00450F91"/>
    <w:rsid w:val="00452008"/>
    <w:rsid w:val="00456A2B"/>
    <w:rsid w:val="004665B0"/>
    <w:rsid w:val="00466FD7"/>
    <w:rsid w:val="00470D4A"/>
    <w:rsid w:val="00471F97"/>
    <w:rsid w:val="004733B2"/>
    <w:rsid w:val="0047741E"/>
    <w:rsid w:val="00480D2F"/>
    <w:rsid w:val="004830DC"/>
    <w:rsid w:val="00484DC2"/>
    <w:rsid w:val="00484EB3"/>
    <w:rsid w:val="0048721A"/>
    <w:rsid w:val="00487B87"/>
    <w:rsid w:val="00487F61"/>
    <w:rsid w:val="00490D11"/>
    <w:rsid w:val="00491824"/>
    <w:rsid w:val="00493DD9"/>
    <w:rsid w:val="00494814"/>
    <w:rsid w:val="00496A6C"/>
    <w:rsid w:val="00497925"/>
    <w:rsid w:val="004A36E5"/>
    <w:rsid w:val="004A6AF0"/>
    <w:rsid w:val="004A7AE4"/>
    <w:rsid w:val="004B26EF"/>
    <w:rsid w:val="004B7E8E"/>
    <w:rsid w:val="004C3208"/>
    <w:rsid w:val="004C3C5F"/>
    <w:rsid w:val="004C5451"/>
    <w:rsid w:val="004C5C74"/>
    <w:rsid w:val="004C7946"/>
    <w:rsid w:val="004D07A4"/>
    <w:rsid w:val="004D31DD"/>
    <w:rsid w:val="004D3772"/>
    <w:rsid w:val="004D3E78"/>
    <w:rsid w:val="004D42C0"/>
    <w:rsid w:val="004D4E3A"/>
    <w:rsid w:val="004E0BBC"/>
    <w:rsid w:val="004E23A6"/>
    <w:rsid w:val="004E2A6E"/>
    <w:rsid w:val="004E4AAE"/>
    <w:rsid w:val="004E4FA0"/>
    <w:rsid w:val="004E6A05"/>
    <w:rsid w:val="004F0530"/>
    <w:rsid w:val="004F364E"/>
    <w:rsid w:val="004F3E66"/>
    <w:rsid w:val="004F4316"/>
    <w:rsid w:val="004F4BCE"/>
    <w:rsid w:val="004F5376"/>
    <w:rsid w:val="00500691"/>
    <w:rsid w:val="005008CD"/>
    <w:rsid w:val="005052A7"/>
    <w:rsid w:val="005061BB"/>
    <w:rsid w:val="0050696C"/>
    <w:rsid w:val="00512214"/>
    <w:rsid w:val="00513CC8"/>
    <w:rsid w:val="0051491B"/>
    <w:rsid w:val="00515869"/>
    <w:rsid w:val="00515F5E"/>
    <w:rsid w:val="00516A6C"/>
    <w:rsid w:val="00517EC0"/>
    <w:rsid w:val="0052498D"/>
    <w:rsid w:val="00524C2C"/>
    <w:rsid w:val="0052605E"/>
    <w:rsid w:val="0052659F"/>
    <w:rsid w:val="00532CEA"/>
    <w:rsid w:val="00533D70"/>
    <w:rsid w:val="00534DFB"/>
    <w:rsid w:val="00536181"/>
    <w:rsid w:val="00540CE8"/>
    <w:rsid w:val="00541F55"/>
    <w:rsid w:val="005449A5"/>
    <w:rsid w:val="00550E13"/>
    <w:rsid w:val="005513D0"/>
    <w:rsid w:val="005523D3"/>
    <w:rsid w:val="005539AC"/>
    <w:rsid w:val="00553ACB"/>
    <w:rsid w:val="0055420F"/>
    <w:rsid w:val="00554E46"/>
    <w:rsid w:val="00554E82"/>
    <w:rsid w:val="0055599D"/>
    <w:rsid w:val="00555C3C"/>
    <w:rsid w:val="00560F70"/>
    <w:rsid w:val="00562F20"/>
    <w:rsid w:val="005630B0"/>
    <w:rsid w:val="0056385F"/>
    <w:rsid w:val="0056524C"/>
    <w:rsid w:val="00565432"/>
    <w:rsid w:val="00566FD5"/>
    <w:rsid w:val="005676E5"/>
    <w:rsid w:val="00570BB8"/>
    <w:rsid w:val="00576739"/>
    <w:rsid w:val="00581B0F"/>
    <w:rsid w:val="00581B3E"/>
    <w:rsid w:val="00581F72"/>
    <w:rsid w:val="00583484"/>
    <w:rsid w:val="00587AD0"/>
    <w:rsid w:val="005900E2"/>
    <w:rsid w:val="00590632"/>
    <w:rsid w:val="0059069E"/>
    <w:rsid w:val="005929C3"/>
    <w:rsid w:val="00594E71"/>
    <w:rsid w:val="005A007F"/>
    <w:rsid w:val="005A11FF"/>
    <w:rsid w:val="005A220A"/>
    <w:rsid w:val="005A33F0"/>
    <w:rsid w:val="005A6433"/>
    <w:rsid w:val="005A7AF4"/>
    <w:rsid w:val="005B0185"/>
    <w:rsid w:val="005B04A8"/>
    <w:rsid w:val="005B04C3"/>
    <w:rsid w:val="005B0B0A"/>
    <w:rsid w:val="005B6E2D"/>
    <w:rsid w:val="005C5DAB"/>
    <w:rsid w:val="005C5FA3"/>
    <w:rsid w:val="005C6A24"/>
    <w:rsid w:val="005C70E2"/>
    <w:rsid w:val="005D08A7"/>
    <w:rsid w:val="005D1C9E"/>
    <w:rsid w:val="005D3BC2"/>
    <w:rsid w:val="005D426E"/>
    <w:rsid w:val="005D7CC4"/>
    <w:rsid w:val="005E0B91"/>
    <w:rsid w:val="005E3D37"/>
    <w:rsid w:val="005E77C1"/>
    <w:rsid w:val="005F1EFB"/>
    <w:rsid w:val="00600A02"/>
    <w:rsid w:val="00600BD2"/>
    <w:rsid w:val="00603BBA"/>
    <w:rsid w:val="006128B2"/>
    <w:rsid w:val="00613ECA"/>
    <w:rsid w:val="00615A97"/>
    <w:rsid w:val="00623560"/>
    <w:rsid w:val="006241F8"/>
    <w:rsid w:val="0062523A"/>
    <w:rsid w:val="00625D08"/>
    <w:rsid w:val="0063060A"/>
    <w:rsid w:val="00630B8E"/>
    <w:rsid w:val="00631DA8"/>
    <w:rsid w:val="00633864"/>
    <w:rsid w:val="006347AA"/>
    <w:rsid w:val="006377D8"/>
    <w:rsid w:val="0064062A"/>
    <w:rsid w:val="00646564"/>
    <w:rsid w:val="006540D2"/>
    <w:rsid w:val="00654909"/>
    <w:rsid w:val="00661B57"/>
    <w:rsid w:val="00666CEE"/>
    <w:rsid w:val="00667425"/>
    <w:rsid w:val="00670B7B"/>
    <w:rsid w:val="0067145A"/>
    <w:rsid w:val="00672874"/>
    <w:rsid w:val="00672EA7"/>
    <w:rsid w:val="00673209"/>
    <w:rsid w:val="00676409"/>
    <w:rsid w:val="00677D55"/>
    <w:rsid w:val="006800CE"/>
    <w:rsid w:val="006800F3"/>
    <w:rsid w:val="00680C13"/>
    <w:rsid w:val="00684C28"/>
    <w:rsid w:val="006912CB"/>
    <w:rsid w:val="00692F93"/>
    <w:rsid w:val="00693436"/>
    <w:rsid w:val="006955A3"/>
    <w:rsid w:val="00696DF5"/>
    <w:rsid w:val="006977BC"/>
    <w:rsid w:val="006A1C37"/>
    <w:rsid w:val="006A2DCD"/>
    <w:rsid w:val="006B083F"/>
    <w:rsid w:val="006B137D"/>
    <w:rsid w:val="006B1A8D"/>
    <w:rsid w:val="006B2D5B"/>
    <w:rsid w:val="006B42A9"/>
    <w:rsid w:val="006B48FF"/>
    <w:rsid w:val="006B590A"/>
    <w:rsid w:val="006C0AA8"/>
    <w:rsid w:val="006C4D26"/>
    <w:rsid w:val="006C56A3"/>
    <w:rsid w:val="006C6662"/>
    <w:rsid w:val="006C66E8"/>
    <w:rsid w:val="006C6D90"/>
    <w:rsid w:val="006C787B"/>
    <w:rsid w:val="006D0BCD"/>
    <w:rsid w:val="006D22CF"/>
    <w:rsid w:val="006D47B7"/>
    <w:rsid w:val="006D6EBD"/>
    <w:rsid w:val="006E159B"/>
    <w:rsid w:val="006E1DFD"/>
    <w:rsid w:val="006E4F89"/>
    <w:rsid w:val="006E5D79"/>
    <w:rsid w:val="006E7D72"/>
    <w:rsid w:val="006F26C7"/>
    <w:rsid w:val="006F33DA"/>
    <w:rsid w:val="006F5CD1"/>
    <w:rsid w:val="00701724"/>
    <w:rsid w:val="007038AF"/>
    <w:rsid w:val="00705579"/>
    <w:rsid w:val="007060B2"/>
    <w:rsid w:val="007070B7"/>
    <w:rsid w:val="00711EB9"/>
    <w:rsid w:val="007163E6"/>
    <w:rsid w:val="007175B6"/>
    <w:rsid w:val="00724829"/>
    <w:rsid w:val="00725E44"/>
    <w:rsid w:val="007300B3"/>
    <w:rsid w:val="00732F3E"/>
    <w:rsid w:val="007347F9"/>
    <w:rsid w:val="00736C27"/>
    <w:rsid w:val="00742B28"/>
    <w:rsid w:val="007445A8"/>
    <w:rsid w:val="00745AA1"/>
    <w:rsid w:val="007468FA"/>
    <w:rsid w:val="00746AA0"/>
    <w:rsid w:val="00746ABD"/>
    <w:rsid w:val="00756BE0"/>
    <w:rsid w:val="007603ED"/>
    <w:rsid w:val="007640FB"/>
    <w:rsid w:val="0076535E"/>
    <w:rsid w:val="00766516"/>
    <w:rsid w:val="00766B21"/>
    <w:rsid w:val="00780149"/>
    <w:rsid w:val="00780D6E"/>
    <w:rsid w:val="00782DCD"/>
    <w:rsid w:val="00784459"/>
    <w:rsid w:val="0078772D"/>
    <w:rsid w:val="007933C5"/>
    <w:rsid w:val="007951AD"/>
    <w:rsid w:val="00797209"/>
    <w:rsid w:val="007A5AF7"/>
    <w:rsid w:val="007A6113"/>
    <w:rsid w:val="007B0D41"/>
    <w:rsid w:val="007B3BB5"/>
    <w:rsid w:val="007B529B"/>
    <w:rsid w:val="007B6467"/>
    <w:rsid w:val="007C2B5D"/>
    <w:rsid w:val="007C32BF"/>
    <w:rsid w:val="007C5E46"/>
    <w:rsid w:val="007C66F3"/>
    <w:rsid w:val="007D2EF7"/>
    <w:rsid w:val="007D436E"/>
    <w:rsid w:val="007E0190"/>
    <w:rsid w:val="007E0D8A"/>
    <w:rsid w:val="007E4B1C"/>
    <w:rsid w:val="007E5B5A"/>
    <w:rsid w:val="007E600E"/>
    <w:rsid w:val="007E640A"/>
    <w:rsid w:val="007E7453"/>
    <w:rsid w:val="007E7910"/>
    <w:rsid w:val="007F1D30"/>
    <w:rsid w:val="007F41F8"/>
    <w:rsid w:val="007F5DB1"/>
    <w:rsid w:val="007F5F96"/>
    <w:rsid w:val="007F773F"/>
    <w:rsid w:val="00803BFB"/>
    <w:rsid w:val="00805F8F"/>
    <w:rsid w:val="00810A96"/>
    <w:rsid w:val="00811E58"/>
    <w:rsid w:val="00812301"/>
    <w:rsid w:val="008143EC"/>
    <w:rsid w:val="00817FDA"/>
    <w:rsid w:val="00820173"/>
    <w:rsid w:val="00820D63"/>
    <w:rsid w:val="0082124B"/>
    <w:rsid w:val="00826CE2"/>
    <w:rsid w:val="00833B38"/>
    <w:rsid w:val="00837457"/>
    <w:rsid w:val="0084158D"/>
    <w:rsid w:val="00841F27"/>
    <w:rsid w:val="00842282"/>
    <w:rsid w:val="008426CC"/>
    <w:rsid w:val="00842D7E"/>
    <w:rsid w:val="0084303A"/>
    <w:rsid w:val="0084440F"/>
    <w:rsid w:val="00847CF4"/>
    <w:rsid w:val="008530FC"/>
    <w:rsid w:val="00855994"/>
    <w:rsid w:val="00856707"/>
    <w:rsid w:val="00860CDB"/>
    <w:rsid w:val="0086176D"/>
    <w:rsid w:val="008634BD"/>
    <w:rsid w:val="00867915"/>
    <w:rsid w:val="00876F3B"/>
    <w:rsid w:val="00880D3B"/>
    <w:rsid w:val="00881CBE"/>
    <w:rsid w:val="00883041"/>
    <w:rsid w:val="0088425D"/>
    <w:rsid w:val="008873E7"/>
    <w:rsid w:val="00890E48"/>
    <w:rsid w:val="00891EFB"/>
    <w:rsid w:val="00897C21"/>
    <w:rsid w:val="008A7B09"/>
    <w:rsid w:val="008B0858"/>
    <w:rsid w:val="008B0CCF"/>
    <w:rsid w:val="008B14CD"/>
    <w:rsid w:val="008B15E7"/>
    <w:rsid w:val="008C00AE"/>
    <w:rsid w:val="008C4024"/>
    <w:rsid w:val="008C6BC7"/>
    <w:rsid w:val="008C7ABB"/>
    <w:rsid w:val="008D4B3A"/>
    <w:rsid w:val="008D52BD"/>
    <w:rsid w:val="008E05A7"/>
    <w:rsid w:val="008E0A2C"/>
    <w:rsid w:val="008E103D"/>
    <w:rsid w:val="008E6E94"/>
    <w:rsid w:val="008E7655"/>
    <w:rsid w:val="008F2627"/>
    <w:rsid w:val="008F6EF7"/>
    <w:rsid w:val="008F711B"/>
    <w:rsid w:val="00900535"/>
    <w:rsid w:val="00902C25"/>
    <w:rsid w:val="00904961"/>
    <w:rsid w:val="00905520"/>
    <w:rsid w:val="00906819"/>
    <w:rsid w:val="009102C2"/>
    <w:rsid w:val="00913164"/>
    <w:rsid w:val="009148F1"/>
    <w:rsid w:val="0091728C"/>
    <w:rsid w:val="00921288"/>
    <w:rsid w:val="00921D23"/>
    <w:rsid w:val="0092238A"/>
    <w:rsid w:val="00923E07"/>
    <w:rsid w:val="0092600F"/>
    <w:rsid w:val="0092686E"/>
    <w:rsid w:val="00927DC8"/>
    <w:rsid w:val="009304D5"/>
    <w:rsid w:val="009312F1"/>
    <w:rsid w:val="009315E3"/>
    <w:rsid w:val="00932D78"/>
    <w:rsid w:val="00932DF3"/>
    <w:rsid w:val="00935BC9"/>
    <w:rsid w:val="00941B07"/>
    <w:rsid w:val="00943671"/>
    <w:rsid w:val="0094390D"/>
    <w:rsid w:val="00944F95"/>
    <w:rsid w:val="0094517B"/>
    <w:rsid w:val="00946E0D"/>
    <w:rsid w:val="00950E12"/>
    <w:rsid w:val="00950EBC"/>
    <w:rsid w:val="009535DA"/>
    <w:rsid w:val="00953EDD"/>
    <w:rsid w:val="00957B46"/>
    <w:rsid w:val="00960A67"/>
    <w:rsid w:val="00960ABE"/>
    <w:rsid w:val="0096113B"/>
    <w:rsid w:val="00963B12"/>
    <w:rsid w:val="009658D5"/>
    <w:rsid w:val="0096666B"/>
    <w:rsid w:val="00967F31"/>
    <w:rsid w:val="00970783"/>
    <w:rsid w:val="00971C1C"/>
    <w:rsid w:val="00973DE4"/>
    <w:rsid w:val="00973E82"/>
    <w:rsid w:val="00974AFC"/>
    <w:rsid w:val="009761A3"/>
    <w:rsid w:val="00977691"/>
    <w:rsid w:val="009810F7"/>
    <w:rsid w:val="009844B9"/>
    <w:rsid w:val="009852B7"/>
    <w:rsid w:val="00987352"/>
    <w:rsid w:val="009A1489"/>
    <w:rsid w:val="009A1E1A"/>
    <w:rsid w:val="009A27AC"/>
    <w:rsid w:val="009B11E7"/>
    <w:rsid w:val="009B3BC7"/>
    <w:rsid w:val="009B4282"/>
    <w:rsid w:val="009B513C"/>
    <w:rsid w:val="009B6F37"/>
    <w:rsid w:val="009C1062"/>
    <w:rsid w:val="009C451A"/>
    <w:rsid w:val="009C6915"/>
    <w:rsid w:val="009C7060"/>
    <w:rsid w:val="009C7F55"/>
    <w:rsid w:val="009D3942"/>
    <w:rsid w:val="009D5ABA"/>
    <w:rsid w:val="009D5AC4"/>
    <w:rsid w:val="009E14B3"/>
    <w:rsid w:val="009E2F41"/>
    <w:rsid w:val="009E3BA7"/>
    <w:rsid w:val="009E5CAC"/>
    <w:rsid w:val="009E65E7"/>
    <w:rsid w:val="009F136F"/>
    <w:rsid w:val="009F1CCD"/>
    <w:rsid w:val="009F2120"/>
    <w:rsid w:val="009F2CCD"/>
    <w:rsid w:val="009F308B"/>
    <w:rsid w:val="009F358D"/>
    <w:rsid w:val="009F5E0A"/>
    <w:rsid w:val="009F616E"/>
    <w:rsid w:val="009F63D6"/>
    <w:rsid w:val="009F6869"/>
    <w:rsid w:val="009F6CFB"/>
    <w:rsid w:val="009F6D6D"/>
    <w:rsid w:val="00A002E7"/>
    <w:rsid w:val="00A008B4"/>
    <w:rsid w:val="00A02532"/>
    <w:rsid w:val="00A03054"/>
    <w:rsid w:val="00A04B1E"/>
    <w:rsid w:val="00A05351"/>
    <w:rsid w:val="00A06351"/>
    <w:rsid w:val="00A06841"/>
    <w:rsid w:val="00A079C1"/>
    <w:rsid w:val="00A10FBC"/>
    <w:rsid w:val="00A116AE"/>
    <w:rsid w:val="00A12047"/>
    <w:rsid w:val="00A122A7"/>
    <w:rsid w:val="00A1551C"/>
    <w:rsid w:val="00A1700D"/>
    <w:rsid w:val="00A175B6"/>
    <w:rsid w:val="00A216FC"/>
    <w:rsid w:val="00A23DF1"/>
    <w:rsid w:val="00A23F07"/>
    <w:rsid w:val="00A24B3E"/>
    <w:rsid w:val="00A25292"/>
    <w:rsid w:val="00A257FF"/>
    <w:rsid w:val="00A25906"/>
    <w:rsid w:val="00A27235"/>
    <w:rsid w:val="00A27B71"/>
    <w:rsid w:val="00A302D8"/>
    <w:rsid w:val="00A31CD3"/>
    <w:rsid w:val="00A326E2"/>
    <w:rsid w:val="00A33C28"/>
    <w:rsid w:val="00A33CDF"/>
    <w:rsid w:val="00A344C4"/>
    <w:rsid w:val="00A3739B"/>
    <w:rsid w:val="00A37EC4"/>
    <w:rsid w:val="00A4362B"/>
    <w:rsid w:val="00A45EED"/>
    <w:rsid w:val="00A51BC6"/>
    <w:rsid w:val="00A52612"/>
    <w:rsid w:val="00A53FC7"/>
    <w:rsid w:val="00A541FD"/>
    <w:rsid w:val="00A55D5C"/>
    <w:rsid w:val="00A60DFC"/>
    <w:rsid w:val="00A62A3F"/>
    <w:rsid w:val="00A67EF4"/>
    <w:rsid w:val="00A717CB"/>
    <w:rsid w:val="00A8054E"/>
    <w:rsid w:val="00A829CB"/>
    <w:rsid w:val="00A83CFF"/>
    <w:rsid w:val="00A84F60"/>
    <w:rsid w:val="00A8577F"/>
    <w:rsid w:val="00A86181"/>
    <w:rsid w:val="00A8669F"/>
    <w:rsid w:val="00A94966"/>
    <w:rsid w:val="00A962BC"/>
    <w:rsid w:val="00A96327"/>
    <w:rsid w:val="00A9668A"/>
    <w:rsid w:val="00AA05FF"/>
    <w:rsid w:val="00AA2BD5"/>
    <w:rsid w:val="00AA7547"/>
    <w:rsid w:val="00AB3680"/>
    <w:rsid w:val="00AB42C6"/>
    <w:rsid w:val="00AB65D8"/>
    <w:rsid w:val="00AB6AC1"/>
    <w:rsid w:val="00AB7D6C"/>
    <w:rsid w:val="00AB7F2C"/>
    <w:rsid w:val="00AC137F"/>
    <w:rsid w:val="00AC255D"/>
    <w:rsid w:val="00AC3A31"/>
    <w:rsid w:val="00AC3CDC"/>
    <w:rsid w:val="00AC4004"/>
    <w:rsid w:val="00AC485F"/>
    <w:rsid w:val="00AC60DF"/>
    <w:rsid w:val="00AC66B6"/>
    <w:rsid w:val="00AC69D4"/>
    <w:rsid w:val="00AD01B0"/>
    <w:rsid w:val="00AD180E"/>
    <w:rsid w:val="00AD2C01"/>
    <w:rsid w:val="00AE4269"/>
    <w:rsid w:val="00AE6820"/>
    <w:rsid w:val="00AE733B"/>
    <w:rsid w:val="00AF2AA1"/>
    <w:rsid w:val="00AF2BF2"/>
    <w:rsid w:val="00AF3755"/>
    <w:rsid w:val="00AF4A01"/>
    <w:rsid w:val="00AF7046"/>
    <w:rsid w:val="00B01842"/>
    <w:rsid w:val="00B018B1"/>
    <w:rsid w:val="00B05CEF"/>
    <w:rsid w:val="00B10F56"/>
    <w:rsid w:val="00B13D59"/>
    <w:rsid w:val="00B14E3F"/>
    <w:rsid w:val="00B15505"/>
    <w:rsid w:val="00B16845"/>
    <w:rsid w:val="00B24E2F"/>
    <w:rsid w:val="00B270B9"/>
    <w:rsid w:val="00B3007B"/>
    <w:rsid w:val="00B303A5"/>
    <w:rsid w:val="00B31EEB"/>
    <w:rsid w:val="00B33512"/>
    <w:rsid w:val="00B3415C"/>
    <w:rsid w:val="00B364C5"/>
    <w:rsid w:val="00B3664B"/>
    <w:rsid w:val="00B40967"/>
    <w:rsid w:val="00B41166"/>
    <w:rsid w:val="00B42FC6"/>
    <w:rsid w:val="00B451D9"/>
    <w:rsid w:val="00B45833"/>
    <w:rsid w:val="00B5132F"/>
    <w:rsid w:val="00B527BC"/>
    <w:rsid w:val="00B53A4C"/>
    <w:rsid w:val="00B5758E"/>
    <w:rsid w:val="00B57C21"/>
    <w:rsid w:val="00B57C5A"/>
    <w:rsid w:val="00B6311A"/>
    <w:rsid w:val="00B6477D"/>
    <w:rsid w:val="00B66C65"/>
    <w:rsid w:val="00B740A7"/>
    <w:rsid w:val="00B74E8B"/>
    <w:rsid w:val="00B75C18"/>
    <w:rsid w:val="00B75C98"/>
    <w:rsid w:val="00B75FEE"/>
    <w:rsid w:val="00B770B2"/>
    <w:rsid w:val="00B80607"/>
    <w:rsid w:val="00B81214"/>
    <w:rsid w:val="00B82C88"/>
    <w:rsid w:val="00B92542"/>
    <w:rsid w:val="00B96E8B"/>
    <w:rsid w:val="00B97EDD"/>
    <w:rsid w:val="00BA0479"/>
    <w:rsid w:val="00BA412D"/>
    <w:rsid w:val="00BA47E0"/>
    <w:rsid w:val="00BA4EDD"/>
    <w:rsid w:val="00BA6434"/>
    <w:rsid w:val="00BA7959"/>
    <w:rsid w:val="00BB30E4"/>
    <w:rsid w:val="00BB4271"/>
    <w:rsid w:val="00BB505F"/>
    <w:rsid w:val="00BB7694"/>
    <w:rsid w:val="00BC33B4"/>
    <w:rsid w:val="00BC4ED1"/>
    <w:rsid w:val="00BC7FDF"/>
    <w:rsid w:val="00BD0F89"/>
    <w:rsid w:val="00BD1E81"/>
    <w:rsid w:val="00BD3560"/>
    <w:rsid w:val="00BD7562"/>
    <w:rsid w:val="00BD77BE"/>
    <w:rsid w:val="00BD7A22"/>
    <w:rsid w:val="00BE00F1"/>
    <w:rsid w:val="00BE20CB"/>
    <w:rsid w:val="00BE264B"/>
    <w:rsid w:val="00BE3C78"/>
    <w:rsid w:val="00BE4859"/>
    <w:rsid w:val="00BE4A0C"/>
    <w:rsid w:val="00BE75DC"/>
    <w:rsid w:val="00BF189C"/>
    <w:rsid w:val="00BF3095"/>
    <w:rsid w:val="00BF4790"/>
    <w:rsid w:val="00C01AAF"/>
    <w:rsid w:val="00C030D2"/>
    <w:rsid w:val="00C0510A"/>
    <w:rsid w:val="00C062E4"/>
    <w:rsid w:val="00C107F4"/>
    <w:rsid w:val="00C10D6A"/>
    <w:rsid w:val="00C110FB"/>
    <w:rsid w:val="00C139CA"/>
    <w:rsid w:val="00C15E12"/>
    <w:rsid w:val="00C16E86"/>
    <w:rsid w:val="00C27D83"/>
    <w:rsid w:val="00C30B8A"/>
    <w:rsid w:val="00C377CF"/>
    <w:rsid w:val="00C443EF"/>
    <w:rsid w:val="00C4624A"/>
    <w:rsid w:val="00C46990"/>
    <w:rsid w:val="00C47938"/>
    <w:rsid w:val="00C5088F"/>
    <w:rsid w:val="00C5150A"/>
    <w:rsid w:val="00C532EB"/>
    <w:rsid w:val="00C54986"/>
    <w:rsid w:val="00C54F29"/>
    <w:rsid w:val="00C557D6"/>
    <w:rsid w:val="00C561C1"/>
    <w:rsid w:val="00C56D52"/>
    <w:rsid w:val="00C57F88"/>
    <w:rsid w:val="00C656D8"/>
    <w:rsid w:val="00C66BC9"/>
    <w:rsid w:val="00C70452"/>
    <w:rsid w:val="00C705C0"/>
    <w:rsid w:val="00C731FD"/>
    <w:rsid w:val="00C740BC"/>
    <w:rsid w:val="00C75FFF"/>
    <w:rsid w:val="00C76774"/>
    <w:rsid w:val="00C77A47"/>
    <w:rsid w:val="00C81277"/>
    <w:rsid w:val="00C8155F"/>
    <w:rsid w:val="00C82243"/>
    <w:rsid w:val="00C8405D"/>
    <w:rsid w:val="00C85321"/>
    <w:rsid w:val="00C8596E"/>
    <w:rsid w:val="00C87990"/>
    <w:rsid w:val="00C91BFF"/>
    <w:rsid w:val="00C96383"/>
    <w:rsid w:val="00C96FBC"/>
    <w:rsid w:val="00CA16B4"/>
    <w:rsid w:val="00CA2EAE"/>
    <w:rsid w:val="00CA424C"/>
    <w:rsid w:val="00CA4364"/>
    <w:rsid w:val="00CA48C2"/>
    <w:rsid w:val="00CA4CE7"/>
    <w:rsid w:val="00CA6D90"/>
    <w:rsid w:val="00CA7B4A"/>
    <w:rsid w:val="00CB2F25"/>
    <w:rsid w:val="00CB35C5"/>
    <w:rsid w:val="00CB3C50"/>
    <w:rsid w:val="00CB7B65"/>
    <w:rsid w:val="00CC16D9"/>
    <w:rsid w:val="00CC3601"/>
    <w:rsid w:val="00CC52A8"/>
    <w:rsid w:val="00CC5561"/>
    <w:rsid w:val="00CC6A15"/>
    <w:rsid w:val="00CC7014"/>
    <w:rsid w:val="00CC72A5"/>
    <w:rsid w:val="00CC7FE2"/>
    <w:rsid w:val="00CD0D3C"/>
    <w:rsid w:val="00CD146E"/>
    <w:rsid w:val="00CD2ED1"/>
    <w:rsid w:val="00CD3908"/>
    <w:rsid w:val="00CD4025"/>
    <w:rsid w:val="00CD5F6C"/>
    <w:rsid w:val="00CE1107"/>
    <w:rsid w:val="00CF2498"/>
    <w:rsid w:val="00CF4098"/>
    <w:rsid w:val="00D042E5"/>
    <w:rsid w:val="00D0696C"/>
    <w:rsid w:val="00D07FEE"/>
    <w:rsid w:val="00D11211"/>
    <w:rsid w:val="00D1162D"/>
    <w:rsid w:val="00D12C80"/>
    <w:rsid w:val="00D13613"/>
    <w:rsid w:val="00D1510B"/>
    <w:rsid w:val="00D17E68"/>
    <w:rsid w:val="00D21E6B"/>
    <w:rsid w:val="00D22D87"/>
    <w:rsid w:val="00D2462F"/>
    <w:rsid w:val="00D26A54"/>
    <w:rsid w:val="00D354B7"/>
    <w:rsid w:val="00D3652D"/>
    <w:rsid w:val="00D36922"/>
    <w:rsid w:val="00D42FA3"/>
    <w:rsid w:val="00D43F60"/>
    <w:rsid w:val="00D442C9"/>
    <w:rsid w:val="00D44DF1"/>
    <w:rsid w:val="00D44FCA"/>
    <w:rsid w:val="00D50329"/>
    <w:rsid w:val="00D52169"/>
    <w:rsid w:val="00D522C0"/>
    <w:rsid w:val="00D52E91"/>
    <w:rsid w:val="00D53FDE"/>
    <w:rsid w:val="00D54AEE"/>
    <w:rsid w:val="00D55068"/>
    <w:rsid w:val="00D60934"/>
    <w:rsid w:val="00D62D87"/>
    <w:rsid w:val="00D631E3"/>
    <w:rsid w:val="00D664FC"/>
    <w:rsid w:val="00D66646"/>
    <w:rsid w:val="00D66D2B"/>
    <w:rsid w:val="00D66E7C"/>
    <w:rsid w:val="00D70BE5"/>
    <w:rsid w:val="00D71F7E"/>
    <w:rsid w:val="00D75D8A"/>
    <w:rsid w:val="00D82E93"/>
    <w:rsid w:val="00D87660"/>
    <w:rsid w:val="00D87ADE"/>
    <w:rsid w:val="00D9245D"/>
    <w:rsid w:val="00D946D9"/>
    <w:rsid w:val="00D966A1"/>
    <w:rsid w:val="00DA1081"/>
    <w:rsid w:val="00DA29AF"/>
    <w:rsid w:val="00DA4FB1"/>
    <w:rsid w:val="00DA5459"/>
    <w:rsid w:val="00DA67C7"/>
    <w:rsid w:val="00DB039F"/>
    <w:rsid w:val="00DB2809"/>
    <w:rsid w:val="00DB2A8A"/>
    <w:rsid w:val="00DB4D60"/>
    <w:rsid w:val="00DB684E"/>
    <w:rsid w:val="00DB7245"/>
    <w:rsid w:val="00DB7C0B"/>
    <w:rsid w:val="00DC11B3"/>
    <w:rsid w:val="00DC2DF2"/>
    <w:rsid w:val="00DD0D3D"/>
    <w:rsid w:val="00DD64B9"/>
    <w:rsid w:val="00DE1ED3"/>
    <w:rsid w:val="00DE2213"/>
    <w:rsid w:val="00DE45F5"/>
    <w:rsid w:val="00DE55CB"/>
    <w:rsid w:val="00DE6870"/>
    <w:rsid w:val="00DE7921"/>
    <w:rsid w:val="00DF015E"/>
    <w:rsid w:val="00DF0368"/>
    <w:rsid w:val="00DF4375"/>
    <w:rsid w:val="00DF54BF"/>
    <w:rsid w:val="00DF777F"/>
    <w:rsid w:val="00E00CD4"/>
    <w:rsid w:val="00E0190B"/>
    <w:rsid w:val="00E02C12"/>
    <w:rsid w:val="00E06149"/>
    <w:rsid w:val="00E0726A"/>
    <w:rsid w:val="00E07461"/>
    <w:rsid w:val="00E147E8"/>
    <w:rsid w:val="00E14A9B"/>
    <w:rsid w:val="00E14D45"/>
    <w:rsid w:val="00E20CEF"/>
    <w:rsid w:val="00E21944"/>
    <w:rsid w:val="00E220E3"/>
    <w:rsid w:val="00E229C1"/>
    <w:rsid w:val="00E248AE"/>
    <w:rsid w:val="00E25368"/>
    <w:rsid w:val="00E25E23"/>
    <w:rsid w:val="00E31823"/>
    <w:rsid w:val="00E3186C"/>
    <w:rsid w:val="00E41507"/>
    <w:rsid w:val="00E42653"/>
    <w:rsid w:val="00E44F78"/>
    <w:rsid w:val="00E45830"/>
    <w:rsid w:val="00E47DBC"/>
    <w:rsid w:val="00E47DF9"/>
    <w:rsid w:val="00E505D6"/>
    <w:rsid w:val="00E53F53"/>
    <w:rsid w:val="00E54AA3"/>
    <w:rsid w:val="00E55236"/>
    <w:rsid w:val="00E5589D"/>
    <w:rsid w:val="00E55CE1"/>
    <w:rsid w:val="00E55FFB"/>
    <w:rsid w:val="00E56DB0"/>
    <w:rsid w:val="00E61CEF"/>
    <w:rsid w:val="00E62B7D"/>
    <w:rsid w:val="00E62FB0"/>
    <w:rsid w:val="00E64B16"/>
    <w:rsid w:val="00E6521C"/>
    <w:rsid w:val="00E66BA0"/>
    <w:rsid w:val="00E71432"/>
    <w:rsid w:val="00E71ED5"/>
    <w:rsid w:val="00E72FAA"/>
    <w:rsid w:val="00E742EF"/>
    <w:rsid w:val="00E76B73"/>
    <w:rsid w:val="00E83743"/>
    <w:rsid w:val="00E837F5"/>
    <w:rsid w:val="00E84A96"/>
    <w:rsid w:val="00E85160"/>
    <w:rsid w:val="00E867AF"/>
    <w:rsid w:val="00E9060E"/>
    <w:rsid w:val="00E90F63"/>
    <w:rsid w:val="00E956D6"/>
    <w:rsid w:val="00E96DA4"/>
    <w:rsid w:val="00E96FA8"/>
    <w:rsid w:val="00EA0F6E"/>
    <w:rsid w:val="00EA13DC"/>
    <w:rsid w:val="00EA2D69"/>
    <w:rsid w:val="00EA4095"/>
    <w:rsid w:val="00EA483D"/>
    <w:rsid w:val="00EA5213"/>
    <w:rsid w:val="00EB1F54"/>
    <w:rsid w:val="00EB790F"/>
    <w:rsid w:val="00EC2F1A"/>
    <w:rsid w:val="00EC66AC"/>
    <w:rsid w:val="00ED0585"/>
    <w:rsid w:val="00ED3AFC"/>
    <w:rsid w:val="00ED4466"/>
    <w:rsid w:val="00ED465A"/>
    <w:rsid w:val="00ED4806"/>
    <w:rsid w:val="00ED5F98"/>
    <w:rsid w:val="00ED6497"/>
    <w:rsid w:val="00ED6A48"/>
    <w:rsid w:val="00EE0D9E"/>
    <w:rsid w:val="00EE0F6F"/>
    <w:rsid w:val="00EE2A51"/>
    <w:rsid w:val="00EE3F5A"/>
    <w:rsid w:val="00EE3F87"/>
    <w:rsid w:val="00EF1CB6"/>
    <w:rsid w:val="00EF6BF6"/>
    <w:rsid w:val="00F00BB4"/>
    <w:rsid w:val="00F03B07"/>
    <w:rsid w:val="00F04C98"/>
    <w:rsid w:val="00F0524D"/>
    <w:rsid w:val="00F0627E"/>
    <w:rsid w:val="00F12549"/>
    <w:rsid w:val="00F14982"/>
    <w:rsid w:val="00F14C75"/>
    <w:rsid w:val="00F14E3D"/>
    <w:rsid w:val="00F1537F"/>
    <w:rsid w:val="00F16750"/>
    <w:rsid w:val="00F16E26"/>
    <w:rsid w:val="00F176BF"/>
    <w:rsid w:val="00F20B97"/>
    <w:rsid w:val="00F227B8"/>
    <w:rsid w:val="00F22C78"/>
    <w:rsid w:val="00F24965"/>
    <w:rsid w:val="00F2523E"/>
    <w:rsid w:val="00F26D2D"/>
    <w:rsid w:val="00F271DD"/>
    <w:rsid w:val="00F27DE4"/>
    <w:rsid w:val="00F30435"/>
    <w:rsid w:val="00F31A61"/>
    <w:rsid w:val="00F3221E"/>
    <w:rsid w:val="00F3311F"/>
    <w:rsid w:val="00F33746"/>
    <w:rsid w:val="00F33D5A"/>
    <w:rsid w:val="00F34348"/>
    <w:rsid w:val="00F34D86"/>
    <w:rsid w:val="00F35B01"/>
    <w:rsid w:val="00F37C40"/>
    <w:rsid w:val="00F42BCC"/>
    <w:rsid w:val="00F43C6B"/>
    <w:rsid w:val="00F44BD0"/>
    <w:rsid w:val="00F44E01"/>
    <w:rsid w:val="00F45526"/>
    <w:rsid w:val="00F4797B"/>
    <w:rsid w:val="00F50DC7"/>
    <w:rsid w:val="00F50DEC"/>
    <w:rsid w:val="00F52540"/>
    <w:rsid w:val="00F550B9"/>
    <w:rsid w:val="00F55BD9"/>
    <w:rsid w:val="00F56391"/>
    <w:rsid w:val="00F60CC1"/>
    <w:rsid w:val="00F60F4E"/>
    <w:rsid w:val="00F638F0"/>
    <w:rsid w:val="00F63B33"/>
    <w:rsid w:val="00F65138"/>
    <w:rsid w:val="00F736DF"/>
    <w:rsid w:val="00F751BE"/>
    <w:rsid w:val="00F75CD2"/>
    <w:rsid w:val="00F77A70"/>
    <w:rsid w:val="00F8004A"/>
    <w:rsid w:val="00F830D4"/>
    <w:rsid w:val="00F83E09"/>
    <w:rsid w:val="00F84151"/>
    <w:rsid w:val="00F8458F"/>
    <w:rsid w:val="00F85BEB"/>
    <w:rsid w:val="00F86665"/>
    <w:rsid w:val="00F90E4B"/>
    <w:rsid w:val="00F919F7"/>
    <w:rsid w:val="00F93818"/>
    <w:rsid w:val="00F93C35"/>
    <w:rsid w:val="00F95236"/>
    <w:rsid w:val="00F958BA"/>
    <w:rsid w:val="00F97A1A"/>
    <w:rsid w:val="00F97AD7"/>
    <w:rsid w:val="00FA2D8C"/>
    <w:rsid w:val="00FA33AF"/>
    <w:rsid w:val="00FA355B"/>
    <w:rsid w:val="00FB5639"/>
    <w:rsid w:val="00FB6446"/>
    <w:rsid w:val="00FB6F1D"/>
    <w:rsid w:val="00FC5103"/>
    <w:rsid w:val="00FD0E69"/>
    <w:rsid w:val="00FD16E6"/>
    <w:rsid w:val="00FD1DA6"/>
    <w:rsid w:val="00FD484D"/>
    <w:rsid w:val="00FD504F"/>
    <w:rsid w:val="00FE0AB4"/>
    <w:rsid w:val="00FE19F4"/>
    <w:rsid w:val="00FE4B4B"/>
    <w:rsid w:val="00FE5980"/>
    <w:rsid w:val="00FE5FA0"/>
    <w:rsid w:val="00FF1138"/>
    <w:rsid w:val="00FF17DD"/>
    <w:rsid w:val="00FF1FF8"/>
    <w:rsid w:val="00FF7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72D17AA"/>
  <w15:docId w15:val="{3C896445-66EF-41FE-808B-E5F69547A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14C7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7F55"/>
    <w:pPr>
      <w:ind w:left="720"/>
      <w:contextualSpacing/>
    </w:pPr>
  </w:style>
  <w:style w:type="character" w:styleId="FootnoteReference">
    <w:name w:val="footnote reference"/>
    <w:aliases w:val="o,fr,Style 17,o1,fr1,o2,fr2,o3,fr3,Style 13,Style 12,Style 15,Style 9,Style 18,(NECG) Footnote Reference,Style 20,Style 7,Style 8,Style 19,Style 28,Styl,Style 11,Style 16,Footnote Reference (EIS),fnr,Footnote reference (EA),Style 30"/>
    <w:rsid w:val="009C7F55"/>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Char,f"/>
    <w:basedOn w:val="Normal"/>
    <w:link w:val="FootnoteTextChar1"/>
    <w:qFormat/>
    <w:rsid w:val="009C7F55"/>
    <w:pPr>
      <w:widowControl w:val="0"/>
      <w:autoSpaceDE w:val="0"/>
      <w:autoSpaceDN w:val="0"/>
      <w:adjustRightInd w:val="0"/>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uiPriority w:val="99"/>
    <w:semiHidden/>
    <w:rsid w:val="009C7F55"/>
    <w:rPr>
      <w:rFonts w:ascii="Calibri" w:eastAsia="Calibri" w:hAnsi="Calibri" w:cs="Times New Roman"/>
      <w:sz w:val="20"/>
      <w:szCs w:val="20"/>
    </w:rPr>
  </w:style>
  <w:style w:type="character" w:customStyle="1" w:styleId="FootnoteTextChar1">
    <w:name w:val="Footnote Text Char1"/>
    <w:aliases w:val="Footnote Text Char2 Char Char,Footnote Text Char Char1 Char Char,Footnote Text Char1 Char Char Char Char,Footnote Text Char Char Char Char Char Char,Footnote Text Char1 Char Char Char Char Char Char Char Char,ft Char,fn Char,f Char"/>
    <w:link w:val="FootnoteText"/>
    <w:rsid w:val="009C7F55"/>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471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F97"/>
    <w:rPr>
      <w:rFonts w:ascii="Calibri" w:eastAsia="Calibri" w:hAnsi="Calibri" w:cs="Times New Roman"/>
    </w:rPr>
  </w:style>
  <w:style w:type="paragraph" w:styleId="Footer">
    <w:name w:val="footer"/>
    <w:basedOn w:val="Normal"/>
    <w:link w:val="FooterChar"/>
    <w:uiPriority w:val="99"/>
    <w:unhideWhenUsed/>
    <w:rsid w:val="00471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F97"/>
    <w:rPr>
      <w:rFonts w:ascii="Calibri" w:eastAsia="Calibri" w:hAnsi="Calibri" w:cs="Times New Roman"/>
    </w:rPr>
  </w:style>
  <w:style w:type="character" w:styleId="Hyperlink">
    <w:name w:val="Hyperlink"/>
    <w:uiPriority w:val="99"/>
    <w:unhideWhenUsed/>
    <w:rsid w:val="00F0627E"/>
    <w:rPr>
      <w:color w:val="0000FF"/>
      <w:u w:val="single"/>
    </w:rPr>
  </w:style>
  <w:style w:type="character" w:styleId="CommentReference">
    <w:name w:val="annotation reference"/>
    <w:basedOn w:val="DefaultParagraphFont"/>
    <w:uiPriority w:val="99"/>
    <w:semiHidden/>
    <w:unhideWhenUsed/>
    <w:rsid w:val="00480D2F"/>
    <w:rPr>
      <w:sz w:val="16"/>
      <w:szCs w:val="16"/>
    </w:rPr>
  </w:style>
  <w:style w:type="paragraph" w:styleId="CommentText">
    <w:name w:val="annotation text"/>
    <w:basedOn w:val="Normal"/>
    <w:link w:val="CommentTextChar"/>
    <w:uiPriority w:val="99"/>
    <w:unhideWhenUsed/>
    <w:rsid w:val="00480D2F"/>
    <w:pPr>
      <w:spacing w:line="240" w:lineRule="auto"/>
    </w:pPr>
    <w:rPr>
      <w:sz w:val="20"/>
      <w:szCs w:val="20"/>
    </w:rPr>
  </w:style>
  <w:style w:type="character" w:customStyle="1" w:styleId="CommentTextChar">
    <w:name w:val="Comment Text Char"/>
    <w:basedOn w:val="DefaultParagraphFont"/>
    <w:link w:val="CommentText"/>
    <w:uiPriority w:val="99"/>
    <w:rsid w:val="00480D2F"/>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80D2F"/>
    <w:rPr>
      <w:b/>
      <w:bCs/>
    </w:rPr>
  </w:style>
  <w:style w:type="character" w:customStyle="1" w:styleId="CommentSubjectChar">
    <w:name w:val="Comment Subject Char"/>
    <w:basedOn w:val="CommentTextChar"/>
    <w:link w:val="CommentSubject"/>
    <w:uiPriority w:val="99"/>
    <w:semiHidden/>
    <w:rsid w:val="00480D2F"/>
    <w:rPr>
      <w:rFonts w:ascii="Calibri" w:eastAsia="Calibri" w:hAnsi="Calibri" w:cs="Times New Roman"/>
      <w:b/>
      <w:bCs/>
      <w:sz w:val="20"/>
      <w:szCs w:val="20"/>
    </w:rPr>
  </w:style>
  <w:style w:type="paragraph" w:styleId="Revision">
    <w:name w:val="Revision"/>
    <w:hidden/>
    <w:uiPriority w:val="99"/>
    <w:semiHidden/>
    <w:rsid w:val="00480D2F"/>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480D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D2F"/>
    <w:rPr>
      <w:rFonts w:ascii="Segoe UI" w:eastAsia="Calibri" w:hAnsi="Segoe UI" w:cs="Segoe UI"/>
      <w:sz w:val="18"/>
      <w:szCs w:val="18"/>
    </w:rPr>
  </w:style>
  <w:style w:type="paragraph" w:customStyle="1" w:styleId="FERCparanumber">
    <w:name w:val="FERC paranumber"/>
    <w:basedOn w:val="Normal"/>
    <w:link w:val="FERCparanumberChar"/>
    <w:uiPriority w:val="99"/>
    <w:rsid w:val="00676409"/>
    <w:pPr>
      <w:numPr>
        <w:numId w:val="29"/>
      </w:numPr>
      <w:spacing w:after="0" w:line="240" w:lineRule="auto"/>
    </w:pPr>
    <w:rPr>
      <w:rFonts w:ascii="Times New Roman" w:eastAsia="Times New Roman" w:hAnsi="Times New Roman"/>
      <w:sz w:val="26"/>
      <w:szCs w:val="24"/>
    </w:rPr>
  </w:style>
  <w:style w:type="character" w:customStyle="1" w:styleId="FERCparanumberChar">
    <w:name w:val="FERC paranumber Char"/>
    <w:link w:val="FERCparanumber"/>
    <w:uiPriority w:val="99"/>
    <w:rsid w:val="00676409"/>
    <w:rPr>
      <w:rFonts w:ascii="Times New Roman" w:eastAsia="Times New Roman" w:hAnsi="Times New Roman" w:cs="Times New Roman"/>
      <w:sz w:val="26"/>
      <w:szCs w:val="24"/>
    </w:rPr>
  </w:style>
  <w:style w:type="character" w:styleId="FollowedHyperlink">
    <w:name w:val="FollowedHyperlink"/>
    <w:basedOn w:val="DefaultParagraphFont"/>
    <w:uiPriority w:val="99"/>
    <w:semiHidden/>
    <w:unhideWhenUsed/>
    <w:rsid w:val="003E74C9"/>
    <w:rPr>
      <w:color w:val="954F72" w:themeColor="followedHyperlink"/>
      <w:u w:val="single"/>
    </w:rPr>
  </w:style>
  <w:style w:type="table" w:styleId="TableGrid">
    <w:name w:val="Table Grid"/>
    <w:basedOn w:val="TableNormal"/>
    <w:uiPriority w:val="39"/>
    <w:rsid w:val="00257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03406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3406E"/>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03406E"/>
    <w:rPr>
      <w:vertAlign w:val="superscript"/>
    </w:rPr>
  </w:style>
  <w:style w:type="character" w:styleId="UnresolvedMention">
    <w:name w:val="Unresolved Mention"/>
    <w:basedOn w:val="DefaultParagraphFont"/>
    <w:uiPriority w:val="99"/>
    <w:semiHidden/>
    <w:unhideWhenUsed/>
    <w:rsid w:val="00BA4E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97425">
      <w:bodyDiv w:val="1"/>
      <w:marLeft w:val="0"/>
      <w:marRight w:val="0"/>
      <w:marTop w:val="0"/>
      <w:marBottom w:val="0"/>
      <w:divBdr>
        <w:top w:val="none" w:sz="0" w:space="0" w:color="auto"/>
        <w:left w:val="none" w:sz="0" w:space="0" w:color="auto"/>
        <w:bottom w:val="none" w:sz="0" w:space="0" w:color="auto"/>
        <w:right w:val="none" w:sz="0" w:space="0" w:color="auto"/>
      </w:divBdr>
    </w:div>
    <w:div w:id="33703039">
      <w:bodyDiv w:val="1"/>
      <w:marLeft w:val="0"/>
      <w:marRight w:val="0"/>
      <w:marTop w:val="0"/>
      <w:marBottom w:val="0"/>
      <w:divBdr>
        <w:top w:val="none" w:sz="0" w:space="0" w:color="auto"/>
        <w:left w:val="none" w:sz="0" w:space="0" w:color="auto"/>
        <w:bottom w:val="none" w:sz="0" w:space="0" w:color="auto"/>
        <w:right w:val="none" w:sz="0" w:space="0" w:color="auto"/>
      </w:divBdr>
    </w:div>
    <w:div w:id="61149417">
      <w:bodyDiv w:val="1"/>
      <w:marLeft w:val="0"/>
      <w:marRight w:val="0"/>
      <w:marTop w:val="0"/>
      <w:marBottom w:val="0"/>
      <w:divBdr>
        <w:top w:val="none" w:sz="0" w:space="0" w:color="auto"/>
        <w:left w:val="none" w:sz="0" w:space="0" w:color="auto"/>
        <w:bottom w:val="none" w:sz="0" w:space="0" w:color="auto"/>
        <w:right w:val="none" w:sz="0" w:space="0" w:color="auto"/>
      </w:divBdr>
    </w:div>
    <w:div w:id="79375054">
      <w:bodyDiv w:val="1"/>
      <w:marLeft w:val="0"/>
      <w:marRight w:val="0"/>
      <w:marTop w:val="0"/>
      <w:marBottom w:val="0"/>
      <w:divBdr>
        <w:top w:val="none" w:sz="0" w:space="0" w:color="auto"/>
        <w:left w:val="none" w:sz="0" w:space="0" w:color="auto"/>
        <w:bottom w:val="none" w:sz="0" w:space="0" w:color="auto"/>
        <w:right w:val="none" w:sz="0" w:space="0" w:color="auto"/>
      </w:divBdr>
    </w:div>
    <w:div w:id="347096554">
      <w:bodyDiv w:val="1"/>
      <w:marLeft w:val="0"/>
      <w:marRight w:val="0"/>
      <w:marTop w:val="0"/>
      <w:marBottom w:val="0"/>
      <w:divBdr>
        <w:top w:val="none" w:sz="0" w:space="0" w:color="auto"/>
        <w:left w:val="none" w:sz="0" w:space="0" w:color="auto"/>
        <w:bottom w:val="none" w:sz="0" w:space="0" w:color="auto"/>
        <w:right w:val="none" w:sz="0" w:space="0" w:color="auto"/>
      </w:divBdr>
    </w:div>
    <w:div w:id="354616025">
      <w:bodyDiv w:val="1"/>
      <w:marLeft w:val="0"/>
      <w:marRight w:val="0"/>
      <w:marTop w:val="0"/>
      <w:marBottom w:val="0"/>
      <w:divBdr>
        <w:top w:val="none" w:sz="0" w:space="0" w:color="auto"/>
        <w:left w:val="none" w:sz="0" w:space="0" w:color="auto"/>
        <w:bottom w:val="none" w:sz="0" w:space="0" w:color="auto"/>
        <w:right w:val="none" w:sz="0" w:space="0" w:color="auto"/>
      </w:divBdr>
    </w:div>
    <w:div w:id="388378569">
      <w:bodyDiv w:val="1"/>
      <w:marLeft w:val="0"/>
      <w:marRight w:val="0"/>
      <w:marTop w:val="0"/>
      <w:marBottom w:val="0"/>
      <w:divBdr>
        <w:top w:val="none" w:sz="0" w:space="0" w:color="auto"/>
        <w:left w:val="none" w:sz="0" w:space="0" w:color="auto"/>
        <w:bottom w:val="none" w:sz="0" w:space="0" w:color="auto"/>
        <w:right w:val="none" w:sz="0" w:space="0" w:color="auto"/>
      </w:divBdr>
    </w:div>
    <w:div w:id="422073358">
      <w:bodyDiv w:val="1"/>
      <w:marLeft w:val="0"/>
      <w:marRight w:val="0"/>
      <w:marTop w:val="0"/>
      <w:marBottom w:val="0"/>
      <w:divBdr>
        <w:top w:val="none" w:sz="0" w:space="0" w:color="auto"/>
        <w:left w:val="none" w:sz="0" w:space="0" w:color="auto"/>
        <w:bottom w:val="none" w:sz="0" w:space="0" w:color="auto"/>
        <w:right w:val="none" w:sz="0" w:space="0" w:color="auto"/>
      </w:divBdr>
    </w:div>
    <w:div w:id="448668258">
      <w:bodyDiv w:val="1"/>
      <w:marLeft w:val="0"/>
      <w:marRight w:val="0"/>
      <w:marTop w:val="0"/>
      <w:marBottom w:val="0"/>
      <w:divBdr>
        <w:top w:val="none" w:sz="0" w:space="0" w:color="auto"/>
        <w:left w:val="none" w:sz="0" w:space="0" w:color="auto"/>
        <w:bottom w:val="none" w:sz="0" w:space="0" w:color="auto"/>
        <w:right w:val="none" w:sz="0" w:space="0" w:color="auto"/>
      </w:divBdr>
    </w:div>
    <w:div w:id="458182810">
      <w:bodyDiv w:val="1"/>
      <w:marLeft w:val="0"/>
      <w:marRight w:val="0"/>
      <w:marTop w:val="0"/>
      <w:marBottom w:val="0"/>
      <w:divBdr>
        <w:top w:val="none" w:sz="0" w:space="0" w:color="auto"/>
        <w:left w:val="none" w:sz="0" w:space="0" w:color="auto"/>
        <w:bottom w:val="none" w:sz="0" w:space="0" w:color="auto"/>
        <w:right w:val="none" w:sz="0" w:space="0" w:color="auto"/>
      </w:divBdr>
    </w:div>
    <w:div w:id="460072637">
      <w:bodyDiv w:val="1"/>
      <w:marLeft w:val="0"/>
      <w:marRight w:val="0"/>
      <w:marTop w:val="0"/>
      <w:marBottom w:val="0"/>
      <w:divBdr>
        <w:top w:val="none" w:sz="0" w:space="0" w:color="auto"/>
        <w:left w:val="none" w:sz="0" w:space="0" w:color="auto"/>
        <w:bottom w:val="none" w:sz="0" w:space="0" w:color="auto"/>
        <w:right w:val="none" w:sz="0" w:space="0" w:color="auto"/>
      </w:divBdr>
    </w:div>
    <w:div w:id="478352342">
      <w:bodyDiv w:val="1"/>
      <w:marLeft w:val="0"/>
      <w:marRight w:val="0"/>
      <w:marTop w:val="0"/>
      <w:marBottom w:val="0"/>
      <w:divBdr>
        <w:top w:val="none" w:sz="0" w:space="0" w:color="auto"/>
        <w:left w:val="none" w:sz="0" w:space="0" w:color="auto"/>
        <w:bottom w:val="none" w:sz="0" w:space="0" w:color="auto"/>
        <w:right w:val="none" w:sz="0" w:space="0" w:color="auto"/>
      </w:divBdr>
    </w:div>
    <w:div w:id="576861400">
      <w:bodyDiv w:val="1"/>
      <w:marLeft w:val="0"/>
      <w:marRight w:val="0"/>
      <w:marTop w:val="0"/>
      <w:marBottom w:val="0"/>
      <w:divBdr>
        <w:top w:val="none" w:sz="0" w:space="0" w:color="auto"/>
        <w:left w:val="none" w:sz="0" w:space="0" w:color="auto"/>
        <w:bottom w:val="none" w:sz="0" w:space="0" w:color="auto"/>
        <w:right w:val="none" w:sz="0" w:space="0" w:color="auto"/>
      </w:divBdr>
    </w:div>
    <w:div w:id="697775823">
      <w:bodyDiv w:val="1"/>
      <w:marLeft w:val="0"/>
      <w:marRight w:val="0"/>
      <w:marTop w:val="0"/>
      <w:marBottom w:val="0"/>
      <w:divBdr>
        <w:top w:val="none" w:sz="0" w:space="0" w:color="auto"/>
        <w:left w:val="none" w:sz="0" w:space="0" w:color="auto"/>
        <w:bottom w:val="none" w:sz="0" w:space="0" w:color="auto"/>
        <w:right w:val="none" w:sz="0" w:space="0" w:color="auto"/>
      </w:divBdr>
    </w:div>
    <w:div w:id="778380452">
      <w:bodyDiv w:val="1"/>
      <w:marLeft w:val="0"/>
      <w:marRight w:val="0"/>
      <w:marTop w:val="0"/>
      <w:marBottom w:val="0"/>
      <w:divBdr>
        <w:top w:val="none" w:sz="0" w:space="0" w:color="auto"/>
        <w:left w:val="none" w:sz="0" w:space="0" w:color="auto"/>
        <w:bottom w:val="none" w:sz="0" w:space="0" w:color="auto"/>
        <w:right w:val="none" w:sz="0" w:space="0" w:color="auto"/>
      </w:divBdr>
    </w:div>
    <w:div w:id="821652080">
      <w:bodyDiv w:val="1"/>
      <w:marLeft w:val="0"/>
      <w:marRight w:val="0"/>
      <w:marTop w:val="0"/>
      <w:marBottom w:val="0"/>
      <w:divBdr>
        <w:top w:val="none" w:sz="0" w:space="0" w:color="auto"/>
        <w:left w:val="none" w:sz="0" w:space="0" w:color="auto"/>
        <w:bottom w:val="none" w:sz="0" w:space="0" w:color="auto"/>
        <w:right w:val="none" w:sz="0" w:space="0" w:color="auto"/>
      </w:divBdr>
    </w:div>
    <w:div w:id="826358874">
      <w:bodyDiv w:val="1"/>
      <w:marLeft w:val="0"/>
      <w:marRight w:val="0"/>
      <w:marTop w:val="0"/>
      <w:marBottom w:val="0"/>
      <w:divBdr>
        <w:top w:val="none" w:sz="0" w:space="0" w:color="auto"/>
        <w:left w:val="none" w:sz="0" w:space="0" w:color="auto"/>
        <w:bottom w:val="none" w:sz="0" w:space="0" w:color="auto"/>
        <w:right w:val="none" w:sz="0" w:space="0" w:color="auto"/>
      </w:divBdr>
    </w:div>
    <w:div w:id="831674416">
      <w:bodyDiv w:val="1"/>
      <w:marLeft w:val="0"/>
      <w:marRight w:val="0"/>
      <w:marTop w:val="0"/>
      <w:marBottom w:val="0"/>
      <w:divBdr>
        <w:top w:val="none" w:sz="0" w:space="0" w:color="auto"/>
        <w:left w:val="none" w:sz="0" w:space="0" w:color="auto"/>
        <w:bottom w:val="none" w:sz="0" w:space="0" w:color="auto"/>
        <w:right w:val="none" w:sz="0" w:space="0" w:color="auto"/>
      </w:divBdr>
    </w:div>
    <w:div w:id="867138717">
      <w:bodyDiv w:val="1"/>
      <w:marLeft w:val="0"/>
      <w:marRight w:val="0"/>
      <w:marTop w:val="0"/>
      <w:marBottom w:val="0"/>
      <w:divBdr>
        <w:top w:val="none" w:sz="0" w:space="0" w:color="auto"/>
        <w:left w:val="none" w:sz="0" w:space="0" w:color="auto"/>
        <w:bottom w:val="none" w:sz="0" w:space="0" w:color="auto"/>
        <w:right w:val="none" w:sz="0" w:space="0" w:color="auto"/>
      </w:divBdr>
    </w:div>
    <w:div w:id="917984361">
      <w:bodyDiv w:val="1"/>
      <w:marLeft w:val="0"/>
      <w:marRight w:val="0"/>
      <w:marTop w:val="0"/>
      <w:marBottom w:val="0"/>
      <w:divBdr>
        <w:top w:val="none" w:sz="0" w:space="0" w:color="auto"/>
        <w:left w:val="none" w:sz="0" w:space="0" w:color="auto"/>
        <w:bottom w:val="none" w:sz="0" w:space="0" w:color="auto"/>
        <w:right w:val="none" w:sz="0" w:space="0" w:color="auto"/>
      </w:divBdr>
    </w:div>
    <w:div w:id="996494607">
      <w:bodyDiv w:val="1"/>
      <w:marLeft w:val="0"/>
      <w:marRight w:val="0"/>
      <w:marTop w:val="0"/>
      <w:marBottom w:val="0"/>
      <w:divBdr>
        <w:top w:val="none" w:sz="0" w:space="0" w:color="auto"/>
        <w:left w:val="none" w:sz="0" w:space="0" w:color="auto"/>
        <w:bottom w:val="none" w:sz="0" w:space="0" w:color="auto"/>
        <w:right w:val="none" w:sz="0" w:space="0" w:color="auto"/>
      </w:divBdr>
    </w:div>
    <w:div w:id="1076320644">
      <w:bodyDiv w:val="1"/>
      <w:marLeft w:val="0"/>
      <w:marRight w:val="0"/>
      <w:marTop w:val="0"/>
      <w:marBottom w:val="0"/>
      <w:divBdr>
        <w:top w:val="none" w:sz="0" w:space="0" w:color="auto"/>
        <w:left w:val="none" w:sz="0" w:space="0" w:color="auto"/>
        <w:bottom w:val="none" w:sz="0" w:space="0" w:color="auto"/>
        <w:right w:val="none" w:sz="0" w:space="0" w:color="auto"/>
      </w:divBdr>
    </w:div>
    <w:div w:id="1108547143">
      <w:bodyDiv w:val="1"/>
      <w:marLeft w:val="0"/>
      <w:marRight w:val="0"/>
      <w:marTop w:val="0"/>
      <w:marBottom w:val="0"/>
      <w:divBdr>
        <w:top w:val="none" w:sz="0" w:space="0" w:color="auto"/>
        <w:left w:val="none" w:sz="0" w:space="0" w:color="auto"/>
        <w:bottom w:val="none" w:sz="0" w:space="0" w:color="auto"/>
        <w:right w:val="none" w:sz="0" w:space="0" w:color="auto"/>
      </w:divBdr>
    </w:div>
    <w:div w:id="1117984831">
      <w:bodyDiv w:val="1"/>
      <w:marLeft w:val="0"/>
      <w:marRight w:val="0"/>
      <w:marTop w:val="0"/>
      <w:marBottom w:val="0"/>
      <w:divBdr>
        <w:top w:val="none" w:sz="0" w:space="0" w:color="auto"/>
        <w:left w:val="none" w:sz="0" w:space="0" w:color="auto"/>
        <w:bottom w:val="none" w:sz="0" w:space="0" w:color="auto"/>
        <w:right w:val="none" w:sz="0" w:space="0" w:color="auto"/>
      </w:divBdr>
    </w:div>
    <w:div w:id="1218325003">
      <w:bodyDiv w:val="1"/>
      <w:marLeft w:val="0"/>
      <w:marRight w:val="0"/>
      <w:marTop w:val="0"/>
      <w:marBottom w:val="0"/>
      <w:divBdr>
        <w:top w:val="none" w:sz="0" w:space="0" w:color="auto"/>
        <w:left w:val="none" w:sz="0" w:space="0" w:color="auto"/>
        <w:bottom w:val="none" w:sz="0" w:space="0" w:color="auto"/>
        <w:right w:val="none" w:sz="0" w:space="0" w:color="auto"/>
      </w:divBdr>
    </w:div>
    <w:div w:id="1270552088">
      <w:bodyDiv w:val="1"/>
      <w:marLeft w:val="0"/>
      <w:marRight w:val="0"/>
      <w:marTop w:val="0"/>
      <w:marBottom w:val="0"/>
      <w:divBdr>
        <w:top w:val="none" w:sz="0" w:space="0" w:color="auto"/>
        <w:left w:val="none" w:sz="0" w:space="0" w:color="auto"/>
        <w:bottom w:val="none" w:sz="0" w:space="0" w:color="auto"/>
        <w:right w:val="none" w:sz="0" w:space="0" w:color="auto"/>
      </w:divBdr>
    </w:div>
    <w:div w:id="1306735426">
      <w:bodyDiv w:val="1"/>
      <w:marLeft w:val="0"/>
      <w:marRight w:val="0"/>
      <w:marTop w:val="0"/>
      <w:marBottom w:val="0"/>
      <w:divBdr>
        <w:top w:val="none" w:sz="0" w:space="0" w:color="auto"/>
        <w:left w:val="none" w:sz="0" w:space="0" w:color="auto"/>
        <w:bottom w:val="none" w:sz="0" w:space="0" w:color="auto"/>
        <w:right w:val="none" w:sz="0" w:space="0" w:color="auto"/>
      </w:divBdr>
    </w:div>
    <w:div w:id="1312128445">
      <w:bodyDiv w:val="1"/>
      <w:marLeft w:val="0"/>
      <w:marRight w:val="0"/>
      <w:marTop w:val="0"/>
      <w:marBottom w:val="0"/>
      <w:divBdr>
        <w:top w:val="none" w:sz="0" w:space="0" w:color="auto"/>
        <w:left w:val="none" w:sz="0" w:space="0" w:color="auto"/>
        <w:bottom w:val="none" w:sz="0" w:space="0" w:color="auto"/>
        <w:right w:val="none" w:sz="0" w:space="0" w:color="auto"/>
      </w:divBdr>
    </w:div>
    <w:div w:id="1371611158">
      <w:bodyDiv w:val="1"/>
      <w:marLeft w:val="0"/>
      <w:marRight w:val="0"/>
      <w:marTop w:val="0"/>
      <w:marBottom w:val="0"/>
      <w:divBdr>
        <w:top w:val="none" w:sz="0" w:space="0" w:color="auto"/>
        <w:left w:val="none" w:sz="0" w:space="0" w:color="auto"/>
        <w:bottom w:val="none" w:sz="0" w:space="0" w:color="auto"/>
        <w:right w:val="none" w:sz="0" w:space="0" w:color="auto"/>
      </w:divBdr>
    </w:div>
    <w:div w:id="1467818558">
      <w:bodyDiv w:val="1"/>
      <w:marLeft w:val="0"/>
      <w:marRight w:val="0"/>
      <w:marTop w:val="0"/>
      <w:marBottom w:val="0"/>
      <w:divBdr>
        <w:top w:val="none" w:sz="0" w:space="0" w:color="auto"/>
        <w:left w:val="none" w:sz="0" w:space="0" w:color="auto"/>
        <w:bottom w:val="none" w:sz="0" w:space="0" w:color="auto"/>
        <w:right w:val="none" w:sz="0" w:space="0" w:color="auto"/>
      </w:divBdr>
    </w:div>
    <w:div w:id="1477330603">
      <w:bodyDiv w:val="1"/>
      <w:marLeft w:val="0"/>
      <w:marRight w:val="0"/>
      <w:marTop w:val="0"/>
      <w:marBottom w:val="0"/>
      <w:divBdr>
        <w:top w:val="none" w:sz="0" w:space="0" w:color="auto"/>
        <w:left w:val="none" w:sz="0" w:space="0" w:color="auto"/>
        <w:bottom w:val="none" w:sz="0" w:space="0" w:color="auto"/>
        <w:right w:val="none" w:sz="0" w:space="0" w:color="auto"/>
      </w:divBdr>
    </w:div>
    <w:div w:id="1487697903">
      <w:bodyDiv w:val="1"/>
      <w:marLeft w:val="0"/>
      <w:marRight w:val="0"/>
      <w:marTop w:val="0"/>
      <w:marBottom w:val="0"/>
      <w:divBdr>
        <w:top w:val="none" w:sz="0" w:space="0" w:color="auto"/>
        <w:left w:val="none" w:sz="0" w:space="0" w:color="auto"/>
        <w:bottom w:val="none" w:sz="0" w:space="0" w:color="auto"/>
        <w:right w:val="none" w:sz="0" w:space="0" w:color="auto"/>
      </w:divBdr>
    </w:div>
    <w:div w:id="1527985657">
      <w:bodyDiv w:val="1"/>
      <w:marLeft w:val="0"/>
      <w:marRight w:val="0"/>
      <w:marTop w:val="0"/>
      <w:marBottom w:val="0"/>
      <w:divBdr>
        <w:top w:val="none" w:sz="0" w:space="0" w:color="auto"/>
        <w:left w:val="none" w:sz="0" w:space="0" w:color="auto"/>
        <w:bottom w:val="none" w:sz="0" w:space="0" w:color="auto"/>
        <w:right w:val="none" w:sz="0" w:space="0" w:color="auto"/>
      </w:divBdr>
    </w:div>
    <w:div w:id="1542127915">
      <w:bodyDiv w:val="1"/>
      <w:marLeft w:val="0"/>
      <w:marRight w:val="0"/>
      <w:marTop w:val="0"/>
      <w:marBottom w:val="0"/>
      <w:divBdr>
        <w:top w:val="none" w:sz="0" w:space="0" w:color="auto"/>
        <w:left w:val="none" w:sz="0" w:space="0" w:color="auto"/>
        <w:bottom w:val="none" w:sz="0" w:space="0" w:color="auto"/>
        <w:right w:val="none" w:sz="0" w:space="0" w:color="auto"/>
      </w:divBdr>
    </w:div>
    <w:div w:id="1572352552">
      <w:bodyDiv w:val="1"/>
      <w:marLeft w:val="0"/>
      <w:marRight w:val="0"/>
      <w:marTop w:val="0"/>
      <w:marBottom w:val="0"/>
      <w:divBdr>
        <w:top w:val="none" w:sz="0" w:space="0" w:color="auto"/>
        <w:left w:val="none" w:sz="0" w:space="0" w:color="auto"/>
        <w:bottom w:val="none" w:sz="0" w:space="0" w:color="auto"/>
        <w:right w:val="none" w:sz="0" w:space="0" w:color="auto"/>
      </w:divBdr>
    </w:div>
    <w:div w:id="1581908231">
      <w:bodyDiv w:val="1"/>
      <w:marLeft w:val="0"/>
      <w:marRight w:val="0"/>
      <w:marTop w:val="0"/>
      <w:marBottom w:val="0"/>
      <w:divBdr>
        <w:top w:val="none" w:sz="0" w:space="0" w:color="auto"/>
        <w:left w:val="none" w:sz="0" w:space="0" w:color="auto"/>
        <w:bottom w:val="none" w:sz="0" w:space="0" w:color="auto"/>
        <w:right w:val="none" w:sz="0" w:space="0" w:color="auto"/>
      </w:divBdr>
    </w:div>
    <w:div w:id="1676029414">
      <w:bodyDiv w:val="1"/>
      <w:marLeft w:val="0"/>
      <w:marRight w:val="0"/>
      <w:marTop w:val="0"/>
      <w:marBottom w:val="0"/>
      <w:divBdr>
        <w:top w:val="none" w:sz="0" w:space="0" w:color="auto"/>
        <w:left w:val="none" w:sz="0" w:space="0" w:color="auto"/>
        <w:bottom w:val="none" w:sz="0" w:space="0" w:color="auto"/>
        <w:right w:val="none" w:sz="0" w:space="0" w:color="auto"/>
      </w:divBdr>
    </w:div>
    <w:div w:id="1734431047">
      <w:bodyDiv w:val="1"/>
      <w:marLeft w:val="0"/>
      <w:marRight w:val="0"/>
      <w:marTop w:val="0"/>
      <w:marBottom w:val="0"/>
      <w:divBdr>
        <w:top w:val="none" w:sz="0" w:space="0" w:color="auto"/>
        <w:left w:val="none" w:sz="0" w:space="0" w:color="auto"/>
        <w:bottom w:val="none" w:sz="0" w:space="0" w:color="auto"/>
        <w:right w:val="none" w:sz="0" w:space="0" w:color="auto"/>
      </w:divBdr>
    </w:div>
    <w:div w:id="1773895390">
      <w:bodyDiv w:val="1"/>
      <w:marLeft w:val="0"/>
      <w:marRight w:val="0"/>
      <w:marTop w:val="0"/>
      <w:marBottom w:val="0"/>
      <w:divBdr>
        <w:top w:val="none" w:sz="0" w:space="0" w:color="auto"/>
        <w:left w:val="none" w:sz="0" w:space="0" w:color="auto"/>
        <w:bottom w:val="none" w:sz="0" w:space="0" w:color="auto"/>
        <w:right w:val="none" w:sz="0" w:space="0" w:color="auto"/>
      </w:divBdr>
    </w:div>
    <w:div w:id="1775783901">
      <w:bodyDiv w:val="1"/>
      <w:marLeft w:val="0"/>
      <w:marRight w:val="0"/>
      <w:marTop w:val="0"/>
      <w:marBottom w:val="0"/>
      <w:divBdr>
        <w:top w:val="none" w:sz="0" w:space="0" w:color="auto"/>
        <w:left w:val="none" w:sz="0" w:space="0" w:color="auto"/>
        <w:bottom w:val="none" w:sz="0" w:space="0" w:color="auto"/>
        <w:right w:val="none" w:sz="0" w:space="0" w:color="auto"/>
      </w:divBdr>
    </w:div>
    <w:div w:id="1776516236">
      <w:bodyDiv w:val="1"/>
      <w:marLeft w:val="0"/>
      <w:marRight w:val="0"/>
      <w:marTop w:val="0"/>
      <w:marBottom w:val="0"/>
      <w:divBdr>
        <w:top w:val="none" w:sz="0" w:space="0" w:color="auto"/>
        <w:left w:val="none" w:sz="0" w:space="0" w:color="auto"/>
        <w:bottom w:val="none" w:sz="0" w:space="0" w:color="auto"/>
        <w:right w:val="none" w:sz="0" w:space="0" w:color="auto"/>
      </w:divBdr>
    </w:div>
    <w:div w:id="1924490170">
      <w:bodyDiv w:val="1"/>
      <w:marLeft w:val="0"/>
      <w:marRight w:val="0"/>
      <w:marTop w:val="0"/>
      <w:marBottom w:val="0"/>
      <w:divBdr>
        <w:top w:val="none" w:sz="0" w:space="0" w:color="auto"/>
        <w:left w:val="none" w:sz="0" w:space="0" w:color="auto"/>
        <w:bottom w:val="none" w:sz="0" w:space="0" w:color="auto"/>
        <w:right w:val="none" w:sz="0" w:space="0" w:color="auto"/>
      </w:divBdr>
    </w:div>
    <w:div w:id="1931816262">
      <w:bodyDiv w:val="1"/>
      <w:marLeft w:val="0"/>
      <w:marRight w:val="0"/>
      <w:marTop w:val="0"/>
      <w:marBottom w:val="0"/>
      <w:divBdr>
        <w:top w:val="none" w:sz="0" w:space="0" w:color="auto"/>
        <w:left w:val="none" w:sz="0" w:space="0" w:color="auto"/>
        <w:bottom w:val="none" w:sz="0" w:space="0" w:color="auto"/>
        <w:right w:val="none" w:sz="0" w:space="0" w:color="auto"/>
      </w:divBdr>
    </w:div>
    <w:div w:id="1944872258">
      <w:bodyDiv w:val="1"/>
      <w:marLeft w:val="0"/>
      <w:marRight w:val="0"/>
      <w:marTop w:val="0"/>
      <w:marBottom w:val="0"/>
      <w:divBdr>
        <w:top w:val="none" w:sz="0" w:space="0" w:color="auto"/>
        <w:left w:val="none" w:sz="0" w:space="0" w:color="auto"/>
        <w:bottom w:val="none" w:sz="0" w:space="0" w:color="auto"/>
        <w:right w:val="none" w:sz="0" w:space="0" w:color="auto"/>
      </w:divBdr>
    </w:div>
    <w:div w:id="1994529396">
      <w:bodyDiv w:val="1"/>
      <w:marLeft w:val="0"/>
      <w:marRight w:val="0"/>
      <w:marTop w:val="0"/>
      <w:marBottom w:val="0"/>
      <w:divBdr>
        <w:top w:val="none" w:sz="0" w:space="0" w:color="auto"/>
        <w:left w:val="none" w:sz="0" w:space="0" w:color="auto"/>
        <w:bottom w:val="none" w:sz="0" w:space="0" w:color="auto"/>
        <w:right w:val="none" w:sz="0" w:space="0" w:color="auto"/>
      </w:divBdr>
    </w:div>
    <w:div w:id="2009360409">
      <w:bodyDiv w:val="1"/>
      <w:marLeft w:val="0"/>
      <w:marRight w:val="0"/>
      <w:marTop w:val="0"/>
      <w:marBottom w:val="0"/>
      <w:divBdr>
        <w:top w:val="none" w:sz="0" w:space="0" w:color="auto"/>
        <w:left w:val="none" w:sz="0" w:space="0" w:color="auto"/>
        <w:bottom w:val="none" w:sz="0" w:space="0" w:color="auto"/>
        <w:right w:val="none" w:sz="0" w:space="0" w:color="auto"/>
      </w:divBdr>
    </w:div>
    <w:div w:id="202624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ferc.gov/docs-filing/info-collections.asp"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ferc.gov/legal/ceii-foia/ceii.asp" TargetMode="External"/><Relationship Id="rId1" Type="http://schemas.openxmlformats.org/officeDocument/2006/relationships/hyperlink" Target="http://www.ferc.gov/docs-filing/forms/eforms-refresh.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http://share3.ferc.gov/sites/ProgramOffices/OED/CIO/Information Collection/Forms/Document/22bba65aa4d8dbfccustomXsn.xsn</xsnLocation>
  <cached>True</cached>
  <openByDefault>True</openByDefault>
  <xsnScope>http://share3.ferc.gov/sites/ProgramOffices/OED/CIO/Information Collection</xsnScope>
</customXsn>
</file>

<file path=customXml/item2.xml><?xml version="1.0" encoding="utf-8"?>
<ct:contentTypeSchema xmlns:ct="http://schemas.microsoft.com/office/2006/metadata/contentType" xmlns:ma="http://schemas.microsoft.com/office/2006/metadata/properties/metaAttributes" ct:_="" ma:_="" ma:contentTypeName="Document" ma:contentTypeID="0x0101001EA51C0686BDB848B772F285AB6866B0" ma:contentTypeVersion="23" ma:contentTypeDescription="Create a new document." ma:contentTypeScope="" ma:versionID="37a1f2881e05d6d52c4fdc306c1506dc">
  <xsd:schema xmlns:xsd="http://www.w3.org/2001/XMLSchema" xmlns:xs="http://www.w3.org/2001/XMLSchema" xmlns:p="http://schemas.microsoft.com/office/2006/metadata/properties" xmlns:ns2="d6eefc7d-9817-4fa6-84d5-3bc009be21b8" targetNamespace="http://schemas.microsoft.com/office/2006/metadata/properties" ma:root="true" ma:fieldsID="487bcef7b4870127189a8c6c6c8eaef8"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8" nillable="true" ma:displayName="Collection 1" ma:internalName="_x0031__x002e__x0020_Collection_x0020_Number">
      <xsd:simpleType>
        <xsd:restriction base="dms:Text">
          <xsd:maxLength value="255"/>
        </xsd:restriction>
      </xsd:simpleType>
    </xsd:element>
    <xsd:element name="_x0032__x002e__x0020_Collection_x0020_Number" ma:index="9" nillable="true" ma:displayName="Collection 2" ma:internalName="_x0032__x002e__x0020_Collection_x0020_Number">
      <xsd:simpleType>
        <xsd:restriction base="dms:Text">
          <xsd:maxLength value="255"/>
        </xsd:restriction>
      </xsd:simpleType>
    </xsd:element>
    <xsd:element name="_x0033__x002e__x0020_Collection_x0020_Number" ma:index="10" nillable="true" ma:displayName="Collection 3" ma:internalName="_x0033__x002e__x0020_Collection_x0020_Number">
      <xsd:simpleType>
        <xsd:restriction base="dms:Text">
          <xsd:maxLength value="255"/>
        </xsd:restriction>
      </xsd:simpleType>
    </xsd:element>
    <xsd:element name="_x0031__x002e__x0020_Docket_x0020_Number" ma:index="11" nillable="true" ma:displayName="Docket 1" ma:internalName="_x0031__x002e__x0020_Docket_x0020_Number">
      <xsd:simpleType>
        <xsd:restriction base="dms:Text">
          <xsd:maxLength value="255"/>
        </xsd:restriction>
      </xsd:simpleType>
    </xsd:element>
    <xsd:element name="_x0032__x002e__x0020_Docket_x0020_Number" ma:index="12" nillable="true" ma:displayName="Docket 2" ma:internalName="_x0032__x002e__x0020_Docket_x0020_Number">
      <xsd:simpleType>
        <xsd:restriction base="dms:Text">
          <xsd:maxLength value="255"/>
        </xsd:restriction>
      </xsd:simpleType>
    </xsd:element>
    <xsd:element name="_x0033__x002e__x0020_Docket_x0020_Number" ma:index="13" nillable="true" ma:displayName="Docket 3" ma:internalName="_x0033__x002e__x0020_Docket_x0020_Number">
      <xsd:simpleType>
        <xsd:restriction base="dms:Text">
          <xsd:maxLength value="255"/>
        </xsd:restriction>
      </xsd:simpleType>
    </xsd:element>
    <xsd:element name="Date" ma:index="14" nillable="true" ma:displayName="Date" ma:format="DateOnly" ma:internalName="Date">
      <xsd:simpleType>
        <xsd:restriction base="dms:DateTime"/>
      </xsd:simpleType>
    </xsd:element>
    <xsd:element name="Renewal_x0020_Document_x0020_Type" ma:index="15"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6"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7"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newal_x0020_Document_x0020_Type xmlns="d6eefc7d-9817-4fa6-84d5-3bc009be21b8">None</Renewal_x0020_Document_x0020_Type>
    <Rulemaking_x0020_Document_x0020_Type xmlns="d6eefc7d-9817-4fa6-84d5-3bc009be21b8">OMB Supporting Statement</Rulemaking_x0020_Document_x0020_Type>
    <_x0033__x002e__x0020_Docket_x0020_Number xmlns="d6eefc7d-9817-4fa6-84d5-3bc009be21b8" xsi:nil="true"/>
    <_x0031__x002e__x0020_Collection_x0020_Number xmlns="d6eefc7d-9817-4fa6-84d5-3bc009be21b8">2</_x0031__x002e__x0020_Collection_x0020_Number>
    <Date xmlns="d6eefc7d-9817-4fa6-84d5-3bc009be21b8">2020-08-26T04:00:00.000Z</Date>
    <Status xmlns="d6eefc7d-9817-4fa6-84d5-3bc009be21b8">Draft</Status>
    <_x0032__x002e__x0020_Docket_x0020_Number xmlns="d6eefc7d-9817-4fa6-84d5-3bc009be21b8" xsi:nil="true"/>
    <_x0032__x002e__x0020_Collection_x0020_Number xmlns="d6eefc7d-9817-4fa6-84d5-3bc009be21b8">2-A</_x0032__x002e__x0020_Collection_x0020_Number>
    <_x0031__x002e__x0020_Docket_x0020_Number xmlns="d6eefc7d-9817-4fa6-84d5-3bc009be21b8">IC20-10-000</_x0031__x002e__x0020_Docket_x0020_Number>
    <_x0033__x002e__x0020_Collection_x0020_Number xmlns="d6eefc7d-9817-4fa6-84d5-3bc009be21b8">6</_x0033__x002e__x0020_Collection_x0020_Number>
  </documentManagement>
</p:properties>
</file>

<file path=customXml/item5.xml><?xml version="1.0" encoding="utf-8"?>
<?mso-contentType ?>
<SharedContentType xmlns="Microsoft.SharePoint.Taxonomy.ContentTypeSync" SourceId="74a4cd09-5f17-433b-814a-38e7e9115d16"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54FAD-F904-4C63-92C2-7DDBFB0A1DE8}">
  <ds:schemaRefs>
    <ds:schemaRef ds:uri="http://schemas.microsoft.com/office/2006/metadata/customXsn"/>
  </ds:schemaRefs>
</ds:datastoreItem>
</file>

<file path=customXml/itemProps2.xml><?xml version="1.0" encoding="utf-8"?>
<ds:datastoreItem xmlns:ds="http://schemas.openxmlformats.org/officeDocument/2006/customXml" ds:itemID="{C4F74F5A-054B-4810-BCDE-310351198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A9B5D0-8708-4B29-96B9-05551272B9A8}">
  <ds:schemaRefs>
    <ds:schemaRef ds:uri="http://schemas.microsoft.com/sharepoint/v3/contenttype/forms"/>
  </ds:schemaRefs>
</ds:datastoreItem>
</file>

<file path=customXml/itemProps4.xml><?xml version="1.0" encoding="utf-8"?>
<ds:datastoreItem xmlns:ds="http://schemas.openxmlformats.org/officeDocument/2006/customXml" ds:itemID="{9DF57017-6D35-4700-942D-9BCDC1A55FC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d6eefc7d-9817-4fa6-84d5-3bc009be21b8"/>
    <ds:schemaRef ds:uri="http://purl.org/dc/term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95FFACFC-C24E-40DA-BA6E-B8C022F15C74}">
  <ds:schemaRefs>
    <ds:schemaRef ds:uri="Microsoft.SharePoint.Taxonomy.ContentTypeSync"/>
  </ds:schemaRefs>
</ds:datastoreItem>
</file>

<file path=customXml/itemProps6.xml><?xml version="1.0" encoding="utf-8"?>
<ds:datastoreItem xmlns:ds="http://schemas.openxmlformats.org/officeDocument/2006/customXml" ds:itemID="{12527A30-63DC-476F-8B28-0350E1763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3444</Words>
  <Characters>19635</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RM19-12-000 Final Rule supporting statement</vt:lpstr>
    </vt:vector>
  </TitlesOfParts>
  <Company>FERC</Company>
  <LinksUpToDate>false</LinksUpToDate>
  <CharactersWithSpaces>23033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RM19-12-000 Final Rule supporting statement</dc:title>
  <dc:subject/>
  <dc:creator>Michele Chambers</dc:creator>
  <cp:keywords/>
  <dc:description/>
  <cp:lastModifiedBy>Kayla Williams</cp:lastModifiedBy>
  <cp:revision>2</cp:revision>
  <cp:lastPrinted>2019-06-03T15:02:00Z</cp:lastPrinted>
  <dcterms:created xsi:type="dcterms:W3CDTF">2020-10-13T15:54:00Z</dcterms:created>
  <dcterms:modified xsi:type="dcterms:W3CDTF">2020-10-13T15:54:00Z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0x0101001EA51C0686BDB848B772F285AB6866B0</vt:lpwstr>
  </property>
</Properties>
</file>