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6C4F" w:rsidR="00C67898" w:rsidP="00E03CCB" w:rsidRDefault="00616737" w14:paraId="3F50B337" w14:textId="7EA4C425">
      <w:pPr>
        <w:tabs>
          <w:tab w:val="center" w:pos="4680"/>
        </w:tabs>
        <w:jc w:val="center"/>
        <w:rPr>
          <w:rFonts w:ascii="Times New Roman" w:hAnsi="Times New Roman"/>
          <w:b/>
          <w:sz w:val="36"/>
          <w:szCs w:val="36"/>
        </w:rPr>
      </w:pPr>
      <w:r w:rsidRPr="00616C4F">
        <w:rPr>
          <w:rFonts w:ascii="Times New Roman" w:hAnsi="Times New Roman"/>
          <w:b/>
          <w:sz w:val="36"/>
          <w:szCs w:val="36"/>
        </w:rPr>
        <w:t>Information Collection Request</w:t>
      </w:r>
      <w:r w:rsidR="00E03CCB">
        <w:rPr>
          <w:rFonts w:ascii="Times New Roman" w:hAnsi="Times New Roman"/>
          <w:b/>
          <w:sz w:val="36"/>
          <w:szCs w:val="36"/>
        </w:rPr>
        <w:t xml:space="preserve"> (ICR) Supporting Statement</w:t>
      </w:r>
      <w:r w:rsidRPr="00616C4F">
        <w:rPr>
          <w:rFonts w:ascii="Times New Roman" w:hAnsi="Times New Roman"/>
          <w:b/>
          <w:sz w:val="36"/>
          <w:szCs w:val="36"/>
        </w:rPr>
        <w:t xml:space="preserve"> </w:t>
      </w:r>
      <w:r w:rsidRPr="00616C4F" w:rsidR="00C67898">
        <w:rPr>
          <w:rFonts w:ascii="Times New Roman" w:hAnsi="Times New Roman"/>
          <w:b/>
          <w:sz w:val="36"/>
          <w:szCs w:val="36"/>
        </w:rPr>
        <w:t>for Clean Water State Revolving Fund Program</w:t>
      </w:r>
    </w:p>
    <w:p w:rsidRPr="00616C4F" w:rsidR="00C67898" w:rsidP="00616737" w:rsidRDefault="00C67898" w14:paraId="15F81921" w14:textId="0BDD91E6">
      <w:pPr>
        <w:tabs>
          <w:tab w:val="center" w:pos="4680"/>
        </w:tabs>
        <w:rPr>
          <w:rFonts w:ascii="Times New Roman" w:hAnsi="Times New Roman"/>
          <w:b/>
          <w:sz w:val="36"/>
          <w:szCs w:val="36"/>
        </w:rPr>
      </w:pPr>
      <w:r w:rsidRPr="00616C4F">
        <w:rPr>
          <w:rFonts w:ascii="Times New Roman" w:hAnsi="Times New Roman"/>
          <w:b/>
          <w:sz w:val="36"/>
          <w:szCs w:val="36"/>
        </w:rPr>
        <w:tab/>
        <w:t>OMB NO.</w:t>
      </w:r>
      <w:r w:rsidR="00C87D04">
        <w:rPr>
          <w:rFonts w:ascii="Times New Roman" w:hAnsi="Times New Roman"/>
          <w:b/>
          <w:sz w:val="36"/>
          <w:szCs w:val="36"/>
        </w:rPr>
        <w:t>2040-0118</w:t>
      </w:r>
      <w:r w:rsidRPr="00616C4F" w:rsidR="00616737">
        <w:rPr>
          <w:rFonts w:ascii="Times New Roman" w:hAnsi="Times New Roman"/>
          <w:b/>
          <w:sz w:val="36"/>
          <w:szCs w:val="36"/>
        </w:rPr>
        <w:t xml:space="preserve">, </w:t>
      </w:r>
      <w:r w:rsidRPr="00616C4F">
        <w:rPr>
          <w:rFonts w:ascii="Times New Roman" w:hAnsi="Times New Roman"/>
          <w:b/>
          <w:sz w:val="36"/>
          <w:szCs w:val="36"/>
        </w:rPr>
        <w:t xml:space="preserve">EPA ICR NO. </w:t>
      </w:r>
      <w:r w:rsidR="00024CA0">
        <w:rPr>
          <w:rFonts w:ascii="Times New Roman" w:hAnsi="Times New Roman"/>
          <w:b/>
          <w:sz w:val="36"/>
          <w:szCs w:val="36"/>
        </w:rPr>
        <w:t>1391.1</w:t>
      </w:r>
      <w:r w:rsidR="00C31DA0">
        <w:rPr>
          <w:rFonts w:ascii="Times New Roman" w:hAnsi="Times New Roman"/>
          <w:b/>
          <w:sz w:val="36"/>
          <w:szCs w:val="36"/>
        </w:rPr>
        <w:t>2</w:t>
      </w:r>
    </w:p>
    <w:p w:rsidRPr="00004733" w:rsidR="00C67898" w:rsidP="00C67898" w:rsidRDefault="00C67898" w14:paraId="69E8B9CA" w14:textId="77777777">
      <w:pPr>
        <w:rPr>
          <w:rFonts w:ascii="Times New Roman" w:hAnsi="Times New Roman"/>
          <w:b/>
        </w:rPr>
      </w:pPr>
    </w:p>
    <w:p w:rsidRPr="00004733" w:rsidR="00C67898" w:rsidP="00C67898" w:rsidRDefault="00C67898" w14:paraId="202C5A12" w14:textId="77777777">
      <w:pPr>
        <w:rPr>
          <w:rFonts w:ascii="Times New Roman" w:hAnsi="Times New Roman"/>
          <w:b/>
        </w:rPr>
      </w:pPr>
    </w:p>
    <w:p w:rsidRPr="00B63A0D" w:rsidR="00C67898" w:rsidP="00C67898" w:rsidRDefault="00C67898" w14:paraId="6088164A" w14:textId="1A482E3D">
      <w:pPr>
        <w:rPr>
          <w:rFonts w:ascii="Times New Roman" w:hAnsi="Times New Roman"/>
          <w:b/>
          <w:sz w:val="28"/>
          <w:szCs w:val="28"/>
        </w:rPr>
      </w:pPr>
      <w:r w:rsidRPr="00B63A0D">
        <w:rPr>
          <w:rFonts w:ascii="Times New Roman" w:hAnsi="Times New Roman"/>
          <w:b/>
          <w:sz w:val="28"/>
          <w:szCs w:val="28"/>
          <w:u w:val="single"/>
        </w:rPr>
        <w:t>Terms of Clearance</w:t>
      </w:r>
      <w:r w:rsidR="004A047A">
        <w:rPr>
          <w:rFonts w:ascii="Times New Roman" w:hAnsi="Times New Roman"/>
          <w:b/>
          <w:sz w:val="28"/>
          <w:szCs w:val="28"/>
          <w:u w:val="single"/>
        </w:rPr>
        <w:t xml:space="preserve"> for Current ICR</w:t>
      </w:r>
      <w:r w:rsidRPr="00B63A0D">
        <w:rPr>
          <w:rFonts w:ascii="Times New Roman" w:hAnsi="Times New Roman"/>
          <w:b/>
          <w:sz w:val="28"/>
          <w:szCs w:val="28"/>
        </w:rPr>
        <w:t>:</w:t>
      </w:r>
    </w:p>
    <w:p w:rsidRPr="00004733" w:rsidR="00C67898" w:rsidP="00C67898" w:rsidRDefault="00C67898" w14:paraId="5FCC0619" w14:textId="77777777">
      <w:pPr>
        <w:rPr>
          <w:rFonts w:ascii="Times New Roman" w:hAnsi="Times New Roman"/>
          <w:b/>
        </w:rPr>
      </w:pPr>
    </w:p>
    <w:p w:rsidR="00CC69BD" w:rsidP="00C67898" w:rsidRDefault="009D3977" w14:paraId="3112D888" w14:textId="134A691F">
      <w:pPr>
        <w:rPr>
          <w:rFonts w:ascii="Times New Roman" w:hAnsi="Times New Roman"/>
          <w:b/>
        </w:rPr>
      </w:pPr>
      <w:r>
        <w:rPr>
          <w:rFonts w:ascii="Times New Roman" w:hAnsi="Times New Roman"/>
          <w:b/>
        </w:rPr>
        <w:t>In accordance with 5 CFR 1320, the information collection is approved for three years. OMB reminds EPA that its oversight of this collection includes ensuring that states’ procedures are consistent with the CWA and accompanying regulations.</w:t>
      </w:r>
    </w:p>
    <w:p w:rsidRPr="00C67898" w:rsidR="00C67898" w:rsidP="00C67898" w:rsidRDefault="00C67898" w14:paraId="47D75D29" w14:textId="77777777">
      <w:pPr>
        <w:rPr>
          <w:rFonts w:ascii="Times New Roman" w:hAnsi="Times New Roman"/>
        </w:rPr>
      </w:pPr>
    </w:p>
    <w:p w:rsidRPr="00B63A0D" w:rsidR="00C67898" w:rsidP="00C67898" w:rsidRDefault="00C67898" w14:paraId="2C1DB861" w14:textId="77777777">
      <w:pPr>
        <w:rPr>
          <w:rFonts w:ascii="Times New Roman" w:hAnsi="Times New Roman"/>
          <w:b/>
          <w:sz w:val="28"/>
          <w:szCs w:val="28"/>
        </w:rPr>
      </w:pPr>
      <w:r w:rsidRPr="00B63A0D">
        <w:rPr>
          <w:rFonts w:ascii="Times New Roman" w:hAnsi="Times New Roman"/>
          <w:b/>
          <w:sz w:val="28"/>
          <w:szCs w:val="28"/>
        </w:rPr>
        <w:t xml:space="preserve">A.  </w:t>
      </w:r>
      <w:r w:rsidRPr="00B63A0D">
        <w:rPr>
          <w:rFonts w:ascii="Times New Roman" w:hAnsi="Times New Roman"/>
          <w:b/>
          <w:sz w:val="28"/>
          <w:szCs w:val="28"/>
          <w:u w:val="single"/>
        </w:rPr>
        <w:t>Justification</w:t>
      </w:r>
    </w:p>
    <w:p w:rsidRPr="00004733" w:rsidR="00C67898" w:rsidP="00C67898" w:rsidRDefault="00616737" w14:paraId="0B371A7D" w14:textId="77777777">
      <w:pPr>
        <w:rPr>
          <w:rFonts w:ascii="Times New Roman" w:hAnsi="Times New Roman"/>
          <w:b/>
        </w:rPr>
      </w:pPr>
      <w:r>
        <w:rPr>
          <w:rFonts w:ascii="Times New Roman" w:hAnsi="Times New Roman"/>
          <w:b/>
        </w:rPr>
        <w:tab/>
      </w:r>
    </w:p>
    <w:p w:rsidRPr="00B63A0D" w:rsidR="00616737" w:rsidP="00616737" w:rsidRDefault="00616737" w14:paraId="5BFFD831" w14:textId="77777777">
      <w:pPr>
        <w:tabs>
          <w:tab w:val="left" w:pos="-1440"/>
        </w:tabs>
        <w:rPr>
          <w:rFonts w:ascii="Times New Roman" w:hAnsi="Times New Roman"/>
          <w:b/>
          <w:szCs w:val="24"/>
        </w:rPr>
      </w:pPr>
      <w:r w:rsidRPr="00B63A0D">
        <w:rPr>
          <w:rFonts w:ascii="Times New Roman" w:hAnsi="Times New Roman"/>
          <w:b/>
          <w:szCs w:val="24"/>
        </w:rPr>
        <w:t>1.1 Short Characterization/Abstract</w:t>
      </w:r>
    </w:p>
    <w:p w:rsidR="00616737" w:rsidP="00616737" w:rsidRDefault="00616737" w14:paraId="0115C525" w14:textId="77777777">
      <w:pPr>
        <w:tabs>
          <w:tab w:val="left" w:pos="-1440"/>
        </w:tabs>
        <w:rPr>
          <w:rFonts w:ascii="Times New Roman" w:hAnsi="Times New Roman"/>
          <w:b/>
        </w:rPr>
      </w:pPr>
    </w:p>
    <w:p w:rsidRPr="003574BB" w:rsidR="00B337EC" w:rsidP="00B337EC" w:rsidRDefault="00B337EC" w14:paraId="1ED49234" w14:textId="197BFD88">
      <w:pPr>
        <w:pStyle w:val="NoSpacing"/>
        <w:rPr>
          <w:rFonts w:ascii="Times New Roman" w:hAnsi="Times New Roman" w:cs="Times New Roman"/>
          <w:sz w:val="24"/>
          <w:szCs w:val="24"/>
        </w:rPr>
      </w:pPr>
      <w:r w:rsidRPr="003574BB">
        <w:rPr>
          <w:rFonts w:ascii="Times New Roman" w:hAnsi="Times New Roman" w:cs="Times New Roman"/>
          <w:sz w:val="24"/>
          <w:szCs w:val="24"/>
        </w:rPr>
        <w:t xml:space="preserve">Title VI of the Clean Water Act </w:t>
      </w:r>
      <w:r w:rsidR="00E04C8A">
        <w:rPr>
          <w:rFonts w:ascii="Times New Roman" w:hAnsi="Times New Roman" w:cs="Times New Roman"/>
          <w:sz w:val="24"/>
          <w:szCs w:val="24"/>
        </w:rPr>
        <w:t xml:space="preserve">(CWA) </w:t>
      </w:r>
      <w:r w:rsidRPr="003574BB">
        <w:rPr>
          <w:rFonts w:ascii="Times New Roman" w:hAnsi="Times New Roman" w:cs="Times New Roman"/>
          <w:sz w:val="24"/>
          <w:szCs w:val="24"/>
        </w:rPr>
        <w:t xml:space="preserve">of 1987 established the </w:t>
      </w:r>
      <w:r w:rsidR="00485F33">
        <w:rPr>
          <w:rFonts w:ascii="Times New Roman" w:hAnsi="Times New Roman" w:cs="Times New Roman"/>
          <w:sz w:val="24"/>
          <w:szCs w:val="24"/>
        </w:rPr>
        <w:t>Clean Water State Revolving Fund (</w:t>
      </w:r>
      <w:r w:rsidRPr="003574BB">
        <w:rPr>
          <w:rFonts w:ascii="Times New Roman" w:hAnsi="Times New Roman" w:cs="Times New Roman"/>
          <w:sz w:val="24"/>
          <w:szCs w:val="24"/>
        </w:rPr>
        <w:t>CWSRF</w:t>
      </w:r>
      <w:r w:rsidR="00485F33">
        <w:rPr>
          <w:rFonts w:ascii="Times New Roman" w:hAnsi="Times New Roman" w:cs="Times New Roman"/>
          <w:sz w:val="24"/>
          <w:szCs w:val="24"/>
        </w:rPr>
        <w:t>)</w:t>
      </w:r>
      <w:r w:rsidRPr="003574BB">
        <w:rPr>
          <w:rFonts w:ascii="Times New Roman" w:hAnsi="Times New Roman" w:cs="Times New Roman"/>
          <w:sz w:val="24"/>
          <w:szCs w:val="24"/>
        </w:rPr>
        <w:t xml:space="preserve"> program, which replaced EPA’s Construction Grants Program. As outlined in 40 CFR Part 35, Subpart K, State Water Pollution Control Revolving Funds, and EPA guidance, each state and Puerto Rico has its own CWSRF. A state CWSRF includes funds provided by federal capitalization grants, repayments from prior </w:t>
      </w:r>
      <w:r w:rsidR="009A6FD3">
        <w:rPr>
          <w:rFonts w:ascii="Times New Roman" w:hAnsi="Times New Roman" w:cs="Times New Roman"/>
          <w:sz w:val="24"/>
          <w:szCs w:val="24"/>
        </w:rPr>
        <w:t>assistance agreements</w:t>
      </w:r>
      <w:r w:rsidRPr="003574BB">
        <w:rPr>
          <w:rFonts w:ascii="Times New Roman" w:hAnsi="Times New Roman" w:cs="Times New Roman"/>
          <w:sz w:val="24"/>
          <w:szCs w:val="24"/>
        </w:rPr>
        <w:t xml:space="preserve">, interest that has been repaid to the CWSRF, </w:t>
      </w:r>
      <w:r w:rsidR="00A8313A">
        <w:rPr>
          <w:rFonts w:ascii="Times New Roman" w:hAnsi="Times New Roman" w:cs="Times New Roman"/>
          <w:sz w:val="24"/>
          <w:szCs w:val="24"/>
        </w:rPr>
        <w:t xml:space="preserve">and </w:t>
      </w:r>
      <w:r w:rsidR="00C31DA0">
        <w:rPr>
          <w:rFonts w:ascii="Times New Roman" w:hAnsi="Times New Roman" w:cs="Times New Roman"/>
          <w:sz w:val="24"/>
          <w:szCs w:val="24"/>
        </w:rPr>
        <w:t>investment income. In some</w:t>
      </w:r>
      <w:r w:rsidR="00A8313A">
        <w:rPr>
          <w:rFonts w:ascii="Times New Roman" w:hAnsi="Times New Roman" w:cs="Times New Roman"/>
          <w:sz w:val="24"/>
          <w:szCs w:val="24"/>
        </w:rPr>
        <w:t xml:space="preserve"> </w:t>
      </w:r>
      <w:r w:rsidRPr="003574BB">
        <w:rPr>
          <w:rFonts w:ascii="Times New Roman" w:hAnsi="Times New Roman" w:cs="Times New Roman"/>
          <w:sz w:val="24"/>
          <w:szCs w:val="24"/>
        </w:rPr>
        <w:t>cases</w:t>
      </w:r>
      <w:r w:rsidR="00A8313A">
        <w:rPr>
          <w:rFonts w:ascii="Times New Roman" w:hAnsi="Times New Roman" w:cs="Times New Roman"/>
          <w:sz w:val="24"/>
          <w:szCs w:val="24"/>
        </w:rPr>
        <w:t>,</w:t>
      </w:r>
      <w:r w:rsidR="00C31DA0">
        <w:rPr>
          <w:rFonts w:ascii="Times New Roman" w:hAnsi="Times New Roman" w:cs="Times New Roman"/>
          <w:sz w:val="24"/>
          <w:szCs w:val="24"/>
        </w:rPr>
        <w:t xml:space="preserve"> a state CWSRF </w:t>
      </w:r>
      <w:r w:rsidR="00A8313A">
        <w:rPr>
          <w:rFonts w:ascii="Times New Roman" w:hAnsi="Times New Roman" w:cs="Times New Roman"/>
          <w:sz w:val="24"/>
          <w:szCs w:val="24"/>
        </w:rPr>
        <w:t>secures additional funding though</w:t>
      </w:r>
      <w:r w:rsidRPr="003574BB">
        <w:rPr>
          <w:rFonts w:ascii="Times New Roman" w:hAnsi="Times New Roman" w:cs="Times New Roman"/>
          <w:sz w:val="24"/>
          <w:szCs w:val="24"/>
        </w:rPr>
        <w:t xml:space="preserve"> bond proceeds.</w:t>
      </w:r>
      <w:r w:rsidR="00A8313A">
        <w:rPr>
          <w:rFonts w:ascii="Times New Roman" w:hAnsi="Times New Roman" w:cs="Times New Roman"/>
          <w:sz w:val="24"/>
          <w:szCs w:val="24"/>
        </w:rPr>
        <w:t xml:space="preserve"> </w:t>
      </w:r>
      <w:r w:rsidRPr="003574BB">
        <w:rPr>
          <w:rFonts w:ascii="Times New Roman" w:hAnsi="Times New Roman" w:cs="Times New Roman"/>
          <w:sz w:val="24"/>
          <w:szCs w:val="24"/>
        </w:rPr>
        <w:t xml:space="preserve">Each state designs and operates its own revolving fund to provide </w:t>
      </w:r>
      <w:r w:rsidR="00A8313A">
        <w:rPr>
          <w:rFonts w:ascii="Times New Roman" w:hAnsi="Times New Roman" w:cs="Times New Roman"/>
          <w:sz w:val="24"/>
          <w:szCs w:val="24"/>
        </w:rPr>
        <w:t xml:space="preserve">financial </w:t>
      </w:r>
      <w:r w:rsidRPr="003574BB">
        <w:rPr>
          <w:rFonts w:ascii="Times New Roman" w:hAnsi="Times New Roman" w:cs="Times New Roman"/>
          <w:sz w:val="24"/>
          <w:szCs w:val="24"/>
        </w:rPr>
        <w:t>assistance</w:t>
      </w:r>
      <w:r w:rsidR="00A8313A">
        <w:rPr>
          <w:rFonts w:ascii="Times New Roman" w:hAnsi="Times New Roman" w:cs="Times New Roman"/>
          <w:sz w:val="24"/>
          <w:szCs w:val="24"/>
        </w:rPr>
        <w:t xml:space="preserve"> to eligible recipients</w:t>
      </w:r>
      <w:r w:rsidRPr="003574BB">
        <w:rPr>
          <w:rFonts w:ascii="Times New Roman" w:hAnsi="Times New Roman" w:cs="Times New Roman"/>
          <w:sz w:val="24"/>
          <w:szCs w:val="24"/>
        </w:rPr>
        <w:t xml:space="preserve"> for water pollution control activities.</w:t>
      </w:r>
    </w:p>
    <w:p w:rsidRPr="003574BB" w:rsidR="00B337EC" w:rsidP="00B337EC" w:rsidRDefault="00B337EC" w14:paraId="5BF9915B" w14:textId="77777777">
      <w:pPr>
        <w:pStyle w:val="NoSpacing"/>
        <w:rPr>
          <w:rFonts w:ascii="Times New Roman" w:hAnsi="Times New Roman" w:cs="Times New Roman"/>
          <w:b/>
          <w:bCs/>
          <w:sz w:val="24"/>
          <w:szCs w:val="24"/>
        </w:rPr>
      </w:pPr>
    </w:p>
    <w:p w:rsidRPr="003574BB" w:rsidR="00B337EC" w:rsidP="00B337EC" w:rsidRDefault="00B337EC" w14:paraId="104A404E" w14:textId="66DA7298">
      <w:pPr>
        <w:pStyle w:val="NoSpacing"/>
        <w:rPr>
          <w:rFonts w:ascii="Times New Roman" w:hAnsi="Times New Roman" w:cs="Times New Roman"/>
          <w:sz w:val="24"/>
          <w:szCs w:val="24"/>
        </w:rPr>
      </w:pPr>
      <w:r w:rsidRPr="003574BB">
        <w:rPr>
          <w:rFonts w:ascii="Times New Roman" w:hAnsi="Times New Roman" w:cs="Times New Roman"/>
          <w:sz w:val="24"/>
          <w:szCs w:val="24"/>
        </w:rPr>
        <w:t xml:space="preserve">States have the authority to use the CWSRF to provide various types of assistance to recipients, including issuing and refinancing loans, purchasing or guaranteeing local debt, and purchasing bond insurance. States may </w:t>
      </w:r>
      <w:r w:rsidR="00A8313A">
        <w:rPr>
          <w:rFonts w:ascii="Times New Roman" w:hAnsi="Times New Roman" w:cs="Times New Roman"/>
          <w:sz w:val="24"/>
          <w:szCs w:val="24"/>
        </w:rPr>
        <w:t xml:space="preserve">also </w:t>
      </w:r>
      <w:r w:rsidRPr="003574BB">
        <w:rPr>
          <w:rFonts w:ascii="Times New Roman" w:hAnsi="Times New Roman" w:cs="Times New Roman"/>
          <w:sz w:val="24"/>
          <w:szCs w:val="24"/>
        </w:rPr>
        <w:t>set specific terms such as interest rates and repayment periods. In 2009, Congress authorized states to provide further financial assistance via the CWSRF program</w:t>
      </w:r>
      <w:r w:rsidR="00A8313A">
        <w:rPr>
          <w:rFonts w:ascii="Times New Roman" w:hAnsi="Times New Roman" w:cs="Times New Roman"/>
          <w:sz w:val="24"/>
          <w:szCs w:val="24"/>
        </w:rPr>
        <w:t xml:space="preserve"> in the form of </w:t>
      </w:r>
      <w:r w:rsidRPr="003574BB">
        <w:rPr>
          <w:rFonts w:ascii="Times New Roman" w:hAnsi="Times New Roman" w:cs="Times New Roman"/>
          <w:sz w:val="24"/>
          <w:szCs w:val="24"/>
        </w:rPr>
        <w:t>grants, principal forgiveness</w:t>
      </w:r>
      <w:r w:rsidR="00A8313A">
        <w:rPr>
          <w:rFonts w:ascii="Times New Roman" w:hAnsi="Times New Roman" w:cs="Times New Roman"/>
          <w:sz w:val="24"/>
          <w:szCs w:val="24"/>
        </w:rPr>
        <w:t>,</w:t>
      </w:r>
      <w:r w:rsidRPr="003574BB">
        <w:rPr>
          <w:rFonts w:ascii="Times New Roman" w:hAnsi="Times New Roman" w:cs="Times New Roman"/>
          <w:sz w:val="24"/>
          <w:szCs w:val="24"/>
        </w:rPr>
        <w:t xml:space="preserve"> and negative interest rate loans.  </w:t>
      </w:r>
    </w:p>
    <w:p w:rsidRPr="003574BB" w:rsidR="00B337EC" w:rsidP="00B337EC" w:rsidRDefault="00B337EC" w14:paraId="0B91A790" w14:textId="77777777">
      <w:pPr>
        <w:pStyle w:val="NoSpacing"/>
        <w:rPr>
          <w:rFonts w:ascii="Times New Roman" w:hAnsi="Times New Roman" w:cs="Times New Roman"/>
          <w:sz w:val="24"/>
          <w:szCs w:val="24"/>
        </w:rPr>
      </w:pPr>
    </w:p>
    <w:p w:rsidRPr="00D30562" w:rsidR="008D71DD" w:rsidP="003574BB" w:rsidRDefault="00B337EC" w14:paraId="04B4B1B0" w14:textId="61F8EE2A">
      <w:pPr>
        <w:pStyle w:val="NoSpacing"/>
      </w:pPr>
      <w:r w:rsidRPr="003574BB">
        <w:rPr>
          <w:rFonts w:ascii="Times New Roman" w:hAnsi="Times New Roman" w:cs="Times New Roman"/>
          <w:sz w:val="24"/>
          <w:szCs w:val="24"/>
        </w:rPr>
        <w:t>Congress provides EPA annual appropriation</w:t>
      </w:r>
      <w:r w:rsidR="00C864B3">
        <w:rPr>
          <w:rFonts w:ascii="Times New Roman" w:hAnsi="Times New Roman" w:cs="Times New Roman"/>
          <w:sz w:val="24"/>
          <w:szCs w:val="24"/>
        </w:rPr>
        <w:t>s</w:t>
      </w:r>
      <w:r w:rsidRPr="003574BB">
        <w:rPr>
          <w:rFonts w:ascii="Times New Roman" w:hAnsi="Times New Roman" w:cs="Times New Roman"/>
          <w:sz w:val="24"/>
          <w:szCs w:val="24"/>
        </w:rPr>
        <w:t xml:space="preserve"> for providing capitalization grants to state CWSRFs. EPA awards </w:t>
      </w:r>
      <w:r w:rsidR="00C864B3">
        <w:rPr>
          <w:rFonts w:ascii="Times New Roman" w:hAnsi="Times New Roman" w:cs="Times New Roman"/>
          <w:sz w:val="24"/>
          <w:szCs w:val="24"/>
        </w:rPr>
        <w:t>these</w:t>
      </w:r>
      <w:r w:rsidRPr="003574BB">
        <w:rPr>
          <w:rFonts w:ascii="Times New Roman" w:hAnsi="Times New Roman" w:cs="Times New Roman"/>
          <w:sz w:val="24"/>
          <w:szCs w:val="24"/>
        </w:rPr>
        <w:t xml:space="preserve"> grants to each state upon the state’s submission of a grant application, which includes an intended use plan (IUP). While EPA provides oversight</w:t>
      </w:r>
      <w:r w:rsidR="00C864B3">
        <w:rPr>
          <w:rFonts w:ascii="Times New Roman" w:hAnsi="Times New Roman" w:cs="Times New Roman"/>
          <w:sz w:val="24"/>
          <w:szCs w:val="24"/>
        </w:rPr>
        <w:t xml:space="preserve"> that </w:t>
      </w:r>
      <w:r w:rsidRPr="003574BB" w:rsidR="00C864B3">
        <w:rPr>
          <w:rFonts w:ascii="Times New Roman" w:hAnsi="Times New Roman" w:cs="Times New Roman"/>
          <w:sz w:val="24"/>
          <w:szCs w:val="24"/>
        </w:rPr>
        <w:t>ensures that states</w:t>
      </w:r>
      <w:r w:rsidR="00485F33">
        <w:rPr>
          <w:rFonts w:ascii="Times New Roman" w:hAnsi="Times New Roman" w:cs="Times New Roman"/>
          <w:sz w:val="24"/>
          <w:szCs w:val="24"/>
        </w:rPr>
        <w:t>’</w:t>
      </w:r>
      <w:r w:rsidRPr="003574BB" w:rsidR="00C864B3">
        <w:rPr>
          <w:rFonts w:ascii="Times New Roman" w:hAnsi="Times New Roman" w:cs="Times New Roman"/>
          <w:sz w:val="24"/>
          <w:szCs w:val="24"/>
        </w:rPr>
        <w:t xml:space="preserve"> procedures are consistent with the C</w:t>
      </w:r>
      <w:r w:rsidR="00C864B3">
        <w:rPr>
          <w:rFonts w:ascii="Times New Roman" w:hAnsi="Times New Roman" w:cs="Times New Roman"/>
          <w:sz w:val="24"/>
          <w:szCs w:val="24"/>
        </w:rPr>
        <w:t>WA and accompanying regulations</w:t>
      </w:r>
      <w:r w:rsidRPr="003574BB">
        <w:rPr>
          <w:rFonts w:ascii="Times New Roman" w:hAnsi="Times New Roman" w:cs="Times New Roman"/>
          <w:sz w:val="24"/>
          <w:szCs w:val="24"/>
        </w:rPr>
        <w:t>, the CWA and 40 CFR Part 35, Subpart K provide the states with a great deal of autonomy in administering the program</w:t>
      </w:r>
      <w:r w:rsidR="00C864B3">
        <w:rPr>
          <w:rFonts w:ascii="Times New Roman" w:hAnsi="Times New Roman" w:cs="Times New Roman"/>
          <w:sz w:val="24"/>
          <w:szCs w:val="24"/>
        </w:rPr>
        <w:t xml:space="preserve"> and selecting which projects receive funding. In 2014</w:t>
      </w:r>
      <w:r w:rsidRPr="003574BB" w:rsidR="008D71DD">
        <w:rPr>
          <w:rFonts w:ascii="Times New Roman" w:hAnsi="Times New Roman" w:cs="Times New Roman"/>
          <w:sz w:val="24"/>
          <w:szCs w:val="24"/>
        </w:rPr>
        <w:t>, Title VI of the CWA was amended by the Water Resources Reform and Development Act</w:t>
      </w:r>
      <w:r w:rsidR="0035632A">
        <w:rPr>
          <w:rFonts w:ascii="Times New Roman" w:hAnsi="Times New Roman" w:cs="Times New Roman"/>
          <w:sz w:val="24"/>
          <w:szCs w:val="24"/>
        </w:rPr>
        <w:t xml:space="preserve"> (WRRDA)</w:t>
      </w:r>
      <w:r w:rsidRPr="003574BB" w:rsidR="0000022B">
        <w:rPr>
          <w:rFonts w:ascii="Times New Roman" w:hAnsi="Times New Roman" w:cs="Times New Roman"/>
          <w:sz w:val="24"/>
          <w:szCs w:val="24"/>
        </w:rPr>
        <w:t>. Additional information</w:t>
      </w:r>
      <w:r w:rsidRPr="003574BB" w:rsidR="00722E74">
        <w:rPr>
          <w:rFonts w:ascii="Times New Roman" w:hAnsi="Times New Roman" w:cs="Times New Roman"/>
          <w:sz w:val="24"/>
          <w:szCs w:val="24"/>
        </w:rPr>
        <w:t xml:space="preserve"> </w:t>
      </w:r>
      <w:r w:rsidRPr="003574BB" w:rsidR="00CE37A8">
        <w:rPr>
          <w:rFonts w:ascii="Times New Roman" w:hAnsi="Times New Roman" w:cs="Times New Roman"/>
          <w:sz w:val="24"/>
          <w:szCs w:val="24"/>
        </w:rPr>
        <w:t>about</w:t>
      </w:r>
      <w:r w:rsidRPr="003574BB" w:rsidR="0000022B">
        <w:rPr>
          <w:rFonts w:ascii="Times New Roman" w:hAnsi="Times New Roman" w:cs="Times New Roman"/>
          <w:sz w:val="24"/>
          <w:szCs w:val="24"/>
        </w:rPr>
        <w:t xml:space="preserve"> the CWSRF</w:t>
      </w:r>
      <w:r w:rsidRPr="003574BB" w:rsidR="00CE37A8">
        <w:rPr>
          <w:rFonts w:ascii="Times New Roman" w:hAnsi="Times New Roman" w:cs="Times New Roman"/>
          <w:sz w:val="24"/>
          <w:szCs w:val="24"/>
        </w:rPr>
        <w:t>s</w:t>
      </w:r>
      <w:r w:rsidRPr="003574BB" w:rsidR="0000022B">
        <w:rPr>
          <w:rFonts w:ascii="Times New Roman" w:hAnsi="Times New Roman" w:cs="Times New Roman"/>
          <w:sz w:val="24"/>
          <w:szCs w:val="24"/>
        </w:rPr>
        <w:t xml:space="preserve"> is available at </w:t>
      </w:r>
      <w:hyperlink w:history="1" r:id="rId12">
        <w:r w:rsidRPr="003574BB" w:rsidR="00223111">
          <w:rPr>
            <w:rStyle w:val="Hyperlink"/>
            <w:rFonts w:ascii="Times New Roman" w:hAnsi="Times New Roman" w:cs="Times New Roman"/>
            <w:sz w:val="24"/>
            <w:szCs w:val="24"/>
          </w:rPr>
          <w:t>http://www.epa.gov/cwsrf/learn-about-clean-water-state-revolving-fund-cwsrf</w:t>
        </w:r>
      </w:hyperlink>
      <w:r w:rsidRPr="003574BB" w:rsidR="0000022B">
        <w:rPr>
          <w:rFonts w:ascii="Times New Roman" w:hAnsi="Times New Roman" w:cs="Times New Roman"/>
          <w:sz w:val="24"/>
          <w:szCs w:val="24"/>
        </w:rPr>
        <w:t>.</w:t>
      </w:r>
    </w:p>
    <w:p w:rsidR="008D71DD" w:rsidP="009209FE" w:rsidRDefault="008D71DD" w14:paraId="2311563A" w14:textId="77777777">
      <w:pPr>
        <w:tabs>
          <w:tab w:val="left" w:pos="-1440"/>
        </w:tabs>
        <w:rPr>
          <w:rFonts w:ascii="Times New Roman" w:hAnsi="Times New Roman"/>
        </w:rPr>
      </w:pPr>
    </w:p>
    <w:p w:rsidR="00DF3285" w:rsidP="00695265" w:rsidRDefault="00722E74" w14:paraId="4455206A" w14:textId="28AF7798">
      <w:pPr>
        <w:tabs>
          <w:tab w:val="left" w:pos="-1440"/>
        </w:tabs>
        <w:rPr>
          <w:rFonts w:ascii="Times New Roman" w:hAnsi="Times New Roman"/>
        </w:rPr>
      </w:pPr>
      <w:r>
        <w:rPr>
          <w:rFonts w:ascii="Times New Roman" w:hAnsi="Times New Roman"/>
        </w:rPr>
        <w:t xml:space="preserve">This </w:t>
      </w:r>
      <w:r w:rsidR="00E03CCB">
        <w:rPr>
          <w:rFonts w:ascii="Times New Roman" w:hAnsi="Times New Roman"/>
        </w:rPr>
        <w:t>ICR</w:t>
      </w:r>
      <w:r w:rsidRPr="00976322">
        <w:rPr>
          <w:rFonts w:ascii="Times New Roman" w:hAnsi="Times New Roman"/>
        </w:rPr>
        <w:t xml:space="preserve"> renews </w:t>
      </w:r>
      <w:r w:rsidR="000660AA">
        <w:rPr>
          <w:rFonts w:ascii="Times New Roman" w:hAnsi="Times New Roman"/>
        </w:rPr>
        <w:t xml:space="preserve">the </w:t>
      </w:r>
      <w:r w:rsidRPr="00976322">
        <w:rPr>
          <w:rFonts w:ascii="Times New Roman" w:hAnsi="Times New Roman"/>
        </w:rPr>
        <w:t>Office of Management a</w:t>
      </w:r>
      <w:r>
        <w:rPr>
          <w:rFonts w:ascii="Times New Roman" w:hAnsi="Times New Roman"/>
        </w:rPr>
        <w:t>nd</w:t>
      </w:r>
      <w:r w:rsidR="0000022B">
        <w:rPr>
          <w:rFonts w:ascii="Times New Roman" w:hAnsi="Times New Roman"/>
        </w:rPr>
        <w:t xml:space="preserve"> Budget (OMB) Number </w:t>
      </w:r>
      <w:r w:rsidR="00C87D04">
        <w:rPr>
          <w:rFonts w:ascii="Times New Roman" w:hAnsi="Times New Roman"/>
        </w:rPr>
        <w:t>2040-0118</w:t>
      </w:r>
      <w:r w:rsidR="0000022B">
        <w:rPr>
          <w:rFonts w:ascii="Times New Roman" w:hAnsi="Times New Roman"/>
        </w:rPr>
        <w:t xml:space="preserve"> </w:t>
      </w:r>
      <w:r>
        <w:rPr>
          <w:rFonts w:ascii="Times New Roman" w:hAnsi="Times New Roman"/>
        </w:rPr>
        <w:t>CWSRF</w:t>
      </w:r>
      <w:r w:rsidR="00695265">
        <w:rPr>
          <w:rFonts w:ascii="Times New Roman" w:hAnsi="Times New Roman"/>
        </w:rPr>
        <w:t xml:space="preserve"> </w:t>
      </w:r>
      <w:r w:rsidRPr="00976322">
        <w:rPr>
          <w:rFonts w:ascii="Times New Roman" w:hAnsi="Times New Roman"/>
        </w:rPr>
        <w:t>ICR</w:t>
      </w:r>
      <w:r>
        <w:rPr>
          <w:rFonts w:ascii="Times New Roman" w:hAnsi="Times New Roman"/>
        </w:rPr>
        <w:t xml:space="preserve"> and provides updat</w:t>
      </w:r>
      <w:r w:rsidR="00A41A43">
        <w:rPr>
          <w:rFonts w:ascii="Times New Roman" w:hAnsi="Times New Roman"/>
        </w:rPr>
        <w:t>ed estimates of the reporting burden</w:t>
      </w:r>
      <w:r>
        <w:rPr>
          <w:rFonts w:ascii="Times New Roman" w:hAnsi="Times New Roman"/>
        </w:rPr>
        <w:t xml:space="preserve"> associ</w:t>
      </w:r>
      <w:r w:rsidR="00695265">
        <w:rPr>
          <w:rFonts w:ascii="Times New Roman" w:hAnsi="Times New Roman"/>
        </w:rPr>
        <w:t>ated with the</w:t>
      </w:r>
      <w:r>
        <w:rPr>
          <w:rFonts w:ascii="Times New Roman" w:hAnsi="Times New Roman"/>
        </w:rPr>
        <w:t xml:space="preserve"> inf</w:t>
      </w:r>
      <w:r w:rsidR="00695265">
        <w:rPr>
          <w:rFonts w:ascii="Times New Roman" w:hAnsi="Times New Roman"/>
        </w:rPr>
        <w:t xml:space="preserve">ormation collection activities. </w:t>
      </w:r>
    </w:p>
    <w:p w:rsidR="00E03CCB" w:rsidP="00695265" w:rsidRDefault="00E03CCB" w14:paraId="734731C0" w14:textId="77777777">
      <w:pPr>
        <w:tabs>
          <w:tab w:val="left" w:pos="-1440"/>
        </w:tabs>
        <w:rPr>
          <w:rFonts w:ascii="Times New Roman" w:hAnsi="Times New Roman"/>
        </w:rPr>
      </w:pPr>
    </w:p>
    <w:p w:rsidR="00700475" w:rsidP="003574BB" w:rsidRDefault="00DF3285" w14:paraId="20753082" w14:textId="78281290">
      <w:pPr>
        <w:tabs>
          <w:tab w:val="left" w:pos="-1440"/>
        </w:tabs>
      </w:pPr>
      <w:r>
        <w:rPr>
          <w:rFonts w:ascii="Times New Roman" w:hAnsi="Times New Roman"/>
        </w:rPr>
        <w:t xml:space="preserve">The </w:t>
      </w:r>
      <w:r w:rsidRPr="00F55905" w:rsidR="00E12A92">
        <w:rPr>
          <w:rFonts w:ascii="Times New Roman" w:hAnsi="Times New Roman"/>
        </w:rPr>
        <w:t>individ</w:t>
      </w:r>
      <w:r w:rsidR="00E12A92">
        <w:rPr>
          <w:rFonts w:ascii="Times New Roman" w:hAnsi="Times New Roman"/>
        </w:rPr>
        <w:t xml:space="preserve">ual information collections </w:t>
      </w:r>
      <w:r w:rsidR="00223111">
        <w:rPr>
          <w:rFonts w:ascii="Times New Roman" w:hAnsi="Times New Roman"/>
        </w:rPr>
        <w:t xml:space="preserve">covered under this ICR </w:t>
      </w:r>
      <w:r w:rsidR="00E12A92">
        <w:rPr>
          <w:rFonts w:ascii="Times New Roman" w:hAnsi="Times New Roman"/>
        </w:rPr>
        <w:t xml:space="preserve">are </w:t>
      </w:r>
      <w:r w:rsidR="00722E74">
        <w:rPr>
          <w:rFonts w:ascii="Times New Roman" w:hAnsi="Times New Roman"/>
        </w:rPr>
        <w:t xml:space="preserve">briefly </w:t>
      </w:r>
      <w:r w:rsidRPr="00F55905" w:rsidR="00E12A92">
        <w:rPr>
          <w:rFonts w:ascii="Times New Roman" w:hAnsi="Times New Roman"/>
        </w:rPr>
        <w:t>described as follows:</w:t>
      </w:r>
    </w:p>
    <w:p w:rsidR="0050025A" w:rsidP="0050025A" w:rsidRDefault="0050025A" w14:paraId="7223E483" w14:textId="77777777">
      <w:pPr>
        <w:widowControl/>
        <w:autoSpaceDE w:val="0"/>
        <w:autoSpaceDN w:val="0"/>
        <w:adjustRightInd w:val="0"/>
      </w:pPr>
    </w:p>
    <w:p w:rsidRPr="00F55905" w:rsidR="00E12A92" w:rsidP="00700475" w:rsidRDefault="00E12A92" w14:paraId="47AA522B" w14:textId="0ABBC4C4">
      <w:pPr>
        <w:widowControl/>
        <w:autoSpaceDE w:val="0"/>
        <w:autoSpaceDN w:val="0"/>
        <w:adjustRightInd w:val="0"/>
        <w:ind w:firstLine="720"/>
        <w:rPr>
          <w:rFonts w:ascii="Times New Roman" w:hAnsi="Times New Roman"/>
          <w:u w:val="single"/>
        </w:rPr>
      </w:pPr>
      <w:r w:rsidRPr="00F55905">
        <w:rPr>
          <w:rFonts w:ascii="Times New Roman" w:hAnsi="Times New Roman"/>
          <w:u w:val="single"/>
        </w:rPr>
        <w:t>Capi</w:t>
      </w:r>
      <w:r w:rsidR="0061122D">
        <w:rPr>
          <w:rFonts w:ascii="Times New Roman" w:hAnsi="Times New Roman"/>
          <w:u w:val="single"/>
        </w:rPr>
        <w:t>talization Grant Agreement/</w:t>
      </w:r>
      <w:r w:rsidR="00002B32">
        <w:rPr>
          <w:rFonts w:ascii="Times New Roman" w:hAnsi="Times New Roman"/>
          <w:u w:val="single"/>
        </w:rPr>
        <w:t>Intended Use Plan</w:t>
      </w:r>
    </w:p>
    <w:p w:rsidRPr="00F55905" w:rsidR="00E12A92" w:rsidP="00700475" w:rsidRDefault="00E12A92" w14:paraId="6C1F20EC" w14:textId="5E589FB0">
      <w:pPr>
        <w:autoSpaceDE w:val="0"/>
        <w:autoSpaceDN w:val="0"/>
        <w:adjustRightInd w:val="0"/>
        <w:ind w:left="720"/>
        <w:rPr>
          <w:rFonts w:ascii="Times New Roman" w:hAnsi="Times New Roman"/>
        </w:rPr>
      </w:pPr>
      <w:r w:rsidRPr="00F55905">
        <w:rPr>
          <w:rFonts w:ascii="Times New Roman" w:hAnsi="Times New Roman"/>
        </w:rPr>
        <w:t>The Capitalization Grant Agreement is the p</w:t>
      </w:r>
      <w:r>
        <w:rPr>
          <w:rFonts w:ascii="Times New Roman" w:hAnsi="Times New Roman"/>
        </w:rPr>
        <w:t>rincipal instrument by which a</w:t>
      </w:r>
      <w:r w:rsidR="005B739C">
        <w:rPr>
          <w:rFonts w:ascii="Times New Roman" w:hAnsi="Times New Roman"/>
        </w:rPr>
        <w:t xml:space="preserve"> CWSRF</w:t>
      </w:r>
      <w:r w:rsidRPr="00F55905">
        <w:rPr>
          <w:rFonts w:ascii="Times New Roman" w:hAnsi="Times New Roman"/>
        </w:rPr>
        <w:t xml:space="preserve"> commits to manage its revolving fund program in conformity w</w:t>
      </w:r>
      <w:r>
        <w:rPr>
          <w:rFonts w:ascii="Times New Roman" w:hAnsi="Times New Roman"/>
        </w:rPr>
        <w:t xml:space="preserve">ith the </w:t>
      </w:r>
      <w:r w:rsidR="00E04C8A">
        <w:rPr>
          <w:rFonts w:ascii="Times New Roman" w:hAnsi="Times New Roman"/>
        </w:rPr>
        <w:t xml:space="preserve">CWA </w:t>
      </w:r>
      <w:r>
        <w:rPr>
          <w:rFonts w:ascii="Times New Roman" w:hAnsi="Times New Roman"/>
        </w:rPr>
        <w:t>requirements</w:t>
      </w:r>
      <w:r w:rsidRPr="00F55905">
        <w:rPr>
          <w:rFonts w:ascii="Times New Roman" w:hAnsi="Times New Roman"/>
        </w:rPr>
        <w:t xml:space="preserve">. The grant agreement contains or incorporates by reference the </w:t>
      </w:r>
      <w:r w:rsidR="00722E74">
        <w:rPr>
          <w:rFonts w:ascii="Times New Roman" w:hAnsi="Times New Roman"/>
        </w:rPr>
        <w:t>intended use plan</w:t>
      </w:r>
      <w:r w:rsidRPr="00F55905">
        <w:rPr>
          <w:rFonts w:ascii="Times New Roman" w:hAnsi="Times New Roman"/>
        </w:rPr>
        <w:t>, applicati</w:t>
      </w:r>
      <w:r w:rsidR="00681030">
        <w:rPr>
          <w:rFonts w:ascii="Times New Roman" w:hAnsi="Times New Roman"/>
        </w:rPr>
        <w:t>on materials</w:t>
      </w:r>
      <w:r w:rsidR="00AF731C">
        <w:rPr>
          <w:rFonts w:ascii="Times New Roman" w:hAnsi="Times New Roman"/>
        </w:rPr>
        <w:t xml:space="preserve"> and </w:t>
      </w:r>
      <w:r w:rsidR="00AD44F2">
        <w:rPr>
          <w:rFonts w:ascii="Times New Roman" w:hAnsi="Times New Roman"/>
        </w:rPr>
        <w:t>accompanying</w:t>
      </w:r>
      <w:r w:rsidR="008307BE">
        <w:rPr>
          <w:rFonts w:ascii="Times New Roman" w:hAnsi="Times New Roman"/>
        </w:rPr>
        <w:t xml:space="preserve"> CWSRF administrative budget information, </w:t>
      </w:r>
      <w:r w:rsidR="00AF731C">
        <w:rPr>
          <w:rFonts w:ascii="Times New Roman" w:hAnsi="Times New Roman"/>
        </w:rPr>
        <w:t xml:space="preserve">CWSRF </w:t>
      </w:r>
      <w:r w:rsidRPr="00F55905">
        <w:rPr>
          <w:rFonts w:ascii="Times New Roman" w:hAnsi="Times New Roman"/>
        </w:rPr>
        <w:t>required certification</w:t>
      </w:r>
      <w:r>
        <w:rPr>
          <w:rFonts w:ascii="Times New Roman" w:hAnsi="Times New Roman"/>
        </w:rPr>
        <w:t>s</w:t>
      </w:r>
      <w:r w:rsidRPr="00F55905">
        <w:rPr>
          <w:rFonts w:ascii="Times New Roman" w:hAnsi="Times New Roman"/>
        </w:rPr>
        <w:t>, and othe</w:t>
      </w:r>
      <w:r w:rsidR="00722E74">
        <w:rPr>
          <w:rFonts w:ascii="Times New Roman" w:hAnsi="Times New Roman"/>
        </w:rPr>
        <w:t>r documentation required by</w:t>
      </w:r>
      <w:r w:rsidR="001E6103">
        <w:rPr>
          <w:rFonts w:ascii="Times New Roman" w:hAnsi="Times New Roman"/>
        </w:rPr>
        <w:t xml:space="preserve"> </w:t>
      </w:r>
      <w:r w:rsidR="00722E74">
        <w:rPr>
          <w:rFonts w:ascii="Times New Roman" w:hAnsi="Times New Roman"/>
        </w:rPr>
        <w:t>EPA</w:t>
      </w:r>
      <w:r w:rsidR="001A7828">
        <w:rPr>
          <w:rFonts w:ascii="Times New Roman" w:hAnsi="Times New Roman"/>
        </w:rPr>
        <w:t xml:space="preserve">. </w:t>
      </w:r>
      <w:r w:rsidR="00722E74">
        <w:rPr>
          <w:rFonts w:ascii="Times New Roman" w:hAnsi="Times New Roman"/>
        </w:rPr>
        <w:t>The intended</w:t>
      </w:r>
      <w:r w:rsidR="005B739C">
        <w:rPr>
          <w:rFonts w:ascii="Times New Roman" w:hAnsi="Times New Roman"/>
        </w:rPr>
        <w:t xml:space="preserve"> use plan</w:t>
      </w:r>
      <w:r>
        <w:rPr>
          <w:rFonts w:ascii="Times New Roman" w:hAnsi="Times New Roman"/>
        </w:rPr>
        <w:t xml:space="preserve"> </w:t>
      </w:r>
      <w:r w:rsidRPr="00F55905">
        <w:rPr>
          <w:rFonts w:ascii="Times New Roman" w:hAnsi="Times New Roman"/>
        </w:rPr>
        <w:t>describe</w:t>
      </w:r>
      <w:r>
        <w:rPr>
          <w:rFonts w:ascii="Times New Roman" w:hAnsi="Times New Roman"/>
        </w:rPr>
        <w:t>s how a CWSRF program</w:t>
      </w:r>
      <w:r w:rsidRPr="00F55905">
        <w:rPr>
          <w:rFonts w:ascii="Times New Roman" w:hAnsi="Times New Roman"/>
        </w:rPr>
        <w:t xml:space="preserve"> </w:t>
      </w:r>
      <w:r w:rsidR="00C60134">
        <w:rPr>
          <w:rFonts w:ascii="Times New Roman" w:hAnsi="Times New Roman"/>
        </w:rPr>
        <w:t>intends to use its</w:t>
      </w:r>
      <w:r w:rsidRPr="00F55905">
        <w:rPr>
          <w:rFonts w:ascii="Times New Roman" w:hAnsi="Times New Roman"/>
        </w:rPr>
        <w:t xml:space="preserve"> funds for the</w:t>
      </w:r>
      <w:r w:rsidR="00C60134">
        <w:rPr>
          <w:rFonts w:ascii="Times New Roman" w:hAnsi="Times New Roman"/>
        </w:rPr>
        <w:t xml:space="preserve"> upcoming</w:t>
      </w:r>
      <w:r w:rsidRPr="00F55905">
        <w:rPr>
          <w:rFonts w:ascii="Times New Roman" w:hAnsi="Times New Roman"/>
        </w:rPr>
        <w:t xml:space="preserve"> year to meet the objectives of the CWA</w:t>
      </w:r>
      <w:r w:rsidR="00C87D04">
        <w:rPr>
          <w:rFonts w:ascii="Times New Roman" w:hAnsi="Times New Roman"/>
        </w:rPr>
        <w:t>.</w:t>
      </w:r>
    </w:p>
    <w:p w:rsidRPr="00F55905" w:rsidR="00E12A92" w:rsidP="00E12A92" w:rsidRDefault="00E12A92" w14:paraId="013EEDC2" w14:textId="77777777">
      <w:pPr>
        <w:autoSpaceDE w:val="0"/>
        <w:autoSpaceDN w:val="0"/>
        <w:adjustRightInd w:val="0"/>
        <w:ind w:left="720"/>
        <w:rPr>
          <w:rFonts w:ascii="Times New Roman" w:hAnsi="Times New Roman"/>
        </w:rPr>
      </w:pPr>
    </w:p>
    <w:p w:rsidRPr="00F55905" w:rsidR="00E12A92" w:rsidP="00700475" w:rsidRDefault="00E12A92" w14:paraId="6633CDDE" w14:textId="77777777">
      <w:pPr>
        <w:widowControl/>
        <w:autoSpaceDE w:val="0"/>
        <w:autoSpaceDN w:val="0"/>
        <w:adjustRightInd w:val="0"/>
        <w:ind w:firstLine="720"/>
        <w:rPr>
          <w:rFonts w:ascii="Times New Roman" w:hAnsi="Times New Roman"/>
        </w:rPr>
      </w:pPr>
      <w:r>
        <w:rPr>
          <w:rFonts w:ascii="Times New Roman" w:hAnsi="Times New Roman"/>
          <w:u w:val="single"/>
        </w:rPr>
        <w:t>Annual</w:t>
      </w:r>
      <w:r w:rsidRPr="00F55905">
        <w:rPr>
          <w:rFonts w:ascii="Times New Roman" w:hAnsi="Times New Roman"/>
          <w:u w:val="single"/>
        </w:rPr>
        <w:t xml:space="preserve"> Report</w:t>
      </w:r>
    </w:p>
    <w:p w:rsidR="00EC0670" w:rsidP="00700475" w:rsidRDefault="00722E74" w14:paraId="08F04536" w14:textId="4DA74F0C">
      <w:pPr>
        <w:autoSpaceDE w:val="0"/>
        <w:autoSpaceDN w:val="0"/>
        <w:adjustRightInd w:val="0"/>
        <w:ind w:left="720"/>
        <w:rPr>
          <w:rFonts w:ascii="Times New Roman" w:hAnsi="Times New Roman"/>
        </w:rPr>
      </w:pPr>
      <w:r>
        <w:rPr>
          <w:rFonts w:ascii="Times New Roman" w:hAnsi="Times New Roman"/>
        </w:rPr>
        <w:t>The a</w:t>
      </w:r>
      <w:r w:rsidR="00E12A92">
        <w:rPr>
          <w:rFonts w:ascii="Times New Roman" w:hAnsi="Times New Roman"/>
        </w:rPr>
        <w:t>nnual</w:t>
      </w:r>
      <w:r>
        <w:rPr>
          <w:rFonts w:ascii="Times New Roman" w:hAnsi="Times New Roman"/>
        </w:rPr>
        <w:t xml:space="preserve"> report indicates how the CWSRF</w:t>
      </w:r>
      <w:r w:rsidRPr="00F55905" w:rsidR="00E12A92">
        <w:rPr>
          <w:rFonts w:ascii="Times New Roman" w:hAnsi="Times New Roman"/>
        </w:rPr>
        <w:t xml:space="preserve"> has met its goals and</w:t>
      </w:r>
      <w:r>
        <w:rPr>
          <w:rFonts w:ascii="Times New Roman" w:hAnsi="Times New Roman"/>
        </w:rPr>
        <w:t xml:space="preserve"> objectives of the previous state </w:t>
      </w:r>
      <w:r w:rsidR="00002B32">
        <w:rPr>
          <w:rFonts w:ascii="Times New Roman" w:hAnsi="Times New Roman"/>
        </w:rPr>
        <w:t>fiscal year</w:t>
      </w:r>
      <w:r w:rsidRPr="00F55905" w:rsidR="00E12A92">
        <w:rPr>
          <w:rFonts w:ascii="Times New Roman" w:hAnsi="Times New Roman"/>
        </w:rPr>
        <w:t xml:space="preserve"> as stated in the grant agreement and, more</w:t>
      </w:r>
      <w:r w:rsidR="00002B32">
        <w:rPr>
          <w:rFonts w:ascii="Times New Roman" w:hAnsi="Times New Roman"/>
        </w:rPr>
        <w:t xml:space="preserve"> specifically, in the intended use plan</w:t>
      </w:r>
      <w:r>
        <w:rPr>
          <w:rFonts w:ascii="Times New Roman" w:hAnsi="Times New Roman"/>
        </w:rPr>
        <w:t>. The r</w:t>
      </w:r>
      <w:r w:rsidRPr="00F55905" w:rsidR="00E12A92">
        <w:rPr>
          <w:rFonts w:ascii="Times New Roman" w:hAnsi="Times New Roman"/>
        </w:rPr>
        <w:t>eport provides information on loan recipients, loan amounts, loan terms, project categories of eligible costs, and similar da</w:t>
      </w:r>
      <w:r w:rsidR="005B739C">
        <w:rPr>
          <w:rFonts w:ascii="Times New Roman" w:hAnsi="Times New Roman"/>
        </w:rPr>
        <w:t>ta on other forms of assistance</w:t>
      </w:r>
      <w:r w:rsidR="00C87D04">
        <w:rPr>
          <w:rFonts w:ascii="Times New Roman" w:hAnsi="Times New Roman"/>
        </w:rPr>
        <w:t>.</w:t>
      </w:r>
      <w:r w:rsidRPr="00F55905" w:rsidR="00E12A92">
        <w:rPr>
          <w:rFonts w:ascii="Times New Roman" w:hAnsi="Times New Roman"/>
        </w:rPr>
        <w:t xml:space="preserve"> </w:t>
      </w:r>
    </w:p>
    <w:p w:rsidRPr="00EC0670" w:rsidR="002759B4" w:rsidP="00EC0670" w:rsidRDefault="002759B4" w14:paraId="38D67F02" w14:textId="76D9ABD7">
      <w:pPr>
        <w:autoSpaceDE w:val="0"/>
        <w:autoSpaceDN w:val="0"/>
        <w:adjustRightInd w:val="0"/>
        <w:rPr>
          <w:rFonts w:ascii="Times New Roman" w:hAnsi="Times New Roman"/>
        </w:rPr>
      </w:pPr>
    </w:p>
    <w:p w:rsidRPr="0050025A" w:rsidR="00EC0670" w:rsidP="00700475" w:rsidRDefault="00EC0670" w14:paraId="362C084B" w14:textId="77777777">
      <w:pPr>
        <w:autoSpaceDE w:val="0"/>
        <w:autoSpaceDN w:val="0"/>
        <w:adjustRightInd w:val="0"/>
        <w:ind w:firstLine="720"/>
        <w:rPr>
          <w:rFonts w:ascii="Times New Roman" w:hAnsi="Times New Roman"/>
        </w:rPr>
      </w:pPr>
      <w:r w:rsidRPr="0050025A">
        <w:rPr>
          <w:rFonts w:ascii="Times New Roman" w:hAnsi="Times New Roman"/>
          <w:u w:val="single"/>
        </w:rPr>
        <w:t>Annual Audit</w:t>
      </w:r>
    </w:p>
    <w:p w:rsidRPr="0050025A" w:rsidR="00EC0670" w:rsidP="00700475" w:rsidRDefault="00700475" w14:paraId="5246F3FF" w14:textId="08F30313">
      <w:pPr>
        <w:autoSpaceDE w:val="0"/>
        <w:autoSpaceDN w:val="0"/>
        <w:adjustRightInd w:val="0"/>
        <w:ind w:left="720"/>
        <w:rPr>
          <w:rFonts w:ascii="Times New Roman" w:hAnsi="Times New Roman"/>
        </w:rPr>
      </w:pPr>
      <w:r>
        <w:rPr>
          <w:rFonts w:ascii="Times New Roman" w:hAnsi="Times New Roman"/>
        </w:rPr>
        <w:t>The CWA requires a C</w:t>
      </w:r>
      <w:r w:rsidR="004D02E0">
        <w:rPr>
          <w:rFonts w:ascii="Times New Roman" w:hAnsi="Times New Roman"/>
        </w:rPr>
        <w:t xml:space="preserve">WSRF to undergo an annual audit. Though </w:t>
      </w:r>
      <w:r>
        <w:rPr>
          <w:rFonts w:ascii="Times New Roman" w:hAnsi="Times New Roman"/>
        </w:rPr>
        <w:t xml:space="preserve">an audit conducted </w:t>
      </w:r>
      <w:r w:rsidR="004D02E0">
        <w:rPr>
          <w:rFonts w:ascii="Times New Roman" w:hAnsi="Times New Roman"/>
        </w:rPr>
        <w:t xml:space="preserve">under the </w:t>
      </w:r>
      <w:r w:rsidR="00532531">
        <w:rPr>
          <w:rFonts w:ascii="Times New Roman" w:hAnsi="Times New Roman"/>
        </w:rPr>
        <w:t xml:space="preserve">Single Audit Act </w:t>
      </w:r>
      <w:r w:rsidR="004D02E0">
        <w:rPr>
          <w:rFonts w:ascii="Times New Roman" w:hAnsi="Times New Roman"/>
        </w:rPr>
        <w:t>meet</w:t>
      </w:r>
      <w:r w:rsidR="00532531">
        <w:rPr>
          <w:rFonts w:ascii="Times New Roman" w:hAnsi="Times New Roman"/>
        </w:rPr>
        <w:t>s</w:t>
      </w:r>
      <w:r w:rsidR="004D02E0">
        <w:rPr>
          <w:rFonts w:ascii="Times New Roman" w:hAnsi="Times New Roman"/>
        </w:rPr>
        <w:t xml:space="preserve"> this requirement, </w:t>
      </w:r>
      <w:r w:rsidRPr="0050025A" w:rsidR="00002B32">
        <w:rPr>
          <w:rFonts w:ascii="Times New Roman" w:hAnsi="Times New Roman"/>
        </w:rPr>
        <w:t xml:space="preserve">EPA </w:t>
      </w:r>
      <w:r w:rsidR="00623380">
        <w:rPr>
          <w:rFonts w:ascii="Times New Roman" w:hAnsi="Times New Roman"/>
        </w:rPr>
        <w:t xml:space="preserve">still </w:t>
      </w:r>
      <w:r w:rsidRPr="0050025A" w:rsidR="00002B32">
        <w:rPr>
          <w:rFonts w:ascii="Times New Roman" w:hAnsi="Times New Roman"/>
        </w:rPr>
        <w:t>recommends that a CWSRF</w:t>
      </w:r>
      <w:r w:rsidRPr="0050025A" w:rsidR="00EC0670">
        <w:rPr>
          <w:rFonts w:ascii="Times New Roman" w:hAnsi="Times New Roman"/>
        </w:rPr>
        <w:t xml:space="preserve"> </w:t>
      </w:r>
      <w:r w:rsidR="004D02E0">
        <w:rPr>
          <w:rFonts w:ascii="Times New Roman" w:hAnsi="Times New Roman"/>
        </w:rPr>
        <w:t xml:space="preserve">also </w:t>
      </w:r>
      <w:r w:rsidR="00623380">
        <w:rPr>
          <w:rFonts w:ascii="Times New Roman" w:hAnsi="Times New Roman"/>
        </w:rPr>
        <w:t>undergo</w:t>
      </w:r>
      <w:r w:rsidRPr="0050025A" w:rsidR="00EC0670">
        <w:rPr>
          <w:rFonts w:ascii="Times New Roman" w:hAnsi="Times New Roman"/>
        </w:rPr>
        <w:t xml:space="preserve"> </w:t>
      </w:r>
      <w:r w:rsidR="00641F2F">
        <w:rPr>
          <w:rFonts w:ascii="Times New Roman" w:hAnsi="Times New Roman"/>
        </w:rPr>
        <w:t xml:space="preserve">a separate </w:t>
      </w:r>
      <w:r w:rsidR="00623380">
        <w:rPr>
          <w:rFonts w:ascii="Times New Roman" w:hAnsi="Times New Roman"/>
        </w:rPr>
        <w:t xml:space="preserve">independent audit </w:t>
      </w:r>
      <w:r w:rsidR="004D02E0">
        <w:rPr>
          <w:rFonts w:ascii="Times New Roman" w:hAnsi="Times New Roman"/>
        </w:rPr>
        <w:t>as a best management practice</w:t>
      </w:r>
      <w:r w:rsidR="00641F2F">
        <w:rPr>
          <w:rFonts w:ascii="Times New Roman" w:hAnsi="Times New Roman"/>
        </w:rPr>
        <w:t>. The audit must</w:t>
      </w:r>
      <w:r w:rsidRPr="0050025A" w:rsidR="00EC0670">
        <w:rPr>
          <w:rFonts w:ascii="Times New Roman" w:hAnsi="Times New Roman"/>
        </w:rPr>
        <w:t xml:space="preserve"> contain an opinion on the financial condition of the CWSRF program, a report on its internal controls, and a report on compliance with applicable laws and the CWA. </w:t>
      </w:r>
    </w:p>
    <w:p w:rsidRPr="00EC0670" w:rsidR="00EC0670" w:rsidP="00EC0670" w:rsidRDefault="00EC0670" w14:paraId="6F1713C5" w14:textId="77777777">
      <w:pPr>
        <w:pStyle w:val="ListParagraph"/>
        <w:autoSpaceDE w:val="0"/>
        <w:autoSpaceDN w:val="0"/>
        <w:adjustRightInd w:val="0"/>
        <w:rPr>
          <w:rFonts w:ascii="Times New Roman" w:hAnsi="Times New Roman"/>
        </w:rPr>
      </w:pPr>
    </w:p>
    <w:p w:rsidRPr="0050025A" w:rsidR="0000022B" w:rsidP="00700475" w:rsidRDefault="0000022B" w14:paraId="7589815D" w14:textId="2C41BFCF">
      <w:pPr>
        <w:autoSpaceDE w:val="0"/>
        <w:autoSpaceDN w:val="0"/>
        <w:adjustRightInd w:val="0"/>
        <w:ind w:left="720"/>
        <w:rPr>
          <w:rFonts w:ascii="Times New Roman" w:hAnsi="Times New Roman"/>
        </w:rPr>
      </w:pPr>
      <w:r w:rsidRPr="0050025A">
        <w:rPr>
          <w:rFonts w:ascii="Times New Roman" w:hAnsi="Times New Roman"/>
          <w:u w:val="single"/>
        </w:rPr>
        <w:t>C</w:t>
      </w:r>
      <w:r w:rsidRPr="0050025A" w:rsidR="00A523B3">
        <w:rPr>
          <w:rFonts w:ascii="Times New Roman" w:hAnsi="Times New Roman"/>
          <w:u w:val="single"/>
        </w:rPr>
        <w:t xml:space="preserve">lean Water </w:t>
      </w:r>
      <w:r w:rsidRPr="0050025A">
        <w:rPr>
          <w:rFonts w:ascii="Times New Roman" w:hAnsi="Times New Roman"/>
          <w:u w:val="single"/>
        </w:rPr>
        <w:t>N</w:t>
      </w:r>
      <w:r w:rsidRPr="0050025A" w:rsidR="00A523B3">
        <w:rPr>
          <w:rFonts w:ascii="Times New Roman" w:hAnsi="Times New Roman"/>
          <w:u w:val="single"/>
        </w:rPr>
        <w:t xml:space="preserve">ational </w:t>
      </w:r>
      <w:r w:rsidRPr="0050025A">
        <w:rPr>
          <w:rFonts w:ascii="Times New Roman" w:hAnsi="Times New Roman"/>
          <w:u w:val="single"/>
        </w:rPr>
        <w:t>I</w:t>
      </w:r>
      <w:r w:rsidRPr="0050025A" w:rsidR="00A523B3">
        <w:rPr>
          <w:rFonts w:ascii="Times New Roman" w:hAnsi="Times New Roman"/>
          <w:u w:val="single"/>
        </w:rPr>
        <w:t xml:space="preserve">nformation </w:t>
      </w:r>
      <w:r w:rsidRPr="0050025A">
        <w:rPr>
          <w:rFonts w:ascii="Times New Roman" w:hAnsi="Times New Roman"/>
          <w:u w:val="single"/>
        </w:rPr>
        <w:t>M</w:t>
      </w:r>
      <w:r w:rsidRPr="0050025A" w:rsidR="00A523B3">
        <w:rPr>
          <w:rFonts w:ascii="Times New Roman" w:hAnsi="Times New Roman"/>
          <w:u w:val="single"/>
        </w:rPr>
        <w:t xml:space="preserve">anagement </w:t>
      </w:r>
      <w:r w:rsidRPr="0050025A">
        <w:rPr>
          <w:rFonts w:ascii="Times New Roman" w:hAnsi="Times New Roman"/>
          <w:u w:val="single"/>
        </w:rPr>
        <w:t>S</w:t>
      </w:r>
      <w:r w:rsidRPr="0050025A" w:rsidR="00A523B3">
        <w:rPr>
          <w:rFonts w:ascii="Times New Roman" w:hAnsi="Times New Roman"/>
          <w:u w:val="single"/>
        </w:rPr>
        <w:t xml:space="preserve">ystem (CWNIMS) and CWSRF </w:t>
      </w:r>
      <w:r w:rsidRPr="0050025A">
        <w:rPr>
          <w:rFonts w:ascii="Times New Roman" w:hAnsi="Times New Roman"/>
          <w:u w:val="single"/>
        </w:rPr>
        <w:t>B</w:t>
      </w:r>
      <w:r w:rsidRPr="0050025A" w:rsidR="00A523B3">
        <w:rPr>
          <w:rFonts w:ascii="Times New Roman" w:hAnsi="Times New Roman"/>
          <w:u w:val="single"/>
        </w:rPr>
        <w:t xml:space="preserve">enefits </w:t>
      </w:r>
      <w:r w:rsidRPr="0050025A">
        <w:rPr>
          <w:rFonts w:ascii="Times New Roman" w:hAnsi="Times New Roman"/>
          <w:u w:val="single"/>
        </w:rPr>
        <w:t>Reporting</w:t>
      </w:r>
      <w:r w:rsidRPr="0050025A" w:rsidR="00A523B3">
        <w:rPr>
          <w:rFonts w:ascii="Times New Roman" w:hAnsi="Times New Roman"/>
          <w:u w:val="single"/>
        </w:rPr>
        <w:t xml:space="preserve"> (CBR)</w:t>
      </w:r>
    </w:p>
    <w:p w:rsidR="003574BB" w:rsidP="004F342B" w:rsidRDefault="0000022B" w14:paraId="0907B8B7" w14:textId="6DC9A519">
      <w:pPr>
        <w:autoSpaceDE w:val="0"/>
        <w:autoSpaceDN w:val="0"/>
        <w:adjustRightInd w:val="0"/>
        <w:ind w:left="720"/>
        <w:rPr>
          <w:rFonts w:ascii="Times New Roman" w:hAnsi="Times New Roman"/>
        </w:rPr>
      </w:pPr>
      <w:r w:rsidRPr="0050025A">
        <w:rPr>
          <w:rFonts w:ascii="Times New Roman" w:hAnsi="Times New Roman"/>
        </w:rPr>
        <w:t>To meet the CWA objective of “promoting the efficient use of fund resources,” states must enter financial data, includ</w:t>
      </w:r>
      <w:r w:rsidRPr="0050025A" w:rsidR="00C60134">
        <w:rPr>
          <w:rFonts w:ascii="Times New Roman" w:hAnsi="Times New Roman"/>
        </w:rPr>
        <w:t xml:space="preserve">ing project </w:t>
      </w:r>
      <w:r w:rsidRPr="0050025A">
        <w:rPr>
          <w:rFonts w:ascii="Times New Roman" w:hAnsi="Times New Roman"/>
        </w:rPr>
        <w:t xml:space="preserve">disbursements, into </w:t>
      </w:r>
      <w:r w:rsidRPr="0050025A" w:rsidR="00A523B3">
        <w:rPr>
          <w:rFonts w:ascii="Times New Roman" w:hAnsi="Times New Roman"/>
        </w:rPr>
        <w:t xml:space="preserve">the </w:t>
      </w:r>
      <w:r w:rsidRPr="0050025A">
        <w:rPr>
          <w:rFonts w:ascii="Times New Roman" w:hAnsi="Times New Roman"/>
        </w:rPr>
        <w:t>CWNIMS</w:t>
      </w:r>
      <w:r w:rsidRPr="0050025A" w:rsidR="00A523B3">
        <w:rPr>
          <w:rFonts w:ascii="Times New Roman" w:hAnsi="Times New Roman"/>
        </w:rPr>
        <w:t xml:space="preserve"> database</w:t>
      </w:r>
      <w:r w:rsidRPr="0050025A" w:rsidR="005B739C">
        <w:rPr>
          <w:rFonts w:ascii="Times New Roman" w:hAnsi="Times New Roman"/>
        </w:rPr>
        <w:t xml:space="preserve"> on an annual basis. This publicly available</w:t>
      </w:r>
      <w:r w:rsidRPr="0050025A">
        <w:rPr>
          <w:rFonts w:ascii="Times New Roman" w:hAnsi="Times New Roman"/>
        </w:rPr>
        <w:t xml:space="preserve"> </w:t>
      </w:r>
      <w:r w:rsidRPr="0050025A" w:rsidR="00C60134">
        <w:rPr>
          <w:rFonts w:ascii="Times New Roman" w:hAnsi="Times New Roman"/>
        </w:rPr>
        <w:t xml:space="preserve">information </w:t>
      </w:r>
      <w:r w:rsidRPr="0050025A" w:rsidR="005B739C">
        <w:rPr>
          <w:rFonts w:ascii="Times New Roman" w:hAnsi="Times New Roman"/>
        </w:rPr>
        <w:t xml:space="preserve">is </w:t>
      </w:r>
      <w:r w:rsidRPr="0050025A">
        <w:rPr>
          <w:rFonts w:ascii="Times New Roman" w:hAnsi="Times New Roman"/>
        </w:rPr>
        <w:t>used by EPA to assess com</w:t>
      </w:r>
      <w:r w:rsidRPr="0050025A" w:rsidR="005B739C">
        <w:rPr>
          <w:rFonts w:ascii="Times New Roman" w:hAnsi="Times New Roman"/>
        </w:rPr>
        <w:t>pliance with the CWSRF</w:t>
      </w:r>
      <w:r w:rsidRPr="0050025A">
        <w:rPr>
          <w:rFonts w:ascii="Times New Roman" w:hAnsi="Times New Roman"/>
        </w:rPr>
        <w:t>s</w:t>
      </w:r>
      <w:r w:rsidRPr="0050025A" w:rsidR="005B739C">
        <w:rPr>
          <w:rFonts w:ascii="Times New Roman" w:hAnsi="Times New Roman"/>
        </w:rPr>
        <w:t>’</w:t>
      </w:r>
      <w:r w:rsidRPr="0050025A">
        <w:rPr>
          <w:rFonts w:ascii="Times New Roman" w:hAnsi="Times New Roman"/>
        </w:rPr>
        <w:t xml:space="preserve"> mandate to use all funds in an “expeditious and timely” m</w:t>
      </w:r>
      <w:r w:rsidRPr="0050025A" w:rsidR="00FE52BC">
        <w:rPr>
          <w:rFonts w:ascii="Times New Roman" w:hAnsi="Times New Roman"/>
        </w:rPr>
        <w:t>anner and achieve the objectives of the CWA</w:t>
      </w:r>
      <w:r w:rsidRPr="0050025A">
        <w:rPr>
          <w:rFonts w:ascii="Times New Roman" w:hAnsi="Times New Roman"/>
        </w:rPr>
        <w:t xml:space="preserve">. Project level data is collected on a quarterly basis </w:t>
      </w:r>
      <w:r w:rsidR="004201BF">
        <w:rPr>
          <w:rFonts w:ascii="Times New Roman" w:hAnsi="Times New Roman"/>
        </w:rPr>
        <w:t xml:space="preserve">using the CBR System to </w:t>
      </w:r>
      <w:r w:rsidRPr="0050025A" w:rsidR="00FE52BC">
        <w:rPr>
          <w:rFonts w:ascii="Times New Roman" w:hAnsi="Times New Roman"/>
        </w:rPr>
        <w:t>record projected</w:t>
      </w:r>
      <w:r w:rsidRPr="0050025A">
        <w:rPr>
          <w:rFonts w:ascii="Times New Roman" w:hAnsi="Times New Roman"/>
        </w:rPr>
        <w:t xml:space="preserve"> environmental results from CWSRF projects. </w:t>
      </w:r>
    </w:p>
    <w:p w:rsidR="0000022B" w:rsidP="0000022B" w:rsidRDefault="0000022B" w14:paraId="063F5BC8" w14:textId="77777777">
      <w:pPr>
        <w:widowControl/>
        <w:autoSpaceDE w:val="0"/>
        <w:autoSpaceDN w:val="0"/>
        <w:adjustRightInd w:val="0"/>
        <w:rPr>
          <w:rFonts w:ascii="Times New Roman" w:hAnsi="Times New Roman"/>
        </w:rPr>
      </w:pPr>
    </w:p>
    <w:p w:rsidRPr="0050025A" w:rsidR="002759B4" w:rsidP="00700475" w:rsidRDefault="00DD3647" w14:paraId="6F0C42B7" w14:textId="0B2BF78B">
      <w:pPr>
        <w:widowControl/>
        <w:autoSpaceDE w:val="0"/>
        <w:autoSpaceDN w:val="0"/>
        <w:adjustRightInd w:val="0"/>
        <w:ind w:firstLine="720"/>
        <w:rPr>
          <w:rFonts w:ascii="Times New Roman" w:hAnsi="Times New Roman"/>
        </w:rPr>
      </w:pPr>
      <w:r w:rsidRPr="0050025A">
        <w:rPr>
          <w:rFonts w:ascii="Times New Roman" w:hAnsi="Times New Roman"/>
          <w:u w:val="single"/>
        </w:rPr>
        <w:t>Public Awareness Policy</w:t>
      </w:r>
    </w:p>
    <w:p w:rsidR="00695265" w:rsidP="00700475" w:rsidRDefault="00695265" w14:paraId="5A210719" w14:textId="6BCFAEEF">
      <w:pPr>
        <w:widowControl/>
        <w:autoSpaceDE w:val="0"/>
        <w:autoSpaceDN w:val="0"/>
        <w:adjustRightInd w:val="0"/>
        <w:ind w:left="720"/>
        <w:rPr>
          <w:rFonts w:ascii="Times New Roman" w:hAnsi="Times New Roman"/>
        </w:rPr>
      </w:pPr>
      <w:r w:rsidRPr="0050025A">
        <w:rPr>
          <w:rFonts w:ascii="Times New Roman" w:hAnsi="Times New Roman"/>
        </w:rPr>
        <w:t>Per EPA Grants Policy Issuance (GPI) 14-02: Enhancing Public Awareness of EPA Assista</w:t>
      </w:r>
      <w:r w:rsidRPr="0050025A" w:rsidR="00DF3285">
        <w:rPr>
          <w:rFonts w:ascii="Times New Roman" w:hAnsi="Times New Roman"/>
        </w:rPr>
        <w:t>nce Agreements, CWSRF borrowers</w:t>
      </w:r>
      <w:r w:rsidRPr="0050025A">
        <w:rPr>
          <w:rFonts w:ascii="Times New Roman" w:hAnsi="Times New Roman"/>
        </w:rPr>
        <w:t xml:space="preserve"> must publicize EPA’s involvement in project funding only up to the funding amount in each yea</w:t>
      </w:r>
      <w:r w:rsidRPr="0050025A" w:rsidR="00061484">
        <w:rPr>
          <w:rFonts w:ascii="Times New Roman" w:hAnsi="Times New Roman"/>
        </w:rPr>
        <w:t>r’s capitalization grant. The CWSRFs</w:t>
      </w:r>
      <w:r w:rsidRPr="0050025A">
        <w:rPr>
          <w:rFonts w:ascii="Times New Roman" w:hAnsi="Times New Roman"/>
        </w:rPr>
        <w:t xml:space="preserve"> have various options to meet this requirement.</w:t>
      </w:r>
    </w:p>
    <w:p w:rsidR="004C3F9A" w:rsidP="00700475" w:rsidRDefault="004C3F9A" w14:paraId="429B21E6" w14:textId="3CE175F4">
      <w:pPr>
        <w:widowControl/>
        <w:autoSpaceDE w:val="0"/>
        <w:autoSpaceDN w:val="0"/>
        <w:adjustRightInd w:val="0"/>
        <w:ind w:left="720"/>
        <w:rPr>
          <w:rFonts w:ascii="Times New Roman" w:hAnsi="Times New Roman"/>
        </w:rPr>
      </w:pPr>
    </w:p>
    <w:p w:rsidR="00061484" w:rsidP="00616737" w:rsidRDefault="00061484" w14:paraId="22D146FC" w14:textId="77777777">
      <w:pPr>
        <w:tabs>
          <w:tab w:val="left" w:pos="-1440"/>
        </w:tabs>
        <w:rPr>
          <w:rFonts w:ascii="Times New Roman" w:hAnsi="Times New Roman"/>
        </w:rPr>
      </w:pPr>
    </w:p>
    <w:p w:rsidR="00654FA9" w:rsidP="00654FA9" w:rsidRDefault="00654FA9" w14:paraId="06B7B27E" w14:textId="1CBD42C8">
      <w:pPr>
        <w:widowControl/>
        <w:autoSpaceDE w:val="0"/>
        <w:autoSpaceDN w:val="0"/>
        <w:adjustRightInd w:val="0"/>
        <w:rPr>
          <w:rFonts w:ascii="Times New Roman" w:hAnsi="Times New Roman"/>
        </w:rPr>
      </w:pPr>
      <w:r>
        <w:rPr>
          <w:rFonts w:ascii="Times New Roman" w:hAnsi="Times New Roman"/>
        </w:rPr>
        <w:t xml:space="preserve">With the exception of the public awareness </w:t>
      </w:r>
      <w:r w:rsidRPr="00B337EC">
        <w:rPr>
          <w:rFonts w:ascii="Times New Roman" w:hAnsi="Times New Roman"/>
        </w:rPr>
        <w:t>policy, the respondents for the information collection activities are the state environmental departments, and/or finance agencies responsible for operating the CWSRFs. The public awarenes</w:t>
      </w:r>
      <w:r w:rsidRPr="00B337EC" w:rsidR="005161E5">
        <w:rPr>
          <w:rFonts w:ascii="Times New Roman" w:hAnsi="Times New Roman"/>
        </w:rPr>
        <w:t>s policy directly impacts CWSRF</w:t>
      </w:r>
      <w:r w:rsidRPr="00B337EC">
        <w:rPr>
          <w:rFonts w:ascii="Times New Roman" w:hAnsi="Times New Roman"/>
        </w:rPr>
        <w:t xml:space="preserve"> borrowers that are designated as recipients of federal funds. The burden associated with</w:t>
      </w:r>
      <w:r w:rsidRPr="00B337EC" w:rsidR="000D1232">
        <w:rPr>
          <w:rFonts w:ascii="Times New Roman" w:hAnsi="Times New Roman"/>
        </w:rPr>
        <w:t xml:space="preserve"> the public awareness policy should not</w:t>
      </w:r>
      <w:r w:rsidRPr="00B337EC">
        <w:rPr>
          <w:rFonts w:ascii="Times New Roman" w:hAnsi="Times New Roman"/>
        </w:rPr>
        <w:t xml:space="preserve"> ha</w:t>
      </w:r>
      <w:r w:rsidRPr="00B337EC" w:rsidR="000D1232">
        <w:rPr>
          <w:rFonts w:ascii="Times New Roman" w:hAnsi="Times New Roman"/>
        </w:rPr>
        <w:t xml:space="preserve">ve an impact on small entities since </w:t>
      </w:r>
      <w:r w:rsidRPr="00B337EC">
        <w:rPr>
          <w:rFonts w:ascii="Times New Roman" w:hAnsi="Times New Roman"/>
        </w:rPr>
        <w:t>the CWSRFs have flexibility</w:t>
      </w:r>
      <w:r w:rsidRPr="00B337EC" w:rsidR="00700475">
        <w:rPr>
          <w:rFonts w:ascii="Times New Roman" w:hAnsi="Times New Roman"/>
        </w:rPr>
        <w:t xml:space="preserve"> in determining which borrowers</w:t>
      </w:r>
      <w:r w:rsidRPr="00B337EC">
        <w:rPr>
          <w:rFonts w:ascii="Times New Roman" w:hAnsi="Times New Roman"/>
        </w:rPr>
        <w:t xml:space="preserve"> must comply with this requirement.</w:t>
      </w:r>
    </w:p>
    <w:p w:rsidR="00D50F17" w:rsidP="00616737" w:rsidRDefault="00D50F17" w14:paraId="5CA028B9" w14:textId="77777777">
      <w:pPr>
        <w:tabs>
          <w:tab w:val="left" w:pos="-1440"/>
        </w:tabs>
        <w:rPr>
          <w:rFonts w:ascii="Times New Roman" w:hAnsi="Times New Roman"/>
        </w:rPr>
      </w:pPr>
    </w:p>
    <w:p w:rsidR="00412FDF" w:rsidP="00616737" w:rsidRDefault="00992CB9" w14:paraId="44410C0E" w14:textId="14ECF8F5">
      <w:pPr>
        <w:tabs>
          <w:tab w:val="left" w:pos="-1440"/>
        </w:tabs>
        <w:rPr>
          <w:rFonts w:ascii="Times New Roman" w:hAnsi="Times New Roman"/>
        </w:rPr>
      </w:pPr>
      <w:r w:rsidRPr="004250CD">
        <w:rPr>
          <w:rFonts w:ascii="Times New Roman" w:hAnsi="Times New Roman"/>
        </w:rPr>
        <w:lastRenderedPageBreak/>
        <w:t>C</w:t>
      </w:r>
      <w:r w:rsidRPr="004250CD" w:rsidR="00294053">
        <w:rPr>
          <w:rFonts w:ascii="Times New Roman" w:hAnsi="Times New Roman"/>
        </w:rPr>
        <w:t>ompared to</w:t>
      </w:r>
      <w:r w:rsidRPr="004250CD" w:rsidR="00061484">
        <w:rPr>
          <w:rFonts w:ascii="Times New Roman" w:hAnsi="Times New Roman"/>
        </w:rPr>
        <w:t xml:space="preserve"> the</w:t>
      </w:r>
      <w:r w:rsidRPr="004250CD" w:rsidR="00D50F17">
        <w:rPr>
          <w:rFonts w:ascii="Times New Roman" w:hAnsi="Times New Roman"/>
        </w:rPr>
        <w:t xml:space="preserve"> previously approved</w:t>
      </w:r>
      <w:r w:rsidRPr="004250CD" w:rsidR="00FE52BC">
        <w:rPr>
          <w:rFonts w:ascii="Times New Roman" w:hAnsi="Times New Roman"/>
        </w:rPr>
        <w:t xml:space="preserve"> </w:t>
      </w:r>
      <w:r w:rsidRPr="004250CD" w:rsidR="00061484">
        <w:rPr>
          <w:rFonts w:ascii="Times New Roman" w:hAnsi="Times New Roman"/>
        </w:rPr>
        <w:t>ICR</w:t>
      </w:r>
      <w:r w:rsidRPr="004250CD">
        <w:rPr>
          <w:rFonts w:ascii="Times New Roman" w:hAnsi="Times New Roman"/>
        </w:rPr>
        <w:t xml:space="preserve">, </w:t>
      </w:r>
      <w:r w:rsidRPr="004250CD" w:rsidR="00152B52">
        <w:rPr>
          <w:rFonts w:ascii="Times New Roman" w:hAnsi="Times New Roman"/>
        </w:rPr>
        <w:t xml:space="preserve">the </w:t>
      </w:r>
      <w:r w:rsidRPr="004250CD" w:rsidR="00D50F17">
        <w:rPr>
          <w:rFonts w:ascii="Times New Roman" w:hAnsi="Times New Roman"/>
        </w:rPr>
        <w:t xml:space="preserve">annual </w:t>
      </w:r>
      <w:r w:rsidRPr="004250CD" w:rsidR="00610D4F">
        <w:rPr>
          <w:rFonts w:ascii="Times New Roman" w:hAnsi="Times New Roman"/>
        </w:rPr>
        <w:t xml:space="preserve">hourly </w:t>
      </w:r>
      <w:r w:rsidRPr="004250CD" w:rsidR="00D25FD8">
        <w:rPr>
          <w:rFonts w:ascii="Times New Roman" w:hAnsi="Times New Roman"/>
        </w:rPr>
        <w:t>and</w:t>
      </w:r>
      <w:r w:rsidRPr="004250CD" w:rsidR="002B605A">
        <w:rPr>
          <w:rFonts w:ascii="Times New Roman" w:hAnsi="Times New Roman"/>
        </w:rPr>
        <w:t xml:space="preserve"> </w:t>
      </w:r>
      <w:r w:rsidRPr="004250CD" w:rsidR="00D25FD8">
        <w:rPr>
          <w:rFonts w:ascii="Times New Roman" w:hAnsi="Times New Roman"/>
        </w:rPr>
        <w:t>cost burden</w:t>
      </w:r>
      <w:r w:rsidRPr="004250CD" w:rsidR="002B605A">
        <w:rPr>
          <w:rFonts w:ascii="Times New Roman" w:hAnsi="Times New Roman"/>
        </w:rPr>
        <w:t>s</w:t>
      </w:r>
      <w:r w:rsidRPr="004250CD" w:rsidR="00D25FD8">
        <w:rPr>
          <w:rFonts w:ascii="Times New Roman" w:hAnsi="Times New Roman"/>
        </w:rPr>
        <w:t xml:space="preserve"> ha</w:t>
      </w:r>
      <w:r w:rsidRPr="004250CD" w:rsidR="002B605A">
        <w:rPr>
          <w:rFonts w:ascii="Times New Roman" w:hAnsi="Times New Roman"/>
        </w:rPr>
        <w:t>ve</w:t>
      </w:r>
      <w:r w:rsidRPr="004250CD" w:rsidR="00D25FD8">
        <w:rPr>
          <w:rFonts w:ascii="Times New Roman" w:hAnsi="Times New Roman"/>
        </w:rPr>
        <w:t xml:space="preserve"> been </w:t>
      </w:r>
      <w:r w:rsidRPr="004250CD" w:rsidR="000B34AC">
        <w:rPr>
          <w:rFonts w:ascii="Times New Roman" w:hAnsi="Times New Roman"/>
        </w:rPr>
        <w:t>decreased</w:t>
      </w:r>
      <w:r w:rsidRPr="004250CD" w:rsidR="00D25FD8">
        <w:rPr>
          <w:rFonts w:ascii="Times New Roman" w:hAnsi="Times New Roman"/>
        </w:rPr>
        <w:t xml:space="preserve"> by </w:t>
      </w:r>
      <w:r w:rsidRPr="004250CD" w:rsidR="00A04FBF">
        <w:rPr>
          <w:rFonts w:ascii="Times New Roman" w:hAnsi="Times New Roman"/>
        </w:rPr>
        <w:t>530</w:t>
      </w:r>
      <w:r w:rsidRPr="004250CD" w:rsidR="00610D4F">
        <w:rPr>
          <w:rFonts w:ascii="Times New Roman" w:hAnsi="Times New Roman"/>
        </w:rPr>
        <w:t>,</w:t>
      </w:r>
      <w:r w:rsidRPr="004250CD" w:rsidR="00A04FBF">
        <w:rPr>
          <w:rFonts w:ascii="Times New Roman" w:hAnsi="Times New Roman"/>
        </w:rPr>
        <w:t>156</w:t>
      </w:r>
      <w:r w:rsidRPr="004250CD" w:rsidR="00610D4F">
        <w:rPr>
          <w:rFonts w:ascii="Times New Roman" w:hAnsi="Times New Roman"/>
        </w:rPr>
        <w:t xml:space="preserve"> hours and $</w:t>
      </w:r>
      <w:r w:rsidRPr="004250CD" w:rsidR="00A04FBF">
        <w:rPr>
          <w:rFonts w:ascii="Times New Roman" w:hAnsi="Times New Roman"/>
        </w:rPr>
        <w:t>24,</w:t>
      </w:r>
      <w:r w:rsidRPr="004250CD" w:rsidR="004250CD">
        <w:rPr>
          <w:rFonts w:ascii="Times New Roman" w:hAnsi="Times New Roman"/>
        </w:rPr>
        <w:t>102</w:t>
      </w:r>
      <w:r w:rsidRPr="004250CD" w:rsidR="00A04FBF">
        <w:rPr>
          <w:rFonts w:ascii="Times New Roman" w:hAnsi="Times New Roman"/>
        </w:rPr>
        <w:t>,</w:t>
      </w:r>
      <w:r w:rsidRPr="004250CD" w:rsidR="004250CD">
        <w:rPr>
          <w:rFonts w:ascii="Times New Roman" w:hAnsi="Times New Roman"/>
        </w:rPr>
        <w:t>575</w:t>
      </w:r>
      <w:r w:rsidRPr="004250CD" w:rsidR="00610D4F">
        <w:rPr>
          <w:rFonts w:ascii="Times New Roman" w:hAnsi="Times New Roman"/>
        </w:rPr>
        <w:t xml:space="preserve"> respectively.</w:t>
      </w:r>
      <w:r w:rsidRPr="004250CD" w:rsidR="00A04FBF">
        <w:rPr>
          <w:rFonts w:ascii="Times New Roman" w:hAnsi="Times New Roman"/>
        </w:rPr>
        <w:t xml:space="preserve"> Th</w:t>
      </w:r>
      <w:r w:rsidRPr="004250CD" w:rsidR="00460151">
        <w:rPr>
          <w:rFonts w:ascii="Times New Roman" w:hAnsi="Times New Roman"/>
        </w:rPr>
        <w:t>is</w:t>
      </w:r>
      <w:r w:rsidRPr="004250CD" w:rsidR="00A04FBF">
        <w:rPr>
          <w:rFonts w:ascii="Times New Roman" w:hAnsi="Times New Roman"/>
        </w:rPr>
        <w:t xml:space="preserve"> large reduction </w:t>
      </w:r>
      <w:r w:rsidR="00367979">
        <w:rPr>
          <w:rFonts w:ascii="Times New Roman" w:hAnsi="Times New Roman"/>
        </w:rPr>
        <w:t xml:space="preserve">is in response to </w:t>
      </w:r>
      <w:r w:rsidR="007F648A">
        <w:rPr>
          <w:rFonts w:ascii="Times New Roman" w:hAnsi="Times New Roman"/>
        </w:rPr>
        <w:t xml:space="preserve">additional </w:t>
      </w:r>
      <w:r w:rsidR="00367979">
        <w:rPr>
          <w:rFonts w:ascii="Times New Roman" w:hAnsi="Times New Roman"/>
        </w:rPr>
        <w:t>Office of Management and Budget guidance</w:t>
      </w:r>
      <w:r w:rsidR="007F648A">
        <w:rPr>
          <w:rFonts w:ascii="Times New Roman" w:hAnsi="Times New Roman"/>
        </w:rPr>
        <w:t xml:space="preserve">, </w:t>
      </w:r>
      <w:r w:rsidR="00367979">
        <w:rPr>
          <w:rFonts w:ascii="Times New Roman" w:hAnsi="Times New Roman"/>
        </w:rPr>
        <w:t>recommend</w:t>
      </w:r>
      <w:r w:rsidR="007F648A">
        <w:rPr>
          <w:rFonts w:ascii="Times New Roman" w:hAnsi="Times New Roman"/>
        </w:rPr>
        <w:t>ing</w:t>
      </w:r>
      <w:r w:rsidR="00367979">
        <w:rPr>
          <w:rFonts w:ascii="Times New Roman" w:hAnsi="Times New Roman"/>
        </w:rPr>
        <w:t xml:space="preserve"> </w:t>
      </w:r>
      <w:r w:rsidR="000A433D">
        <w:rPr>
          <w:rFonts w:ascii="Times New Roman" w:hAnsi="Times New Roman"/>
        </w:rPr>
        <w:t xml:space="preserve">that </w:t>
      </w:r>
      <w:r w:rsidR="00367979">
        <w:rPr>
          <w:rFonts w:ascii="Times New Roman" w:hAnsi="Times New Roman"/>
        </w:rPr>
        <w:t xml:space="preserve">the </w:t>
      </w:r>
      <w:r w:rsidR="000A433D">
        <w:rPr>
          <w:rFonts w:ascii="Times New Roman" w:hAnsi="Times New Roman"/>
        </w:rPr>
        <w:t xml:space="preserve">burden associated with the </w:t>
      </w:r>
      <w:r w:rsidR="00367979">
        <w:rPr>
          <w:rFonts w:ascii="Times New Roman" w:hAnsi="Times New Roman"/>
        </w:rPr>
        <w:t>CWSRF applications</w:t>
      </w:r>
      <w:r w:rsidR="000A433D">
        <w:rPr>
          <w:rFonts w:ascii="Times New Roman" w:hAnsi="Times New Roman"/>
        </w:rPr>
        <w:t xml:space="preserve"> be removed as part of this ICR renewal. </w:t>
      </w:r>
      <w:r w:rsidR="0075721E">
        <w:rPr>
          <w:rFonts w:ascii="Times New Roman" w:hAnsi="Times New Roman"/>
        </w:rPr>
        <w:t>Specifically,</w:t>
      </w:r>
      <w:r w:rsidRPr="004250CD" w:rsidR="00A04FBF">
        <w:rPr>
          <w:rFonts w:ascii="Times New Roman" w:hAnsi="Times New Roman"/>
        </w:rPr>
        <w:t xml:space="preserve"> the Office of Management and Budget</w:t>
      </w:r>
      <w:r w:rsidR="0075721E">
        <w:rPr>
          <w:rFonts w:ascii="Times New Roman" w:hAnsi="Times New Roman"/>
        </w:rPr>
        <w:t xml:space="preserve"> noted that it was appropriate to exclude</w:t>
      </w:r>
      <w:r w:rsidR="004A5F4E">
        <w:rPr>
          <w:rFonts w:ascii="Times New Roman" w:hAnsi="Times New Roman"/>
        </w:rPr>
        <w:t xml:space="preserve"> this </w:t>
      </w:r>
      <w:r w:rsidR="0075721E">
        <w:rPr>
          <w:rFonts w:ascii="Times New Roman" w:hAnsi="Times New Roman"/>
        </w:rPr>
        <w:t xml:space="preserve">burden since </w:t>
      </w:r>
      <w:r w:rsidRPr="004250CD" w:rsidR="001F149F">
        <w:rPr>
          <w:rFonts w:ascii="Times New Roman" w:hAnsi="Times New Roman"/>
        </w:rPr>
        <w:t>1):</w:t>
      </w:r>
      <w:r w:rsidRPr="004250CD" w:rsidR="005D65BE">
        <w:rPr>
          <w:rFonts w:ascii="Times New Roman" w:hAnsi="Times New Roman"/>
        </w:rPr>
        <w:t xml:space="preserve"> </w:t>
      </w:r>
      <w:r w:rsidRPr="004250CD" w:rsidR="00A04FBF">
        <w:rPr>
          <w:rFonts w:ascii="Times New Roman" w:hAnsi="Times New Roman"/>
        </w:rPr>
        <w:t>states have a significant degree of discretion in what information they solicit through th</w:t>
      </w:r>
      <w:r w:rsidR="0075721E">
        <w:rPr>
          <w:rFonts w:ascii="Times New Roman" w:hAnsi="Times New Roman"/>
        </w:rPr>
        <w:t xml:space="preserve">e </w:t>
      </w:r>
      <w:r w:rsidR="004A5F4E">
        <w:rPr>
          <w:rFonts w:ascii="Times New Roman" w:hAnsi="Times New Roman"/>
        </w:rPr>
        <w:t xml:space="preserve">CWSRF </w:t>
      </w:r>
      <w:r w:rsidR="0075721E">
        <w:rPr>
          <w:rFonts w:ascii="Times New Roman" w:hAnsi="Times New Roman"/>
        </w:rPr>
        <w:t>applications</w:t>
      </w:r>
      <w:r w:rsidRPr="004250CD" w:rsidR="001F149F">
        <w:rPr>
          <w:rFonts w:ascii="Times New Roman" w:hAnsi="Times New Roman"/>
        </w:rPr>
        <w:t xml:space="preserve"> and 2): </w:t>
      </w:r>
      <w:r w:rsidRPr="004250CD" w:rsidR="002C5614">
        <w:rPr>
          <w:rFonts w:ascii="Times New Roman" w:hAnsi="Times New Roman"/>
        </w:rPr>
        <w:t>CWSRF application</w:t>
      </w:r>
      <w:r w:rsidR="005E4D0C">
        <w:rPr>
          <w:rFonts w:ascii="Times New Roman" w:hAnsi="Times New Roman"/>
        </w:rPr>
        <w:t>s</w:t>
      </w:r>
      <w:r w:rsidRPr="004250CD" w:rsidR="002C5614">
        <w:rPr>
          <w:rFonts w:ascii="Times New Roman" w:hAnsi="Times New Roman"/>
        </w:rPr>
        <w:t xml:space="preserve"> </w:t>
      </w:r>
      <w:r w:rsidRPr="004250CD" w:rsidR="005D65BE">
        <w:rPr>
          <w:rFonts w:ascii="Times New Roman" w:hAnsi="Times New Roman"/>
        </w:rPr>
        <w:t>are not subject to EPA</w:t>
      </w:r>
      <w:r w:rsidR="0075721E">
        <w:rPr>
          <w:rFonts w:ascii="Times New Roman" w:hAnsi="Times New Roman"/>
        </w:rPr>
        <w:t xml:space="preserve"> </w:t>
      </w:r>
      <w:r w:rsidRPr="004250CD" w:rsidR="005D65BE">
        <w:rPr>
          <w:rFonts w:ascii="Times New Roman" w:hAnsi="Times New Roman"/>
        </w:rPr>
        <w:t>approval</w:t>
      </w:r>
      <w:r w:rsidRPr="004250CD" w:rsidR="00A04FBF">
        <w:rPr>
          <w:rFonts w:ascii="Times New Roman" w:hAnsi="Times New Roman"/>
        </w:rPr>
        <w:t xml:space="preserve">. </w:t>
      </w:r>
      <w:r w:rsidRPr="004250CD" w:rsidR="0031272A">
        <w:rPr>
          <w:rFonts w:ascii="Times New Roman" w:hAnsi="Times New Roman"/>
        </w:rPr>
        <w:t>Additional information regarding the burden adjustments is provided in Section 15 of this supporting statement</w:t>
      </w:r>
      <w:r w:rsidRPr="004250CD" w:rsidR="00D46D7A">
        <w:rPr>
          <w:rFonts w:ascii="Times New Roman" w:hAnsi="Times New Roman"/>
        </w:rPr>
        <w:t>.</w:t>
      </w:r>
    </w:p>
    <w:p w:rsidR="00A04FBF" w:rsidP="006D5E67" w:rsidRDefault="00A04FBF" w14:paraId="444E1C08" w14:textId="77777777">
      <w:pPr>
        <w:widowControl/>
        <w:spacing w:after="160" w:line="259" w:lineRule="auto"/>
        <w:rPr>
          <w:rFonts w:ascii="Times New Roman" w:hAnsi="Times New Roman"/>
          <w:b/>
        </w:rPr>
      </w:pPr>
    </w:p>
    <w:p w:rsidRPr="00997932" w:rsidR="005D28E2" w:rsidP="005D28E2" w:rsidRDefault="00616737" w14:paraId="136AFCE3" w14:textId="77777777">
      <w:pPr>
        <w:tabs>
          <w:tab w:val="left" w:pos="-1440"/>
        </w:tabs>
        <w:rPr>
          <w:rFonts w:ascii="Times New Roman" w:hAnsi="Times New Roman"/>
          <w:b/>
          <w:szCs w:val="24"/>
        </w:rPr>
      </w:pPr>
      <w:r w:rsidRPr="00997932">
        <w:rPr>
          <w:rFonts w:ascii="Times New Roman" w:hAnsi="Times New Roman"/>
          <w:b/>
          <w:szCs w:val="24"/>
        </w:rPr>
        <w:t xml:space="preserve">1.2 Explain the circumstances that make the collection of information necessary. Identify any legal or administrative requirements that necessitate the collection. </w:t>
      </w:r>
    </w:p>
    <w:p w:rsidR="005D28E2" w:rsidP="00862E16" w:rsidRDefault="005D28E2" w14:paraId="0A743EA0" w14:textId="77777777">
      <w:pPr>
        <w:rPr>
          <w:rFonts w:ascii="Times New Roman" w:hAnsi="Times New Roman"/>
        </w:rPr>
      </w:pPr>
    </w:p>
    <w:p w:rsidR="007C3DFB" w:rsidP="00491A9B" w:rsidRDefault="00865F94" w14:paraId="0F06B143" w14:textId="4504D43F">
      <w:pPr>
        <w:widowControl/>
        <w:autoSpaceDE w:val="0"/>
        <w:autoSpaceDN w:val="0"/>
        <w:adjustRightInd w:val="0"/>
        <w:rPr>
          <w:rFonts w:ascii="Times New Roman" w:hAnsi="Times New Roman"/>
        </w:rPr>
      </w:pPr>
      <w:r>
        <w:rPr>
          <w:rFonts w:ascii="Times New Roman" w:hAnsi="Times New Roman"/>
        </w:rPr>
        <w:t xml:space="preserve">Title VI of the </w:t>
      </w:r>
      <w:r w:rsidR="006E6B1F">
        <w:rPr>
          <w:rFonts w:ascii="Times New Roman" w:hAnsi="Times New Roman"/>
        </w:rPr>
        <w:t>CWA</w:t>
      </w:r>
      <w:r w:rsidR="007F2CE0">
        <w:rPr>
          <w:rFonts w:ascii="Times New Roman" w:hAnsi="Times New Roman"/>
        </w:rPr>
        <w:t xml:space="preserve"> provides the statutory </w:t>
      </w:r>
      <w:r w:rsidR="008624CA">
        <w:rPr>
          <w:rFonts w:ascii="Times New Roman" w:hAnsi="Times New Roman"/>
        </w:rPr>
        <w:t>basis for having a</w:t>
      </w:r>
      <w:r w:rsidR="00EA0FD5">
        <w:rPr>
          <w:rFonts w:ascii="Times New Roman" w:hAnsi="Times New Roman"/>
        </w:rPr>
        <w:t xml:space="preserve"> CWSRF </w:t>
      </w:r>
      <w:r w:rsidR="007F2CE0">
        <w:rPr>
          <w:rFonts w:ascii="Times New Roman" w:hAnsi="Times New Roman"/>
        </w:rPr>
        <w:t xml:space="preserve">prepare and </w:t>
      </w:r>
      <w:r w:rsidR="00EA0FD5">
        <w:rPr>
          <w:rFonts w:ascii="Times New Roman" w:hAnsi="Times New Roman"/>
        </w:rPr>
        <w:t>submit</w:t>
      </w:r>
      <w:r w:rsidR="008624CA">
        <w:rPr>
          <w:rFonts w:ascii="Times New Roman" w:hAnsi="Times New Roman"/>
        </w:rPr>
        <w:t xml:space="preserve"> a</w:t>
      </w:r>
      <w:r w:rsidR="00306107">
        <w:rPr>
          <w:rFonts w:ascii="Times New Roman" w:hAnsi="Times New Roman"/>
        </w:rPr>
        <w:t xml:space="preserve"> </w:t>
      </w:r>
      <w:r w:rsidR="00EA0FD5">
        <w:rPr>
          <w:rFonts w:ascii="Times New Roman" w:hAnsi="Times New Roman"/>
        </w:rPr>
        <w:t>c</w:t>
      </w:r>
      <w:r w:rsidR="00306107">
        <w:rPr>
          <w:rFonts w:ascii="Times New Roman" w:hAnsi="Times New Roman"/>
        </w:rPr>
        <w:t xml:space="preserve">apitalization </w:t>
      </w:r>
      <w:r w:rsidR="00EA0FD5">
        <w:rPr>
          <w:rFonts w:ascii="Times New Roman" w:hAnsi="Times New Roman"/>
        </w:rPr>
        <w:t>grant a</w:t>
      </w:r>
      <w:r w:rsidR="00E61668">
        <w:rPr>
          <w:rFonts w:ascii="Times New Roman" w:hAnsi="Times New Roman"/>
        </w:rPr>
        <w:t xml:space="preserve">greement, </w:t>
      </w:r>
      <w:r w:rsidR="00EA0FD5">
        <w:rPr>
          <w:rFonts w:ascii="Times New Roman" w:hAnsi="Times New Roman"/>
        </w:rPr>
        <w:t>intended use plan, annual report, and annual a</w:t>
      </w:r>
      <w:r w:rsidR="00306107">
        <w:rPr>
          <w:rFonts w:ascii="Times New Roman" w:hAnsi="Times New Roman"/>
        </w:rPr>
        <w:t>udit</w:t>
      </w:r>
      <w:r w:rsidR="00190513">
        <w:rPr>
          <w:rFonts w:ascii="Times New Roman" w:hAnsi="Times New Roman"/>
        </w:rPr>
        <w:t xml:space="preserve">. </w:t>
      </w:r>
      <w:r w:rsidR="00A775A8">
        <w:rPr>
          <w:rFonts w:ascii="Times New Roman" w:hAnsi="Times New Roman"/>
        </w:rPr>
        <w:t>EPA also requires that the CWSRFs periodically enter program and project level information into CWNIMS and CBR databases. These datab</w:t>
      </w:r>
      <w:r w:rsidR="006B396F">
        <w:rPr>
          <w:rFonts w:ascii="Times New Roman" w:hAnsi="Times New Roman"/>
        </w:rPr>
        <w:t xml:space="preserve">ases </w:t>
      </w:r>
      <w:r w:rsidR="00A775A8">
        <w:rPr>
          <w:rFonts w:ascii="Times New Roman" w:hAnsi="Times New Roman"/>
        </w:rPr>
        <w:t xml:space="preserve">provide EPA with </w:t>
      </w:r>
      <w:r w:rsidR="00FE52BC">
        <w:rPr>
          <w:rFonts w:ascii="Times New Roman" w:hAnsi="Times New Roman"/>
        </w:rPr>
        <w:t xml:space="preserve">the </w:t>
      </w:r>
      <w:r w:rsidR="00A775A8">
        <w:rPr>
          <w:rFonts w:ascii="Times New Roman" w:hAnsi="Times New Roman"/>
        </w:rPr>
        <w:t xml:space="preserve">information needed to effectively evaluate the performance of the CWSRFs and to ensure compliance with statutory and other </w:t>
      </w:r>
      <w:r w:rsidR="00592A3F">
        <w:rPr>
          <w:rFonts w:ascii="Times New Roman" w:hAnsi="Times New Roman"/>
        </w:rPr>
        <w:t xml:space="preserve">federal requirements. </w:t>
      </w:r>
    </w:p>
    <w:p w:rsidR="007C3DFB" w:rsidP="00491A9B" w:rsidRDefault="007C3DFB" w14:paraId="1E34280F" w14:textId="77777777">
      <w:pPr>
        <w:widowControl/>
        <w:autoSpaceDE w:val="0"/>
        <w:autoSpaceDN w:val="0"/>
        <w:adjustRightInd w:val="0"/>
        <w:rPr>
          <w:rFonts w:ascii="Times New Roman" w:hAnsi="Times New Roman"/>
        </w:rPr>
      </w:pPr>
    </w:p>
    <w:p w:rsidRPr="000D13BB" w:rsidR="00753AB1" w:rsidP="00045838" w:rsidRDefault="00045838" w14:paraId="40FF98E9" w14:textId="15397FBB">
      <w:pPr>
        <w:rPr>
          <w:rFonts w:ascii="Times New Roman" w:hAnsi="Times New Roman"/>
        </w:rPr>
      </w:pPr>
      <w:r>
        <w:rPr>
          <w:rFonts w:ascii="Times New Roman" w:hAnsi="Times New Roman"/>
        </w:rPr>
        <w:t>Prior to awarding a capitalization grant,</w:t>
      </w:r>
      <w:r w:rsidR="00485F33">
        <w:rPr>
          <w:rFonts w:ascii="Times New Roman" w:hAnsi="Times New Roman"/>
        </w:rPr>
        <w:t xml:space="preserve"> </w:t>
      </w:r>
      <w:r>
        <w:rPr>
          <w:rFonts w:ascii="Times New Roman" w:hAnsi="Times New Roman"/>
        </w:rPr>
        <w:t>EPA must have su</w:t>
      </w:r>
      <w:r w:rsidR="006B396F">
        <w:rPr>
          <w:rFonts w:ascii="Times New Roman" w:hAnsi="Times New Roman"/>
        </w:rPr>
        <w:t>fficient assurances that a CWSRF</w:t>
      </w:r>
      <w:r>
        <w:rPr>
          <w:rFonts w:ascii="Times New Roman" w:hAnsi="Times New Roman"/>
        </w:rPr>
        <w:t xml:space="preserve"> will </w:t>
      </w:r>
      <w:r w:rsidR="006B396F">
        <w:rPr>
          <w:rFonts w:ascii="Times New Roman" w:hAnsi="Times New Roman"/>
        </w:rPr>
        <w:t xml:space="preserve">be </w:t>
      </w:r>
      <w:r>
        <w:rPr>
          <w:rFonts w:ascii="Times New Roman" w:hAnsi="Times New Roman"/>
        </w:rPr>
        <w:t>manage</w:t>
      </w:r>
      <w:r w:rsidR="006B396F">
        <w:rPr>
          <w:rFonts w:ascii="Times New Roman" w:hAnsi="Times New Roman"/>
        </w:rPr>
        <w:t xml:space="preserve">d </w:t>
      </w:r>
      <w:r w:rsidR="00DF6E71">
        <w:rPr>
          <w:rFonts w:ascii="Times New Roman" w:hAnsi="Times New Roman"/>
        </w:rPr>
        <w:t xml:space="preserve">in compliance with </w:t>
      </w:r>
      <w:r>
        <w:rPr>
          <w:rFonts w:ascii="Times New Roman" w:hAnsi="Times New Roman"/>
        </w:rPr>
        <w:t>the</w:t>
      </w:r>
      <w:r w:rsidR="003948D5">
        <w:rPr>
          <w:rFonts w:ascii="Times New Roman" w:hAnsi="Times New Roman"/>
        </w:rPr>
        <w:t xml:space="preserve"> CWA. To</w:t>
      </w:r>
      <w:r w:rsidR="004A047A">
        <w:rPr>
          <w:rFonts w:ascii="Times New Roman" w:hAnsi="Times New Roman"/>
        </w:rPr>
        <w:t xml:space="preserve"> ensure that EPA receives these</w:t>
      </w:r>
      <w:r w:rsidR="003948D5">
        <w:rPr>
          <w:rFonts w:ascii="Times New Roman" w:hAnsi="Times New Roman"/>
        </w:rPr>
        <w:t xml:space="preserve"> assurances</w:t>
      </w:r>
      <w:r>
        <w:rPr>
          <w:rFonts w:ascii="Times New Roman" w:hAnsi="Times New Roman"/>
        </w:rPr>
        <w:t xml:space="preserve">, the CWA </w:t>
      </w:r>
      <w:r w:rsidR="00997932">
        <w:rPr>
          <w:rFonts w:ascii="Times New Roman" w:hAnsi="Times New Roman"/>
        </w:rPr>
        <w:t xml:space="preserve">provides specific instructions to the state for developing and submitting the </w:t>
      </w:r>
      <w:r w:rsidR="003948D5">
        <w:rPr>
          <w:rFonts w:ascii="Times New Roman" w:hAnsi="Times New Roman"/>
        </w:rPr>
        <w:t>capitalization grant agreement</w:t>
      </w:r>
      <w:r w:rsidR="00D01A86">
        <w:rPr>
          <w:rFonts w:ascii="Times New Roman" w:hAnsi="Times New Roman"/>
        </w:rPr>
        <w:t>. The contents of the capitalization grant agreement are governed by Section 6</w:t>
      </w:r>
      <w:r w:rsidR="005F446C">
        <w:rPr>
          <w:rFonts w:ascii="Times New Roman" w:hAnsi="Times New Roman"/>
        </w:rPr>
        <w:t>02, which lists the assurances and certifications</w:t>
      </w:r>
      <w:r w:rsidR="006B396F">
        <w:rPr>
          <w:rFonts w:ascii="Times New Roman" w:hAnsi="Times New Roman"/>
        </w:rPr>
        <w:t xml:space="preserve"> a CWSRF</w:t>
      </w:r>
      <w:r w:rsidR="005F446C">
        <w:rPr>
          <w:rFonts w:ascii="Times New Roman" w:hAnsi="Times New Roman"/>
        </w:rPr>
        <w:t xml:space="preserve"> must provide</w:t>
      </w:r>
      <w:r w:rsidR="00C3254D">
        <w:rPr>
          <w:rFonts w:ascii="Times New Roman" w:hAnsi="Times New Roman"/>
        </w:rPr>
        <w:t xml:space="preserve"> to</w:t>
      </w:r>
      <w:r w:rsidR="005F446C">
        <w:rPr>
          <w:rFonts w:ascii="Times New Roman" w:hAnsi="Times New Roman"/>
        </w:rPr>
        <w:t xml:space="preserve"> EPA</w:t>
      </w:r>
      <w:r w:rsidR="00D01A86">
        <w:rPr>
          <w:rFonts w:ascii="Times New Roman" w:hAnsi="Times New Roman"/>
        </w:rPr>
        <w:t>. As part of the capitalizatio</w:t>
      </w:r>
      <w:r w:rsidR="00E400B2">
        <w:rPr>
          <w:rFonts w:ascii="Times New Roman" w:hAnsi="Times New Roman"/>
        </w:rPr>
        <w:t xml:space="preserve">n grant agreement, a state must </w:t>
      </w:r>
      <w:r w:rsidR="00F8594A">
        <w:rPr>
          <w:rFonts w:ascii="Times New Roman" w:hAnsi="Times New Roman"/>
        </w:rPr>
        <w:t>submit</w:t>
      </w:r>
      <w:r w:rsidR="00D01A86">
        <w:rPr>
          <w:rFonts w:ascii="Times New Roman" w:hAnsi="Times New Roman"/>
        </w:rPr>
        <w:t xml:space="preserve"> an in</w:t>
      </w:r>
      <w:r w:rsidR="00E400B2">
        <w:rPr>
          <w:rFonts w:ascii="Times New Roman" w:hAnsi="Times New Roman"/>
        </w:rPr>
        <w:t xml:space="preserve">tended use plan that is developed in accordance with </w:t>
      </w:r>
      <w:r w:rsidR="0008422A">
        <w:rPr>
          <w:rFonts w:ascii="Times New Roman" w:hAnsi="Times New Roman"/>
        </w:rPr>
        <w:t>Section 606(c). In addition to mandating the minimum level of information that must</w:t>
      </w:r>
      <w:r w:rsidR="00F8594A">
        <w:rPr>
          <w:rFonts w:ascii="Times New Roman" w:hAnsi="Times New Roman"/>
        </w:rPr>
        <w:t xml:space="preserve"> be included in the intended use plan</w:t>
      </w:r>
      <w:r w:rsidR="00C25077">
        <w:rPr>
          <w:rFonts w:ascii="Times New Roman" w:hAnsi="Times New Roman"/>
        </w:rPr>
        <w:t>, S</w:t>
      </w:r>
      <w:r w:rsidR="0008422A">
        <w:rPr>
          <w:rFonts w:ascii="Times New Roman" w:hAnsi="Times New Roman"/>
        </w:rPr>
        <w:t>ection 606(c) also require</w:t>
      </w:r>
      <w:r w:rsidR="00AD316A">
        <w:rPr>
          <w:rFonts w:ascii="Times New Roman" w:hAnsi="Times New Roman"/>
        </w:rPr>
        <w:t>s that a CWSRF</w:t>
      </w:r>
      <w:r w:rsidR="00F8594A">
        <w:rPr>
          <w:rFonts w:ascii="Times New Roman" w:hAnsi="Times New Roman"/>
        </w:rPr>
        <w:t xml:space="preserve"> provide</w:t>
      </w:r>
      <w:r w:rsidR="0008422A">
        <w:rPr>
          <w:rFonts w:ascii="Times New Roman" w:hAnsi="Times New Roman"/>
        </w:rPr>
        <w:t xml:space="preserve"> an op</w:t>
      </w:r>
      <w:r w:rsidR="00AD316A">
        <w:rPr>
          <w:rFonts w:ascii="Times New Roman" w:hAnsi="Times New Roman"/>
        </w:rPr>
        <w:t xml:space="preserve">portunity for public </w:t>
      </w:r>
      <w:r w:rsidR="0008422A">
        <w:rPr>
          <w:rFonts w:ascii="Times New Roman" w:hAnsi="Times New Roman"/>
        </w:rPr>
        <w:t>comment</w:t>
      </w:r>
      <w:r w:rsidR="00F8594A">
        <w:rPr>
          <w:rFonts w:ascii="Times New Roman" w:hAnsi="Times New Roman"/>
        </w:rPr>
        <w:t xml:space="preserve"> before the plan can be submitted</w:t>
      </w:r>
      <w:r w:rsidR="00915376">
        <w:rPr>
          <w:rFonts w:ascii="Times New Roman" w:hAnsi="Times New Roman"/>
        </w:rPr>
        <w:t xml:space="preserve"> to EPA</w:t>
      </w:r>
      <w:r w:rsidR="005E45C4">
        <w:rPr>
          <w:rFonts w:ascii="Times New Roman" w:hAnsi="Times New Roman"/>
        </w:rPr>
        <w:t xml:space="preserve"> for review. The intended us</w:t>
      </w:r>
      <w:r w:rsidR="00AD316A">
        <w:rPr>
          <w:rFonts w:ascii="Times New Roman" w:hAnsi="Times New Roman"/>
        </w:rPr>
        <w:t>e plan must also reflect how a</w:t>
      </w:r>
      <w:r w:rsidR="005E45C4">
        <w:rPr>
          <w:rFonts w:ascii="Times New Roman" w:hAnsi="Times New Roman"/>
        </w:rPr>
        <w:t xml:space="preserve"> CWSRF will comply with other federal requirements. These federal requirements are usually included in annual appropriation acts. Two major requirements</w:t>
      </w:r>
      <w:r w:rsidR="001A47BD">
        <w:rPr>
          <w:rFonts w:ascii="Times New Roman" w:hAnsi="Times New Roman"/>
        </w:rPr>
        <w:t xml:space="preserve"> that have accompanied annual appropriations</w:t>
      </w:r>
      <w:r w:rsidR="005E45C4">
        <w:rPr>
          <w:rFonts w:ascii="Times New Roman" w:hAnsi="Times New Roman"/>
        </w:rPr>
        <w:t xml:space="preserve"> involve the use of additional subsidization and the funding of the p</w:t>
      </w:r>
      <w:r w:rsidR="00002B32">
        <w:rPr>
          <w:rFonts w:ascii="Times New Roman" w:hAnsi="Times New Roman"/>
        </w:rPr>
        <w:t>rojects that promote such activities</w:t>
      </w:r>
      <w:r w:rsidR="005E45C4">
        <w:rPr>
          <w:rFonts w:ascii="Times New Roman" w:hAnsi="Times New Roman"/>
        </w:rPr>
        <w:t xml:space="preserve"> as green infrastructure and water and energy efficiency</w:t>
      </w:r>
      <w:r w:rsidR="004A047A">
        <w:rPr>
          <w:rFonts w:ascii="Times New Roman" w:hAnsi="Times New Roman"/>
        </w:rPr>
        <w:t xml:space="preserve"> improvements</w:t>
      </w:r>
      <w:r w:rsidR="005E45C4">
        <w:rPr>
          <w:rFonts w:ascii="Times New Roman" w:hAnsi="Times New Roman"/>
        </w:rPr>
        <w:t>.</w:t>
      </w:r>
      <w:r w:rsidR="001A47BD">
        <w:rPr>
          <w:rStyle w:val="FootnoteReference"/>
          <w:rFonts w:ascii="Times New Roman" w:hAnsi="Times New Roman"/>
        </w:rPr>
        <w:footnoteReference w:id="1"/>
      </w:r>
      <w:r w:rsidR="005E45C4">
        <w:rPr>
          <w:rFonts w:ascii="Times New Roman" w:hAnsi="Times New Roman"/>
        </w:rPr>
        <w:t xml:space="preserve">  </w:t>
      </w:r>
    </w:p>
    <w:p w:rsidR="00021E07" w:rsidP="00862E16" w:rsidRDefault="00021E07" w14:paraId="289A0241" w14:textId="77777777">
      <w:pPr>
        <w:rPr>
          <w:rFonts w:ascii="Times New Roman" w:hAnsi="Times New Roman"/>
        </w:rPr>
      </w:pPr>
    </w:p>
    <w:p w:rsidR="00B94954" w:rsidP="00F56F8F" w:rsidRDefault="00B9264C" w14:paraId="375548C3" w14:textId="723033F3">
      <w:pPr>
        <w:pStyle w:val="NoSpacing"/>
        <w:rPr>
          <w:rFonts w:ascii="Times New Roman" w:hAnsi="Times New Roman" w:cs="Times New Roman"/>
          <w:sz w:val="24"/>
          <w:szCs w:val="24"/>
        </w:rPr>
      </w:pPr>
      <w:r>
        <w:rPr>
          <w:rFonts w:ascii="Times New Roman" w:hAnsi="Times New Roman" w:cs="Times New Roman"/>
          <w:sz w:val="24"/>
          <w:szCs w:val="24"/>
        </w:rPr>
        <w:t xml:space="preserve">To </w:t>
      </w:r>
      <w:r w:rsidR="00C16A8E">
        <w:rPr>
          <w:rFonts w:ascii="Times New Roman" w:hAnsi="Times New Roman" w:cs="Times New Roman"/>
          <w:sz w:val="24"/>
          <w:szCs w:val="24"/>
        </w:rPr>
        <w:t xml:space="preserve">help </w:t>
      </w:r>
      <w:r>
        <w:rPr>
          <w:rFonts w:ascii="Times New Roman" w:hAnsi="Times New Roman" w:cs="Times New Roman"/>
          <w:sz w:val="24"/>
          <w:szCs w:val="24"/>
        </w:rPr>
        <w:t>ensure that the</w:t>
      </w:r>
      <w:r w:rsidR="00C16A8E">
        <w:rPr>
          <w:rFonts w:ascii="Times New Roman" w:hAnsi="Times New Roman" w:cs="Times New Roman"/>
          <w:sz w:val="24"/>
          <w:szCs w:val="24"/>
        </w:rPr>
        <w:t>re is sufficient oversight of the</w:t>
      </w:r>
      <w:r>
        <w:rPr>
          <w:rFonts w:ascii="Times New Roman" w:hAnsi="Times New Roman" w:cs="Times New Roman"/>
          <w:sz w:val="24"/>
          <w:szCs w:val="24"/>
        </w:rPr>
        <w:t xml:space="preserve"> CWSRFs</w:t>
      </w:r>
      <w:r w:rsidR="000F6500">
        <w:rPr>
          <w:rFonts w:ascii="Times New Roman" w:hAnsi="Times New Roman" w:cs="Times New Roman"/>
          <w:sz w:val="24"/>
          <w:szCs w:val="24"/>
        </w:rPr>
        <w:t>, t</w:t>
      </w:r>
      <w:r w:rsidR="00E41F4B">
        <w:rPr>
          <w:rFonts w:ascii="Times New Roman" w:hAnsi="Times New Roman" w:cs="Times New Roman"/>
          <w:sz w:val="24"/>
          <w:szCs w:val="24"/>
        </w:rPr>
        <w:t>he CWA also re</w:t>
      </w:r>
      <w:r w:rsidR="00E42275">
        <w:rPr>
          <w:rFonts w:ascii="Times New Roman" w:hAnsi="Times New Roman" w:cs="Times New Roman"/>
          <w:sz w:val="24"/>
          <w:szCs w:val="24"/>
        </w:rPr>
        <w:t>q</w:t>
      </w:r>
      <w:r w:rsidR="00E41F4B">
        <w:rPr>
          <w:rFonts w:ascii="Times New Roman" w:hAnsi="Times New Roman" w:cs="Times New Roman"/>
          <w:sz w:val="24"/>
          <w:szCs w:val="24"/>
        </w:rPr>
        <w:t>uires</w:t>
      </w:r>
      <w:r w:rsidR="00C25077">
        <w:rPr>
          <w:rFonts w:ascii="Times New Roman" w:hAnsi="Times New Roman" w:cs="Times New Roman"/>
          <w:sz w:val="24"/>
          <w:szCs w:val="24"/>
        </w:rPr>
        <w:t xml:space="preserve"> </w:t>
      </w:r>
      <w:r w:rsidR="00DE035B">
        <w:rPr>
          <w:rFonts w:ascii="Times New Roman" w:hAnsi="Times New Roman" w:cs="Times New Roman"/>
          <w:sz w:val="24"/>
          <w:szCs w:val="24"/>
        </w:rPr>
        <w:t>that a CWSRF</w:t>
      </w:r>
      <w:r w:rsidR="007849FC">
        <w:rPr>
          <w:rFonts w:ascii="Times New Roman" w:hAnsi="Times New Roman" w:cs="Times New Roman"/>
          <w:sz w:val="24"/>
          <w:szCs w:val="24"/>
        </w:rPr>
        <w:t xml:space="preserve"> </w:t>
      </w:r>
      <w:r>
        <w:rPr>
          <w:rFonts w:ascii="Times New Roman" w:hAnsi="Times New Roman" w:cs="Times New Roman"/>
          <w:sz w:val="24"/>
          <w:szCs w:val="24"/>
        </w:rPr>
        <w:t xml:space="preserve">annually </w:t>
      </w:r>
      <w:r w:rsidR="007849FC">
        <w:rPr>
          <w:rFonts w:ascii="Times New Roman" w:hAnsi="Times New Roman" w:cs="Times New Roman"/>
          <w:sz w:val="24"/>
          <w:szCs w:val="24"/>
        </w:rPr>
        <w:t xml:space="preserve">submit a </w:t>
      </w:r>
      <w:r w:rsidR="000F6500">
        <w:rPr>
          <w:rFonts w:ascii="Times New Roman" w:hAnsi="Times New Roman" w:cs="Times New Roman"/>
          <w:sz w:val="24"/>
          <w:szCs w:val="24"/>
        </w:rPr>
        <w:t xml:space="preserve">report to </w:t>
      </w:r>
      <w:r w:rsidR="00B94954">
        <w:rPr>
          <w:rFonts w:ascii="Times New Roman" w:hAnsi="Times New Roman" w:cs="Times New Roman"/>
          <w:sz w:val="24"/>
          <w:szCs w:val="24"/>
        </w:rPr>
        <w:t>EP</w:t>
      </w:r>
      <w:r w:rsidR="000F6500">
        <w:rPr>
          <w:rFonts w:ascii="Times New Roman" w:hAnsi="Times New Roman" w:cs="Times New Roman"/>
          <w:sz w:val="24"/>
          <w:szCs w:val="24"/>
        </w:rPr>
        <w:t xml:space="preserve">A and </w:t>
      </w:r>
      <w:r w:rsidR="008F77C3">
        <w:rPr>
          <w:rFonts w:ascii="Times New Roman" w:hAnsi="Times New Roman" w:cs="Times New Roman"/>
          <w:sz w:val="24"/>
          <w:szCs w:val="24"/>
        </w:rPr>
        <w:t xml:space="preserve">undergo </w:t>
      </w:r>
      <w:r w:rsidR="00700475">
        <w:rPr>
          <w:rFonts w:ascii="Times New Roman" w:hAnsi="Times New Roman" w:cs="Times New Roman"/>
          <w:sz w:val="24"/>
          <w:szCs w:val="24"/>
        </w:rPr>
        <w:t xml:space="preserve">an </w:t>
      </w:r>
      <w:r w:rsidR="008F77C3">
        <w:rPr>
          <w:rFonts w:ascii="Times New Roman" w:hAnsi="Times New Roman" w:cs="Times New Roman"/>
          <w:sz w:val="24"/>
          <w:szCs w:val="24"/>
        </w:rPr>
        <w:t>audit</w:t>
      </w:r>
      <w:r w:rsidR="00AD316A">
        <w:rPr>
          <w:rFonts w:ascii="Times New Roman" w:hAnsi="Times New Roman" w:cs="Times New Roman"/>
          <w:sz w:val="24"/>
          <w:szCs w:val="24"/>
        </w:rPr>
        <w:t>. Under s</w:t>
      </w:r>
      <w:r w:rsidR="00E926F0">
        <w:rPr>
          <w:rFonts w:ascii="Times New Roman" w:hAnsi="Times New Roman" w:cs="Times New Roman"/>
          <w:sz w:val="24"/>
          <w:szCs w:val="24"/>
        </w:rPr>
        <w:t>ection 606</w:t>
      </w:r>
      <w:r w:rsidR="00203CD4">
        <w:rPr>
          <w:rFonts w:ascii="Times New Roman" w:hAnsi="Times New Roman" w:cs="Times New Roman"/>
          <w:sz w:val="24"/>
          <w:szCs w:val="24"/>
        </w:rPr>
        <w:t>(d)</w:t>
      </w:r>
      <w:r w:rsidR="00AD316A">
        <w:rPr>
          <w:rFonts w:ascii="Times New Roman" w:hAnsi="Times New Roman" w:cs="Times New Roman"/>
          <w:sz w:val="24"/>
          <w:szCs w:val="24"/>
        </w:rPr>
        <w:t>, a CWSRF</w:t>
      </w:r>
      <w:r w:rsidR="006E3275">
        <w:rPr>
          <w:rFonts w:ascii="Times New Roman" w:hAnsi="Times New Roman" w:cs="Times New Roman"/>
          <w:sz w:val="24"/>
          <w:szCs w:val="24"/>
        </w:rPr>
        <w:t xml:space="preserve"> is required to develop and submit an annual report describing how it </w:t>
      </w:r>
      <w:r w:rsidRPr="006E3275" w:rsidR="006E3275">
        <w:rPr>
          <w:rFonts w:ascii="Times New Roman" w:hAnsi="Times New Roman" w:cs="Times New Roman"/>
          <w:sz w:val="24"/>
          <w:szCs w:val="24"/>
        </w:rPr>
        <w:t>has met the goals and obj</w:t>
      </w:r>
      <w:r w:rsidR="006E3275">
        <w:rPr>
          <w:rFonts w:ascii="Times New Roman" w:hAnsi="Times New Roman" w:cs="Times New Roman"/>
          <w:sz w:val="24"/>
          <w:szCs w:val="24"/>
        </w:rPr>
        <w:t xml:space="preserve">ectives included in the previous </w:t>
      </w:r>
      <w:r w:rsidRPr="006E3275" w:rsidR="006E3275">
        <w:rPr>
          <w:rFonts w:ascii="Times New Roman" w:hAnsi="Times New Roman" w:cs="Times New Roman"/>
          <w:sz w:val="24"/>
          <w:szCs w:val="24"/>
        </w:rPr>
        <w:t>year</w:t>
      </w:r>
      <w:r w:rsidR="006E3275">
        <w:rPr>
          <w:rFonts w:ascii="Times New Roman" w:hAnsi="Times New Roman" w:cs="Times New Roman"/>
          <w:sz w:val="24"/>
          <w:szCs w:val="24"/>
        </w:rPr>
        <w:t xml:space="preserve">’s intended use plan. The </w:t>
      </w:r>
      <w:r w:rsidR="008A4734">
        <w:rPr>
          <w:rFonts w:ascii="Times New Roman" w:hAnsi="Times New Roman" w:cs="Times New Roman"/>
          <w:sz w:val="24"/>
          <w:szCs w:val="24"/>
        </w:rPr>
        <w:t>annual report must also include detailed information on the financial assistance provided through the CWSRF program</w:t>
      </w:r>
      <w:r w:rsidR="00B94954">
        <w:rPr>
          <w:rFonts w:ascii="Times New Roman" w:hAnsi="Times New Roman" w:cs="Times New Roman"/>
          <w:sz w:val="24"/>
          <w:szCs w:val="24"/>
        </w:rPr>
        <w:t xml:space="preserve"> over the past year,</w:t>
      </w:r>
      <w:r w:rsidR="008A4734">
        <w:rPr>
          <w:rFonts w:ascii="Times New Roman" w:hAnsi="Times New Roman" w:cs="Times New Roman"/>
          <w:sz w:val="24"/>
          <w:szCs w:val="24"/>
        </w:rPr>
        <w:t xml:space="preserve"> including identification of the loan recipients, assistance amoun</w:t>
      </w:r>
      <w:r w:rsidR="0052150F">
        <w:rPr>
          <w:rFonts w:ascii="Times New Roman" w:hAnsi="Times New Roman" w:cs="Times New Roman"/>
          <w:sz w:val="24"/>
          <w:szCs w:val="24"/>
        </w:rPr>
        <w:t xml:space="preserve">ts and terms, </w:t>
      </w:r>
      <w:r w:rsidR="008A4734">
        <w:rPr>
          <w:rFonts w:ascii="Times New Roman" w:hAnsi="Times New Roman" w:cs="Times New Roman"/>
          <w:sz w:val="24"/>
          <w:szCs w:val="24"/>
        </w:rPr>
        <w:t>and other related information.</w:t>
      </w:r>
      <w:r w:rsidR="000F6500">
        <w:rPr>
          <w:rFonts w:ascii="Times New Roman" w:hAnsi="Times New Roman" w:cs="Times New Roman"/>
          <w:sz w:val="24"/>
          <w:szCs w:val="24"/>
        </w:rPr>
        <w:t xml:space="preserve"> </w:t>
      </w:r>
      <w:r w:rsidR="00AE3630">
        <w:rPr>
          <w:rFonts w:ascii="Times New Roman" w:hAnsi="Times New Roman" w:cs="Times New Roman"/>
          <w:sz w:val="24"/>
          <w:szCs w:val="24"/>
        </w:rPr>
        <w:t>Section</w:t>
      </w:r>
      <w:r w:rsidR="000F6500">
        <w:rPr>
          <w:rFonts w:ascii="Times New Roman" w:hAnsi="Times New Roman" w:cs="Times New Roman"/>
          <w:sz w:val="24"/>
          <w:szCs w:val="24"/>
        </w:rPr>
        <w:t xml:space="preserve"> 606</w:t>
      </w:r>
      <w:r w:rsidR="00203CD4">
        <w:rPr>
          <w:rFonts w:ascii="Times New Roman" w:hAnsi="Times New Roman" w:cs="Times New Roman"/>
          <w:sz w:val="24"/>
          <w:szCs w:val="24"/>
        </w:rPr>
        <w:t>(b)</w:t>
      </w:r>
      <w:r w:rsidR="00AD316A">
        <w:rPr>
          <w:rFonts w:ascii="Times New Roman" w:hAnsi="Times New Roman" w:cs="Times New Roman"/>
          <w:sz w:val="24"/>
          <w:szCs w:val="24"/>
        </w:rPr>
        <w:t xml:space="preserve"> requires each CWSRF to have an annual</w:t>
      </w:r>
      <w:r w:rsidR="00592A3F">
        <w:rPr>
          <w:rFonts w:ascii="Times New Roman" w:hAnsi="Times New Roman" w:cs="Times New Roman"/>
          <w:sz w:val="24"/>
          <w:szCs w:val="24"/>
        </w:rPr>
        <w:t xml:space="preserve"> audit</w:t>
      </w:r>
      <w:r w:rsidR="00AD316A">
        <w:rPr>
          <w:rFonts w:ascii="Times New Roman" w:hAnsi="Times New Roman" w:cs="Times New Roman"/>
          <w:sz w:val="24"/>
          <w:szCs w:val="24"/>
        </w:rPr>
        <w:t xml:space="preserve"> </w:t>
      </w:r>
      <w:r w:rsidR="000F6500">
        <w:rPr>
          <w:rFonts w:ascii="Times New Roman" w:hAnsi="Times New Roman" w:cs="Times New Roman"/>
          <w:sz w:val="24"/>
          <w:szCs w:val="24"/>
        </w:rPr>
        <w:t xml:space="preserve">that </w:t>
      </w:r>
      <w:r w:rsidR="00F92D9E">
        <w:rPr>
          <w:rFonts w:ascii="Times New Roman" w:hAnsi="Times New Roman" w:cs="Times New Roman"/>
          <w:sz w:val="24"/>
          <w:szCs w:val="24"/>
        </w:rPr>
        <w:t xml:space="preserve">is </w:t>
      </w:r>
      <w:r w:rsidR="00F92D9E">
        <w:rPr>
          <w:rFonts w:ascii="Times New Roman" w:hAnsi="Times New Roman" w:cs="Times New Roman"/>
          <w:sz w:val="24"/>
          <w:szCs w:val="24"/>
        </w:rPr>
        <w:lastRenderedPageBreak/>
        <w:t xml:space="preserve">conducted in accordance with the </w:t>
      </w:r>
      <w:r w:rsidRPr="00F56F8F" w:rsidR="00F92D9E">
        <w:rPr>
          <w:rFonts w:ascii="Times New Roman" w:hAnsi="Times New Roman" w:cs="Times New Roman"/>
          <w:sz w:val="24"/>
          <w:szCs w:val="24"/>
        </w:rPr>
        <w:t>auditing proced</w:t>
      </w:r>
      <w:r w:rsidR="00F92D9E">
        <w:rPr>
          <w:rFonts w:ascii="Times New Roman" w:hAnsi="Times New Roman" w:cs="Times New Roman"/>
          <w:sz w:val="24"/>
          <w:szCs w:val="24"/>
        </w:rPr>
        <w:t>ures of t</w:t>
      </w:r>
      <w:r w:rsidR="005E046E">
        <w:rPr>
          <w:rFonts w:ascii="Times New Roman" w:hAnsi="Times New Roman" w:cs="Times New Roman"/>
          <w:sz w:val="24"/>
          <w:szCs w:val="24"/>
        </w:rPr>
        <w:t>he General Accounting Office to</w:t>
      </w:r>
      <w:r w:rsidR="00F92D9E">
        <w:rPr>
          <w:rFonts w:ascii="Times New Roman" w:hAnsi="Times New Roman" w:cs="Times New Roman"/>
          <w:sz w:val="24"/>
          <w:szCs w:val="24"/>
        </w:rPr>
        <w:t xml:space="preserve"> </w:t>
      </w:r>
      <w:r w:rsidR="00203CD4">
        <w:rPr>
          <w:rFonts w:ascii="Times New Roman" w:hAnsi="Times New Roman" w:cs="Times New Roman"/>
          <w:sz w:val="24"/>
          <w:szCs w:val="24"/>
        </w:rPr>
        <w:t>ensure</w:t>
      </w:r>
      <w:r w:rsidR="000F6500">
        <w:rPr>
          <w:rFonts w:ascii="Times New Roman" w:hAnsi="Times New Roman" w:cs="Times New Roman"/>
          <w:sz w:val="24"/>
          <w:szCs w:val="24"/>
        </w:rPr>
        <w:t xml:space="preserve"> the</w:t>
      </w:r>
      <w:r w:rsidR="00203CD4">
        <w:rPr>
          <w:rFonts w:ascii="Times New Roman" w:hAnsi="Times New Roman" w:cs="Times New Roman"/>
          <w:sz w:val="24"/>
          <w:szCs w:val="24"/>
        </w:rPr>
        <w:t xml:space="preserve"> proper usage of all</w:t>
      </w:r>
      <w:r w:rsidR="000F6500">
        <w:rPr>
          <w:rFonts w:ascii="Times New Roman" w:hAnsi="Times New Roman" w:cs="Times New Roman"/>
          <w:sz w:val="24"/>
          <w:szCs w:val="24"/>
        </w:rPr>
        <w:t xml:space="preserve"> CWSRF funds</w:t>
      </w:r>
      <w:r w:rsidR="008803B1">
        <w:rPr>
          <w:rFonts w:ascii="Times New Roman" w:hAnsi="Times New Roman" w:cs="Times New Roman"/>
          <w:sz w:val="24"/>
          <w:szCs w:val="24"/>
        </w:rPr>
        <w:t>.</w:t>
      </w:r>
    </w:p>
    <w:p w:rsidR="00B9264C" w:rsidP="007D4D32" w:rsidRDefault="00B9264C" w14:paraId="75191964" w14:textId="77777777">
      <w:pPr>
        <w:widowControl/>
        <w:autoSpaceDE w:val="0"/>
        <w:autoSpaceDN w:val="0"/>
        <w:adjustRightInd w:val="0"/>
        <w:rPr>
          <w:rFonts w:ascii="Times New Roman" w:hAnsi="Times New Roman"/>
        </w:rPr>
      </w:pPr>
    </w:p>
    <w:p w:rsidRPr="00A775A8" w:rsidR="00A775A8" w:rsidP="00A775A8" w:rsidRDefault="00A775A8" w14:paraId="12E9F51B" w14:textId="1A06479C">
      <w:pPr>
        <w:widowControl/>
        <w:autoSpaceDE w:val="0"/>
        <w:autoSpaceDN w:val="0"/>
        <w:adjustRightInd w:val="0"/>
        <w:rPr>
          <w:rFonts w:ascii="Times New Roman" w:hAnsi="Times New Roman"/>
        </w:rPr>
      </w:pPr>
      <w:r>
        <w:rPr>
          <w:rFonts w:ascii="Times New Roman" w:hAnsi="Times New Roman"/>
        </w:rPr>
        <w:t xml:space="preserve">In addition to these statutory requirements, </w:t>
      </w:r>
      <w:r w:rsidR="00F63063">
        <w:rPr>
          <w:rFonts w:ascii="Times New Roman" w:hAnsi="Times New Roman"/>
        </w:rPr>
        <w:t xml:space="preserve">EPA will continue to direct </w:t>
      </w:r>
      <w:r>
        <w:rPr>
          <w:rFonts w:ascii="Times New Roman" w:hAnsi="Times New Roman"/>
        </w:rPr>
        <w:t>t</w:t>
      </w:r>
      <w:r w:rsidR="00F63063">
        <w:rPr>
          <w:rFonts w:ascii="Times New Roman" w:hAnsi="Times New Roman"/>
        </w:rPr>
        <w:t xml:space="preserve">he CWSRFs </w:t>
      </w:r>
      <w:r w:rsidRPr="00A775A8">
        <w:rPr>
          <w:rFonts w:ascii="Times New Roman" w:hAnsi="Times New Roman"/>
        </w:rPr>
        <w:t>to submit program and project level information th</w:t>
      </w:r>
      <w:r w:rsidR="0025739C">
        <w:rPr>
          <w:rFonts w:ascii="Times New Roman" w:hAnsi="Times New Roman"/>
        </w:rPr>
        <w:t>rough the CWNIMS and CBR databases</w:t>
      </w:r>
      <w:r w:rsidR="0001782D">
        <w:rPr>
          <w:rFonts w:ascii="Times New Roman" w:hAnsi="Times New Roman"/>
        </w:rPr>
        <w:t xml:space="preserve"> </w:t>
      </w:r>
      <w:r w:rsidRPr="00A775A8">
        <w:rPr>
          <w:rFonts w:ascii="Times New Roman" w:hAnsi="Times New Roman"/>
        </w:rPr>
        <w:t>on a periodic basis. The information collected through these databases is critical to EPA’s oversight responsibilities in ensuring the timely and expeditious use of CWSRF funds and the long-term financial sus</w:t>
      </w:r>
      <w:r w:rsidR="00E4594A">
        <w:rPr>
          <w:rFonts w:ascii="Times New Roman" w:hAnsi="Times New Roman"/>
        </w:rPr>
        <w:t>tainability of the CWSRF</w:t>
      </w:r>
      <w:r w:rsidRPr="00A775A8">
        <w:rPr>
          <w:rFonts w:ascii="Times New Roman" w:hAnsi="Times New Roman"/>
        </w:rPr>
        <w:t xml:space="preserve">s. The information collected through </w:t>
      </w:r>
      <w:r w:rsidR="007B2D21">
        <w:rPr>
          <w:rFonts w:ascii="Times New Roman" w:hAnsi="Times New Roman"/>
        </w:rPr>
        <w:t xml:space="preserve">the </w:t>
      </w:r>
      <w:r w:rsidRPr="00A775A8">
        <w:rPr>
          <w:rFonts w:ascii="Times New Roman" w:hAnsi="Times New Roman"/>
        </w:rPr>
        <w:t>CBR</w:t>
      </w:r>
      <w:r w:rsidR="00E4594A">
        <w:rPr>
          <w:rFonts w:ascii="Times New Roman" w:hAnsi="Times New Roman"/>
        </w:rPr>
        <w:t xml:space="preserve"> database</w:t>
      </w:r>
      <w:r w:rsidRPr="00A775A8">
        <w:rPr>
          <w:rFonts w:ascii="Times New Roman" w:hAnsi="Times New Roman"/>
        </w:rPr>
        <w:t xml:space="preserve"> also serves another important role by establishing a stronger link between CWSRF financed projects and the projected environmental benefits as required by </w:t>
      </w:r>
      <w:r w:rsidRPr="007D33DE">
        <w:rPr>
          <w:rFonts w:ascii="Times New Roman" w:hAnsi="Times New Roman"/>
          <w:i/>
        </w:rPr>
        <w:t xml:space="preserve">EPA Order 5700.7, Environmental Results Under Assistance Agreements. </w:t>
      </w:r>
    </w:p>
    <w:p w:rsidRPr="00A775A8" w:rsidR="00A775A8" w:rsidP="00A775A8" w:rsidRDefault="00A775A8" w14:paraId="346CBFC3" w14:textId="77777777">
      <w:pPr>
        <w:widowControl/>
        <w:autoSpaceDE w:val="0"/>
        <w:autoSpaceDN w:val="0"/>
        <w:adjustRightInd w:val="0"/>
        <w:rPr>
          <w:rFonts w:ascii="Times New Roman" w:hAnsi="Times New Roman"/>
        </w:rPr>
      </w:pPr>
    </w:p>
    <w:p w:rsidRPr="00A775A8" w:rsidR="00A775A8" w:rsidP="00A775A8" w:rsidRDefault="00A775A8" w14:paraId="4B056319" w14:textId="611071D7">
      <w:pPr>
        <w:widowControl/>
        <w:autoSpaceDE w:val="0"/>
        <w:autoSpaceDN w:val="0"/>
        <w:adjustRightInd w:val="0"/>
        <w:rPr>
          <w:rFonts w:ascii="Times New Roman" w:hAnsi="Times New Roman"/>
        </w:rPr>
      </w:pPr>
      <w:r w:rsidRPr="00A775A8">
        <w:rPr>
          <w:rFonts w:ascii="Times New Roman" w:hAnsi="Times New Roman"/>
        </w:rPr>
        <w:t xml:space="preserve">The CWSRFs are asked to submit program level financial data annually through CWNIMS, including loan amounts, disbursements, repayments, and other critical information. The data collected </w:t>
      </w:r>
      <w:r w:rsidR="00E4594A">
        <w:rPr>
          <w:rFonts w:ascii="Times New Roman" w:hAnsi="Times New Roman"/>
        </w:rPr>
        <w:t>supports</w:t>
      </w:r>
      <w:r w:rsidRPr="00A775A8">
        <w:rPr>
          <w:rFonts w:ascii="Times New Roman" w:hAnsi="Times New Roman"/>
        </w:rPr>
        <w:t xml:space="preserve"> section 606(e) of the CWA, requiring EPA to conduct annual oversight reviews </w:t>
      </w:r>
      <w:r w:rsidR="00E4594A">
        <w:rPr>
          <w:rFonts w:ascii="Times New Roman" w:hAnsi="Times New Roman"/>
        </w:rPr>
        <w:t>of the CWSRFs. The CWNIMS database</w:t>
      </w:r>
      <w:r w:rsidRPr="00A775A8">
        <w:rPr>
          <w:rFonts w:ascii="Times New Roman" w:hAnsi="Times New Roman"/>
        </w:rPr>
        <w:t xml:space="preserve"> complements the annual report and audit by providing a current snapshot of fina</w:t>
      </w:r>
      <w:r w:rsidR="00E4594A">
        <w:rPr>
          <w:rFonts w:ascii="Times New Roman" w:hAnsi="Times New Roman"/>
        </w:rPr>
        <w:t xml:space="preserve">ncial activity and the extent </w:t>
      </w:r>
      <w:r w:rsidR="001D5ECF">
        <w:rPr>
          <w:rFonts w:ascii="Times New Roman" w:hAnsi="Times New Roman"/>
        </w:rPr>
        <w:t>by</w:t>
      </w:r>
      <w:r w:rsidRPr="00A775A8">
        <w:rPr>
          <w:rFonts w:ascii="Times New Roman" w:hAnsi="Times New Roman"/>
        </w:rPr>
        <w:t xml:space="preserve"> which the CWSRFs funds have been committed and disbursed</w:t>
      </w:r>
      <w:r w:rsidR="00E4594A">
        <w:rPr>
          <w:rFonts w:ascii="Times New Roman" w:hAnsi="Times New Roman"/>
        </w:rPr>
        <w:t xml:space="preserve"> for projects. The CWNIMS database</w:t>
      </w:r>
      <w:r w:rsidRPr="00A775A8">
        <w:rPr>
          <w:rFonts w:ascii="Times New Roman" w:hAnsi="Times New Roman"/>
        </w:rPr>
        <w:t xml:space="preserve"> also provides an overview of the types of projects and the recipients receiving CWSRF funding. This comprehensive overview on program activity allows EPA to discuss the future</w:t>
      </w:r>
      <w:r w:rsidR="00E4594A">
        <w:rPr>
          <w:rFonts w:ascii="Times New Roman" w:hAnsi="Times New Roman"/>
        </w:rPr>
        <w:t xml:space="preserve"> direction of the CWSRFs and</w:t>
      </w:r>
      <w:r w:rsidRPr="00A775A8">
        <w:rPr>
          <w:rFonts w:ascii="Times New Roman" w:hAnsi="Times New Roman"/>
        </w:rPr>
        <w:t xml:space="preserve"> head off potential concerns before they become major problems.</w:t>
      </w:r>
    </w:p>
    <w:p w:rsidRPr="00A775A8" w:rsidR="00A775A8" w:rsidP="00A775A8" w:rsidRDefault="00A775A8" w14:paraId="28B785F5" w14:textId="77777777">
      <w:pPr>
        <w:widowControl/>
        <w:autoSpaceDE w:val="0"/>
        <w:autoSpaceDN w:val="0"/>
        <w:adjustRightInd w:val="0"/>
        <w:rPr>
          <w:rFonts w:ascii="Times New Roman" w:hAnsi="Times New Roman"/>
        </w:rPr>
      </w:pPr>
    </w:p>
    <w:p w:rsidRPr="00A775A8" w:rsidR="00A775A8" w:rsidP="00A775A8" w:rsidRDefault="005723A2" w14:paraId="239AD39C" w14:textId="29810931">
      <w:pPr>
        <w:widowControl/>
        <w:autoSpaceDE w:val="0"/>
        <w:autoSpaceDN w:val="0"/>
        <w:adjustRightInd w:val="0"/>
        <w:rPr>
          <w:rFonts w:ascii="Times New Roman" w:hAnsi="Times New Roman"/>
        </w:rPr>
      </w:pPr>
      <w:r>
        <w:rPr>
          <w:rFonts w:ascii="Times New Roman" w:hAnsi="Times New Roman"/>
        </w:rPr>
        <w:t>The CWNIMS database</w:t>
      </w:r>
      <w:r w:rsidRPr="00A775A8" w:rsidR="00A775A8">
        <w:rPr>
          <w:rFonts w:ascii="Times New Roman" w:hAnsi="Times New Roman"/>
        </w:rPr>
        <w:t xml:space="preserve"> is also instrumental in allowing EPA to document the progress of the CWSRFs in addressing the nation’s water quality needs to the public and Congress. Information provided by this database is</w:t>
      </w:r>
      <w:r w:rsidR="00C6351C">
        <w:rPr>
          <w:rFonts w:ascii="Times New Roman" w:hAnsi="Times New Roman"/>
        </w:rPr>
        <w:t xml:space="preserve"> an essential part of</w:t>
      </w:r>
      <w:r w:rsidR="00CA1AF5">
        <w:rPr>
          <w:rFonts w:ascii="Times New Roman" w:hAnsi="Times New Roman"/>
        </w:rPr>
        <w:t xml:space="preserve"> </w:t>
      </w:r>
      <w:r w:rsidR="00C6351C">
        <w:rPr>
          <w:rFonts w:ascii="Times New Roman" w:hAnsi="Times New Roman"/>
        </w:rPr>
        <w:t>EPA</w:t>
      </w:r>
      <w:r w:rsidRPr="00A775A8" w:rsidR="00A775A8">
        <w:rPr>
          <w:rFonts w:ascii="Times New Roman" w:hAnsi="Times New Roman"/>
        </w:rPr>
        <w:t>’s testimony before the Congressional appropriations and authorizing committees that oversee environmental infrastructure programs.  The data collected by this system is made available to the public and greatly supports outreach efforts by</w:t>
      </w:r>
      <w:r w:rsidR="00CA1AF5">
        <w:rPr>
          <w:rFonts w:ascii="Times New Roman" w:hAnsi="Times New Roman"/>
        </w:rPr>
        <w:t xml:space="preserve"> </w:t>
      </w:r>
      <w:r w:rsidRPr="00A775A8" w:rsidR="00A775A8">
        <w:rPr>
          <w:rFonts w:ascii="Times New Roman" w:hAnsi="Times New Roman"/>
        </w:rPr>
        <w:t xml:space="preserve">EPA and several key state and trade organizations (e.g., Council of Infrastructure Financing Authorities, Association of Clean Water Administrators, National Utility Contractors Association, and Water and Wastewater Equipment Manufacturers Association). </w:t>
      </w:r>
    </w:p>
    <w:p w:rsidRPr="00A775A8" w:rsidR="00A775A8" w:rsidP="00A775A8" w:rsidRDefault="00A775A8" w14:paraId="05B4C5B7" w14:textId="77777777">
      <w:pPr>
        <w:widowControl/>
        <w:autoSpaceDE w:val="0"/>
        <w:autoSpaceDN w:val="0"/>
        <w:adjustRightInd w:val="0"/>
        <w:rPr>
          <w:rFonts w:ascii="Times New Roman" w:hAnsi="Times New Roman"/>
        </w:rPr>
      </w:pPr>
    </w:p>
    <w:p w:rsidRPr="00A775A8" w:rsidR="00A775A8" w:rsidP="00A775A8" w:rsidRDefault="005723A2" w14:paraId="0311C03F" w14:textId="50950689">
      <w:pPr>
        <w:widowControl/>
        <w:autoSpaceDE w:val="0"/>
        <w:autoSpaceDN w:val="0"/>
        <w:adjustRightInd w:val="0"/>
        <w:rPr>
          <w:rFonts w:ascii="Times New Roman" w:hAnsi="Times New Roman"/>
        </w:rPr>
      </w:pPr>
      <w:r>
        <w:rPr>
          <w:rFonts w:ascii="Times New Roman" w:hAnsi="Times New Roman"/>
        </w:rPr>
        <w:t>The CBR database</w:t>
      </w:r>
      <w:r w:rsidRPr="00A775A8" w:rsidR="00A775A8">
        <w:rPr>
          <w:rFonts w:ascii="Times New Roman" w:hAnsi="Times New Roman"/>
        </w:rPr>
        <w:t xml:space="preserve"> was originally developed to assist states in complying with </w:t>
      </w:r>
      <w:r w:rsidRPr="007D33DE" w:rsidR="00A775A8">
        <w:rPr>
          <w:rFonts w:ascii="Times New Roman" w:hAnsi="Times New Roman"/>
          <w:i/>
        </w:rPr>
        <w:t>EPA Order 5700.7, Environmental Results Under Assistance Agreement</w:t>
      </w:r>
      <w:r w:rsidR="00641F2F">
        <w:rPr>
          <w:rFonts w:ascii="Times New Roman" w:hAnsi="Times New Roman"/>
          <w:i/>
        </w:rPr>
        <w:t>s</w:t>
      </w:r>
      <w:r w:rsidRPr="00A775A8" w:rsidR="00A775A8">
        <w:rPr>
          <w:rFonts w:ascii="Times New Roman" w:hAnsi="Times New Roman"/>
        </w:rPr>
        <w:t>, which became effective on January 1</w:t>
      </w:r>
      <w:r w:rsidR="00CA1AF5">
        <w:rPr>
          <w:rFonts w:ascii="Times New Roman" w:hAnsi="Times New Roman"/>
        </w:rPr>
        <w:t>,</w:t>
      </w:r>
      <w:r w:rsidRPr="00A775A8" w:rsidR="00A775A8">
        <w:rPr>
          <w:rFonts w:ascii="Times New Roman" w:hAnsi="Times New Roman"/>
        </w:rPr>
        <w:t xml:space="preserve"> 2005. The Order aimed at addressing e</w:t>
      </w:r>
      <w:r>
        <w:rPr>
          <w:rFonts w:ascii="Times New Roman" w:hAnsi="Times New Roman"/>
        </w:rPr>
        <w:t>nvironmental results under EPA assistance a</w:t>
      </w:r>
      <w:r w:rsidRPr="00A775A8" w:rsidR="00A775A8">
        <w:rPr>
          <w:rFonts w:ascii="Times New Roman" w:hAnsi="Times New Roman"/>
        </w:rPr>
        <w:t>greements, including grants and cooperative agreements, and establish</w:t>
      </w:r>
      <w:r w:rsidR="00CA1AF5">
        <w:rPr>
          <w:rFonts w:ascii="Times New Roman" w:hAnsi="Times New Roman"/>
        </w:rPr>
        <w:t>ing</w:t>
      </w:r>
      <w:r w:rsidRPr="00A775A8" w:rsidR="00A775A8">
        <w:rPr>
          <w:rFonts w:ascii="Times New Roman" w:hAnsi="Times New Roman"/>
        </w:rPr>
        <w:t xml:space="preserve"> a stronger linkage between EPA financed projects and the goals of the</w:t>
      </w:r>
      <w:r>
        <w:rPr>
          <w:rFonts w:ascii="Times New Roman" w:hAnsi="Times New Roman"/>
        </w:rPr>
        <w:t xml:space="preserve"> Agency’s Strategic Plan. The CWSRFs</w:t>
      </w:r>
      <w:r w:rsidRPr="00A775A8" w:rsidR="00A775A8">
        <w:rPr>
          <w:rFonts w:ascii="Times New Roman" w:hAnsi="Times New Roman"/>
        </w:rPr>
        <w:t xml:space="preserve"> had the option of meeting the EPA Order by entering project level data into CBR and producing report-outs that could then be include</w:t>
      </w:r>
      <w:r>
        <w:rPr>
          <w:rFonts w:ascii="Times New Roman" w:hAnsi="Times New Roman"/>
        </w:rPr>
        <w:t>d in their annual report. The CWSRFs</w:t>
      </w:r>
      <w:r w:rsidRPr="00A775A8" w:rsidR="00A775A8">
        <w:rPr>
          <w:rFonts w:ascii="Times New Roman" w:hAnsi="Times New Roman"/>
        </w:rPr>
        <w:t xml:space="preserve"> that chose not to use CBR were required to work with</w:t>
      </w:r>
      <w:r w:rsidR="00CA1AF5">
        <w:rPr>
          <w:rFonts w:ascii="Times New Roman" w:hAnsi="Times New Roman"/>
        </w:rPr>
        <w:t xml:space="preserve"> </w:t>
      </w:r>
      <w:r w:rsidRPr="00A775A8" w:rsidR="00A775A8">
        <w:rPr>
          <w:rFonts w:ascii="Times New Roman" w:hAnsi="Times New Roman"/>
        </w:rPr>
        <w:t xml:space="preserve">EPA </w:t>
      </w:r>
      <w:r w:rsidR="004F44EC">
        <w:rPr>
          <w:rFonts w:ascii="Times New Roman" w:hAnsi="Times New Roman"/>
        </w:rPr>
        <w:t xml:space="preserve">to </w:t>
      </w:r>
      <w:r w:rsidRPr="00A775A8" w:rsidR="00A775A8">
        <w:rPr>
          <w:rFonts w:ascii="Times New Roman" w:hAnsi="Times New Roman"/>
        </w:rPr>
        <w:t>show appropriate output</w:t>
      </w:r>
      <w:r w:rsidR="004F44EC">
        <w:rPr>
          <w:rFonts w:ascii="Times New Roman" w:hAnsi="Times New Roman"/>
        </w:rPr>
        <w:t>s</w:t>
      </w:r>
      <w:r w:rsidRPr="00A775A8" w:rsidR="00A775A8">
        <w:rPr>
          <w:rFonts w:ascii="Times New Roman" w:hAnsi="Times New Roman"/>
        </w:rPr>
        <w:t xml:space="preserve"> and outcomes that can be tied back to the Strategic Plan.  </w:t>
      </w:r>
    </w:p>
    <w:p w:rsidRPr="00A775A8" w:rsidR="00A775A8" w:rsidP="00A775A8" w:rsidRDefault="00A775A8" w14:paraId="5B08DE4B" w14:textId="77777777">
      <w:pPr>
        <w:widowControl/>
        <w:autoSpaceDE w:val="0"/>
        <w:autoSpaceDN w:val="0"/>
        <w:adjustRightInd w:val="0"/>
        <w:rPr>
          <w:rFonts w:ascii="Times New Roman" w:hAnsi="Times New Roman"/>
        </w:rPr>
      </w:pPr>
    </w:p>
    <w:p w:rsidRPr="00A775A8" w:rsidR="00A775A8" w:rsidP="00A775A8" w:rsidRDefault="00A775A8" w14:paraId="7E44BFEE" w14:textId="00289B00">
      <w:pPr>
        <w:widowControl/>
        <w:autoSpaceDE w:val="0"/>
        <w:autoSpaceDN w:val="0"/>
        <w:adjustRightInd w:val="0"/>
        <w:rPr>
          <w:rFonts w:ascii="Times New Roman" w:hAnsi="Times New Roman"/>
        </w:rPr>
      </w:pPr>
      <w:r w:rsidRPr="00A775A8">
        <w:rPr>
          <w:rFonts w:ascii="Times New Roman" w:hAnsi="Times New Roman"/>
        </w:rPr>
        <w:t>Since 2010, Congress has included several major provision</w:t>
      </w:r>
      <w:r w:rsidR="00DF6E71">
        <w:rPr>
          <w:rFonts w:ascii="Times New Roman" w:hAnsi="Times New Roman"/>
        </w:rPr>
        <w:t>s</w:t>
      </w:r>
      <w:r w:rsidRPr="00A775A8">
        <w:rPr>
          <w:rFonts w:ascii="Times New Roman" w:hAnsi="Times New Roman"/>
        </w:rPr>
        <w:t xml:space="preserve"> in the annual appropriations </w:t>
      </w:r>
      <w:r w:rsidR="005723A2">
        <w:rPr>
          <w:rFonts w:ascii="Times New Roman" w:hAnsi="Times New Roman"/>
        </w:rPr>
        <w:t>that affected the CWSRFs</w:t>
      </w:r>
      <w:r w:rsidRPr="00A775A8">
        <w:rPr>
          <w:rFonts w:ascii="Times New Roman" w:hAnsi="Times New Roman"/>
        </w:rPr>
        <w:t>. O</w:t>
      </w:r>
      <w:r w:rsidR="005723A2">
        <w:rPr>
          <w:rFonts w:ascii="Times New Roman" w:hAnsi="Times New Roman"/>
        </w:rPr>
        <w:t>ne of the provisions included the Green Project Reserve</w:t>
      </w:r>
      <w:r w:rsidR="00FF52B9">
        <w:rPr>
          <w:rFonts w:ascii="Times New Roman" w:hAnsi="Times New Roman"/>
        </w:rPr>
        <w:t xml:space="preserve"> (GPR)</w:t>
      </w:r>
      <w:r w:rsidRPr="00A775A8">
        <w:rPr>
          <w:rFonts w:ascii="Times New Roman" w:hAnsi="Times New Roman"/>
        </w:rPr>
        <w:t xml:space="preserve"> requirement that directed a portion of the federal funding </w:t>
      </w:r>
      <w:r w:rsidR="0029772A">
        <w:rPr>
          <w:rFonts w:ascii="Times New Roman" w:hAnsi="Times New Roman"/>
        </w:rPr>
        <w:t xml:space="preserve">to </w:t>
      </w:r>
      <w:r w:rsidRPr="00A775A8">
        <w:rPr>
          <w:rFonts w:ascii="Times New Roman" w:hAnsi="Times New Roman"/>
        </w:rPr>
        <w:t xml:space="preserve">be used to fund projects that addressed green infrastructure, water efficiency improvements, energy efficiency improvements, or environmentally innovative activities. Another provision directed that a portion of federal </w:t>
      </w:r>
      <w:r w:rsidRPr="00A775A8">
        <w:rPr>
          <w:rFonts w:ascii="Times New Roman" w:hAnsi="Times New Roman"/>
        </w:rPr>
        <w:lastRenderedPageBreak/>
        <w:t xml:space="preserve">funding be used to provide additional subsidization in the form of principal forgiveness, negative </w:t>
      </w:r>
      <w:r w:rsidR="005723A2">
        <w:rPr>
          <w:rFonts w:ascii="Times New Roman" w:hAnsi="Times New Roman"/>
        </w:rPr>
        <w:t>interest loans, or direct grants</w:t>
      </w:r>
      <w:r w:rsidRPr="00A775A8">
        <w:rPr>
          <w:rFonts w:ascii="Times New Roman" w:hAnsi="Times New Roman"/>
        </w:rPr>
        <w:t xml:space="preserve">. Accompanying these provisions was conference language that directed EPA to not only track how additional subsidies are used, but also by what types of communities. These provisions have been carried over into subsequent appropriations. </w:t>
      </w:r>
    </w:p>
    <w:p w:rsidRPr="00A775A8" w:rsidR="00A775A8" w:rsidP="00A775A8" w:rsidRDefault="00A775A8" w14:paraId="2E8418C1" w14:textId="77777777">
      <w:pPr>
        <w:widowControl/>
        <w:autoSpaceDE w:val="0"/>
        <w:autoSpaceDN w:val="0"/>
        <w:adjustRightInd w:val="0"/>
        <w:rPr>
          <w:rFonts w:ascii="Times New Roman" w:hAnsi="Times New Roman"/>
        </w:rPr>
      </w:pPr>
    </w:p>
    <w:p w:rsidR="00A775A8" w:rsidP="00A775A8" w:rsidRDefault="008504C0" w14:paraId="51585E6B" w14:textId="66611850">
      <w:pPr>
        <w:widowControl/>
        <w:autoSpaceDE w:val="0"/>
        <w:autoSpaceDN w:val="0"/>
        <w:adjustRightInd w:val="0"/>
        <w:rPr>
          <w:rFonts w:ascii="Times New Roman" w:hAnsi="Times New Roman"/>
        </w:rPr>
      </w:pPr>
      <w:r>
        <w:rPr>
          <w:rFonts w:ascii="Times New Roman" w:hAnsi="Times New Roman"/>
        </w:rPr>
        <w:t>The CBR database</w:t>
      </w:r>
      <w:r w:rsidRPr="00A775A8" w:rsidR="00A775A8">
        <w:rPr>
          <w:rFonts w:ascii="Times New Roman" w:hAnsi="Times New Roman"/>
        </w:rPr>
        <w:t xml:space="preserve"> was determined to be the best option for collecting and tracking this information. As a result, data entry into</w:t>
      </w:r>
      <w:r w:rsidR="00FF52B9">
        <w:rPr>
          <w:rFonts w:ascii="Times New Roman" w:hAnsi="Times New Roman"/>
        </w:rPr>
        <w:t xml:space="preserve"> the</w:t>
      </w:r>
      <w:r w:rsidRPr="00A775A8" w:rsidR="00A775A8">
        <w:rPr>
          <w:rFonts w:ascii="Times New Roman" w:hAnsi="Times New Roman"/>
        </w:rPr>
        <w:t xml:space="preserve"> CBR</w:t>
      </w:r>
      <w:r w:rsidR="004F44EC">
        <w:rPr>
          <w:rFonts w:ascii="Times New Roman" w:hAnsi="Times New Roman"/>
        </w:rPr>
        <w:t xml:space="preserve"> </w:t>
      </w:r>
      <w:r w:rsidR="00AB4E79">
        <w:rPr>
          <w:rFonts w:ascii="Times New Roman" w:hAnsi="Times New Roman"/>
        </w:rPr>
        <w:t xml:space="preserve">database </w:t>
      </w:r>
      <w:r w:rsidR="004F44EC">
        <w:rPr>
          <w:rFonts w:ascii="Times New Roman" w:hAnsi="Times New Roman"/>
        </w:rPr>
        <w:t xml:space="preserve">stopped being optional </w:t>
      </w:r>
      <w:r w:rsidR="00886A09">
        <w:rPr>
          <w:rFonts w:ascii="Times New Roman" w:hAnsi="Times New Roman"/>
        </w:rPr>
        <w:t>in 2010. The CWSRFs</w:t>
      </w:r>
      <w:r w:rsidRPr="00A775A8" w:rsidR="00A775A8">
        <w:rPr>
          <w:rFonts w:ascii="Times New Roman" w:hAnsi="Times New Roman"/>
        </w:rPr>
        <w:t xml:space="preserve"> are required to enter project level infor</w:t>
      </w:r>
      <w:r w:rsidR="00AB4E79">
        <w:rPr>
          <w:rFonts w:ascii="Times New Roman" w:hAnsi="Times New Roman"/>
        </w:rPr>
        <w:t xml:space="preserve">mation into </w:t>
      </w:r>
      <w:r w:rsidR="00886A09">
        <w:rPr>
          <w:rFonts w:ascii="Times New Roman" w:hAnsi="Times New Roman"/>
        </w:rPr>
        <w:t xml:space="preserve">the </w:t>
      </w:r>
      <w:r w:rsidR="00AB4E79">
        <w:rPr>
          <w:rFonts w:ascii="Times New Roman" w:hAnsi="Times New Roman"/>
        </w:rPr>
        <w:t xml:space="preserve">CBR database </w:t>
      </w:r>
      <w:r w:rsidRPr="00A775A8" w:rsidR="00A775A8">
        <w:rPr>
          <w:rFonts w:ascii="Times New Roman" w:hAnsi="Times New Roman"/>
        </w:rPr>
        <w:t>on a quarterly basis. This frequency of collection is to ensure that</w:t>
      </w:r>
      <w:r w:rsidR="00FF52B9">
        <w:rPr>
          <w:rFonts w:ascii="Times New Roman" w:hAnsi="Times New Roman"/>
        </w:rPr>
        <w:t xml:space="preserve"> </w:t>
      </w:r>
      <w:r w:rsidRPr="00A775A8" w:rsidR="00A775A8">
        <w:rPr>
          <w:rFonts w:ascii="Times New Roman" w:hAnsi="Times New Roman"/>
        </w:rPr>
        <w:t>EPA can p</w:t>
      </w:r>
      <w:r w:rsidR="00AB4E79">
        <w:rPr>
          <w:rFonts w:ascii="Times New Roman" w:hAnsi="Times New Roman"/>
        </w:rPr>
        <w:t xml:space="preserve">rovide a timely response to </w:t>
      </w:r>
      <w:r w:rsidRPr="00A775A8" w:rsidR="00A775A8">
        <w:rPr>
          <w:rFonts w:ascii="Times New Roman" w:hAnsi="Times New Roman"/>
        </w:rPr>
        <w:t>congressional in</w:t>
      </w:r>
      <w:r w:rsidR="00AB4E79">
        <w:rPr>
          <w:rFonts w:ascii="Times New Roman" w:hAnsi="Times New Roman"/>
        </w:rPr>
        <w:t>quiries with the most up-to-date data</w:t>
      </w:r>
      <w:r w:rsidRPr="00A775A8" w:rsidR="00A775A8">
        <w:rPr>
          <w:rFonts w:ascii="Times New Roman" w:hAnsi="Times New Roman"/>
        </w:rPr>
        <w:t>. In response to constant inquiries regarding the status of meeting the annual GPR requirements</w:t>
      </w:r>
      <w:r w:rsidR="00AB4E79">
        <w:rPr>
          <w:rFonts w:ascii="Times New Roman" w:hAnsi="Times New Roman"/>
        </w:rPr>
        <w:t xml:space="preserve">, EPA also </w:t>
      </w:r>
      <w:r w:rsidRPr="00A775A8" w:rsidR="00A775A8">
        <w:rPr>
          <w:rFonts w:ascii="Times New Roman" w:hAnsi="Times New Roman"/>
        </w:rPr>
        <w:t>use</w:t>
      </w:r>
      <w:r w:rsidR="00AB4E79">
        <w:rPr>
          <w:rFonts w:ascii="Times New Roman" w:hAnsi="Times New Roman"/>
        </w:rPr>
        <w:t>s the</w:t>
      </w:r>
      <w:r w:rsidRPr="00A775A8" w:rsidR="00A775A8">
        <w:rPr>
          <w:rFonts w:ascii="Times New Roman" w:hAnsi="Times New Roman"/>
        </w:rPr>
        <w:t xml:space="preserve"> CBR</w:t>
      </w:r>
      <w:r w:rsidR="00AB4E79">
        <w:rPr>
          <w:rFonts w:ascii="Times New Roman" w:hAnsi="Times New Roman"/>
        </w:rPr>
        <w:t xml:space="preserve"> database</w:t>
      </w:r>
      <w:r w:rsidRPr="00A775A8" w:rsidR="00A775A8">
        <w:rPr>
          <w:rFonts w:ascii="Times New Roman" w:hAnsi="Times New Roman"/>
        </w:rPr>
        <w:t xml:space="preserve"> to track funding u</w:t>
      </w:r>
      <w:r w:rsidR="00886A09">
        <w:rPr>
          <w:rFonts w:ascii="Times New Roman" w:hAnsi="Times New Roman"/>
        </w:rPr>
        <w:t>nder the GPR requirement. The CWSRFs</w:t>
      </w:r>
      <w:r w:rsidRPr="00A775A8" w:rsidR="00A775A8">
        <w:rPr>
          <w:rFonts w:ascii="Times New Roman" w:hAnsi="Times New Roman"/>
        </w:rPr>
        <w:t xml:space="preserve"> are</w:t>
      </w:r>
      <w:r w:rsidR="00886A09">
        <w:rPr>
          <w:rFonts w:ascii="Times New Roman" w:hAnsi="Times New Roman"/>
        </w:rPr>
        <w:t xml:space="preserve"> also</w:t>
      </w:r>
      <w:r w:rsidRPr="00A775A8" w:rsidR="00A775A8">
        <w:rPr>
          <w:rFonts w:ascii="Times New Roman" w:hAnsi="Times New Roman"/>
        </w:rPr>
        <w:t xml:space="preserve"> still expected to complete the data fields established in 2005, tracking general project information and projected environmental results</w:t>
      </w:r>
      <w:r w:rsidR="005B739C">
        <w:rPr>
          <w:rFonts w:ascii="Times New Roman" w:hAnsi="Times New Roman"/>
        </w:rPr>
        <w:t>.</w:t>
      </w:r>
    </w:p>
    <w:p w:rsidR="00B70998" w:rsidP="007D4D32" w:rsidRDefault="00B70998" w14:paraId="420AB0BA" w14:textId="45561F08">
      <w:pPr>
        <w:widowControl/>
        <w:autoSpaceDE w:val="0"/>
        <w:autoSpaceDN w:val="0"/>
        <w:adjustRightInd w:val="0"/>
        <w:rPr>
          <w:rFonts w:ascii="Times New Roman" w:hAnsi="Times New Roman"/>
        </w:rPr>
      </w:pPr>
    </w:p>
    <w:p w:rsidR="001A587D" w:rsidP="001A587D" w:rsidRDefault="002759B4" w14:paraId="40B0BF46" w14:textId="7D05838E">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Pr="007D33DE" w:rsidR="00EF1952">
        <w:rPr>
          <w:rFonts w:ascii="Times New Roman" w:hAnsi="Times New Roman" w:cs="Times New Roman"/>
          <w:i/>
          <w:sz w:val="24"/>
          <w:szCs w:val="24"/>
        </w:rPr>
        <w:t>EPA Grants Policy Issuance (GPI) 14-02: Enhancing Public Awarene</w:t>
      </w:r>
      <w:r w:rsidRPr="007D33DE" w:rsidR="00B9264C">
        <w:rPr>
          <w:rFonts w:ascii="Times New Roman" w:hAnsi="Times New Roman" w:cs="Times New Roman"/>
          <w:i/>
          <w:sz w:val="24"/>
          <w:szCs w:val="24"/>
        </w:rPr>
        <w:t>ss of EPA Assistance Agreements</w:t>
      </w:r>
      <w:r>
        <w:rPr>
          <w:rFonts w:ascii="Times New Roman" w:hAnsi="Times New Roman" w:cs="Times New Roman"/>
          <w:i/>
          <w:sz w:val="24"/>
          <w:szCs w:val="24"/>
        </w:rPr>
        <w:t xml:space="preserve"> </w:t>
      </w:r>
      <w:r w:rsidR="00403E12">
        <w:rPr>
          <w:rFonts w:ascii="Times New Roman" w:hAnsi="Times New Roman" w:cs="Times New Roman"/>
          <w:sz w:val="24"/>
          <w:szCs w:val="24"/>
        </w:rPr>
        <w:t xml:space="preserve">requires </w:t>
      </w:r>
      <w:r w:rsidR="00C16A8E">
        <w:rPr>
          <w:rFonts w:ascii="Times New Roman" w:hAnsi="Times New Roman" w:cs="Times New Roman"/>
          <w:sz w:val="24"/>
          <w:szCs w:val="24"/>
        </w:rPr>
        <w:t>CWSRF bo</w:t>
      </w:r>
      <w:r w:rsidR="00403E12">
        <w:rPr>
          <w:rFonts w:ascii="Times New Roman" w:hAnsi="Times New Roman" w:cs="Times New Roman"/>
          <w:sz w:val="24"/>
          <w:szCs w:val="24"/>
        </w:rPr>
        <w:t xml:space="preserve">rrowers </w:t>
      </w:r>
      <w:r w:rsidR="00C16A8E">
        <w:rPr>
          <w:rFonts w:ascii="Times New Roman" w:hAnsi="Times New Roman" w:cs="Times New Roman"/>
          <w:sz w:val="24"/>
          <w:szCs w:val="24"/>
        </w:rPr>
        <w:t xml:space="preserve">designated as recipients of federal funds </w:t>
      </w:r>
      <w:r w:rsidRPr="00806E22" w:rsidR="00EF1952">
        <w:rPr>
          <w:rFonts w:ascii="Times New Roman" w:hAnsi="Times New Roman" w:cs="Times New Roman"/>
          <w:sz w:val="24"/>
          <w:szCs w:val="24"/>
        </w:rPr>
        <w:t>to publicize</w:t>
      </w:r>
      <w:r w:rsidR="00403E12">
        <w:rPr>
          <w:rFonts w:ascii="Times New Roman" w:hAnsi="Times New Roman" w:cs="Times New Roman"/>
          <w:sz w:val="24"/>
          <w:szCs w:val="24"/>
        </w:rPr>
        <w:t xml:space="preserve"> EPA’s involvement in the</w:t>
      </w:r>
      <w:r w:rsidRPr="00806E22" w:rsidR="00EF1952">
        <w:rPr>
          <w:rFonts w:ascii="Times New Roman" w:hAnsi="Times New Roman" w:cs="Times New Roman"/>
          <w:sz w:val="24"/>
          <w:szCs w:val="24"/>
        </w:rPr>
        <w:t xml:space="preserve"> funding</w:t>
      </w:r>
      <w:r w:rsidR="00403E12">
        <w:rPr>
          <w:rFonts w:ascii="Times New Roman" w:hAnsi="Times New Roman" w:cs="Times New Roman"/>
          <w:sz w:val="24"/>
          <w:szCs w:val="24"/>
        </w:rPr>
        <w:t xml:space="preserve"> of the project. The purpose of this policy</w:t>
      </w:r>
      <w:r w:rsidRPr="00806E22" w:rsidR="00EF1952">
        <w:rPr>
          <w:rFonts w:ascii="Times New Roman" w:hAnsi="Times New Roman" w:cs="Times New Roman"/>
          <w:sz w:val="24"/>
          <w:szCs w:val="24"/>
        </w:rPr>
        <w:t xml:space="preserve"> is</w:t>
      </w:r>
      <w:r w:rsidR="004F44EC">
        <w:rPr>
          <w:rFonts w:ascii="Times New Roman" w:hAnsi="Times New Roman" w:cs="Times New Roman"/>
          <w:sz w:val="24"/>
          <w:szCs w:val="24"/>
        </w:rPr>
        <w:t xml:space="preserve"> to</w:t>
      </w:r>
      <w:r w:rsidRPr="00806E22" w:rsidR="00EF1952">
        <w:rPr>
          <w:rFonts w:ascii="Times New Roman" w:hAnsi="Times New Roman" w:cs="Times New Roman"/>
          <w:sz w:val="24"/>
          <w:szCs w:val="24"/>
        </w:rPr>
        <w:t xml:space="preserve"> enhance public awareness of EPA assistance agreements nationwide and communicate the positive impact and benefits of EPA funding around the country. This requirement went into effect in FY 2015 and applies to all future federal capitaliz</w:t>
      </w:r>
      <w:r w:rsidR="004F44EC">
        <w:rPr>
          <w:rFonts w:ascii="Times New Roman" w:hAnsi="Times New Roman" w:cs="Times New Roman"/>
          <w:sz w:val="24"/>
          <w:szCs w:val="24"/>
        </w:rPr>
        <w:t>ation grant awards</w:t>
      </w:r>
      <w:r w:rsidRPr="00806E22" w:rsidR="00EF1952">
        <w:rPr>
          <w:rFonts w:ascii="Times New Roman" w:hAnsi="Times New Roman" w:cs="Times New Roman"/>
          <w:sz w:val="24"/>
          <w:szCs w:val="24"/>
        </w:rPr>
        <w:t xml:space="preserve">. </w:t>
      </w:r>
    </w:p>
    <w:p w:rsidRPr="00DD5CB7" w:rsidR="00E41F4B" w:rsidP="00DD5CB7" w:rsidRDefault="00E41F4B" w14:paraId="256E51E6" w14:textId="77777777">
      <w:pPr>
        <w:pStyle w:val="NoSpacing"/>
        <w:rPr>
          <w:rFonts w:ascii="Times New Roman" w:hAnsi="Times New Roman" w:cs="Times New Roman"/>
          <w:sz w:val="24"/>
          <w:szCs w:val="24"/>
        </w:rPr>
      </w:pPr>
    </w:p>
    <w:p w:rsidRPr="00997932" w:rsidR="0070336C" w:rsidP="0070336C" w:rsidRDefault="00E84544" w14:paraId="14489915" w14:textId="44C697B5">
      <w:pPr>
        <w:tabs>
          <w:tab w:val="left" w:pos="-1440"/>
        </w:tabs>
        <w:rPr>
          <w:rFonts w:ascii="Times New Roman" w:hAnsi="Times New Roman"/>
          <w:b/>
          <w:szCs w:val="24"/>
        </w:rPr>
      </w:pPr>
      <w:r w:rsidRPr="00997932">
        <w:rPr>
          <w:rFonts w:ascii="Times New Roman" w:hAnsi="Times New Roman"/>
          <w:b/>
          <w:szCs w:val="24"/>
        </w:rPr>
        <w:t xml:space="preserve"> 2. </w:t>
      </w:r>
      <w:r w:rsidR="001A4A0A">
        <w:rPr>
          <w:rFonts w:ascii="Times New Roman" w:hAnsi="Times New Roman"/>
          <w:b/>
          <w:szCs w:val="24"/>
        </w:rPr>
        <w:t>Indicate</w:t>
      </w:r>
      <w:r w:rsidRPr="00997932" w:rsidR="007F1834">
        <w:rPr>
          <w:rFonts w:ascii="Times New Roman" w:hAnsi="Times New Roman"/>
          <w:b/>
          <w:szCs w:val="24"/>
        </w:rPr>
        <w:t xml:space="preserve"> how</w:t>
      </w:r>
      <w:r w:rsidR="00641F2F">
        <w:rPr>
          <w:rFonts w:ascii="Times New Roman" w:hAnsi="Times New Roman"/>
          <w:b/>
          <w:szCs w:val="24"/>
        </w:rPr>
        <w:t>, by whom, and for what purpose</w:t>
      </w:r>
      <w:r w:rsidRPr="00997932" w:rsidR="007F1834">
        <w:rPr>
          <w:rFonts w:ascii="Times New Roman" w:hAnsi="Times New Roman"/>
          <w:b/>
          <w:szCs w:val="24"/>
        </w:rPr>
        <w:t xml:space="preserve"> the information is to be used. Except for a new collection, indicate the actual use the agency has made of the information received from the collection. </w:t>
      </w:r>
    </w:p>
    <w:p w:rsidR="00120F52" w:rsidP="00120F52" w:rsidRDefault="00120F52" w14:paraId="40257AC5" w14:textId="77777777">
      <w:pPr>
        <w:autoSpaceDE w:val="0"/>
        <w:autoSpaceDN w:val="0"/>
        <w:adjustRightInd w:val="0"/>
        <w:rPr>
          <w:rFonts w:ascii="Times New Roman" w:hAnsi="Times New Roman"/>
        </w:rPr>
      </w:pPr>
    </w:p>
    <w:p w:rsidRPr="000F7F50" w:rsidR="00120F52" w:rsidP="00120F52" w:rsidRDefault="00862F42" w14:paraId="78E39D9F" w14:textId="0DF699C5">
      <w:pPr>
        <w:autoSpaceDE w:val="0"/>
        <w:autoSpaceDN w:val="0"/>
        <w:adjustRightInd w:val="0"/>
        <w:rPr>
          <w:rFonts w:ascii="Times New Roman" w:hAnsi="Times New Roman"/>
        </w:rPr>
      </w:pPr>
      <w:r w:rsidRPr="00F06EEF">
        <w:rPr>
          <w:rFonts w:ascii="Times New Roman" w:hAnsi="Times New Roman"/>
        </w:rPr>
        <w:t>The inform</w:t>
      </w:r>
      <w:r w:rsidRPr="00F06EEF" w:rsidR="00806E22">
        <w:rPr>
          <w:rFonts w:ascii="Times New Roman" w:hAnsi="Times New Roman"/>
        </w:rPr>
        <w:t>ation collection activities</w:t>
      </w:r>
      <w:r w:rsidRPr="00F06EEF" w:rsidR="00510968">
        <w:rPr>
          <w:rFonts w:ascii="Times New Roman" w:hAnsi="Times New Roman"/>
        </w:rPr>
        <w:t xml:space="preserve"> serve several important functions. Foremost, they are the means by which EPA </w:t>
      </w:r>
      <w:r w:rsidR="00641F2F">
        <w:rPr>
          <w:rFonts w:ascii="Times New Roman" w:hAnsi="Times New Roman"/>
        </w:rPr>
        <w:t>can</w:t>
      </w:r>
      <w:r w:rsidR="008504C0">
        <w:rPr>
          <w:rFonts w:ascii="Times New Roman" w:hAnsi="Times New Roman"/>
        </w:rPr>
        <w:t xml:space="preserve"> assess</w:t>
      </w:r>
      <w:r w:rsidRPr="00F06EEF" w:rsidR="00A70789">
        <w:rPr>
          <w:rFonts w:ascii="Times New Roman" w:hAnsi="Times New Roman"/>
        </w:rPr>
        <w:t xml:space="preserve"> whether </w:t>
      </w:r>
      <w:r w:rsidR="008504C0">
        <w:rPr>
          <w:rFonts w:ascii="Times New Roman" w:hAnsi="Times New Roman"/>
        </w:rPr>
        <w:t xml:space="preserve">the CWSRFs </w:t>
      </w:r>
      <w:r w:rsidRPr="00F06EEF" w:rsidR="00A70789">
        <w:rPr>
          <w:rFonts w:ascii="Times New Roman" w:hAnsi="Times New Roman"/>
        </w:rPr>
        <w:t>are</w:t>
      </w:r>
      <w:r w:rsidR="008504C0">
        <w:rPr>
          <w:rFonts w:ascii="Times New Roman" w:hAnsi="Times New Roman"/>
        </w:rPr>
        <w:t xml:space="preserve"> being properly managed. They factor heavily in</w:t>
      </w:r>
      <w:r w:rsidR="009B6EE6">
        <w:rPr>
          <w:rFonts w:ascii="Times New Roman" w:hAnsi="Times New Roman"/>
        </w:rPr>
        <w:t xml:space="preserve"> </w:t>
      </w:r>
      <w:r w:rsidR="008504C0">
        <w:rPr>
          <w:rFonts w:ascii="Times New Roman" w:hAnsi="Times New Roman"/>
        </w:rPr>
        <w:t>EPA’s</w:t>
      </w:r>
      <w:r w:rsidRPr="00F06EEF" w:rsidR="003840A3">
        <w:rPr>
          <w:rFonts w:ascii="Times New Roman" w:hAnsi="Times New Roman"/>
        </w:rPr>
        <w:t xml:space="preserve"> determination of</w:t>
      </w:r>
      <w:r w:rsidR="008504C0">
        <w:rPr>
          <w:rFonts w:ascii="Times New Roman" w:hAnsi="Times New Roman"/>
        </w:rPr>
        <w:t xml:space="preserve"> whether a CWSRF</w:t>
      </w:r>
      <w:r w:rsidRPr="00F06EEF" w:rsidR="001C4260">
        <w:rPr>
          <w:rFonts w:ascii="Times New Roman" w:hAnsi="Times New Roman"/>
        </w:rPr>
        <w:t xml:space="preserve"> should be awarded a</w:t>
      </w:r>
      <w:r w:rsidRPr="00F06EEF" w:rsidR="00A70789">
        <w:rPr>
          <w:rFonts w:ascii="Times New Roman" w:hAnsi="Times New Roman"/>
        </w:rPr>
        <w:t xml:space="preserve"> </w:t>
      </w:r>
      <w:r w:rsidRPr="00F06EEF" w:rsidR="001C4260">
        <w:rPr>
          <w:rFonts w:ascii="Times New Roman" w:hAnsi="Times New Roman"/>
        </w:rPr>
        <w:t>capitalization grant</w:t>
      </w:r>
      <w:r w:rsidRPr="00F06EEF" w:rsidR="00A70789">
        <w:rPr>
          <w:rFonts w:ascii="Times New Roman" w:hAnsi="Times New Roman"/>
        </w:rPr>
        <w:t>.</w:t>
      </w:r>
      <w:r w:rsidRPr="00F06EEF" w:rsidR="00F11AE5">
        <w:rPr>
          <w:rFonts w:ascii="Times New Roman" w:hAnsi="Times New Roman"/>
        </w:rPr>
        <w:t xml:space="preserve"> The </w:t>
      </w:r>
      <w:r w:rsidRPr="00F06EEF" w:rsidR="00696AE6">
        <w:rPr>
          <w:rFonts w:ascii="Times New Roman" w:hAnsi="Times New Roman"/>
        </w:rPr>
        <w:t>capitalization grant a</w:t>
      </w:r>
      <w:r w:rsidRPr="00F06EEF" w:rsidR="003D2E21">
        <w:rPr>
          <w:rFonts w:ascii="Times New Roman" w:hAnsi="Times New Roman"/>
        </w:rPr>
        <w:t>g</w:t>
      </w:r>
      <w:r w:rsidRPr="00F06EEF" w:rsidR="00696AE6">
        <w:rPr>
          <w:rFonts w:ascii="Times New Roman" w:hAnsi="Times New Roman"/>
        </w:rPr>
        <w:t>reement/intended use p</w:t>
      </w:r>
      <w:r w:rsidRPr="00F06EEF" w:rsidR="00F8594A">
        <w:rPr>
          <w:rFonts w:ascii="Times New Roman" w:hAnsi="Times New Roman"/>
        </w:rPr>
        <w:t>lan</w:t>
      </w:r>
      <w:r w:rsidRPr="00F06EEF" w:rsidR="002A4AFE">
        <w:rPr>
          <w:rFonts w:ascii="Times New Roman" w:hAnsi="Times New Roman"/>
        </w:rPr>
        <w:t xml:space="preserve"> </w:t>
      </w:r>
      <w:r w:rsidRPr="00F06EEF" w:rsidR="00696AE6">
        <w:rPr>
          <w:rFonts w:ascii="Times New Roman" w:hAnsi="Times New Roman"/>
        </w:rPr>
        <w:t xml:space="preserve">not only </w:t>
      </w:r>
      <w:r w:rsidRPr="00F06EEF" w:rsidR="00D86923">
        <w:rPr>
          <w:rFonts w:ascii="Times New Roman" w:hAnsi="Times New Roman"/>
        </w:rPr>
        <w:t xml:space="preserve">provides </w:t>
      </w:r>
      <w:r w:rsidRPr="00F06EEF" w:rsidR="00696AE6">
        <w:rPr>
          <w:rFonts w:ascii="Times New Roman" w:hAnsi="Times New Roman"/>
        </w:rPr>
        <w:t>det</w:t>
      </w:r>
      <w:r w:rsidR="00641F2F">
        <w:rPr>
          <w:rFonts w:ascii="Times New Roman" w:hAnsi="Times New Roman"/>
        </w:rPr>
        <w:t xml:space="preserve">ailed information on how a </w:t>
      </w:r>
      <w:r w:rsidR="008504C0">
        <w:rPr>
          <w:rFonts w:ascii="Times New Roman" w:hAnsi="Times New Roman"/>
        </w:rPr>
        <w:t>CWSRF</w:t>
      </w:r>
      <w:r w:rsidRPr="00F06EEF" w:rsidR="00696AE6">
        <w:rPr>
          <w:rFonts w:ascii="Times New Roman" w:hAnsi="Times New Roman"/>
        </w:rPr>
        <w:t xml:space="preserve"> will</w:t>
      </w:r>
      <w:r w:rsidRPr="00F06EEF" w:rsidR="00550479">
        <w:rPr>
          <w:rFonts w:ascii="Times New Roman" w:hAnsi="Times New Roman"/>
        </w:rPr>
        <w:t xml:space="preserve"> operate its program in the </w:t>
      </w:r>
      <w:r w:rsidRPr="00F06EEF" w:rsidR="00696AE6">
        <w:rPr>
          <w:rFonts w:ascii="Times New Roman" w:hAnsi="Times New Roman"/>
        </w:rPr>
        <w:t>up</w:t>
      </w:r>
      <w:r w:rsidRPr="00F06EEF" w:rsidR="00550479">
        <w:rPr>
          <w:rFonts w:ascii="Times New Roman" w:hAnsi="Times New Roman"/>
        </w:rPr>
        <w:t xml:space="preserve">coming year, </w:t>
      </w:r>
      <w:r w:rsidRPr="00F06EEF" w:rsidR="003A0D67">
        <w:rPr>
          <w:rFonts w:ascii="Times New Roman" w:hAnsi="Times New Roman"/>
        </w:rPr>
        <w:t>it is</w:t>
      </w:r>
      <w:r w:rsidRPr="00F06EEF" w:rsidR="00E061D3">
        <w:rPr>
          <w:rFonts w:ascii="Times New Roman" w:hAnsi="Times New Roman"/>
        </w:rPr>
        <w:t xml:space="preserve"> instrument</w:t>
      </w:r>
      <w:r w:rsidRPr="00F06EEF" w:rsidR="003A0D67">
        <w:rPr>
          <w:rFonts w:ascii="Times New Roman" w:hAnsi="Times New Roman"/>
        </w:rPr>
        <w:t xml:space="preserve">al in </w:t>
      </w:r>
      <w:r w:rsidRPr="00F06EEF" w:rsidR="00550479">
        <w:rPr>
          <w:rFonts w:ascii="Times New Roman" w:hAnsi="Times New Roman"/>
        </w:rPr>
        <w:t>legally</w:t>
      </w:r>
      <w:r w:rsidRPr="00F06EEF" w:rsidR="003A0D67">
        <w:rPr>
          <w:rFonts w:ascii="Times New Roman" w:hAnsi="Times New Roman"/>
        </w:rPr>
        <w:t xml:space="preserve"> binding</w:t>
      </w:r>
      <w:r w:rsidR="008504C0">
        <w:rPr>
          <w:rFonts w:ascii="Times New Roman" w:hAnsi="Times New Roman"/>
        </w:rPr>
        <w:t xml:space="preserve"> a CWSRF</w:t>
      </w:r>
      <w:r w:rsidRPr="00F06EEF" w:rsidR="00E061D3">
        <w:rPr>
          <w:rFonts w:ascii="Times New Roman" w:hAnsi="Times New Roman"/>
        </w:rPr>
        <w:t xml:space="preserve"> to</w:t>
      </w:r>
      <w:r w:rsidRPr="00F06EEF" w:rsidR="00550479">
        <w:rPr>
          <w:rFonts w:ascii="Times New Roman" w:hAnsi="Times New Roman"/>
        </w:rPr>
        <w:t xml:space="preserve"> fulfilling its </w:t>
      </w:r>
      <w:r w:rsidRPr="00F06EEF" w:rsidR="002A4AFE">
        <w:rPr>
          <w:rFonts w:ascii="Times New Roman" w:hAnsi="Times New Roman"/>
        </w:rPr>
        <w:t>responsibilities under the CWA.</w:t>
      </w:r>
      <w:r w:rsidRPr="00F06EEF" w:rsidR="00550479">
        <w:rPr>
          <w:rFonts w:ascii="Times New Roman" w:hAnsi="Times New Roman"/>
        </w:rPr>
        <w:t xml:space="preserve"> </w:t>
      </w:r>
      <w:r w:rsidRPr="00F06EEF" w:rsidR="00E061D3">
        <w:rPr>
          <w:rFonts w:ascii="Times New Roman" w:hAnsi="Times New Roman"/>
        </w:rPr>
        <w:t xml:space="preserve">Working in concert with </w:t>
      </w:r>
      <w:r w:rsidRPr="00F06EEF" w:rsidR="00696AE6">
        <w:rPr>
          <w:rFonts w:ascii="Times New Roman" w:hAnsi="Times New Roman"/>
        </w:rPr>
        <w:t>the capitalization grant agreement/intended use p</w:t>
      </w:r>
      <w:r w:rsidRPr="00F06EEF" w:rsidR="003D2E21">
        <w:rPr>
          <w:rFonts w:ascii="Times New Roman" w:hAnsi="Times New Roman"/>
        </w:rPr>
        <w:t>lan are the annual rep</w:t>
      </w:r>
      <w:r w:rsidRPr="00F06EEF" w:rsidR="00E061D3">
        <w:rPr>
          <w:rFonts w:ascii="Times New Roman" w:hAnsi="Times New Roman"/>
        </w:rPr>
        <w:t xml:space="preserve">ort and audit, which </w:t>
      </w:r>
      <w:r w:rsidRPr="00F06EEF" w:rsidR="003D2E21">
        <w:rPr>
          <w:rFonts w:ascii="Times New Roman" w:hAnsi="Times New Roman"/>
        </w:rPr>
        <w:t>provide</w:t>
      </w:r>
      <w:r w:rsidRPr="00F06EEF" w:rsidR="00E061D3">
        <w:rPr>
          <w:rFonts w:ascii="Times New Roman" w:hAnsi="Times New Roman"/>
        </w:rPr>
        <w:t xml:space="preserve"> EPA with </w:t>
      </w:r>
      <w:r w:rsidRPr="00F06EEF" w:rsidR="0015426F">
        <w:rPr>
          <w:rFonts w:ascii="Times New Roman" w:hAnsi="Times New Roman"/>
        </w:rPr>
        <w:t xml:space="preserve">documentation that a CWSRF </w:t>
      </w:r>
      <w:r w:rsidRPr="00F06EEF" w:rsidR="00E00859">
        <w:rPr>
          <w:rFonts w:ascii="Times New Roman" w:hAnsi="Times New Roman"/>
        </w:rPr>
        <w:t>is actually operating</w:t>
      </w:r>
      <w:r w:rsidRPr="00F06EEF" w:rsidR="003840A3">
        <w:rPr>
          <w:rFonts w:ascii="Times New Roman" w:hAnsi="Times New Roman"/>
        </w:rPr>
        <w:t xml:space="preserve"> </w:t>
      </w:r>
      <w:r w:rsidRPr="00F06EEF" w:rsidR="00E061D3">
        <w:rPr>
          <w:rFonts w:ascii="Times New Roman" w:hAnsi="Times New Roman"/>
        </w:rPr>
        <w:t>in compliance with the CWA</w:t>
      </w:r>
      <w:r w:rsidRPr="00F06EEF" w:rsidR="00E00859">
        <w:rPr>
          <w:rFonts w:ascii="Times New Roman" w:hAnsi="Times New Roman"/>
        </w:rPr>
        <w:t xml:space="preserve"> and thus sufficiently meeting the assurances provided through the capitalization grant agreement</w:t>
      </w:r>
      <w:r w:rsidR="008504C0">
        <w:rPr>
          <w:rFonts w:ascii="Times New Roman" w:hAnsi="Times New Roman"/>
        </w:rPr>
        <w:t>/intended use plan</w:t>
      </w:r>
      <w:r w:rsidRPr="00F06EEF" w:rsidR="00F11AE5">
        <w:rPr>
          <w:rFonts w:ascii="Times New Roman" w:hAnsi="Times New Roman"/>
        </w:rPr>
        <w:t xml:space="preserve">. </w:t>
      </w:r>
      <w:r w:rsidR="003F2ECD">
        <w:rPr>
          <w:rFonts w:ascii="Times New Roman" w:hAnsi="Times New Roman"/>
        </w:rPr>
        <w:t>While t</w:t>
      </w:r>
      <w:r w:rsidRPr="00F06EEF" w:rsidR="00E061D3">
        <w:rPr>
          <w:rFonts w:ascii="Times New Roman" w:hAnsi="Times New Roman"/>
        </w:rPr>
        <w:t xml:space="preserve">he CWNIMS </w:t>
      </w:r>
      <w:r w:rsidRPr="00F06EEF" w:rsidR="003840A3">
        <w:rPr>
          <w:rFonts w:ascii="Times New Roman" w:hAnsi="Times New Roman"/>
        </w:rPr>
        <w:t>and CBR databases</w:t>
      </w:r>
      <w:r w:rsidRPr="00F06EEF" w:rsidR="0033340F">
        <w:rPr>
          <w:rFonts w:ascii="Times New Roman" w:hAnsi="Times New Roman"/>
        </w:rPr>
        <w:t xml:space="preserve"> </w:t>
      </w:r>
      <w:r w:rsidR="003F2ECD">
        <w:rPr>
          <w:rFonts w:ascii="Times New Roman" w:hAnsi="Times New Roman"/>
        </w:rPr>
        <w:t>support program oversight</w:t>
      </w:r>
      <w:r w:rsidR="00B676A5">
        <w:rPr>
          <w:rFonts w:ascii="Times New Roman" w:hAnsi="Times New Roman"/>
        </w:rPr>
        <w:t xml:space="preserve">, they </w:t>
      </w:r>
      <w:r w:rsidR="004F44EC">
        <w:rPr>
          <w:rFonts w:ascii="Times New Roman" w:hAnsi="Times New Roman"/>
        </w:rPr>
        <w:t xml:space="preserve">also </w:t>
      </w:r>
      <w:r w:rsidR="00CB0721">
        <w:rPr>
          <w:rFonts w:ascii="Times New Roman" w:hAnsi="Times New Roman"/>
        </w:rPr>
        <w:t xml:space="preserve">have an </w:t>
      </w:r>
      <w:r w:rsidR="004F44EC">
        <w:rPr>
          <w:rFonts w:ascii="Times New Roman" w:hAnsi="Times New Roman"/>
        </w:rPr>
        <w:t>important role when it comes to</w:t>
      </w:r>
      <w:r w:rsidR="003F2ECD">
        <w:rPr>
          <w:rFonts w:ascii="Times New Roman" w:hAnsi="Times New Roman"/>
        </w:rPr>
        <w:t xml:space="preserve"> public outreach and responding to stakeholder inquiries</w:t>
      </w:r>
      <w:r w:rsidR="00B676A5">
        <w:rPr>
          <w:rFonts w:ascii="Times New Roman" w:hAnsi="Times New Roman"/>
        </w:rPr>
        <w:t xml:space="preserve"> in a prompt and effective manner</w:t>
      </w:r>
      <w:r w:rsidRPr="00F06EEF" w:rsidR="00F06EEF">
        <w:rPr>
          <w:rFonts w:ascii="Times New Roman" w:hAnsi="Times New Roman"/>
        </w:rPr>
        <w:t xml:space="preserve">. </w:t>
      </w:r>
      <w:r w:rsidRPr="00F06EEF" w:rsidR="000F7F50">
        <w:rPr>
          <w:rFonts w:ascii="Times New Roman" w:hAnsi="Times New Roman"/>
        </w:rPr>
        <w:t>T</w:t>
      </w:r>
      <w:r w:rsidRPr="00F06EEF" w:rsidR="00F71FD1">
        <w:rPr>
          <w:rFonts w:ascii="Times New Roman" w:hAnsi="Times New Roman"/>
        </w:rPr>
        <w:t>he</w:t>
      </w:r>
      <w:r w:rsidRPr="00F06EEF" w:rsidR="00963259">
        <w:rPr>
          <w:rFonts w:ascii="Times New Roman" w:hAnsi="Times New Roman"/>
        </w:rPr>
        <w:t xml:space="preserve"> purpose of the</w:t>
      </w:r>
      <w:r w:rsidRPr="00F06EEF" w:rsidR="00F71FD1">
        <w:rPr>
          <w:rFonts w:ascii="Times New Roman" w:hAnsi="Times New Roman"/>
        </w:rPr>
        <w:t xml:space="preserve"> </w:t>
      </w:r>
      <w:r w:rsidRPr="00F06EEF" w:rsidR="00CC4588">
        <w:rPr>
          <w:rFonts w:ascii="Times New Roman" w:hAnsi="Times New Roman"/>
        </w:rPr>
        <w:t xml:space="preserve">new public awareness </w:t>
      </w:r>
      <w:r w:rsidR="008504C0">
        <w:rPr>
          <w:rFonts w:ascii="Times New Roman" w:hAnsi="Times New Roman"/>
        </w:rPr>
        <w:t>policy</w:t>
      </w:r>
      <w:r w:rsidRPr="00F06EEF" w:rsidR="00963259">
        <w:rPr>
          <w:rFonts w:ascii="Times New Roman" w:hAnsi="Times New Roman"/>
        </w:rPr>
        <w:t xml:space="preserve"> is to better</w:t>
      </w:r>
      <w:r w:rsidRPr="00F06EEF" w:rsidR="000F7F50">
        <w:rPr>
          <w:rFonts w:ascii="Times New Roman" w:hAnsi="Times New Roman"/>
        </w:rPr>
        <w:t xml:space="preserve"> </w:t>
      </w:r>
      <w:r w:rsidRPr="00F06EEF" w:rsidR="00C72789">
        <w:rPr>
          <w:rFonts w:ascii="Times New Roman" w:hAnsi="Times New Roman"/>
        </w:rPr>
        <w:t xml:space="preserve">inform the public of the role EPA has in supporting </w:t>
      </w:r>
      <w:r w:rsidRPr="00F06EEF" w:rsidR="003840A3">
        <w:rPr>
          <w:rFonts w:ascii="Times New Roman" w:hAnsi="Times New Roman"/>
        </w:rPr>
        <w:t xml:space="preserve">CWSRF funded projects that </w:t>
      </w:r>
      <w:r w:rsidRPr="00F06EEF" w:rsidR="00C72789">
        <w:rPr>
          <w:rFonts w:ascii="Times New Roman" w:hAnsi="Times New Roman"/>
        </w:rPr>
        <w:t>yield numerous economic and environmental benefits.</w:t>
      </w:r>
      <w:r w:rsidR="00F71FD1">
        <w:rPr>
          <w:rFonts w:ascii="Times New Roman" w:hAnsi="Times New Roman"/>
        </w:rPr>
        <w:t xml:space="preserve"> </w:t>
      </w:r>
    </w:p>
    <w:p w:rsidR="00A825B3" w:rsidP="00045838" w:rsidRDefault="00A825B3" w14:paraId="4F22D698" w14:textId="77777777">
      <w:pPr>
        <w:widowControl/>
        <w:autoSpaceDE w:val="0"/>
        <w:autoSpaceDN w:val="0"/>
        <w:adjustRightInd w:val="0"/>
        <w:rPr>
          <w:rFonts w:ascii="Times New Roman" w:hAnsi="Times New Roman"/>
          <w:u w:val="single"/>
        </w:rPr>
      </w:pPr>
    </w:p>
    <w:p w:rsidRPr="00F71FD1" w:rsidR="00F71FD1" w:rsidP="00045838" w:rsidRDefault="00B70998" w14:paraId="068F6C8C" w14:textId="263371E5">
      <w:pPr>
        <w:widowControl/>
        <w:autoSpaceDE w:val="0"/>
        <w:autoSpaceDN w:val="0"/>
        <w:adjustRightInd w:val="0"/>
        <w:rPr>
          <w:rFonts w:ascii="Times New Roman" w:hAnsi="Times New Roman"/>
        </w:rPr>
      </w:pPr>
      <w:r>
        <w:rPr>
          <w:rFonts w:ascii="Times New Roman" w:hAnsi="Times New Roman"/>
        </w:rPr>
        <w:t>T</w:t>
      </w:r>
      <w:r w:rsidR="003840A3">
        <w:rPr>
          <w:rFonts w:ascii="Times New Roman" w:hAnsi="Times New Roman"/>
        </w:rPr>
        <w:t>he respondent</w:t>
      </w:r>
      <w:r w:rsidR="00963259">
        <w:rPr>
          <w:rFonts w:ascii="Times New Roman" w:hAnsi="Times New Roman"/>
        </w:rPr>
        <w:t>s</w:t>
      </w:r>
      <w:r w:rsidR="003840A3">
        <w:rPr>
          <w:rFonts w:ascii="Times New Roman" w:hAnsi="Times New Roman"/>
        </w:rPr>
        <w:t xml:space="preserve"> for </w:t>
      </w:r>
      <w:r>
        <w:rPr>
          <w:rFonts w:ascii="Times New Roman" w:hAnsi="Times New Roman"/>
        </w:rPr>
        <w:t xml:space="preserve">most of </w:t>
      </w:r>
      <w:r w:rsidR="003840A3">
        <w:rPr>
          <w:rFonts w:ascii="Times New Roman" w:hAnsi="Times New Roman"/>
        </w:rPr>
        <w:t>the information collection activities</w:t>
      </w:r>
      <w:r w:rsidR="00963259">
        <w:rPr>
          <w:rFonts w:ascii="Times New Roman" w:hAnsi="Times New Roman"/>
        </w:rPr>
        <w:t xml:space="preserve"> </w:t>
      </w:r>
      <w:r w:rsidR="00660959">
        <w:rPr>
          <w:rFonts w:ascii="Times New Roman" w:hAnsi="Times New Roman"/>
        </w:rPr>
        <w:t xml:space="preserve">are </w:t>
      </w:r>
      <w:r w:rsidR="00085016">
        <w:rPr>
          <w:rFonts w:ascii="Times New Roman" w:hAnsi="Times New Roman"/>
        </w:rPr>
        <w:t>the</w:t>
      </w:r>
      <w:r w:rsidR="00660959">
        <w:rPr>
          <w:rFonts w:ascii="Times New Roman" w:hAnsi="Times New Roman"/>
        </w:rPr>
        <w:t xml:space="preserve"> state environmental department</w:t>
      </w:r>
      <w:r w:rsidR="005B739C">
        <w:rPr>
          <w:rFonts w:ascii="Times New Roman" w:hAnsi="Times New Roman"/>
        </w:rPr>
        <w:t>s</w:t>
      </w:r>
      <w:r w:rsidR="00660959">
        <w:rPr>
          <w:rFonts w:ascii="Times New Roman" w:hAnsi="Times New Roman"/>
        </w:rPr>
        <w:t>, and/or finance a</w:t>
      </w:r>
      <w:r w:rsidR="005B739C">
        <w:rPr>
          <w:rFonts w:ascii="Times New Roman" w:hAnsi="Times New Roman"/>
        </w:rPr>
        <w:t xml:space="preserve">gencies </w:t>
      </w:r>
      <w:r w:rsidR="00085016">
        <w:rPr>
          <w:rFonts w:ascii="Times New Roman" w:hAnsi="Times New Roman"/>
        </w:rPr>
        <w:t>responsible</w:t>
      </w:r>
      <w:r w:rsidR="005B739C">
        <w:rPr>
          <w:rFonts w:ascii="Times New Roman" w:hAnsi="Times New Roman"/>
        </w:rPr>
        <w:t xml:space="preserve"> for operating the CWSR</w:t>
      </w:r>
      <w:r w:rsidRPr="008053CE" w:rsidR="005B739C">
        <w:rPr>
          <w:rFonts w:ascii="Times New Roman" w:hAnsi="Times New Roman"/>
        </w:rPr>
        <w:t>Fs</w:t>
      </w:r>
      <w:r w:rsidR="00B84D0A">
        <w:rPr>
          <w:rFonts w:ascii="Times New Roman" w:hAnsi="Times New Roman"/>
        </w:rPr>
        <w:t xml:space="preserve"> (NAICS Code</w:t>
      </w:r>
      <w:r w:rsidR="00513FB2">
        <w:rPr>
          <w:rFonts w:ascii="Times New Roman" w:hAnsi="Times New Roman"/>
        </w:rPr>
        <w:t xml:space="preserve"> #</w:t>
      </w:r>
      <w:r w:rsidR="00B84D0A">
        <w:rPr>
          <w:rFonts w:ascii="Times New Roman" w:hAnsi="Times New Roman"/>
        </w:rPr>
        <w:t xml:space="preserve"> </w:t>
      </w:r>
      <w:r w:rsidR="00513FB2">
        <w:rPr>
          <w:rFonts w:ascii="Times New Roman" w:hAnsi="Times New Roman"/>
        </w:rPr>
        <w:t>999200)</w:t>
      </w:r>
      <w:r w:rsidRPr="008053CE" w:rsidR="00E02D64">
        <w:rPr>
          <w:rFonts w:ascii="Times New Roman" w:hAnsi="Times New Roman"/>
        </w:rPr>
        <w:t xml:space="preserve">. </w:t>
      </w:r>
      <w:r w:rsidRPr="008053CE" w:rsidR="00234913">
        <w:rPr>
          <w:rFonts w:ascii="Times New Roman" w:hAnsi="Times New Roman"/>
        </w:rPr>
        <w:t>A</w:t>
      </w:r>
      <w:r w:rsidRPr="008053CE" w:rsidR="00E02D64">
        <w:rPr>
          <w:rFonts w:ascii="Times New Roman" w:hAnsi="Times New Roman"/>
        </w:rPr>
        <w:t xml:space="preserve"> notable excepti</w:t>
      </w:r>
      <w:r w:rsidRPr="008053CE" w:rsidR="000D1232">
        <w:rPr>
          <w:rFonts w:ascii="Times New Roman" w:hAnsi="Times New Roman"/>
        </w:rPr>
        <w:t xml:space="preserve">on is </w:t>
      </w:r>
      <w:r w:rsidR="00E02D64">
        <w:rPr>
          <w:rFonts w:ascii="Times New Roman" w:hAnsi="Times New Roman"/>
        </w:rPr>
        <w:t>t</w:t>
      </w:r>
      <w:r w:rsidR="00654FA9">
        <w:rPr>
          <w:rFonts w:ascii="Times New Roman" w:hAnsi="Times New Roman"/>
        </w:rPr>
        <w:t>he public awareness policy</w:t>
      </w:r>
      <w:r w:rsidR="001678D9">
        <w:rPr>
          <w:rFonts w:ascii="Times New Roman" w:hAnsi="Times New Roman"/>
        </w:rPr>
        <w:t>, which</w:t>
      </w:r>
      <w:r w:rsidR="00654FA9">
        <w:rPr>
          <w:rFonts w:ascii="Times New Roman" w:hAnsi="Times New Roman"/>
        </w:rPr>
        <w:t xml:space="preserve"> directly impacts CWSRFs borrowers</w:t>
      </w:r>
      <w:r w:rsidR="00513FB2">
        <w:rPr>
          <w:rFonts w:ascii="Times New Roman" w:hAnsi="Times New Roman"/>
        </w:rPr>
        <w:t xml:space="preserve"> (NAICS Code # 999300)</w:t>
      </w:r>
      <w:r w:rsidR="00654FA9">
        <w:rPr>
          <w:rFonts w:ascii="Times New Roman" w:hAnsi="Times New Roman"/>
        </w:rPr>
        <w:t xml:space="preserve"> that are designated as recipients of federal fun</w:t>
      </w:r>
      <w:r>
        <w:rPr>
          <w:rFonts w:ascii="Times New Roman" w:hAnsi="Times New Roman"/>
        </w:rPr>
        <w:t>ds.</w:t>
      </w:r>
      <w:r w:rsidR="00B84D0A">
        <w:rPr>
          <w:rFonts w:ascii="Times New Roman" w:hAnsi="Times New Roman"/>
        </w:rPr>
        <w:t xml:space="preserve"> </w:t>
      </w:r>
      <w:r>
        <w:rPr>
          <w:rFonts w:ascii="Times New Roman" w:hAnsi="Times New Roman"/>
        </w:rPr>
        <w:t xml:space="preserve"> </w:t>
      </w:r>
      <w:r w:rsidR="00660959">
        <w:rPr>
          <w:rFonts w:ascii="Times New Roman" w:hAnsi="Times New Roman"/>
        </w:rPr>
        <w:t xml:space="preserve"> </w:t>
      </w:r>
    </w:p>
    <w:p w:rsidR="001A4A0A" w:rsidP="00045838" w:rsidRDefault="001A4A0A" w14:paraId="4743FCD8" w14:textId="77777777">
      <w:pPr>
        <w:widowControl/>
        <w:autoSpaceDE w:val="0"/>
        <w:autoSpaceDN w:val="0"/>
        <w:adjustRightInd w:val="0"/>
        <w:rPr>
          <w:rFonts w:ascii="Times New Roman" w:hAnsi="Times New Roman"/>
          <w:u w:val="single"/>
        </w:rPr>
      </w:pPr>
    </w:p>
    <w:p w:rsidR="005B763E" w:rsidP="00045838" w:rsidRDefault="005B763E" w14:paraId="1647B6F9" w14:textId="77777777">
      <w:pPr>
        <w:widowControl/>
        <w:autoSpaceDE w:val="0"/>
        <w:autoSpaceDN w:val="0"/>
        <w:adjustRightInd w:val="0"/>
        <w:rPr>
          <w:rFonts w:ascii="Times New Roman" w:hAnsi="Times New Roman"/>
          <w:u w:val="single"/>
        </w:rPr>
      </w:pPr>
      <w:r w:rsidRPr="00F55905">
        <w:rPr>
          <w:rFonts w:ascii="Times New Roman" w:hAnsi="Times New Roman"/>
          <w:u w:val="single"/>
        </w:rPr>
        <w:lastRenderedPageBreak/>
        <w:t>Capitalization Grant Agreement</w:t>
      </w:r>
      <w:r>
        <w:rPr>
          <w:rFonts w:ascii="Times New Roman" w:hAnsi="Times New Roman"/>
          <w:u w:val="single"/>
        </w:rPr>
        <w:t xml:space="preserve"> / Intended Use Plan</w:t>
      </w:r>
    </w:p>
    <w:p w:rsidR="005B763E" w:rsidP="00045838" w:rsidRDefault="005B763E" w14:paraId="58433364" w14:textId="77777777">
      <w:pPr>
        <w:widowControl/>
        <w:autoSpaceDE w:val="0"/>
        <w:autoSpaceDN w:val="0"/>
        <w:adjustRightInd w:val="0"/>
        <w:rPr>
          <w:rFonts w:ascii="Times New Roman" w:hAnsi="Times New Roman"/>
          <w:u w:val="single"/>
        </w:rPr>
      </w:pPr>
    </w:p>
    <w:p w:rsidRPr="00295B95" w:rsidR="00045838" w:rsidP="001A47BD" w:rsidRDefault="003A0D67" w14:paraId="301748FE" w14:textId="6AB90A4E">
      <w:pPr>
        <w:widowControl/>
        <w:autoSpaceDE w:val="0"/>
        <w:autoSpaceDN w:val="0"/>
        <w:adjustRightInd w:val="0"/>
        <w:rPr>
          <w:rFonts w:ascii="Times New Roman" w:hAnsi="Times New Roman"/>
        </w:rPr>
      </w:pPr>
      <w:r>
        <w:rPr>
          <w:rFonts w:ascii="Times New Roman" w:hAnsi="Times New Roman"/>
        </w:rPr>
        <w:t>The</w:t>
      </w:r>
      <w:r w:rsidR="00204019">
        <w:rPr>
          <w:rFonts w:ascii="Times New Roman" w:hAnsi="Times New Roman"/>
        </w:rPr>
        <w:t xml:space="preserve"> c</w:t>
      </w:r>
      <w:r w:rsidRPr="003A0D67">
        <w:rPr>
          <w:rFonts w:ascii="Times New Roman" w:hAnsi="Times New Roman"/>
        </w:rPr>
        <w:t>apita</w:t>
      </w:r>
      <w:r w:rsidR="00204019">
        <w:rPr>
          <w:rFonts w:ascii="Times New Roman" w:hAnsi="Times New Roman"/>
        </w:rPr>
        <w:t>lization grant a</w:t>
      </w:r>
      <w:r>
        <w:rPr>
          <w:rFonts w:ascii="Times New Roman" w:hAnsi="Times New Roman"/>
        </w:rPr>
        <w:t xml:space="preserve">greement </w:t>
      </w:r>
      <w:r w:rsidRPr="003A0D67">
        <w:rPr>
          <w:rFonts w:ascii="Times New Roman" w:hAnsi="Times New Roman"/>
        </w:rPr>
        <w:t>is the pr</w:t>
      </w:r>
      <w:r>
        <w:rPr>
          <w:rFonts w:ascii="Times New Roman" w:hAnsi="Times New Roman"/>
        </w:rPr>
        <w:t>i</w:t>
      </w:r>
      <w:r w:rsidR="00F81161">
        <w:rPr>
          <w:rFonts w:ascii="Times New Roman" w:hAnsi="Times New Roman"/>
        </w:rPr>
        <w:t>ncipal instrument by which a CWSRF</w:t>
      </w:r>
      <w:r w:rsidRPr="003A0D67">
        <w:rPr>
          <w:rFonts w:ascii="Times New Roman" w:hAnsi="Times New Roman"/>
        </w:rPr>
        <w:t xml:space="preserve"> comm</w:t>
      </w:r>
      <w:r w:rsidR="00F81161">
        <w:rPr>
          <w:rFonts w:ascii="Times New Roman" w:hAnsi="Times New Roman"/>
        </w:rPr>
        <w:t xml:space="preserve">its to manage its </w:t>
      </w:r>
      <w:r>
        <w:rPr>
          <w:rFonts w:ascii="Times New Roman" w:hAnsi="Times New Roman"/>
        </w:rPr>
        <w:t>program in conformance</w:t>
      </w:r>
      <w:r w:rsidR="00CB0721">
        <w:rPr>
          <w:rFonts w:ascii="Times New Roman" w:hAnsi="Times New Roman"/>
        </w:rPr>
        <w:t xml:space="preserve"> with</w:t>
      </w:r>
      <w:r w:rsidRPr="003A0D67">
        <w:rPr>
          <w:rFonts w:ascii="Times New Roman" w:hAnsi="Times New Roman"/>
        </w:rPr>
        <w:t xml:space="preserve"> the requirement</w:t>
      </w:r>
      <w:r>
        <w:rPr>
          <w:rFonts w:ascii="Times New Roman" w:hAnsi="Times New Roman"/>
        </w:rPr>
        <w:t>s</w:t>
      </w:r>
      <w:r w:rsidR="00F81161">
        <w:rPr>
          <w:rFonts w:ascii="Times New Roman" w:hAnsi="Times New Roman"/>
        </w:rPr>
        <w:t xml:space="preserve"> of the CWA as a prerequisite of</w:t>
      </w:r>
      <w:r>
        <w:rPr>
          <w:rFonts w:ascii="Times New Roman" w:hAnsi="Times New Roman"/>
        </w:rPr>
        <w:t xml:space="preserve"> receiving a capitalization grant award</w:t>
      </w:r>
      <w:r w:rsidR="00CE359F">
        <w:rPr>
          <w:rFonts w:ascii="Times New Roman" w:hAnsi="Times New Roman"/>
        </w:rPr>
        <w:t>. The capitalization grant a</w:t>
      </w:r>
      <w:r w:rsidRPr="003A0D67">
        <w:rPr>
          <w:rFonts w:ascii="Times New Roman" w:hAnsi="Times New Roman"/>
        </w:rPr>
        <w:t>greement contains, or incorporates by reference, the following</w:t>
      </w:r>
      <w:r w:rsidR="00496BDF">
        <w:rPr>
          <w:rFonts w:ascii="Times New Roman" w:hAnsi="Times New Roman"/>
        </w:rPr>
        <w:t xml:space="preserve">: </w:t>
      </w:r>
      <w:r w:rsidRPr="003A0D67">
        <w:rPr>
          <w:rFonts w:ascii="Times New Roman" w:hAnsi="Times New Roman"/>
        </w:rPr>
        <w:t xml:space="preserve">the </w:t>
      </w:r>
      <w:r>
        <w:rPr>
          <w:rFonts w:ascii="Times New Roman" w:hAnsi="Times New Roman"/>
        </w:rPr>
        <w:t xml:space="preserve">grant </w:t>
      </w:r>
      <w:r w:rsidRPr="003A0D67">
        <w:rPr>
          <w:rFonts w:ascii="Times New Roman" w:hAnsi="Times New Roman"/>
        </w:rPr>
        <w:t xml:space="preserve">application </w:t>
      </w:r>
      <w:r>
        <w:rPr>
          <w:rFonts w:ascii="Times New Roman" w:hAnsi="Times New Roman"/>
        </w:rPr>
        <w:t>form (EPA Standard Form (SF) No. 424/</w:t>
      </w:r>
      <w:r w:rsidRPr="003A0D67">
        <w:rPr>
          <w:rFonts w:ascii="Times New Roman" w:hAnsi="Times New Roman"/>
        </w:rPr>
        <w:t>OMB N</w:t>
      </w:r>
      <w:r w:rsidR="00496BDF">
        <w:rPr>
          <w:rFonts w:ascii="Times New Roman" w:hAnsi="Times New Roman"/>
        </w:rPr>
        <w:t>o. 2020-0020)</w:t>
      </w:r>
      <w:r w:rsidR="00AD44F2">
        <w:rPr>
          <w:rFonts w:ascii="Times New Roman" w:hAnsi="Times New Roman"/>
        </w:rPr>
        <w:t xml:space="preserve"> and accompanying</w:t>
      </w:r>
      <w:r w:rsidR="008307BE">
        <w:rPr>
          <w:rFonts w:ascii="Times New Roman" w:hAnsi="Times New Roman"/>
        </w:rPr>
        <w:t xml:space="preserve"> </w:t>
      </w:r>
      <w:r w:rsidR="00AF731C">
        <w:rPr>
          <w:rFonts w:ascii="Times New Roman" w:hAnsi="Times New Roman"/>
        </w:rPr>
        <w:t>CWSRF administrative budget</w:t>
      </w:r>
      <w:r w:rsidR="008307BE">
        <w:rPr>
          <w:rFonts w:ascii="Times New Roman" w:hAnsi="Times New Roman"/>
        </w:rPr>
        <w:t xml:space="preserve"> information</w:t>
      </w:r>
      <w:r w:rsidR="00496BDF">
        <w:rPr>
          <w:rFonts w:ascii="Times New Roman" w:hAnsi="Times New Roman"/>
        </w:rPr>
        <w:t xml:space="preserve">, intended use plan, </w:t>
      </w:r>
      <w:r w:rsidR="0023214E">
        <w:rPr>
          <w:rFonts w:ascii="Times New Roman" w:hAnsi="Times New Roman"/>
        </w:rPr>
        <w:t>attorney general certification</w:t>
      </w:r>
      <w:r w:rsidR="00496BDF">
        <w:rPr>
          <w:rFonts w:ascii="Times New Roman" w:hAnsi="Times New Roman"/>
        </w:rPr>
        <w:t xml:space="preserve">, </w:t>
      </w:r>
      <w:r w:rsidRPr="003A0D67">
        <w:rPr>
          <w:rFonts w:ascii="Times New Roman" w:hAnsi="Times New Roman"/>
        </w:rPr>
        <w:t>and other documentation requir</w:t>
      </w:r>
      <w:r>
        <w:rPr>
          <w:rFonts w:ascii="Times New Roman" w:hAnsi="Times New Roman"/>
        </w:rPr>
        <w:t>ed by EPA</w:t>
      </w:r>
      <w:r w:rsidR="0012397F">
        <w:rPr>
          <w:rFonts w:ascii="Times New Roman" w:hAnsi="Times New Roman"/>
        </w:rPr>
        <w:t>. T</w:t>
      </w:r>
      <w:r w:rsidR="00496BDF">
        <w:rPr>
          <w:rFonts w:ascii="Times New Roman" w:hAnsi="Times New Roman"/>
        </w:rPr>
        <w:t>his material is submitted to EPA through</w:t>
      </w:r>
      <w:r w:rsidR="0023214E">
        <w:rPr>
          <w:rFonts w:ascii="Times New Roman" w:hAnsi="Times New Roman"/>
        </w:rPr>
        <w:t xml:space="preserve"> </w:t>
      </w:r>
      <w:r w:rsidR="0012397F">
        <w:rPr>
          <w:rFonts w:ascii="Times New Roman" w:hAnsi="Times New Roman"/>
        </w:rPr>
        <w:t xml:space="preserve">the </w:t>
      </w:r>
      <w:hyperlink w:history="1" r:id="rId13">
        <w:r w:rsidRPr="00462E90" w:rsidR="00213348">
          <w:rPr>
            <w:rStyle w:val="Hyperlink"/>
            <w:rFonts w:ascii="Times New Roman" w:hAnsi="Times New Roman"/>
          </w:rPr>
          <w:t>www.grants.gov</w:t>
        </w:r>
      </w:hyperlink>
      <w:r w:rsidR="00213348">
        <w:rPr>
          <w:rFonts w:ascii="Times New Roman" w:hAnsi="Times New Roman"/>
        </w:rPr>
        <w:t xml:space="preserve"> </w:t>
      </w:r>
      <w:r w:rsidR="0012397F">
        <w:rPr>
          <w:rFonts w:ascii="Times New Roman" w:hAnsi="Times New Roman"/>
        </w:rPr>
        <w:t>website.</w:t>
      </w:r>
      <w:r w:rsidR="00496BDF">
        <w:rPr>
          <w:rFonts w:ascii="Times New Roman" w:hAnsi="Times New Roman"/>
        </w:rPr>
        <w:t xml:space="preserve"> </w:t>
      </w:r>
    </w:p>
    <w:p w:rsidR="00045838" w:rsidP="00B17699" w:rsidRDefault="00045838" w14:paraId="0858150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EF19B8" w:rsidP="00EF19B8" w:rsidRDefault="009129DC" w14:paraId="362BCF2A" w14:textId="57CD33AB">
      <w:pPr>
        <w:rPr>
          <w:rFonts w:ascii="Times New Roman" w:hAnsi="Times New Roman"/>
        </w:rPr>
      </w:pPr>
      <w:r>
        <w:rPr>
          <w:rFonts w:ascii="Times New Roman" w:hAnsi="Times New Roman"/>
        </w:rPr>
        <w:t>A critical</w:t>
      </w:r>
      <w:r w:rsidR="000165CA">
        <w:rPr>
          <w:rFonts w:ascii="Times New Roman" w:hAnsi="Times New Roman"/>
        </w:rPr>
        <w:t xml:space="preserve"> component of the capitalization grant ag</w:t>
      </w:r>
      <w:r w:rsidR="0012397F">
        <w:rPr>
          <w:rFonts w:ascii="Times New Roman" w:hAnsi="Times New Roman"/>
        </w:rPr>
        <w:t>re</w:t>
      </w:r>
      <w:r w:rsidR="00355294">
        <w:rPr>
          <w:rFonts w:ascii="Times New Roman" w:hAnsi="Times New Roman"/>
        </w:rPr>
        <w:t>ement is the intended use p</w:t>
      </w:r>
      <w:r w:rsidR="00295B95">
        <w:rPr>
          <w:rFonts w:ascii="Times New Roman" w:hAnsi="Times New Roman"/>
        </w:rPr>
        <w:t>lan. This document not onl</w:t>
      </w:r>
      <w:r w:rsidR="00CE359F">
        <w:rPr>
          <w:rFonts w:ascii="Times New Roman" w:hAnsi="Times New Roman"/>
        </w:rPr>
        <w:t>y covers what a</w:t>
      </w:r>
      <w:r w:rsidR="00295B95">
        <w:rPr>
          <w:rFonts w:ascii="Times New Roman" w:hAnsi="Times New Roman"/>
        </w:rPr>
        <w:t xml:space="preserve"> CWSRF</w:t>
      </w:r>
      <w:r w:rsidR="00CB0721">
        <w:rPr>
          <w:rFonts w:ascii="Times New Roman" w:hAnsi="Times New Roman"/>
        </w:rPr>
        <w:t xml:space="preserve"> plan</w:t>
      </w:r>
      <w:r w:rsidR="00CE359F">
        <w:rPr>
          <w:rFonts w:ascii="Times New Roman" w:hAnsi="Times New Roman"/>
        </w:rPr>
        <w:t>s</w:t>
      </w:r>
      <w:r w:rsidR="00295B95">
        <w:rPr>
          <w:rFonts w:ascii="Times New Roman" w:hAnsi="Times New Roman"/>
        </w:rPr>
        <w:t xml:space="preserve"> to accomplish for the upcoming year, it also provide</w:t>
      </w:r>
      <w:r w:rsidR="009E13E8">
        <w:rPr>
          <w:rFonts w:ascii="Times New Roman" w:hAnsi="Times New Roman"/>
        </w:rPr>
        <w:t>s</w:t>
      </w:r>
      <w:r w:rsidR="00295B95">
        <w:rPr>
          <w:rFonts w:ascii="Times New Roman" w:hAnsi="Times New Roman"/>
        </w:rPr>
        <w:t xml:space="preserve"> EP</w:t>
      </w:r>
      <w:r>
        <w:rPr>
          <w:rFonts w:ascii="Times New Roman" w:hAnsi="Times New Roman"/>
        </w:rPr>
        <w:t>A with detaile</w:t>
      </w:r>
      <w:r w:rsidR="00152281">
        <w:rPr>
          <w:rFonts w:ascii="Times New Roman" w:hAnsi="Times New Roman"/>
        </w:rPr>
        <w:t xml:space="preserve">d information </w:t>
      </w:r>
      <w:r w:rsidR="00CE359F">
        <w:rPr>
          <w:rFonts w:ascii="Times New Roman" w:hAnsi="Times New Roman"/>
        </w:rPr>
        <w:t>on how a</w:t>
      </w:r>
      <w:r w:rsidR="00496BDF">
        <w:rPr>
          <w:rFonts w:ascii="Times New Roman" w:hAnsi="Times New Roman"/>
        </w:rPr>
        <w:t xml:space="preserve"> CWSRF</w:t>
      </w:r>
      <w:r w:rsidR="00152281">
        <w:rPr>
          <w:rFonts w:ascii="Times New Roman" w:hAnsi="Times New Roman"/>
        </w:rPr>
        <w:t xml:space="preserve"> will meet</w:t>
      </w:r>
      <w:r>
        <w:rPr>
          <w:rFonts w:ascii="Times New Roman" w:hAnsi="Times New Roman"/>
        </w:rPr>
        <w:t xml:space="preserve"> the assurances included as part of the capitalization grant agreement</w:t>
      </w:r>
      <w:r w:rsidR="00295B95">
        <w:rPr>
          <w:rFonts w:ascii="Times New Roman" w:hAnsi="Times New Roman"/>
        </w:rPr>
        <w:t xml:space="preserve">. </w:t>
      </w:r>
      <w:r w:rsidR="006B4742">
        <w:rPr>
          <w:rFonts w:ascii="Times New Roman" w:hAnsi="Times New Roman"/>
        </w:rPr>
        <w:t xml:space="preserve">At </w:t>
      </w:r>
      <w:r w:rsidR="0012397F">
        <w:rPr>
          <w:rFonts w:ascii="Times New Roman" w:hAnsi="Times New Roman"/>
        </w:rPr>
        <w:t>a minimum, the IUP</w:t>
      </w:r>
      <w:r w:rsidR="006B4742">
        <w:rPr>
          <w:rFonts w:ascii="Times New Roman" w:hAnsi="Times New Roman"/>
        </w:rPr>
        <w:t xml:space="preserve"> must include the following:</w:t>
      </w:r>
    </w:p>
    <w:p w:rsidR="007D33DE" w:rsidP="00EF19B8" w:rsidRDefault="007D33DE" w14:paraId="1C0CFA50" w14:textId="77777777">
      <w:pPr>
        <w:rPr>
          <w:rFonts w:ascii="Times New Roman" w:hAnsi="Times New Roman"/>
        </w:rPr>
      </w:pPr>
    </w:p>
    <w:p w:rsidR="006B4742" w:rsidP="007D33DE" w:rsidRDefault="0082527F" w14:paraId="49B75061" w14:textId="72A22CC8">
      <w:pPr>
        <w:pStyle w:val="ListParagraph"/>
        <w:numPr>
          <w:ilvl w:val="0"/>
          <w:numId w:val="18"/>
        </w:numPr>
        <w:rPr>
          <w:rFonts w:ascii="Times New Roman" w:hAnsi="Times New Roman"/>
        </w:rPr>
      </w:pPr>
      <w:r>
        <w:rPr>
          <w:rFonts w:ascii="Times New Roman" w:hAnsi="Times New Roman"/>
        </w:rPr>
        <w:t>S</w:t>
      </w:r>
      <w:r w:rsidR="0012397F">
        <w:rPr>
          <w:rFonts w:ascii="Times New Roman" w:hAnsi="Times New Roman"/>
        </w:rPr>
        <w:t>hort-term and long-term goals</w:t>
      </w:r>
      <w:r w:rsidR="00892643">
        <w:rPr>
          <w:rFonts w:ascii="Times New Roman" w:hAnsi="Times New Roman"/>
        </w:rPr>
        <w:t>.</w:t>
      </w:r>
    </w:p>
    <w:p w:rsidR="0012397F" w:rsidP="007D33DE" w:rsidRDefault="005B739C" w14:paraId="18937614" w14:textId="45890379">
      <w:pPr>
        <w:pStyle w:val="ListParagraph"/>
        <w:numPr>
          <w:ilvl w:val="0"/>
          <w:numId w:val="18"/>
        </w:numPr>
        <w:rPr>
          <w:rFonts w:ascii="Times New Roman" w:hAnsi="Times New Roman"/>
        </w:rPr>
      </w:pPr>
      <w:r>
        <w:rPr>
          <w:rFonts w:ascii="Times New Roman" w:hAnsi="Times New Roman"/>
        </w:rPr>
        <w:t>“</w:t>
      </w:r>
      <w:r w:rsidR="0082527F">
        <w:rPr>
          <w:rFonts w:ascii="Times New Roman" w:hAnsi="Times New Roman"/>
        </w:rPr>
        <w:t>S</w:t>
      </w:r>
      <w:r>
        <w:rPr>
          <w:rFonts w:ascii="Times New Roman" w:hAnsi="Times New Roman"/>
        </w:rPr>
        <w:t>ources and U</w:t>
      </w:r>
      <w:r w:rsidR="0012397F">
        <w:rPr>
          <w:rFonts w:ascii="Times New Roman" w:hAnsi="Times New Roman"/>
        </w:rPr>
        <w:t>ses</w:t>
      </w:r>
      <w:r>
        <w:rPr>
          <w:rFonts w:ascii="Times New Roman" w:hAnsi="Times New Roman"/>
        </w:rPr>
        <w:t>”</w:t>
      </w:r>
      <w:r w:rsidR="0012397F">
        <w:rPr>
          <w:rFonts w:ascii="Times New Roman" w:hAnsi="Times New Roman"/>
        </w:rPr>
        <w:t xml:space="preserve"> table that documents the amount of funding that is expected to be available in the upcoming year from capitalization grant awards, state contributions, loan repayments, earnings, and other non-federal sources.</w:t>
      </w:r>
      <w:r w:rsidR="0012397F">
        <w:rPr>
          <w:rStyle w:val="FootnoteReference"/>
          <w:rFonts w:ascii="Times New Roman" w:hAnsi="Times New Roman"/>
        </w:rPr>
        <w:footnoteReference w:id="2"/>
      </w:r>
      <w:r w:rsidR="00B26155">
        <w:rPr>
          <w:rFonts w:ascii="Times New Roman" w:hAnsi="Times New Roman"/>
        </w:rPr>
        <w:t xml:space="preserve"> This table also shows</w:t>
      </w:r>
      <w:r w:rsidR="005A4ED3">
        <w:rPr>
          <w:rFonts w:ascii="Times New Roman" w:hAnsi="Times New Roman"/>
        </w:rPr>
        <w:t xml:space="preserve"> </w:t>
      </w:r>
      <w:r w:rsidR="00095EF5">
        <w:rPr>
          <w:rFonts w:ascii="Times New Roman" w:hAnsi="Times New Roman"/>
        </w:rPr>
        <w:t>how this funding will be used for eligible projects and administrative expenses. The maximum amount that can be used to cover administration is set by section 603(d)(7).</w:t>
      </w:r>
    </w:p>
    <w:p w:rsidR="0012397F" w:rsidP="007D33DE" w:rsidRDefault="0082527F" w14:paraId="6C2592C3" w14:textId="21BD58C1">
      <w:pPr>
        <w:pStyle w:val="ListParagraph"/>
        <w:numPr>
          <w:ilvl w:val="0"/>
          <w:numId w:val="18"/>
        </w:numPr>
        <w:rPr>
          <w:rFonts w:ascii="Times New Roman" w:hAnsi="Times New Roman"/>
        </w:rPr>
      </w:pPr>
      <w:r>
        <w:rPr>
          <w:rFonts w:ascii="Times New Roman" w:hAnsi="Times New Roman"/>
        </w:rPr>
        <w:t>D</w:t>
      </w:r>
      <w:r w:rsidR="0012397F">
        <w:rPr>
          <w:rFonts w:ascii="Times New Roman" w:hAnsi="Times New Roman"/>
        </w:rPr>
        <w:t>ocum</w:t>
      </w:r>
      <w:r w:rsidR="00520202">
        <w:rPr>
          <w:rFonts w:ascii="Times New Roman" w:hAnsi="Times New Roman"/>
        </w:rPr>
        <w:t>entation for how the CWSRF</w:t>
      </w:r>
      <w:r w:rsidR="003500B2">
        <w:rPr>
          <w:rFonts w:ascii="Times New Roman" w:hAnsi="Times New Roman"/>
        </w:rPr>
        <w:t xml:space="preserve"> plans to</w:t>
      </w:r>
      <w:r w:rsidR="0012397F">
        <w:rPr>
          <w:rFonts w:ascii="Times New Roman" w:hAnsi="Times New Roman"/>
        </w:rPr>
        <w:t xml:space="preserve"> provide the required 20% </w:t>
      </w:r>
      <w:r w:rsidR="003500B2">
        <w:rPr>
          <w:rFonts w:ascii="Times New Roman" w:hAnsi="Times New Roman"/>
        </w:rPr>
        <w:t xml:space="preserve">state </w:t>
      </w:r>
      <w:r w:rsidR="0012397F">
        <w:rPr>
          <w:rFonts w:ascii="Times New Roman" w:hAnsi="Times New Roman"/>
        </w:rPr>
        <w:t>match</w:t>
      </w:r>
      <w:r w:rsidR="005B739C">
        <w:rPr>
          <w:rFonts w:ascii="Times New Roman" w:hAnsi="Times New Roman"/>
        </w:rPr>
        <w:t>.</w:t>
      </w:r>
    </w:p>
    <w:p w:rsidR="0012397F" w:rsidP="007D33DE" w:rsidRDefault="0082527F" w14:paraId="787C3733" w14:textId="55CBF70C">
      <w:pPr>
        <w:pStyle w:val="ListParagraph"/>
        <w:numPr>
          <w:ilvl w:val="0"/>
          <w:numId w:val="18"/>
        </w:numPr>
        <w:rPr>
          <w:rFonts w:ascii="Times New Roman" w:hAnsi="Times New Roman"/>
        </w:rPr>
      </w:pPr>
      <w:r>
        <w:rPr>
          <w:rFonts w:ascii="Times New Roman" w:hAnsi="Times New Roman"/>
        </w:rPr>
        <w:t>D</w:t>
      </w:r>
      <w:r w:rsidR="003500B2">
        <w:rPr>
          <w:rFonts w:ascii="Times New Roman" w:hAnsi="Times New Roman"/>
        </w:rPr>
        <w:t xml:space="preserve">ocumentation on </w:t>
      </w:r>
      <w:r w:rsidRPr="003500B2" w:rsidR="003500B2">
        <w:rPr>
          <w:rFonts w:ascii="Times New Roman" w:hAnsi="Times New Roman"/>
        </w:rPr>
        <w:t>whether fees will be charged, the basis for the fees, and the</w:t>
      </w:r>
      <w:r w:rsidR="003500B2">
        <w:rPr>
          <w:rFonts w:ascii="Times New Roman" w:hAnsi="Times New Roman"/>
        </w:rPr>
        <w:t xml:space="preserve"> planned uses</w:t>
      </w:r>
      <w:r w:rsidRPr="003500B2" w:rsidR="003500B2">
        <w:rPr>
          <w:rFonts w:ascii="Times New Roman" w:hAnsi="Times New Roman"/>
        </w:rPr>
        <w:t xml:space="preserve"> of fee revenue.</w:t>
      </w:r>
    </w:p>
    <w:p w:rsidR="003500B2" w:rsidP="007D33DE" w:rsidRDefault="0082527F" w14:paraId="505EA32D" w14:textId="3556765B">
      <w:pPr>
        <w:pStyle w:val="ListParagraph"/>
        <w:numPr>
          <w:ilvl w:val="0"/>
          <w:numId w:val="18"/>
        </w:numPr>
        <w:rPr>
          <w:rFonts w:ascii="Times New Roman" w:hAnsi="Times New Roman"/>
        </w:rPr>
      </w:pPr>
      <w:r>
        <w:rPr>
          <w:rFonts w:ascii="Times New Roman" w:hAnsi="Times New Roman"/>
        </w:rPr>
        <w:t xml:space="preserve">A </w:t>
      </w:r>
      <w:r w:rsidRPr="003500B2" w:rsidR="003500B2">
        <w:rPr>
          <w:rFonts w:ascii="Times New Roman" w:hAnsi="Times New Roman"/>
        </w:rPr>
        <w:t>schedule/estimate for when it will enter into binding</w:t>
      </w:r>
      <w:r w:rsidR="003500B2">
        <w:rPr>
          <w:rFonts w:ascii="Times New Roman" w:hAnsi="Times New Roman"/>
        </w:rPr>
        <w:t xml:space="preserve"> </w:t>
      </w:r>
      <w:r w:rsidRPr="003500B2" w:rsidR="003500B2">
        <w:rPr>
          <w:rFonts w:ascii="Times New Roman" w:hAnsi="Times New Roman"/>
        </w:rPr>
        <w:t>commitments on projects</w:t>
      </w:r>
      <w:r w:rsidR="00660530">
        <w:rPr>
          <w:rFonts w:ascii="Times New Roman" w:hAnsi="Times New Roman"/>
        </w:rPr>
        <w:t xml:space="preserve"> to ensure that it me</w:t>
      </w:r>
      <w:r w:rsidR="00CE359F">
        <w:rPr>
          <w:rFonts w:ascii="Times New Roman" w:hAnsi="Times New Roman"/>
        </w:rPr>
        <w:t>ets the requirement that a CWSRF</w:t>
      </w:r>
      <w:r w:rsidR="00660530">
        <w:rPr>
          <w:rFonts w:ascii="Times New Roman" w:hAnsi="Times New Roman"/>
        </w:rPr>
        <w:t xml:space="preserve"> enters into binding commitments equal to</w:t>
      </w:r>
      <w:r w:rsidR="000C47C7">
        <w:rPr>
          <w:rFonts w:ascii="Times New Roman" w:hAnsi="Times New Roman"/>
        </w:rPr>
        <w:t xml:space="preserve"> </w:t>
      </w:r>
      <w:r w:rsidR="00BE4ABD">
        <w:rPr>
          <w:rFonts w:ascii="Times New Roman" w:hAnsi="Times New Roman"/>
        </w:rPr>
        <w:t>the federal grant payment and accompanying 20% state match</w:t>
      </w:r>
      <w:r w:rsidR="00660530">
        <w:rPr>
          <w:rFonts w:ascii="Times New Roman" w:hAnsi="Times New Roman"/>
        </w:rPr>
        <w:t xml:space="preserve"> within one year of receipt of a grant payment</w:t>
      </w:r>
      <w:r w:rsidRPr="003500B2" w:rsidR="003500B2">
        <w:rPr>
          <w:rFonts w:ascii="Times New Roman" w:hAnsi="Times New Roman"/>
        </w:rPr>
        <w:t>.</w:t>
      </w:r>
      <w:r w:rsidR="003500B2">
        <w:rPr>
          <w:rStyle w:val="FootnoteReference"/>
          <w:rFonts w:ascii="Times New Roman" w:hAnsi="Times New Roman"/>
        </w:rPr>
        <w:footnoteReference w:id="3"/>
      </w:r>
      <w:r w:rsidR="00204019">
        <w:rPr>
          <w:rFonts w:ascii="Times New Roman" w:hAnsi="Times New Roman"/>
        </w:rPr>
        <w:t xml:space="preserve"> The intended use plan</w:t>
      </w:r>
      <w:r w:rsidR="00660530">
        <w:rPr>
          <w:rFonts w:ascii="Times New Roman" w:hAnsi="Times New Roman"/>
        </w:rPr>
        <w:t xml:space="preserve"> must also document the procedure by which grant funds will be drawn from the fe</w:t>
      </w:r>
      <w:r w:rsidR="00CE359F">
        <w:rPr>
          <w:rFonts w:ascii="Times New Roman" w:hAnsi="Times New Roman"/>
        </w:rPr>
        <w:t>deral treasury into the CWSRF</w:t>
      </w:r>
      <w:r w:rsidR="00660530">
        <w:rPr>
          <w:rFonts w:ascii="Times New Roman" w:hAnsi="Times New Roman"/>
        </w:rPr>
        <w:t>.</w:t>
      </w:r>
    </w:p>
    <w:p w:rsidR="00BE4ABD" w:rsidP="007D33DE" w:rsidRDefault="0082527F" w14:paraId="0282332A" w14:textId="339DB641">
      <w:pPr>
        <w:pStyle w:val="ListParagraph"/>
        <w:numPr>
          <w:ilvl w:val="0"/>
          <w:numId w:val="18"/>
        </w:numPr>
        <w:rPr>
          <w:rFonts w:ascii="Times New Roman" w:hAnsi="Times New Roman"/>
        </w:rPr>
      </w:pPr>
      <w:r>
        <w:rPr>
          <w:rFonts w:ascii="Times New Roman" w:hAnsi="Times New Roman"/>
        </w:rPr>
        <w:t>A</w:t>
      </w:r>
      <w:r w:rsidR="006E25DA">
        <w:rPr>
          <w:rFonts w:ascii="Times New Roman" w:hAnsi="Times New Roman"/>
        </w:rPr>
        <w:t xml:space="preserve"> </w:t>
      </w:r>
      <w:r w:rsidR="009930D3">
        <w:rPr>
          <w:rFonts w:ascii="Times New Roman" w:hAnsi="Times New Roman"/>
        </w:rPr>
        <w:t>summary of the CWSRF</w:t>
      </w:r>
      <w:r w:rsidRPr="006E25DA" w:rsidR="006E25DA">
        <w:rPr>
          <w:rFonts w:ascii="Times New Roman" w:hAnsi="Times New Roman"/>
        </w:rPr>
        <w:t>’s financial plan, including loan interest</w:t>
      </w:r>
      <w:r w:rsidR="006E25DA">
        <w:rPr>
          <w:rFonts w:ascii="Times New Roman" w:hAnsi="Times New Roman"/>
        </w:rPr>
        <w:t xml:space="preserve"> </w:t>
      </w:r>
      <w:r w:rsidRPr="006E25DA" w:rsidR="006E25DA">
        <w:rPr>
          <w:rFonts w:ascii="Times New Roman" w:hAnsi="Times New Roman"/>
        </w:rPr>
        <w:t>rate(s); information on how the interest rate, loan term and additional subsidies</w:t>
      </w:r>
      <w:r w:rsidR="006E25DA">
        <w:rPr>
          <w:rFonts w:ascii="Times New Roman" w:hAnsi="Times New Roman"/>
        </w:rPr>
        <w:t xml:space="preserve"> </w:t>
      </w:r>
      <w:r w:rsidRPr="006E25DA" w:rsidR="006E25DA">
        <w:rPr>
          <w:rFonts w:ascii="Times New Roman" w:hAnsi="Times New Roman"/>
        </w:rPr>
        <w:t>are established for the types</w:t>
      </w:r>
      <w:r w:rsidR="006E25DA">
        <w:rPr>
          <w:rFonts w:ascii="Times New Roman" w:hAnsi="Times New Roman"/>
        </w:rPr>
        <w:t xml:space="preserve"> of </w:t>
      </w:r>
      <w:r w:rsidRPr="006E25DA" w:rsidR="006E25DA">
        <w:rPr>
          <w:rFonts w:ascii="Times New Roman" w:hAnsi="Times New Roman"/>
        </w:rPr>
        <w:t>assistance the state will offer; and how it will</w:t>
      </w:r>
      <w:r w:rsidR="006E25DA">
        <w:rPr>
          <w:rFonts w:ascii="Times New Roman" w:hAnsi="Times New Roman"/>
        </w:rPr>
        <w:t xml:space="preserve"> </w:t>
      </w:r>
      <w:r w:rsidRPr="006E25DA" w:rsidR="006E25DA">
        <w:rPr>
          <w:rFonts w:ascii="Times New Roman" w:hAnsi="Times New Roman"/>
        </w:rPr>
        <w:t>maintain the long</w:t>
      </w:r>
      <w:r w:rsidR="00135782">
        <w:rPr>
          <w:rFonts w:ascii="Times New Roman" w:hAnsi="Times New Roman"/>
        </w:rPr>
        <w:t>-</w:t>
      </w:r>
      <w:r w:rsidRPr="006E25DA" w:rsidR="006E25DA">
        <w:rPr>
          <w:rFonts w:ascii="Times New Roman" w:hAnsi="Times New Roman"/>
        </w:rPr>
        <w:t>term health of th</w:t>
      </w:r>
      <w:r w:rsidR="006E25DA">
        <w:rPr>
          <w:rFonts w:ascii="Times New Roman" w:hAnsi="Times New Roman"/>
        </w:rPr>
        <w:t>e Fund. To the extent kn</w:t>
      </w:r>
      <w:r w:rsidR="00B26155">
        <w:rPr>
          <w:rFonts w:ascii="Times New Roman" w:hAnsi="Times New Roman"/>
        </w:rPr>
        <w:t xml:space="preserve">own, it should also include the state’s </w:t>
      </w:r>
      <w:r w:rsidRPr="006E25DA" w:rsidR="006E25DA">
        <w:rPr>
          <w:rFonts w:ascii="Times New Roman" w:hAnsi="Times New Roman"/>
        </w:rPr>
        <w:t>plans on leveraging and the level of bond issuance.</w:t>
      </w:r>
    </w:p>
    <w:p w:rsidR="001F1DE1" w:rsidP="007D33DE" w:rsidRDefault="0082527F" w14:paraId="74271980" w14:textId="140CB355">
      <w:pPr>
        <w:pStyle w:val="ListParagraph"/>
        <w:numPr>
          <w:ilvl w:val="0"/>
          <w:numId w:val="18"/>
        </w:numPr>
        <w:rPr>
          <w:rFonts w:ascii="Times New Roman" w:hAnsi="Times New Roman"/>
        </w:rPr>
      </w:pPr>
      <w:r>
        <w:rPr>
          <w:rFonts w:ascii="Times New Roman" w:hAnsi="Times New Roman"/>
        </w:rPr>
        <w:t>D</w:t>
      </w:r>
      <w:r w:rsidR="001F1DE1">
        <w:rPr>
          <w:rFonts w:ascii="Times New Roman" w:hAnsi="Times New Roman"/>
        </w:rPr>
        <w:t xml:space="preserve">ocumentation on the state’s </w:t>
      </w:r>
      <w:r w:rsidRPr="001F1DE1" w:rsidR="001F1DE1">
        <w:rPr>
          <w:rFonts w:ascii="Times New Roman" w:hAnsi="Times New Roman"/>
        </w:rPr>
        <w:t xml:space="preserve">compliance with the </w:t>
      </w:r>
      <w:r w:rsidR="00152281">
        <w:rPr>
          <w:rFonts w:ascii="Times New Roman" w:hAnsi="Times New Roman"/>
        </w:rPr>
        <w:t>following requirements</w:t>
      </w:r>
      <w:r w:rsidR="001F1DE1">
        <w:rPr>
          <w:rFonts w:ascii="Times New Roman" w:hAnsi="Times New Roman"/>
        </w:rPr>
        <w:t>:</w:t>
      </w:r>
    </w:p>
    <w:p w:rsidRPr="001F1DE1" w:rsidR="001F1DE1" w:rsidP="007D33DE" w:rsidRDefault="009930D3" w14:paraId="718FCE02" w14:textId="6EE67780">
      <w:pPr>
        <w:pStyle w:val="ListParagraph"/>
        <w:numPr>
          <w:ilvl w:val="1"/>
          <w:numId w:val="18"/>
        </w:numPr>
        <w:rPr>
          <w:rFonts w:ascii="Times New Roman" w:hAnsi="Times New Roman"/>
        </w:rPr>
      </w:pPr>
      <w:r>
        <w:rPr>
          <w:rFonts w:ascii="Times New Roman" w:hAnsi="Times New Roman"/>
        </w:rPr>
        <w:t xml:space="preserve">The CWSRF </w:t>
      </w:r>
      <w:r w:rsidRPr="001F1DE1" w:rsidR="001F1DE1">
        <w:rPr>
          <w:rFonts w:ascii="Times New Roman" w:hAnsi="Times New Roman"/>
        </w:rPr>
        <w:t>will conduct enviro</w:t>
      </w:r>
      <w:r w:rsidR="00CE359F">
        <w:rPr>
          <w:rFonts w:ascii="Times New Roman" w:hAnsi="Times New Roman"/>
        </w:rPr>
        <w:t xml:space="preserve">nmental reviews according to its own established </w:t>
      </w:r>
      <w:r w:rsidRPr="001F1DE1" w:rsidR="001F1DE1">
        <w:rPr>
          <w:rFonts w:ascii="Times New Roman" w:hAnsi="Times New Roman"/>
        </w:rPr>
        <w:t>State Environmental Revi</w:t>
      </w:r>
      <w:r w:rsidR="00CE359F">
        <w:rPr>
          <w:rFonts w:ascii="Times New Roman" w:hAnsi="Times New Roman"/>
        </w:rPr>
        <w:t>ew Process.</w:t>
      </w:r>
    </w:p>
    <w:p w:rsidR="001F1DE1" w:rsidP="007D33DE" w:rsidRDefault="009930D3" w14:paraId="3C87760D" w14:textId="216BE9BF">
      <w:pPr>
        <w:pStyle w:val="ListParagraph"/>
        <w:numPr>
          <w:ilvl w:val="1"/>
          <w:numId w:val="18"/>
        </w:numPr>
        <w:rPr>
          <w:rFonts w:ascii="Times New Roman" w:hAnsi="Times New Roman"/>
        </w:rPr>
      </w:pPr>
      <w:r>
        <w:rPr>
          <w:rFonts w:ascii="Times New Roman" w:hAnsi="Times New Roman"/>
        </w:rPr>
        <w:t>The CWSRF</w:t>
      </w:r>
      <w:r w:rsidRPr="001F1DE1" w:rsidR="001F1DE1">
        <w:rPr>
          <w:rFonts w:ascii="Times New Roman" w:hAnsi="Times New Roman"/>
        </w:rPr>
        <w:t xml:space="preserve"> wi</w:t>
      </w:r>
      <w:r>
        <w:rPr>
          <w:rFonts w:ascii="Times New Roman" w:hAnsi="Times New Roman"/>
        </w:rPr>
        <w:t xml:space="preserve">ll expend all funds </w:t>
      </w:r>
      <w:r w:rsidRPr="00254D54" w:rsidR="001F1DE1">
        <w:rPr>
          <w:rFonts w:ascii="Times New Roman" w:hAnsi="Times New Roman"/>
        </w:rPr>
        <w:t>in a timely</w:t>
      </w:r>
      <w:r w:rsidR="00115A20">
        <w:rPr>
          <w:rFonts w:ascii="Times New Roman" w:hAnsi="Times New Roman"/>
        </w:rPr>
        <w:t xml:space="preserve"> and expeditious</w:t>
      </w:r>
      <w:r w:rsidRPr="00254D54" w:rsidR="001F1DE1">
        <w:rPr>
          <w:rFonts w:ascii="Times New Roman" w:hAnsi="Times New Roman"/>
        </w:rPr>
        <w:t xml:space="preserve"> manner.</w:t>
      </w:r>
    </w:p>
    <w:p w:rsidRPr="00254D54" w:rsidR="00923579" w:rsidP="007D33DE" w:rsidRDefault="00BC25AD" w14:paraId="68BE9D91" w14:textId="0433CCA4">
      <w:pPr>
        <w:pStyle w:val="ListParagraph"/>
        <w:numPr>
          <w:ilvl w:val="1"/>
          <w:numId w:val="18"/>
        </w:numPr>
        <w:rPr>
          <w:rFonts w:ascii="Times New Roman" w:hAnsi="Times New Roman"/>
        </w:rPr>
      </w:pPr>
      <w:r>
        <w:rPr>
          <w:rFonts w:ascii="Times New Roman" w:hAnsi="Times New Roman"/>
        </w:rPr>
        <w:t xml:space="preserve">The </w:t>
      </w:r>
      <w:r w:rsidR="001A4877">
        <w:rPr>
          <w:rFonts w:ascii="Times New Roman" w:hAnsi="Times New Roman"/>
        </w:rPr>
        <w:t xml:space="preserve">new capitalization grant agreement requirements added by WRRDA involving </w:t>
      </w:r>
      <w:r w:rsidR="00923579">
        <w:rPr>
          <w:rFonts w:ascii="Times New Roman" w:hAnsi="Times New Roman"/>
        </w:rPr>
        <w:t>cost and effectiveness</w:t>
      </w:r>
      <w:r>
        <w:rPr>
          <w:rFonts w:ascii="Times New Roman" w:hAnsi="Times New Roman"/>
        </w:rPr>
        <w:t xml:space="preserve"> analysis</w:t>
      </w:r>
      <w:r w:rsidR="001A4877">
        <w:rPr>
          <w:rFonts w:ascii="Times New Roman" w:hAnsi="Times New Roman"/>
        </w:rPr>
        <w:t xml:space="preserve"> and </w:t>
      </w:r>
      <w:r>
        <w:rPr>
          <w:rFonts w:ascii="Times New Roman" w:hAnsi="Times New Roman"/>
        </w:rPr>
        <w:t>procurement of archite</w:t>
      </w:r>
      <w:r w:rsidR="001A4877">
        <w:rPr>
          <w:rFonts w:ascii="Times New Roman" w:hAnsi="Times New Roman"/>
        </w:rPr>
        <w:t xml:space="preserve">ctural and engineering services. This also includes </w:t>
      </w:r>
      <w:r>
        <w:rPr>
          <w:rFonts w:ascii="Times New Roman" w:hAnsi="Times New Roman"/>
        </w:rPr>
        <w:t>fiscal su</w:t>
      </w:r>
      <w:r w:rsidR="001A4877">
        <w:rPr>
          <w:rFonts w:ascii="Times New Roman" w:hAnsi="Times New Roman"/>
        </w:rPr>
        <w:t xml:space="preserve">stainability planning by CWSRF assistance </w:t>
      </w:r>
      <w:r w:rsidR="001A4877">
        <w:rPr>
          <w:rFonts w:ascii="Times New Roman" w:hAnsi="Times New Roman"/>
        </w:rPr>
        <w:lastRenderedPageBreak/>
        <w:t xml:space="preserve">recipients required </w:t>
      </w:r>
      <w:r>
        <w:rPr>
          <w:rFonts w:ascii="Times New Roman" w:hAnsi="Times New Roman"/>
        </w:rPr>
        <w:t xml:space="preserve">under section 603(d)(1)(e) of the CWA. </w:t>
      </w:r>
      <w:r w:rsidR="00923579">
        <w:rPr>
          <w:rFonts w:ascii="Times New Roman" w:hAnsi="Times New Roman"/>
        </w:rPr>
        <w:t xml:space="preserve"> </w:t>
      </w:r>
    </w:p>
    <w:p w:rsidRPr="0082527F" w:rsidR="0082527F" w:rsidP="007D33DE" w:rsidRDefault="0082527F" w14:paraId="100785C2" w14:textId="7BC02E5E">
      <w:pPr>
        <w:pStyle w:val="ListParagraph"/>
        <w:numPr>
          <w:ilvl w:val="0"/>
          <w:numId w:val="18"/>
        </w:numPr>
        <w:rPr>
          <w:rFonts w:ascii="Times New Roman" w:hAnsi="Times New Roman"/>
        </w:rPr>
      </w:pPr>
      <w:r>
        <w:rPr>
          <w:rFonts w:ascii="Times New Roman" w:hAnsi="Times New Roman"/>
        </w:rPr>
        <w:t>D</w:t>
      </w:r>
      <w:r w:rsidR="00B847ED">
        <w:rPr>
          <w:rFonts w:ascii="Times New Roman" w:hAnsi="Times New Roman"/>
        </w:rPr>
        <w:t>ocumentation for how the state will</w:t>
      </w:r>
      <w:r w:rsidR="00BE4ABD">
        <w:rPr>
          <w:rFonts w:ascii="Times New Roman" w:hAnsi="Times New Roman"/>
        </w:rPr>
        <w:t xml:space="preserve"> ensure compliance</w:t>
      </w:r>
      <w:r w:rsidR="004D69A3">
        <w:rPr>
          <w:rFonts w:ascii="Times New Roman" w:hAnsi="Times New Roman"/>
        </w:rPr>
        <w:t xml:space="preserve"> with</w:t>
      </w:r>
      <w:r w:rsidR="00B847ED">
        <w:rPr>
          <w:rFonts w:ascii="Times New Roman" w:hAnsi="Times New Roman"/>
        </w:rPr>
        <w:t xml:space="preserve"> the </w:t>
      </w:r>
      <w:r w:rsidR="007050F4">
        <w:rPr>
          <w:rFonts w:ascii="Times New Roman" w:hAnsi="Times New Roman"/>
        </w:rPr>
        <w:t xml:space="preserve">Single Audit Act, the </w:t>
      </w:r>
      <w:r w:rsidRPr="007050F4" w:rsidR="007050F4">
        <w:rPr>
          <w:rFonts w:ascii="Times New Roman" w:hAnsi="Times New Roman"/>
        </w:rPr>
        <w:t>Federal Funding Accountability and Transparency Act</w:t>
      </w:r>
      <w:r w:rsidR="00B847ED">
        <w:rPr>
          <w:rFonts w:ascii="Times New Roman" w:hAnsi="Times New Roman"/>
        </w:rPr>
        <w:t xml:space="preserve">, </w:t>
      </w:r>
      <w:r w:rsidR="002759B4">
        <w:rPr>
          <w:rFonts w:ascii="Times New Roman" w:hAnsi="Times New Roman"/>
        </w:rPr>
        <w:t xml:space="preserve">and </w:t>
      </w:r>
      <w:r w:rsidR="007204D5">
        <w:rPr>
          <w:rFonts w:ascii="Times New Roman" w:hAnsi="Times New Roman"/>
        </w:rPr>
        <w:t>federal cross</w:t>
      </w:r>
      <w:r w:rsidR="00A76885">
        <w:rPr>
          <w:rFonts w:ascii="Times New Roman" w:hAnsi="Times New Roman"/>
        </w:rPr>
        <w:t>cutters.</w:t>
      </w:r>
    </w:p>
    <w:p w:rsidR="000165CA" w:rsidP="007D33DE" w:rsidRDefault="0082527F" w14:paraId="3E2A9795" w14:textId="7DEE6516">
      <w:pPr>
        <w:pStyle w:val="ListParagraph"/>
        <w:numPr>
          <w:ilvl w:val="0"/>
          <w:numId w:val="18"/>
        </w:numPr>
        <w:rPr>
          <w:rFonts w:ascii="Times New Roman" w:hAnsi="Times New Roman"/>
        </w:rPr>
      </w:pPr>
      <w:r>
        <w:rPr>
          <w:rFonts w:ascii="Times New Roman" w:hAnsi="Times New Roman"/>
        </w:rPr>
        <w:t xml:space="preserve">Documentation on whether funds will be </w:t>
      </w:r>
      <w:r w:rsidRPr="0082527F">
        <w:rPr>
          <w:rFonts w:ascii="Times New Roman" w:hAnsi="Times New Roman"/>
        </w:rPr>
        <w:t>transferred between the CWSRF and</w:t>
      </w:r>
      <w:r>
        <w:rPr>
          <w:rFonts w:ascii="Times New Roman" w:hAnsi="Times New Roman"/>
        </w:rPr>
        <w:t xml:space="preserve"> DWSRF in accordance with section 302 of the Safe Drinking Water Act </w:t>
      </w:r>
      <w:r w:rsidRPr="0082527F">
        <w:rPr>
          <w:rFonts w:ascii="Times New Roman" w:hAnsi="Times New Roman"/>
        </w:rPr>
        <w:t>and/or that the state reserves the right to transfer fund</w:t>
      </w:r>
      <w:r w:rsidR="00863851">
        <w:rPr>
          <w:rFonts w:ascii="Times New Roman" w:hAnsi="Times New Roman"/>
        </w:rPr>
        <w:t xml:space="preserve">s in the future. </w:t>
      </w:r>
    </w:p>
    <w:p w:rsidR="00863851" w:rsidP="007D33DE" w:rsidRDefault="00923579" w14:paraId="2C2A0F8F" w14:textId="7316784D">
      <w:pPr>
        <w:pStyle w:val="ListParagraph"/>
        <w:numPr>
          <w:ilvl w:val="0"/>
          <w:numId w:val="18"/>
        </w:numPr>
        <w:rPr>
          <w:rFonts w:ascii="Times New Roman" w:hAnsi="Times New Roman"/>
        </w:rPr>
      </w:pPr>
      <w:r>
        <w:rPr>
          <w:rFonts w:ascii="Times New Roman" w:hAnsi="Times New Roman"/>
        </w:rPr>
        <w:t>A list of projects the CWSRF plans to fund. This list should include the following</w:t>
      </w:r>
    </w:p>
    <w:p w:rsidR="00923579" w:rsidP="007D33DE" w:rsidRDefault="00923579" w14:paraId="24448106" w14:textId="427DA20D">
      <w:pPr>
        <w:pStyle w:val="ListParagraph"/>
        <w:numPr>
          <w:ilvl w:val="1"/>
          <w:numId w:val="18"/>
        </w:numPr>
        <w:rPr>
          <w:rFonts w:ascii="Times New Roman" w:hAnsi="Times New Roman"/>
        </w:rPr>
      </w:pPr>
      <w:r>
        <w:rPr>
          <w:rFonts w:ascii="Times New Roman" w:hAnsi="Times New Roman"/>
        </w:rPr>
        <w:t>Documentation that any project meeting the definition of a publicly owned treatment work was ranked based on the state’s project priority setting system.</w:t>
      </w:r>
    </w:p>
    <w:p w:rsidR="00923579" w:rsidP="007D33DE" w:rsidRDefault="001A4877" w14:paraId="1A3B47F9" w14:textId="5E955653">
      <w:pPr>
        <w:pStyle w:val="ListParagraph"/>
        <w:numPr>
          <w:ilvl w:val="1"/>
          <w:numId w:val="18"/>
        </w:numPr>
        <w:rPr>
          <w:rFonts w:ascii="Times New Roman" w:hAnsi="Times New Roman"/>
        </w:rPr>
      </w:pPr>
      <w:r w:rsidRPr="001A4877">
        <w:rPr>
          <w:rFonts w:ascii="Times New Roman" w:hAnsi="Times New Roman"/>
        </w:rPr>
        <w:t>Project description sufficiently detailed to determine project eligibility.</w:t>
      </w:r>
    </w:p>
    <w:p w:rsidR="001A4877" w:rsidP="007D33DE" w:rsidRDefault="001A4877" w14:paraId="221D95EE" w14:textId="08FCFA66">
      <w:pPr>
        <w:pStyle w:val="ListParagraph"/>
        <w:numPr>
          <w:ilvl w:val="1"/>
          <w:numId w:val="18"/>
        </w:numPr>
        <w:rPr>
          <w:rFonts w:ascii="Times New Roman" w:hAnsi="Times New Roman"/>
        </w:rPr>
      </w:pPr>
      <w:r w:rsidRPr="001A4877">
        <w:rPr>
          <w:rFonts w:ascii="Times New Roman" w:hAnsi="Times New Roman"/>
        </w:rPr>
        <w:t>Type and amount of financial assistance.</w:t>
      </w:r>
    </w:p>
    <w:p w:rsidR="000C47C7" w:rsidP="007D33DE" w:rsidRDefault="000C47C7" w14:paraId="5E991385" w14:textId="382EFA1D">
      <w:pPr>
        <w:pStyle w:val="ListParagraph"/>
        <w:numPr>
          <w:ilvl w:val="1"/>
          <w:numId w:val="18"/>
        </w:numPr>
        <w:rPr>
          <w:rFonts w:ascii="Times New Roman" w:hAnsi="Times New Roman"/>
        </w:rPr>
      </w:pPr>
      <w:r>
        <w:rPr>
          <w:rFonts w:ascii="Times New Roman" w:hAnsi="Times New Roman"/>
        </w:rPr>
        <w:t>NPDES permit number (if applicable).</w:t>
      </w:r>
    </w:p>
    <w:p w:rsidR="000C47C7" w:rsidP="007D33DE" w:rsidRDefault="009930D3" w14:paraId="65819B48" w14:textId="4C7DA1C9">
      <w:pPr>
        <w:pStyle w:val="ListParagraph"/>
        <w:numPr>
          <w:ilvl w:val="0"/>
          <w:numId w:val="18"/>
        </w:numPr>
        <w:rPr>
          <w:rFonts w:ascii="Times New Roman" w:hAnsi="Times New Roman"/>
        </w:rPr>
      </w:pPr>
      <w:r>
        <w:rPr>
          <w:rFonts w:ascii="Times New Roman" w:hAnsi="Times New Roman"/>
        </w:rPr>
        <w:t>A description of how the CWSRF</w:t>
      </w:r>
      <w:r w:rsidR="000C47C7">
        <w:rPr>
          <w:rFonts w:ascii="Times New Roman" w:hAnsi="Times New Roman"/>
        </w:rPr>
        <w:t xml:space="preserve"> plans to meet the </w:t>
      </w:r>
      <w:r w:rsidR="00FF52B9">
        <w:rPr>
          <w:rFonts w:ascii="Times New Roman" w:hAnsi="Times New Roman"/>
        </w:rPr>
        <w:t>GPR</w:t>
      </w:r>
      <w:r w:rsidR="000C47C7">
        <w:rPr>
          <w:rFonts w:ascii="Times New Roman" w:hAnsi="Times New Roman"/>
        </w:rPr>
        <w:t xml:space="preserve"> requirement included in recent annual appropriations. To the extent possible, this </w:t>
      </w:r>
      <w:r w:rsidR="00A76885">
        <w:rPr>
          <w:rFonts w:ascii="Times New Roman" w:hAnsi="Times New Roman"/>
        </w:rPr>
        <w:t xml:space="preserve">description </w:t>
      </w:r>
      <w:r w:rsidR="000C47C7">
        <w:rPr>
          <w:rFonts w:ascii="Times New Roman" w:hAnsi="Times New Roman"/>
        </w:rPr>
        <w:t xml:space="preserve">should include a list of the projects that will be used to meet this target. </w:t>
      </w:r>
    </w:p>
    <w:p w:rsidR="00A76885" w:rsidP="007D33DE" w:rsidRDefault="000C47C7" w14:paraId="5803C9EC" w14:textId="7A659788">
      <w:pPr>
        <w:pStyle w:val="ListParagraph"/>
        <w:numPr>
          <w:ilvl w:val="0"/>
          <w:numId w:val="18"/>
        </w:numPr>
        <w:rPr>
          <w:rFonts w:ascii="Times New Roman" w:hAnsi="Times New Roman"/>
        </w:rPr>
      </w:pPr>
      <w:r>
        <w:rPr>
          <w:rFonts w:ascii="Times New Roman" w:hAnsi="Times New Roman"/>
        </w:rPr>
        <w:t xml:space="preserve">A description of </w:t>
      </w:r>
      <w:r w:rsidR="009930D3">
        <w:rPr>
          <w:rFonts w:ascii="Times New Roman" w:hAnsi="Times New Roman"/>
        </w:rPr>
        <w:t>how the CWSRF</w:t>
      </w:r>
      <w:r w:rsidR="00A76885">
        <w:rPr>
          <w:rFonts w:ascii="Times New Roman" w:hAnsi="Times New Roman"/>
        </w:rPr>
        <w:t xml:space="preserve"> plans to provide additional subsidization. To the extent</w:t>
      </w:r>
      <w:r w:rsidR="00654122">
        <w:rPr>
          <w:rFonts w:ascii="Times New Roman" w:hAnsi="Times New Roman"/>
        </w:rPr>
        <w:t xml:space="preserve"> </w:t>
      </w:r>
      <w:r w:rsidR="00A76885">
        <w:rPr>
          <w:rFonts w:ascii="Times New Roman" w:hAnsi="Times New Roman"/>
        </w:rPr>
        <w:t>possible, this description should include a list of the projects that will be used to meet the minimum required amount set by annual appropriations and under what conditions it is eligible under the CWA.</w:t>
      </w:r>
      <w:r w:rsidR="00A76885">
        <w:rPr>
          <w:rStyle w:val="FootnoteReference"/>
          <w:rFonts w:ascii="Times New Roman" w:hAnsi="Times New Roman"/>
        </w:rPr>
        <w:footnoteReference w:id="4"/>
      </w:r>
    </w:p>
    <w:p w:rsidR="00654122" w:rsidP="00D0767F" w:rsidRDefault="00654122" w14:paraId="595091F3" w14:textId="77777777">
      <w:pPr>
        <w:rPr>
          <w:rFonts w:ascii="Times New Roman" w:hAnsi="Times New Roman"/>
        </w:rPr>
      </w:pPr>
    </w:p>
    <w:p w:rsidR="007E1069" w:rsidP="00D0767F" w:rsidRDefault="008C7E14" w14:paraId="19606A07" w14:textId="7643FF15">
      <w:pPr>
        <w:rPr>
          <w:rFonts w:ascii="Times New Roman" w:hAnsi="Times New Roman"/>
        </w:rPr>
      </w:pPr>
      <w:r>
        <w:rPr>
          <w:rFonts w:ascii="Times New Roman" w:hAnsi="Times New Roman"/>
        </w:rPr>
        <w:t>A CWSRF</w:t>
      </w:r>
      <w:r w:rsidR="007E1069">
        <w:rPr>
          <w:rFonts w:ascii="Times New Roman" w:hAnsi="Times New Roman"/>
        </w:rPr>
        <w:t xml:space="preserve"> is required by the CWA to make the intended use plan available for public comment and review</w:t>
      </w:r>
      <w:r>
        <w:rPr>
          <w:rFonts w:ascii="Times New Roman" w:hAnsi="Times New Roman"/>
        </w:rPr>
        <w:t xml:space="preserve">. </w:t>
      </w:r>
      <w:r w:rsidR="007E1069">
        <w:rPr>
          <w:rFonts w:ascii="Times New Roman" w:hAnsi="Times New Roman"/>
        </w:rPr>
        <w:t xml:space="preserve">EPA is </w:t>
      </w:r>
      <w:r>
        <w:rPr>
          <w:rFonts w:ascii="Times New Roman" w:hAnsi="Times New Roman"/>
        </w:rPr>
        <w:t xml:space="preserve">also </w:t>
      </w:r>
      <w:r w:rsidR="007E1069">
        <w:rPr>
          <w:rFonts w:ascii="Times New Roman" w:hAnsi="Times New Roman"/>
        </w:rPr>
        <w:t>provided an electronic</w:t>
      </w:r>
      <w:r>
        <w:rPr>
          <w:rFonts w:ascii="Times New Roman" w:hAnsi="Times New Roman"/>
        </w:rPr>
        <w:t xml:space="preserve"> copy for </w:t>
      </w:r>
      <w:r w:rsidR="007E1069">
        <w:rPr>
          <w:rFonts w:ascii="Times New Roman" w:hAnsi="Times New Roman"/>
        </w:rPr>
        <w:t xml:space="preserve">review. </w:t>
      </w:r>
      <w:r>
        <w:rPr>
          <w:rFonts w:ascii="Times New Roman" w:hAnsi="Times New Roman"/>
        </w:rPr>
        <w:t>Once a CWSRF makes</w:t>
      </w:r>
      <w:r w:rsidR="007E1069">
        <w:rPr>
          <w:rFonts w:ascii="Times New Roman" w:hAnsi="Times New Roman"/>
        </w:rPr>
        <w:t xml:space="preserve"> any necessary revisions based </w:t>
      </w:r>
      <w:r>
        <w:rPr>
          <w:rFonts w:ascii="Times New Roman" w:hAnsi="Times New Roman"/>
        </w:rPr>
        <w:t xml:space="preserve">on these </w:t>
      </w:r>
      <w:r w:rsidR="007E1069">
        <w:rPr>
          <w:rFonts w:ascii="Times New Roman" w:hAnsi="Times New Roman"/>
        </w:rPr>
        <w:t>comments</w:t>
      </w:r>
      <w:r>
        <w:rPr>
          <w:rFonts w:ascii="Times New Roman" w:hAnsi="Times New Roman"/>
        </w:rPr>
        <w:t>, the CWSRF</w:t>
      </w:r>
      <w:r w:rsidR="007E1069">
        <w:rPr>
          <w:rFonts w:ascii="Times New Roman" w:hAnsi="Times New Roman"/>
        </w:rPr>
        <w:t xml:space="preserve"> submit</w:t>
      </w:r>
      <w:r>
        <w:rPr>
          <w:rFonts w:ascii="Times New Roman" w:hAnsi="Times New Roman"/>
        </w:rPr>
        <w:t>s</w:t>
      </w:r>
      <w:r w:rsidR="007E1069">
        <w:rPr>
          <w:rFonts w:ascii="Times New Roman" w:hAnsi="Times New Roman"/>
        </w:rPr>
        <w:t xml:space="preserve"> the final</w:t>
      </w:r>
      <w:r>
        <w:rPr>
          <w:rFonts w:ascii="Times New Roman" w:hAnsi="Times New Roman"/>
        </w:rPr>
        <w:t xml:space="preserve"> </w:t>
      </w:r>
      <w:r w:rsidR="007E1069">
        <w:rPr>
          <w:rFonts w:ascii="Times New Roman" w:hAnsi="Times New Roman"/>
        </w:rPr>
        <w:t xml:space="preserve">intended use plan through grants.gov as part of the capitalization grant </w:t>
      </w:r>
      <w:r w:rsidR="00CE359F">
        <w:rPr>
          <w:rFonts w:ascii="Times New Roman" w:hAnsi="Times New Roman"/>
        </w:rPr>
        <w:t xml:space="preserve">agreement </w:t>
      </w:r>
      <w:r w:rsidR="007E1069">
        <w:rPr>
          <w:rFonts w:ascii="Times New Roman" w:hAnsi="Times New Roman"/>
        </w:rPr>
        <w:t>package.</w:t>
      </w:r>
    </w:p>
    <w:p w:rsidR="008E07BF" w:rsidP="00D0767F" w:rsidRDefault="008E07BF" w14:paraId="29197F3F" w14:textId="77777777">
      <w:pPr>
        <w:rPr>
          <w:rFonts w:ascii="Times New Roman" w:hAnsi="Times New Roman"/>
        </w:rPr>
      </w:pPr>
    </w:p>
    <w:p w:rsidR="00D0767F" w:rsidP="00D0767F" w:rsidRDefault="00204019" w14:paraId="66540891" w14:textId="46927B35">
      <w:pPr>
        <w:rPr>
          <w:rFonts w:ascii="Times New Roman" w:hAnsi="Times New Roman"/>
        </w:rPr>
      </w:pPr>
      <w:r>
        <w:rPr>
          <w:rFonts w:ascii="Times New Roman" w:hAnsi="Times New Roman"/>
        </w:rPr>
        <w:t>EPA provide</w:t>
      </w:r>
      <w:r w:rsidR="008E07BF">
        <w:rPr>
          <w:rFonts w:ascii="Times New Roman" w:hAnsi="Times New Roman"/>
        </w:rPr>
        <w:t>s</w:t>
      </w:r>
      <w:r>
        <w:rPr>
          <w:rFonts w:ascii="Times New Roman" w:hAnsi="Times New Roman"/>
        </w:rPr>
        <w:t xml:space="preserve"> the CWSRFs w</w:t>
      </w:r>
      <w:r w:rsidR="00D61169">
        <w:rPr>
          <w:rFonts w:ascii="Times New Roman" w:hAnsi="Times New Roman"/>
        </w:rPr>
        <w:t>ith an example intended use plan to provide additional guidance on what should be included in this document</w:t>
      </w:r>
      <w:r>
        <w:rPr>
          <w:rFonts w:ascii="Times New Roman" w:hAnsi="Times New Roman"/>
        </w:rPr>
        <w:t>.</w:t>
      </w:r>
      <w:r w:rsidR="001F3B41">
        <w:rPr>
          <w:rFonts w:ascii="Times New Roman" w:hAnsi="Times New Roman"/>
        </w:rPr>
        <w:t xml:space="preserve"> The purpose of the example intended use plan</w:t>
      </w:r>
      <w:r w:rsidR="00254A06">
        <w:rPr>
          <w:rFonts w:ascii="Times New Roman" w:hAnsi="Times New Roman"/>
        </w:rPr>
        <w:t xml:space="preserve"> </w:t>
      </w:r>
      <w:r w:rsidR="009D3977">
        <w:rPr>
          <w:rFonts w:ascii="Times New Roman" w:hAnsi="Times New Roman"/>
        </w:rPr>
        <w:t>is</w:t>
      </w:r>
      <w:r w:rsidR="00254A06">
        <w:rPr>
          <w:rFonts w:ascii="Times New Roman" w:hAnsi="Times New Roman"/>
        </w:rPr>
        <w:t xml:space="preserve"> to reduce the reporting burden by limiting the amou</w:t>
      </w:r>
      <w:r w:rsidR="00520202">
        <w:rPr>
          <w:rFonts w:ascii="Times New Roman" w:hAnsi="Times New Roman"/>
        </w:rPr>
        <w:t>nt of interactions</w:t>
      </w:r>
      <w:r w:rsidR="00CC7ECB">
        <w:rPr>
          <w:rFonts w:ascii="Times New Roman" w:hAnsi="Times New Roman"/>
        </w:rPr>
        <w:t xml:space="preserve"> between a</w:t>
      </w:r>
      <w:r w:rsidR="001F3B41">
        <w:rPr>
          <w:rFonts w:ascii="Times New Roman" w:hAnsi="Times New Roman"/>
        </w:rPr>
        <w:t xml:space="preserve"> CWSRF and</w:t>
      </w:r>
      <w:r w:rsidR="00135782">
        <w:rPr>
          <w:rFonts w:ascii="Times New Roman" w:hAnsi="Times New Roman"/>
        </w:rPr>
        <w:t xml:space="preserve"> </w:t>
      </w:r>
      <w:r w:rsidR="001F3B41">
        <w:rPr>
          <w:rFonts w:ascii="Times New Roman" w:hAnsi="Times New Roman"/>
        </w:rPr>
        <w:t>EPA.</w:t>
      </w:r>
    </w:p>
    <w:p w:rsidR="000165CA" w:rsidP="00B17699" w:rsidRDefault="000165CA" w14:paraId="33DB2C00" w14:textId="1EFDBB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914045" w:rsidR="00914045" w:rsidP="00914045" w:rsidRDefault="00914045" w14:paraId="46E5C913" w14:textId="5BB76AD3">
      <w:pPr>
        <w:widowControl/>
        <w:autoSpaceDE w:val="0"/>
        <w:autoSpaceDN w:val="0"/>
        <w:adjustRightInd w:val="0"/>
        <w:rPr>
          <w:rFonts w:ascii="Times New Roman" w:hAnsi="Times New Roman"/>
        </w:rPr>
      </w:pPr>
      <w:r>
        <w:rPr>
          <w:rFonts w:ascii="Times New Roman" w:hAnsi="Times New Roman"/>
          <w:u w:val="single"/>
        </w:rPr>
        <w:t>Annual Report</w:t>
      </w:r>
      <w:r>
        <w:rPr>
          <w:rFonts w:ascii="Times New Roman" w:hAnsi="Times New Roman"/>
        </w:rPr>
        <w:t>:</w:t>
      </w:r>
    </w:p>
    <w:p w:rsidR="00914045" w:rsidP="00B17699" w:rsidRDefault="00914045" w14:paraId="5B6E541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9425EE" w:rsidP="0023214E" w:rsidRDefault="00060B41" w14:paraId="4373A5EA" w14:textId="7C8D733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As required by the CWA, a</w:t>
      </w:r>
      <w:r w:rsidR="0023214E">
        <w:rPr>
          <w:rFonts w:ascii="Times New Roman" w:hAnsi="Times New Roman"/>
        </w:rPr>
        <w:t xml:space="preserve">n annual </w:t>
      </w:r>
      <w:r>
        <w:rPr>
          <w:rFonts w:ascii="Times New Roman" w:hAnsi="Times New Roman"/>
        </w:rPr>
        <w:t xml:space="preserve">report must be submitted to </w:t>
      </w:r>
      <w:r w:rsidR="0023214E">
        <w:rPr>
          <w:rFonts w:ascii="Times New Roman" w:hAnsi="Times New Roman"/>
        </w:rPr>
        <w:t xml:space="preserve">EPA covering </w:t>
      </w:r>
      <w:r w:rsidRPr="0023214E" w:rsidR="0023214E">
        <w:rPr>
          <w:rFonts w:ascii="Times New Roman" w:hAnsi="Times New Roman"/>
        </w:rPr>
        <w:t>program activities</w:t>
      </w:r>
      <w:r>
        <w:rPr>
          <w:rFonts w:ascii="Times New Roman" w:hAnsi="Times New Roman"/>
        </w:rPr>
        <w:t xml:space="preserve"> for the</w:t>
      </w:r>
      <w:r w:rsidR="00CE359F">
        <w:rPr>
          <w:rFonts w:ascii="Times New Roman" w:hAnsi="Times New Roman"/>
        </w:rPr>
        <w:t xml:space="preserve"> past year. A copy of the report is </w:t>
      </w:r>
      <w:r>
        <w:rPr>
          <w:rFonts w:ascii="Times New Roman" w:hAnsi="Times New Roman"/>
        </w:rPr>
        <w:t>provided in an electronic format (e.g., MS Word or Adobe) to the EPA regional office within</w:t>
      </w:r>
      <w:r w:rsidR="002E127B">
        <w:rPr>
          <w:rFonts w:ascii="Times New Roman" w:hAnsi="Times New Roman"/>
        </w:rPr>
        <w:t xml:space="preserve"> 90 days of the end of the CWSRF</w:t>
      </w:r>
      <w:r>
        <w:rPr>
          <w:rFonts w:ascii="Times New Roman" w:hAnsi="Times New Roman"/>
        </w:rPr>
        <w:t>’s fiscal year</w:t>
      </w:r>
      <w:r w:rsidR="00CD6F6A">
        <w:rPr>
          <w:rFonts w:ascii="Times New Roman" w:hAnsi="Times New Roman"/>
        </w:rPr>
        <w:t>. The report must</w:t>
      </w:r>
      <w:r w:rsidR="002A5FD3">
        <w:rPr>
          <w:rFonts w:ascii="Times New Roman" w:hAnsi="Times New Roman"/>
        </w:rPr>
        <w:t xml:space="preserve"> illustrate the</w:t>
      </w:r>
      <w:r w:rsidRPr="0023214E" w:rsidR="0023214E">
        <w:rPr>
          <w:rFonts w:ascii="Times New Roman" w:hAnsi="Times New Roman"/>
        </w:rPr>
        <w:t xml:space="preserve"> progress </w:t>
      </w:r>
      <w:r w:rsidR="00B408CB">
        <w:rPr>
          <w:rFonts w:ascii="Times New Roman" w:hAnsi="Times New Roman"/>
        </w:rPr>
        <w:t>a</w:t>
      </w:r>
      <w:r w:rsidR="002E127B">
        <w:rPr>
          <w:rFonts w:ascii="Times New Roman" w:hAnsi="Times New Roman"/>
        </w:rPr>
        <w:t xml:space="preserve"> CWSRF</w:t>
      </w:r>
      <w:r w:rsidR="002A5FD3">
        <w:rPr>
          <w:rFonts w:ascii="Times New Roman" w:hAnsi="Times New Roman"/>
        </w:rPr>
        <w:t xml:space="preserve"> has made </w:t>
      </w:r>
      <w:r w:rsidRPr="0023214E" w:rsidR="0023214E">
        <w:rPr>
          <w:rFonts w:ascii="Times New Roman" w:hAnsi="Times New Roman"/>
        </w:rPr>
        <w:t>toward</w:t>
      </w:r>
      <w:r w:rsidR="002A5FD3">
        <w:rPr>
          <w:rFonts w:ascii="Times New Roman" w:hAnsi="Times New Roman"/>
        </w:rPr>
        <w:t>s</w:t>
      </w:r>
      <w:r w:rsidRPr="0023214E" w:rsidR="0023214E">
        <w:rPr>
          <w:rFonts w:ascii="Times New Roman" w:hAnsi="Times New Roman"/>
        </w:rPr>
        <w:t xml:space="preserve"> meeting the goals and</w:t>
      </w:r>
      <w:r>
        <w:rPr>
          <w:rFonts w:ascii="Times New Roman" w:hAnsi="Times New Roman"/>
        </w:rPr>
        <w:t xml:space="preserve"> objectives of the previous </w:t>
      </w:r>
      <w:r w:rsidR="00CD6F6A">
        <w:rPr>
          <w:rFonts w:ascii="Times New Roman" w:hAnsi="Times New Roman"/>
        </w:rPr>
        <w:t>fiscal year</w:t>
      </w:r>
      <w:r w:rsidR="002A5FD3">
        <w:rPr>
          <w:rFonts w:ascii="Times New Roman" w:hAnsi="Times New Roman"/>
        </w:rPr>
        <w:t xml:space="preserve">’s </w:t>
      </w:r>
      <w:r w:rsidRPr="0023214E" w:rsidR="0023214E">
        <w:rPr>
          <w:rFonts w:ascii="Times New Roman" w:hAnsi="Times New Roman"/>
        </w:rPr>
        <w:t xml:space="preserve">IUP and </w:t>
      </w:r>
      <w:r w:rsidR="00CD6F6A">
        <w:rPr>
          <w:rFonts w:ascii="Times New Roman" w:hAnsi="Times New Roman"/>
        </w:rPr>
        <w:t xml:space="preserve">capitalization grant agreement. </w:t>
      </w:r>
      <w:r w:rsidR="008761DC">
        <w:rPr>
          <w:rFonts w:ascii="Times New Roman" w:hAnsi="Times New Roman"/>
        </w:rPr>
        <w:t xml:space="preserve">Similarly, the report must </w:t>
      </w:r>
      <w:r w:rsidR="00B408CB">
        <w:rPr>
          <w:rFonts w:ascii="Times New Roman" w:hAnsi="Times New Roman"/>
        </w:rPr>
        <w:t>document a</w:t>
      </w:r>
      <w:r w:rsidR="00CE359F">
        <w:rPr>
          <w:rFonts w:ascii="Times New Roman" w:hAnsi="Times New Roman"/>
        </w:rPr>
        <w:t xml:space="preserve"> CWSRF</w:t>
      </w:r>
      <w:r w:rsidR="00CD6F6A">
        <w:rPr>
          <w:rFonts w:ascii="Times New Roman" w:hAnsi="Times New Roman"/>
        </w:rPr>
        <w:t>’</w:t>
      </w:r>
      <w:r w:rsidR="00B408CB">
        <w:rPr>
          <w:rFonts w:ascii="Times New Roman" w:hAnsi="Times New Roman"/>
        </w:rPr>
        <w:t>s</w:t>
      </w:r>
      <w:r w:rsidR="00CD6F6A">
        <w:rPr>
          <w:rFonts w:ascii="Times New Roman" w:hAnsi="Times New Roman"/>
        </w:rPr>
        <w:t xml:space="preserve"> compliance with the assurances incl</w:t>
      </w:r>
      <w:r w:rsidR="001D4616">
        <w:rPr>
          <w:rFonts w:ascii="Times New Roman" w:hAnsi="Times New Roman"/>
        </w:rPr>
        <w:t xml:space="preserve">uded as </w:t>
      </w:r>
      <w:r w:rsidR="00CE359F">
        <w:rPr>
          <w:rFonts w:ascii="Times New Roman" w:hAnsi="Times New Roman"/>
        </w:rPr>
        <w:t xml:space="preserve">part of the </w:t>
      </w:r>
      <w:r w:rsidR="001D4616">
        <w:rPr>
          <w:rFonts w:ascii="Times New Roman" w:hAnsi="Times New Roman"/>
        </w:rPr>
        <w:t>intended use plan</w:t>
      </w:r>
      <w:r w:rsidR="00CD6F6A">
        <w:rPr>
          <w:rFonts w:ascii="Times New Roman" w:hAnsi="Times New Roman"/>
        </w:rPr>
        <w:t xml:space="preserve">. </w:t>
      </w:r>
    </w:p>
    <w:p w:rsidR="009425EE" w:rsidP="0023214E" w:rsidRDefault="009425EE" w14:paraId="09005BB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23214E" w:rsidR="0023214E" w:rsidP="0023214E" w:rsidRDefault="001D4616" w14:paraId="556E5635" w14:textId="0AB470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The report</w:t>
      </w:r>
      <w:r w:rsidR="00CD6F6A">
        <w:rPr>
          <w:rFonts w:ascii="Times New Roman" w:hAnsi="Times New Roman"/>
        </w:rPr>
        <w:t xml:space="preserve"> must </w:t>
      </w:r>
      <w:r w:rsidR="008761DC">
        <w:rPr>
          <w:rFonts w:ascii="Times New Roman" w:hAnsi="Times New Roman"/>
        </w:rPr>
        <w:t xml:space="preserve">also </w:t>
      </w:r>
      <w:r w:rsidRPr="0023214E" w:rsidR="0023214E">
        <w:rPr>
          <w:rFonts w:ascii="Times New Roman" w:hAnsi="Times New Roman"/>
        </w:rPr>
        <w:t xml:space="preserve">provide </w:t>
      </w:r>
      <w:r w:rsidR="00CD6F6A">
        <w:rPr>
          <w:rFonts w:ascii="Times New Roman" w:hAnsi="Times New Roman"/>
        </w:rPr>
        <w:t xml:space="preserve">detailed </w:t>
      </w:r>
      <w:r w:rsidRPr="0023214E" w:rsidR="0023214E">
        <w:rPr>
          <w:rFonts w:ascii="Times New Roman" w:hAnsi="Times New Roman"/>
        </w:rPr>
        <w:t>information on actual assistance provided, including: loan recipients; loan amounts; loan terms; project categories of eligible cost; and similar details on other forms of assistance.</w:t>
      </w:r>
      <w:r w:rsidR="002A5FD3">
        <w:rPr>
          <w:rFonts w:ascii="Times New Roman" w:hAnsi="Times New Roman"/>
        </w:rPr>
        <w:t xml:space="preserve"> This information must note</w:t>
      </w:r>
      <w:r w:rsidR="009425EE">
        <w:rPr>
          <w:rFonts w:ascii="Times New Roman" w:hAnsi="Times New Roman"/>
        </w:rPr>
        <w:t xml:space="preserve"> whether</w:t>
      </w:r>
      <w:r w:rsidR="00CD6F6A">
        <w:rPr>
          <w:rFonts w:ascii="Times New Roman" w:hAnsi="Times New Roman"/>
        </w:rPr>
        <w:t xml:space="preserve"> </w:t>
      </w:r>
      <w:r w:rsidR="002A5FD3">
        <w:rPr>
          <w:rFonts w:ascii="Times New Roman" w:hAnsi="Times New Roman"/>
        </w:rPr>
        <w:t>a project is</w:t>
      </w:r>
      <w:r w:rsidR="00CD6F6A">
        <w:rPr>
          <w:rFonts w:ascii="Times New Roman" w:hAnsi="Times New Roman"/>
        </w:rPr>
        <w:t xml:space="preserve"> being counted towards the </w:t>
      </w:r>
      <w:r w:rsidR="00FF52B9">
        <w:rPr>
          <w:rFonts w:ascii="Times New Roman" w:hAnsi="Times New Roman"/>
        </w:rPr>
        <w:t>GPR</w:t>
      </w:r>
      <w:r w:rsidR="00CD6F6A">
        <w:rPr>
          <w:rFonts w:ascii="Times New Roman" w:hAnsi="Times New Roman"/>
        </w:rPr>
        <w:t xml:space="preserve"> requirement</w:t>
      </w:r>
      <w:r>
        <w:rPr>
          <w:rFonts w:ascii="Times New Roman" w:hAnsi="Times New Roman"/>
        </w:rPr>
        <w:t>. Addition</w:t>
      </w:r>
      <w:r w:rsidR="002E127B">
        <w:rPr>
          <w:rFonts w:ascii="Times New Roman" w:hAnsi="Times New Roman"/>
        </w:rPr>
        <w:t>ally, a CWSRF</w:t>
      </w:r>
      <w:r w:rsidR="002A5FD3">
        <w:rPr>
          <w:rFonts w:ascii="Times New Roman" w:hAnsi="Times New Roman"/>
        </w:rPr>
        <w:t xml:space="preserve"> must include</w:t>
      </w:r>
      <w:r>
        <w:rPr>
          <w:rFonts w:ascii="Times New Roman" w:hAnsi="Times New Roman"/>
        </w:rPr>
        <w:t xml:space="preserve"> whether a </w:t>
      </w:r>
      <w:r w:rsidR="00CD6F6A">
        <w:rPr>
          <w:rFonts w:ascii="Times New Roman" w:hAnsi="Times New Roman"/>
        </w:rPr>
        <w:t xml:space="preserve">project received additional subsidization </w:t>
      </w:r>
      <w:r>
        <w:rPr>
          <w:rFonts w:ascii="Times New Roman" w:hAnsi="Times New Roman"/>
        </w:rPr>
        <w:t xml:space="preserve">and supporting rationale for why it was eligible to receive such </w:t>
      </w:r>
      <w:r>
        <w:rPr>
          <w:rFonts w:ascii="Times New Roman" w:hAnsi="Times New Roman"/>
        </w:rPr>
        <w:lastRenderedPageBreak/>
        <w:t>assistance.</w:t>
      </w:r>
      <w:r w:rsidR="00CD6F6A">
        <w:rPr>
          <w:rFonts w:ascii="Times New Roman" w:hAnsi="Times New Roman"/>
        </w:rPr>
        <w:t xml:space="preserve"> </w:t>
      </w:r>
    </w:p>
    <w:p w:rsidRPr="0023214E" w:rsidR="0023214E" w:rsidP="0023214E" w:rsidRDefault="0023214E" w14:paraId="04EE243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23214E" w:rsidP="0023214E" w:rsidRDefault="001D7A15" w14:paraId="3EF05794" w14:textId="4F05CA7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 CWSRF</w:t>
      </w:r>
      <w:r w:rsidRPr="0023214E" w:rsidR="0023214E">
        <w:rPr>
          <w:rFonts w:ascii="Times New Roman" w:hAnsi="Times New Roman"/>
        </w:rPr>
        <w:t xml:space="preserve"> must</w:t>
      </w:r>
      <w:r>
        <w:rPr>
          <w:rFonts w:ascii="Times New Roman" w:hAnsi="Times New Roman"/>
        </w:rPr>
        <w:t xml:space="preserve"> also</w:t>
      </w:r>
      <w:r w:rsidRPr="0023214E" w:rsidR="0023214E">
        <w:rPr>
          <w:rFonts w:ascii="Times New Roman" w:hAnsi="Times New Roman"/>
        </w:rPr>
        <w:t xml:space="preserve"> submit detailed financial stat</w:t>
      </w:r>
      <w:r w:rsidR="001D4616">
        <w:rPr>
          <w:rFonts w:ascii="Times New Roman" w:hAnsi="Times New Roman"/>
        </w:rPr>
        <w:t>ements as part of the annual r</w:t>
      </w:r>
      <w:r>
        <w:rPr>
          <w:rFonts w:ascii="Times New Roman" w:hAnsi="Times New Roman"/>
        </w:rPr>
        <w:t>eport that provide a sna</w:t>
      </w:r>
      <w:r w:rsidR="00D00C9D">
        <w:rPr>
          <w:rFonts w:ascii="Times New Roman" w:hAnsi="Times New Roman"/>
        </w:rPr>
        <w:t>pshot of its</w:t>
      </w:r>
      <w:r w:rsidR="001F3B41">
        <w:rPr>
          <w:rFonts w:ascii="Times New Roman" w:hAnsi="Times New Roman"/>
        </w:rPr>
        <w:t xml:space="preserve"> financial stability</w:t>
      </w:r>
      <w:r>
        <w:rPr>
          <w:rFonts w:ascii="Times New Roman" w:hAnsi="Times New Roman"/>
        </w:rPr>
        <w:t>. If</w:t>
      </w:r>
      <w:r w:rsidR="00AE084E">
        <w:rPr>
          <w:rFonts w:ascii="Times New Roman" w:hAnsi="Times New Roman"/>
        </w:rPr>
        <w:t xml:space="preserve"> an</w:t>
      </w:r>
      <w:r>
        <w:rPr>
          <w:rFonts w:ascii="Times New Roman" w:hAnsi="Times New Roman"/>
        </w:rPr>
        <w:t xml:space="preserve"> annual audit has not yet</w:t>
      </w:r>
      <w:r w:rsidR="00265C32">
        <w:rPr>
          <w:rFonts w:ascii="Times New Roman" w:hAnsi="Times New Roman"/>
        </w:rPr>
        <w:t xml:space="preserve"> been</w:t>
      </w:r>
      <w:r>
        <w:rPr>
          <w:rFonts w:ascii="Times New Roman" w:hAnsi="Times New Roman"/>
        </w:rPr>
        <w:t xml:space="preserve"> completed, the annual report should include draft </w:t>
      </w:r>
      <w:r w:rsidRPr="0023214E" w:rsidR="0023214E">
        <w:rPr>
          <w:rFonts w:ascii="Times New Roman" w:hAnsi="Times New Roman"/>
        </w:rPr>
        <w:t>financial s</w:t>
      </w:r>
      <w:r>
        <w:rPr>
          <w:rFonts w:ascii="Times New Roman" w:hAnsi="Times New Roman"/>
        </w:rPr>
        <w:t xml:space="preserve">tatements and footnotes that are in accordance with </w:t>
      </w:r>
      <w:r w:rsidRPr="0023214E" w:rsidR="0023214E">
        <w:rPr>
          <w:rFonts w:ascii="Times New Roman" w:hAnsi="Times New Roman"/>
        </w:rPr>
        <w:t xml:space="preserve">generally accepted accounting principles (GAAP) to present fairly the financial condition and results of operation. </w:t>
      </w:r>
      <w:r w:rsidR="00D00C9D">
        <w:rPr>
          <w:rFonts w:ascii="Times New Roman" w:hAnsi="Times New Roman"/>
        </w:rPr>
        <w:t>Preferably, a</w:t>
      </w:r>
      <w:r w:rsidR="002E127B">
        <w:rPr>
          <w:rFonts w:ascii="Times New Roman" w:hAnsi="Times New Roman"/>
        </w:rPr>
        <w:t xml:space="preserve"> CWSRF</w:t>
      </w:r>
      <w:r w:rsidR="00C40C2F">
        <w:rPr>
          <w:rFonts w:ascii="Times New Roman" w:hAnsi="Times New Roman"/>
        </w:rPr>
        <w:t xml:space="preserve"> would include the financial statements resulting from the annual audit. </w:t>
      </w:r>
    </w:p>
    <w:p w:rsidR="009425EE" w:rsidP="0023214E" w:rsidRDefault="009425EE" w14:paraId="5382691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EA3DEE" w:rsidP="00B408CB" w:rsidRDefault="00EA3DEE" w14:paraId="2EC422E8" w14:textId="45B4122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The report is one of the principal instruments by which a CWSRF demonstrates to EPA that it has abided by the assurances and terms set forth in the capitalization grant agreement. Any major discrepancies between the annual report and capitalization grant/intended use plan must be addressed to the satisfaction</w:t>
      </w:r>
      <w:r w:rsidR="00265C32">
        <w:rPr>
          <w:rFonts w:ascii="Times New Roman" w:hAnsi="Times New Roman"/>
        </w:rPr>
        <w:t xml:space="preserve"> of EPA. The </w:t>
      </w:r>
      <w:r w:rsidR="001F3B41">
        <w:rPr>
          <w:rFonts w:ascii="Times New Roman" w:hAnsi="Times New Roman"/>
        </w:rPr>
        <w:t xml:space="preserve">regional </w:t>
      </w:r>
      <w:r>
        <w:rPr>
          <w:rFonts w:ascii="Times New Roman" w:hAnsi="Times New Roman"/>
        </w:rPr>
        <w:t>annual rev</w:t>
      </w:r>
      <w:r w:rsidR="00D00C9D">
        <w:rPr>
          <w:rFonts w:ascii="Times New Roman" w:hAnsi="Times New Roman"/>
        </w:rPr>
        <w:t>iew of a</w:t>
      </w:r>
      <w:r w:rsidR="00265C32">
        <w:rPr>
          <w:rFonts w:ascii="Times New Roman" w:hAnsi="Times New Roman"/>
        </w:rPr>
        <w:t xml:space="preserve"> CWSRF is usually where</w:t>
      </w:r>
      <w:r>
        <w:rPr>
          <w:rFonts w:ascii="Times New Roman" w:hAnsi="Times New Roman"/>
        </w:rPr>
        <w:t xml:space="preserve"> such concerns are identified and raise</w:t>
      </w:r>
      <w:r w:rsidR="00B408CB">
        <w:rPr>
          <w:rFonts w:ascii="Times New Roman" w:hAnsi="Times New Roman"/>
        </w:rPr>
        <w:t>d</w:t>
      </w:r>
      <w:r w:rsidR="00D00C9D">
        <w:rPr>
          <w:rFonts w:ascii="Times New Roman" w:hAnsi="Times New Roman"/>
        </w:rPr>
        <w:t>, though</w:t>
      </w:r>
      <w:r w:rsidR="00BA5356">
        <w:rPr>
          <w:rFonts w:ascii="Times New Roman" w:hAnsi="Times New Roman"/>
        </w:rPr>
        <w:t xml:space="preserve"> </w:t>
      </w:r>
      <w:r w:rsidR="00D00C9D">
        <w:rPr>
          <w:rFonts w:ascii="Times New Roman" w:hAnsi="Times New Roman"/>
        </w:rPr>
        <w:t>EPA may contact a</w:t>
      </w:r>
      <w:r>
        <w:rPr>
          <w:rFonts w:ascii="Times New Roman" w:hAnsi="Times New Roman"/>
        </w:rPr>
        <w:t xml:space="preserve"> CWSRF prior to the annual review if such action is deemed warranted.</w:t>
      </w:r>
    </w:p>
    <w:p w:rsidR="00B408CB" w:rsidP="00AE084E" w:rsidRDefault="00B408CB" w14:paraId="41C3BCF9" w14:textId="77777777">
      <w:pPr>
        <w:widowControl/>
        <w:autoSpaceDE w:val="0"/>
        <w:autoSpaceDN w:val="0"/>
        <w:adjustRightInd w:val="0"/>
        <w:rPr>
          <w:rFonts w:ascii="Times New Roman" w:hAnsi="Times New Roman"/>
          <w:u w:val="single"/>
        </w:rPr>
      </w:pPr>
    </w:p>
    <w:p w:rsidR="00AE084E" w:rsidP="00AE084E" w:rsidRDefault="00AE084E" w14:paraId="269EC2F2" w14:textId="42D31112">
      <w:pPr>
        <w:widowControl/>
        <w:autoSpaceDE w:val="0"/>
        <w:autoSpaceDN w:val="0"/>
        <w:adjustRightInd w:val="0"/>
        <w:rPr>
          <w:rFonts w:ascii="Times New Roman" w:hAnsi="Times New Roman"/>
        </w:rPr>
      </w:pPr>
      <w:r>
        <w:rPr>
          <w:rFonts w:ascii="Times New Roman" w:hAnsi="Times New Roman"/>
          <w:u w:val="single"/>
        </w:rPr>
        <w:t>Annual Audit</w:t>
      </w:r>
      <w:r>
        <w:rPr>
          <w:rFonts w:ascii="Times New Roman" w:hAnsi="Times New Roman"/>
        </w:rPr>
        <w:t>:</w:t>
      </w:r>
    </w:p>
    <w:p w:rsidR="00AE084E" w:rsidP="00B17699" w:rsidRDefault="00AE084E" w14:paraId="33A98B9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914045" w:rsidP="00B17699" w:rsidRDefault="00AE084E" w14:paraId="329CDD62" w14:textId="3ACE90B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Section 606</w:t>
      </w:r>
      <w:r w:rsidR="008F139D">
        <w:rPr>
          <w:rFonts w:ascii="Times New Roman" w:hAnsi="Times New Roman"/>
        </w:rPr>
        <w:t>(b)</w:t>
      </w:r>
      <w:r>
        <w:rPr>
          <w:rFonts w:ascii="Times New Roman" w:hAnsi="Times New Roman"/>
        </w:rPr>
        <w:t xml:space="preserve"> requires that a CWSRF undergo an independent annual audit consistent </w:t>
      </w:r>
      <w:r w:rsidRPr="00AE084E">
        <w:rPr>
          <w:rFonts w:ascii="Times New Roman" w:hAnsi="Times New Roman"/>
        </w:rPr>
        <w:t>with the auditing procedures of the General Accounting Office, including chapter 75 of title 31, United States Code.</w:t>
      </w:r>
      <w:r w:rsidR="00532531">
        <w:rPr>
          <w:rFonts w:ascii="Times New Roman" w:hAnsi="Times New Roman"/>
        </w:rPr>
        <w:t xml:space="preserve"> Though </w:t>
      </w:r>
      <w:r>
        <w:rPr>
          <w:rFonts w:ascii="Times New Roman" w:hAnsi="Times New Roman"/>
        </w:rPr>
        <w:t>an audit conducted under the Single</w:t>
      </w:r>
      <w:r w:rsidR="00532531">
        <w:rPr>
          <w:rFonts w:ascii="Times New Roman" w:hAnsi="Times New Roman"/>
        </w:rPr>
        <w:t xml:space="preserve"> Audit Act </w:t>
      </w:r>
      <w:r>
        <w:rPr>
          <w:rFonts w:ascii="Times New Roman" w:hAnsi="Times New Roman"/>
        </w:rPr>
        <w:t>meet</w:t>
      </w:r>
      <w:r w:rsidR="00532531">
        <w:rPr>
          <w:rFonts w:ascii="Times New Roman" w:hAnsi="Times New Roman"/>
        </w:rPr>
        <w:t>s</w:t>
      </w:r>
      <w:r>
        <w:rPr>
          <w:rFonts w:ascii="Times New Roman" w:hAnsi="Times New Roman"/>
        </w:rPr>
        <w:t xml:space="preserve"> this requirement, it</w:t>
      </w:r>
      <w:r w:rsidR="00D00C9D">
        <w:rPr>
          <w:rFonts w:ascii="Times New Roman" w:hAnsi="Times New Roman"/>
        </w:rPr>
        <w:t xml:space="preserve"> is strongly encouraged that a</w:t>
      </w:r>
      <w:r>
        <w:rPr>
          <w:rFonts w:ascii="Times New Roman" w:hAnsi="Times New Roman"/>
        </w:rPr>
        <w:t xml:space="preserve"> CWSRF s</w:t>
      </w:r>
      <w:r w:rsidR="00833BA8">
        <w:rPr>
          <w:rFonts w:ascii="Times New Roman" w:hAnsi="Times New Roman"/>
        </w:rPr>
        <w:t>till proceed with an independent annual</w:t>
      </w:r>
      <w:r>
        <w:rPr>
          <w:rFonts w:ascii="Times New Roman" w:hAnsi="Times New Roman"/>
        </w:rPr>
        <w:t xml:space="preserve"> audit. The rational</w:t>
      </w:r>
      <w:r w:rsidR="00B408CB">
        <w:rPr>
          <w:rFonts w:ascii="Times New Roman" w:hAnsi="Times New Roman"/>
        </w:rPr>
        <w:t>e</w:t>
      </w:r>
      <w:r>
        <w:rPr>
          <w:rFonts w:ascii="Times New Roman" w:hAnsi="Times New Roman"/>
        </w:rPr>
        <w:t xml:space="preserve"> being that an indep</w:t>
      </w:r>
      <w:r w:rsidR="00D00C9D">
        <w:rPr>
          <w:rFonts w:ascii="Times New Roman" w:hAnsi="Times New Roman"/>
        </w:rPr>
        <w:t>endent audit looking only at a</w:t>
      </w:r>
      <w:r>
        <w:rPr>
          <w:rFonts w:ascii="Times New Roman" w:hAnsi="Times New Roman"/>
        </w:rPr>
        <w:t xml:space="preserve"> CWSRF provides a much</w:t>
      </w:r>
      <w:r w:rsidR="003B2A1E">
        <w:rPr>
          <w:rFonts w:ascii="Times New Roman" w:hAnsi="Times New Roman"/>
        </w:rPr>
        <w:t xml:space="preserve"> m</w:t>
      </w:r>
      <w:r w:rsidR="00E50677">
        <w:rPr>
          <w:rFonts w:ascii="Times New Roman" w:hAnsi="Times New Roman"/>
        </w:rPr>
        <w:t>o</w:t>
      </w:r>
      <w:r w:rsidR="003B2A1E">
        <w:rPr>
          <w:rFonts w:ascii="Times New Roman" w:hAnsi="Times New Roman"/>
        </w:rPr>
        <w:t>re</w:t>
      </w:r>
      <w:r>
        <w:rPr>
          <w:rFonts w:ascii="Times New Roman" w:hAnsi="Times New Roman"/>
        </w:rPr>
        <w:t xml:space="preserve"> detailed </w:t>
      </w:r>
      <w:r w:rsidR="00833BA8">
        <w:rPr>
          <w:rFonts w:ascii="Times New Roman" w:hAnsi="Times New Roman"/>
        </w:rPr>
        <w:t xml:space="preserve">and effective review </w:t>
      </w:r>
      <w:r>
        <w:rPr>
          <w:rFonts w:ascii="Times New Roman" w:hAnsi="Times New Roman"/>
        </w:rPr>
        <w:t>as opposed</w:t>
      </w:r>
      <w:r w:rsidR="00833BA8">
        <w:rPr>
          <w:rFonts w:ascii="Times New Roman" w:hAnsi="Times New Roman"/>
        </w:rPr>
        <w:t xml:space="preserve"> to the Single Audit that </w:t>
      </w:r>
      <w:r w:rsidR="00D00C9D">
        <w:rPr>
          <w:rFonts w:ascii="Times New Roman" w:hAnsi="Times New Roman"/>
        </w:rPr>
        <w:t>groups a</w:t>
      </w:r>
      <w:r w:rsidR="00833BA8">
        <w:rPr>
          <w:rFonts w:ascii="Times New Roman" w:hAnsi="Times New Roman"/>
        </w:rPr>
        <w:t xml:space="preserve"> CWSRF with </w:t>
      </w:r>
      <w:r>
        <w:rPr>
          <w:rFonts w:ascii="Times New Roman" w:hAnsi="Times New Roman"/>
        </w:rPr>
        <w:t xml:space="preserve">many </w:t>
      </w:r>
      <w:r w:rsidR="00833BA8">
        <w:rPr>
          <w:rFonts w:ascii="Times New Roman" w:hAnsi="Times New Roman"/>
        </w:rPr>
        <w:t xml:space="preserve">other </w:t>
      </w:r>
      <w:r>
        <w:rPr>
          <w:rFonts w:ascii="Times New Roman" w:hAnsi="Times New Roman"/>
        </w:rPr>
        <w:t xml:space="preserve">programs disbursing federal funds. </w:t>
      </w:r>
    </w:p>
    <w:p w:rsidR="00AE084E" w:rsidP="00B17699" w:rsidRDefault="00AE084E" w14:paraId="1BA1F89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237165" w:rsidP="00AE084E" w:rsidRDefault="00237165" w14:paraId="4C5DEE64" w14:textId="7090466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A CWSRF usually relies on the services </w:t>
      </w:r>
      <w:r w:rsidR="0069294B">
        <w:rPr>
          <w:rFonts w:ascii="Times New Roman" w:hAnsi="Times New Roman"/>
        </w:rPr>
        <w:t>of a professional auditing firm</w:t>
      </w:r>
      <w:r>
        <w:rPr>
          <w:rFonts w:ascii="Times New Roman" w:hAnsi="Times New Roman"/>
        </w:rPr>
        <w:t xml:space="preserve"> to conduct t</w:t>
      </w:r>
      <w:r w:rsidR="00EA3DEE">
        <w:rPr>
          <w:rFonts w:ascii="Times New Roman" w:hAnsi="Times New Roman"/>
        </w:rPr>
        <w:t>he i</w:t>
      </w:r>
      <w:r>
        <w:rPr>
          <w:rFonts w:ascii="Times New Roman" w:hAnsi="Times New Roman"/>
        </w:rPr>
        <w:t>ndependen</w:t>
      </w:r>
      <w:r w:rsidR="00EA3DEE">
        <w:rPr>
          <w:rFonts w:ascii="Times New Roman" w:hAnsi="Times New Roman"/>
        </w:rPr>
        <w:t>t</w:t>
      </w:r>
      <w:r>
        <w:rPr>
          <w:rFonts w:ascii="Times New Roman" w:hAnsi="Times New Roman"/>
        </w:rPr>
        <w:t xml:space="preserve"> audit. The audit </w:t>
      </w:r>
      <w:r w:rsidRPr="00AE084E" w:rsidR="00AE084E">
        <w:rPr>
          <w:rFonts w:ascii="Times New Roman" w:hAnsi="Times New Roman"/>
        </w:rPr>
        <w:t>include</w:t>
      </w:r>
      <w:r>
        <w:rPr>
          <w:rFonts w:ascii="Times New Roman" w:hAnsi="Times New Roman"/>
        </w:rPr>
        <w:t>s</w:t>
      </w:r>
      <w:r w:rsidRPr="00AE084E" w:rsidR="00AE084E">
        <w:rPr>
          <w:rFonts w:ascii="Times New Roman" w:hAnsi="Times New Roman"/>
        </w:rPr>
        <w:t xml:space="preserve"> te</w:t>
      </w:r>
      <w:r w:rsidR="00AE084E">
        <w:rPr>
          <w:rFonts w:ascii="Times New Roman" w:hAnsi="Times New Roman"/>
        </w:rPr>
        <w:t xml:space="preserve">sting of accounting records and </w:t>
      </w:r>
      <w:r w:rsidRPr="00AE084E" w:rsidR="00AE084E">
        <w:rPr>
          <w:rFonts w:ascii="Times New Roman" w:hAnsi="Times New Roman"/>
        </w:rPr>
        <w:t>other procedures the auditor considers necessary to express an opinion t</w:t>
      </w:r>
      <w:r w:rsidR="00AE084E">
        <w:rPr>
          <w:rFonts w:ascii="Times New Roman" w:hAnsi="Times New Roman"/>
        </w:rPr>
        <w:t>hat</w:t>
      </w:r>
      <w:r w:rsidR="00D00C9D">
        <w:rPr>
          <w:rFonts w:ascii="Times New Roman" w:hAnsi="Times New Roman"/>
        </w:rPr>
        <w:t xml:space="preserve"> the financial statements </w:t>
      </w:r>
      <w:r w:rsidRPr="00AE084E" w:rsidR="00AE084E">
        <w:rPr>
          <w:rFonts w:ascii="Times New Roman" w:hAnsi="Times New Roman"/>
        </w:rPr>
        <w:t>are fairly presented, in all material respects.</w:t>
      </w:r>
      <w:r w:rsidR="00AE084E">
        <w:rPr>
          <w:rFonts w:ascii="Times New Roman" w:hAnsi="Times New Roman"/>
        </w:rPr>
        <w:t xml:space="preserve"> Audits </w:t>
      </w:r>
      <w:r>
        <w:rPr>
          <w:rFonts w:ascii="Times New Roman" w:hAnsi="Times New Roman"/>
        </w:rPr>
        <w:t xml:space="preserve">also </w:t>
      </w:r>
      <w:r w:rsidR="00AE084E">
        <w:rPr>
          <w:rFonts w:ascii="Times New Roman" w:hAnsi="Times New Roman"/>
        </w:rPr>
        <w:t xml:space="preserve">include tests of </w:t>
      </w:r>
      <w:r w:rsidRPr="00AE084E" w:rsidR="00AE084E">
        <w:rPr>
          <w:rFonts w:ascii="Times New Roman" w:hAnsi="Times New Roman"/>
        </w:rPr>
        <w:t>documentary evidence supporting the transactions recorded in the accoun</w:t>
      </w:r>
      <w:r w:rsidR="001E3F5B">
        <w:rPr>
          <w:rFonts w:ascii="Times New Roman" w:hAnsi="Times New Roman"/>
        </w:rPr>
        <w:t xml:space="preserve">ts. </w:t>
      </w:r>
      <w:r w:rsidR="00AE084E">
        <w:rPr>
          <w:rFonts w:ascii="Times New Roman" w:hAnsi="Times New Roman"/>
        </w:rPr>
        <w:t>The</w:t>
      </w:r>
      <w:r>
        <w:rPr>
          <w:rFonts w:ascii="Times New Roman" w:hAnsi="Times New Roman"/>
        </w:rPr>
        <w:t xml:space="preserve"> </w:t>
      </w:r>
      <w:r w:rsidRPr="00AE084E" w:rsidR="00AE084E">
        <w:rPr>
          <w:rFonts w:ascii="Times New Roman" w:hAnsi="Times New Roman"/>
        </w:rPr>
        <w:t>product of an a</w:t>
      </w:r>
      <w:r>
        <w:rPr>
          <w:rFonts w:ascii="Times New Roman" w:hAnsi="Times New Roman"/>
        </w:rPr>
        <w:t>udit generally includes issuing the following reports:</w:t>
      </w:r>
    </w:p>
    <w:p w:rsidR="009930D3" w:rsidP="00AE084E" w:rsidRDefault="009930D3" w14:paraId="730C797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237165" w:rsidR="00AE084E" w:rsidP="00237165" w:rsidRDefault="00AE084E" w14:paraId="3FFAAB8F" w14:textId="40418E9F">
      <w:pPr>
        <w:pStyle w:val="ListParagraph"/>
        <w:numPr>
          <w:ilvl w:val="0"/>
          <w:numId w:val="2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237165">
        <w:rPr>
          <w:rFonts w:ascii="Times New Roman" w:hAnsi="Times New Roman"/>
        </w:rPr>
        <w:t xml:space="preserve">Financial statements with an opinion (or disclaimer of opinion) </w:t>
      </w:r>
      <w:r w:rsidRPr="00237165" w:rsidR="00237165">
        <w:rPr>
          <w:rFonts w:ascii="Times New Roman" w:hAnsi="Times New Roman"/>
        </w:rPr>
        <w:t xml:space="preserve">as to whether the </w:t>
      </w:r>
      <w:r w:rsidR="001E3F5B">
        <w:rPr>
          <w:rFonts w:ascii="Times New Roman" w:hAnsi="Times New Roman"/>
        </w:rPr>
        <w:t>CW</w:t>
      </w:r>
      <w:r w:rsidRPr="00237165" w:rsidR="00237165">
        <w:rPr>
          <w:rFonts w:ascii="Times New Roman" w:hAnsi="Times New Roman"/>
        </w:rPr>
        <w:t xml:space="preserve">SRF financial </w:t>
      </w:r>
      <w:r w:rsidRPr="00237165">
        <w:rPr>
          <w:rFonts w:ascii="Times New Roman" w:hAnsi="Times New Roman"/>
        </w:rPr>
        <w:t>statements are presented</w:t>
      </w:r>
      <w:r w:rsidR="00064C9B">
        <w:rPr>
          <w:rFonts w:ascii="Times New Roman" w:hAnsi="Times New Roman"/>
        </w:rPr>
        <w:t xml:space="preserve"> fairly in accordance</w:t>
      </w:r>
      <w:r w:rsidRPr="00237165" w:rsidR="00237165">
        <w:rPr>
          <w:rFonts w:ascii="Times New Roman" w:hAnsi="Times New Roman"/>
        </w:rPr>
        <w:t xml:space="preserve"> with GAAP. As a </w:t>
      </w:r>
      <w:r w:rsidRPr="00237165">
        <w:rPr>
          <w:rFonts w:ascii="Times New Roman" w:hAnsi="Times New Roman"/>
        </w:rPr>
        <w:t xml:space="preserve">minimum, financial statements should include a statement </w:t>
      </w:r>
      <w:r w:rsidR="00237165">
        <w:rPr>
          <w:rFonts w:ascii="Times New Roman" w:hAnsi="Times New Roman"/>
        </w:rPr>
        <w:t>of net position</w:t>
      </w:r>
      <w:r w:rsidRPr="00237165" w:rsidR="00237165">
        <w:rPr>
          <w:rFonts w:ascii="Times New Roman" w:hAnsi="Times New Roman"/>
        </w:rPr>
        <w:t xml:space="preserve"> or balance sheet, </w:t>
      </w:r>
      <w:r w:rsidRPr="00237165">
        <w:rPr>
          <w:rFonts w:ascii="Times New Roman" w:hAnsi="Times New Roman"/>
        </w:rPr>
        <w:t>statement of revenues and expenses an</w:t>
      </w:r>
      <w:r w:rsidR="00064C9B">
        <w:rPr>
          <w:rFonts w:ascii="Times New Roman" w:hAnsi="Times New Roman"/>
        </w:rPr>
        <w:t>d changes in net position</w:t>
      </w:r>
      <w:r w:rsidRPr="00237165">
        <w:rPr>
          <w:rFonts w:ascii="Times New Roman" w:hAnsi="Times New Roman"/>
        </w:rPr>
        <w:t>,</w:t>
      </w:r>
      <w:r w:rsidRPr="00237165" w:rsidR="00237165">
        <w:rPr>
          <w:rFonts w:ascii="Times New Roman" w:hAnsi="Times New Roman"/>
        </w:rPr>
        <w:t xml:space="preserve"> a statement of cash flows, and </w:t>
      </w:r>
      <w:r w:rsidRPr="00237165">
        <w:rPr>
          <w:rFonts w:ascii="Times New Roman" w:hAnsi="Times New Roman"/>
        </w:rPr>
        <w:t xml:space="preserve">notes to the financial statements. </w:t>
      </w:r>
    </w:p>
    <w:p w:rsidRPr="00237165" w:rsidR="00AE084E" w:rsidP="00237165" w:rsidRDefault="00AE084E" w14:paraId="09336A3C" w14:textId="16B5780A">
      <w:pPr>
        <w:pStyle w:val="ListParagraph"/>
        <w:numPr>
          <w:ilvl w:val="0"/>
          <w:numId w:val="2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237165">
        <w:rPr>
          <w:rFonts w:ascii="Times New Roman" w:hAnsi="Times New Roman"/>
        </w:rPr>
        <w:t xml:space="preserve">A report on internal controls related to the </w:t>
      </w:r>
      <w:r w:rsidR="001E3F5B">
        <w:rPr>
          <w:rFonts w:ascii="Times New Roman" w:hAnsi="Times New Roman"/>
        </w:rPr>
        <w:t>CW</w:t>
      </w:r>
      <w:r w:rsidRPr="00237165">
        <w:rPr>
          <w:rFonts w:ascii="Times New Roman" w:hAnsi="Times New Roman"/>
        </w:rPr>
        <w:t>SRF financia</w:t>
      </w:r>
      <w:r w:rsidRPr="00237165" w:rsidR="00237165">
        <w:rPr>
          <w:rFonts w:ascii="Times New Roman" w:hAnsi="Times New Roman"/>
        </w:rPr>
        <w:t xml:space="preserve">l statements. The report should </w:t>
      </w:r>
      <w:r w:rsidRPr="00237165">
        <w:rPr>
          <w:rFonts w:ascii="Times New Roman" w:hAnsi="Times New Roman"/>
        </w:rPr>
        <w:t>describe the scope of testing of internal control</w:t>
      </w:r>
      <w:r w:rsidR="00064C9B">
        <w:rPr>
          <w:rFonts w:ascii="Times New Roman" w:hAnsi="Times New Roman"/>
        </w:rPr>
        <w:t>s</w:t>
      </w:r>
      <w:r w:rsidRPr="00237165">
        <w:rPr>
          <w:rFonts w:ascii="Times New Roman" w:hAnsi="Times New Roman"/>
        </w:rPr>
        <w:t xml:space="preserve"> and the results </w:t>
      </w:r>
      <w:r w:rsidRPr="00237165" w:rsidR="00237165">
        <w:rPr>
          <w:rFonts w:ascii="Times New Roman" w:hAnsi="Times New Roman"/>
        </w:rPr>
        <w:t xml:space="preserve">of </w:t>
      </w:r>
      <w:r w:rsidR="00064C9B">
        <w:rPr>
          <w:rFonts w:ascii="Times New Roman" w:hAnsi="Times New Roman"/>
        </w:rPr>
        <w:t xml:space="preserve">the </w:t>
      </w:r>
      <w:r w:rsidRPr="00237165" w:rsidR="00237165">
        <w:rPr>
          <w:rFonts w:ascii="Times New Roman" w:hAnsi="Times New Roman"/>
        </w:rPr>
        <w:t>test</w:t>
      </w:r>
      <w:r w:rsidR="00064C9B">
        <w:rPr>
          <w:rFonts w:ascii="Times New Roman" w:hAnsi="Times New Roman"/>
        </w:rPr>
        <w:t xml:space="preserve">s. </w:t>
      </w:r>
    </w:p>
    <w:p w:rsidRPr="00237165" w:rsidR="00237165" w:rsidP="00237165" w:rsidRDefault="00237165" w14:paraId="2C572AC6" w14:textId="37BD5B1C">
      <w:pPr>
        <w:pStyle w:val="ListParagraph"/>
        <w:numPr>
          <w:ilvl w:val="0"/>
          <w:numId w:val="2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237165">
        <w:rPr>
          <w:rFonts w:ascii="Times New Roman" w:hAnsi="Times New Roman"/>
        </w:rPr>
        <w:t xml:space="preserve">A report on compliance that includes an opinion as to whether the state has complied in all material respects with laws, regulations, and the provisions of the </w:t>
      </w:r>
      <w:r w:rsidR="001E3F5B">
        <w:rPr>
          <w:rFonts w:ascii="Times New Roman" w:hAnsi="Times New Roman"/>
        </w:rPr>
        <w:t>CW</w:t>
      </w:r>
      <w:r w:rsidRPr="00237165">
        <w:rPr>
          <w:rFonts w:ascii="Times New Roman" w:hAnsi="Times New Roman"/>
        </w:rPr>
        <w:t>SRF capitalization grants.</w:t>
      </w:r>
    </w:p>
    <w:p w:rsidR="00237165" w:rsidP="00B17699" w:rsidRDefault="00237165" w14:paraId="09FBBBF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237165" w:rsidP="00B17699" w:rsidRDefault="00237165" w14:paraId="6CD2E6AB" w14:textId="2C8E8D6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On</w:t>
      </w:r>
      <w:r w:rsidR="003B2A1E">
        <w:rPr>
          <w:rFonts w:ascii="Times New Roman" w:hAnsi="Times New Roman"/>
        </w:rPr>
        <w:t>c</w:t>
      </w:r>
      <w:r>
        <w:rPr>
          <w:rFonts w:ascii="Times New Roman" w:hAnsi="Times New Roman"/>
        </w:rPr>
        <w:t>e completed, a</w:t>
      </w:r>
      <w:r w:rsidR="00EA3DEE">
        <w:rPr>
          <w:rFonts w:ascii="Times New Roman" w:hAnsi="Times New Roman"/>
        </w:rPr>
        <w:t>n electronic</w:t>
      </w:r>
      <w:r>
        <w:rPr>
          <w:rFonts w:ascii="Times New Roman" w:hAnsi="Times New Roman"/>
        </w:rPr>
        <w:t xml:space="preserve"> copy of the annual audit is provided to EPA. Of critical importance is whether the audit includes any finding</w:t>
      </w:r>
      <w:r w:rsidR="00265C32">
        <w:rPr>
          <w:rFonts w:ascii="Times New Roman" w:hAnsi="Times New Roman"/>
        </w:rPr>
        <w:t>s</w:t>
      </w:r>
      <w:r>
        <w:rPr>
          <w:rFonts w:ascii="Times New Roman" w:hAnsi="Times New Roman"/>
        </w:rPr>
        <w:t xml:space="preserve"> or recommendations that either relay </w:t>
      </w:r>
      <w:r>
        <w:rPr>
          <w:rFonts w:ascii="Times New Roman" w:hAnsi="Times New Roman"/>
        </w:rPr>
        <w:lastRenderedPageBreak/>
        <w:t>concerns that the financial statements may not accurately reflect the financial c</w:t>
      </w:r>
      <w:r w:rsidR="001E3F5B">
        <w:rPr>
          <w:rFonts w:ascii="Times New Roman" w:hAnsi="Times New Roman"/>
        </w:rPr>
        <w:t>ondition of the fund or that a</w:t>
      </w:r>
      <w:r>
        <w:rPr>
          <w:rFonts w:ascii="Times New Roman" w:hAnsi="Times New Roman"/>
        </w:rPr>
        <w:t xml:space="preserve"> </w:t>
      </w:r>
      <w:r w:rsidR="00EA3DEE">
        <w:rPr>
          <w:rFonts w:ascii="Times New Roman" w:hAnsi="Times New Roman"/>
        </w:rPr>
        <w:t xml:space="preserve">CWSRF is not </w:t>
      </w:r>
      <w:r w:rsidR="00265C32">
        <w:rPr>
          <w:rFonts w:ascii="Times New Roman" w:hAnsi="Times New Roman"/>
        </w:rPr>
        <w:t xml:space="preserve">in </w:t>
      </w:r>
      <w:r w:rsidR="00EA3DEE">
        <w:rPr>
          <w:rFonts w:ascii="Times New Roman" w:hAnsi="Times New Roman"/>
        </w:rPr>
        <w:t>compliance</w:t>
      </w:r>
      <w:r w:rsidR="00064C9B">
        <w:rPr>
          <w:rFonts w:ascii="Times New Roman" w:hAnsi="Times New Roman"/>
        </w:rPr>
        <w:t xml:space="preserve"> with</w:t>
      </w:r>
      <w:r w:rsidR="00EA3DEE">
        <w:rPr>
          <w:rFonts w:ascii="Times New Roman" w:hAnsi="Times New Roman"/>
        </w:rPr>
        <w:t xml:space="preserve"> one or more federal</w:t>
      </w:r>
      <w:r w:rsidR="001E3F5B">
        <w:rPr>
          <w:rFonts w:ascii="Times New Roman" w:hAnsi="Times New Roman"/>
        </w:rPr>
        <w:t xml:space="preserve"> or state</w:t>
      </w:r>
      <w:r w:rsidR="00EA3DEE">
        <w:rPr>
          <w:rFonts w:ascii="Times New Roman" w:hAnsi="Times New Roman"/>
        </w:rPr>
        <w:t xml:space="preserve"> requirements. Working with EPA, a CWSRF must</w:t>
      </w:r>
      <w:r w:rsidR="004B5540">
        <w:rPr>
          <w:rFonts w:ascii="Times New Roman" w:hAnsi="Times New Roman"/>
        </w:rPr>
        <w:t xml:space="preserve"> take steps to </w:t>
      </w:r>
      <w:r w:rsidR="00E50677">
        <w:rPr>
          <w:rFonts w:ascii="Times New Roman" w:hAnsi="Times New Roman"/>
        </w:rPr>
        <w:t>address the</w:t>
      </w:r>
      <w:r w:rsidR="004B5540">
        <w:rPr>
          <w:rFonts w:ascii="Times New Roman" w:hAnsi="Times New Roman"/>
        </w:rPr>
        <w:t>se recommendations</w:t>
      </w:r>
      <w:r w:rsidR="00EA3DEE">
        <w:rPr>
          <w:rFonts w:ascii="Times New Roman" w:hAnsi="Times New Roman"/>
        </w:rPr>
        <w:t xml:space="preserve">. </w:t>
      </w:r>
    </w:p>
    <w:p w:rsidR="00EA3DEE" w:rsidP="00B17699" w:rsidRDefault="00EA3DEE" w14:paraId="6FB558B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EA3DEE" w:rsidP="00B17699" w:rsidRDefault="001E3F5B" w14:paraId="242A864D" w14:textId="10AEB25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u w:val="single"/>
        </w:rPr>
      </w:pPr>
      <w:r w:rsidRPr="001E3F5B">
        <w:rPr>
          <w:rFonts w:ascii="Times New Roman" w:hAnsi="Times New Roman"/>
          <w:u w:val="single"/>
        </w:rPr>
        <w:t>Clean Water National Information Management System (CWNIMS) and CWSRF Benefits Reporting (CBR)</w:t>
      </w:r>
    </w:p>
    <w:p w:rsidR="001E3F5B" w:rsidP="00B17699" w:rsidRDefault="001E3F5B" w14:paraId="431827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582590" w:rsidP="00B17699" w:rsidRDefault="00342D65" w14:paraId="7E5DCB2C" w14:textId="18FD3A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The </w:t>
      </w:r>
      <w:r w:rsidR="001E3F5B">
        <w:rPr>
          <w:rFonts w:ascii="Times New Roman" w:hAnsi="Times New Roman"/>
        </w:rPr>
        <w:t>CW</w:t>
      </w:r>
      <w:r>
        <w:rPr>
          <w:rFonts w:ascii="Times New Roman" w:hAnsi="Times New Roman"/>
        </w:rPr>
        <w:t xml:space="preserve">NIMS and CBR databases </w:t>
      </w:r>
      <w:r w:rsidR="0069294B">
        <w:rPr>
          <w:rFonts w:ascii="Times New Roman" w:hAnsi="Times New Roman"/>
        </w:rPr>
        <w:t xml:space="preserve">are </w:t>
      </w:r>
      <w:r>
        <w:rPr>
          <w:rFonts w:ascii="Times New Roman" w:hAnsi="Times New Roman"/>
        </w:rPr>
        <w:t xml:space="preserve">designed to support EPA oversight responsibilities and public outreach efforts. Both databases are hosted on EPA servers located at the National Computer Center and can be accessed at the following web address: </w:t>
      </w:r>
      <w:hyperlink w:history="1" r:id="rId14">
        <w:r w:rsidRPr="0033648A">
          <w:rPr>
            <w:rStyle w:val="Hyperlink"/>
            <w:rFonts w:ascii="Times New Roman" w:hAnsi="Times New Roman"/>
          </w:rPr>
          <w:t>https://owsrf.epa.gov/</w:t>
        </w:r>
      </w:hyperlink>
      <w:r>
        <w:rPr>
          <w:rFonts w:ascii="Times New Roman" w:hAnsi="Times New Roman"/>
        </w:rPr>
        <w:t xml:space="preserve">. </w:t>
      </w:r>
      <w:r w:rsidR="00584A37">
        <w:rPr>
          <w:rFonts w:ascii="Times New Roman" w:hAnsi="Times New Roman"/>
        </w:rPr>
        <w:t xml:space="preserve">The CWSRFs use this website </w:t>
      </w:r>
      <w:r w:rsidR="0038608C">
        <w:rPr>
          <w:rFonts w:ascii="Times New Roman" w:hAnsi="Times New Roman"/>
        </w:rPr>
        <w:t xml:space="preserve">to establish an account and submit data in the NIMS and CBR databases. </w:t>
      </w:r>
      <w:r w:rsidR="00582590">
        <w:rPr>
          <w:rFonts w:ascii="Times New Roman" w:hAnsi="Times New Roman"/>
        </w:rPr>
        <w:t xml:space="preserve">The NIMS database provides an annual snapshot of program level activity. By contrast, the CBR database collects project level and projected environmental benefits information quarterly.  </w:t>
      </w:r>
    </w:p>
    <w:p w:rsidR="00582590" w:rsidP="00B17699" w:rsidRDefault="00582590" w14:paraId="031C08A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C57886" w:rsidP="00B17699" w:rsidRDefault="00D00C9D" w14:paraId="22741E9F" w14:textId="73D3F6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During the summer</w:t>
      </w:r>
      <w:r w:rsidR="0038608C">
        <w:rPr>
          <w:rFonts w:ascii="Times New Roman" w:hAnsi="Times New Roman"/>
        </w:rPr>
        <w:t xml:space="preserve"> of each year, the CWSRFs complete the </w:t>
      </w:r>
      <w:r w:rsidR="001E3F5B">
        <w:rPr>
          <w:rFonts w:ascii="Times New Roman" w:hAnsi="Times New Roman"/>
        </w:rPr>
        <w:t>CW</w:t>
      </w:r>
      <w:r w:rsidR="0038608C">
        <w:rPr>
          <w:rFonts w:ascii="Times New Roman" w:hAnsi="Times New Roman"/>
        </w:rPr>
        <w:t xml:space="preserve">NIMS data entry for </w:t>
      </w:r>
      <w:r w:rsidR="0060721A">
        <w:rPr>
          <w:rFonts w:ascii="Times New Roman" w:hAnsi="Times New Roman"/>
        </w:rPr>
        <w:t>the</w:t>
      </w:r>
      <w:r w:rsidR="00C07562">
        <w:rPr>
          <w:rFonts w:ascii="Times New Roman" w:hAnsi="Times New Roman"/>
        </w:rPr>
        <w:t xml:space="preserve"> </w:t>
      </w:r>
      <w:r w:rsidR="0038608C">
        <w:rPr>
          <w:rFonts w:ascii="Times New Roman" w:hAnsi="Times New Roman"/>
        </w:rPr>
        <w:t>reporting period of July 1 to June 30.</w:t>
      </w:r>
      <w:r w:rsidR="00B7449C">
        <w:rPr>
          <w:rFonts w:ascii="Times New Roman" w:hAnsi="Times New Roman"/>
        </w:rPr>
        <w:t xml:space="preserve"> Once the CWSRFs have completed the data entry, EPA, with the assistance of a contractor, conducts a quality review</w:t>
      </w:r>
      <w:r w:rsidR="00807B67">
        <w:rPr>
          <w:rFonts w:ascii="Times New Roman" w:hAnsi="Times New Roman"/>
        </w:rPr>
        <w:t>. During the quality review</w:t>
      </w:r>
      <w:r w:rsidR="00B7449C">
        <w:rPr>
          <w:rFonts w:ascii="Times New Roman" w:hAnsi="Times New Roman"/>
        </w:rPr>
        <w:t>, there is follow-up with the CWSRFs to address an</w:t>
      </w:r>
      <w:r w:rsidR="00807B67">
        <w:rPr>
          <w:rFonts w:ascii="Times New Roman" w:hAnsi="Times New Roman"/>
        </w:rPr>
        <w:t>y</w:t>
      </w:r>
      <w:r w:rsidR="00B7449C">
        <w:rPr>
          <w:rFonts w:ascii="Times New Roman" w:hAnsi="Times New Roman"/>
        </w:rPr>
        <w:t xml:space="preserve"> questions or concerns regarding the most recent entries.</w:t>
      </w:r>
      <w:r w:rsidR="001E3F5B">
        <w:rPr>
          <w:rFonts w:ascii="Times New Roman" w:hAnsi="Times New Roman"/>
        </w:rPr>
        <w:t xml:space="preserve"> Though a</w:t>
      </w:r>
      <w:r w:rsidR="0060754C">
        <w:rPr>
          <w:rFonts w:ascii="Times New Roman" w:hAnsi="Times New Roman"/>
        </w:rPr>
        <w:t xml:space="preserve"> copy of the glossary that defines each data fi</w:t>
      </w:r>
      <w:r w:rsidR="00C07562">
        <w:rPr>
          <w:rFonts w:ascii="Times New Roman" w:hAnsi="Times New Roman"/>
        </w:rPr>
        <w:t xml:space="preserve">eld </w:t>
      </w:r>
      <w:r w:rsidR="0060754C">
        <w:rPr>
          <w:rFonts w:ascii="Times New Roman" w:hAnsi="Times New Roman"/>
        </w:rPr>
        <w:t>is included with the</w:t>
      </w:r>
      <w:r w:rsidR="001E3F5B">
        <w:rPr>
          <w:rFonts w:ascii="Times New Roman" w:hAnsi="Times New Roman"/>
        </w:rPr>
        <w:t xml:space="preserve"> supporting statement, a summary of what must be </w:t>
      </w:r>
      <w:r w:rsidR="0060754C">
        <w:rPr>
          <w:rFonts w:ascii="Times New Roman" w:hAnsi="Times New Roman"/>
        </w:rPr>
        <w:t xml:space="preserve">reported into </w:t>
      </w:r>
      <w:r w:rsidR="001E3F5B">
        <w:rPr>
          <w:rFonts w:ascii="Times New Roman" w:hAnsi="Times New Roman"/>
        </w:rPr>
        <w:t>CW</w:t>
      </w:r>
      <w:r w:rsidR="0060754C">
        <w:rPr>
          <w:rFonts w:ascii="Times New Roman" w:hAnsi="Times New Roman"/>
        </w:rPr>
        <w:t>NIMS is provided below:</w:t>
      </w:r>
    </w:p>
    <w:p w:rsidR="0060754C" w:rsidP="00B17699" w:rsidRDefault="0060754C" w14:paraId="141C5FF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D45E91" w:rsidP="00C57886" w:rsidRDefault="00D45E91" w14:paraId="2ED72C00" w14:textId="0FBFCA01">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Federal and state contributions</w:t>
      </w:r>
    </w:p>
    <w:p w:rsidR="00C57886" w:rsidP="00C57886" w:rsidRDefault="00C57886" w14:paraId="11BB7507" w14:textId="46EA706D">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Total assistance provided</w:t>
      </w:r>
    </w:p>
    <w:p w:rsidRPr="00D45E91" w:rsidR="00D45E91" w:rsidP="00D45E91" w:rsidRDefault="00C57886" w14:paraId="34B96279" w14:textId="7F609861">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Assistance by p</w:t>
      </w:r>
      <w:r w:rsidR="00D45E91">
        <w:rPr>
          <w:rFonts w:ascii="Times New Roman" w:hAnsi="Times New Roman"/>
        </w:rPr>
        <w:t>opulation s</w:t>
      </w:r>
      <w:r>
        <w:rPr>
          <w:rFonts w:ascii="Times New Roman" w:hAnsi="Times New Roman"/>
        </w:rPr>
        <w:t>erved</w:t>
      </w:r>
    </w:p>
    <w:p w:rsidR="00C57886" w:rsidP="00C57886" w:rsidRDefault="00C57886" w14:paraId="06D2DCF8" w14:textId="234B7D8E">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Assistance by needs category</w:t>
      </w:r>
    </w:p>
    <w:p w:rsidR="00D45E91" w:rsidP="00C57886" w:rsidRDefault="00D45E91" w14:paraId="37C2B394" w14:textId="0FF17437">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Leveraging activity (making additional funding available for projects by issuing bonds)</w:t>
      </w:r>
    </w:p>
    <w:p w:rsidR="00D45E91" w:rsidP="00C57886" w:rsidRDefault="00D45E91" w14:paraId="3D040DBD" w14:textId="5F8FE87F">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Loan repayments</w:t>
      </w:r>
    </w:p>
    <w:p w:rsidR="00C57886" w:rsidP="00C57886" w:rsidRDefault="00C57886" w14:paraId="7C9A907B" w14:textId="00B006C4">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Investment earnings</w:t>
      </w:r>
    </w:p>
    <w:p w:rsidR="0038608C" w:rsidP="00B17699" w:rsidRDefault="0038608C" w14:paraId="31DE903D" w14:textId="7BE13A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045DB5" w:rsidP="00045DB5" w:rsidRDefault="00045DB5" w14:paraId="3171E928" w14:textId="25ABE6A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The data collected through the CWNIMS database is used to generate a variety of state and national reports that cover various aspects of the CWSRF activity. These reports contain detailed information on CWSRF activity as it relates to funding levels and the types of projects being funded. These reports also provide detailed information on CWSRF financial performance, including metrics that track the rate </w:t>
      </w:r>
      <w:r w:rsidR="00537479">
        <w:rPr>
          <w:rFonts w:ascii="Times New Roman" w:hAnsi="Times New Roman"/>
        </w:rPr>
        <w:t xml:space="preserve">at </w:t>
      </w:r>
      <w:r>
        <w:rPr>
          <w:rFonts w:ascii="Times New Roman" w:hAnsi="Times New Roman"/>
        </w:rPr>
        <w:t xml:space="preserve">which </w:t>
      </w:r>
      <w:r w:rsidR="009A6FD3">
        <w:rPr>
          <w:rFonts w:ascii="Times New Roman" w:hAnsi="Times New Roman"/>
        </w:rPr>
        <w:t>assistance agreements</w:t>
      </w:r>
      <w:r>
        <w:rPr>
          <w:rFonts w:ascii="Times New Roman" w:hAnsi="Times New Roman"/>
        </w:rPr>
        <w:t xml:space="preserve"> are made and funds are being disbursed for projects. They also track the extent </w:t>
      </w:r>
      <w:r w:rsidR="00537479">
        <w:rPr>
          <w:rFonts w:ascii="Times New Roman" w:hAnsi="Times New Roman"/>
        </w:rPr>
        <w:t xml:space="preserve">to </w:t>
      </w:r>
      <w:r>
        <w:rPr>
          <w:rFonts w:ascii="Times New Roman" w:hAnsi="Times New Roman"/>
        </w:rPr>
        <w:t>which the funds are growing as a result of loan and investment earnings. These reports are reviewed by EPA to identify possible issues that are brought to the attention of a CWSRF. This is usually included as part of the annual review; however, an issue may be raised soon</w:t>
      </w:r>
      <w:r w:rsidR="00837889">
        <w:rPr>
          <w:rFonts w:ascii="Times New Roman" w:hAnsi="Times New Roman"/>
        </w:rPr>
        <w:t>er if the situation warrants it</w:t>
      </w:r>
      <w:r>
        <w:rPr>
          <w:rFonts w:ascii="Times New Roman" w:hAnsi="Times New Roman"/>
        </w:rPr>
        <w:t xml:space="preserve">. The CWNIMS reports are publicly available and can be accessed at </w:t>
      </w:r>
      <w:hyperlink w:history="1" r:id="rId15">
        <w:r w:rsidRPr="003F2128">
          <w:rPr>
            <w:rStyle w:val="Hyperlink"/>
            <w:rFonts w:ascii="Times New Roman" w:hAnsi="Times New Roman"/>
          </w:rPr>
          <w:t>http://www.epa.gov/cwsrf/clean-water-state-revolving-fund-cwsrf-national-information-management-system-reports</w:t>
        </w:r>
      </w:hyperlink>
      <w:r>
        <w:rPr>
          <w:rFonts w:ascii="Times New Roman" w:hAnsi="Times New Roman"/>
        </w:rPr>
        <w:t xml:space="preserve">.  </w:t>
      </w:r>
    </w:p>
    <w:p w:rsidR="00045DB5" w:rsidP="00B17699" w:rsidRDefault="00045DB5" w14:paraId="48D86A4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3F19A9" w:rsidP="00B17699" w:rsidRDefault="0089510C" w14:paraId="403A1807" w14:textId="7E0D2D9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265C32">
        <w:rPr>
          <w:rFonts w:ascii="Times New Roman" w:hAnsi="Times New Roman"/>
        </w:rPr>
        <w:t>The CWS</w:t>
      </w:r>
      <w:r w:rsidRPr="00265C32" w:rsidR="00BD04CA">
        <w:rPr>
          <w:rFonts w:ascii="Times New Roman" w:hAnsi="Times New Roman"/>
        </w:rPr>
        <w:t xml:space="preserve">RFs are required to enter project level information into the CBR database no less than on a quarterly basis. Unlike the </w:t>
      </w:r>
      <w:r w:rsidR="001E3F5B">
        <w:rPr>
          <w:rFonts w:ascii="Times New Roman" w:hAnsi="Times New Roman"/>
        </w:rPr>
        <w:t>CW</w:t>
      </w:r>
      <w:r w:rsidRPr="00265C32" w:rsidR="00BD04CA">
        <w:rPr>
          <w:rFonts w:ascii="Times New Roman" w:hAnsi="Times New Roman"/>
        </w:rPr>
        <w:t xml:space="preserve">NIMS data, the information captured by </w:t>
      </w:r>
      <w:r w:rsidR="001E3F5B">
        <w:rPr>
          <w:rFonts w:ascii="Times New Roman" w:hAnsi="Times New Roman"/>
        </w:rPr>
        <w:t xml:space="preserve">the </w:t>
      </w:r>
      <w:r w:rsidRPr="00265C32" w:rsidR="00BD04CA">
        <w:rPr>
          <w:rFonts w:ascii="Times New Roman" w:hAnsi="Times New Roman"/>
        </w:rPr>
        <w:t>CBR</w:t>
      </w:r>
      <w:r w:rsidR="001E3F5B">
        <w:rPr>
          <w:rFonts w:ascii="Times New Roman" w:hAnsi="Times New Roman"/>
        </w:rPr>
        <w:t xml:space="preserve"> database</w:t>
      </w:r>
      <w:r w:rsidRPr="00265C32" w:rsidR="00BD04CA">
        <w:rPr>
          <w:rFonts w:ascii="Times New Roman" w:hAnsi="Times New Roman"/>
        </w:rPr>
        <w:t xml:space="preserve"> focus</w:t>
      </w:r>
      <w:r w:rsidR="001E3F5B">
        <w:rPr>
          <w:rFonts w:ascii="Times New Roman" w:hAnsi="Times New Roman"/>
        </w:rPr>
        <w:t>es</w:t>
      </w:r>
      <w:r w:rsidRPr="00265C32" w:rsidR="00BD04CA">
        <w:rPr>
          <w:rFonts w:ascii="Times New Roman" w:hAnsi="Times New Roman"/>
        </w:rPr>
        <w:t xml:space="preserve"> on loan </w:t>
      </w:r>
      <w:r w:rsidR="00DF6259">
        <w:rPr>
          <w:rFonts w:ascii="Times New Roman" w:hAnsi="Times New Roman"/>
        </w:rPr>
        <w:t xml:space="preserve">and </w:t>
      </w:r>
      <w:r w:rsidRPr="00265C32" w:rsidR="00BD04CA">
        <w:rPr>
          <w:rFonts w:ascii="Times New Roman" w:hAnsi="Times New Roman"/>
        </w:rPr>
        <w:t>project level details. More importantly,</w:t>
      </w:r>
      <w:r w:rsidRPr="00265C32" w:rsidR="00265C32">
        <w:rPr>
          <w:rFonts w:ascii="Times New Roman" w:hAnsi="Times New Roman"/>
        </w:rPr>
        <w:t xml:space="preserve"> </w:t>
      </w:r>
      <w:r w:rsidR="001E3F5B">
        <w:rPr>
          <w:rFonts w:ascii="Times New Roman" w:hAnsi="Times New Roman"/>
        </w:rPr>
        <w:t xml:space="preserve">the </w:t>
      </w:r>
      <w:r w:rsidRPr="00265C32" w:rsidR="00265C32">
        <w:rPr>
          <w:rFonts w:ascii="Times New Roman" w:hAnsi="Times New Roman"/>
        </w:rPr>
        <w:t>CBR</w:t>
      </w:r>
      <w:r w:rsidR="001E3F5B">
        <w:rPr>
          <w:rFonts w:ascii="Times New Roman" w:hAnsi="Times New Roman"/>
        </w:rPr>
        <w:t xml:space="preserve"> database</w:t>
      </w:r>
      <w:r w:rsidRPr="00265C32" w:rsidR="00265C32">
        <w:rPr>
          <w:rFonts w:ascii="Times New Roman" w:hAnsi="Times New Roman"/>
        </w:rPr>
        <w:t xml:space="preserve"> also captures</w:t>
      </w:r>
      <w:r w:rsidRPr="00265C32" w:rsidR="003F19A9">
        <w:rPr>
          <w:rFonts w:ascii="Times New Roman" w:hAnsi="Times New Roman"/>
        </w:rPr>
        <w:t xml:space="preserve"> the project</w:t>
      </w:r>
      <w:r w:rsidR="00C155CD">
        <w:rPr>
          <w:rFonts w:ascii="Times New Roman" w:hAnsi="Times New Roman"/>
        </w:rPr>
        <w:t>ed</w:t>
      </w:r>
      <w:r w:rsidRPr="00265C32" w:rsidR="003F19A9">
        <w:rPr>
          <w:rFonts w:ascii="Times New Roman" w:hAnsi="Times New Roman"/>
        </w:rPr>
        <w:t xml:space="preserve"> environmental benefits associated with the CWSRF funded projects. </w:t>
      </w:r>
      <w:r w:rsidR="00C155CD">
        <w:rPr>
          <w:rFonts w:ascii="Times New Roman" w:hAnsi="Times New Roman"/>
        </w:rPr>
        <w:t>This</w:t>
      </w:r>
      <w:r w:rsidRPr="00265C32" w:rsidR="00D411A5">
        <w:rPr>
          <w:rFonts w:ascii="Times New Roman" w:hAnsi="Times New Roman"/>
        </w:rPr>
        <w:t xml:space="preserve"> d</w:t>
      </w:r>
      <w:r w:rsidRPr="00265C32" w:rsidR="00265C32">
        <w:rPr>
          <w:rFonts w:ascii="Times New Roman" w:hAnsi="Times New Roman"/>
        </w:rPr>
        <w:t xml:space="preserve">atabase also </w:t>
      </w:r>
      <w:r w:rsidRPr="00265C32" w:rsidR="00265C32">
        <w:rPr>
          <w:rFonts w:ascii="Times New Roman" w:hAnsi="Times New Roman"/>
        </w:rPr>
        <w:lastRenderedPageBreak/>
        <w:t xml:space="preserve">collects data associated with </w:t>
      </w:r>
      <w:r w:rsidR="00F70612">
        <w:rPr>
          <w:rFonts w:ascii="Times New Roman" w:hAnsi="Times New Roman"/>
        </w:rPr>
        <w:t xml:space="preserve">the </w:t>
      </w:r>
      <w:r w:rsidRPr="00265C32" w:rsidR="00265C32">
        <w:rPr>
          <w:rFonts w:ascii="Times New Roman" w:hAnsi="Times New Roman"/>
        </w:rPr>
        <w:t>F</w:t>
      </w:r>
      <w:r w:rsidR="0098457B">
        <w:rPr>
          <w:rFonts w:ascii="Times New Roman" w:hAnsi="Times New Roman"/>
        </w:rPr>
        <w:t xml:space="preserve">ederal </w:t>
      </w:r>
      <w:r w:rsidRPr="00265C32" w:rsidR="00265C32">
        <w:rPr>
          <w:rFonts w:ascii="Times New Roman" w:hAnsi="Times New Roman"/>
        </w:rPr>
        <w:t>F</w:t>
      </w:r>
      <w:r w:rsidR="0098457B">
        <w:rPr>
          <w:rFonts w:ascii="Times New Roman" w:hAnsi="Times New Roman"/>
        </w:rPr>
        <w:t xml:space="preserve">unding </w:t>
      </w:r>
      <w:r w:rsidRPr="00265C32" w:rsidR="00265C32">
        <w:rPr>
          <w:rFonts w:ascii="Times New Roman" w:hAnsi="Times New Roman"/>
        </w:rPr>
        <w:t>A</w:t>
      </w:r>
      <w:r w:rsidR="0098457B">
        <w:rPr>
          <w:rFonts w:ascii="Times New Roman" w:hAnsi="Times New Roman"/>
        </w:rPr>
        <w:t xml:space="preserve">ccountability and </w:t>
      </w:r>
      <w:r w:rsidRPr="00265C32" w:rsidR="00265C32">
        <w:rPr>
          <w:rFonts w:ascii="Times New Roman" w:hAnsi="Times New Roman"/>
        </w:rPr>
        <w:t>T</w:t>
      </w:r>
      <w:r w:rsidR="0098457B">
        <w:rPr>
          <w:rFonts w:ascii="Times New Roman" w:hAnsi="Times New Roman"/>
        </w:rPr>
        <w:t xml:space="preserve">ransparency </w:t>
      </w:r>
      <w:r w:rsidRPr="00265C32" w:rsidR="00265C32">
        <w:rPr>
          <w:rFonts w:ascii="Times New Roman" w:hAnsi="Times New Roman"/>
        </w:rPr>
        <w:t>A</w:t>
      </w:r>
      <w:r w:rsidR="0098457B">
        <w:rPr>
          <w:rFonts w:ascii="Times New Roman" w:hAnsi="Times New Roman"/>
        </w:rPr>
        <w:t>ct (FFATA)</w:t>
      </w:r>
      <w:r w:rsidR="00C155CD">
        <w:rPr>
          <w:rFonts w:ascii="Times New Roman" w:hAnsi="Times New Roman"/>
        </w:rPr>
        <w:t>. The FFATA data fields are optional</w:t>
      </w:r>
      <w:r w:rsidR="002E1E69">
        <w:rPr>
          <w:rFonts w:ascii="Times New Roman" w:hAnsi="Times New Roman"/>
        </w:rPr>
        <w:t xml:space="preserve">. Once these data fields are completed, a CWSRF can </w:t>
      </w:r>
      <w:r w:rsidRPr="00265C32" w:rsidR="00265C32">
        <w:rPr>
          <w:rFonts w:ascii="Times New Roman" w:hAnsi="Times New Roman"/>
        </w:rPr>
        <w:t>produce an</w:t>
      </w:r>
      <w:r w:rsidR="0098457B">
        <w:rPr>
          <w:rFonts w:ascii="Times New Roman" w:hAnsi="Times New Roman"/>
        </w:rPr>
        <w:t xml:space="preserve"> </w:t>
      </w:r>
      <w:r w:rsidRPr="00265C32" w:rsidR="00D411A5">
        <w:rPr>
          <w:rFonts w:ascii="Times New Roman" w:hAnsi="Times New Roman"/>
        </w:rPr>
        <w:t>e</w:t>
      </w:r>
      <w:r w:rsidR="002E1E69">
        <w:rPr>
          <w:rFonts w:ascii="Times New Roman" w:hAnsi="Times New Roman"/>
        </w:rPr>
        <w:t>xcel-based report that</w:t>
      </w:r>
      <w:r w:rsidRPr="00265C32" w:rsidR="00D411A5">
        <w:rPr>
          <w:rFonts w:ascii="Times New Roman" w:hAnsi="Times New Roman"/>
        </w:rPr>
        <w:t xml:space="preserve"> can</w:t>
      </w:r>
      <w:r w:rsidR="0098457B">
        <w:rPr>
          <w:rFonts w:ascii="Times New Roman" w:hAnsi="Times New Roman"/>
        </w:rPr>
        <w:t xml:space="preserve"> </w:t>
      </w:r>
      <w:r w:rsidR="002E1E69">
        <w:rPr>
          <w:rFonts w:ascii="Times New Roman" w:hAnsi="Times New Roman"/>
        </w:rPr>
        <w:t xml:space="preserve">then be </w:t>
      </w:r>
      <w:r w:rsidR="0098457B">
        <w:rPr>
          <w:rFonts w:ascii="Times New Roman" w:hAnsi="Times New Roman"/>
        </w:rPr>
        <w:t>upload</w:t>
      </w:r>
      <w:r w:rsidR="002E1E69">
        <w:rPr>
          <w:rFonts w:ascii="Times New Roman" w:hAnsi="Times New Roman"/>
        </w:rPr>
        <w:t>ed</w:t>
      </w:r>
      <w:r w:rsidR="0098457B">
        <w:rPr>
          <w:rFonts w:ascii="Times New Roman" w:hAnsi="Times New Roman"/>
        </w:rPr>
        <w:t xml:space="preserve"> into </w:t>
      </w:r>
      <w:r w:rsidR="00F70612">
        <w:rPr>
          <w:rFonts w:ascii="Times New Roman" w:hAnsi="Times New Roman"/>
        </w:rPr>
        <w:t xml:space="preserve">the </w:t>
      </w:r>
      <w:r w:rsidR="0098457B">
        <w:rPr>
          <w:rFonts w:ascii="Times New Roman" w:hAnsi="Times New Roman"/>
        </w:rPr>
        <w:t xml:space="preserve">fsrs.gov website. </w:t>
      </w:r>
      <w:r w:rsidR="00C155CD">
        <w:rPr>
          <w:rFonts w:ascii="Times New Roman" w:hAnsi="Times New Roman"/>
        </w:rPr>
        <w:t>Though a</w:t>
      </w:r>
      <w:r w:rsidRPr="00265C32" w:rsidR="00D411A5">
        <w:rPr>
          <w:rFonts w:ascii="Times New Roman" w:hAnsi="Times New Roman"/>
        </w:rPr>
        <w:t xml:space="preserve"> copy of the help file that defines each d</w:t>
      </w:r>
      <w:r w:rsidR="00C07562">
        <w:rPr>
          <w:rFonts w:ascii="Times New Roman" w:hAnsi="Times New Roman"/>
        </w:rPr>
        <w:t xml:space="preserve">ata field </w:t>
      </w:r>
      <w:r w:rsidR="00045DB5">
        <w:rPr>
          <w:rFonts w:ascii="Times New Roman" w:hAnsi="Times New Roman"/>
        </w:rPr>
        <w:t>is included with this ICR</w:t>
      </w:r>
      <w:r w:rsidR="00C155CD">
        <w:rPr>
          <w:rFonts w:ascii="Times New Roman" w:hAnsi="Times New Roman"/>
        </w:rPr>
        <w:t>, a summary</w:t>
      </w:r>
      <w:r w:rsidRPr="00265C32" w:rsidR="00D411A5">
        <w:rPr>
          <w:rFonts w:ascii="Times New Roman" w:hAnsi="Times New Roman"/>
        </w:rPr>
        <w:t xml:space="preserve"> of what must be reported into </w:t>
      </w:r>
      <w:r w:rsidR="00C155CD">
        <w:rPr>
          <w:rFonts w:ascii="Times New Roman" w:hAnsi="Times New Roman"/>
        </w:rPr>
        <w:t xml:space="preserve">the </w:t>
      </w:r>
      <w:r w:rsidRPr="00265C32" w:rsidR="00D411A5">
        <w:rPr>
          <w:rFonts w:ascii="Times New Roman" w:hAnsi="Times New Roman"/>
        </w:rPr>
        <w:t xml:space="preserve">CBR </w:t>
      </w:r>
      <w:r w:rsidR="00C155CD">
        <w:rPr>
          <w:rFonts w:ascii="Times New Roman" w:hAnsi="Times New Roman"/>
        </w:rPr>
        <w:t xml:space="preserve">database </w:t>
      </w:r>
      <w:r w:rsidRPr="00265C32" w:rsidR="00D411A5">
        <w:rPr>
          <w:rFonts w:ascii="Times New Roman" w:hAnsi="Times New Roman"/>
        </w:rPr>
        <w:t>is provided below.</w:t>
      </w:r>
    </w:p>
    <w:p w:rsidR="003F19A9" w:rsidP="00B17699" w:rsidRDefault="003F19A9" w14:paraId="4223D6E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54695B" w:rsidR="003F19A9" w:rsidP="003F19A9" w:rsidRDefault="00D411A5" w14:paraId="555A9EFD" w14:textId="2726946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54695B">
        <w:rPr>
          <w:rFonts w:ascii="Times New Roman" w:hAnsi="Times New Roman"/>
          <w:b/>
        </w:rPr>
        <w:t>Loan Information</w:t>
      </w:r>
      <w:r w:rsidR="0054695B">
        <w:rPr>
          <w:rFonts w:ascii="Times New Roman" w:hAnsi="Times New Roman"/>
          <w:b/>
        </w:rPr>
        <w:t>:</w:t>
      </w:r>
    </w:p>
    <w:p w:rsidRPr="00D411A5" w:rsidR="003F19A9" w:rsidP="00D411A5" w:rsidRDefault="003F19A9" w14:paraId="3020B9D4" w14:textId="37944949">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Borrower</w:t>
      </w:r>
      <w:r w:rsidRPr="00D411A5" w:rsidR="00D411A5">
        <w:rPr>
          <w:rFonts w:ascii="Times New Roman" w:hAnsi="Times New Roman"/>
        </w:rPr>
        <w:t xml:space="preserve"> </w:t>
      </w:r>
      <w:r w:rsidRPr="00D411A5">
        <w:rPr>
          <w:rFonts w:ascii="Times New Roman" w:hAnsi="Times New Roman"/>
        </w:rPr>
        <w:t xml:space="preserve"> </w:t>
      </w:r>
    </w:p>
    <w:p w:rsidRPr="00D411A5" w:rsidR="003F19A9" w:rsidP="00D411A5" w:rsidRDefault="003F19A9" w14:paraId="257CCF96" w14:textId="34E8F6B9">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Assistance Type </w:t>
      </w:r>
    </w:p>
    <w:p w:rsidR="003F19A9" w:rsidP="00D411A5" w:rsidRDefault="003F19A9" w14:paraId="109243FA" w14:textId="403463E4">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Agreement History</w:t>
      </w:r>
    </w:p>
    <w:p w:rsidR="00C07562" w:rsidP="00C07562" w:rsidRDefault="00C07562" w14:paraId="603FEEC0" w14:textId="7D5C982E">
      <w:pPr>
        <w:pStyle w:val="ListParagraph"/>
        <w:numPr>
          <w:ilvl w:val="1"/>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Additional Subsidy</w:t>
      </w:r>
    </w:p>
    <w:p w:rsidR="00C07562" w:rsidP="00C07562" w:rsidRDefault="00C07562" w14:paraId="782FD2A0" w14:textId="520284D6">
      <w:pPr>
        <w:pStyle w:val="ListParagraph"/>
        <w:numPr>
          <w:ilvl w:val="1"/>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Population Served</w:t>
      </w:r>
    </w:p>
    <w:p w:rsidR="00C07562" w:rsidP="00C07562" w:rsidRDefault="00C07562" w14:paraId="45AEDC22" w14:textId="16585854">
      <w:pPr>
        <w:pStyle w:val="ListParagraph"/>
        <w:numPr>
          <w:ilvl w:val="1"/>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Green Project Reserve</w:t>
      </w:r>
    </w:p>
    <w:p w:rsidRPr="00D411A5" w:rsidR="00C07562" w:rsidP="00C07562" w:rsidRDefault="00C07562" w14:paraId="6447175E" w14:textId="56414690">
      <w:pPr>
        <w:pStyle w:val="ListParagraph"/>
        <w:numPr>
          <w:ilvl w:val="1"/>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Needs Categories</w:t>
      </w:r>
    </w:p>
    <w:p w:rsidRPr="00D411A5" w:rsidR="003F19A9" w:rsidP="00D411A5" w:rsidRDefault="003F19A9" w14:paraId="56468F28" w14:textId="77777777">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Funded by CWSRF</w:t>
      </w:r>
    </w:p>
    <w:p w:rsidRPr="00D411A5" w:rsidR="003F19A9" w:rsidP="00D411A5" w:rsidRDefault="003F19A9" w14:paraId="2CAFCE0C" w14:textId="77777777">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CWSRF Total from all Projects $ </w:t>
      </w:r>
    </w:p>
    <w:p w:rsidRPr="00D411A5" w:rsidR="003F19A9" w:rsidP="00D411A5" w:rsidRDefault="003F19A9" w14:paraId="2E210E19" w14:textId="77596DAE">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Interest Rate </w:t>
      </w:r>
    </w:p>
    <w:p w:rsidRPr="00D411A5" w:rsidR="003F19A9" w:rsidP="00D411A5" w:rsidRDefault="003F19A9" w14:paraId="6BEEDA5B" w14:textId="4526AA20">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Repayment Period</w:t>
      </w:r>
    </w:p>
    <w:p w:rsidRPr="00D411A5" w:rsidR="003F19A9" w:rsidP="00D411A5" w:rsidRDefault="003F19A9" w14:paraId="3CD1A72B" w14:textId="77777777">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Tracking # </w:t>
      </w:r>
    </w:p>
    <w:p w:rsidRPr="00D411A5" w:rsidR="003F19A9" w:rsidP="00D411A5" w:rsidRDefault="003F19A9" w14:paraId="453BB352" w14:textId="5206F94E">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Other #</w:t>
      </w:r>
    </w:p>
    <w:p w:rsidRPr="00D411A5" w:rsidR="003F19A9" w:rsidP="00D411A5" w:rsidRDefault="003F19A9" w14:paraId="1E5B17C0" w14:textId="77777777">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Incremental Funding</w:t>
      </w:r>
    </w:p>
    <w:p w:rsidRPr="00D411A5" w:rsidR="003F19A9" w:rsidP="00D411A5" w:rsidRDefault="003F19A9" w14:paraId="684DE954" w14:textId="77777777">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Loan funds one or more NPS Projects </w:t>
      </w:r>
    </w:p>
    <w:p w:rsidR="003F19A9" w:rsidP="00D411A5" w:rsidRDefault="003F19A9" w14:paraId="27AAD4C1" w14:textId="4107ADB7">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Assign Assistance to Federal Grant(s): (Additional Subsidization, Green Project Reserve, and FFATA).</w:t>
      </w:r>
    </w:p>
    <w:p w:rsidRPr="00D411A5" w:rsidR="00F047BF" w:rsidP="00D411A5" w:rsidRDefault="00F047BF" w14:paraId="5EA02217" w14:textId="572C8440">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Sources of </w:t>
      </w:r>
      <w:r w:rsidR="00C873C2">
        <w:rPr>
          <w:rFonts w:ascii="Times New Roman" w:hAnsi="Times New Roman"/>
        </w:rPr>
        <w:t>N</w:t>
      </w:r>
      <w:r>
        <w:rPr>
          <w:rFonts w:ascii="Times New Roman" w:hAnsi="Times New Roman"/>
        </w:rPr>
        <w:t>on-SRF Co-Funding</w:t>
      </w:r>
    </w:p>
    <w:p w:rsidRPr="003F19A9" w:rsidR="003F19A9" w:rsidP="003F19A9" w:rsidRDefault="003F19A9" w14:paraId="5FB0A5D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54695B" w:rsidR="003F19A9" w:rsidP="003F19A9" w:rsidRDefault="0060754C" w14:paraId="16D6E5A6" w14:textId="322F20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54695B">
        <w:rPr>
          <w:rFonts w:ascii="Times New Roman" w:hAnsi="Times New Roman"/>
          <w:b/>
        </w:rPr>
        <w:t>Project Information:</w:t>
      </w:r>
    </w:p>
    <w:p w:rsidR="00A30305" w:rsidP="00D411A5" w:rsidRDefault="003F19A9" w14:paraId="10D04525" w14:textId="77777777">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CW Needs Survey Number </w:t>
      </w:r>
    </w:p>
    <w:p w:rsidR="00A30305" w:rsidP="00D411A5" w:rsidRDefault="003F19A9" w14:paraId="1778F32E" w14:textId="77777777">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Project Description </w:t>
      </w:r>
    </w:p>
    <w:p w:rsidR="003F19A9" w:rsidP="00D411A5" w:rsidRDefault="003F19A9" w14:paraId="00D4CBA3" w14:textId="43C9716F">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Wastewater Volume</w:t>
      </w:r>
    </w:p>
    <w:p w:rsidRPr="00D411A5" w:rsidR="00274FCF" w:rsidP="00D411A5" w:rsidRDefault="00274FCF" w14:paraId="0EDA522B" w14:textId="688EE1AF">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Discharge Affected</w:t>
      </w:r>
    </w:p>
    <w:p w:rsidR="009E4753" w:rsidP="00D411A5" w:rsidRDefault="003F19A9" w14:paraId="0C57388A" w14:textId="77777777">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Permit Information </w:t>
      </w:r>
    </w:p>
    <w:p w:rsidR="009E4753" w:rsidP="00D411A5" w:rsidRDefault="003F19A9" w14:paraId="46D0EF1A" w14:textId="77777777">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Affected Waterbodies </w:t>
      </w:r>
    </w:p>
    <w:p w:rsidRPr="00D411A5" w:rsidR="003F19A9" w:rsidP="00D411A5" w:rsidRDefault="003F19A9" w14:paraId="7E94DB0B" w14:textId="5871A2EB">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Project Location</w:t>
      </w:r>
    </w:p>
    <w:p w:rsidRPr="00D411A5" w:rsidR="003F19A9" w:rsidP="00D411A5" w:rsidRDefault="003F19A9" w14:paraId="2FA422FE" w14:textId="77777777">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Project Improvement/Maintenance of Water Quality</w:t>
      </w:r>
    </w:p>
    <w:p w:rsidR="00807B67" w:rsidP="00D411A5" w:rsidRDefault="003F19A9" w14:paraId="0A990744" w14:textId="7741FB41">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Contribution to Protection or Restoration of the Waterbody and Other Uses</w:t>
      </w:r>
      <w:r w:rsidRPr="00D411A5" w:rsidR="00BD04CA">
        <w:rPr>
          <w:rFonts w:ascii="Times New Roman" w:hAnsi="Times New Roman"/>
        </w:rPr>
        <w:t xml:space="preserve"> </w:t>
      </w:r>
    </w:p>
    <w:p w:rsidRPr="00D411A5" w:rsidR="00C873C2" w:rsidP="00D411A5" w:rsidRDefault="00C873C2" w14:paraId="3950E014" w14:textId="4E8915E1">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Environmental Benefits</w:t>
      </w:r>
    </w:p>
    <w:p w:rsidR="008A7588" w:rsidP="00A8713F" w:rsidRDefault="008A7588" w14:paraId="53615DB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8A683B" w:rsidP="00A8713F" w:rsidRDefault="00A0550E" w14:paraId="13FED008" w14:textId="07029FA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During the collection period, t</w:t>
      </w:r>
      <w:r w:rsidRPr="008A683B" w:rsidR="008A683B">
        <w:rPr>
          <w:rFonts w:ascii="Times New Roman" w:hAnsi="Times New Roman"/>
        </w:rPr>
        <w:t xml:space="preserve">he </w:t>
      </w:r>
      <w:r>
        <w:rPr>
          <w:rFonts w:ascii="Times New Roman" w:hAnsi="Times New Roman"/>
        </w:rPr>
        <w:t xml:space="preserve">CWNIMS and </w:t>
      </w:r>
      <w:r w:rsidRPr="008A683B" w:rsidR="008A683B">
        <w:rPr>
          <w:rFonts w:ascii="Times New Roman" w:hAnsi="Times New Roman"/>
        </w:rPr>
        <w:t>CBR database</w:t>
      </w:r>
      <w:r w:rsidR="005D28FC">
        <w:rPr>
          <w:rFonts w:ascii="Times New Roman" w:hAnsi="Times New Roman"/>
        </w:rPr>
        <w:t>s</w:t>
      </w:r>
      <w:r w:rsidRPr="008A683B" w:rsidR="008A683B">
        <w:rPr>
          <w:rFonts w:ascii="Times New Roman" w:hAnsi="Times New Roman"/>
        </w:rPr>
        <w:t xml:space="preserve"> </w:t>
      </w:r>
      <w:r>
        <w:rPr>
          <w:rFonts w:ascii="Times New Roman" w:hAnsi="Times New Roman"/>
        </w:rPr>
        <w:t>will be</w:t>
      </w:r>
      <w:r w:rsidRPr="008A683B" w:rsidR="008A683B">
        <w:rPr>
          <w:rFonts w:ascii="Times New Roman" w:hAnsi="Times New Roman"/>
        </w:rPr>
        <w:t xml:space="preserve"> updated to add several additi</w:t>
      </w:r>
      <w:r w:rsidR="005254B6">
        <w:rPr>
          <w:rFonts w:ascii="Times New Roman" w:hAnsi="Times New Roman"/>
        </w:rPr>
        <w:t xml:space="preserve">onal </w:t>
      </w:r>
      <w:r w:rsidR="00DF6259">
        <w:rPr>
          <w:rFonts w:ascii="Times New Roman" w:hAnsi="Times New Roman"/>
        </w:rPr>
        <w:t xml:space="preserve">data </w:t>
      </w:r>
      <w:r w:rsidR="005254B6">
        <w:rPr>
          <w:rFonts w:ascii="Times New Roman" w:hAnsi="Times New Roman"/>
        </w:rPr>
        <w:t xml:space="preserve">fields that </w:t>
      </w:r>
      <w:r w:rsidR="00C873C2">
        <w:rPr>
          <w:rFonts w:ascii="Times New Roman" w:hAnsi="Times New Roman"/>
        </w:rPr>
        <w:t xml:space="preserve">more fully capture environmental and other benefits </w:t>
      </w:r>
      <w:r w:rsidR="00DF6259">
        <w:rPr>
          <w:rFonts w:ascii="Times New Roman" w:hAnsi="Times New Roman"/>
        </w:rPr>
        <w:t>associated with CWSRF</w:t>
      </w:r>
      <w:r w:rsidR="00C873C2">
        <w:rPr>
          <w:rFonts w:ascii="Times New Roman" w:hAnsi="Times New Roman"/>
        </w:rPr>
        <w:t xml:space="preserve"> funded projects</w:t>
      </w:r>
      <w:r w:rsidR="008A683B">
        <w:rPr>
          <w:rFonts w:ascii="Times New Roman" w:hAnsi="Times New Roman"/>
        </w:rPr>
        <w:t xml:space="preserve">. These fields include </w:t>
      </w:r>
      <w:r w:rsidR="00447D36">
        <w:rPr>
          <w:rFonts w:ascii="Times New Roman" w:hAnsi="Times New Roman"/>
        </w:rPr>
        <w:t xml:space="preserve">questions related to </w:t>
      </w:r>
      <w:r>
        <w:rPr>
          <w:rFonts w:ascii="Times New Roman" w:hAnsi="Times New Roman"/>
        </w:rPr>
        <w:t xml:space="preserve">public health, </w:t>
      </w:r>
      <w:r w:rsidR="00447D36">
        <w:rPr>
          <w:rFonts w:ascii="Times New Roman" w:hAnsi="Times New Roman"/>
        </w:rPr>
        <w:t xml:space="preserve">resiliency, </w:t>
      </w:r>
      <w:r>
        <w:rPr>
          <w:rFonts w:ascii="Times New Roman" w:hAnsi="Times New Roman"/>
        </w:rPr>
        <w:t xml:space="preserve">regionalization, nutrient reduction, and other related topics. In addition, data fields will be added to account for </w:t>
      </w:r>
      <w:r w:rsidR="001407D3">
        <w:rPr>
          <w:rFonts w:ascii="Times New Roman" w:hAnsi="Times New Roman"/>
        </w:rPr>
        <w:t xml:space="preserve">instances where the </w:t>
      </w:r>
      <w:r w:rsidR="00DF6259">
        <w:rPr>
          <w:rFonts w:ascii="Times New Roman" w:hAnsi="Times New Roman"/>
        </w:rPr>
        <w:t>CW</w:t>
      </w:r>
      <w:r>
        <w:rPr>
          <w:rFonts w:ascii="Times New Roman" w:hAnsi="Times New Roman"/>
        </w:rPr>
        <w:t xml:space="preserve">SRF </w:t>
      </w:r>
      <w:r w:rsidR="001407D3">
        <w:rPr>
          <w:rFonts w:ascii="Times New Roman" w:hAnsi="Times New Roman"/>
        </w:rPr>
        <w:t>is a recipient of a loan from the</w:t>
      </w:r>
      <w:r>
        <w:rPr>
          <w:rFonts w:ascii="Times New Roman" w:hAnsi="Times New Roman"/>
        </w:rPr>
        <w:t xml:space="preserve"> newly established WIFIA program.</w:t>
      </w:r>
      <w:r w:rsidR="009D48A7">
        <w:rPr>
          <w:rFonts w:ascii="Times New Roman" w:hAnsi="Times New Roman"/>
        </w:rPr>
        <w:t xml:space="preserve"> </w:t>
      </w:r>
      <w:r>
        <w:rPr>
          <w:rFonts w:ascii="Times New Roman" w:hAnsi="Times New Roman"/>
        </w:rPr>
        <w:t xml:space="preserve">These data fields will capture that amount of WIFIA funding being provided to the </w:t>
      </w:r>
      <w:r w:rsidR="00DF6259">
        <w:rPr>
          <w:rFonts w:ascii="Times New Roman" w:hAnsi="Times New Roman"/>
        </w:rPr>
        <w:t>CW</w:t>
      </w:r>
      <w:r>
        <w:rPr>
          <w:rFonts w:ascii="Times New Roman" w:hAnsi="Times New Roman"/>
        </w:rPr>
        <w:t xml:space="preserve">SRF along with any loan repayments and fees </w:t>
      </w:r>
      <w:r w:rsidR="001407D3">
        <w:rPr>
          <w:rFonts w:ascii="Times New Roman" w:hAnsi="Times New Roman"/>
        </w:rPr>
        <w:t xml:space="preserve">owed by the </w:t>
      </w:r>
      <w:r w:rsidR="00DF6259">
        <w:rPr>
          <w:rFonts w:ascii="Times New Roman" w:hAnsi="Times New Roman"/>
        </w:rPr>
        <w:t>CW</w:t>
      </w:r>
      <w:r w:rsidR="001407D3">
        <w:rPr>
          <w:rFonts w:ascii="Times New Roman" w:hAnsi="Times New Roman"/>
        </w:rPr>
        <w:t xml:space="preserve">SRF as a result of </w:t>
      </w:r>
      <w:r w:rsidR="001407D3">
        <w:rPr>
          <w:rFonts w:ascii="Times New Roman" w:hAnsi="Times New Roman"/>
        </w:rPr>
        <w:lastRenderedPageBreak/>
        <w:t>securing this funding.</w:t>
      </w:r>
      <w:r>
        <w:rPr>
          <w:rFonts w:ascii="Times New Roman" w:hAnsi="Times New Roman"/>
        </w:rPr>
        <w:t xml:space="preserve"> </w:t>
      </w:r>
      <w:r w:rsidR="009D48A7">
        <w:rPr>
          <w:rFonts w:ascii="Times New Roman" w:hAnsi="Times New Roman"/>
        </w:rPr>
        <w:t xml:space="preserve">These additional fields are </w:t>
      </w:r>
      <w:r w:rsidR="00DF6259">
        <w:rPr>
          <w:rFonts w:ascii="Times New Roman" w:hAnsi="Times New Roman"/>
        </w:rPr>
        <w:t>reflected</w:t>
      </w:r>
      <w:r w:rsidR="009D48A7">
        <w:rPr>
          <w:rFonts w:ascii="Times New Roman" w:hAnsi="Times New Roman"/>
        </w:rPr>
        <w:t xml:space="preserve"> in the burden estimate.</w:t>
      </w:r>
    </w:p>
    <w:p w:rsidR="008A683B" w:rsidP="00A8713F" w:rsidRDefault="008A683B" w14:paraId="317F77A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342D65" w:rsidP="00B17699" w:rsidRDefault="00BD04CA" w14:paraId="3BCC6FD9" w14:textId="1F05900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The CBR and </w:t>
      </w:r>
      <w:r w:rsidR="00C155CD">
        <w:rPr>
          <w:rFonts w:ascii="Times New Roman" w:hAnsi="Times New Roman"/>
        </w:rPr>
        <w:t>CW</w:t>
      </w:r>
      <w:r>
        <w:rPr>
          <w:rFonts w:ascii="Times New Roman" w:hAnsi="Times New Roman"/>
        </w:rPr>
        <w:t>NIMS</w:t>
      </w:r>
      <w:r w:rsidR="00325D77">
        <w:rPr>
          <w:rFonts w:ascii="Times New Roman" w:hAnsi="Times New Roman"/>
        </w:rPr>
        <w:t xml:space="preserve"> data is also crucial to EPA’s abilit</w:t>
      </w:r>
      <w:r w:rsidR="00C155CD">
        <w:rPr>
          <w:rFonts w:ascii="Times New Roman" w:hAnsi="Times New Roman"/>
        </w:rPr>
        <w:t>y to respond to inquiries from C</w:t>
      </w:r>
      <w:r w:rsidR="00325D77">
        <w:rPr>
          <w:rFonts w:ascii="Times New Roman" w:hAnsi="Times New Roman"/>
        </w:rPr>
        <w:t>ongress, OMB, GAO, and other stake</w:t>
      </w:r>
      <w:r w:rsidR="00A8713F">
        <w:rPr>
          <w:rFonts w:ascii="Times New Roman" w:hAnsi="Times New Roman"/>
        </w:rPr>
        <w:t>holders. Data from</w:t>
      </w:r>
      <w:r w:rsidR="00C155CD">
        <w:rPr>
          <w:rFonts w:ascii="Times New Roman" w:hAnsi="Times New Roman"/>
        </w:rPr>
        <w:t xml:space="preserve"> the</w:t>
      </w:r>
      <w:r w:rsidR="00A8713F">
        <w:rPr>
          <w:rFonts w:ascii="Times New Roman" w:hAnsi="Times New Roman"/>
        </w:rPr>
        <w:t xml:space="preserve"> CBR </w:t>
      </w:r>
      <w:r w:rsidR="00C155CD">
        <w:rPr>
          <w:rFonts w:ascii="Times New Roman" w:hAnsi="Times New Roman"/>
        </w:rPr>
        <w:t xml:space="preserve">database </w:t>
      </w:r>
      <w:r w:rsidR="00A8713F">
        <w:rPr>
          <w:rFonts w:ascii="Times New Roman" w:hAnsi="Times New Roman"/>
        </w:rPr>
        <w:t>has been</w:t>
      </w:r>
      <w:r w:rsidR="00C155CD">
        <w:rPr>
          <w:rFonts w:ascii="Times New Roman" w:hAnsi="Times New Roman"/>
        </w:rPr>
        <w:t xml:space="preserve"> used to provide C</w:t>
      </w:r>
      <w:r w:rsidR="00325D77">
        <w:rPr>
          <w:rFonts w:ascii="Times New Roman" w:hAnsi="Times New Roman"/>
        </w:rPr>
        <w:t>ongress with</w:t>
      </w:r>
      <w:r w:rsidR="00A8713F">
        <w:rPr>
          <w:rFonts w:ascii="Times New Roman" w:hAnsi="Times New Roman"/>
        </w:rPr>
        <w:t xml:space="preserve"> periodic updates on the use of additional subsidization and other trends such as assistance to small communities and the degree by which the CWSRFs are complying </w:t>
      </w:r>
      <w:r w:rsidR="00C155CD">
        <w:rPr>
          <w:rFonts w:ascii="Times New Roman" w:hAnsi="Times New Roman"/>
        </w:rPr>
        <w:t>with the GPR</w:t>
      </w:r>
      <w:r w:rsidR="00A8713F">
        <w:rPr>
          <w:rFonts w:ascii="Times New Roman" w:hAnsi="Times New Roman"/>
        </w:rPr>
        <w:t xml:space="preserve"> requirement. For </w:t>
      </w:r>
      <w:r w:rsidR="00DD0BAB">
        <w:rPr>
          <w:rFonts w:ascii="Times New Roman" w:hAnsi="Times New Roman"/>
        </w:rPr>
        <w:t>example, CBR data was crucial in</w:t>
      </w:r>
      <w:r w:rsidR="00A8713F">
        <w:rPr>
          <w:rFonts w:ascii="Times New Roman" w:hAnsi="Times New Roman"/>
        </w:rPr>
        <w:t xml:space="preserve"> p</w:t>
      </w:r>
      <w:r w:rsidR="00DD0BAB">
        <w:rPr>
          <w:rFonts w:ascii="Times New Roman" w:hAnsi="Times New Roman"/>
        </w:rPr>
        <w:t>reparing</w:t>
      </w:r>
      <w:r w:rsidR="003A61AD">
        <w:rPr>
          <w:rFonts w:ascii="Times New Roman" w:hAnsi="Times New Roman"/>
        </w:rPr>
        <w:t xml:space="preserve"> the following report to C</w:t>
      </w:r>
      <w:r w:rsidR="00A8713F">
        <w:rPr>
          <w:rFonts w:ascii="Times New Roman" w:hAnsi="Times New Roman"/>
        </w:rPr>
        <w:t xml:space="preserve">ongress: </w:t>
      </w:r>
      <w:r w:rsidRPr="00C6351C" w:rsidR="00A8713F">
        <w:rPr>
          <w:rFonts w:ascii="Times New Roman" w:hAnsi="Times New Roman"/>
          <w:i/>
        </w:rPr>
        <w:t>Utilization of Additional Subsidization Authority in the Clean Water and Drinking Water State Revolving Fund Programs</w:t>
      </w:r>
      <w:r w:rsidR="00A8713F">
        <w:rPr>
          <w:rFonts w:ascii="Times New Roman" w:hAnsi="Times New Roman"/>
        </w:rPr>
        <w:t>.</w:t>
      </w:r>
      <w:r w:rsidR="00A8713F">
        <w:rPr>
          <w:rStyle w:val="FootnoteReference"/>
          <w:rFonts w:ascii="Times New Roman" w:hAnsi="Times New Roman"/>
        </w:rPr>
        <w:footnoteReference w:id="5"/>
      </w:r>
      <w:r w:rsidR="00C6351C">
        <w:rPr>
          <w:rFonts w:ascii="Times New Roman" w:hAnsi="Times New Roman"/>
        </w:rPr>
        <w:t xml:space="preserve"> Information from CBR </w:t>
      </w:r>
      <w:r w:rsidR="008A7588">
        <w:rPr>
          <w:rFonts w:ascii="Times New Roman" w:hAnsi="Times New Roman"/>
        </w:rPr>
        <w:t xml:space="preserve">and </w:t>
      </w:r>
      <w:r w:rsidR="00C155CD">
        <w:rPr>
          <w:rFonts w:ascii="Times New Roman" w:hAnsi="Times New Roman"/>
        </w:rPr>
        <w:t>CW</w:t>
      </w:r>
      <w:r w:rsidR="008A7588">
        <w:rPr>
          <w:rFonts w:ascii="Times New Roman" w:hAnsi="Times New Roman"/>
        </w:rPr>
        <w:t xml:space="preserve">NIMS is also used </w:t>
      </w:r>
      <w:r w:rsidR="00C6351C">
        <w:rPr>
          <w:rFonts w:ascii="Times New Roman" w:hAnsi="Times New Roman"/>
        </w:rPr>
        <w:t xml:space="preserve">in pulling together material needed for the president’s budget, including the congressional justification, program factsheets, congressional testimony, and other </w:t>
      </w:r>
      <w:r w:rsidR="008A7588">
        <w:rPr>
          <w:rFonts w:ascii="Times New Roman" w:hAnsi="Times New Roman"/>
        </w:rPr>
        <w:t>budget related</w:t>
      </w:r>
      <w:r w:rsidR="00C6351C">
        <w:rPr>
          <w:rFonts w:ascii="Times New Roman" w:hAnsi="Times New Roman"/>
        </w:rPr>
        <w:t xml:space="preserve"> material.</w:t>
      </w:r>
      <w:r w:rsidR="008A7588">
        <w:rPr>
          <w:rFonts w:ascii="Times New Roman" w:hAnsi="Times New Roman"/>
        </w:rPr>
        <w:t xml:space="preserve"> Finally, information from </w:t>
      </w:r>
      <w:r w:rsidR="00C155CD">
        <w:rPr>
          <w:rFonts w:ascii="Times New Roman" w:hAnsi="Times New Roman"/>
        </w:rPr>
        <w:t>CW</w:t>
      </w:r>
      <w:r w:rsidR="008A7588">
        <w:rPr>
          <w:rFonts w:ascii="Times New Roman" w:hAnsi="Times New Roman"/>
        </w:rPr>
        <w:t xml:space="preserve">NIMS and CBR is pivotal </w:t>
      </w:r>
      <w:r w:rsidR="00273048">
        <w:rPr>
          <w:rFonts w:ascii="Times New Roman" w:hAnsi="Times New Roman"/>
        </w:rPr>
        <w:t xml:space="preserve">to </w:t>
      </w:r>
      <w:r w:rsidR="008A7588">
        <w:rPr>
          <w:rFonts w:ascii="Times New Roman" w:hAnsi="Times New Roman"/>
        </w:rPr>
        <w:t>EPA’s ability to produce information</w:t>
      </w:r>
      <w:r w:rsidR="006103D3">
        <w:rPr>
          <w:rFonts w:ascii="Times New Roman" w:hAnsi="Times New Roman"/>
        </w:rPr>
        <w:t>al</w:t>
      </w:r>
      <w:r w:rsidR="008A7588">
        <w:rPr>
          <w:rFonts w:ascii="Times New Roman" w:hAnsi="Times New Roman"/>
        </w:rPr>
        <w:t xml:space="preserve"> material that</w:t>
      </w:r>
      <w:r w:rsidR="0074295E">
        <w:rPr>
          <w:rFonts w:ascii="Times New Roman" w:hAnsi="Times New Roman"/>
        </w:rPr>
        <w:t xml:space="preserve"> highlights the national trends in CWSRF environmental and financial performance</w:t>
      </w:r>
      <w:r w:rsidR="008A7588">
        <w:rPr>
          <w:rFonts w:ascii="Times New Roman" w:hAnsi="Times New Roman"/>
        </w:rPr>
        <w:t xml:space="preserve">. This material includes </w:t>
      </w:r>
      <w:r w:rsidR="00AC0B22">
        <w:rPr>
          <w:rFonts w:ascii="Times New Roman" w:hAnsi="Times New Roman"/>
        </w:rPr>
        <w:t xml:space="preserve">the </w:t>
      </w:r>
      <w:r w:rsidR="008A7588">
        <w:rPr>
          <w:rFonts w:ascii="Times New Roman" w:hAnsi="Times New Roman"/>
        </w:rPr>
        <w:t>environmental benef</w:t>
      </w:r>
      <w:r w:rsidR="00AC0B22">
        <w:rPr>
          <w:rFonts w:ascii="Times New Roman" w:hAnsi="Times New Roman"/>
        </w:rPr>
        <w:t>its reports, national financial reports</w:t>
      </w:r>
      <w:r w:rsidR="008A7588">
        <w:rPr>
          <w:rFonts w:ascii="Times New Roman" w:hAnsi="Times New Roman"/>
        </w:rPr>
        <w:t xml:space="preserve">, and </w:t>
      </w:r>
      <w:r w:rsidR="00AC0B22">
        <w:rPr>
          <w:rFonts w:ascii="Times New Roman" w:hAnsi="Times New Roman"/>
        </w:rPr>
        <w:t>factsheets. These document</w:t>
      </w:r>
      <w:r w:rsidR="00736E7C">
        <w:rPr>
          <w:rFonts w:ascii="Times New Roman" w:hAnsi="Times New Roman"/>
        </w:rPr>
        <w:t>s</w:t>
      </w:r>
      <w:r w:rsidR="00AC0B22">
        <w:rPr>
          <w:rFonts w:ascii="Times New Roman" w:hAnsi="Times New Roman"/>
        </w:rPr>
        <w:t xml:space="preserve"> are made publicly available through EPA</w:t>
      </w:r>
      <w:r w:rsidR="00C155CD">
        <w:rPr>
          <w:rFonts w:ascii="Times New Roman" w:hAnsi="Times New Roman"/>
        </w:rPr>
        <w:t>’s</w:t>
      </w:r>
      <w:r w:rsidR="00AC0B22">
        <w:rPr>
          <w:rFonts w:ascii="Times New Roman" w:hAnsi="Times New Roman"/>
        </w:rPr>
        <w:t xml:space="preserve"> website at </w:t>
      </w:r>
      <w:hyperlink w:history="1" r:id="rId16">
        <w:r w:rsidRPr="003F2128" w:rsidR="0098457B">
          <w:rPr>
            <w:rStyle w:val="Hyperlink"/>
            <w:rFonts w:ascii="Times New Roman" w:hAnsi="Times New Roman"/>
          </w:rPr>
          <w:t>http://www.epa.gov/cwsrf/clean-water-state-revolving-fund-cwsrf-results</w:t>
        </w:r>
      </w:hyperlink>
      <w:r w:rsidR="0098457B">
        <w:rPr>
          <w:rFonts w:ascii="Times New Roman" w:hAnsi="Times New Roman"/>
        </w:rPr>
        <w:t xml:space="preserve">. </w:t>
      </w:r>
    </w:p>
    <w:p w:rsidRPr="00CC38F8" w:rsidR="00C552CC" w:rsidP="00CC38F8" w:rsidRDefault="00C552CC" w14:paraId="00382420" w14:textId="6DDA8AEE">
      <w:pPr>
        <w:widowControl/>
        <w:autoSpaceDE w:val="0"/>
        <w:autoSpaceDN w:val="0"/>
        <w:adjustRightInd w:val="0"/>
        <w:rPr>
          <w:rFonts w:ascii="Times New Roman" w:hAnsi="Times New Roman"/>
          <w:u w:val="single"/>
        </w:rPr>
      </w:pPr>
    </w:p>
    <w:p w:rsidRPr="00072CA3" w:rsidR="00072CA3" w:rsidP="00072CA3" w:rsidRDefault="00072CA3" w14:paraId="0CDB0C11" w14:textId="7243DEF7">
      <w:pPr>
        <w:widowControl/>
        <w:autoSpaceDE w:val="0"/>
        <w:autoSpaceDN w:val="0"/>
        <w:adjustRightInd w:val="0"/>
        <w:rPr>
          <w:rFonts w:ascii="Times New Roman" w:hAnsi="Times New Roman"/>
        </w:rPr>
      </w:pPr>
      <w:r w:rsidRPr="00072CA3">
        <w:rPr>
          <w:rFonts w:ascii="Times New Roman" w:hAnsi="Times New Roman"/>
          <w:u w:val="single"/>
        </w:rPr>
        <w:t>Publi</w:t>
      </w:r>
      <w:r w:rsidR="00BD2215">
        <w:rPr>
          <w:rFonts w:ascii="Times New Roman" w:hAnsi="Times New Roman"/>
          <w:u w:val="single"/>
        </w:rPr>
        <w:t>c Awareness Policy</w:t>
      </w:r>
    </w:p>
    <w:p w:rsidR="00072CA3" w:rsidP="00E50677" w:rsidRDefault="00072CA3" w14:paraId="101EE8F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E50677" w:rsidR="00E50677" w:rsidP="00E50677" w:rsidRDefault="00E50677" w14:paraId="24569867" w14:textId="77A3ED5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E50677">
        <w:rPr>
          <w:rFonts w:ascii="Times New Roman" w:hAnsi="Times New Roman"/>
        </w:rPr>
        <w:t>Per EPA Grants Policy Issuance (GPI) 14-02: Enhancing Public Awareness of EPA Assistance Agree</w:t>
      </w:r>
      <w:r w:rsidR="009B3C6D">
        <w:rPr>
          <w:rFonts w:ascii="Times New Roman" w:hAnsi="Times New Roman"/>
        </w:rPr>
        <w:t>ments, borrowers</w:t>
      </w:r>
      <w:r w:rsidR="00072CA3">
        <w:rPr>
          <w:rFonts w:ascii="Times New Roman" w:hAnsi="Times New Roman"/>
        </w:rPr>
        <w:t xml:space="preserve"> receiving C</w:t>
      </w:r>
      <w:r w:rsidR="009B3C6D">
        <w:rPr>
          <w:rFonts w:ascii="Times New Roman" w:hAnsi="Times New Roman"/>
        </w:rPr>
        <w:t xml:space="preserve">WSRF funds must publicize </w:t>
      </w:r>
      <w:r w:rsidRPr="00E50677">
        <w:rPr>
          <w:rFonts w:ascii="Times New Roman" w:hAnsi="Times New Roman"/>
        </w:rPr>
        <w:t>EPA’s invo</w:t>
      </w:r>
      <w:r w:rsidR="009B3C6D">
        <w:rPr>
          <w:rFonts w:ascii="Times New Roman" w:hAnsi="Times New Roman"/>
        </w:rPr>
        <w:t xml:space="preserve">lvement in project funding. </w:t>
      </w:r>
      <w:r w:rsidRPr="00E50677">
        <w:rPr>
          <w:rFonts w:ascii="Times New Roman" w:hAnsi="Times New Roman"/>
        </w:rPr>
        <w:t xml:space="preserve">EPA </w:t>
      </w:r>
      <w:r w:rsidR="009B3C6D">
        <w:rPr>
          <w:rFonts w:ascii="Times New Roman" w:hAnsi="Times New Roman"/>
        </w:rPr>
        <w:t xml:space="preserve">has </w:t>
      </w:r>
      <w:r w:rsidR="00072CA3">
        <w:rPr>
          <w:rFonts w:ascii="Times New Roman" w:hAnsi="Times New Roman"/>
        </w:rPr>
        <w:t>issued guidance to assist the CWSRFs and borrowers</w:t>
      </w:r>
      <w:r w:rsidRPr="00E50677">
        <w:rPr>
          <w:rFonts w:ascii="Times New Roman" w:hAnsi="Times New Roman"/>
        </w:rPr>
        <w:t xml:space="preserve"> in meeting this requirement.</w:t>
      </w:r>
      <w:r w:rsidRPr="00806E22" w:rsidR="00072CA3">
        <w:rPr>
          <w:rStyle w:val="FootnoteReference"/>
          <w:rFonts w:ascii="Times New Roman" w:hAnsi="Times New Roman"/>
          <w:szCs w:val="24"/>
        </w:rPr>
        <w:footnoteReference w:id="6"/>
      </w:r>
      <w:r w:rsidRPr="00E50677">
        <w:rPr>
          <w:rFonts w:ascii="Times New Roman" w:hAnsi="Times New Roman"/>
        </w:rPr>
        <w:t xml:space="preserve"> </w:t>
      </w:r>
    </w:p>
    <w:p w:rsidRPr="00E50677" w:rsidR="00E50677" w:rsidP="00E50677" w:rsidRDefault="00E50677" w14:paraId="2921800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E50677" w:rsidR="00E50677" w:rsidP="00E50677" w:rsidRDefault="00E50677" w14:paraId="053A94B9" w14:textId="0E6A3B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E50677">
        <w:rPr>
          <w:rFonts w:ascii="Times New Roman" w:hAnsi="Times New Roman"/>
        </w:rPr>
        <w:t xml:space="preserve">This policy only applies to funding up to the amount of each year’s capitalization grant and states may choose the systems to which this requirement applies. It is at the discretion of the SRF </w:t>
      </w:r>
      <w:r w:rsidR="00E452EB">
        <w:rPr>
          <w:rFonts w:ascii="Times New Roman" w:hAnsi="Times New Roman"/>
        </w:rPr>
        <w:t>program to select projects most-</w:t>
      </w:r>
      <w:r w:rsidRPr="00E50677">
        <w:rPr>
          <w:rFonts w:ascii="Times New Roman" w:hAnsi="Times New Roman"/>
        </w:rPr>
        <w:t>able to efficiently and effectively comply in a way that meets the intention to enhance public awareness without significant financial hardship to the state or its borrowers.</w:t>
      </w:r>
    </w:p>
    <w:p w:rsidRPr="00E50677" w:rsidR="00E50677" w:rsidP="00E50677" w:rsidRDefault="00E50677" w14:paraId="3368257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E50677" w:rsidR="00E50677" w:rsidP="00E50677" w:rsidRDefault="00E50677" w14:paraId="3D714EA5" w14:textId="66D451C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E50677">
        <w:rPr>
          <w:rFonts w:ascii="Times New Roman" w:hAnsi="Times New Roman"/>
        </w:rPr>
        <w:t>Local respondents have various options to meet this requirement and are encouraged to choose the method most cost-effective and accessible to a broad audience. Aft</w:t>
      </w:r>
      <w:r w:rsidR="00072CA3">
        <w:rPr>
          <w:rFonts w:ascii="Times New Roman" w:hAnsi="Times New Roman"/>
        </w:rPr>
        <w:t>er consulting with EPA and CWSRF</w:t>
      </w:r>
      <w:r w:rsidRPr="00E50677">
        <w:rPr>
          <w:rFonts w:ascii="Times New Roman" w:hAnsi="Times New Roman"/>
        </w:rPr>
        <w:t xml:space="preserve"> staff throughout the country, the following compliance options were developed:</w:t>
      </w:r>
    </w:p>
    <w:p w:rsidRPr="00C552CC" w:rsidR="00E50677" w:rsidP="00C552CC" w:rsidRDefault="00E50677" w14:paraId="3EE2EDAD" w14:textId="7D495F3E">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Standard signage</w:t>
      </w:r>
    </w:p>
    <w:p w:rsidRPr="00C552CC" w:rsidR="00E50677" w:rsidP="00C552CC" w:rsidRDefault="00E50677" w14:paraId="22C4E89B" w14:textId="0791F933">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Posters or wall signage in a public building or location</w:t>
      </w:r>
    </w:p>
    <w:p w:rsidRPr="00C552CC" w:rsidR="00E50677" w:rsidP="00C552CC" w:rsidRDefault="00E50677" w14:paraId="771C4537" w14:textId="77C1D723">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Newspaper or periodical advertisement for project construction, groundbreaking ceremony, or operation of the new or improved facility</w:t>
      </w:r>
    </w:p>
    <w:p w:rsidRPr="00C552CC" w:rsidR="00E50677" w:rsidP="00C552CC" w:rsidRDefault="00E50677" w14:paraId="1298570E" w14:textId="34B047D0">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Online signage placed on community website or social media outlet</w:t>
      </w:r>
    </w:p>
    <w:p w:rsidRPr="00C552CC" w:rsidR="00E50677" w:rsidP="00C552CC" w:rsidRDefault="00E50677" w14:paraId="7950622A" w14:textId="6F707DC2">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Press release</w:t>
      </w:r>
    </w:p>
    <w:p w:rsidRPr="00E50677" w:rsidR="00E50677" w:rsidP="00E50677" w:rsidRDefault="00E50677" w14:paraId="1BD2DA4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C552CC" w:rsidP="00C552CC" w:rsidRDefault="00E50677" w14:paraId="1BB072A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E50677">
        <w:rPr>
          <w:rFonts w:ascii="Times New Roman" w:hAnsi="Times New Roman"/>
        </w:rPr>
        <w:t>The following information must be included:</w:t>
      </w:r>
    </w:p>
    <w:p w:rsidRPr="00C552CC" w:rsidR="00E50677" w:rsidP="00C552CC" w:rsidRDefault="00E50677" w14:paraId="33E6F28E" w14:textId="55E05F2F">
      <w:pPr>
        <w:pStyle w:val="ListParagraph"/>
        <w:numPr>
          <w:ilvl w:val="0"/>
          <w:numId w:val="4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Name of facility, project and community</w:t>
      </w:r>
    </w:p>
    <w:p w:rsidRPr="00C552CC" w:rsidR="00E50677" w:rsidP="00C552CC" w:rsidRDefault="00E50677" w14:paraId="3DF40C7A" w14:textId="1C834464">
      <w:pPr>
        <w:pStyle w:val="ListParagraph"/>
        <w:numPr>
          <w:ilvl w:val="0"/>
          <w:numId w:val="4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SRF administering the program</w:t>
      </w:r>
    </w:p>
    <w:p w:rsidRPr="00C552CC" w:rsidR="00E50677" w:rsidP="00C552CC" w:rsidRDefault="00E6197A" w14:paraId="568F7B76" w14:textId="72E36BAB">
      <w:pPr>
        <w:pStyle w:val="ListParagraph"/>
        <w:numPr>
          <w:ilvl w:val="0"/>
          <w:numId w:val="4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lastRenderedPageBreak/>
        <w:t>Whether p</w:t>
      </w:r>
      <w:r w:rsidRPr="00C552CC" w:rsidR="00E50677">
        <w:rPr>
          <w:rFonts w:ascii="Times New Roman" w:hAnsi="Times New Roman"/>
        </w:rPr>
        <w:t>roject is wholly or partially funded with EPA funding</w:t>
      </w:r>
    </w:p>
    <w:p w:rsidRPr="00C552CC" w:rsidR="00E50677" w:rsidP="00C552CC" w:rsidRDefault="00E50677" w14:paraId="59804139" w14:textId="2B160699">
      <w:pPr>
        <w:pStyle w:val="ListParagraph"/>
        <w:numPr>
          <w:ilvl w:val="0"/>
          <w:numId w:val="4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Brief description of project</w:t>
      </w:r>
    </w:p>
    <w:p w:rsidRPr="00C552CC" w:rsidR="00AC0B22" w:rsidP="00C552CC" w:rsidRDefault="00E50677" w14:paraId="4876D5AD" w14:textId="6DE18C02">
      <w:pPr>
        <w:pStyle w:val="ListParagraph"/>
        <w:numPr>
          <w:ilvl w:val="0"/>
          <w:numId w:val="4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Brief description of the water quality benefits the project will achieve</w:t>
      </w:r>
    </w:p>
    <w:p w:rsidRPr="00004733" w:rsidR="000417D0" w:rsidP="00C67898" w:rsidRDefault="000417D0" w14:paraId="17834847" w14:textId="77777777">
      <w:pPr>
        <w:rPr>
          <w:rFonts w:ascii="Times New Roman" w:hAnsi="Times New Roman"/>
          <w:b/>
          <w:i/>
        </w:rPr>
      </w:pPr>
    </w:p>
    <w:p w:rsidR="001115AD" w:rsidP="001115AD" w:rsidRDefault="001115AD" w14:paraId="6F0EF7FC" w14:textId="4561C5CA">
      <w:pPr>
        <w:tabs>
          <w:tab w:val="left" w:pos="-1440"/>
        </w:tabs>
        <w:rPr>
          <w:rFonts w:ascii="Times New Roman" w:hAnsi="Times New Roman"/>
          <w:b/>
        </w:rPr>
      </w:pPr>
      <w:r>
        <w:rPr>
          <w:rFonts w:ascii="Times New Roman" w:hAnsi="Times New Roman"/>
          <w:b/>
        </w:rPr>
        <w:t xml:space="preserve">3. </w:t>
      </w:r>
      <w:r w:rsidRPr="001115AD">
        <w:rPr>
          <w:rFonts w:ascii="Times New Roman" w:hAnsi="Times New Roman"/>
          <w:b/>
        </w:rPr>
        <w:t>Describe whether, and to what extent, the collection of information involves the use of automated, electronic, mechanical, or other technological collections techniques or other forms of information technology, e.g. permitting electronic submission of responses, and the basis for the decision for adopting this means of collection. Also describe any consideration of using information technology to reduce burden.</w:t>
      </w:r>
    </w:p>
    <w:p w:rsidR="001115AD" w:rsidP="001115AD" w:rsidRDefault="001115AD" w14:paraId="2C4C6640" w14:textId="77777777">
      <w:pPr>
        <w:tabs>
          <w:tab w:val="left" w:pos="-1440"/>
        </w:tabs>
        <w:rPr>
          <w:rFonts w:ascii="Times New Roman" w:hAnsi="Times New Roman"/>
          <w:b/>
        </w:rPr>
      </w:pPr>
    </w:p>
    <w:p w:rsidR="00205182" w:rsidP="00256536" w:rsidRDefault="00D62A37" w14:paraId="33C9AB4F" w14:textId="7A5159C3">
      <w:pPr>
        <w:tabs>
          <w:tab w:val="left" w:pos="-1440"/>
        </w:tabs>
        <w:rPr>
          <w:rFonts w:ascii="Times New Roman" w:hAnsi="Times New Roman"/>
        </w:rPr>
      </w:pPr>
      <w:r>
        <w:rPr>
          <w:rFonts w:ascii="Times New Roman" w:hAnsi="Times New Roman"/>
        </w:rPr>
        <w:t xml:space="preserve">The </w:t>
      </w:r>
      <w:r w:rsidR="00370402">
        <w:rPr>
          <w:rFonts w:ascii="Times New Roman" w:hAnsi="Times New Roman"/>
        </w:rPr>
        <w:t>CW</w:t>
      </w:r>
      <w:r>
        <w:rPr>
          <w:rFonts w:ascii="Times New Roman" w:hAnsi="Times New Roman"/>
        </w:rPr>
        <w:t>NIMS and CBR databases are hosted at EPA’s National Computer Center and can be accessed onli</w:t>
      </w:r>
      <w:r w:rsidR="00355294">
        <w:rPr>
          <w:rFonts w:ascii="Times New Roman" w:hAnsi="Times New Roman"/>
        </w:rPr>
        <w:t>ne. Once a CWSRF successful</w:t>
      </w:r>
      <w:r w:rsidR="00205182">
        <w:rPr>
          <w:rFonts w:ascii="Times New Roman" w:hAnsi="Times New Roman"/>
        </w:rPr>
        <w:t>ly</w:t>
      </w:r>
      <w:r w:rsidR="00355294">
        <w:rPr>
          <w:rFonts w:ascii="Times New Roman" w:hAnsi="Times New Roman"/>
        </w:rPr>
        <w:t xml:space="preserve"> creates</w:t>
      </w:r>
      <w:r w:rsidR="00205182">
        <w:rPr>
          <w:rFonts w:ascii="Times New Roman" w:hAnsi="Times New Roman"/>
        </w:rPr>
        <w:t xml:space="preserve"> an</w:t>
      </w:r>
      <w:r>
        <w:rPr>
          <w:rFonts w:ascii="Times New Roman" w:hAnsi="Times New Roman"/>
        </w:rPr>
        <w:t xml:space="preserve"> ac</w:t>
      </w:r>
      <w:r w:rsidR="00205182">
        <w:rPr>
          <w:rFonts w:ascii="Times New Roman" w:hAnsi="Times New Roman"/>
        </w:rPr>
        <w:t xml:space="preserve">count, it has full access to </w:t>
      </w:r>
      <w:r w:rsidR="00DC567F">
        <w:rPr>
          <w:rFonts w:ascii="Times New Roman" w:hAnsi="Times New Roman"/>
        </w:rPr>
        <w:t>submit and review</w:t>
      </w:r>
      <w:r w:rsidR="00256536">
        <w:rPr>
          <w:rFonts w:ascii="Times New Roman" w:hAnsi="Times New Roman"/>
        </w:rPr>
        <w:t xml:space="preserve"> data via the online interface. </w:t>
      </w:r>
    </w:p>
    <w:p w:rsidR="00205182" w:rsidP="00256536" w:rsidRDefault="00205182" w14:paraId="3E2EBA0C" w14:textId="77777777">
      <w:pPr>
        <w:tabs>
          <w:tab w:val="left" w:pos="-1440"/>
        </w:tabs>
        <w:rPr>
          <w:rFonts w:ascii="Times New Roman" w:hAnsi="Times New Roman"/>
        </w:rPr>
      </w:pPr>
    </w:p>
    <w:p w:rsidRPr="00004733" w:rsidR="00C15502" w:rsidP="00256536" w:rsidRDefault="00DC567F" w14:paraId="05526662" w14:textId="34128DF1">
      <w:pPr>
        <w:tabs>
          <w:tab w:val="left" w:pos="-1440"/>
        </w:tabs>
        <w:rPr>
          <w:rFonts w:ascii="Times New Roman" w:hAnsi="Times New Roman"/>
        </w:rPr>
      </w:pPr>
      <w:r>
        <w:rPr>
          <w:rFonts w:ascii="Times New Roman" w:hAnsi="Times New Roman"/>
        </w:rPr>
        <w:t>The CWSRF capitalization grant application along with accompanying material (e.g.,</w:t>
      </w:r>
      <w:r w:rsidR="00256536">
        <w:rPr>
          <w:rFonts w:ascii="Times New Roman" w:hAnsi="Times New Roman"/>
        </w:rPr>
        <w:t xml:space="preserve"> intended use plan, attorney general</w:t>
      </w:r>
      <w:r w:rsidR="00355294">
        <w:rPr>
          <w:rFonts w:ascii="Times New Roman" w:hAnsi="Times New Roman"/>
        </w:rPr>
        <w:t xml:space="preserve"> c</w:t>
      </w:r>
      <w:r w:rsidR="00205182">
        <w:rPr>
          <w:rFonts w:ascii="Times New Roman" w:hAnsi="Times New Roman"/>
        </w:rPr>
        <w:t>ertification) is submitted</w:t>
      </w:r>
      <w:r w:rsidR="009403DB">
        <w:rPr>
          <w:rFonts w:ascii="Times New Roman" w:hAnsi="Times New Roman"/>
        </w:rPr>
        <w:t xml:space="preserve"> online through </w:t>
      </w:r>
      <w:r w:rsidR="00C15502">
        <w:rPr>
          <w:rFonts w:ascii="Times New Roman" w:hAnsi="Times New Roman"/>
        </w:rPr>
        <w:t>www.</w:t>
      </w:r>
      <w:r w:rsidR="009403DB">
        <w:rPr>
          <w:rFonts w:ascii="Times New Roman" w:hAnsi="Times New Roman"/>
        </w:rPr>
        <w:t>grants.gov</w:t>
      </w:r>
      <w:r w:rsidR="00C15502">
        <w:rPr>
          <w:rFonts w:ascii="Times New Roman" w:hAnsi="Times New Roman"/>
        </w:rPr>
        <w:t>.</w:t>
      </w:r>
    </w:p>
    <w:p w:rsidRPr="00004733" w:rsidR="00C67898" w:rsidP="00C67898" w:rsidRDefault="00C67898" w14:paraId="7EB8CC9A" w14:textId="77777777">
      <w:pPr>
        <w:tabs>
          <w:tab w:val="left" w:pos="-1440"/>
        </w:tabs>
        <w:ind w:left="780"/>
        <w:rPr>
          <w:rFonts w:ascii="Times New Roman" w:hAnsi="Times New Roman"/>
          <w:b/>
          <w:i/>
        </w:rPr>
      </w:pPr>
    </w:p>
    <w:p w:rsidRPr="00004733" w:rsidR="000871FC" w:rsidP="000871FC" w:rsidRDefault="000871FC" w14:paraId="03AA88C0" w14:textId="77777777">
      <w:pPr>
        <w:tabs>
          <w:tab w:val="left" w:pos="-1440"/>
        </w:tabs>
        <w:rPr>
          <w:rFonts w:ascii="Times New Roman" w:hAnsi="Times New Roman"/>
          <w:b/>
        </w:rPr>
      </w:pPr>
      <w:r>
        <w:rPr>
          <w:rFonts w:ascii="Times New Roman" w:hAnsi="Times New Roman"/>
          <w:i/>
        </w:rPr>
        <w:t xml:space="preserve"> </w:t>
      </w:r>
      <w:r>
        <w:rPr>
          <w:rFonts w:ascii="Times New Roman" w:hAnsi="Times New Roman"/>
          <w:b/>
        </w:rPr>
        <w:t xml:space="preserve">4. Describe efforts to identify duplication. Show specifically why any similar information already available cannot be used or modified for use for the purpose(s) described in item 2 above. </w:t>
      </w:r>
    </w:p>
    <w:p w:rsidR="000871FC" w:rsidP="000871FC" w:rsidRDefault="000871FC" w14:paraId="404CE01A" w14:textId="77777777">
      <w:pPr>
        <w:rPr>
          <w:rFonts w:ascii="Times New Roman" w:hAnsi="Times New Roman"/>
          <w:b/>
        </w:rPr>
      </w:pPr>
    </w:p>
    <w:p w:rsidR="000871FC" w:rsidP="000871FC" w:rsidRDefault="000871FC" w14:paraId="603E21AE" w14:textId="1DED8953">
      <w:pPr>
        <w:rPr>
          <w:rFonts w:ascii="Times New Roman" w:hAnsi="Times New Roman"/>
        </w:rPr>
      </w:pPr>
      <w:r>
        <w:rPr>
          <w:rFonts w:ascii="Times New Roman" w:hAnsi="Times New Roman"/>
        </w:rPr>
        <w:t xml:space="preserve">Duplication of effort is not expected. The information collected through the intended use plan, annual report, and independent audit is specific to the requirements of the CWA. They are derived from CWSRF specific sources that are not duplicated elsewhere and are designed to capture different aspects of CWSRF activity. The intended use plan provides EPA with </w:t>
      </w:r>
      <w:r w:rsidR="00BB55C4">
        <w:rPr>
          <w:rFonts w:ascii="Times New Roman" w:hAnsi="Times New Roman"/>
        </w:rPr>
        <w:t xml:space="preserve">a </w:t>
      </w:r>
      <w:r w:rsidR="009E4753">
        <w:rPr>
          <w:rFonts w:ascii="Times New Roman" w:hAnsi="Times New Roman"/>
        </w:rPr>
        <w:t>detailed roadmap of how a</w:t>
      </w:r>
      <w:r>
        <w:rPr>
          <w:rFonts w:ascii="Times New Roman" w:hAnsi="Times New Roman"/>
        </w:rPr>
        <w:t xml:space="preserve"> CWSRF plans </w:t>
      </w:r>
      <w:r w:rsidR="00370402">
        <w:rPr>
          <w:rFonts w:ascii="Times New Roman" w:hAnsi="Times New Roman"/>
        </w:rPr>
        <w:t>to proceed for the upcoming year, while t</w:t>
      </w:r>
      <w:r>
        <w:rPr>
          <w:rFonts w:ascii="Times New Roman" w:hAnsi="Times New Roman"/>
        </w:rPr>
        <w:t>he annual re</w:t>
      </w:r>
      <w:r w:rsidR="00370402">
        <w:rPr>
          <w:rFonts w:ascii="Times New Roman" w:hAnsi="Times New Roman"/>
        </w:rPr>
        <w:t>port covers</w:t>
      </w:r>
      <w:r w:rsidR="009E4753">
        <w:rPr>
          <w:rFonts w:ascii="Times New Roman" w:hAnsi="Times New Roman"/>
        </w:rPr>
        <w:t xml:space="preserve"> a</w:t>
      </w:r>
      <w:r>
        <w:rPr>
          <w:rFonts w:ascii="Times New Roman" w:hAnsi="Times New Roman"/>
        </w:rPr>
        <w:t xml:space="preserve"> CWSRF</w:t>
      </w:r>
      <w:r w:rsidR="009E4753">
        <w:rPr>
          <w:rFonts w:ascii="Times New Roman" w:hAnsi="Times New Roman"/>
        </w:rPr>
        <w:t>’</w:t>
      </w:r>
      <w:r>
        <w:rPr>
          <w:rFonts w:ascii="Times New Roman" w:hAnsi="Times New Roman"/>
        </w:rPr>
        <w:t>s actual activity. The annual audit provides an independent review of the financial status and m</w:t>
      </w:r>
      <w:r w:rsidR="00370402">
        <w:rPr>
          <w:rFonts w:ascii="Times New Roman" w:hAnsi="Times New Roman"/>
        </w:rPr>
        <w:t>anagement of a</w:t>
      </w:r>
      <w:r>
        <w:rPr>
          <w:rFonts w:ascii="Times New Roman" w:hAnsi="Times New Roman"/>
        </w:rPr>
        <w:t xml:space="preserve"> CWSRF co</w:t>
      </w:r>
      <w:r w:rsidR="00370402">
        <w:rPr>
          <w:rFonts w:ascii="Times New Roman" w:hAnsi="Times New Roman"/>
        </w:rPr>
        <w:t>nducted by certified auditors</w:t>
      </w:r>
      <w:r>
        <w:rPr>
          <w:rFonts w:ascii="Times New Roman" w:hAnsi="Times New Roman"/>
        </w:rPr>
        <w:t xml:space="preserve">. </w:t>
      </w:r>
    </w:p>
    <w:p w:rsidR="000871FC" w:rsidP="000871FC" w:rsidRDefault="000871FC" w14:paraId="4A9F010D" w14:textId="77777777">
      <w:pPr>
        <w:rPr>
          <w:rFonts w:ascii="Times New Roman" w:hAnsi="Times New Roman"/>
        </w:rPr>
      </w:pPr>
    </w:p>
    <w:p w:rsidR="000871FC" w:rsidP="000871FC" w:rsidRDefault="000871FC" w14:paraId="50F83EB1" w14:textId="45182366">
      <w:pPr>
        <w:rPr>
          <w:rFonts w:ascii="Times New Roman" w:hAnsi="Times New Roman"/>
        </w:rPr>
      </w:pPr>
      <w:r>
        <w:rPr>
          <w:rFonts w:ascii="Times New Roman" w:hAnsi="Times New Roman"/>
        </w:rPr>
        <w:t xml:space="preserve">The information collected through </w:t>
      </w:r>
      <w:r w:rsidR="00370402">
        <w:rPr>
          <w:rFonts w:ascii="Times New Roman" w:hAnsi="Times New Roman"/>
        </w:rPr>
        <w:t>CW</w:t>
      </w:r>
      <w:r>
        <w:rPr>
          <w:rFonts w:ascii="Times New Roman" w:hAnsi="Times New Roman"/>
        </w:rPr>
        <w:t xml:space="preserve">NIMS and CBR databases is also derived from CWSRF specific sources that are not duplicated elsewhere. Much of the overlap between the information reported in CBR and the annual report is by design. One of the CBR database’s primary functions is to provide the CWSRF a convenient means to meet </w:t>
      </w:r>
      <w:r w:rsidRPr="007D33DE">
        <w:rPr>
          <w:rFonts w:ascii="Times New Roman" w:hAnsi="Times New Roman"/>
          <w:i/>
        </w:rPr>
        <w:t>EPA Order 5700.7, Environmental Results Under Assistance Agreement</w:t>
      </w:r>
      <w:r>
        <w:rPr>
          <w:rFonts w:ascii="Times New Roman" w:hAnsi="Times New Roman"/>
          <w:i/>
        </w:rPr>
        <w:t xml:space="preserve">. </w:t>
      </w:r>
      <w:r>
        <w:rPr>
          <w:rFonts w:ascii="Times New Roman" w:hAnsi="Times New Roman"/>
        </w:rPr>
        <w:t>The CBR database allowed a CWSRF to document its compliance with this order in its latest annual report by taking the project level information reported and producing summary statements that could be appended to the document. T</w:t>
      </w:r>
      <w:r w:rsidR="00370402">
        <w:rPr>
          <w:rFonts w:ascii="Times New Roman" w:hAnsi="Times New Roman"/>
        </w:rPr>
        <w:t>hough the annual report includes</w:t>
      </w:r>
      <w:r>
        <w:rPr>
          <w:rFonts w:ascii="Times New Roman" w:hAnsi="Times New Roman"/>
        </w:rPr>
        <w:t xml:space="preserve"> information related to additional subsidization and </w:t>
      </w:r>
      <w:r w:rsidR="00370402">
        <w:rPr>
          <w:rFonts w:ascii="Times New Roman" w:hAnsi="Times New Roman"/>
        </w:rPr>
        <w:t>the GPR</w:t>
      </w:r>
      <w:r>
        <w:rPr>
          <w:rFonts w:ascii="Times New Roman" w:hAnsi="Times New Roman"/>
        </w:rPr>
        <w:t>, the CWSRFs are asked to enter this information into</w:t>
      </w:r>
      <w:r w:rsidR="00370402">
        <w:rPr>
          <w:rFonts w:ascii="Times New Roman" w:hAnsi="Times New Roman"/>
        </w:rPr>
        <w:t xml:space="preserve"> the</w:t>
      </w:r>
      <w:r>
        <w:rPr>
          <w:rFonts w:ascii="Times New Roman" w:hAnsi="Times New Roman"/>
        </w:rPr>
        <w:t xml:space="preserve"> CBR </w:t>
      </w:r>
      <w:r w:rsidR="00370402">
        <w:rPr>
          <w:rFonts w:ascii="Times New Roman" w:hAnsi="Times New Roman"/>
        </w:rPr>
        <w:t xml:space="preserve">database </w:t>
      </w:r>
      <w:r>
        <w:rPr>
          <w:rFonts w:ascii="Times New Roman" w:hAnsi="Times New Roman"/>
        </w:rPr>
        <w:t>quarterly so that</w:t>
      </w:r>
      <w:r w:rsidR="00240D88">
        <w:rPr>
          <w:rFonts w:ascii="Times New Roman" w:hAnsi="Times New Roman"/>
        </w:rPr>
        <w:t xml:space="preserve"> </w:t>
      </w:r>
      <w:r>
        <w:rPr>
          <w:rFonts w:ascii="Times New Roman" w:hAnsi="Times New Roman"/>
        </w:rPr>
        <w:t>EPA can effectively respond to ongoing congressional inquiries</w:t>
      </w:r>
      <w:r w:rsidR="00370402">
        <w:rPr>
          <w:rFonts w:ascii="Times New Roman" w:hAnsi="Times New Roman"/>
        </w:rPr>
        <w:t xml:space="preserve"> with more recent data</w:t>
      </w:r>
      <w:r>
        <w:rPr>
          <w:rFonts w:ascii="Times New Roman" w:hAnsi="Times New Roman"/>
        </w:rPr>
        <w:t xml:space="preserve">. </w:t>
      </w:r>
    </w:p>
    <w:p w:rsidR="000871FC" w:rsidP="000871FC" w:rsidRDefault="000871FC" w14:paraId="5E89E683" w14:textId="77777777">
      <w:pPr>
        <w:rPr>
          <w:rFonts w:ascii="Times New Roman" w:hAnsi="Times New Roman"/>
        </w:rPr>
      </w:pPr>
    </w:p>
    <w:p w:rsidRPr="00D4666E" w:rsidR="000871FC" w:rsidP="000871FC" w:rsidRDefault="000871FC" w14:paraId="6B5D241A" w14:textId="2236C88F">
      <w:pPr>
        <w:rPr>
          <w:rFonts w:ascii="Times New Roman" w:hAnsi="Times New Roman"/>
        </w:rPr>
      </w:pPr>
      <w:r>
        <w:rPr>
          <w:rFonts w:ascii="Times New Roman" w:hAnsi="Times New Roman"/>
        </w:rPr>
        <w:t xml:space="preserve">When CBR data entry became required for all CWSRF assistance in 2010, there was concern </w:t>
      </w:r>
      <w:r w:rsidR="00D57038">
        <w:rPr>
          <w:rFonts w:ascii="Times New Roman" w:hAnsi="Times New Roman"/>
        </w:rPr>
        <w:t>about</w:t>
      </w:r>
      <w:r>
        <w:rPr>
          <w:rFonts w:ascii="Times New Roman" w:hAnsi="Times New Roman"/>
        </w:rPr>
        <w:t xml:space="preserve"> overlap with the program level information already being captured through the NIMS database</w:t>
      </w:r>
      <w:r w:rsidR="00D57038">
        <w:rPr>
          <w:rFonts w:ascii="Times New Roman" w:hAnsi="Times New Roman"/>
        </w:rPr>
        <w:t>,</w:t>
      </w:r>
      <w:r>
        <w:rPr>
          <w:rFonts w:ascii="Times New Roman" w:hAnsi="Times New Roman"/>
        </w:rPr>
        <w:t xml:space="preserve"> </w:t>
      </w:r>
      <w:r w:rsidR="00D57038">
        <w:rPr>
          <w:rFonts w:ascii="Times New Roman" w:hAnsi="Times New Roman"/>
        </w:rPr>
        <w:t>s</w:t>
      </w:r>
      <w:r>
        <w:rPr>
          <w:rFonts w:ascii="Times New Roman" w:hAnsi="Times New Roman"/>
        </w:rPr>
        <w:t xml:space="preserve">pecifically project information related to the type of assistance provided, needs and population categories, and construction start and initiation of operation data. This overlap has been addressed by developing a feature that allows CWSRFs to automatically populate overlapping </w:t>
      </w:r>
      <w:r w:rsidR="0017159A">
        <w:rPr>
          <w:rFonts w:ascii="Times New Roman" w:hAnsi="Times New Roman"/>
        </w:rPr>
        <w:t>CW</w:t>
      </w:r>
      <w:r>
        <w:rPr>
          <w:rFonts w:ascii="Times New Roman" w:hAnsi="Times New Roman"/>
        </w:rPr>
        <w:t xml:space="preserve">NIMS data elements with aggregated CBR data.  </w:t>
      </w:r>
    </w:p>
    <w:p w:rsidR="000871FC" w:rsidP="000871FC" w:rsidRDefault="000871FC" w14:paraId="6F3EE497" w14:textId="77777777">
      <w:pPr>
        <w:rPr>
          <w:rFonts w:ascii="Times New Roman" w:hAnsi="Times New Roman"/>
        </w:rPr>
      </w:pPr>
    </w:p>
    <w:p w:rsidR="000871FC" w:rsidP="000871FC" w:rsidRDefault="000871FC" w14:paraId="5AD46B77" w14:textId="7F660837">
      <w:pPr>
        <w:rPr>
          <w:rFonts w:ascii="Times New Roman" w:hAnsi="Times New Roman"/>
        </w:rPr>
      </w:pPr>
      <w:r>
        <w:rPr>
          <w:rFonts w:ascii="Times New Roman" w:hAnsi="Times New Roman"/>
        </w:rPr>
        <w:t>The informatio</w:t>
      </w:r>
      <w:r w:rsidR="00BB55C4">
        <w:rPr>
          <w:rFonts w:ascii="Times New Roman" w:hAnsi="Times New Roman"/>
        </w:rPr>
        <w:t>n made available because of the public awareness policy is project specific and no duplication is expected.</w:t>
      </w:r>
    </w:p>
    <w:p w:rsidRPr="00004733" w:rsidR="000871FC" w:rsidP="000871FC" w:rsidRDefault="000871FC" w14:paraId="7F0F7683" w14:textId="77777777">
      <w:pPr>
        <w:rPr>
          <w:rFonts w:ascii="Times New Roman" w:hAnsi="Times New Roman"/>
          <w:b/>
          <w:i/>
        </w:rPr>
      </w:pPr>
    </w:p>
    <w:p w:rsidRPr="00004733" w:rsidR="000871FC" w:rsidP="000871FC" w:rsidRDefault="000871FC" w14:paraId="0F428CD5" w14:textId="77777777">
      <w:pPr>
        <w:tabs>
          <w:tab w:val="left" w:pos="-1440"/>
        </w:tabs>
        <w:rPr>
          <w:rFonts w:ascii="Times New Roman" w:hAnsi="Times New Roman"/>
          <w:b/>
        </w:rPr>
      </w:pPr>
      <w:r>
        <w:rPr>
          <w:rFonts w:ascii="Times New Roman" w:hAnsi="Times New Roman"/>
          <w:b/>
        </w:rPr>
        <w:t>5. If the collection of information impacts small businesses or other small entities, describe the methods used to minimize burden.</w:t>
      </w:r>
    </w:p>
    <w:p w:rsidRPr="00004733" w:rsidR="000871FC" w:rsidP="000871FC" w:rsidRDefault="000871FC" w14:paraId="072189FE" w14:textId="77777777">
      <w:pPr>
        <w:rPr>
          <w:rFonts w:ascii="Times New Roman" w:hAnsi="Times New Roman"/>
          <w:b/>
        </w:rPr>
      </w:pPr>
    </w:p>
    <w:p w:rsidRPr="00333625" w:rsidR="00547F01" w:rsidP="000871FC" w:rsidRDefault="00547F01" w14:paraId="1054D242" w14:textId="3EF41184">
      <w:pPr>
        <w:pStyle w:val="BodyTextIndent3"/>
        <w:ind w:left="0"/>
        <w:rPr>
          <w:rFonts w:ascii="Times New Roman" w:hAnsi="Times New Roman"/>
          <w:i w:val="0"/>
        </w:rPr>
      </w:pPr>
      <w:r w:rsidRPr="00333625">
        <w:rPr>
          <w:rFonts w:ascii="Times New Roman" w:hAnsi="Times New Roman"/>
          <w:i w:val="0"/>
        </w:rPr>
        <w:t>The respondents for most of</w:t>
      </w:r>
      <w:r w:rsidRPr="00333625" w:rsidR="000871FC">
        <w:rPr>
          <w:rFonts w:ascii="Times New Roman" w:hAnsi="Times New Roman"/>
          <w:i w:val="0"/>
        </w:rPr>
        <w:t xml:space="preserve"> the information</w:t>
      </w:r>
      <w:r w:rsidRPr="00333625" w:rsidR="0071670D">
        <w:rPr>
          <w:rFonts w:ascii="Times New Roman" w:hAnsi="Times New Roman"/>
          <w:i w:val="0"/>
        </w:rPr>
        <w:t xml:space="preserve"> collection activities are the s</w:t>
      </w:r>
      <w:r w:rsidRPr="00333625" w:rsidR="000871FC">
        <w:rPr>
          <w:rFonts w:ascii="Times New Roman" w:hAnsi="Times New Roman"/>
          <w:i w:val="0"/>
        </w:rPr>
        <w:t>tate</w:t>
      </w:r>
      <w:r w:rsidRPr="00333625" w:rsidR="0071670D">
        <w:rPr>
          <w:rFonts w:ascii="Times New Roman" w:hAnsi="Times New Roman"/>
          <w:i w:val="0"/>
        </w:rPr>
        <w:t xml:space="preserve"> e</w:t>
      </w:r>
      <w:r w:rsidRPr="00333625" w:rsidR="00E917CB">
        <w:rPr>
          <w:rFonts w:ascii="Times New Roman" w:hAnsi="Times New Roman"/>
          <w:i w:val="0"/>
        </w:rPr>
        <w:t>nvironment</w:t>
      </w:r>
      <w:r w:rsidRPr="00333625" w:rsidR="0071670D">
        <w:rPr>
          <w:rFonts w:ascii="Times New Roman" w:hAnsi="Times New Roman"/>
          <w:i w:val="0"/>
        </w:rPr>
        <w:t>al departments, and/or finance a</w:t>
      </w:r>
      <w:r w:rsidRPr="00333625" w:rsidR="000871FC">
        <w:rPr>
          <w:rFonts w:ascii="Times New Roman" w:hAnsi="Times New Roman"/>
          <w:i w:val="0"/>
        </w:rPr>
        <w:t>gencies responsible for operating the CWSRFs. The only</w:t>
      </w:r>
      <w:r w:rsidRPr="00333625">
        <w:rPr>
          <w:rFonts w:ascii="Times New Roman" w:hAnsi="Times New Roman"/>
          <w:i w:val="0"/>
        </w:rPr>
        <w:t xml:space="preserve"> information collection activities</w:t>
      </w:r>
      <w:r w:rsidRPr="00333625" w:rsidR="000871FC">
        <w:rPr>
          <w:rFonts w:ascii="Times New Roman" w:hAnsi="Times New Roman"/>
          <w:i w:val="0"/>
        </w:rPr>
        <w:t xml:space="preserve"> tha</w:t>
      </w:r>
      <w:r w:rsidRPr="00333625">
        <w:rPr>
          <w:rFonts w:ascii="Times New Roman" w:hAnsi="Times New Roman"/>
          <w:i w:val="0"/>
        </w:rPr>
        <w:t xml:space="preserve">t could impact small entities </w:t>
      </w:r>
      <w:r w:rsidR="001678D9">
        <w:rPr>
          <w:rFonts w:ascii="Times New Roman" w:hAnsi="Times New Roman"/>
          <w:i w:val="0"/>
        </w:rPr>
        <w:t>is the</w:t>
      </w:r>
      <w:r w:rsidRPr="00333625">
        <w:rPr>
          <w:rFonts w:ascii="Times New Roman" w:hAnsi="Times New Roman"/>
          <w:i w:val="0"/>
        </w:rPr>
        <w:t xml:space="preserve"> </w:t>
      </w:r>
      <w:r w:rsidRPr="00333625" w:rsidR="00652ABB">
        <w:rPr>
          <w:rFonts w:ascii="Times New Roman" w:hAnsi="Times New Roman"/>
          <w:i w:val="0"/>
        </w:rPr>
        <w:t>public awareness policy</w:t>
      </w:r>
      <w:r w:rsidRPr="00333625">
        <w:rPr>
          <w:rFonts w:ascii="Times New Roman" w:hAnsi="Times New Roman"/>
          <w:i w:val="0"/>
        </w:rPr>
        <w:t xml:space="preserve">. </w:t>
      </w:r>
    </w:p>
    <w:p w:rsidRPr="00333625" w:rsidR="00547F01" w:rsidP="000871FC" w:rsidRDefault="00547F01" w14:paraId="5F0B6A43" w14:textId="77777777">
      <w:pPr>
        <w:pStyle w:val="BodyTextIndent3"/>
        <w:ind w:left="0"/>
        <w:rPr>
          <w:rFonts w:ascii="Times New Roman" w:hAnsi="Times New Roman"/>
          <w:i w:val="0"/>
        </w:rPr>
      </w:pPr>
    </w:p>
    <w:p w:rsidRPr="0026122C" w:rsidR="000871FC" w:rsidP="000871FC" w:rsidRDefault="00547F01" w14:paraId="2CB79B1C" w14:textId="0404FDAE">
      <w:pPr>
        <w:pStyle w:val="BodyTextIndent3"/>
        <w:ind w:left="0"/>
        <w:rPr>
          <w:rFonts w:ascii="Times New Roman" w:hAnsi="Times New Roman"/>
          <w:i w:val="0"/>
        </w:rPr>
      </w:pPr>
      <w:r w:rsidRPr="00333625">
        <w:rPr>
          <w:rFonts w:ascii="Times New Roman" w:hAnsi="Times New Roman"/>
          <w:i w:val="0"/>
        </w:rPr>
        <w:t>The public awareness policy is not expected to impact small entities</w:t>
      </w:r>
      <w:r w:rsidRPr="00333625" w:rsidR="000871FC">
        <w:rPr>
          <w:rFonts w:ascii="Times New Roman" w:hAnsi="Times New Roman"/>
          <w:i w:val="0"/>
        </w:rPr>
        <w:t xml:space="preserve"> since it only applies to a p</w:t>
      </w:r>
      <w:r w:rsidRPr="00774F16" w:rsidR="000871FC">
        <w:rPr>
          <w:rFonts w:ascii="Times New Roman" w:hAnsi="Times New Roman"/>
          <w:i w:val="0"/>
        </w:rPr>
        <w:t>ortion of the funding provided annually and a CWSRF has full flexibility in determining which borrowers must comply.</w:t>
      </w:r>
      <w:r w:rsidRPr="00774F16" w:rsidR="009E4753">
        <w:rPr>
          <w:rFonts w:ascii="Times New Roman" w:hAnsi="Times New Roman"/>
          <w:i w:val="0"/>
        </w:rPr>
        <w:t xml:space="preserve"> Further, the five compliance options allow borrowers to select the least burdensome method for complying with the public awareness policy. As a result, many borrowers are expected to choose the online signage option. It is estimated that only borrowers that are already required by state law to provide promotional material such as sign</w:t>
      </w:r>
      <w:r w:rsidRPr="00774F16" w:rsidR="006549F2">
        <w:rPr>
          <w:rFonts w:ascii="Times New Roman" w:hAnsi="Times New Roman"/>
          <w:i w:val="0"/>
        </w:rPr>
        <w:t>s, posters, and</w:t>
      </w:r>
      <w:r w:rsidRPr="00774F16" w:rsidR="00B26254">
        <w:rPr>
          <w:rFonts w:ascii="Times New Roman" w:hAnsi="Times New Roman"/>
          <w:i w:val="0"/>
        </w:rPr>
        <w:t xml:space="preserve"> newspapers advertisements</w:t>
      </w:r>
      <w:r w:rsidRPr="00774F16" w:rsidR="009E4753">
        <w:rPr>
          <w:rFonts w:ascii="Times New Roman" w:hAnsi="Times New Roman"/>
          <w:i w:val="0"/>
        </w:rPr>
        <w:t xml:space="preserve"> will choose the other options provided under the policy.</w:t>
      </w:r>
    </w:p>
    <w:p w:rsidRPr="00004733" w:rsidR="00547F01" w:rsidP="000871FC" w:rsidRDefault="00547F01" w14:paraId="0CAA0171" w14:textId="53AAEB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004733" w:rsidR="000871FC" w:rsidP="000871FC" w:rsidRDefault="000871FC" w14:paraId="428802D6" w14:textId="77777777">
      <w:pPr>
        <w:tabs>
          <w:tab w:val="left" w:pos="-1440"/>
        </w:tabs>
        <w:rPr>
          <w:rFonts w:ascii="Times New Roman" w:hAnsi="Times New Roman"/>
          <w:b/>
        </w:rPr>
      </w:pPr>
      <w:r>
        <w:rPr>
          <w:rFonts w:ascii="Times New Roman" w:hAnsi="Times New Roman"/>
          <w:b/>
        </w:rPr>
        <w:t xml:space="preserve">6. Describe the consequences to federal program or policy activities if the collection is not conducted or is conducted less frequently, as well, as any technical or legal obstacles to reducing burden. </w:t>
      </w:r>
    </w:p>
    <w:p w:rsidR="000871FC" w:rsidP="000871FC" w:rsidRDefault="000871FC" w14:paraId="76E1A906" w14:textId="77777777">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i w:val="0"/>
        </w:rPr>
      </w:pPr>
    </w:p>
    <w:p w:rsidRPr="007915A2" w:rsidR="000871FC" w:rsidP="000871FC" w:rsidRDefault="000871FC" w14:paraId="4A1E50DA" w14:textId="4A12DD0A">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val="0"/>
        </w:rPr>
      </w:pPr>
      <w:r>
        <w:rPr>
          <w:rFonts w:ascii="Times New Roman" w:hAnsi="Times New Roman"/>
          <w:i w:val="0"/>
        </w:rPr>
        <w:t>The capitalization grant agreement/intended use plan and annual report are required by the CW</w:t>
      </w:r>
      <w:r w:rsidR="003578E4">
        <w:rPr>
          <w:rFonts w:ascii="Times New Roman" w:hAnsi="Times New Roman"/>
          <w:i w:val="0"/>
        </w:rPr>
        <w:t xml:space="preserve">A and represent critical components by which EPA awards capitalization grants to the CWSRFs. </w:t>
      </w:r>
      <w:r w:rsidRPr="003578E4" w:rsidR="003578E4">
        <w:rPr>
          <w:rFonts w:ascii="Times New Roman" w:hAnsi="Times New Roman"/>
          <w:i w:val="0"/>
        </w:rPr>
        <w:t>The capitalization grant agreement</w:t>
      </w:r>
      <w:r w:rsidR="005C7111">
        <w:rPr>
          <w:rFonts w:ascii="Times New Roman" w:hAnsi="Times New Roman"/>
          <w:i w:val="0"/>
        </w:rPr>
        <w:t>/intended use plan is the principal means</w:t>
      </w:r>
      <w:r w:rsidRPr="003578E4" w:rsidR="003578E4">
        <w:rPr>
          <w:rFonts w:ascii="Times New Roman" w:hAnsi="Times New Roman"/>
          <w:i w:val="0"/>
        </w:rPr>
        <w:t xml:space="preserve"> by which </w:t>
      </w:r>
      <w:r w:rsidR="00BB7013">
        <w:rPr>
          <w:rFonts w:ascii="Times New Roman" w:hAnsi="Times New Roman"/>
          <w:i w:val="0"/>
        </w:rPr>
        <w:t>a</w:t>
      </w:r>
      <w:r w:rsidR="005C7111">
        <w:rPr>
          <w:rFonts w:ascii="Times New Roman" w:hAnsi="Times New Roman"/>
          <w:i w:val="0"/>
        </w:rPr>
        <w:t xml:space="preserve"> </w:t>
      </w:r>
      <w:r w:rsidRPr="003578E4" w:rsidR="003578E4">
        <w:rPr>
          <w:rFonts w:ascii="Times New Roman" w:hAnsi="Times New Roman"/>
          <w:i w:val="0"/>
        </w:rPr>
        <w:t xml:space="preserve">CWSRF </w:t>
      </w:r>
      <w:r w:rsidR="005C7111">
        <w:rPr>
          <w:rFonts w:ascii="Times New Roman" w:hAnsi="Times New Roman"/>
          <w:i w:val="0"/>
        </w:rPr>
        <w:t xml:space="preserve">commits to managing its </w:t>
      </w:r>
      <w:r w:rsidRPr="003578E4" w:rsidR="003578E4">
        <w:rPr>
          <w:rFonts w:ascii="Times New Roman" w:hAnsi="Times New Roman"/>
          <w:i w:val="0"/>
        </w:rPr>
        <w:t>program in conformance to the requirements</w:t>
      </w:r>
      <w:r w:rsidR="005C7111">
        <w:rPr>
          <w:rFonts w:ascii="Times New Roman" w:hAnsi="Times New Roman"/>
          <w:i w:val="0"/>
        </w:rPr>
        <w:t xml:space="preserve"> of the CWA</w:t>
      </w:r>
      <w:r w:rsidRPr="003578E4" w:rsidR="003578E4">
        <w:rPr>
          <w:rFonts w:ascii="Times New Roman" w:hAnsi="Times New Roman"/>
          <w:i w:val="0"/>
        </w:rPr>
        <w:t>.</w:t>
      </w:r>
      <w:r w:rsidR="00AE62FA">
        <w:rPr>
          <w:rFonts w:ascii="Times New Roman" w:hAnsi="Times New Roman"/>
          <w:i w:val="0"/>
        </w:rPr>
        <w:t xml:space="preserve"> </w:t>
      </w:r>
      <w:r>
        <w:rPr>
          <w:rFonts w:ascii="Times New Roman" w:hAnsi="Times New Roman"/>
          <w:i w:val="0"/>
        </w:rPr>
        <w:t xml:space="preserve">The annual </w:t>
      </w:r>
      <w:r w:rsidR="00AE62FA">
        <w:rPr>
          <w:rFonts w:ascii="Times New Roman" w:hAnsi="Times New Roman"/>
          <w:i w:val="0"/>
        </w:rPr>
        <w:t xml:space="preserve">report and audit </w:t>
      </w:r>
      <w:r w:rsidR="00A5108E">
        <w:rPr>
          <w:rFonts w:ascii="Times New Roman" w:hAnsi="Times New Roman"/>
          <w:i w:val="0"/>
        </w:rPr>
        <w:t xml:space="preserve">are also statutory requirements and </w:t>
      </w:r>
      <w:r w:rsidR="005C7111">
        <w:rPr>
          <w:rFonts w:ascii="Times New Roman" w:hAnsi="Times New Roman"/>
          <w:i w:val="0"/>
        </w:rPr>
        <w:t>provide</w:t>
      </w:r>
      <w:r w:rsidR="00BB7013">
        <w:rPr>
          <w:rFonts w:ascii="Times New Roman" w:hAnsi="Times New Roman"/>
          <w:i w:val="0"/>
        </w:rPr>
        <w:t xml:space="preserve"> official documentation that a CWSRF</w:t>
      </w:r>
      <w:r w:rsidR="00B264C4">
        <w:rPr>
          <w:rFonts w:ascii="Times New Roman" w:hAnsi="Times New Roman"/>
          <w:i w:val="0"/>
        </w:rPr>
        <w:t xml:space="preserve"> has</w:t>
      </w:r>
      <w:r w:rsidR="005C7111">
        <w:rPr>
          <w:rFonts w:ascii="Times New Roman" w:hAnsi="Times New Roman"/>
          <w:i w:val="0"/>
        </w:rPr>
        <w:t xml:space="preserve"> met this commitment.</w:t>
      </w:r>
    </w:p>
    <w:p w:rsidRPr="007915A2" w:rsidR="000871FC" w:rsidP="000871FC" w:rsidRDefault="000871FC" w14:paraId="081096D6" w14:textId="77777777">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val="0"/>
        </w:rPr>
      </w:pPr>
    </w:p>
    <w:p w:rsidRPr="007A5E70" w:rsidR="000871FC" w:rsidP="000871FC" w:rsidRDefault="00685646" w14:paraId="7F7748D6" w14:textId="6840D414">
      <w:r>
        <w:rPr>
          <w:rFonts w:ascii="Times New Roman" w:hAnsi="Times New Roman"/>
        </w:rPr>
        <w:t>The</w:t>
      </w:r>
      <w:r w:rsidR="006103D3">
        <w:rPr>
          <w:rFonts w:ascii="Times New Roman" w:hAnsi="Times New Roman"/>
        </w:rPr>
        <w:t xml:space="preserve"> information</w:t>
      </w:r>
      <w:r>
        <w:rPr>
          <w:rFonts w:ascii="Times New Roman" w:hAnsi="Times New Roman"/>
        </w:rPr>
        <w:t xml:space="preserve"> collected through the CWNIMS and CBR databases</w:t>
      </w:r>
      <w:r w:rsidR="006103D3">
        <w:rPr>
          <w:rFonts w:ascii="Times New Roman" w:hAnsi="Times New Roman"/>
        </w:rPr>
        <w:t xml:space="preserve"> is relied upon by the CWSRFs </w:t>
      </w:r>
      <w:r w:rsidRPr="007A5E70" w:rsidR="006103D3">
        <w:rPr>
          <w:rFonts w:ascii="Times New Roman" w:hAnsi="Times New Roman"/>
        </w:rPr>
        <w:t xml:space="preserve">for key planning decisions and </w:t>
      </w:r>
      <w:r w:rsidR="006103D3">
        <w:rPr>
          <w:rFonts w:ascii="Times New Roman" w:hAnsi="Times New Roman"/>
        </w:rPr>
        <w:t xml:space="preserve">is used </w:t>
      </w:r>
      <w:r w:rsidRPr="007A5E70" w:rsidR="006103D3">
        <w:rPr>
          <w:rFonts w:ascii="Times New Roman" w:hAnsi="Times New Roman"/>
        </w:rPr>
        <w:t>by</w:t>
      </w:r>
      <w:r w:rsidR="00DD4481">
        <w:rPr>
          <w:rFonts w:ascii="Times New Roman" w:hAnsi="Times New Roman"/>
        </w:rPr>
        <w:t xml:space="preserve"> </w:t>
      </w:r>
      <w:r w:rsidRPr="007A5E70" w:rsidR="006103D3">
        <w:rPr>
          <w:rFonts w:ascii="Times New Roman" w:hAnsi="Times New Roman"/>
        </w:rPr>
        <w:t xml:space="preserve">EPA </w:t>
      </w:r>
      <w:r w:rsidR="006103D3">
        <w:rPr>
          <w:rFonts w:ascii="Times New Roman" w:hAnsi="Times New Roman"/>
        </w:rPr>
        <w:t>for essential program oversight</w:t>
      </w:r>
      <w:r w:rsidRPr="007A5E70" w:rsidR="006103D3">
        <w:rPr>
          <w:rFonts w:ascii="Times New Roman" w:hAnsi="Times New Roman"/>
        </w:rPr>
        <w:t xml:space="preserve"> and corrective measures</w:t>
      </w:r>
      <w:r w:rsidR="006103D3">
        <w:rPr>
          <w:rFonts w:ascii="Times New Roman" w:hAnsi="Times New Roman"/>
        </w:rPr>
        <w:t>. This</w:t>
      </w:r>
      <w:r w:rsidR="00D93EAA">
        <w:rPr>
          <w:rFonts w:ascii="Times New Roman" w:hAnsi="Times New Roman"/>
        </w:rPr>
        <w:t xml:space="preserve"> information is also critical for</w:t>
      </w:r>
      <w:r w:rsidRPr="007A5E70" w:rsidR="000871FC">
        <w:rPr>
          <w:rFonts w:ascii="Times New Roman" w:hAnsi="Times New Roman"/>
        </w:rPr>
        <w:t xml:space="preserve"> </w:t>
      </w:r>
      <w:r w:rsidR="006103D3">
        <w:rPr>
          <w:rFonts w:ascii="Times New Roman" w:hAnsi="Times New Roman"/>
        </w:rPr>
        <w:t xml:space="preserve">effectively </w:t>
      </w:r>
      <w:r w:rsidRPr="007A5E70" w:rsidR="000871FC">
        <w:rPr>
          <w:rFonts w:ascii="Times New Roman" w:hAnsi="Times New Roman"/>
        </w:rPr>
        <w:t>respond</w:t>
      </w:r>
      <w:r w:rsidR="006103D3">
        <w:rPr>
          <w:rFonts w:ascii="Times New Roman" w:hAnsi="Times New Roman"/>
        </w:rPr>
        <w:t>ing</w:t>
      </w:r>
      <w:r w:rsidRPr="007A5E70" w:rsidR="000871FC">
        <w:rPr>
          <w:rFonts w:ascii="Times New Roman" w:hAnsi="Times New Roman"/>
        </w:rPr>
        <w:t xml:space="preserve"> to </w:t>
      </w:r>
      <w:r>
        <w:rPr>
          <w:rFonts w:ascii="Times New Roman" w:hAnsi="Times New Roman"/>
        </w:rPr>
        <w:t xml:space="preserve">ongoing </w:t>
      </w:r>
      <w:r w:rsidRPr="007A5E70" w:rsidR="000871FC">
        <w:rPr>
          <w:rFonts w:ascii="Times New Roman" w:hAnsi="Times New Roman"/>
        </w:rPr>
        <w:t>OMB and congressional requests</w:t>
      </w:r>
      <w:r w:rsidR="00A5108E">
        <w:rPr>
          <w:rFonts w:ascii="Times New Roman" w:hAnsi="Times New Roman"/>
        </w:rPr>
        <w:t xml:space="preserve"> related to the President’s budget and annual appropriations</w:t>
      </w:r>
      <w:r w:rsidR="006103D3">
        <w:rPr>
          <w:rFonts w:ascii="Times New Roman" w:hAnsi="Times New Roman"/>
        </w:rPr>
        <w:t xml:space="preserve">. </w:t>
      </w:r>
      <w:r w:rsidR="00560875">
        <w:rPr>
          <w:rFonts w:ascii="Times New Roman" w:hAnsi="Times New Roman"/>
        </w:rPr>
        <w:t>T</w:t>
      </w:r>
      <w:r w:rsidR="006103D3">
        <w:rPr>
          <w:rFonts w:ascii="Times New Roman" w:hAnsi="Times New Roman"/>
        </w:rPr>
        <w:t>he</w:t>
      </w:r>
      <w:r w:rsidR="006B7A81">
        <w:rPr>
          <w:rFonts w:ascii="Times New Roman" w:hAnsi="Times New Roman"/>
        </w:rPr>
        <w:t xml:space="preserve">se requests </w:t>
      </w:r>
      <w:r w:rsidR="00560875">
        <w:rPr>
          <w:rFonts w:ascii="Times New Roman" w:hAnsi="Times New Roman"/>
        </w:rPr>
        <w:t xml:space="preserve">usually </w:t>
      </w:r>
      <w:r>
        <w:rPr>
          <w:rFonts w:ascii="Times New Roman" w:hAnsi="Times New Roman"/>
        </w:rPr>
        <w:t>revolve around wanting a status update regarding the performance of the CWSRFs. However,</w:t>
      </w:r>
      <w:r w:rsidR="00DD4481">
        <w:rPr>
          <w:rFonts w:ascii="Times New Roman" w:hAnsi="Times New Roman"/>
        </w:rPr>
        <w:t xml:space="preserve"> </w:t>
      </w:r>
      <w:r>
        <w:rPr>
          <w:rFonts w:ascii="Times New Roman" w:hAnsi="Times New Roman"/>
        </w:rPr>
        <w:t>EPA is sometimes requested to go beyond this and produce analyses related to national needs and budgetary impacts.</w:t>
      </w:r>
      <w:r w:rsidR="00A5108E">
        <w:rPr>
          <w:rFonts w:ascii="Times New Roman" w:hAnsi="Times New Roman"/>
        </w:rPr>
        <w:t xml:space="preserve"> Less frequent </w:t>
      </w:r>
      <w:r w:rsidR="00CB663E">
        <w:rPr>
          <w:rFonts w:ascii="Times New Roman" w:hAnsi="Times New Roman"/>
        </w:rPr>
        <w:t xml:space="preserve">data </w:t>
      </w:r>
      <w:r w:rsidR="00A5108E">
        <w:rPr>
          <w:rFonts w:ascii="Times New Roman" w:hAnsi="Times New Roman"/>
        </w:rPr>
        <w:t xml:space="preserve">collections would severely </w:t>
      </w:r>
      <w:r w:rsidR="006A61DF">
        <w:rPr>
          <w:rFonts w:ascii="Times New Roman" w:hAnsi="Times New Roman"/>
        </w:rPr>
        <w:t>limit</w:t>
      </w:r>
      <w:r w:rsidR="00A5108E">
        <w:rPr>
          <w:rFonts w:ascii="Times New Roman" w:hAnsi="Times New Roman"/>
        </w:rPr>
        <w:t xml:space="preserve"> EPA’s ability to respond to these high priority requests in a timely manner.    </w:t>
      </w:r>
      <w:r>
        <w:rPr>
          <w:rFonts w:ascii="Times New Roman" w:hAnsi="Times New Roman"/>
        </w:rPr>
        <w:t xml:space="preserve"> </w:t>
      </w:r>
      <w:r w:rsidRPr="007A5E70" w:rsidR="000871FC">
        <w:rPr>
          <w:rFonts w:ascii="Times New Roman" w:hAnsi="Times New Roman"/>
        </w:rPr>
        <w:t xml:space="preserve">  </w:t>
      </w:r>
    </w:p>
    <w:p w:rsidRPr="00004733" w:rsidR="00C67898" w:rsidP="00C67898" w:rsidRDefault="00C67898" w14:paraId="2BD5FCD7" w14:textId="77777777">
      <w:pPr>
        <w:rPr>
          <w:rFonts w:ascii="Times New Roman" w:hAnsi="Times New Roman"/>
          <w:b/>
        </w:rPr>
      </w:pPr>
    </w:p>
    <w:p w:rsidR="00BC0B17" w:rsidP="00BC0B17" w:rsidRDefault="00BC0B17" w14:paraId="5CEAE021" w14:textId="62846EFB">
      <w:pPr>
        <w:tabs>
          <w:tab w:val="left" w:pos="-1440"/>
        </w:tabs>
        <w:rPr>
          <w:rFonts w:ascii="Times New Roman" w:hAnsi="Times New Roman"/>
          <w:b/>
        </w:rPr>
      </w:pPr>
      <w:r>
        <w:rPr>
          <w:rFonts w:ascii="Times New Roman" w:hAnsi="Times New Roman"/>
          <w:b/>
        </w:rPr>
        <w:t>7. Explain any special circums</w:t>
      </w:r>
      <w:r w:rsidR="006529BE">
        <w:rPr>
          <w:rFonts w:ascii="Times New Roman" w:hAnsi="Times New Roman"/>
          <w:b/>
        </w:rPr>
        <w:t xml:space="preserve">tances that would cause </w:t>
      </w:r>
      <w:r>
        <w:rPr>
          <w:rFonts w:ascii="Times New Roman" w:hAnsi="Times New Roman"/>
          <w:b/>
        </w:rPr>
        <w:t>an information collection to be conducted in a manner:</w:t>
      </w:r>
    </w:p>
    <w:p w:rsidR="00BC0B17" w:rsidP="00BC0B17" w:rsidRDefault="00BC0B17" w14:paraId="4252265E" w14:textId="77777777">
      <w:pPr>
        <w:tabs>
          <w:tab w:val="left" w:pos="-1440"/>
        </w:tabs>
        <w:rPr>
          <w:rFonts w:ascii="Times New Roman" w:hAnsi="Times New Roman"/>
          <w:b/>
        </w:rPr>
      </w:pPr>
    </w:p>
    <w:p w:rsidR="00BC0B17" w:rsidP="00BC0B17" w:rsidRDefault="00BC0B17" w14:paraId="1175EDE5" w14:textId="76705DD6">
      <w:pPr>
        <w:pStyle w:val="ListParagraph"/>
        <w:numPr>
          <w:ilvl w:val="0"/>
          <w:numId w:val="26"/>
        </w:numPr>
        <w:tabs>
          <w:tab w:val="left" w:pos="-1440"/>
        </w:tabs>
        <w:rPr>
          <w:rFonts w:ascii="Times New Roman" w:hAnsi="Times New Roman"/>
          <w:b/>
        </w:rPr>
      </w:pPr>
      <w:r>
        <w:rPr>
          <w:rFonts w:ascii="Times New Roman" w:hAnsi="Times New Roman"/>
          <w:b/>
        </w:rPr>
        <w:t>r</w:t>
      </w:r>
      <w:r w:rsidRPr="00BC0B17">
        <w:rPr>
          <w:rFonts w:ascii="Times New Roman" w:hAnsi="Times New Roman"/>
          <w:b/>
        </w:rPr>
        <w:t>equiring respondents to report information to the agency more often than quarterly</w:t>
      </w:r>
      <w:r>
        <w:rPr>
          <w:rFonts w:ascii="Times New Roman" w:hAnsi="Times New Roman"/>
          <w:b/>
        </w:rPr>
        <w:t>;</w:t>
      </w:r>
    </w:p>
    <w:p w:rsidR="00BC0B17" w:rsidP="00BC0B17" w:rsidRDefault="00BC0B17" w14:paraId="03ECBCA4" w14:textId="7DAE0DA0">
      <w:pPr>
        <w:pStyle w:val="ListParagraph"/>
        <w:numPr>
          <w:ilvl w:val="0"/>
          <w:numId w:val="26"/>
        </w:numPr>
        <w:tabs>
          <w:tab w:val="left" w:pos="-1440"/>
        </w:tabs>
        <w:rPr>
          <w:rFonts w:ascii="Times New Roman" w:hAnsi="Times New Roman"/>
          <w:b/>
        </w:rPr>
      </w:pPr>
      <w:r>
        <w:rPr>
          <w:rFonts w:ascii="Times New Roman" w:hAnsi="Times New Roman"/>
          <w:b/>
        </w:rPr>
        <w:t>r</w:t>
      </w:r>
      <w:r w:rsidRPr="00BC0B17">
        <w:rPr>
          <w:rFonts w:ascii="Times New Roman" w:hAnsi="Times New Roman"/>
          <w:b/>
        </w:rPr>
        <w:t>equiring respondents to prepare a written response to a collection of information in fewer than 30 days after receipt of it;</w:t>
      </w:r>
    </w:p>
    <w:p w:rsidRPr="00BC0B17" w:rsidR="00BC0B17" w:rsidP="00BC0B17" w:rsidRDefault="00BC0B17" w14:paraId="1370C00B" w14:textId="53E59AD9">
      <w:pPr>
        <w:pStyle w:val="ListParagraph"/>
        <w:numPr>
          <w:ilvl w:val="0"/>
          <w:numId w:val="26"/>
        </w:numPr>
        <w:rPr>
          <w:rFonts w:ascii="Times New Roman" w:hAnsi="Times New Roman"/>
          <w:b/>
        </w:rPr>
      </w:pPr>
      <w:r>
        <w:rPr>
          <w:rFonts w:ascii="Times New Roman" w:hAnsi="Times New Roman"/>
          <w:b/>
        </w:rPr>
        <w:t>r</w:t>
      </w:r>
      <w:r w:rsidRPr="00BC0B17">
        <w:rPr>
          <w:rFonts w:ascii="Times New Roman" w:hAnsi="Times New Roman"/>
          <w:b/>
        </w:rPr>
        <w:t xml:space="preserve">equiring respondents to submit more than an original and two copies of any </w:t>
      </w:r>
      <w:r w:rsidRPr="00BC0B17">
        <w:rPr>
          <w:rFonts w:ascii="Times New Roman" w:hAnsi="Times New Roman"/>
          <w:b/>
        </w:rPr>
        <w:lastRenderedPageBreak/>
        <w:t xml:space="preserve">document; </w:t>
      </w:r>
    </w:p>
    <w:p w:rsidR="00BC0B17" w:rsidP="00BC0B17" w:rsidRDefault="00BC0B17" w14:paraId="6A589D14" w14:textId="7E0C4DF9">
      <w:pPr>
        <w:pStyle w:val="ListParagraph"/>
        <w:numPr>
          <w:ilvl w:val="0"/>
          <w:numId w:val="26"/>
        </w:numPr>
        <w:tabs>
          <w:tab w:val="left" w:pos="-1440"/>
        </w:tabs>
        <w:rPr>
          <w:rFonts w:ascii="Times New Roman" w:hAnsi="Times New Roman"/>
          <w:b/>
        </w:rPr>
      </w:pPr>
      <w:r>
        <w:rPr>
          <w:rFonts w:ascii="Times New Roman" w:hAnsi="Times New Roman"/>
          <w:b/>
        </w:rPr>
        <w:t>r</w:t>
      </w:r>
      <w:r w:rsidRPr="00BC0B17">
        <w:rPr>
          <w:rFonts w:ascii="Times New Roman" w:hAnsi="Times New Roman"/>
          <w:b/>
        </w:rPr>
        <w:t>equiring respondents to retain records, other than health, medical, government contract, grant-in-aid, or tax records for more than 3 years;</w:t>
      </w:r>
    </w:p>
    <w:p w:rsidR="00BC0B17" w:rsidP="00BC0B17" w:rsidRDefault="00AC4E25" w14:paraId="2B11F684" w14:textId="087BF8E8">
      <w:pPr>
        <w:pStyle w:val="ListParagraph"/>
        <w:numPr>
          <w:ilvl w:val="0"/>
          <w:numId w:val="26"/>
        </w:numPr>
        <w:tabs>
          <w:tab w:val="left" w:pos="-1440"/>
        </w:tabs>
        <w:rPr>
          <w:rFonts w:ascii="Times New Roman" w:hAnsi="Times New Roman"/>
          <w:b/>
        </w:rPr>
      </w:pPr>
      <w:r>
        <w:rPr>
          <w:rFonts w:ascii="Times New Roman" w:hAnsi="Times New Roman"/>
          <w:b/>
        </w:rPr>
        <w:t>i</w:t>
      </w:r>
      <w:r w:rsidRPr="00BC0B17" w:rsidR="00BC0B17">
        <w:rPr>
          <w:rFonts w:ascii="Times New Roman" w:hAnsi="Times New Roman"/>
          <w:b/>
        </w:rPr>
        <w:t>n connection with a statistical survey, that is not designed to produce valid and reliable results that can be generalized to the universe of study;</w:t>
      </w:r>
    </w:p>
    <w:p w:rsidR="00BC0B17" w:rsidP="00BC0B17" w:rsidRDefault="00AC4E25" w14:paraId="01BFABE4" w14:textId="417C74BF">
      <w:pPr>
        <w:pStyle w:val="ListParagraph"/>
        <w:numPr>
          <w:ilvl w:val="0"/>
          <w:numId w:val="26"/>
        </w:numPr>
        <w:tabs>
          <w:tab w:val="left" w:pos="-1440"/>
        </w:tabs>
        <w:rPr>
          <w:rFonts w:ascii="Times New Roman" w:hAnsi="Times New Roman"/>
          <w:b/>
        </w:rPr>
      </w:pPr>
      <w:r>
        <w:rPr>
          <w:rFonts w:ascii="Times New Roman" w:hAnsi="Times New Roman"/>
          <w:b/>
        </w:rPr>
        <w:t>r</w:t>
      </w:r>
      <w:r w:rsidRPr="00BC0B17" w:rsidR="00BC0B17">
        <w:rPr>
          <w:rFonts w:ascii="Times New Roman" w:hAnsi="Times New Roman"/>
          <w:b/>
        </w:rPr>
        <w:t>equiring the use of a statistical data classification that has not b</w:t>
      </w:r>
      <w:r w:rsidR="00BC0B17">
        <w:rPr>
          <w:rFonts w:ascii="Times New Roman" w:hAnsi="Times New Roman"/>
          <w:b/>
        </w:rPr>
        <w:t>een reviewed and approved by OMB</w:t>
      </w:r>
      <w:r w:rsidRPr="00BC0B17" w:rsidR="00BC0B17">
        <w:rPr>
          <w:rFonts w:ascii="Times New Roman" w:hAnsi="Times New Roman"/>
          <w:b/>
        </w:rPr>
        <w:t>;</w:t>
      </w:r>
    </w:p>
    <w:p w:rsidR="00BC0B17" w:rsidP="00BC0B17" w:rsidRDefault="00BC0B17" w14:paraId="059B0F40" w14:textId="3E6AC2AB">
      <w:pPr>
        <w:pStyle w:val="ListParagraph"/>
        <w:numPr>
          <w:ilvl w:val="0"/>
          <w:numId w:val="26"/>
        </w:numPr>
        <w:tabs>
          <w:tab w:val="left" w:pos="-1440"/>
        </w:tabs>
        <w:rPr>
          <w:rFonts w:ascii="Times New Roman" w:hAnsi="Times New Roman"/>
          <w:b/>
        </w:rPr>
      </w:pPr>
      <w:r w:rsidRPr="00BC0B17">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F5C06" w:rsidP="00FF5C06" w:rsidRDefault="00BC0B17" w14:paraId="2ABCAC81" w14:textId="5C0454A1">
      <w:pPr>
        <w:pStyle w:val="ListParagraph"/>
        <w:numPr>
          <w:ilvl w:val="0"/>
          <w:numId w:val="26"/>
        </w:numPr>
        <w:rPr>
          <w:rFonts w:ascii="Times New Roman" w:hAnsi="Times New Roman"/>
          <w:b/>
        </w:rPr>
      </w:pPr>
      <w:r w:rsidRPr="00BC0B17">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FF5C06" w:rsidP="00FF5C06" w:rsidRDefault="00FF5C06" w14:paraId="757718FC" w14:textId="77777777">
      <w:pPr>
        <w:rPr>
          <w:rFonts w:ascii="Times New Roman" w:hAnsi="Times New Roman"/>
          <w:b/>
        </w:rPr>
      </w:pPr>
    </w:p>
    <w:p w:rsidRPr="00FF5C06" w:rsidR="00FF5C06" w:rsidP="00FF5C06" w:rsidRDefault="00BB55C4" w14:paraId="75067826" w14:textId="6DFAB443">
      <w:pPr>
        <w:rPr>
          <w:rFonts w:ascii="Times New Roman" w:hAnsi="Times New Roman"/>
        </w:rPr>
      </w:pPr>
      <w:r>
        <w:rPr>
          <w:rFonts w:ascii="Times New Roman" w:hAnsi="Times New Roman"/>
        </w:rPr>
        <w:t>There are</w:t>
      </w:r>
      <w:r w:rsidR="00FF5C06">
        <w:rPr>
          <w:rFonts w:ascii="Times New Roman" w:hAnsi="Times New Roman"/>
        </w:rPr>
        <w:t xml:space="preserve"> no special circumstances. The collection of information is conducted in a manner consistent with the guidelines in 5 CFR 1320.6.</w:t>
      </w:r>
    </w:p>
    <w:p w:rsidR="00C67898" w:rsidP="00C67898" w:rsidRDefault="00C67898" w14:paraId="69008F65" w14:textId="77777777">
      <w:pPr>
        <w:ind w:left="1440"/>
        <w:rPr>
          <w:rFonts w:ascii="Times New Roman" w:hAnsi="Times New Roman"/>
          <w:b/>
        </w:rPr>
      </w:pPr>
    </w:p>
    <w:p w:rsidRPr="00EA404E" w:rsidR="00FF5C06" w:rsidP="00FF5C06" w:rsidRDefault="00FF5C06" w14:paraId="29B79C02" w14:textId="5B6880E5">
      <w:pPr>
        <w:rPr>
          <w:rFonts w:ascii="Times New Roman" w:hAnsi="Times New Roman"/>
          <w:b/>
        </w:rPr>
      </w:pPr>
      <w:r w:rsidRPr="00EA404E">
        <w:rPr>
          <w:rFonts w:ascii="Times New Roman" w:hAnsi="Times New Roman"/>
          <w:b/>
        </w:rPr>
        <w:t xml:space="preserve">8. If applicable,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w:t>
      </w:r>
      <w:r w:rsidRPr="00EA404E" w:rsidR="00D20B80">
        <w:rPr>
          <w:rFonts w:ascii="Times New Roman" w:hAnsi="Times New Roman"/>
          <w:b/>
        </w:rPr>
        <w:t>in response to these comments. S</w:t>
      </w:r>
      <w:r w:rsidRPr="00EA404E">
        <w:rPr>
          <w:rFonts w:ascii="Times New Roman" w:hAnsi="Times New Roman"/>
          <w:b/>
        </w:rPr>
        <w:t xml:space="preserve">pecifically address comments received on cost and hour burden.  </w:t>
      </w:r>
    </w:p>
    <w:p w:rsidRPr="00EA404E" w:rsidR="00FF5C06" w:rsidP="00FF5C06" w:rsidRDefault="00FF5C06" w14:paraId="11E38464" w14:textId="77777777">
      <w:pPr>
        <w:rPr>
          <w:rFonts w:ascii="Times New Roman" w:hAnsi="Times New Roman"/>
          <w:b/>
        </w:rPr>
      </w:pPr>
    </w:p>
    <w:p w:rsidR="006E3010" w:rsidP="006E3010" w:rsidRDefault="006E3010" w14:paraId="34B1093F" w14:textId="2C9B1E91">
      <w:pPr>
        <w:rPr>
          <w:rFonts w:ascii="Times New Roman" w:hAnsi="Times New Roman"/>
        </w:rPr>
      </w:pPr>
      <w:r w:rsidRPr="00EA404E">
        <w:rPr>
          <w:rFonts w:ascii="Times New Roman" w:hAnsi="Times New Roman"/>
        </w:rPr>
        <w:t xml:space="preserve">On January 13, 2020, </w:t>
      </w:r>
      <w:r w:rsidR="000A5FC4">
        <w:rPr>
          <w:rFonts w:ascii="Times New Roman" w:hAnsi="Times New Roman"/>
        </w:rPr>
        <w:t xml:space="preserve">in </w:t>
      </w:r>
      <w:r w:rsidRPr="00EA404E">
        <w:rPr>
          <w:rFonts w:ascii="Times New Roman" w:hAnsi="Times New Roman"/>
        </w:rPr>
        <w:t>Vol.</w:t>
      </w:r>
      <w:r w:rsidRPr="00EA404E" w:rsidR="00BA4EC3">
        <w:rPr>
          <w:rFonts w:ascii="Times New Roman" w:hAnsi="Times New Roman"/>
        </w:rPr>
        <w:t xml:space="preserve"> 85</w:t>
      </w:r>
      <w:r w:rsidRPr="00EA404E">
        <w:rPr>
          <w:rFonts w:ascii="Times New Roman" w:hAnsi="Times New Roman"/>
        </w:rPr>
        <w:t xml:space="preserve"> No. 8, pages 1</w:t>
      </w:r>
      <w:r w:rsidRPr="00EA404E" w:rsidR="00BA4EC3">
        <w:rPr>
          <w:rFonts w:ascii="Times New Roman" w:hAnsi="Times New Roman"/>
        </w:rPr>
        <w:t>810</w:t>
      </w:r>
      <w:r w:rsidRPr="00EA404E">
        <w:rPr>
          <w:rFonts w:ascii="Times New Roman" w:hAnsi="Times New Roman"/>
        </w:rPr>
        <w:t xml:space="preserve"> to </w:t>
      </w:r>
      <w:r w:rsidRPr="00EA404E" w:rsidR="00BA4EC3">
        <w:rPr>
          <w:rFonts w:ascii="Times New Roman" w:hAnsi="Times New Roman"/>
        </w:rPr>
        <w:t>1811</w:t>
      </w:r>
      <w:r w:rsidR="000A5FC4">
        <w:rPr>
          <w:rFonts w:ascii="Times New Roman" w:hAnsi="Times New Roman"/>
        </w:rPr>
        <w:t>,</w:t>
      </w:r>
      <w:r w:rsidRPr="00EA404E">
        <w:rPr>
          <w:rFonts w:ascii="Times New Roman" w:hAnsi="Times New Roman"/>
        </w:rPr>
        <w:t xml:space="preserve"> the </w:t>
      </w:r>
      <w:r w:rsidR="009B6EE6">
        <w:rPr>
          <w:rFonts w:ascii="Times New Roman" w:hAnsi="Times New Roman"/>
        </w:rPr>
        <w:t>A</w:t>
      </w:r>
      <w:r w:rsidRPr="00EA404E">
        <w:rPr>
          <w:rFonts w:ascii="Times New Roman" w:hAnsi="Times New Roman"/>
        </w:rPr>
        <w:t>gency published the notice of information collection and request for comments in the Federal Register. No comments were received.</w:t>
      </w:r>
    </w:p>
    <w:p w:rsidR="000A433D" w:rsidP="006E3010" w:rsidRDefault="000A433D" w14:paraId="55F05978" w14:textId="00A544A9">
      <w:pPr>
        <w:rPr>
          <w:rFonts w:ascii="Times New Roman" w:hAnsi="Times New Roman"/>
        </w:rPr>
      </w:pPr>
    </w:p>
    <w:p w:rsidR="000A433D" w:rsidP="000A433D" w:rsidRDefault="006535A9" w14:paraId="12607A34" w14:textId="531EA4F4">
      <w:pPr>
        <w:rPr>
          <w:rFonts w:ascii="Times New Roman" w:hAnsi="Times New Roman"/>
        </w:rPr>
      </w:pPr>
      <w:r>
        <w:rPr>
          <w:rFonts w:ascii="Times New Roman" w:hAnsi="Times New Roman"/>
        </w:rPr>
        <w:t>As part of the consultation process</w:t>
      </w:r>
      <w:r w:rsidRPr="000A433D" w:rsidR="000A433D">
        <w:rPr>
          <w:rFonts w:ascii="Times New Roman" w:hAnsi="Times New Roman"/>
        </w:rPr>
        <w:t>, we shared a copy of the ICR renewal with Deirdre Finn, executive director of Council of Infrastructure Financing Authorities, to solicit feedback on the information collection activities and the estimated reporting burden</w:t>
      </w:r>
      <w:r w:rsidR="000A433D">
        <w:rPr>
          <w:rFonts w:ascii="Times New Roman" w:hAnsi="Times New Roman"/>
        </w:rPr>
        <w:t xml:space="preserve">. </w:t>
      </w:r>
      <w:r>
        <w:rPr>
          <w:rFonts w:ascii="Times New Roman" w:hAnsi="Times New Roman"/>
        </w:rPr>
        <w:t>The C</w:t>
      </w:r>
      <w:bookmarkStart w:name="_GoBack" w:id="0"/>
      <w:bookmarkEnd w:id="0"/>
      <w:r>
        <w:rPr>
          <w:rFonts w:ascii="Times New Roman" w:hAnsi="Times New Roman"/>
        </w:rPr>
        <w:t>ouncil of Infrastructure Financ</w:t>
      </w:r>
      <w:r w:rsidR="0075183E">
        <w:rPr>
          <w:rFonts w:ascii="Times New Roman" w:hAnsi="Times New Roman"/>
        </w:rPr>
        <w:t>ing</w:t>
      </w:r>
      <w:r>
        <w:rPr>
          <w:rFonts w:ascii="Times New Roman" w:hAnsi="Times New Roman"/>
        </w:rPr>
        <w:t xml:space="preserve"> Authorities </w:t>
      </w:r>
      <w:r w:rsidRPr="00F60DFF">
        <w:rPr>
          <w:rFonts w:ascii="Times New Roman" w:hAnsi="Times New Roman"/>
        </w:rPr>
        <w:t>is a national not-for-profit organization that represents state government agencies that are responsible for managing the Clean Water and Drinking Water SRFs.</w:t>
      </w:r>
      <w:r>
        <w:rPr>
          <w:rFonts w:ascii="Times New Roman" w:hAnsi="Times New Roman"/>
        </w:rPr>
        <w:t xml:space="preserve"> As such, this organization is well positioned to provide feedback on both the nature of the information collection instruments and their estimated burden. </w:t>
      </w:r>
      <w:r w:rsidRPr="000A433D" w:rsidR="000A433D">
        <w:rPr>
          <w:rFonts w:ascii="Times New Roman" w:hAnsi="Times New Roman"/>
        </w:rPr>
        <w:t xml:space="preserve">No </w:t>
      </w:r>
      <w:r>
        <w:rPr>
          <w:rFonts w:ascii="Times New Roman" w:hAnsi="Times New Roman"/>
        </w:rPr>
        <w:t xml:space="preserve">additional </w:t>
      </w:r>
      <w:r w:rsidRPr="000A433D" w:rsidR="000A433D">
        <w:rPr>
          <w:rFonts w:ascii="Times New Roman" w:hAnsi="Times New Roman"/>
        </w:rPr>
        <w:t xml:space="preserve">comments or concerns were </w:t>
      </w:r>
      <w:r>
        <w:rPr>
          <w:rFonts w:ascii="Times New Roman" w:hAnsi="Times New Roman"/>
        </w:rPr>
        <w:t>provided</w:t>
      </w:r>
      <w:r w:rsidRPr="000A433D" w:rsidR="000A433D">
        <w:rPr>
          <w:rFonts w:ascii="Times New Roman" w:hAnsi="Times New Roman"/>
        </w:rPr>
        <w:t>.</w:t>
      </w:r>
    </w:p>
    <w:p w:rsidRPr="00F60DFF" w:rsidR="000A433D" w:rsidP="000A433D" w:rsidRDefault="000A433D" w14:paraId="063E1CAC" w14:textId="77777777">
      <w:pPr>
        <w:rPr>
          <w:rFonts w:ascii="Times New Roman" w:hAnsi="Times New Roman"/>
        </w:rPr>
      </w:pPr>
    </w:p>
    <w:p w:rsidRPr="00F60DFF" w:rsidR="000A433D" w:rsidP="000A433D" w:rsidRDefault="000A433D" w14:paraId="1A3CDBAF" w14:textId="55159C72">
      <w:pPr>
        <w:rPr>
          <w:rFonts w:ascii="Times New Roman" w:hAnsi="Times New Roman"/>
        </w:rPr>
      </w:pPr>
      <w:r w:rsidRPr="00F60DFF">
        <w:rPr>
          <w:rFonts w:ascii="Times New Roman" w:hAnsi="Times New Roman"/>
        </w:rPr>
        <w:t>The Council of Infrastructure Financ</w:t>
      </w:r>
      <w:r w:rsidR="00066D3C">
        <w:rPr>
          <w:rFonts w:ascii="Times New Roman" w:hAnsi="Times New Roman"/>
        </w:rPr>
        <w:t>ing</w:t>
      </w:r>
      <w:r w:rsidRPr="00F60DFF">
        <w:rPr>
          <w:rFonts w:ascii="Times New Roman" w:hAnsi="Times New Roman"/>
        </w:rPr>
        <w:t xml:space="preserve"> Authorities</w:t>
      </w:r>
    </w:p>
    <w:p w:rsidR="000A433D" w:rsidP="000A433D" w:rsidRDefault="000A433D" w14:paraId="2BC4844B" w14:textId="77777777">
      <w:pPr>
        <w:rPr>
          <w:rFonts w:ascii="Times New Roman" w:hAnsi="Times New Roman"/>
        </w:rPr>
      </w:pPr>
      <w:r w:rsidRPr="00F60DFF">
        <w:rPr>
          <w:rFonts w:ascii="Times New Roman" w:hAnsi="Times New Roman"/>
        </w:rPr>
        <w:t>Deirdre Finn – (850) 445-9619</w:t>
      </w:r>
    </w:p>
    <w:p w:rsidRPr="00764378" w:rsidR="000A433D" w:rsidP="006E3010" w:rsidRDefault="000A433D" w14:paraId="5F47C8BB" w14:textId="6C7040C7">
      <w:pPr>
        <w:rPr>
          <w:rFonts w:ascii="Times New Roman" w:hAnsi="Times New Roman"/>
        </w:rPr>
      </w:pPr>
      <w:r w:rsidRPr="003D0501">
        <w:rPr>
          <w:rFonts w:ascii="Times New Roman" w:hAnsi="Times New Roman"/>
        </w:rPr>
        <w:t>dfinn@cifanet.org</w:t>
      </w:r>
    </w:p>
    <w:p w:rsidRPr="00C033BD" w:rsidR="0098457B" w:rsidP="00C67898" w:rsidRDefault="0098457B" w14:paraId="3711C7CA" w14:textId="77777777">
      <w:pPr>
        <w:rPr>
          <w:rFonts w:ascii="Times New Roman" w:hAnsi="Times New Roman"/>
          <w:highlight w:val="yellow"/>
        </w:rPr>
      </w:pPr>
    </w:p>
    <w:p w:rsidR="00C67898" w:rsidP="00BF0F43" w:rsidRDefault="00BF0F43" w14:paraId="47E6FDA7" w14:textId="3F533CE5">
      <w:pPr>
        <w:tabs>
          <w:tab w:val="left" w:pos="-1440"/>
        </w:tabs>
        <w:rPr>
          <w:rFonts w:ascii="Times New Roman" w:hAnsi="Times New Roman"/>
          <w:b/>
        </w:rPr>
      </w:pPr>
      <w:r>
        <w:rPr>
          <w:rFonts w:ascii="Times New Roman" w:hAnsi="Times New Roman"/>
          <w:b/>
        </w:rPr>
        <w:t xml:space="preserve">9.  </w:t>
      </w:r>
      <w:r w:rsidRPr="00B16ED1">
        <w:rPr>
          <w:rFonts w:ascii="Times New Roman" w:hAnsi="Times New Roman"/>
          <w:b/>
        </w:rPr>
        <w:t>Explain any decision to provide any payment or gift to respondents, other than remuneration of contractors or grantees</w:t>
      </w:r>
      <w:r w:rsidRPr="00BF0F43">
        <w:rPr>
          <w:rFonts w:ascii="Times New Roman" w:hAnsi="Times New Roman"/>
        </w:rPr>
        <w:t>.</w:t>
      </w:r>
      <w:r w:rsidRPr="00004733">
        <w:rPr>
          <w:rFonts w:ascii="Times New Roman" w:hAnsi="Times New Roman"/>
          <w:b/>
        </w:rPr>
        <w:t xml:space="preserve">  </w:t>
      </w:r>
    </w:p>
    <w:p w:rsidR="00B16ED1" w:rsidP="00BF0F43" w:rsidRDefault="00B16ED1" w14:paraId="4CC925FA" w14:textId="77777777">
      <w:pPr>
        <w:tabs>
          <w:tab w:val="left" w:pos="-1440"/>
        </w:tabs>
        <w:rPr>
          <w:rFonts w:ascii="Times New Roman" w:hAnsi="Times New Roman"/>
          <w:b/>
        </w:rPr>
      </w:pPr>
    </w:p>
    <w:p w:rsidRPr="00B16ED1" w:rsidR="00B16ED1" w:rsidP="00BF0F43" w:rsidRDefault="00B16ED1" w14:paraId="5BC2D6A3" w14:textId="5CB11DDB">
      <w:pPr>
        <w:tabs>
          <w:tab w:val="left" w:pos="-1440"/>
        </w:tabs>
        <w:rPr>
          <w:rFonts w:ascii="Times New Roman" w:hAnsi="Times New Roman"/>
        </w:rPr>
      </w:pPr>
      <w:r>
        <w:rPr>
          <w:rFonts w:ascii="Times New Roman" w:hAnsi="Times New Roman"/>
        </w:rPr>
        <w:t>No payment or gifts are provided to respondents.</w:t>
      </w:r>
    </w:p>
    <w:p w:rsidRPr="00004733" w:rsidR="00C67898" w:rsidP="00B16ED1" w:rsidRDefault="00C67898" w14:paraId="14124741" w14:textId="77777777">
      <w:pPr>
        <w:pStyle w:val="BodyTextIndent3"/>
        <w:ind w:left="0"/>
        <w:rPr>
          <w:rFonts w:ascii="Times New Roman" w:hAnsi="Times New Roman"/>
        </w:rPr>
      </w:pPr>
    </w:p>
    <w:p w:rsidR="00B16ED1" w:rsidP="00B16ED1" w:rsidRDefault="00B16ED1" w14:paraId="46B34CDE" w14:textId="433462F9">
      <w:pPr>
        <w:tabs>
          <w:tab w:val="left" w:pos="-1440"/>
        </w:tabs>
        <w:rPr>
          <w:rFonts w:ascii="Times New Roman" w:hAnsi="Times New Roman"/>
          <w:b/>
        </w:rPr>
      </w:pPr>
      <w:r>
        <w:rPr>
          <w:rFonts w:ascii="Times New Roman" w:hAnsi="Times New Roman"/>
          <w:b/>
        </w:rPr>
        <w:lastRenderedPageBreak/>
        <w:t>10. D</w:t>
      </w:r>
      <w:r w:rsidRPr="00004733">
        <w:rPr>
          <w:rFonts w:ascii="Times New Roman" w:hAnsi="Times New Roman"/>
          <w:b/>
        </w:rPr>
        <w:t>escribe any assurance of confidentiality provided to respondents and the basis for the assurance in statute, regulation, or agency policy</w:t>
      </w:r>
      <w:r>
        <w:rPr>
          <w:rFonts w:ascii="Times New Roman" w:hAnsi="Times New Roman"/>
          <w:b/>
        </w:rPr>
        <w:t>.</w:t>
      </w:r>
    </w:p>
    <w:p w:rsidR="00B16ED1" w:rsidP="00B16ED1" w:rsidRDefault="00B16ED1" w14:paraId="6A95CF4D" w14:textId="77777777">
      <w:pPr>
        <w:tabs>
          <w:tab w:val="left" w:pos="-1440"/>
        </w:tabs>
        <w:rPr>
          <w:rFonts w:ascii="Times New Roman" w:hAnsi="Times New Roman"/>
          <w:b/>
        </w:rPr>
      </w:pPr>
    </w:p>
    <w:p w:rsidRPr="00472BAD" w:rsidR="00472BAD" w:rsidP="00B16ED1" w:rsidRDefault="00472BAD" w14:paraId="3B9A92C6" w14:textId="33FD9923">
      <w:pPr>
        <w:tabs>
          <w:tab w:val="left" w:pos="-1440"/>
        </w:tabs>
        <w:rPr>
          <w:rFonts w:ascii="Times New Roman" w:hAnsi="Times New Roman"/>
        </w:rPr>
      </w:pPr>
      <w:r>
        <w:rPr>
          <w:rFonts w:ascii="Times New Roman" w:hAnsi="Times New Roman"/>
        </w:rPr>
        <w:t>No confidential information is collected.</w:t>
      </w:r>
    </w:p>
    <w:p w:rsidR="00B16ED1" w:rsidP="00B16ED1" w:rsidRDefault="00B16ED1" w14:paraId="103EB8AF" w14:textId="77777777">
      <w:pPr>
        <w:tabs>
          <w:tab w:val="left" w:pos="-1440"/>
        </w:tabs>
        <w:rPr>
          <w:rFonts w:ascii="Times New Roman" w:hAnsi="Times New Roman"/>
          <w:b/>
        </w:rPr>
      </w:pPr>
    </w:p>
    <w:p w:rsidRPr="00472BAD" w:rsidR="00472BAD" w:rsidP="00472BAD" w:rsidRDefault="00472BAD" w14:paraId="26D81AA8" w14:textId="0A57EF9E">
      <w:pPr>
        <w:tabs>
          <w:tab w:val="left" w:pos="-1440"/>
        </w:tabs>
        <w:rPr>
          <w:rFonts w:ascii="Times New Roman" w:hAnsi="Times New Roman"/>
          <w:b/>
        </w:rPr>
      </w:pPr>
      <w:r w:rsidRPr="00472BAD">
        <w:rPr>
          <w:rFonts w:ascii="Times New Roman" w:hAnsi="Times New Roman"/>
          <w:b/>
        </w:rPr>
        <w:t>11.</w:t>
      </w:r>
      <w:r w:rsidRPr="00472BAD">
        <w:rPr>
          <w:rFonts w:ascii="Times New Roman" w:hAnsi="Times New Roman"/>
          <w:b/>
          <w:i/>
        </w:rPr>
        <w:t xml:space="preserve"> </w:t>
      </w:r>
      <w:r w:rsidRPr="00472BAD">
        <w:rPr>
          <w:rFonts w:ascii="Times New Roman" w:hAnsi="Times New Roman"/>
          <w:b/>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72BAD" w:rsidP="00472BAD" w:rsidRDefault="00472BAD" w14:paraId="0AE0F5CB" w14:textId="77777777">
      <w:pPr>
        <w:tabs>
          <w:tab w:val="left" w:pos="-1440"/>
        </w:tabs>
        <w:rPr>
          <w:rFonts w:ascii="Times New Roman" w:hAnsi="Times New Roman"/>
          <w:b/>
          <w:i/>
        </w:rPr>
      </w:pPr>
    </w:p>
    <w:p w:rsidRPr="003C0E07" w:rsidR="003C0E07" w:rsidP="00472BAD" w:rsidRDefault="003C0E07" w14:paraId="017CCF9D" w14:textId="50A758C3">
      <w:pPr>
        <w:tabs>
          <w:tab w:val="left" w:pos="-1440"/>
        </w:tabs>
        <w:rPr>
          <w:rFonts w:ascii="Times New Roman" w:hAnsi="Times New Roman"/>
        </w:rPr>
      </w:pPr>
      <w:r w:rsidRPr="003C0E07">
        <w:rPr>
          <w:rFonts w:ascii="Times New Roman" w:hAnsi="Times New Roman"/>
        </w:rPr>
        <w:t xml:space="preserve">Questions of a sensitive nature are not found </w:t>
      </w:r>
      <w:r>
        <w:rPr>
          <w:rFonts w:ascii="Times New Roman" w:hAnsi="Times New Roman"/>
        </w:rPr>
        <w:t>in this information collection.</w:t>
      </w:r>
    </w:p>
    <w:p w:rsidRPr="00004733" w:rsidR="00C67898" w:rsidP="00EE2D20" w:rsidRDefault="00C67898" w14:paraId="31B10BC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7C30FA" w:rsidR="00EE2D20" w:rsidP="00C67898" w:rsidRDefault="00EE2D20" w14:paraId="1140A7D5" w14:textId="2A0071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b/>
          <w:color w:val="000000" w:themeColor="text1"/>
          <w:szCs w:val="24"/>
        </w:rPr>
      </w:pPr>
      <w:r w:rsidRPr="007C30FA">
        <w:rPr>
          <w:rFonts w:ascii="Times New Roman" w:hAnsi="Times New Roman"/>
          <w:b/>
          <w:color w:val="000000" w:themeColor="text1"/>
          <w:szCs w:val="24"/>
        </w:rPr>
        <w:t xml:space="preserve">12. Provide estimates of the hour burden of the collection of information. </w:t>
      </w:r>
    </w:p>
    <w:p w:rsidRPr="007C30FA" w:rsidR="0076611E" w:rsidP="0076611E" w:rsidRDefault="0076611E" w14:paraId="3994E741" w14:textId="77777777">
      <w:pPr>
        <w:autoSpaceDE w:val="0"/>
        <w:autoSpaceDN w:val="0"/>
        <w:adjustRightInd w:val="0"/>
        <w:rPr>
          <w:rFonts w:ascii="Times New Roman" w:hAnsi="Times New Roman"/>
          <w:szCs w:val="24"/>
        </w:rPr>
      </w:pPr>
    </w:p>
    <w:p w:rsidR="00C70915" w:rsidP="009D0B29" w:rsidRDefault="007223EA" w14:paraId="73AC4BD3" w14:textId="1A14E619">
      <w:pPr>
        <w:pStyle w:val="NoSpacing"/>
        <w:rPr>
          <w:rFonts w:ascii="Times New Roman" w:hAnsi="Times New Roman" w:cs="Times New Roman"/>
          <w:sz w:val="24"/>
          <w:szCs w:val="24"/>
        </w:rPr>
      </w:pPr>
      <w:r>
        <w:rPr>
          <w:rFonts w:ascii="Times New Roman" w:hAnsi="Times New Roman" w:cs="Times New Roman"/>
          <w:sz w:val="24"/>
          <w:szCs w:val="24"/>
        </w:rPr>
        <w:t>During the prior renewal</w:t>
      </w:r>
      <w:r w:rsidR="009B3C6D">
        <w:rPr>
          <w:rFonts w:ascii="Times New Roman" w:hAnsi="Times New Roman" w:cs="Times New Roman"/>
          <w:sz w:val="24"/>
          <w:szCs w:val="24"/>
        </w:rPr>
        <w:t xml:space="preserve">, </w:t>
      </w:r>
      <w:r w:rsidR="00365C33">
        <w:rPr>
          <w:rFonts w:ascii="Times New Roman" w:hAnsi="Times New Roman" w:cs="Times New Roman"/>
          <w:sz w:val="24"/>
          <w:szCs w:val="24"/>
        </w:rPr>
        <w:t xml:space="preserve">EPA </w:t>
      </w:r>
      <w:r>
        <w:rPr>
          <w:rFonts w:ascii="Times New Roman" w:hAnsi="Times New Roman" w:cs="Times New Roman"/>
          <w:sz w:val="24"/>
          <w:szCs w:val="24"/>
        </w:rPr>
        <w:t xml:space="preserve">updated its burden estimates to reflect the significant changes to the CWSRF resulting from the passage </w:t>
      </w:r>
      <w:r w:rsidR="0035632A">
        <w:rPr>
          <w:rFonts w:ascii="Times New Roman" w:hAnsi="Times New Roman" w:cs="Times New Roman"/>
          <w:sz w:val="24"/>
          <w:szCs w:val="24"/>
        </w:rPr>
        <w:t>of WRRDA</w:t>
      </w:r>
      <w:r w:rsidR="00C70915">
        <w:rPr>
          <w:rFonts w:ascii="Times New Roman" w:hAnsi="Times New Roman" w:cs="Times New Roman"/>
          <w:sz w:val="24"/>
          <w:szCs w:val="24"/>
        </w:rPr>
        <w:t xml:space="preserve">. Since there will be little to no change in the information collection activities, the hourly burden estimates </w:t>
      </w:r>
      <w:r w:rsidR="005735BF">
        <w:rPr>
          <w:rFonts w:ascii="Times New Roman" w:hAnsi="Times New Roman" w:cs="Times New Roman"/>
          <w:sz w:val="24"/>
          <w:szCs w:val="24"/>
        </w:rPr>
        <w:t>were</w:t>
      </w:r>
      <w:r w:rsidR="00C70915">
        <w:rPr>
          <w:rFonts w:ascii="Times New Roman" w:hAnsi="Times New Roman" w:cs="Times New Roman"/>
          <w:sz w:val="24"/>
          <w:szCs w:val="24"/>
        </w:rPr>
        <w:t xml:space="preserve"> kept the same for this renewal. However, the salary cost estimates have been slightly revised based on data provided by the </w:t>
      </w:r>
      <w:r w:rsidRPr="00C70915" w:rsidR="00C70915">
        <w:rPr>
          <w:rFonts w:ascii="Times New Roman" w:hAnsi="Times New Roman" w:cs="Times New Roman"/>
          <w:sz w:val="24"/>
          <w:szCs w:val="24"/>
        </w:rPr>
        <w:t>Bureau of Labor Statistics, U.S. Department of Labor</w:t>
      </w:r>
      <w:r w:rsidR="00C70915">
        <w:rPr>
          <w:rFonts w:ascii="Times New Roman" w:hAnsi="Times New Roman" w:cs="Times New Roman"/>
          <w:sz w:val="24"/>
          <w:szCs w:val="24"/>
        </w:rPr>
        <w:t>.</w:t>
      </w:r>
    </w:p>
    <w:p w:rsidR="00C70915" w:rsidP="009D0B29" w:rsidRDefault="00C70915" w14:paraId="105DFBB2" w14:textId="77777777">
      <w:pPr>
        <w:pStyle w:val="NoSpacing"/>
        <w:rPr>
          <w:rFonts w:ascii="Times New Roman" w:hAnsi="Times New Roman" w:cs="Times New Roman"/>
          <w:sz w:val="24"/>
          <w:szCs w:val="24"/>
        </w:rPr>
      </w:pPr>
    </w:p>
    <w:p w:rsidR="00E523F5" w:rsidP="009D0B29" w:rsidRDefault="0035632A" w14:paraId="219E540A" w14:textId="6699B8F3">
      <w:pPr>
        <w:pStyle w:val="NoSpacing"/>
        <w:rPr>
          <w:rFonts w:ascii="Times New Roman" w:hAnsi="Times New Roman" w:cs="Times New Roman"/>
          <w:sz w:val="24"/>
          <w:szCs w:val="24"/>
        </w:rPr>
      </w:pPr>
      <w:r>
        <w:rPr>
          <w:rFonts w:ascii="Times New Roman" w:hAnsi="Times New Roman" w:cs="Times New Roman"/>
          <w:sz w:val="24"/>
          <w:szCs w:val="24"/>
        </w:rPr>
        <w:t>T</w:t>
      </w:r>
      <w:r w:rsidR="00C70915">
        <w:rPr>
          <w:rFonts w:ascii="Times New Roman" w:hAnsi="Times New Roman" w:cs="Times New Roman"/>
          <w:sz w:val="24"/>
          <w:szCs w:val="24"/>
        </w:rPr>
        <w:t>o develop the burden estimates,</w:t>
      </w:r>
      <w:r>
        <w:rPr>
          <w:rFonts w:ascii="Times New Roman" w:hAnsi="Times New Roman" w:cs="Times New Roman"/>
          <w:sz w:val="24"/>
          <w:szCs w:val="24"/>
        </w:rPr>
        <w:t xml:space="preserve"> </w:t>
      </w:r>
      <w:r w:rsidR="00C70915">
        <w:rPr>
          <w:rFonts w:ascii="Times New Roman" w:hAnsi="Times New Roman" w:cs="Times New Roman"/>
          <w:sz w:val="24"/>
          <w:szCs w:val="24"/>
        </w:rPr>
        <w:t>EPA</w:t>
      </w:r>
      <w:r>
        <w:rPr>
          <w:rFonts w:ascii="Times New Roman" w:hAnsi="Times New Roman" w:cs="Times New Roman"/>
          <w:sz w:val="24"/>
          <w:szCs w:val="24"/>
        </w:rPr>
        <w:t xml:space="preserve"> </w:t>
      </w:r>
      <w:r w:rsidRPr="009B3C6D" w:rsidR="009B3C6D">
        <w:rPr>
          <w:rFonts w:ascii="Times New Roman" w:hAnsi="Times New Roman" w:cs="Times New Roman"/>
          <w:sz w:val="24"/>
          <w:szCs w:val="24"/>
        </w:rPr>
        <w:t>r</w:t>
      </w:r>
      <w:r w:rsidR="009B3C6D">
        <w:rPr>
          <w:rFonts w:ascii="Times New Roman" w:hAnsi="Times New Roman" w:cs="Times New Roman"/>
          <w:sz w:val="24"/>
          <w:szCs w:val="24"/>
        </w:rPr>
        <w:t>each</w:t>
      </w:r>
      <w:r w:rsidR="00C70915">
        <w:rPr>
          <w:rFonts w:ascii="Times New Roman" w:hAnsi="Times New Roman" w:cs="Times New Roman"/>
          <w:sz w:val="24"/>
          <w:szCs w:val="24"/>
        </w:rPr>
        <w:t>ed</w:t>
      </w:r>
      <w:r w:rsidR="007223EA">
        <w:rPr>
          <w:rFonts w:ascii="Times New Roman" w:hAnsi="Times New Roman" w:cs="Times New Roman"/>
          <w:sz w:val="24"/>
          <w:szCs w:val="24"/>
        </w:rPr>
        <w:t xml:space="preserve"> </w:t>
      </w:r>
      <w:r w:rsidR="009B3C6D">
        <w:rPr>
          <w:rFonts w:ascii="Times New Roman" w:hAnsi="Times New Roman" w:cs="Times New Roman"/>
          <w:sz w:val="24"/>
          <w:szCs w:val="24"/>
        </w:rPr>
        <w:t>out to the following four</w:t>
      </w:r>
      <w:r w:rsidRPr="009B3C6D" w:rsidR="009B3C6D">
        <w:rPr>
          <w:rFonts w:ascii="Times New Roman" w:hAnsi="Times New Roman" w:cs="Times New Roman"/>
          <w:sz w:val="24"/>
          <w:szCs w:val="24"/>
        </w:rPr>
        <w:t xml:space="preserve"> states: California, Illinois, Georgia, and New Mexico. These states were selected to ensure that EPA received</w:t>
      </w:r>
      <w:r w:rsidR="009B3C6D">
        <w:rPr>
          <w:rFonts w:ascii="Times New Roman" w:hAnsi="Times New Roman" w:cs="Times New Roman"/>
          <w:sz w:val="24"/>
          <w:szCs w:val="24"/>
        </w:rPr>
        <w:t xml:space="preserve"> feedback from a </w:t>
      </w:r>
      <w:r w:rsidRPr="009B3C6D" w:rsidR="009B3C6D">
        <w:rPr>
          <w:rFonts w:ascii="Times New Roman" w:hAnsi="Times New Roman" w:cs="Times New Roman"/>
          <w:sz w:val="24"/>
          <w:szCs w:val="24"/>
        </w:rPr>
        <w:t xml:space="preserve">cross-section of </w:t>
      </w:r>
      <w:r w:rsidR="00E523F5">
        <w:rPr>
          <w:rFonts w:ascii="Times New Roman" w:hAnsi="Times New Roman" w:cs="Times New Roman"/>
          <w:sz w:val="24"/>
          <w:szCs w:val="24"/>
        </w:rPr>
        <w:t>the various CWSRFs that accounted for</w:t>
      </w:r>
      <w:r w:rsidR="009B3C6D">
        <w:rPr>
          <w:rFonts w:ascii="Times New Roman" w:hAnsi="Times New Roman" w:cs="Times New Roman"/>
          <w:sz w:val="24"/>
          <w:szCs w:val="24"/>
        </w:rPr>
        <w:t xml:space="preserve"> </w:t>
      </w:r>
      <w:r w:rsidRPr="009B3C6D" w:rsidR="009B3C6D">
        <w:rPr>
          <w:rFonts w:ascii="Times New Roman" w:hAnsi="Times New Roman" w:cs="Times New Roman"/>
          <w:sz w:val="24"/>
          <w:szCs w:val="24"/>
        </w:rPr>
        <w:t>differ</w:t>
      </w:r>
      <w:r w:rsidR="00E523F5">
        <w:rPr>
          <w:rFonts w:ascii="Times New Roman" w:hAnsi="Times New Roman" w:cs="Times New Roman"/>
          <w:sz w:val="24"/>
          <w:szCs w:val="24"/>
        </w:rPr>
        <w:t>ence</w:t>
      </w:r>
      <w:r w:rsidR="00423DE9">
        <w:rPr>
          <w:rFonts w:ascii="Times New Roman" w:hAnsi="Times New Roman" w:cs="Times New Roman"/>
          <w:sz w:val="24"/>
          <w:szCs w:val="24"/>
        </w:rPr>
        <w:t>s</w:t>
      </w:r>
      <w:r w:rsidRPr="009B3C6D" w:rsidR="009B3C6D">
        <w:rPr>
          <w:rFonts w:ascii="Times New Roman" w:hAnsi="Times New Roman" w:cs="Times New Roman"/>
          <w:sz w:val="24"/>
          <w:szCs w:val="24"/>
        </w:rPr>
        <w:t xml:space="preserve"> in size</w:t>
      </w:r>
      <w:r w:rsidR="00E95AA1">
        <w:rPr>
          <w:rFonts w:ascii="Times New Roman" w:hAnsi="Times New Roman" w:cs="Times New Roman"/>
          <w:sz w:val="24"/>
          <w:szCs w:val="24"/>
        </w:rPr>
        <w:t xml:space="preserve"> </w:t>
      </w:r>
      <w:r w:rsidRPr="009B3C6D" w:rsidR="009B3C6D">
        <w:rPr>
          <w:rFonts w:ascii="Times New Roman" w:hAnsi="Times New Roman" w:cs="Times New Roman"/>
          <w:sz w:val="24"/>
          <w:szCs w:val="24"/>
        </w:rPr>
        <w:t>and geographic location</w:t>
      </w:r>
      <w:r w:rsidR="00365C33">
        <w:rPr>
          <w:rFonts w:ascii="Times New Roman" w:hAnsi="Times New Roman" w:cs="Times New Roman"/>
          <w:sz w:val="24"/>
          <w:szCs w:val="24"/>
        </w:rPr>
        <w:t>. T</w:t>
      </w:r>
      <w:r w:rsidRPr="009B3C6D" w:rsidR="009B3C6D">
        <w:rPr>
          <w:rFonts w:ascii="Times New Roman" w:hAnsi="Times New Roman" w:cs="Times New Roman"/>
          <w:sz w:val="24"/>
          <w:szCs w:val="24"/>
        </w:rPr>
        <w:t xml:space="preserve">hese states were asked to provide </w:t>
      </w:r>
      <w:r w:rsidR="00F90837">
        <w:rPr>
          <w:rFonts w:ascii="Times New Roman" w:hAnsi="Times New Roman" w:cs="Times New Roman"/>
          <w:sz w:val="24"/>
          <w:szCs w:val="24"/>
        </w:rPr>
        <w:t>their input</w:t>
      </w:r>
      <w:r w:rsidRPr="009B3C6D" w:rsidR="009B3C6D">
        <w:rPr>
          <w:rFonts w:ascii="Times New Roman" w:hAnsi="Times New Roman" w:cs="Times New Roman"/>
          <w:sz w:val="24"/>
          <w:szCs w:val="24"/>
        </w:rPr>
        <w:t xml:space="preserve"> on the proposed burden (hours and cost) associated with information collection activities.</w:t>
      </w:r>
    </w:p>
    <w:p w:rsidR="00E523F5" w:rsidP="009D0B29" w:rsidRDefault="00E523F5" w14:paraId="016CEFD9" w14:textId="7EAD7E41">
      <w:pPr>
        <w:pStyle w:val="NoSpacing"/>
        <w:rPr>
          <w:rFonts w:ascii="Times New Roman" w:hAnsi="Times New Roman" w:cs="Times New Roman"/>
          <w:sz w:val="24"/>
          <w:szCs w:val="24"/>
        </w:rPr>
      </w:pPr>
    </w:p>
    <w:p w:rsidRPr="00333625" w:rsidR="00333625" w:rsidP="00333625" w:rsidRDefault="001549DC" w14:paraId="32A21D6C" w14:textId="32593D76">
      <w:pPr>
        <w:pStyle w:val="NoSpacing"/>
        <w:rPr>
          <w:rFonts w:ascii="Times New Roman" w:hAnsi="Times New Roman" w:cs="Times New Roman"/>
          <w:sz w:val="24"/>
          <w:szCs w:val="24"/>
        </w:rPr>
      </w:pPr>
      <w:r>
        <w:rPr>
          <w:rFonts w:ascii="Times New Roman" w:hAnsi="Times New Roman" w:cs="Times New Roman"/>
          <w:sz w:val="24"/>
          <w:szCs w:val="24"/>
        </w:rPr>
        <w:t>While the</w:t>
      </w:r>
      <w:r w:rsidR="00D96F7E">
        <w:rPr>
          <w:rFonts w:ascii="Times New Roman" w:hAnsi="Times New Roman" w:cs="Times New Roman"/>
          <w:sz w:val="24"/>
          <w:szCs w:val="24"/>
        </w:rPr>
        <w:t xml:space="preserve"> responses varied</w:t>
      </w:r>
      <w:r>
        <w:rPr>
          <w:rFonts w:ascii="Times New Roman" w:hAnsi="Times New Roman" w:cs="Times New Roman"/>
          <w:sz w:val="24"/>
          <w:szCs w:val="24"/>
        </w:rPr>
        <w:t xml:space="preserve"> by state, this was </w:t>
      </w:r>
      <w:r w:rsidRPr="00333625" w:rsidR="00333625">
        <w:rPr>
          <w:rFonts w:ascii="Times New Roman" w:hAnsi="Times New Roman" w:cs="Times New Roman"/>
          <w:sz w:val="24"/>
          <w:szCs w:val="24"/>
        </w:rPr>
        <w:t xml:space="preserve">expected given the nature of the information collection activities. Though the Intended Use Plan and Annual Report include required elements, the scope and extent by which states provide information to EPA through these documents can vary. For example, larger and more sophisticated CWSRF programs may need to include additional details covering such things as levering activity, specialized financing options, and other program activities. The size and sophistication of a CWSRF program also impacts the level of effort needed to complete the Annual Audit, NIMS, and CBR. The CBR and NIMS databases capture CWSRF activity at the both the state and loan/project level. As a result, the level of effort needed will be proportional to the overall level </w:t>
      </w:r>
      <w:r w:rsidR="008560CD">
        <w:rPr>
          <w:rFonts w:ascii="Times New Roman" w:hAnsi="Times New Roman" w:cs="Times New Roman"/>
          <w:sz w:val="24"/>
          <w:szCs w:val="24"/>
        </w:rPr>
        <w:t>of activity of the CWSRF</w:t>
      </w:r>
      <w:r w:rsidRPr="00333625" w:rsidR="00333625">
        <w:rPr>
          <w:rFonts w:ascii="Times New Roman" w:hAnsi="Times New Roman" w:cs="Times New Roman"/>
          <w:sz w:val="24"/>
          <w:szCs w:val="24"/>
        </w:rPr>
        <w:t xml:space="preserve">. In addition, the level of effort needed to complete an audit will also be dependent on the number of </w:t>
      </w:r>
      <w:r w:rsidR="009A6FD3">
        <w:rPr>
          <w:rFonts w:ascii="Times New Roman" w:hAnsi="Times New Roman" w:cs="Times New Roman"/>
          <w:sz w:val="24"/>
          <w:szCs w:val="24"/>
        </w:rPr>
        <w:t>assistance agreements</w:t>
      </w:r>
      <w:r w:rsidRPr="00333625" w:rsidR="00333625">
        <w:rPr>
          <w:rFonts w:ascii="Times New Roman" w:hAnsi="Times New Roman" w:cs="Times New Roman"/>
          <w:sz w:val="24"/>
          <w:szCs w:val="24"/>
        </w:rPr>
        <w:t xml:space="preserve"> and accompany</w:t>
      </w:r>
      <w:r w:rsidR="008560CD">
        <w:rPr>
          <w:rFonts w:ascii="Times New Roman" w:hAnsi="Times New Roman" w:cs="Times New Roman"/>
          <w:sz w:val="24"/>
          <w:szCs w:val="24"/>
        </w:rPr>
        <w:t>ing transaction</w:t>
      </w:r>
      <w:r w:rsidR="00965A7B">
        <w:rPr>
          <w:rFonts w:ascii="Times New Roman" w:hAnsi="Times New Roman" w:cs="Times New Roman"/>
          <w:sz w:val="24"/>
          <w:szCs w:val="24"/>
        </w:rPr>
        <w:t>s</w:t>
      </w:r>
      <w:r w:rsidR="008560CD">
        <w:rPr>
          <w:rFonts w:ascii="Times New Roman" w:hAnsi="Times New Roman" w:cs="Times New Roman"/>
          <w:sz w:val="24"/>
          <w:szCs w:val="24"/>
        </w:rPr>
        <w:t xml:space="preserve"> a CWSRF </w:t>
      </w:r>
      <w:r w:rsidRPr="00333625" w:rsidR="00333625">
        <w:rPr>
          <w:rFonts w:ascii="Times New Roman" w:hAnsi="Times New Roman" w:cs="Times New Roman"/>
          <w:sz w:val="24"/>
          <w:szCs w:val="24"/>
        </w:rPr>
        <w:t xml:space="preserve">conducts in a given year. </w:t>
      </w:r>
    </w:p>
    <w:p w:rsidRPr="00333625" w:rsidR="00333625" w:rsidP="00333625" w:rsidRDefault="00333625" w14:paraId="104F8F14" w14:textId="77777777">
      <w:pPr>
        <w:pStyle w:val="NoSpacing"/>
        <w:rPr>
          <w:rFonts w:ascii="Times New Roman" w:hAnsi="Times New Roman" w:cs="Times New Roman"/>
          <w:sz w:val="24"/>
          <w:szCs w:val="24"/>
        </w:rPr>
      </w:pPr>
    </w:p>
    <w:p w:rsidR="00333625" w:rsidP="00333625" w:rsidRDefault="00333625" w14:paraId="60D1828A" w14:textId="0EFB2910">
      <w:pPr>
        <w:pStyle w:val="NoSpacing"/>
        <w:rPr>
          <w:rFonts w:ascii="Times New Roman" w:hAnsi="Times New Roman" w:cs="Times New Roman"/>
          <w:sz w:val="24"/>
          <w:szCs w:val="24"/>
        </w:rPr>
      </w:pPr>
      <w:r>
        <w:rPr>
          <w:rFonts w:ascii="Times New Roman" w:hAnsi="Times New Roman" w:cs="Times New Roman"/>
          <w:sz w:val="24"/>
          <w:szCs w:val="24"/>
        </w:rPr>
        <w:t>S</w:t>
      </w:r>
      <w:r w:rsidRPr="00333625">
        <w:rPr>
          <w:rFonts w:ascii="Times New Roman" w:hAnsi="Times New Roman" w:cs="Times New Roman"/>
          <w:sz w:val="24"/>
          <w:szCs w:val="24"/>
        </w:rPr>
        <w:t xml:space="preserve">traight averages (rounded) </w:t>
      </w:r>
      <w:r>
        <w:rPr>
          <w:rFonts w:ascii="Times New Roman" w:hAnsi="Times New Roman" w:cs="Times New Roman"/>
          <w:sz w:val="24"/>
          <w:szCs w:val="24"/>
        </w:rPr>
        <w:t xml:space="preserve">of the state responses </w:t>
      </w:r>
      <w:r w:rsidRPr="00333625">
        <w:rPr>
          <w:rFonts w:ascii="Times New Roman" w:hAnsi="Times New Roman" w:cs="Times New Roman"/>
          <w:sz w:val="24"/>
          <w:szCs w:val="24"/>
        </w:rPr>
        <w:t>were used</w:t>
      </w:r>
      <w:r>
        <w:rPr>
          <w:rFonts w:ascii="Times New Roman" w:hAnsi="Times New Roman" w:cs="Times New Roman"/>
          <w:sz w:val="24"/>
          <w:szCs w:val="24"/>
        </w:rPr>
        <w:t xml:space="preserve"> to derive the burden estimates for most of the information collection activities</w:t>
      </w:r>
      <w:r w:rsidRPr="00333625">
        <w:rPr>
          <w:rFonts w:ascii="Times New Roman" w:hAnsi="Times New Roman" w:cs="Times New Roman"/>
          <w:sz w:val="24"/>
          <w:szCs w:val="24"/>
        </w:rPr>
        <w:t xml:space="preserve">. </w:t>
      </w:r>
      <w:r w:rsidR="009D1226">
        <w:rPr>
          <w:rFonts w:ascii="Times New Roman" w:hAnsi="Times New Roman" w:cs="Times New Roman"/>
          <w:sz w:val="24"/>
          <w:szCs w:val="24"/>
        </w:rPr>
        <w:t>The burden estimate associated with NIMS and CBR reporting represents the</w:t>
      </w:r>
      <w:r w:rsidRPr="00F4170E" w:rsidR="009D1226">
        <w:rPr>
          <w:rFonts w:ascii="Times New Roman" w:hAnsi="Times New Roman" w:cs="Times New Roman"/>
          <w:sz w:val="24"/>
          <w:szCs w:val="24"/>
        </w:rPr>
        <w:t xml:space="preserve"> summation of the total n</w:t>
      </w:r>
      <w:r w:rsidR="009D1226">
        <w:rPr>
          <w:rFonts w:ascii="Times New Roman" w:hAnsi="Times New Roman" w:cs="Times New Roman"/>
          <w:sz w:val="24"/>
          <w:szCs w:val="24"/>
        </w:rPr>
        <w:t xml:space="preserve">umber of hours a CWSRF </w:t>
      </w:r>
      <w:r w:rsidRPr="00F4170E" w:rsidR="009D1226">
        <w:rPr>
          <w:rFonts w:ascii="Times New Roman" w:hAnsi="Times New Roman" w:cs="Times New Roman"/>
          <w:sz w:val="24"/>
          <w:szCs w:val="24"/>
        </w:rPr>
        <w:t>w</w:t>
      </w:r>
      <w:r w:rsidR="009D1226">
        <w:rPr>
          <w:rFonts w:ascii="Times New Roman" w:hAnsi="Times New Roman" w:cs="Times New Roman"/>
          <w:sz w:val="24"/>
          <w:szCs w:val="24"/>
        </w:rPr>
        <w:t>ill spend entering data into these databases</w:t>
      </w:r>
      <w:r w:rsidRPr="00F4170E" w:rsidR="009D1226">
        <w:rPr>
          <w:rFonts w:ascii="Times New Roman" w:hAnsi="Times New Roman" w:cs="Times New Roman"/>
          <w:sz w:val="24"/>
          <w:szCs w:val="24"/>
        </w:rPr>
        <w:t xml:space="preserve"> over a given year</w:t>
      </w:r>
    </w:p>
    <w:p w:rsidR="00333625" w:rsidP="009D0B29" w:rsidRDefault="00333625" w14:paraId="7D313829" w14:textId="77777777">
      <w:pPr>
        <w:pStyle w:val="NoSpacing"/>
        <w:rPr>
          <w:rFonts w:ascii="Times New Roman" w:hAnsi="Times New Roman" w:cs="Times New Roman"/>
          <w:sz w:val="24"/>
          <w:szCs w:val="24"/>
        </w:rPr>
      </w:pPr>
    </w:p>
    <w:p w:rsidRPr="009D0B29" w:rsidR="009D0B29" w:rsidP="009D0B29" w:rsidRDefault="00B461CC" w14:paraId="61E75784" w14:textId="16F0FAF3">
      <w:pPr>
        <w:pStyle w:val="NoSpacing"/>
        <w:rPr>
          <w:rFonts w:ascii="Times New Roman" w:hAnsi="Times New Roman" w:cs="Times New Roman"/>
          <w:sz w:val="24"/>
          <w:szCs w:val="24"/>
        </w:rPr>
      </w:pPr>
      <w:r>
        <w:rPr>
          <w:rFonts w:ascii="Times New Roman" w:hAnsi="Times New Roman" w:cs="Times New Roman"/>
          <w:sz w:val="24"/>
          <w:szCs w:val="24"/>
        </w:rPr>
        <w:lastRenderedPageBreak/>
        <w:t>Except for the annual audit, the respondents</w:t>
      </w:r>
      <w:r w:rsidR="00333625">
        <w:rPr>
          <w:rFonts w:ascii="Times New Roman" w:hAnsi="Times New Roman" w:cs="Times New Roman"/>
          <w:sz w:val="24"/>
          <w:szCs w:val="24"/>
        </w:rPr>
        <w:t xml:space="preserve"> for these information collection ac</w:t>
      </w:r>
      <w:r w:rsidR="005E1204">
        <w:rPr>
          <w:rFonts w:ascii="Times New Roman" w:hAnsi="Times New Roman" w:cs="Times New Roman"/>
          <w:sz w:val="24"/>
          <w:szCs w:val="24"/>
        </w:rPr>
        <w:t>t</w:t>
      </w:r>
      <w:r w:rsidR="00333625">
        <w:rPr>
          <w:rFonts w:ascii="Times New Roman" w:hAnsi="Times New Roman" w:cs="Times New Roman"/>
          <w:sz w:val="24"/>
          <w:szCs w:val="24"/>
        </w:rPr>
        <w:t>ivities</w:t>
      </w:r>
      <w:r>
        <w:rPr>
          <w:rFonts w:ascii="Times New Roman" w:hAnsi="Times New Roman" w:cs="Times New Roman"/>
          <w:sz w:val="24"/>
          <w:szCs w:val="24"/>
        </w:rPr>
        <w:t xml:space="preserve"> </w:t>
      </w:r>
      <w:r w:rsidRPr="009D0B29" w:rsidR="00A52690">
        <w:rPr>
          <w:rFonts w:ascii="Times New Roman" w:hAnsi="Times New Roman" w:cs="Times New Roman"/>
          <w:sz w:val="24"/>
          <w:szCs w:val="24"/>
        </w:rPr>
        <w:t>are the 51</w:t>
      </w:r>
      <w:r w:rsidRPr="009D0B29" w:rsidR="003C251A">
        <w:rPr>
          <w:rFonts w:ascii="Times New Roman" w:hAnsi="Times New Roman" w:cs="Times New Roman"/>
          <w:sz w:val="24"/>
          <w:szCs w:val="24"/>
        </w:rPr>
        <w:t xml:space="preserve"> State Department of Health, Environmental Department, and/or Finance Agencies responsible for operating the CWSRFs</w:t>
      </w:r>
      <w:r>
        <w:rPr>
          <w:rFonts w:ascii="Times New Roman" w:hAnsi="Times New Roman" w:cs="Times New Roman"/>
          <w:sz w:val="24"/>
          <w:szCs w:val="24"/>
        </w:rPr>
        <w:t>. O</w:t>
      </w:r>
      <w:r w:rsidRPr="009D0B29" w:rsidR="00100C34">
        <w:rPr>
          <w:rFonts w:ascii="Times New Roman" w:hAnsi="Times New Roman" w:cs="Times New Roman"/>
          <w:sz w:val="24"/>
          <w:szCs w:val="24"/>
        </w:rPr>
        <w:t>nly 47 CWSRFs elect to undergo an independent audit. Th</w:t>
      </w:r>
      <w:r w:rsidRPr="009D0B29" w:rsidR="009D0B29">
        <w:rPr>
          <w:rFonts w:ascii="Times New Roman" w:hAnsi="Times New Roman" w:cs="Times New Roman"/>
          <w:sz w:val="24"/>
          <w:szCs w:val="24"/>
        </w:rPr>
        <w:t xml:space="preserve">e remaining four CWSRFs instead </w:t>
      </w:r>
      <w:r w:rsidRPr="009D0B29" w:rsidR="00100C34">
        <w:rPr>
          <w:rFonts w:ascii="Times New Roman" w:hAnsi="Times New Roman" w:cs="Times New Roman"/>
          <w:sz w:val="24"/>
          <w:szCs w:val="24"/>
        </w:rPr>
        <w:t>rely</w:t>
      </w:r>
      <w:r w:rsidR="00365C33">
        <w:rPr>
          <w:rFonts w:ascii="Times New Roman" w:hAnsi="Times New Roman" w:cs="Times New Roman"/>
          <w:sz w:val="24"/>
          <w:szCs w:val="24"/>
        </w:rPr>
        <w:t xml:space="preserve"> only</w:t>
      </w:r>
      <w:r w:rsidRPr="009D0B29" w:rsidR="003C251A">
        <w:rPr>
          <w:rFonts w:ascii="Times New Roman" w:hAnsi="Times New Roman" w:cs="Times New Roman"/>
          <w:sz w:val="24"/>
          <w:szCs w:val="24"/>
        </w:rPr>
        <w:t xml:space="preserve"> on the audit conducted under the Single Audit Act</w:t>
      </w:r>
      <w:r w:rsidR="009D1226">
        <w:rPr>
          <w:rFonts w:ascii="Times New Roman" w:hAnsi="Times New Roman" w:cs="Times New Roman"/>
          <w:sz w:val="24"/>
          <w:szCs w:val="24"/>
        </w:rPr>
        <w:t xml:space="preserve">. </w:t>
      </w:r>
    </w:p>
    <w:p w:rsidRPr="00333625" w:rsidR="006629E3" w:rsidP="009D0B29" w:rsidRDefault="006629E3" w14:paraId="7EE5C15C" w14:textId="77777777">
      <w:pPr>
        <w:pStyle w:val="NoSpacing"/>
        <w:rPr>
          <w:rFonts w:ascii="Times New Roman" w:hAnsi="Times New Roman" w:cs="Times New Roman"/>
          <w:sz w:val="24"/>
          <w:szCs w:val="24"/>
        </w:rPr>
      </w:pPr>
    </w:p>
    <w:p w:rsidR="0091010E" w:rsidP="009D0B29" w:rsidRDefault="0091010E" w14:paraId="68A6C2D0" w14:textId="6855D7C5">
      <w:pPr>
        <w:pStyle w:val="NoSpacing"/>
        <w:rPr>
          <w:rFonts w:ascii="Times New Roman" w:hAnsi="Times New Roman" w:cs="Times New Roman"/>
          <w:sz w:val="24"/>
          <w:szCs w:val="24"/>
        </w:rPr>
      </w:pPr>
      <w:r w:rsidRPr="0091010E">
        <w:rPr>
          <w:rFonts w:ascii="Times New Roman" w:hAnsi="Times New Roman" w:cs="Times New Roman"/>
          <w:sz w:val="24"/>
          <w:szCs w:val="24"/>
        </w:rPr>
        <w:t>The burden associated with the Public Awarene</w:t>
      </w:r>
      <w:r>
        <w:rPr>
          <w:rFonts w:ascii="Times New Roman" w:hAnsi="Times New Roman" w:cs="Times New Roman"/>
          <w:sz w:val="24"/>
          <w:szCs w:val="24"/>
        </w:rPr>
        <w:t xml:space="preserve">ss Policy is based on EPA’s </w:t>
      </w:r>
      <w:r w:rsidR="00813482">
        <w:rPr>
          <w:rFonts w:ascii="Times New Roman" w:hAnsi="Times New Roman" w:cs="Times New Roman"/>
          <w:sz w:val="24"/>
          <w:szCs w:val="24"/>
        </w:rPr>
        <w:t>professional judgement</w:t>
      </w:r>
      <w:r>
        <w:rPr>
          <w:rFonts w:ascii="Times New Roman" w:hAnsi="Times New Roman" w:cs="Times New Roman"/>
          <w:sz w:val="24"/>
          <w:szCs w:val="24"/>
        </w:rPr>
        <w:t xml:space="preserve"> that most borrowers will comply with this policy through the online </w:t>
      </w:r>
      <w:r w:rsidR="00D96F7E">
        <w:rPr>
          <w:rFonts w:ascii="Times New Roman" w:hAnsi="Times New Roman" w:cs="Times New Roman"/>
          <w:sz w:val="24"/>
          <w:szCs w:val="24"/>
        </w:rPr>
        <w:t>signage</w:t>
      </w:r>
      <w:r>
        <w:rPr>
          <w:rFonts w:ascii="Times New Roman" w:hAnsi="Times New Roman" w:cs="Times New Roman"/>
          <w:sz w:val="24"/>
          <w:szCs w:val="24"/>
        </w:rPr>
        <w:t xml:space="preserve"> option</w:t>
      </w:r>
      <w:r w:rsidRPr="0091010E">
        <w:rPr>
          <w:rFonts w:ascii="Times New Roman" w:hAnsi="Times New Roman" w:cs="Times New Roman"/>
          <w:sz w:val="24"/>
          <w:szCs w:val="24"/>
        </w:rPr>
        <w:t xml:space="preserve">. It is </w:t>
      </w:r>
      <w:r w:rsidR="00D96F7E">
        <w:rPr>
          <w:rFonts w:ascii="Times New Roman" w:hAnsi="Times New Roman" w:cs="Times New Roman"/>
          <w:sz w:val="24"/>
          <w:szCs w:val="24"/>
        </w:rPr>
        <w:t xml:space="preserve">also </w:t>
      </w:r>
      <w:r w:rsidR="00813482">
        <w:rPr>
          <w:rFonts w:ascii="Times New Roman" w:hAnsi="Times New Roman" w:cs="Times New Roman"/>
          <w:sz w:val="24"/>
          <w:szCs w:val="24"/>
        </w:rPr>
        <w:t>EPA’s judgement</w:t>
      </w:r>
      <w:r w:rsidRPr="0091010E">
        <w:rPr>
          <w:rFonts w:ascii="Times New Roman" w:hAnsi="Times New Roman" w:cs="Times New Roman"/>
          <w:sz w:val="24"/>
          <w:szCs w:val="24"/>
        </w:rPr>
        <w:t xml:space="preserve"> that only borrowers that are already required by state law to provide promotional material such as signs, posters, and newspapers advertisements will choose the other options provided under the policy.</w:t>
      </w:r>
    </w:p>
    <w:p w:rsidR="0091010E" w:rsidP="009D0B29" w:rsidRDefault="0091010E" w14:paraId="654B3A58" w14:textId="77777777">
      <w:pPr>
        <w:pStyle w:val="NoSpacing"/>
        <w:rPr>
          <w:rFonts w:ascii="Times New Roman" w:hAnsi="Times New Roman" w:cs="Times New Roman"/>
          <w:sz w:val="24"/>
          <w:szCs w:val="24"/>
        </w:rPr>
      </w:pPr>
    </w:p>
    <w:p w:rsidRPr="009D0B29" w:rsidR="009D0B29" w:rsidP="009D0B29" w:rsidRDefault="009D1226" w14:paraId="64DA9A9A" w14:textId="4043A26B">
      <w:pPr>
        <w:pStyle w:val="NoSpacing"/>
        <w:rPr>
          <w:rFonts w:ascii="Times New Roman" w:hAnsi="Times New Roman" w:cs="Times New Roman"/>
          <w:sz w:val="24"/>
          <w:szCs w:val="24"/>
        </w:rPr>
      </w:pPr>
      <w:r>
        <w:rPr>
          <w:rFonts w:ascii="Times New Roman" w:hAnsi="Times New Roman" w:cs="Times New Roman"/>
          <w:sz w:val="24"/>
          <w:szCs w:val="24"/>
        </w:rPr>
        <w:t>EPA</w:t>
      </w:r>
      <w:r w:rsidRPr="00333625" w:rsidR="00581FE3">
        <w:rPr>
          <w:rFonts w:ascii="Times New Roman" w:hAnsi="Times New Roman" w:cs="Times New Roman"/>
          <w:sz w:val="24"/>
          <w:szCs w:val="24"/>
        </w:rPr>
        <w:t xml:space="preserve"> </w:t>
      </w:r>
      <w:r w:rsidRPr="00333625" w:rsidR="00B461CC">
        <w:rPr>
          <w:rFonts w:ascii="Times New Roman" w:hAnsi="Times New Roman" w:cs="Times New Roman"/>
          <w:sz w:val="24"/>
          <w:szCs w:val="24"/>
        </w:rPr>
        <w:t>estimate</w:t>
      </w:r>
      <w:r>
        <w:rPr>
          <w:rFonts w:ascii="Times New Roman" w:hAnsi="Times New Roman" w:cs="Times New Roman"/>
          <w:sz w:val="24"/>
          <w:szCs w:val="24"/>
        </w:rPr>
        <w:t>s</w:t>
      </w:r>
      <w:r w:rsidRPr="00333625" w:rsidR="00B461CC">
        <w:rPr>
          <w:rFonts w:ascii="Times New Roman" w:hAnsi="Times New Roman" w:cs="Times New Roman"/>
          <w:sz w:val="24"/>
          <w:szCs w:val="24"/>
        </w:rPr>
        <w:t xml:space="preserve"> that a</w:t>
      </w:r>
      <w:r w:rsidRPr="00333625" w:rsidR="00100C34">
        <w:rPr>
          <w:rFonts w:ascii="Times New Roman" w:hAnsi="Times New Roman" w:cs="Times New Roman"/>
          <w:sz w:val="24"/>
          <w:szCs w:val="24"/>
        </w:rPr>
        <w:t>pproximately</w:t>
      </w:r>
      <w:r w:rsidRPr="00333625" w:rsidR="00A87753">
        <w:rPr>
          <w:rFonts w:ascii="Times New Roman" w:hAnsi="Times New Roman" w:cs="Times New Roman"/>
          <w:sz w:val="24"/>
          <w:szCs w:val="24"/>
        </w:rPr>
        <w:t xml:space="preserve"> 3</w:t>
      </w:r>
      <w:r w:rsidR="007D626E">
        <w:rPr>
          <w:rFonts w:ascii="Times New Roman" w:hAnsi="Times New Roman" w:cs="Times New Roman"/>
          <w:sz w:val="24"/>
          <w:szCs w:val="24"/>
        </w:rPr>
        <w:t>20</w:t>
      </w:r>
      <w:r w:rsidRPr="00333625" w:rsidR="00A87753">
        <w:rPr>
          <w:rFonts w:ascii="Times New Roman" w:hAnsi="Times New Roman" w:cs="Times New Roman"/>
          <w:sz w:val="24"/>
          <w:szCs w:val="24"/>
        </w:rPr>
        <w:t xml:space="preserve"> CWSRF borrowers</w:t>
      </w:r>
      <w:r w:rsidRPr="00333625" w:rsidR="006629E3">
        <w:rPr>
          <w:rFonts w:ascii="Times New Roman" w:hAnsi="Times New Roman" w:cs="Times New Roman"/>
          <w:sz w:val="24"/>
          <w:szCs w:val="24"/>
        </w:rPr>
        <w:t xml:space="preserve"> </w:t>
      </w:r>
      <w:r w:rsidRPr="00333625" w:rsidR="00A87753">
        <w:rPr>
          <w:rFonts w:ascii="Times New Roman" w:hAnsi="Times New Roman" w:cs="Times New Roman"/>
          <w:sz w:val="24"/>
          <w:szCs w:val="24"/>
        </w:rPr>
        <w:t>will be affecte</w:t>
      </w:r>
      <w:r w:rsidRPr="00333625" w:rsidR="008F607E">
        <w:rPr>
          <w:rFonts w:ascii="Times New Roman" w:hAnsi="Times New Roman" w:cs="Times New Roman"/>
          <w:sz w:val="24"/>
          <w:szCs w:val="24"/>
        </w:rPr>
        <w:t>d by the public awareness policy</w:t>
      </w:r>
      <w:r w:rsidRPr="00333625" w:rsidR="006629E3">
        <w:rPr>
          <w:rFonts w:ascii="Times New Roman" w:hAnsi="Times New Roman" w:cs="Times New Roman"/>
          <w:sz w:val="24"/>
          <w:szCs w:val="24"/>
        </w:rPr>
        <w:t xml:space="preserve"> annually</w:t>
      </w:r>
      <w:r w:rsidRPr="00333625" w:rsidR="00A87753">
        <w:rPr>
          <w:rFonts w:ascii="Times New Roman" w:hAnsi="Times New Roman" w:cs="Times New Roman"/>
          <w:sz w:val="24"/>
          <w:szCs w:val="24"/>
        </w:rPr>
        <w:t>.</w:t>
      </w:r>
      <w:r w:rsidRPr="00333625" w:rsidR="00FB0876">
        <w:rPr>
          <w:rFonts w:ascii="Times New Roman" w:hAnsi="Times New Roman" w:cs="Times New Roman"/>
          <w:sz w:val="24"/>
          <w:szCs w:val="24"/>
        </w:rPr>
        <w:t xml:space="preserve"> </w:t>
      </w:r>
      <w:r w:rsidR="00B0565A">
        <w:rPr>
          <w:rFonts w:ascii="Times New Roman" w:hAnsi="Times New Roman" w:cs="Times New Roman"/>
          <w:sz w:val="24"/>
          <w:szCs w:val="24"/>
        </w:rPr>
        <w:t>CWNIMS</w:t>
      </w:r>
      <w:r w:rsidRPr="00333625" w:rsidR="006629E3">
        <w:rPr>
          <w:rFonts w:ascii="Times New Roman" w:hAnsi="Times New Roman" w:cs="Times New Roman"/>
          <w:sz w:val="24"/>
          <w:szCs w:val="24"/>
        </w:rPr>
        <w:t xml:space="preserve"> data was </w:t>
      </w:r>
      <w:r w:rsidRPr="00333625" w:rsidR="00A87753">
        <w:rPr>
          <w:rFonts w:ascii="Times New Roman" w:hAnsi="Times New Roman" w:cs="Times New Roman"/>
          <w:sz w:val="24"/>
          <w:szCs w:val="24"/>
        </w:rPr>
        <w:t>used to determ</w:t>
      </w:r>
      <w:r w:rsidRPr="00333625" w:rsidR="006629E3">
        <w:rPr>
          <w:rFonts w:ascii="Times New Roman" w:hAnsi="Times New Roman" w:cs="Times New Roman"/>
          <w:sz w:val="24"/>
          <w:szCs w:val="24"/>
        </w:rPr>
        <w:t>ine the subset of the total number of borrowers that would be</w:t>
      </w:r>
      <w:r w:rsidRPr="00333625" w:rsidR="00FB0876">
        <w:rPr>
          <w:rFonts w:ascii="Times New Roman" w:hAnsi="Times New Roman" w:cs="Times New Roman"/>
          <w:sz w:val="24"/>
          <w:szCs w:val="24"/>
        </w:rPr>
        <w:t xml:space="preserve"> subject to</w:t>
      </w:r>
      <w:r w:rsidRPr="00333625" w:rsidR="00A87753">
        <w:rPr>
          <w:rFonts w:ascii="Times New Roman" w:hAnsi="Times New Roman" w:cs="Times New Roman"/>
          <w:sz w:val="24"/>
          <w:szCs w:val="24"/>
        </w:rPr>
        <w:t xml:space="preserve"> the</w:t>
      </w:r>
      <w:r w:rsidRPr="00333625" w:rsidR="00DA694A">
        <w:rPr>
          <w:rFonts w:ascii="Times New Roman" w:hAnsi="Times New Roman" w:cs="Times New Roman"/>
          <w:sz w:val="24"/>
          <w:szCs w:val="24"/>
        </w:rPr>
        <w:t xml:space="preserve"> public awarenes</w:t>
      </w:r>
      <w:r w:rsidRPr="00333625" w:rsidR="00FB0876">
        <w:rPr>
          <w:rFonts w:ascii="Times New Roman" w:hAnsi="Times New Roman" w:cs="Times New Roman"/>
          <w:sz w:val="24"/>
          <w:szCs w:val="24"/>
        </w:rPr>
        <w:t>s policy</w:t>
      </w:r>
      <w:r w:rsidRPr="00333625" w:rsidR="00E523F5">
        <w:rPr>
          <w:rFonts w:ascii="Times New Roman" w:hAnsi="Times New Roman" w:cs="Times New Roman"/>
          <w:sz w:val="24"/>
          <w:szCs w:val="24"/>
        </w:rPr>
        <w:t>.</w:t>
      </w:r>
      <w:r w:rsidRPr="00333625" w:rsidR="00FB0876">
        <w:rPr>
          <w:rFonts w:ascii="Times New Roman" w:hAnsi="Times New Roman" w:cs="Times New Roman"/>
          <w:sz w:val="24"/>
          <w:szCs w:val="24"/>
        </w:rPr>
        <w:t xml:space="preserve"> </w:t>
      </w:r>
      <w:r w:rsidRPr="00333625" w:rsidR="00E523F5">
        <w:rPr>
          <w:rFonts w:ascii="Times New Roman" w:hAnsi="Times New Roman" w:cs="Times New Roman"/>
          <w:sz w:val="24"/>
          <w:szCs w:val="24"/>
        </w:rPr>
        <w:t>This was accomplished by</w:t>
      </w:r>
      <w:r w:rsidRPr="00333625" w:rsidR="00DA694A">
        <w:rPr>
          <w:rFonts w:ascii="Times New Roman" w:hAnsi="Times New Roman" w:cs="Times New Roman"/>
          <w:sz w:val="24"/>
          <w:szCs w:val="24"/>
        </w:rPr>
        <w:t xml:space="preserve"> calculating the </w:t>
      </w:r>
      <w:r w:rsidRPr="00333625" w:rsidR="00A87753">
        <w:rPr>
          <w:rFonts w:ascii="Times New Roman" w:hAnsi="Times New Roman" w:cs="Times New Roman"/>
          <w:sz w:val="24"/>
          <w:szCs w:val="24"/>
        </w:rPr>
        <w:t xml:space="preserve">percentage of federal funding </w:t>
      </w:r>
      <w:r w:rsidRPr="00333625" w:rsidR="006629E3">
        <w:rPr>
          <w:rFonts w:ascii="Times New Roman" w:hAnsi="Times New Roman" w:cs="Times New Roman"/>
          <w:sz w:val="24"/>
          <w:szCs w:val="24"/>
        </w:rPr>
        <w:t xml:space="preserve">compared </w:t>
      </w:r>
      <w:r w:rsidRPr="00333625" w:rsidR="00A87753">
        <w:rPr>
          <w:rFonts w:ascii="Times New Roman" w:hAnsi="Times New Roman" w:cs="Times New Roman"/>
          <w:sz w:val="24"/>
          <w:szCs w:val="24"/>
        </w:rPr>
        <w:t>to</w:t>
      </w:r>
      <w:r w:rsidRPr="00333625" w:rsidR="00DA694A">
        <w:rPr>
          <w:rFonts w:ascii="Times New Roman" w:hAnsi="Times New Roman" w:cs="Times New Roman"/>
          <w:sz w:val="24"/>
          <w:szCs w:val="24"/>
        </w:rPr>
        <w:t xml:space="preserve"> total project funding and applying this percentage to the est</w:t>
      </w:r>
      <w:r w:rsidRPr="00333625" w:rsidR="006629E3">
        <w:rPr>
          <w:rFonts w:ascii="Times New Roman" w:hAnsi="Times New Roman" w:cs="Times New Roman"/>
          <w:sz w:val="24"/>
          <w:szCs w:val="24"/>
        </w:rPr>
        <w:t>imated number of borrower applications</w:t>
      </w:r>
      <w:r w:rsidRPr="00333625" w:rsidR="002575BB">
        <w:rPr>
          <w:rFonts w:ascii="Times New Roman" w:hAnsi="Times New Roman" w:cs="Times New Roman"/>
          <w:sz w:val="24"/>
          <w:szCs w:val="24"/>
        </w:rPr>
        <w:t>.</w:t>
      </w:r>
      <w:r w:rsidRPr="009D0B29" w:rsidR="002575BB">
        <w:rPr>
          <w:rFonts w:ascii="Times New Roman" w:hAnsi="Times New Roman" w:cs="Times New Roman"/>
          <w:sz w:val="24"/>
          <w:szCs w:val="24"/>
        </w:rPr>
        <w:t xml:space="preserve"> </w:t>
      </w:r>
    </w:p>
    <w:p w:rsidRPr="009D0B29" w:rsidR="009D0B29" w:rsidP="009D0B29" w:rsidRDefault="009D0B29" w14:paraId="465083F8" w14:textId="77777777">
      <w:pPr>
        <w:pStyle w:val="NoSpacing"/>
        <w:rPr>
          <w:rFonts w:ascii="Times New Roman" w:hAnsi="Times New Roman" w:cs="Times New Roman"/>
          <w:sz w:val="24"/>
          <w:szCs w:val="24"/>
        </w:rPr>
      </w:pPr>
    </w:p>
    <w:p w:rsidR="00882C89" w:rsidP="00C70915" w:rsidRDefault="005461B4" w14:paraId="5AD25BF6" w14:textId="6B7B832A">
      <w:pPr>
        <w:pStyle w:val="NoSpacing"/>
        <w:rPr>
          <w:rFonts w:ascii="Times New Roman" w:hAnsi="Times New Roman" w:cs="Times New Roman"/>
          <w:sz w:val="24"/>
          <w:szCs w:val="24"/>
        </w:rPr>
      </w:pPr>
      <w:bookmarkStart w:name="_Hlk40220680" w:id="1"/>
      <w:r w:rsidRPr="00C70915">
        <w:rPr>
          <w:rFonts w:ascii="Times New Roman" w:hAnsi="Times New Roman" w:cs="Times New Roman"/>
          <w:sz w:val="24"/>
          <w:szCs w:val="24"/>
        </w:rPr>
        <w:t xml:space="preserve">The estimated salary costs used for </w:t>
      </w:r>
      <w:r w:rsidRPr="00C70915" w:rsidR="002575BB">
        <w:rPr>
          <w:rFonts w:ascii="Times New Roman" w:hAnsi="Times New Roman" w:cs="Times New Roman"/>
          <w:sz w:val="24"/>
          <w:szCs w:val="24"/>
        </w:rPr>
        <w:t>CWSRF</w:t>
      </w:r>
      <w:r w:rsidRPr="00C70915">
        <w:rPr>
          <w:rFonts w:ascii="Times New Roman" w:hAnsi="Times New Roman" w:cs="Times New Roman"/>
          <w:sz w:val="24"/>
          <w:szCs w:val="24"/>
        </w:rPr>
        <w:t xml:space="preserve"> </w:t>
      </w:r>
      <w:r w:rsidR="0026560E">
        <w:rPr>
          <w:rFonts w:ascii="Times New Roman" w:hAnsi="Times New Roman" w:cs="Times New Roman"/>
          <w:sz w:val="24"/>
          <w:szCs w:val="24"/>
        </w:rPr>
        <w:t xml:space="preserve">state </w:t>
      </w:r>
      <w:r w:rsidRPr="00C70915">
        <w:rPr>
          <w:rFonts w:ascii="Times New Roman" w:hAnsi="Times New Roman" w:cs="Times New Roman"/>
          <w:sz w:val="24"/>
          <w:szCs w:val="24"/>
        </w:rPr>
        <w:t>staff ($5</w:t>
      </w:r>
      <w:r w:rsidR="008F1F48">
        <w:rPr>
          <w:rFonts w:ascii="Times New Roman" w:hAnsi="Times New Roman" w:cs="Times New Roman"/>
          <w:sz w:val="24"/>
          <w:szCs w:val="24"/>
        </w:rPr>
        <w:t>4</w:t>
      </w:r>
      <w:r w:rsidRPr="00C70915">
        <w:rPr>
          <w:rFonts w:ascii="Times New Roman" w:hAnsi="Times New Roman" w:cs="Times New Roman"/>
          <w:sz w:val="24"/>
          <w:szCs w:val="24"/>
        </w:rPr>
        <w:t>.</w:t>
      </w:r>
      <w:r w:rsidR="008F1F48">
        <w:rPr>
          <w:rFonts w:ascii="Times New Roman" w:hAnsi="Times New Roman" w:cs="Times New Roman"/>
          <w:sz w:val="24"/>
          <w:szCs w:val="24"/>
        </w:rPr>
        <w:t>12</w:t>
      </w:r>
      <w:r w:rsidRPr="00C70915">
        <w:rPr>
          <w:rFonts w:ascii="Times New Roman" w:hAnsi="Times New Roman" w:cs="Times New Roman"/>
          <w:sz w:val="24"/>
          <w:szCs w:val="24"/>
        </w:rPr>
        <w:t xml:space="preserve"> per hour) and CWSRF borrowers (</w:t>
      </w:r>
      <w:r w:rsidRPr="00C70915" w:rsidR="002575BB">
        <w:rPr>
          <w:rFonts w:ascii="Times New Roman" w:hAnsi="Times New Roman" w:cs="Times New Roman"/>
          <w:sz w:val="24"/>
          <w:szCs w:val="24"/>
        </w:rPr>
        <w:t>$3</w:t>
      </w:r>
      <w:r w:rsidRPr="00C70915" w:rsidR="007D626E">
        <w:rPr>
          <w:rFonts w:ascii="Times New Roman" w:hAnsi="Times New Roman" w:cs="Times New Roman"/>
          <w:sz w:val="24"/>
          <w:szCs w:val="24"/>
        </w:rPr>
        <w:t>5.</w:t>
      </w:r>
      <w:r w:rsidR="0026560E">
        <w:rPr>
          <w:rFonts w:ascii="Times New Roman" w:hAnsi="Times New Roman" w:cs="Times New Roman"/>
          <w:sz w:val="24"/>
          <w:szCs w:val="24"/>
        </w:rPr>
        <w:t>42</w:t>
      </w:r>
      <w:r w:rsidRPr="00C70915">
        <w:rPr>
          <w:rFonts w:ascii="Times New Roman" w:hAnsi="Times New Roman" w:cs="Times New Roman"/>
          <w:sz w:val="24"/>
          <w:szCs w:val="24"/>
        </w:rPr>
        <w:t xml:space="preserve"> per hour) </w:t>
      </w:r>
      <w:r w:rsidRPr="00C70915" w:rsidR="007D626E">
        <w:rPr>
          <w:rFonts w:ascii="Times New Roman" w:hAnsi="Times New Roman" w:cs="Times New Roman"/>
          <w:sz w:val="24"/>
          <w:szCs w:val="24"/>
        </w:rPr>
        <w:t xml:space="preserve">are based on the latest wage rate information provided by the Bureau of Labor Statistics, U.S. Department of Labor. </w:t>
      </w:r>
      <w:r w:rsidR="00B0565A">
        <w:rPr>
          <w:rFonts w:ascii="Times New Roman" w:hAnsi="Times New Roman" w:cs="Times New Roman"/>
          <w:sz w:val="24"/>
          <w:szCs w:val="24"/>
        </w:rPr>
        <w:t xml:space="preserve">The </w:t>
      </w:r>
      <w:r w:rsidRPr="00C70915" w:rsidR="007D626E">
        <w:rPr>
          <w:rFonts w:ascii="Times New Roman" w:hAnsi="Times New Roman" w:cs="Times New Roman"/>
          <w:sz w:val="24"/>
          <w:szCs w:val="24"/>
        </w:rPr>
        <w:t xml:space="preserve">CWSRF staff </w:t>
      </w:r>
      <w:r w:rsidRPr="00C70915" w:rsidR="006F0570">
        <w:rPr>
          <w:rFonts w:ascii="Times New Roman" w:hAnsi="Times New Roman" w:cs="Times New Roman"/>
          <w:sz w:val="24"/>
          <w:szCs w:val="24"/>
        </w:rPr>
        <w:t>salary costs</w:t>
      </w:r>
      <w:r w:rsidRPr="00C70915" w:rsidR="007D626E">
        <w:rPr>
          <w:rFonts w:ascii="Times New Roman" w:hAnsi="Times New Roman" w:cs="Times New Roman"/>
          <w:sz w:val="24"/>
          <w:szCs w:val="24"/>
        </w:rPr>
        <w:t xml:space="preserve"> were derived by taking the average </w:t>
      </w:r>
      <w:r w:rsidR="00B0565A">
        <w:rPr>
          <w:rFonts w:ascii="Times New Roman" w:hAnsi="Times New Roman" w:cs="Times New Roman"/>
          <w:sz w:val="24"/>
          <w:szCs w:val="24"/>
        </w:rPr>
        <w:t xml:space="preserve">of </w:t>
      </w:r>
      <w:r w:rsidRPr="00C70915" w:rsidR="007D626E">
        <w:rPr>
          <w:rFonts w:ascii="Times New Roman" w:hAnsi="Times New Roman" w:cs="Times New Roman"/>
          <w:sz w:val="24"/>
          <w:szCs w:val="24"/>
        </w:rPr>
        <w:t xml:space="preserve">the median wage for </w:t>
      </w:r>
      <w:r w:rsidRPr="00C70915" w:rsidR="006F0570">
        <w:rPr>
          <w:rFonts w:ascii="Times New Roman" w:hAnsi="Times New Roman" w:cs="Times New Roman"/>
          <w:sz w:val="24"/>
          <w:szCs w:val="24"/>
        </w:rPr>
        <w:t>state government e</w:t>
      </w:r>
      <w:r w:rsidRPr="00C70915" w:rsidR="007D626E">
        <w:rPr>
          <w:rFonts w:ascii="Times New Roman" w:hAnsi="Times New Roman" w:cs="Times New Roman"/>
          <w:sz w:val="24"/>
          <w:szCs w:val="24"/>
        </w:rPr>
        <w:t xml:space="preserve">nvironmental </w:t>
      </w:r>
      <w:r w:rsidRPr="00C70915" w:rsidR="006F0570">
        <w:rPr>
          <w:rFonts w:ascii="Times New Roman" w:hAnsi="Times New Roman" w:cs="Times New Roman"/>
          <w:sz w:val="24"/>
          <w:szCs w:val="24"/>
        </w:rPr>
        <w:t>e</w:t>
      </w:r>
      <w:r w:rsidRPr="00C70915" w:rsidR="007D626E">
        <w:rPr>
          <w:rFonts w:ascii="Times New Roman" w:hAnsi="Times New Roman" w:cs="Times New Roman"/>
          <w:sz w:val="24"/>
          <w:szCs w:val="24"/>
        </w:rPr>
        <w:t>ngineers ($3</w:t>
      </w:r>
      <w:r w:rsidR="008F1F48">
        <w:rPr>
          <w:rFonts w:ascii="Times New Roman" w:hAnsi="Times New Roman" w:cs="Times New Roman"/>
          <w:sz w:val="24"/>
          <w:szCs w:val="24"/>
        </w:rPr>
        <w:t>9</w:t>
      </w:r>
      <w:r w:rsidRPr="00C70915" w:rsidR="007D626E">
        <w:rPr>
          <w:rFonts w:ascii="Times New Roman" w:hAnsi="Times New Roman" w:cs="Times New Roman"/>
          <w:sz w:val="24"/>
          <w:szCs w:val="24"/>
        </w:rPr>
        <w:t>.</w:t>
      </w:r>
      <w:r w:rsidR="008F1F48">
        <w:rPr>
          <w:rFonts w:ascii="Times New Roman" w:hAnsi="Times New Roman" w:cs="Times New Roman"/>
          <w:sz w:val="24"/>
          <w:szCs w:val="24"/>
        </w:rPr>
        <w:t>08</w:t>
      </w:r>
      <w:r w:rsidRPr="00C70915" w:rsidR="007D626E">
        <w:rPr>
          <w:rFonts w:ascii="Times New Roman" w:hAnsi="Times New Roman" w:cs="Times New Roman"/>
          <w:sz w:val="24"/>
          <w:szCs w:val="24"/>
        </w:rPr>
        <w:t xml:space="preserve">) and </w:t>
      </w:r>
      <w:r w:rsidRPr="00C70915" w:rsidR="006F0570">
        <w:rPr>
          <w:rFonts w:ascii="Times New Roman" w:hAnsi="Times New Roman" w:cs="Times New Roman"/>
          <w:sz w:val="24"/>
          <w:szCs w:val="24"/>
        </w:rPr>
        <w:t>f</w:t>
      </w:r>
      <w:r w:rsidRPr="00C70915" w:rsidR="007D626E">
        <w:rPr>
          <w:rFonts w:ascii="Times New Roman" w:hAnsi="Times New Roman" w:cs="Times New Roman"/>
          <w:sz w:val="24"/>
          <w:szCs w:val="24"/>
        </w:rPr>
        <w:t>inancial</w:t>
      </w:r>
      <w:r w:rsidR="008F1F48">
        <w:rPr>
          <w:rFonts w:ascii="Times New Roman" w:hAnsi="Times New Roman" w:cs="Times New Roman"/>
          <w:sz w:val="24"/>
          <w:szCs w:val="24"/>
        </w:rPr>
        <w:t>/investment</w:t>
      </w:r>
      <w:r w:rsidRPr="00C70915" w:rsidR="007D626E">
        <w:rPr>
          <w:rFonts w:ascii="Times New Roman" w:hAnsi="Times New Roman" w:cs="Times New Roman"/>
          <w:sz w:val="24"/>
          <w:szCs w:val="24"/>
        </w:rPr>
        <w:t xml:space="preserve"> </w:t>
      </w:r>
      <w:r w:rsidRPr="00C70915" w:rsidR="006F0570">
        <w:rPr>
          <w:rFonts w:ascii="Times New Roman" w:hAnsi="Times New Roman" w:cs="Times New Roman"/>
          <w:sz w:val="24"/>
          <w:szCs w:val="24"/>
        </w:rPr>
        <w:t>a</w:t>
      </w:r>
      <w:r w:rsidRPr="00C70915" w:rsidR="007D626E">
        <w:rPr>
          <w:rFonts w:ascii="Times New Roman" w:hAnsi="Times New Roman" w:cs="Times New Roman"/>
          <w:sz w:val="24"/>
          <w:szCs w:val="24"/>
        </w:rPr>
        <w:t>nalyst</w:t>
      </w:r>
      <w:r w:rsidRPr="00C70915" w:rsidR="006F0570">
        <w:rPr>
          <w:rFonts w:ascii="Times New Roman" w:hAnsi="Times New Roman" w:cs="Times New Roman"/>
          <w:sz w:val="24"/>
          <w:szCs w:val="24"/>
        </w:rPr>
        <w:t>s</w:t>
      </w:r>
      <w:r w:rsidRPr="00C70915" w:rsidR="007D626E">
        <w:rPr>
          <w:rFonts w:ascii="Times New Roman" w:hAnsi="Times New Roman" w:cs="Times New Roman"/>
          <w:sz w:val="24"/>
          <w:szCs w:val="24"/>
        </w:rPr>
        <w:t xml:space="preserve"> (</w:t>
      </w:r>
      <w:r w:rsidRPr="00C70915" w:rsidR="006F0570">
        <w:rPr>
          <w:rFonts w:ascii="Times New Roman" w:hAnsi="Times New Roman" w:cs="Times New Roman"/>
          <w:sz w:val="24"/>
          <w:szCs w:val="24"/>
        </w:rPr>
        <w:t>$</w:t>
      </w:r>
      <w:r w:rsidR="008F1F48">
        <w:rPr>
          <w:rFonts w:ascii="Times New Roman" w:hAnsi="Times New Roman" w:cs="Times New Roman"/>
          <w:sz w:val="24"/>
          <w:szCs w:val="24"/>
        </w:rPr>
        <w:t>28</w:t>
      </w:r>
      <w:r w:rsidRPr="00C70915" w:rsidR="006F0570">
        <w:rPr>
          <w:rFonts w:ascii="Times New Roman" w:hAnsi="Times New Roman" w:cs="Times New Roman"/>
          <w:sz w:val="24"/>
          <w:szCs w:val="24"/>
        </w:rPr>
        <w:t>.</w:t>
      </w:r>
      <w:r w:rsidR="008F1F48">
        <w:rPr>
          <w:rFonts w:ascii="Times New Roman" w:hAnsi="Times New Roman" w:cs="Times New Roman"/>
          <w:sz w:val="24"/>
          <w:szCs w:val="24"/>
        </w:rPr>
        <w:t>57</w:t>
      </w:r>
      <w:r w:rsidRPr="00C70915" w:rsidR="006F0570">
        <w:rPr>
          <w:rFonts w:ascii="Times New Roman" w:hAnsi="Times New Roman" w:cs="Times New Roman"/>
          <w:sz w:val="24"/>
          <w:szCs w:val="24"/>
        </w:rPr>
        <w:t>)</w:t>
      </w:r>
      <w:r w:rsidR="00B0565A">
        <w:rPr>
          <w:rFonts w:ascii="Times New Roman" w:hAnsi="Times New Roman" w:cs="Times New Roman"/>
          <w:sz w:val="24"/>
          <w:szCs w:val="24"/>
        </w:rPr>
        <w:t xml:space="preserve"> and then multiplying by a factor of 1.6 to capture </w:t>
      </w:r>
      <w:r w:rsidR="0066388C">
        <w:rPr>
          <w:rFonts w:ascii="Times New Roman" w:hAnsi="Times New Roman" w:cs="Times New Roman"/>
          <w:sz w:val="24"/>
          <w:szCs w:val="24"/>
        </w:rPr>
        <w:t>provided</w:t>
      </w:r>
      <w:r w:rsidR="00B0565A">
        <w:rPr>
          <w:rFonts w:ascii="Times New Roman" w:hAnsi="Times New Roman" w:cs="Times New Roman"/>
          <w:sz w:val="24"/>
          <w:szCs w:val="24"/>
        </w:rPr>
        <w:t xml:space="preserve"> benefits</w:t>
      </w:r>
      <w:r w:rsidRPr="00C70915" w:rsidR="006F0570">
        <w:rPr>
          <w:rFonts w:ascii="Times New Roman" w:hAnsi="Times New Roman" w:cs="Times New Roman"/>
          <w:sz w:val="24"/>
          <w:szCs w:val="24"/>
        </w:rPr>
        <w:t>.</w:t>
      </w:r>
      <w:r w:rsidRPr="00C70915" w:rsidR="006F0570">
        <w:rPr>
          <w:rStyle w:val="FootnoteReference"/>
          <w:rFonts w:ascii="Times New Roman" w:hAnsi="Times New Roman" w:cs="Times New Roman"/>
          <w:sz w:val="24"/>
          <w:szCs w:val="24"/>
        </w:rPr>
        <w:footnoteReference w:id="7"/>
      </w:r>
      <w:r w:rsidRPr="00C70915" w:rsidR="006F0570">
        <w:rPr>
          <w:rFonts w:ascii="Times New Roman" w:hAnsi="Times New Roman" w:cs="Times New Roman"/>
          <w:sz w:val="24"/>
          <w:szCs w:val="24"/>
        </w:rPr>
        <w:t xml:space="preserve"> </w:t>
      </w:r>
      <w:r w:rsidR="00B0565A">
        <w:rPr>
          <w:rFonts w:ascii="Times New Roman" w:hAnsi="Times New Roman" w:cs="Times New Roman"/>
          <w:sz w:val="24"/>
          <w:szCs w:val="24"/>
        </w:rPr>
        <w:t xml:space="preserve">The </w:t>
      </w:r>
      <w:r w:rsidRPr="00C70915" w:rsidR="006F0570">
        <w:rPr>
          <w:rFonts w:ascii="Times New Roman" w:hAnsi="Times New Roman" w:cs="Times New Roman"/>
          <w:sz w:val="24"/>
          <w:szCs w:val="24"/>
        </w:rPr>
        <w:t xml:space="preserve">CWSRF borrower salary costs </w:t>
      </w:r>
      <w:r w:rsidRPr="00C70915" w:rsidR="00AA36BC">
        <w:rPr>
          <w:rFonts w:ascii="Times New Roman" w:hAnsi="Times New Roman" w:cs="Times New Roman"/>
          <w:sz w:val="24"/>
          <w:szCs w:val="24"/>
        </w:rPr>
        <w:t>are</w:t>
      </w:r>
      <w:r w:rsidRPr="00C70915" w:rsidR="006F0570">
        <w:rPr>
          <w:rFonts w:ascii="Times New Roman" w:hAnsi="Times New Roman" w:cs="Times New Roman"/>
          <w:sz w:val="24"/>
          <w:szCs w:val="24"/>
        </w:rPr>
        <w:t xml:space="preserve"> based on the median wage for Water and Wastewater Treatment Plant and System Operators ($22.</w:t>
      </w:r>
      <w:r w:rsidR="008F1F48">
        <w:rPr>
          <w:rFonts w:ascii="Times New Roman" w:hAnsi="Times New Roman" w:cs="Times New Roman"/>
          <w:sz w:val="24"/>
          <w:szCs w:val="24"/>
        </w:rPr>
        <w:t>14</w:t>
      </w:r>
      <w:r w:rsidRPr="00C70915" w:rsidR="006F0570">
        <w:rPr>
          <w:rFonts w:ascii="Times New Roman" w:hAnsi="Times New Roman" w:cs="Times New Roman"/>
          <w:sz w:val="24"/>
          <w:szCs w:val="24"/>
        </w:rPr>
        <w:t>).</w:t>
      </w:r>
      <w:r w:rsidRPr="00C70915" w:rsidR="006F0570">
        <w:rPr>
          <w:rStyle w:val="FootnoteReference"/>
          <w:rFonts w:ascii="Times New Roman" w:hAnsi="Times New Roman" w:cs="Times New Roman"/>
          <w:sz w:val="24"/>
          <w:szCs w:val="24"/>
        </w:rPr>
        <w:footnoteReference w:id="8"/>
      </w:r>
      <w:r w:rsidRPr="00C70915" w:rsidR="006F0570">
        <w:rPr>
          <w:rFonts w:ascii="Times New Roman" w:hAnsi="Times New Roman" w:cs="Times New Roman"/>
          <w:sz w:val="24"/>
          <w:szCs w:val="24"/>
        </w:rPr>
        <w:t xml:space="preserve"> As with</w:t>
      </w:r>
      <w:r w:rsidRPr="00C70915" w:rsidR="00AA36BC">
        <w:rPr>
          <w:rFonts w:ascii="Times New Roman" w:hAnsi="Times New Roman" w:cs="Times New Roman"/>
          <w:sz w:val="24"/>
          <w:szCs w:val="24"/>
        </w:rPr>
        <w:t xml:space="preserve"> CWSRF state salary costs, this wage rate was multiplied by a factor of 1.6 to capture </w:t>
      </w:r>
      <w:r w:rsidR="00B0565A">
        <w:rPr>
          <w:rFonts w:ascii="Times New Roman" w:hAnsi="Times New Roman" w:cs="Times New Roman"/>
          <w:sz w:val="24"/>
          <w:szCs w:val="24"/>
        </w:rPr>
        <w:t xml:space="preserve">provided </w:t>
      </w:r>
      <w:r w:rsidRPr="00C70915" w:rsidR="00AA36BC">
        <w:rPr>
          <w:rFonts w:ascii="Times New Roman" w:hAnsi="Times New Roman" w:cs="Times New Roman"/>
          <w:sz w:val="24"/>
          <w:szCs w:val="24"/>
        </w:rPr>
        <w:t>benefits.</w:t>
      </w:r>
      <w:bookmarkEnd w:id="1"/>
    </w:p>
    <w:p w:rsidR="00CA43D9" w:rsidRDefault="00CA43D9" w14:paraId="7C63DAAA" w14:textId="60EE1A60">
      <w:pPr>
        <w:widowControl/>
        <w:spacing w:after="160" w:line="259" w:lineRule="auto"/>
        <w:rPr>
          <w:rFonts w:ascii="Times New Roman" w:hAnsi="Times New Roman" w:eastAsiaTheme="minorHAnsi"/>
          <w:snapToGrid/>
          <w:szCs w:val="24"/>
        </w:rPr>
      </w:pPr>
      <w:r>
        <w:rPr>
          <w:rFonts w:ascii="Times New Roman" w:hAnsi="Times New Roman"/>
          <w:szCs w:val="24"/>
        </w:rPr>
        <w:br w:type="page"/>
      </w:r>
    </w:p>
    <w:p w:rsidRPr="00C70915" w:rsidR="004F342B" w:rsidP="00C70915" w:rsidRDefault="004F342B" w14:paraId="2976B96E" w14:textId="77777777">
      <w:pPr>
        <w:pStyle w:val="NoSpacing"/>
        <w:rPr>
          <w:rFonts w:ascii="Times New Roman" w:hAnsi="Times New Roman" w:cs="Times New Roman"/>
          <w:sz w:val="24"/>
          <w:szCs w:val="24"/>
        </w:rPr>
      </w:pPr>
    </w:p>
    <w:tbl>
      <w:tblPr>
        <w:tblW w:w="10223" w:type="dxa"/>
        <w:tblInd w:w="-5" w:type="dxa"/>
        <w:tblLook w:val="04A0" w:firstRow="1" w:lastRow="0" w:firstColumn="1" w:lastColumn="0" w:noHBand="0" w:noVBand="1"/>
      </w:tblPr>
      <w:tblGrid>
        <w:gridCol w:w="2486"/>
        <w:gridCol w:w="1545"/>
        <w:gridCol w:w="1548"/>
        <w:gridCol w:w="1548"/>
        <w:gridCol w:w="1548"/>
        <w:gridCol w:w="1548"/>
      </w:tblGrid>
      <w:tr w:rsidRPr="00AA36BC" w:rsidR="00AA36BC" w:rsidTr="006D5E67" w14:paraId="179C33FD" w14:textId="77777777">
        <w:trPr>
          <w:trHeight w:val="615"/>
        </w:trPr>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AA36BC" w:rsidR="00AA36BC" w:rsidP="00AA36BC" w:rsidRDefault="00AA36BC" w14:paraId="004EFF76" w14:textId="77777777">
            <w:pPr>
              <w:widowControl/>
              <w:rPr>
                <w:rFonts w:ascii="Times New Roman" w:hAnsi="Times New Roman"/>
                <w:b/>
                <w:bCs/>
                <w:snapToGrid/>
                <w:color w:val="000000"/>
                <w:sz w:val="16"/>
                <w:szCs w:val="16"/>
              </w:rPr>
            </w:pPr>
            <w:r w:rsidRPr="00AA36BC">
              <w:rPr>
                <w:rFonts w:ascii="Times New Roman" w:hAnsi="Times New Roman"/>
                <w:b/>
                <w:bCs/>
                <w:snapToGrid/>
                <w:color w:val="000000"/>
                <w:sz w:val="16"/>
                <w:szCs w:val="16"/>
              </w:rPr>
              <w:t xml:space="preserve">Activity </w:t>
            </w:r>
          </w:p>
        </w:tc>
        <w:tc>
          <w:tcPr>
            <w:tcW w:w="1545" w:type="dxa"/>
            <w:tcBorders>
              <w:top w:val="single" w:color="000000" w:sz="4" w:space="0"/>
              <w:left w:val="nil"/>
              <w:bottom w:val="single" w:color="000000" w:sz="4" w:space="0"/>
              <w:right w:val="single" w:color="000000" w:sz="4" w:space="0"/>
            </w:tcBorders>
            <w:shd w:val="clear" w:color="auto" w:fill="auto"/>
            <w:vAlign w:val="center"/>
            <w:hideMark/>
          </w:tcPr>
          <w:p w:rsidRPr="00AA36BC" w:rsidR="00AA36BC" w:rsidP="00AA36BC" w:rsidRDefault="00AA36BC" w14:paraId="71AB0C15" w14:textId="77777777">
            <w:pPr>
              <w:widowControl/>
              <w:jc w:val="center"/>
              <w:rPr>
                <w:rFonts w:ascii="Times New Roman" w:hAnsi="Times New Roman"/>
                <w:b/>
                <w:bCs/>
                <w:snapToGrid/>
                <w:color w:val="000000"/>
                <w:sz w:val="16"/>
                <w:szCs w:val="16"/>
              </w:rPr>
            </w:pPr>
            <w:r w:rsidRPr="00AA36BC">
              <w:rPr>
                <w:rFonts w:ascii="Times New Roman" w:hAnsi="Times New Roman"/>
                <w:b/>
                <w:bCs/>
                <w:snapToGrid/>
                <w:color w:val="000000"/>
                <w:sz w:val="16"/>
                <w:szCs w:val="16"/>
              </w:rPr>
              <w:t>No. of</w:t>
            </w:r>
            <w:r w:rsidRPr="00AA36BC">
              <w:rPr>
                <w:rFonts w:ascii="Times New Roman" w:hAnsi="Times New Roman"/>
                <w:b/>
                <w:bCs/>
                <w:snapToGrid/>
                <w:color w:val="000000"/>
                <w:sz w:val="16"/>
                <w:szCs w:val="16"/>
              </w:rPr>
              <w:br/>
              <w:t>Responses/Year</w:t>
            </w:r>
          </w:p>
        </w:tc>
        <w:tc>
          <w:tcPr>
            <w:tcW w:w="1548" w:type="dxa"/>
            <w:tcBorders>
              <w:top w:val="single" w:color="000000" w:sz="4" w:space="0"/>
              <w:left w:val="nil"/>
              <w:bottom w:val="single" w:color="000000" w:sz="4" w:space="0"/>
              <w:right w:val="single" w:color="000000" w:sz="4" w:space="0"/>
            </w:tcBorders>
            <w:shd w:val="clear" w:color="auto" w:fill="auto"/>
            <w:vAlign w:val="center"/>
            <w:hideMark/>
          </w:tcPr>
          <w:p w:rsidRPr="00AA36BC" w:rsidR="00AA36BC" w:rsidP="00AA36BC" w:rsidRDefault="00AA36BC" w14:paraId="49FB8701" w14:textId="77777777">
            <w:pPr>
              <w:widowControl/>
              <w:jc w:val="center"/>
              <w:rPr>
                <w:rFonts w:ascii="Times New Roman" w:hAnsi="Times New Roman"/>
                <w:b/>
                <w:bCs/>
                <w:snapToGrid/>
                <w:color w:val="000000"/>
                <w:sz w:val="16"/>
                <w:szCs w:val="16"/>
              </w:rPr>
            </w:pPr>
            <w:r w:rsidRPr="00AA36BC">
              <w:rPr>
                <w:rFonts w:ascii="Times New Roman" w:hAnsi="Times New Roman"/>
                <w:b/>
                <w:bCs/>
                <w:snapToGrid/>
                <w:color w:val="000000"/>
                <w:sz w:val="16"/>
                <w:szCs w:val="16"/>
              </w:rPr>
              <w:t xml:space="preserve"> Hour Per Response</w:t>
            </w:r>
          </w:p>
        </w:tc>
        <w:tc>
          <w:tcPr>
            <w:tcW w:w="1548" w:type="dxa"/>
            <w:tcBorders>
              <w:top w:val="single" w:color="000000" w:sz="4" w:space="0"/>
              <w:left w:val="nil"/>
              <w:bottom w:val="single" w:color="000000" w:sz="4" w:space="0"/>
              <w:right w:val="single" w:color="000000" w:sz="4" w:space="0"/>
            </w:tcBorders>
            <w:shd w:val="clear" w:color="auto" w:fill="auto"/>
            <w:vAlign w:val="center"/>
            <w:hideMark/>
          </w:tcPr>
          <w:p w:rsidRPr="00AA36BC" w:rsidR="00AA36BC" w:rsidP="00AA36BC" w:rsidRDefault="00AA36BC" w14:paraId="5176FF83" w14:textId="77777777">
            <w:pPr>
              <w:widowControl/>
              <w:jc w:val="center"/>
              <w:rPr>
                <w:rFonts w:ascii="Times New Roman" w:hAnsi="Times New Roman"/>
                <w:b/>
                <w:bCs/>
                <w:snapToGrid/>
                <w:color w:val="000000"/>
                <w:sz w:val="16"/>
                <w:szCs w:val="16"/>
              </w:rPr>
            </w:pPr>
            <w:r w:rsidRPr="00AA36BC">
              <w:rPr>
                <w:rFonts w:ascii="Times New Roman" w:hAnsi="Times New Roman"/>
                <w:b/>
                <w:bCs/>
                <w:snapToGrid/>
                <w:color w:val="000000"/>
                <w:sz w:val="16"/>
                <w:szCs w:val="16"/>
              </w:rPr>
              <w:t xml:space="preserve">Total Hours </w:t>
            </w:r>
            <w:r w:rsidRPr="00AA36BC">
              <w:rPr>
                <w:rFonts w:ascii="Times New Roman" w:hAnsi="Times New Roman"/>
                <w:b/>
                <w:bCs/>
                <w:snapToGrid/>
                <w:color w:val="000000"/>
                <w:sz w:val="16"/>
                <w:szCs w:val="16"/>
              </w:rPr>
              <w:br/>
              <w:t xml:space="preserve">Per Year </w:t>
            </w:r>
          </w:p>
        </w:tc>
        <w:tc>
          <w:tcPr>
            <w:tcW w:w="1548" w:type="dxa"/>
            <w:tcBorders>
              <w:top w:val="single" w:color="000000" w:sz="4" w:space="0"/>
              <w:left w:val="nil"/>
              <w:bottom w:val="single" w:color="000000" w:sz="4" w:space="0"/>
              <w:right w:val="single" w:color="000000" w:sz="4" w:space="0"/>
            </w:tcBorders>
            <w:shd w:val="clear" w:color="auto" w:fill="auto"/>
            <w:vAlign w:val="center"/>
            <w:hideMark/>
          </w:tcPr>
          <w:p w:rsidRPr="00AA36BC" w:rsidR="00AA36BC" w:rsidP="00AA36BC" w:rsidRDefault="00AA36BC" w14:paraId="5D352FBC" w14:textId="77777777">
            <w:pPr>
              <w:widowControl/>
              <w:jc w:val="center"/>
              <w:rPr>
                <w:rFonts w:ascii="Times New Roman" w:hAnsi="Times New Roman"/>
                <w:b/>
                <w:bCs/>
                <w:snapToGrid/>
                <w:color w:val="000000"/>
                <w:sz w:val="16"/>
                <w:szCs w:val="16"/>
              </w:rPr>
            </w:pPr>
            <w:r w:rsidRPr="00AA36BC">
              <w:rPr>
                <w:rFonts w:ascii="Times New Roman" w:hAnsi="Times New Roman"/>
                <w:b/>
                <w:bCs/>
                <w:snapToGrid/>
                <w:color w:val="000000"/>
                <w:sz w:val="16"/>
                <w:szCs w:val="16"/>
              </w:rPr>
              <w:t xml:space="preserve"> Cost Per Hour</w:t>
            </w:r>
          </w:p>
        </w:tc>
        <w:tc>
          <w:tcPr>
            <w:tcW w:w="1548" w:type="dxa"/>
            <w:tcBorders>
              <w:top w:val="single" w:color="000000" w:sz="4" w:space="0"/>
              <w:left w:val="nil"/>
              <w:bottom w:val="single" w:color="000000" w:sz="4" w:space="0"/>
              <w:right w:val="single" w:color="000000" w:sz="4" w:space="0"/>
            </w:tcBorders>
            <w:shd w:val="clear" w:color="auto" w:fill="auto"/>
            <w:vAlign w:val="center"/>
            <w:hideMark/>
          </w:tcPr>
          <w:p w:rsidRPr="00AA36BC" w:rsidR="00AA36BC" w:rsidP="00AA36BC" w:rsidRDefault="00AA36BC" w14:paraId="5C7535C2" w14:textId="77777777">
            <w:pPr>
              <w:widowControl/>
              <w:jc w:val="center"/>
              <w:rPr>
                <w:rFonts w:ascii="Times New Roman" w:hAnsi="Times New Roman"/>
                <w:b/>
                <w:bCs/>
                <w:snapToGrid/>
                <w:color w:val="000000"/>
                <w:sz w:val="16"/>
                <w:szCs w:val="16"/>
              </w:rPr>
            </w:pPr>
            <w:r w:rsidRPr="00AA36BC">
              <w:rPr>
                <w:rFonts w:ascii="Times New Roman" w:hAnsi="Times New Roman"/>
                <w:b/>
                <w:bCs/>
                <w:snapToGrid/>
                <w:color w:val="000000"/>
                <w:sz w:val="16"/>
                <w:szCs w:val="16"/>
              </w:rPr>
              <w:t xml:space="preserve">Total Cost </w:t>
            </w:r>
            <w:r w:rsidRPr="00AA36BC">
              <w:rPr>
                <w:rFonts w:ascii="Times New Roman" w:hAnsi="Times New Roman"/>
                <w:b/>
                <w:bCs/>
                <w:snapToGrid/>
                <w:color w:val="000000"/>
                <w:sz w:val="16"/>
                <w:szCs w:val="16"/>
              </w:rPr>
              <w:br/>
              <w:t xml:space="preserve">Per Year </w:t>
            </w:r>
          </w:p>
        </w:tc>
      </w:tr>
      <w:tr w:rsidRPr="00AA36BC" w:rsidR="002014F0" w:rsidTr="002014F0" w14:paraId="35B1E227" w14:textId="77777777">
        <w:trPr>
          <w:trHeight w:val="540"/>
        </w:trPr>
        <w:tc>
          <w:tcPr>
            <w:tcW w:w="2486" w:type="dxa"/>
            <w:tcBorders>
              <w:top w:val="nil"/>
              <w:left w:val="single" w:color="000000" w:sz="4" w:space="0"/>
              <w:bottom w:val="single" w:color="000000" w:sz="4" w:space="0"/>
              <w:right w:val="single" w:color="000000" w:sz="4" w:space="0"/>
            </w:tcBorders>
            <w:shd w:val="clear" w:color="auto" w:fill="auto"/>
            <w:vAlign w:val="center"/>
            <w:hideMark/>
          </w:tcPr>
          <w:p w:rsidRPr="00AA36BC" w:rsidR="002014F0" w:rsidP="002014F0" w:rsidRDefault="002014F0" w14:paraId="5E832296" w14:textId="77777777">
            <w:pPr>
              <w:widowControl/>
              <w:rPr>
                <w:rFonts w:ascii="Times New Roman" w:hAnsi="Times New Roman"/>
                <w:snapToGrid/>
                <w:color w:val="000000"/>
                <w:sz w:val="16"/>
                <w:szCs w:val="16"/>
              </w:rPr>
            </w:pPr>
            <w:r w:rsidRPr="00AA36BC">
              <w:rPr>
                <w:rFonts w:ascii="Times New Roman" w:hAnsi="Times New Roman"/>
                <w:snapToGrid/>
                <w:color w:val="000000"/>
                <w:sz w:val="16"/>
                <w:szCs w:val="16"/>
              </w:rPr>
              <w:t>Capitalization Grant Agreement/</w:t>
            </w:r>
            <w:r w:rsidRPr="00AA36BC">
              <w:rPr>
                <w:rFonts w:ascii="Times New Roman" w:hAnsi="Times New Roman"/>
                <w:snapToGrid/>
                <w:color w:val="000000"/>
                <w:sz w:val="16"/>
                <w:szCs w:val="16"/>
              </w:rPr>
              <w:br/>
              <w:t>Intended Use Plan</w:t>
            </w:r>
          </w:p>
        </w:tc>
        <w:tc>
          <w:tcPr>
            <w:tcW w:w="1545"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67D2BEBD"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51</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1AEC483B"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200</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759BC4AA"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10,200</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73D4A7AA" w14:textId="00E418FE">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$5</w:t>
            </w:r>
            <w:r>
              <w:rPr>
                <w:rFonts w:ascii="Times New Roman" w:hAnsi="Times New Roman"/>
                <w:snapToGrid/>
                <w:color w:val="000000"/>
                <w:sz w:val="16"/>
                <w:szCs w:val="16"/>
              </w:rPr>
              <w:t>4.12</w:t>
            </w:r>
          </w:p>
        </w:tc>
        <w:tc>
          <w:tcPr>
            <w:tcW w:w="1548" w:type="dxa"/>
            <w:tcBorders>
              <w:top w:val="nil"/>
              <w:left w:val="nil"/>
              <w:bottom w:val="single" w:color="000000" w:sz="4" w:space="0"/>
              <w:right w:val="single" w:color="000000" w:sz="4" w:space="0"/>
            </w:tcBorders>
            <w:shd w:val="clear" w:color="auto" w:fill="auto"/>
            <w:vAlign w:val="center"/>
            <w:hideMark/>
          </w:tcPr>
          <w:p w:rsidRPr="002014F0" w:rsidR="002014F0" w:rsidP="002014F0" w:rsidRDefault="002014F0" w14:paraId="403112FA" w14:textId="690C737E">
            <w:pPr>
              <w:widowControl/>
              <w:jc w:val="center"/>
              <w:rPr>
                <w:rFonts w:ascii="Times New Roman" w:hAnsi="Times New Roman"/>
                <w:snapToGrid/>
                <w:color w:val="000000"/>
                <w:sz w:val="16"/>
                <w:szCs w:val="16"/>
              </w:rPr>
            </w:pPr>
            <w:r w:rsidRPr="002014F0">
              <w:rPr>
                <w:rFonts w:ascii="Times New Roman" w:hAnsi="Times New Roman"/>
                <w:sz w:val="16"/>
                <w:szCs w:val="16"/>
              </w:rPr>
              <w:t>$552,024</w:t>
            </w:r>
          </w:p>
        </w:tc>
      </w:tr>
      <w:tr w:rsidRPr="00AA36BC" w:rsidR="002014F0" w:rsidTr="002014F0" w14:paraId="5BA0D0A7" w14:textId="77777777">
        <w:trPr>
          <w:trHeight w:val="465"/>
        </w:trPr>
        <w:tc>
          <w:tcPr>
            <w:tcW w:w="2486" w:type="dxa"/>
            <w:tcBorders>
              <w:top w:val="nil"/>
              <w:left w:val="single" w:color="000000" w:sz="4" w:space="0"/>
              <w:bottom w:val="single" w:color="000000" w:sz="4" w:space="0"/>
              <w:right w:val="single" w:color="000000" w:sz="4" w:space="0"/>
            </w:tcBorders>
            <w:shd w:val="clear" w:color="auto" w:fill="auto"/>
            <w:vAlign w:val="center"/>
            <w:hideMark/>
          </w:tcPr>
          <w:p w:rsidRPr="00AA36BC" w:rsidR="002014F0" w:rsidP="002014F0" w:rsidRDefault="002014F0" w14:paraId="043DCA23" w14:textId="77777777">
            <w:pPr>
              <w:widowControl/>
              <w:rPr>
                <w:rFonts w:ascii="Times New Roman" w:hAnsi="Times New Roman"/>
                <w:snapToGrid/>
                <w:color w:val="000000"/>
                <w:sz w:val="16"/>
                <w:szCs w:val="16"/>
              </w:rPr>
            </w:pPr>
            <w:r w:rsidRPr="00AA36BC">
              <w:rPr>
                <w:rFonts w:ascii="Times New Roman" w:hAnsi="Times New Roman"/>
                <w:snapToGrid/>
                <w:color w:val="000000"/>
                <w:sz w:val="16"/>
                <w:szCs w:val="16"/>
              </w:rPr>
              <w:t>Annual Report</w:t>
            </w:r>
          </w:p>
        </w:tc>
        <w:tc>
          <w:tcPr>
            <w:tcW w:w="1545"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51805DA1"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51</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4494DD2D"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110</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1DF5F293"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5,610</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7F67A21A" w14:textId="1184CD6C">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$5</w:t>
            </w:r>
            <w:r>
              <w:rPr>
                <w:rFonts w:ascii="Times New Roman" w:hAnsi="Times New Roman"/>
                <w:snapToGrid/>
                <w:color w:val="000000"/>
                <w:sz w:val="16"/>
                <w:szCs w:val="16"/>
              </w:rPr>
              <w:t>4</w:t>
            </w:r>
            <w:r w:rsidRPr="00AA36BC">
              <w:rPr>
                <w:rFonts w:ascii="Times New Roman" w:hAnsi="Times New Roman"/>
                <w:snapToGrid/>
                <w:color w:val="000000"/>
                <w:sz w:val="16"/>
                <w:szCs w:val="16"/>
              </w:rPr>
              <w:t>.</w:t>
            </w:r>
            <w:r>
              <w:rPr>
                <w:rFonts w:ascii="Times New Roman" w:hAnsi="Times New Roman"/>
                <w:snapToGrid/>
                <w:color w:val="000000"/>
                <w:sz w:val="16"/>
                <w:szCs w:val="16"/>
              </w:rPr>
              <w:t>12</w:t>
            </w:r>
            <w:r w:rsidRPr="00AA36BC">
              <w:rPr>
                <w:rFonts w:ascii="Times New Roman" w:hAnsi="Times New Roman"/>
                <w:snapToGrid/>
                <w:color w:val="000000"/>
                <w:sz w:val="16"/>
                <w:szCs w:val="16"/>
              </w:rPr>
              <w:t xml:space="preserve"> </w:t>
            </w:r>
          </w:p>
        </w:tc>
        <w:tc>
          <w:tcPr>
            <w:tcW w:w="1548" w:type="dxa"/>
            <w:tcBorders>
              <w:top w:val="nil"/>
              <w:left w:val="nil"/>
              <w:bottom w:val="single" w:color="000000" w:sz="4" w:space="0"/>
              <w:right w:val="single" w:color="000000" w:sz="4" w:space="0"/>
            </w:tcBorders>
            <w:shd w:val="clear" w:color="auto" w:fill="auto"/>
            <w:vAlign w:val="center"/>
            <w:hideMark/>
          </w:tcPr>
          <w:p w:rsidRPr="002014F0" w:rsidR="002014F0" w:rsidP="002014F0" w:rsidRDefault="002014F0" w14:paraId="45C2C232" w14:textId="2913F96B">
            <w:pPr>
              <w:widowControl/>
              <w:jc w:val="center"/>
              <w:rPr>
                <w:rFonts w:ascii="Times New Roman" w:hAnsi="Times New Roman"/>
                <w:snapToGrid/>
                <w:color w:val="000000"/>
                <w:sz w:val="16"/>
                <w:szCs w:val="16"/>
              </w:rPr>
            </w:pPr>
            <w:r w:rsidRPr="002014F0">
              <w:rPr>
                <w:rFonts w:ascii="Times New Roman" w:hAnsi="Times New Roman"/>
                <w:sz w:val="16"/>
                <w:szCs w:val="16"/>
              </w:rPr>
              <w:t>$303,613</w:t>
            </w:r>
          </w:p>
        </w:tc>
      </w:tr>
      <w:tr w:rsidRPr="00AA36BC" w:rsidR="002014F0" w:rsidTr="002014F0" w14:paraId="67EE2E47" w14:textId="77777777">
        <w:trPr>
          <w:trHeight w:val="510"/>
        </w:trPr>
        <w:tc>
          <w:tcPr>
            <w:tcW w:w="2486" w:type="dxa"/>
            <w:tcBorders>
              <w:top w:val="nil"/>
              <w:left w:val="single" w:color="000000" w:sz="4" w:space="0"/>
              <w:bottom w:val="single" w:color="000000" w:sz="4" w:space="0"/>
              <w:right w:val="single" w:color="000000" w:sz="4" w:space="0"/>
            </w:tcBorders>
            <w:shd w:val="clear" w:color="auto" w:fill="auto"/>
            <w:vAlign w:val="center"/>
            <w:hideMark/>
          </w:tcPr>
          <w:p w:rsidRPr="00AA36BC" w:rsidR="002014F0" w:rsidP="002014F0" w:rsidRDefault="002014F0" w14:paraId="4371845D" w14:textId="77777777">
            <w:pPr>
              <w:widowControl/>
              <w:rPr>
                <w:rFonts w:ascii="Times New Roman" w:hAnsi="Times New Roman"/>
                <w:snapToGrid/>
                <w:color w:val="000000"/>
                <w:sz w:val="16"/>
                <w:szCs w:val="16"/>
              </w:rPr>
            </w:pPr>
            <w:r w:rsidRPr="00AA36BC">
              <w:rPr>
                <w:rFonts w:ascii="Times New Roman" w:hAnsi="Times New Roman"/>
                <w:snapToGrid/>
                <w:color w:val="000000"/>
                <w:sz w:val="16"/>
                <w:szCs w:val="16"/>
              </w:rPr>
              <w:t>Annual Audit</w:t>
            </w:r>
          </w:p>
        </w:tc>
        <w:tc>
          <w:tcPr>
            <w:tcW w:w="1545"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74EFBAA0"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47</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2BD779F9"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770</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046F0407"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36,190</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31FA275B" w14:textId="0C74F5CE">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$5</w:t>
            </w:r>
            <w:r>
              <w:rPr>
                <w:rFonts w:ascii="Times New Roman" w:hAnsi="Times New Roman"/>
                <w:snapToGrid/>
                <w:color w:val="000000"/>
                <w:sz w:val="16"/>
                <w:szCs w:val="16"/>
              </w:rPr>
              <w:t>4</w:t>
            </w:r>
            <w:r w:rsidRPr="00AA36BC">
              <w:rPr>
                <w:rFonts w:ascii="Times New Roman" w:hAnsi="Times New Roman"/>
                <w:snapToGrid/>
                <w:color w:val="000000"/>
                <w:sz w:val="16"/>
                <w:szCs w:val="16"/>
              </w:rPr>
              <w:t>.</w:t>
            </w:r>
            <w:r>
              <w:rPr>
                <w:rFonts w:ascii="Times New Roman" w:hAnsi="Times New Roman"/>
                <w:snapToGrid/>
                <w:color w:val="000000"/>
                <w:sz w:val="16"/>
                <w:szCs w:val="16"/>
              </w:rPr>
              <w:t>12</w:t>
            </w:r>
            <w:r w:rsidRPr="00AA36BC">
              <w:rPr>
                <w:rFonts w:ascii="Times New Roman" w:hAnsi="Times New Roman"/>
                <w:snapToGrid/>
                <w:color w:val="000000"/>
                <w:sz w:val="16"/>
                <w:szCs w:val="16"/>
              </w:rPr>
              <w:t xml:space="preserve"> </w:t>
            </w:r>
          </w:p>
        </w:tc>
        <w:tc>
          <w:tcPr>
            <w:tcW w:w="1548" w:type="dxa"/>
            <w:tcBorders>
              <w:top w:val="nil"/>
              <w:left w:val="nil"/>
              <w:bottom w:val="single" w:color="000000" w:sz="4" w:space="0"/>
              <w:right w:val="single" w:color="000000" w:sz="4" w:space="0"/>
            </w:tcBorders>
            <w:shd w:val="clear" w:color="auto" w:fill="auto"/>
            <w:vAlign w:val="center"/>
            <w:hideMark/>
          </w:tcPr>
          <w:p w:rsidRPr="002014F0" w:rsidR="002014F0" w:rsidP="002014F0" w:rsidRDefault="002014F0" w14:paraId="64C4AB58" w14:textId="01433A7F">
            <w:pPr>
              <w:widowControl/>
              <w:jc w:val="center"/>
              <w:rPr>
                <w:rFonts w:ascii="Times New Roman" w:hAnsi="Times New Roman"/>
                <w:snapToGrid/>
                <w:color w:val="000000"/>
                <w:sz w:val="16"/>
                <w:szCs w:val="16"/>
              </w:rPr>
            </w:pPr>
            <w:r w:rsidRPr="002014F0">
              <w:rPr>
                <w:rFonts w:ascii="Times New Roman" w:hAnsi="Times New Roman"/>
                <w:sz w:val="16"/>
                <w:szCs w:val="16"/>
              </w:rPr>
              <w:t>$1,958,603</w:t>
            </w:r>
          </w:p>
        </w:tc>
      </w:tr>
      <w:tr w:rsidRPr="00AA36BC" w:rsidR="002014F0" w:rsidTr="002014F0" w14:paraId="5509B6EC" w14:textId="77777777">
        <w:trPr>
          <w:trHeight w:val="495"/>
        </w:trPr>
        <w:tc>
          <w:tcPr>
            <w:tcW w:w="2486" w:type="dxa"/>
            <w:tcBorders>
              <w:top w:val="nil"/>
              <w:left w:val="single" w:color="000000" w:sz="4" w:space="0"/>
              <w:bottom w:val="single" w:color="000000" w:sz="4" w:space="0"/>
              <w:right w:val="single" w:color="000000" w:sz="4" w:space="0"/>
            </w:tcBorders>
            <w:shd w:val="clear" w:color="auto" w:fill="auto"/>
            <w:vAlign w:val="center"/>
            <w:hideMark/>
          </w:tcPr>
          <w:p w:rsidRPr="00AA36BC" w:rsidR="002014F0" w:rsidP="002014F0" w:rsidRDefault="002014F0" w14:paraId="3772356E" w14:textId="77777777">
            <w:pPr>
              <w:widowControl/>
              <w:rPr>
                <w:rFonts w:ascii="Times New Roman" w:hAnsi="Times New Roman"/>
                <w:snapToGrid/>
                <w:color w:val="000000"/>
                <w:sz w:val="16"/>
                <w:szCs w:val="16"/>
              </w:rPr>
            </w:pPr>
            <w:r w:rsidRPr="00AA36BC">
              <w:rPr>
                <w:rFonts w:ascii="Times New Roman" w:hAnsi="Times New Roman"/>
                <w:snapToGrid/>
                <w:color w:val="000000"/>
                <w:sz w:val="16"/>
                <w:szCs w:val="16"/>
              </w:rPr>
              <w:t>CBR &amp; NIMS Reporting</w:t>
            </w:r>
          </w:p>
        </w:tc>
        <w:tc>
          <w:tcPr>
            <w:tcW w:w="1545"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33789C6C"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51</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35159E72"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90</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196C52A2"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4,590</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6BAAD4CF" w14:textId="794EAA61">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$5</w:t>
            </w:r>
            <w:r>
              <w:rPr>
                <w:rFonts w:ascii="Times New Roman" w:hAnsi="Times New Roman"/>
                <w:snapToGrid/>
                <w:color w:val="000000"/>
                <w:sz w:val="16"/>
                <w:szCs w:val="16"/>
              </w:rPr>
              <w:t>4</w:t>
            </w:r>
            <w:r w:rsidRPr="00AA36BC">
              <w:rPr>
                <w:rFonts w:ascii="Times New Roman" w:hAnsi="Times New Roman"/>
                <w:snapToGrid/>
                <w:color w:val="000000"/>
                <w:sz w:val="16"/>
                <w:szCs w:val="16"/>
              </w:rPr>
              <w:t>.</w:t>
            </w:r>
            <w:r>
              <w:rPr>
                <w:rFonts w:ascii="Times New Roman" w:hAnsi="Times New Roman"/>
                <w:snapToGrid/>
                <w:color w:val="000000"/>
                <w:sz w:val="16"/>
                <w:szCs w:val="16"/>
              </w:rPr>
              <w:t>12</w:t>
            </w:r>
            <w:r w:rsidRPr="00AA36BC">
              <w:rPr>
                <w:rFonts w:ascii="Times New Roman" w:hAnsi="Times New Roman"/>
                <w:snapToGrid/>
                <w:color w:val="000000"/>
                <w:sz w:val="16"/>
                <w:szCs w:val="16"/>
              </w:rPr>
              <w:t xml:space="preserve"> </w:t>
            </w:r>
          </w:p>
        </w:tc>
        <w:tc>
          <w:tcPr>
            <w:tcW w:w="1548" w:type="dxa"/>
            <w:tcBorders>
              <w:top w:val="nil"/>
              <w:left w:val="nil"/>
              <w:bottom w:val="single" w:color="000000" w:sz="4" w:space="0"/>
              <w:right w:val="single" w:color="000000" w:sz="4" w:space="0"/>
            </w:tcBorders>
            <w:shd w:val="clear" w:color="auto" w:fill="auto"/>
            <w:vAlign w:val="center"/>
            <w:hideMark/>
          </w:tcPr>
          <w:p w:rsidRPr="002014F0" w:rsidR="002014F0" w:rsidP="002014F0" w:rsidRDefault="002014F0" w14:paraId="13B2FFBD" w14:textId="10D9D3C8">
            <w:pPr>
              <w:widowControl/>
              <w:jc w:val="center"/>
              <w:rPr>
                <w:rFonts w:ascii="Times New Roman" w:hAnsi="Times New Roman"/>
                <w:snapToGrid/>
                <w:color w:val="000000"/>
                <w:sz w:val="16"/>
                <w:szCs w:val="16"/>
              </w:rPr>
            </w:pPr>
            <w:r w:rsidRPr="002014F0">
              <w:rPr>
                <w:rFonts w:ascii="Times New Roman" w:hAnsi="Times New Roman"/>
                <w:sz w:val="16"/>
                <w:szCs w:val="16"/>
              </w:rPr>
              <w:t>$248,411</w:t>
            </w:r>
          </w:p>
        </w:tc>
      </w:tr>
      <w:tr w:rsidRPr="00AA36BC" w:rsidR="002014F0" w:rsidTr="002014F0" w14:paraId="44C2C8D9" w14:textId="77777777">
        <w:trPr>
          <w:trHeight w:val="510"/>
        </w:trPr>
        <w:tc>
          <w:tcPr>
            <w:tcW w:w="2486" w:type="dxa"/>
            <w:tcBorders>
              <w:top w:val="nil"/>
              <w:left w:val="single" w:color="000000" w:sz="4" w:space="0"/>
              <w:bottom w:val="single" w:color="000000" w:sz="4" w:space="0"/>
              <w:right w:val="single" w:color="000000" w:sz="4" w:space="0"/>
            </w:tcBorders>
            <w:shd w:val="clear" w:color="auto" w:fill="auto"/>
            <w:vAlign w:val="center"/>
            <w:hideMark/>
          </w:tcPr>
          <w:p w:rsidRPr="00AA36BC" w:rsidR="002014F0" w:rsidP="002014F0" w:rsidRDefault="002014F0" w14:paraId="4A85C3E2" w14:textId="77777777">
            <w:pPr>
              <w:widowControl/>
              <w:rPr>
                <w:rFonts w:ascii="Times New Roman" w:hAnsi="Times New Roman"/>
                <w:snapToGrid/>
                <w:color w:val="000000"/>
                <w:sz w:val="16"/>
                <w:szCs w:val="16"/>
              </w:rPr>
            </w:pPr>
            <w:r w:rsidRPr="00AA36BC">
              <w:rPr>
                <w:rFonts w:ascii="Times New Roman" w:hAnsi="Times New Roman"/>
                <w:snapToGrid/>
                <w:color w:val="000000"/>
                <w:sz w:val="16"/>
                <w:szCs w:val="16"/>
              </w:rPr>
              <w:t>Public Awareness Policy</w:t>
            </w:r>
          </w:p>
        </w:tc>
        <w:tc>
          <w:tcPr>
            <w:tcW w:w="1545"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08B893F7"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320</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2C111C8F"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2</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27816BC6" w14:textId="77777777">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640</w:t>
            </w:r>
          </w:p>
        </w:tc>
        <w:tc>
          <w:tcPr>
            <w:tcW w:w="1548" w:type="dxa"/>
            <w:tcBorders>
              <w:top w:val="nil"/>
              <w:left w:val="nil"/>
              <w:bottom w:val="single" w:color="000000" w:sz="4" w:space="0"/>
              <w:right w:val="single" w:color="000000" w:sz="4" w:space="0"/>
            </w:tcBorders>
            <w:shd w:val="clear" w:color="auto" w:fill="auto"/>
            <w:vAlign w:val="center"/>
            <w:hideMark/>
          </w:tcPr>
          <w:p w:rsidRPr="00AA36BC" w:rsidR="002014F0" w:rsidP="002014F0" w:rsidRDefault="002014F0" w14:paraId="2B104BE5" w14:textId="7D308F93">
            <w:pPr>
              <w:widowControl/>
              <w:jc w:val="center"/>
              <w:rPr>
                <w:rFonts w:ascii="Times New Roman" w:hAnsi="Times New Roman"/>
                <w:snapToGrid/>
                <w:color w:val="000000"/>
                <w:sz w:val="16"/>
                <w:szCs w:val="16"/>
              </w:rPr>
            </w:pPr>
            <w:r w:rsidRPr="00AA36BC">
              <w:rPr>
                <w:rFonts w:ascii="Times New Roman" w:hAnsi="Times New Roman"/>
                <w:snapToGrid/>
                <w:color w:val="000000"/>
                <w:sz w:val="16"/>
                <w:szCs w:val="16"/>
              </w:rPr>
              <w:t>$35.</w:t>
            </w:r>
            <w:r>
              <w:rPr>
                <w:rFonts w:ascii="Times New Roman" w:hAnsi="Times New Roman"/>
                <w:snapToGrid/>
                <w:color w:val="000000"/>
                <w:sz w:val="16"/>
                <w:szCs w:val="16"/>
              </w:rPr>
              <w:t>42</w:t>
            </w:r>
          </w:p>
        </w:tc>
        <w:tc>
          <w:tcPr>
            <w:tcW w:w="1548" w:type="dxa"/>
            <w:tcBorders>
              <w:top w:val="nil"/>
              <w:left w:val="nil"/>
              <w:bottom w:val="single" w:color="000000" w:sz="4" w:space="0"/>
              <w:right w:val="single" w:color="000000" w:sz="4" w:space="0"/>
            </w:tcBorders>
            <w:shd w:val="clear" w:color="auto" w:fill="auto"/>
            <w:vAlign w:val="center"/>
            <w:hideMark/>
          </w:tcPr>
          <w:p w:rsidRPr="002014F0" w:rsidR="002014F0" w:rsidP="002014F0" w:rsidRDefault="002014F0" w14:paraId="2B3C562D" w14:textId="47F22092">
            <w:pPr>
              <w:widowControl/>
              <w:jc w:val="center"/>
              <w:rPr>
                <w:rFonts w:ascii="Times New Roman" w:hAnsi="Times New Roman"/>
                <w:snapToGrid/>
                <w:color w:val="000000"/>
                <w:sz w:val="16"/>
                <w:szCs w:val="16"/>
              </w:rPr>
            </w:pPr>
            <w:r w:rsidRPr="002014F0">
              <w:rPr>
                <w:rFonts w:ascii="Times New Roman" w:hAnsi="Times New Roman"/>
                <w:sz w:val="16"/>
                <w:szCs w:val="16"/>
              </w:rPr>
              <w:t>$22,669</w:t>
            </w:r>
          </w:p>
        </w:tc>
      </w:tr>
    </w:tbl>
    <w:p w:rsidRPr="00813482" w:rsidR="00882C89" w:rsidP="005F0653" w:rsidRDefault="00882C89" w14:paraId="51C424FB" w14:textId="77777777">
      <w:pPr>
        <w:pStyle w:val="NoSpacing"/>
        <w:rPr>
          <w:rFonts w:ascii="Times New Roman" w:hAnsi="Times New Roman" w:cs="Times New Roman"/>
          <w:sz w:val="24"/>
          <w:szCs w:val="24"/>
        </w:rPr>
      </w:pPr>
    </w:p>
    <w:tbl>
      <w:tblPr>
        <w:tblW w:w="5940" w:type="dxa"/>
        <w:tblLook w:val="04A0" w:firstRow="1" w:lastRow="0" w:firstColumn="1" w:lastColumn="0" w:noHBand="0" w:noVBand="1"/>
      </w:tblPr>
      <w:tblGrid>
        <w:gridCol w:w="3870"/>
        <w:gridCol w:w="2070"/>
      </w:tblGrid>
      <w:tr w:rsidRPr="00E3608F" w:rsidR="00E3608F" w:rsidTr="00E3608F" w14:paraId="09BA6299" w14:textId="77777777">
        <w:trPr>
          <w:trHeight w:val="300"/>
        </w:trPr>
        <w:tc>
          <w:tcPr>
            <w:tcW w:w="3870" w:type="dxa"/>
            <w:tcBorders>
              <w:top w:val="nil"/>
              <w:left w:val="nil"/>
              <w:bottom w:val="nil"/>
              <w:right w:val="nil"/>
            </w:tcBorders>
            <w:shd w:val="clear" w:color="auto" w:fill="auto"/>
            <w:vAlign w:val="bottom"/>
            <w:hideMark/>
          </w:tcPr>
          <w:p w:rsidRPr="00E3608F" w:rsidR="00E3608F" w:rsidP="00E3608F" w:rsidRDefault="00E3608F" w14:paraId="6B203B7B" w14:textId="77777777">
            <w:pPr>
              <w:widowControl/>
              <w:rPr>
                <w:rFonts w:ascii="Times New Roman" w:hAnsi="Times New Roman"/>
                <w:b/>
                <w:bCs/>
                <w:snapToGrid/>
                <w:color w:val="000000"/>
                <w:sz w:val="20"/>
              </w:rPr>
            </w:pPr>
            <w:r w:rsidRPr="00E3608F">
              <w:rPr>
                <w:rFonts w:ascii="Times New Roman" w:hAnsi="Times New Roman"/>
                <w:b/>
                <w:bCs/>
                <w:snapToGrid/>
                <w:color w:val="000000"/>
                <w:sz w:val="20"/>
              </w:rPr>
              <w:t>Average Annual # of Hours:</w:t>
            </w:r>
          </w:p>
        </w:tc>
        <w:tc>
          <w:tcPr>
            <w:tcW w:w="2070" w:type="dxa"/>
            <w:tcBorders>
              <w:top w:val="nil"/>
              <w:left w:val="nil"/>
              <w:bottom w:val="nil"/>
              <w:right w:val="nil"/>
            </w:tcBorders>
            <w:shd w:val="clear" w:color="auto" w:fill="auto"/>
            <w:noWrap/>
            <w:vAlign w:val="bottom"/>
            <w:hideMark/>
          </w:tcPr>
          <w:p w:rsidRPr="00E3608F" w:rsidR="00E3608F" w:rsidP="00E3608F" w:rsidRDefault="00BA4EC3" w14:paraId="4E96C96E" w14:textId="54E80D9F">
            <w:pPr>
              <w:widowControl/>
              <w:jc w:val="center"/>
              <w:rPr>
                <w:rFonts w:ascii="Times New Roman" w:hAnsi="Times New Roman"/>
                <w:b/>
                <w:bCs/>
                <w:snapToGrid/>
                <w:color w:val="000000"/>
                <w:sz w:val="20"/>
              </w:rPr>
            </w:pPr>
            <w:r>
              <w:rPr>
                <w:rFonts w:ascii="Times New Roman" w:hAnsi="Times New Roman"/>
                <w:b/>
                <w:bCs/>
                <w:snapToGrid/>
                <w:color w:val="000000"/>
                <w:sz w:val="20"/>
              </w:rPr>
              <w:t>57</w:t>
            </w:r>
            <w:r w:rsidR="0051009E">
              <w:rPr>
                <w:rFonts w:ascii="Times New Roman" w:hAnsi="Times New Roman"/>
                <w:b/>
                <w:bCs/>
                <w:snapToGrid/>
                <w:color w:val="000000"/>
                <w:sz w:val="20"/>
              </w:rPr>
              <w:t>,</w:t>
            </w:r>
            <w:r>
              <w:rPr>
                <w:rFonts w:ascii="Times New Roman" w:hAnsi="Times New Roman"/>
                <w:b/>
                <w:bCs/>
                <w:snapToGrid/>
                <w:color w:val="000000"/>
                <w:sz w:val="20"/>
              </w:rPr>
              <w:t>230</w:t>
            </w:r>
          </w:p>
        </w:tc>
      </w:tr>
      <w:tr w:rsidRPr="00E3608F" w:rsidR="00E3608F" w:rsidTr="00E3608F" w14:paraId="67B8BEB1" w14:textId="77777777">
        <w:trPr>
          <w:trHeight w:val="300"/>
        </w:trPr>
        <w:tc>
          <w:tcPr>
            <w:tcW w:w="3870" w:type="dxa"/>
            <w:tcBorders>
              <w:top w:val="nil"/>
              <w:left w:val="nil"/>
              <w:bottom w:val="nil"/>
              <w:right w:val="nil"/>
            </w:tcBorders>
            <w:shd w:val="clear" w:color="auto" w:fill="auto"/>
            <w:vAlign w:val="bottom"/>
            <w:hideMark/>
          </w:tcPr>
          <w:p w:rsidRPr="00E3608F" w:rsidR="00E3608F" w:rsidP="00E3608F" w:rsidRDefault="00E3608F" w14:paraId="4E652EB2" w14:textId="77777777">
            <w:pPr>
              <w:widowControl/>
              <w:rPr>
                <w:rFonts w:ascii="Times New Roman" w:hAnsi="Times New Roman"/>
                <w:b/>
                <w:bCs/>
                <w:snapToGrid/>
                <w:color w:val="000000"/>
                <w:sz w:val="20"/>
              </w:rPr>
            </w:pPr>
            <w:r w:rsidRPr="00E3608F">
              <w:rPr>
                <w:rFonts w:ascii="Times New Roman" w:hAnsi="Times New Roman"/>
                <w:b/>
                <w:bCs/>
                <w:snapToGrid/>
                <w:color w:val="000000"/>
                <w:sz w:val="20"/>
              </w:rPr>
              <w:t>Average Annual Cost:</w:t>
            </w:r>
          </w:p>
        </w:tc>
        <w:tc>
          <w:tcPr>
            <w:tcW w:w="2070" w:type="dxa"/>
            <w:tcBorders>
              <w:top w:val="nil"/>
              <w:left w:val="nil"/>
              <w:bottom w:val="nil"/>
              <w:right w:val="nil"/>
            </w:tcBorders>
            <w:shd w:val="clear" w:color="auto" w:fill="auto"/>
            <w:noWrap/>
            <w:vAlign w:val="bottom"/>
            <w:hideMark/>
          </w:tcPr>
          <w:p w:rsidRPr="00E3608F" w:rsidR="00E3608F" w:rsidP="00E3608F" w:rsidRDefault="00921B47" w14:paraId="1ABD3576" w14:textId="56599726">
            <w:pPr>
              <w:widowControl/>
              <w:jc w:val="center"/>
              <w:rPr>
                <w:rFonts w:ascii="Times New Roman" w:hAnsi="Times New Roman"/>
                <w:b/>
                <w:bCs/>
                <w:snapToGrid/>
                <w:color w:val="000000"/>
                <w:sz w:val="20"/>
              </w:rPr>
            </w:pPr>
            <w:r w:rsidRPr="00921B47">
              <w:rPr>
                <w:rFonts w:ascii="Times New Roman" w:hAnsi="Times New Roman"/>
                <w:b/>
                <w:bCs/>
                <w:snapToGrid/>
                <w:color w:val="000000"/>
                <w:sz w:val="20"/>
              </w:rPr>
              <w:t>$3,085,320</w:t>
            </w:r>
          </w:p>
        </w:tc>
      </w:tr>
      <w:tr w:rsidRPr="00E3608F" w:rsidR="00E3608F" w:rsidTr="00E3608F" w14:paraId="11BB8655" w14:textId="77777777">
        <w:trPr>
          <w:trHeight w:val="210"/>
        </w:trPr>
        <w:tc>
          <w:tcPr>
            <w:tcW w:w="3870" w:type="dxa"/>
            <w:tcBorders>
              <w:top w:val="nil"/>
              <w:left w:val="nil"/>
              <w:bottom w:val="nil"/>
              <w:right w:val="nil"/>
            </w:tcBorders>
            <w:shd w:val="clear" w:color="auto" w:fill="auto"/>
            <w:noWrap/>
            <w:vAlign w:val="bottom"/>
            <w:hideMark/>
          </w:tcPr>
          <w:p w:rsidRPr="00E3608F" w:rsidR="00E3608F" w:rsidP="00E3608F" w:rsidRDefault="00E3608F" w14:paraId="35786970" w14:textId="77777777">
            <w:pPr>
              <w:widowControl/>
              <w:jc w:val="center"/>
              <w:rPr>
                <w:rFonts w:ascii="Times New Roman" w:hAnsi="Times New Roman"/>
                <w:b/>
                <w:bCs/>
                <w:snapToGrid/>
                <w:color w:val="000000"/>
                <w:sz w:val="20"/>
              </w:rPr>
            </w:pPr>
          </w:p>
        </w:tc>
        <w:tc>
          <w:tcPr>
            <w:tcW w:w="2070" w:type="dxa"/>
            <w:tcBorders>
              <w:top w:val="nil"/>
              <w:left w:val="nil"/>
              <w:bottom w:val="nil"/>
              <w:right w:val="nil"/>
            </w:tcBorders>
            <w:shd w:val="clear" w:color="auto" w:fill="auto"/>
            <w:noWrap/>
            <w:vAlign w:val="bottom"/>
            <w:hideMark/>
          </w:tcPr>
          <w:p w:rsidRPr="00E3608F" w:rsidR="00E3608F" w:rsidP="00E3608F" w:rsidRDefault="00E3608F" w14:paraId="6771BF0F" w14:textId="77777777">
            <w:pPr>
              <w:widowControl/>
              <w:rPr>
                <w:rFonts w:ascii="Times New Roman" w:hAnsi="Times New Roman"/>
                <w:snapToGrid/>
                <w:sz w:val="20"/>
              </w:rPr>
            </w:pPr>
          </w:p>
        </w:tc>
      </w:tr>
      <w:tr w:rsidRPr="00E3608F" w:rsidR="00E3608F" w:rsidTr="00E3608F" w14:paraId="4AE07437" w14:textId="77777777">
        <w:trPr>
          <w:trHeight w:val="300"/>
        </w:trPr>
        <w:tc>
          <w:tcPr>
            <w:tcW w:w="3870" w:type="dxa"/>
            <w:tcBorders>
              <w:top w:val="nil"/>
              <w:left w:val="nil"/>
              <w:bottom w:val="nil"/>
              <w:right w:val="nil"/>
            </w:tcBorders>
            <w:shd w:val="clear" w:color="auto" w:fill="auto"/>
            <w:vAlign w:val="bottom"/>
            <w:hideMark/>
          </w:tcPr>
          <w:p w:rsidRPr="00E3608F" w:rsidR="00E3608F" w:rsidP="00E3608F" w:rsidRDefault="00E3608F" w14:paraId="621D2339" w14:textId="56C74E09">
            <w:pPr>
              <w:widowControl/>
              <w:rPr>
                <w:rFonts w:ascii="Times New Roman" w:hAnsi="Times New Roman"/>
                <w:b/>
                <w:bCs/>
                <w:snapToGrid/>
                <w:color w:val="000000"/>
                <w:sz w:val="20"/>
              </w:rPr>
            </w:pPr>
            <w:r w:rsidRPr="00E3608F">
              <w:rPr>
                <w:rFonts w:ascii="Times New Roman" w:hAnsi="Times New Roman"/>
                <w:b/>
                <w:bCs/>
                <w:snapToGrid/>
                <w:color w:val="000000"/>
                <w:sz w:val="20"/>
              </w:rPr>
              <w:t>Total # of Hours (FFY 2021 to FFY</w:t>
            </w:r>
            <w:r w:rsidR="00526B86">
              <w:rPr>
                <w:rFonts w:ascii="Times New Roman" w:hAnsi="Times New Roman"/>
                <w:b/>
                <w:bCs/>
                <w:snapToGrid/>
                <w:color w:val="000000"/>
                <w:sz w:val="20"/>
              </w:rPr>
              <w:t xml:space="preserve"> </w:t>
            </w:r>
            <w:r w:rsidRPr="00E3608F">
              <w:rPr>
                <w:rFonts w:ascii="Times New Roman" w:hAnsi="Times New Roman"/>
                <w:b/>
                <w:bCs/>
                <w:snapToGrid/>
                <w:color w:val="000000"/>
                <w:sz w:val="20"/>
              </w:rPr>
              <w:t>2023):</w:t>
            </w:r>
          </w:p>
        </w:tc>
        <w:tc>
          <w:tcPr>
            <w:tcW w:w="2070" w:type="dxa"/>
            <w:tcBorders>
              <w:top w:val="nil"/>
              <w:left w:val="nil"/>
              <w:bottom w:val="nil"/>
              <w:right w:val="nil"/>
            </w:tcBorders>
            <w:shd w:val="clear" w:color="auto" w:fill="auto"/>
            <w:noWrap/>
            <w:vAlign w:val="bottom"/>
            <w:hideMark/>
          </w:tcPr>
          <w:p w:rsidRPr="00E3608F" w:rsidR="00E3608F" w:rsidP="00E3608F" w:rsidRDefault="0051009E" w14:paraId="12DD3254" w14:textId="1B84EA5D">
            <w:pPr>
              <w:widowControl/>
              <w:jc w:val="center"/>
              <w:rPr>
                <w:rFonts w:ascii="Times New Roman" w:hAnsi="Times New Roman"/>
                <w:b/>
                <w:bCs/>
                <w:snapToGrid/>
                <w:color w:val="000000"/>
                <w:sz w:val="20"/>
              </w:rPr>
            </w:pPr>
            <w:r w:rsidRPr="0051009E">
              <w:rPr>
                <w:rFonts w:ascii="Times New Roman" w:hAnsi="Times New Roman"/>
                <w:b/>
                <w:bCs/>
                <w:snapToGrid/>
                <w:color w:val="000000"/>
                <w:sz w:val="20"/>
              </w:rPr>
              <w:t>171</w:t>
            </w:r>
            <w:r>
              <w:rPr>
                <w:rFonts w:ascii="Times New Roman" w:hAnsi="Times New Roman"/>
                <w:b/>
                <w:bCs/>
                <w:snapToGrid/>
                <w:color w:val="000000"/>
                <w:sz w:val="20"/>
              </w:rPr>
              <w:t>,</w:t>
            </w:r>
            <w:r w:rsidRPr="0051009E">
              <w:rPr>
                <w:rFonts w:ascii="Times New Roman" w:hAnsi="Times New Roman"/>
                <w:b/>
                <w:bCs/>
                <w:snapToGrid/>
                <w:color w:val="000000"/>
                <w:sz w:val="20"/>
              </w:rPr>
              <w:t>690</w:t>
            </w:r>
          </w:p>
        </w:tc>
      </w:tr>
      <w:tr w:rsidRPr="00E3608F" w:rsidR="00E3608F" w:rsidTr="00E3608F" w14:paraId="336CE02C" w14:textId="77777777">
        <w:trPr>
          <w:trHeight w:val="300"/>
        </w:trPr>
        <w:tc>
          <w:tcPr>
            <w:tcW w:w="3870" w:type="dxa"/>
            <w:tcBorders>
              <w:top w:val="nil"/>
              <w:left w:val="nil"/>
              <w:bottom w:val="nil"/>
              <w:right w:val="nil"/>
            </w:tcBorders>
            <w:shd w:val="clear" w:color="auto" w:fill="auto"/>
            <w:vAlign w:val="bottom"/>
            <w:hideMark/>
          </w:tcPr>
          <w:p w:rsidRPr="00E3608F" w:rsidR="00E3608F" w:rsidP="00E3608F" w:rsidRDefault="00E3608F" w14:paraId="1FD7488F" w14:textId="77777777">
            <w:pPr>
              <w:widowControl/>
              <w:rPr>
                <w:rFonts w:ascii="Times New Roman" w:hAnsi="Times New Roman"/>
                <w:b/>
                <w:bCs/>
                <w:snapToGrid/>
                <w:color w:val="000000"/>
                <w:sz w:val="20"/>
              </w:rPr>
            </w:pPr>
            <w:r w:rsidRPr="00E3608F">
              <w:rPr>
                <w:rFonts w:ascii="Times New Roman" w:hAnsi="Times New Roman"/>
                <w:b/>
                <w:bCs/>
                <w:snapToGrid/>
                <w:color w:val="000000"/>
                <w:sz w:val="20"/>
              </w:rPr>
              <w:t>Total Cost (FFY 2021 to FFY 2023):</w:t>
            </w:r>
          </w:p>
        </w:tc>
        <w:tc>
          <w:tcPr>
            <w:tcW w:w="2070" w:type="dxa"/>
            <w:tcBorders>
              <w:top w:val="nil"/>
              <w:left w:val="nil"/>
              <w:bottom w:val="nil"/>
              <w:right w:val="nil"/>
            </w:tcBorders>
            <w:shd w:val="clear" w:color="auto" w:fill="auto"/>
            <w:noWrap/>
            <w:vAlign w:val="bottom"/>
            <w:hideMark/>
          </w:tcPr>
          <w:p w:rsidRPr="00E3608F" w:rsidR="00E3608F" w:rsidP="00E3608F" w:rsidRDefault="00921B47" w14:paraId="210762FA" w14:textId="0B30DE92">
            <w:pPr>
              <w:widowControl/>
              <w:jc w:val="center"/>
              <w:rPr>
                <w:rFonts w:ascii="Times New Roman" w:hAnsi="Times New Roman"/>
                <w:b/>
                <w:bCs/>
                <w:snapToGrid/>
                <w:color w:val="000000"/>
                <w:sz w:val="20"/>
              </w:rPr>
            </w:pPr>
            <w:r w:rsidRPr="00921B47">
              <w:rPr>
                <w:rFonts w:ascii="Times New Roman" w:hAnsi="Times New Roman"/>
                <w:b/>
                <w:bCs/>
                <w:snapToGrid/>
                <w:color w:val="000000"/>
                <w:sz w:val="20"/>
              </w:rPr>
              <w:t>$9,255,9</w:t>
            </w:r>
            <w:r>
              <w:rPr>
                <w:rFonts w:ascii="Times New Roman" w:hAnsi="Times New Roman"/>
                <w:b/>
                <w:bCs/>
                <w:snapToGrid/>
                <w:color w:val="000000"/>
                <w:sz w:val="20"/>
              </w:rPr>
              <w:t>60</w:t>
            </w:r>
          </w:p>
        </w:tc>
      </w:tr>
    </w:tbl>
    <w:p w:rsidR="00C033BD" w:rsidP="001F122E" w:rsidRDefault="00C033BD" w14:paraId="5519EE91" w14:textId="52D4FA2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500ABB" w:rsidP="001F122E" w:rsidRDefault="00500ABB" w14:paraId="5578063F" w14:textId="5DCBC09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1F122E" w:rsidP="001F122E" w:rsidRDefault="001F122E" w14:paraId="498E2ABD" w14:textId="03B5CD7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004733">
        <w:rPr>
          <w:rFonts w:ascii="Times New Roman" w:hAnsi="Times New Roman"/>
          <w:b/>
        </w:rPr>
        <w:t>13.</w:t>
      </w:r>
      <w:r w:rsidRPr="00004733">
        <w:rPr>
          <w:rFonts w:ascii="Times New Roman" w:hAnsi="Times New Roman"/>
          <w:b/>
        </w:rPr>
        <w:tab/>
      </w:r>
      <w:r>
        <w:rPr>
          <w:rFonts w:ascii="Times New Roman" w:hAnsi="Times New Roman"/>
          <w:b/>
        </w:rPr>
        <w:t xml:space="preserve"> P</w:t>
      </w:r>
      <w:r w:rsidRPr="001F122E">
        <w:rPr>
          <w:rFonts w:ascii="Times New Roman" w:hAnsi="Times New Roman"/>
          <w:b/>
        </w:rPr>
        <w:t>rovide an estimate of the total annual cost burden to respondents or record</w:t>
      </w:r>
      <w:r w:rsidR="008278BD">
        <w:rPr>
          <w:rFonts w:ascii="Times New Roman" w:hAnsi="Times New Roman"/>
          <w:b/>
        </w:rPr>
        <w:t xml:space="preserve"> </w:t>
      </w:r>
      <w:r w:rsidRPr="001F122E">
        <w:rPr>
          <w:rFonts w:ascii="Times New Roman" w:hAnsi="Times New Roman"/>
          <w:b/>
        </w:rPr>
        <w:t>keepers</w:t>
      </w:r>
      <w:r>
        <w:rPr>
          <w:rFonts w:ascii="Times New Roman" w:hAnsi="Times New Roman"/>
          <w:b/>
        </w:rPr>
        <w:t xml:space="preserve"> resulting from the </w:t>
      </w:r>
      <w:r w:rsidR="0042112A">
        <w:rPr>
          <w:rFonts w:ascii="Times New Roman" w:hAnsi="Times New Roman"/>
          <w:b/>
        </w:rPr>
        <w:t xml:space="preserve">collection of information. </w:t>
      </w:r>
      <w:r w:rsidRPr="001F122E">
        <w:rPr>
          <w:rFonts w:ascii="Times New Roman" w:hAnsi="Times New Roman"/>
          <w:b/>
        </w:rPr>
        <w:t xml:space="preserve">(do not include the cost of any hour burden shown in items 12 and 14).  </w:t>
      </w:r>
    </w:p>
    <w:p w:rsidR="001F122E" w:rsidP="001F122E" w:rsidRDefault="001F122E" w14:paraId="233D9F2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B32035" w:rsidR="00B32035" w:rsidP="001F122E" w:rsidRDefault="00B32035" w14:paraId="44CC5361" w14:textId="4CFEFFB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B32035">
        <w:rPr>
          <w:rFonts w:ascii="Times New Roman" w:hAnsi="Times New Roman"/>
        </w:rPr>
        <w:t xml:space="preserve">The only non-labor </w:t>
      </w:r>
      <w:r w:rsidR="00900F70">
        <w:rPr>
          <w:rFonts w:ascii="Times New Roman" w:hAnsi="Times New Roman"/>
        </w:rPr>
        <w:t xml:space="preserve">O &amp; M costs </w:t>
      </w:r>
      <w:r w:rsidR="00081AA7">
        <w:rPr>
          <w:rFonts w:ascii="Times New Roman" w:hAnsi="Times New Roman"/>
        </w:rPr>
        <w:t>are those associated with an independent annual audit. The CWSRF</w:t>
      </w:r>
      <w:r w:rsidR="00965A7B">
        <w:rPr>
          <w:rFonts w:ascii="Times New Roman" w:hAnsi="Times New Roman"/>
        </w:rPr>
        <w:t>s</w:t>
      </w:r>
      <w:r w:rsidR="00081AA7">
        <w:rPr>
          <w:rFonts w:ascii="Times New Roman" w:hAnsi="Times New Roman"/>
        </w:rPr>
        <w:t xml:space="preserve"> usually contract the services of </w:t>
      </w:r>
      <w:r w:rsidR="00FB0876">
        <w:rPr>
          <w:rFonts w:ascii="Times New Roman" w:hAnsi="Times New Roman"/>
        </w:rPr>
        <w:t xml:space="preserve">an auditing firm </w:t>
      </w:r>
      <w:r w:rsidR="008C44A4">
        <w:rPr>
          <w:rFonts w:ascii="Times New Roman" w:hAnsi="Times New Roman"/>
        </w:rPr>
        <w:t xml:space="preserve">to conduct these audits, and the estimated </w:t>
      </w:r>
      <w:r w:rsidR="008747A4">
        <w:rPr>
          <w:rFonts w:ascii="Times New Roman" w:hAnsi="Times New Roman"/>
        </w:rPr>
        <w:t>average cost is approximately $62,300</w:t>
      </w:r>
      <w:r w:rsidR="00900F70">
        <w:rPr>
          <w:rFonts w:ascii="Times New Roman" w:hAnsi="Times New Roman"/>
        </w:rPr>
        <w:t xml:space="preserve">. </w:t>
      </w:r>
      <w:r w:rsidR="00081AA7">
        <w:rPr>
          <w:rFonts w:ascii="Times New Roman" w:hAnsi="Times New Roman"/>
        </w:rPr>
        <w:t>The total average annual cost</w:t>
      </w:r>
      <w:r w:rsidR="00900F70">
        <w:rPr>
          <w:rFonts w:ascii="Times New Roman" w:hAnsi="Times New Roman"/>
        </w:rPr>
        <w:t xml:space="preserve"> for the 47 CWSRFs that elect to undergo an independent audit</w:t>
      </w:r>
      <w:r w:rsidR="008C44A4">
        <w:rPr>
          <w:rFonts w:ascii="Times New Roman" w:hAnsi="Times New Roman"/>
        </w:rPr>
        <w:t xml:space="preserve"> is estima</w:t>
      </w:r>
      <w:r w:rsidR="000B4520">
        <w:rPr>
          <w:rFonts w:ascii="Times New Roman" w:hAnsi="Times New Roman"/>
        </w:rPr>
        <w:t xml:space="preserve">ted </w:t>
      </w:r>
      <w:r w:rsidR="00E523F5">
        <w:rPr>
          <w:rFonts w:ascii="Times New Roman" w:hAnsi="Times New Roman"/>
        </w:rPr>
        <w:t>to be $</w:t>
      </w:r>
      <w:r w:rsidRPr="00E523F5" w:rsidR="00E523F5">
        <w:rPr>
          <w:rFonts w:ascii="Times New Roman" w:hAnsi="Times New Roman"/>
        </w:rPr>
        <w:t>2</w:t>
      </w:r>
      <w:r w:rsidR="00E523F5">
        <w:rPr>
          <w:rFonts w:ascii="Times New Roman" w:hAnsi="Times New Roman"/>
        </w:rPr>
        <w:t>,</w:t>
      </w:r>
      <w:r w:rsidRPr="00E523F5" w:rsidR="00E523F5">
        <w:rPr>
          <w:rFonts w:ascii="Times New Roman" w:hAnsi="Times New Roman"/>
        </w:rPr>
        <w:t>928</w:t>
      </w:r>
      <w:r w:rsidR="00E523F5">
        <w:rPr>
          <w:rFonts w:ascii="Times New Roman" w:hAnsi="Times New Roman"/>
        </w:rPr>
        <w:t>,</w:t>
      </w:r>
      <w:r w:rsidR="008747A4">
        <w:rPr>
          <w:rFonts w:ascii="Times New Roman" w:hAnsi="Times New Roman"/>
        </w:rPr>
        <w:t>100</w:t>
      </w:r>
      <w:r w:rsidR="00081AA7">
        <w:rPr>
          <w:rFonts w:ascii="Times New Roman" w:hAnsi="Times New Roman"/>
        </w:rPr>
        <w:t xml:space="preserve"> </w:t>
      </w:r>
    </w:p>
    <w:p w:rsidR="001A6B1E" w:rsidP="001F122E" w:rsidRDefault="001A6B1E" w14:paraId="24F1DBF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004733" w:rsidR="00100C34" w:rsidP="00100C34" w:rsidRDefault="00065327" w14:paraId="5F37169C" w14:textId="6FD30D15">
      <w:pPr>
        <w:tabs>
          <w:tab w:val="left" w:pos="-1440"/>
        </w:tabs>
        <w:rPr>
          <w:rFonts w:ascii="Times New Roman" w:hAnsi="Times New Roman"/>
          <w:b/>
        </w:rPr>
      </w:pPr>
      <w:r>
        <w:rPr>
          <w:rFonts w:ascii="Times New Roman" w:hAnsi="Times New Roman"/>
          <w:b/>
        </w:rPr>
        <w:t xml:space="preserve">14. </w:t>
      </w:r>
      <w:r w:rsidR="00100C34">
        <w:rPr>
          <w:rFonts w:ascii="Times New Roman" w:hAnsi="Times New Roman"/>
          <w:b/>
        </w:rPr>
        <w:t xml:space="preserve"> P</w:t>
      </w:r>
      <w:r w:rsidRPr="00004733" w:rsidR="00100C34">
        <w:rPr>
          <w:rFonts w:ascii="Times New Roman" w:hAnsi="Times New Roman"/>
          <w:b/>
        </w:rPr>
        <w:t>rovide estimates of annualized co</w:t>
      </w:r>
      <w:r w:rsidR="00100C34">
        <w:rPr>
          <w:rFonts w:ascii="Times New Roman" w:hAnsi="Times New Roman"/>
          <w:b/>
        </w:rPr>
        <w:t>st to the federal government.  A</w:t>
      </w:r>
      <w:r w:rsidRPr="00004733" w:rsidR="00100C34">
        <w:rPr>
          <w:rFonts w:ascii="Times New Roman" w:hAnsi="Times New Roman"/>
          <w:b/>
        </w:rPr>
        <w:t>lso, provide a description of the method used to estimate cost, which should include quantification of hours, operation expenses (such as equipment, overhead, printing, and support staff), and any other expense that would not have been incurred without th</w:t>
      </w:r>
      <w:r w:rsidR="00100C34">
        <w:rPr>
          <w:rFonts w:ascii="Times New Roman" w:hAnsi="Times New Roman"/>
          <w:b/>
        </w:rPr>
        <w:t>is collection of information.  A</w:t>
      </w:r>
      <w:r w:rsidRPr="00004733" w:rsidR="00100C34">
        <w:rPr>
          <w:rFonts w:ascii="Times New Roman" w:hAnsi="Times New Roman"/>
          <w:b/>
        </w:rPr>
        <w:t xml:space="preserve">gencies also may aggregate cost estimates from items 12, 13, and 14 in a single table.  </w:t>
      </w:r>
    </w:p>
    <w:p w:rsidR="00100C34" w:rsidP="00065327" w:rsidRDefault="00100C34" w14:paraId="2C6A8EBC" w14:textId="77777777">
      <w:pPr>
        <w:tabs>
          <w:tab w:val="left" w:pos="-1440"/>
        </w:tabs>
        <w:rPr>
          <w:rFonts w:ascii="Times New Roman" w:hAnsi="Times New Roman"/>
          <w:b/>
        </w:rPr>
      </w:pPr>
    </w:p>
    <w:p w:rsidRPr="0052718A" w:rsidR="0052718A" w:rsidP="0052718A" w:rsidRDefault="0052718A" w14:paraId="2ED44A60" w14:textId="6CC4E8D8">
      <w:pPr>
        <w:tabs>
          <w:tab w:val="left" w:pos="-1440"/>
        </w:tabs>
        <w:rPr>
          <w:rFonts w:ascii="Times New Roman" w:hAnsi="Times New Roman"/>
        </w:rPr>
      </w:pPr>
      <w:r w:rsidRPr="0052718A">
        <w:rPr>
          <w:rFonts w:ascii="Times New Roman" w:hAnsi="Times New Roman"/>
        </w:rPr>
        <w:t>Estimation of the direc</w:t>
      </w:r>
      <w:r w:rsidR="00E464D6">
        <w:rPr>
          <w:rFonts w:ascii="Times New Roman" w:hAnsi="Times New Roman"/>
        </w:rPr>
        <w:t>t cost to</w:t>
      </w:r>
      <w:r w:rsidR="002F296F">
        <w:rPr>
          <w:rFonts w:ascii="Times New Roman" w:hAnsi="Times New Roman"/>
        </w:rPr>
        <w:t xml:space="preserve"> </w:t>
      </w:r>
      <w:r w:rsidR="00E464D6">
        <w:rPr>
          <w:rFonts w:ascii="Times New Roman" w:hAnsi="Times New Roman"/>
        </w:rPr>
        <w:t>EPA</w:t>
      </w:r>
      <w:r w:rsidR="00B14C2B">
        <w:rPr>
          <w:rFonts w:ascii="Times New Roman" w:hAnsi="Times New Roman"/>
        </w:rPr>
        <w:t>’s oversight of</w:t>
      </w:r>
      <w:r w:rsidR="00E464D6">
        <w:rPr>
          <w:rFonts w:ascii="Times New Roman" w:hAnsi="Times New Roman"/>
        </w:rPr>
        <w:t xml:space="preserve"> the CWSRFs</w:t>
      </w:r>
      <w:r w:rsidR="0042112A">
        <w:rPr>
          <w:rFonts w:ascii="Times New Roman" w:hAnsi="Times New Roman"/>
        </w:rPr>
        <w:t xml:space="preserve"> covers review</w:t>
      </w:r>
      <w:r w:rsidR="00B14C2B">
        <w:rPr>
          <w:rFonts w:ascii="Times New Roman" w:hAnsi="Times New Roman"/>
        </w:rPr>
        <w:t xml:space="preserve"> and analysis of the capitalizatio</w:t>
      </w:r>
      <w:r w:rsidR="0042112A">
        <w:rPr>
          <w:rFonts w:ascii="Times New Roman" w:hAnsi="Times New Roman"/>
        </w:rPr>
        <w:t xml:space="preserve">n grant/intended use plan, </w:t>
      </w:r>
      <w:r w:rsidR="004C2D6C">
        <w:rPr>
          <w:rFonts w:ascii="Times New Roman" w:hAnsi="Times New Roman"/>
        </w:rPr>
        <w:t xml:space="preserve">annual report, </w:t>
      </w:r>
      <w:r w:rsidR="00B14C2B">
        <w:rPr>
          <w:rFonts w:ascii="Times New Roman" w:hAnsi="Times New Roman"/>
        </w:rPr>
        <w:t>audit</w:t>
      </w:r>
      <w:r w:rsidR="004C2D6C">
        <w:rPr>
          <w:rFonts w:ascii="Times New Roman" w:hAnsi="Times New Roman"/>
        </w:rPr>
        <w:t>,</w:t>
      </w:r>
      <w:r w:rsidR="00B14C2B">
        <w:rPr>
          <w:rFonts w:ascii="Times New Roman" w:hAnsi="Times New Roman"/>
        </w:rPr>
        <w:t xml:space="preserve"> and CWNIMS/C</w:t>
      </w:r>
      <w:r w:rsidRPr="0052718A">
        <w:rPr>
          <w:rFonts w:ascii="Times New Roman" w:hAnsi="Times New Roman"/>
        </w:rPr>
        <w:t xml:space="preserve">BR data. The </w:t>
      </w:r>
      <w:r w:rsidR="009D0B29">
        <w:rPr>
          <w:rFonts w:ascii="Times New Roman" w:hAnsi="Times New Roman"/>
        </w:rPr>
        <w:t>estimates reflect EPA’s</w:t>
      </w:r>
      <w:r w:rsidRPr="0052718A">
        <w:rPr>
          <w:rFonts w:ascii="Times New Roman" w:hAnsi="Times New Roman"/>
        </w:rPr>
        <w:t xml:space="preserve"> workload over the 3-year period covered by this information collection. EPA cost</w:t>
      </w:r>
      <w:r w:rsidR="000E0E31">
        <w:rPr>
          <w:rFonts w:ascii="Times New Roman" w:hAnsi="Times New Roman"/>
        </w:rPr>
        <w:t xml:space="preserve"> estimates are</w:t>
      </w:r>
      <w:r w:rsidRPr="0052718A">
        <w:rPr>
          <w:rFonts w:ascii="Times New Roman" w:hAnsi="Times New Roman"/>
        </w:rPr>
        <w:t xml:space="preserve"> based on average hourly expenditures, includi</w:t>
      </w:r>
      <w:r w:rsidR="009D0B29">
        <w:rPr>
          <w:rFonts w:ascii="Times New Roman" w:hAnsi="Times New Roman"/>
        </w:rPr>
        <w:t>ng regional and h</w:t>
      </w:r>
      <w:r w:rsidRPr="0052718A">
        <w:rPr>
          <w:rFonts w:ascii="Times New Roman" w:hAnsi="Times New Roman"/>
        </w:rPr>
        <w:t xml:space="preserve">eadquarters personnel compensation and benefits. </w:t>
      </w:r>
    </w:p>
    <w:p w:rsidRPr="0052718A" w:rsidR="002B63CB" w:rsidP="0052718A" w:rsidRDefault="002B63CB" w14:paraId="3326361C" w14:textId="77777777">
      <w:pPr>
        <w:tabs>
          <w:tab w:val="left" w:pos="-1440"/>
        </w:tabs>
        <w:rPr>
          <w:rFonts w:ascii="Times New Roman" w:hAnsi="Times New Roman"/>
        </w:rPr>
      </w:pPr>
    </w:p>
    <w:p w:rsidRPr="0052718A" w:rsidR="0052718A" w:rsidP="0052718A" w:rsidRDefault="0052718A" w14:paraId="30D2ABDB" w14:textId="07374D88">
      <w:pPr>
        <w:tabs>
          <w:tab w:val="left" w:pos="-1440"/>
        </w:tabs>
        <w:rPr>
          <w:rFonts w:ascii="Times New Roman" w:hAnsi="Times New Roman"/>
        </w:rPr>
      </w:pPr>
      <w:bookmarkStart w:name="_Hlk40365261" w:id="2"/>
      <w:r w:rsidRPr="0052718A">
        <w:rPr>
          <w:rFonts w:ascii="Times New Roman" w:hAnsi="Times New Roman"/>
        </w:rPr>
        <w:t xml:space="preserve">The estimated average hourly cost of </w:t>
      </w:r>
      <w:r w:rsidR="00790210">
        <w:rPr>
          <w:rFonts w:ascii="Times New Roman" w:hAnsi="Times New Roman"/>
        </w:rPr>
        <w:t>$6</w:t>
      </w:r>
      <w:r w:rsidR="00E23E3F">
        <w:rPr>
          <w:rFonts w:ascii="Times New Roman" w:hAnsi="Times New Roman"/>
        </w:rPr>
        <w:t>6</w:t>
      </w:r>
      <w:r w:rsidRPr="0052718A">
        <w:rPr>
          <w:rFonts w:ascii="Times New Roman" w:hAnsi="Times New Roman"/>
        </w:rPr>
        <w:t>.</w:t>
      </w:r>
      <w:r w:rsidR="00E23E3F">
        <w:rPr>
          <w:rFonts w:ascii="Times New Roman" w:hAnsi="Times New Roman"/>
        </w:rPr>
        <w:t>89</w:t>
      </w:r>
      <w:r w:rsidRPr="0052718A">
        <w:rPr>
          <w:rFonts w:ascii="Times New Roman" w:hAnsi="Times New Roman"/>
        </w:rPr>
        <w:t xml:space="preserve"> for EPA </w:t>
      </w:r>
      <w:r w:rsidR="002C4AB1">
        <w:rPr>
          <w:rFonts w:ascii="Times New Roman" w:hAnsi="Times New Roman"/>
        </w:rPr>
        <w:t>h</w:t>
      </w:r>
      <w:r w:rsidRPr="0052718A">
        <w:rPr>
          <w:rFonts w:ascii="Times New Roman" w:hAnsi="Times New Roman"/>
        </w:rPr>
        <w:t xml:space="preserve">eadquarters and </w:t>
      </w:r>
      <w:r w:rsidR="002C4AB1">
        <w:rPr>
          <w:rFonts w:ascii="Times New Roman" w:hAnsi="Times New Roman"/>
        </w:rPr>
        <w:t>r</w:t>
      </w:r>
      <w:r w:rsidRPr="0052718A">
        <w:rPr>
          <w:rFonts w:ascii="Times New Roman" w:hAnsi="Times New Roman"/>
        </w:rPr>
        <w:t xml:space="preserve">egional personnel is based on the General Schedule (GS) 12, Step 05 </w:t>
      </w:r>
      <w:r w:rsidR="00790210">
        <w:rPr>
          <w:rFonts w:ascii="Times New Roman" w:hAnsi="Times New Roman"/>
        </w:rPr>
        <w:t xml:space="preserve">level. </w:t>
      </w:r>
      <w:r w:rsidRPr="0052718A">
        <w:rPr>
          <w:rFonts w:ascii="Times New Roman" w:hAnsi="Times New Roman"/>
        </w:rPr>
        <w:t>The hourly estimates were calculated by dividing the annual compensation of $</w:t>
      </w:r>
      <w:r w:rsidR="00790210">
        <w:rPr>
          <w:rFonts w:ascii="Times New Roman" w:hAnsi="Times New Roman"/>
        </w:rPr>
        <w:t>8</w:t>
      </w:r>
      <w:r w:rsidR="006B7B28">
        <w:rPr>
          <w:rFonts w:ascii="Times New Roman" w:hAnsi="Times New Roman"/>
        </w:rPr>
        <w:t>6</w:t>
      </w:r>
      <w:r w:rsidR="00790210">
        <w:rPr>
          <w:rFonts w:ascii="Times New Roman" w:hAnsi="Times New Roman"/>
        </w:rPr>
        <w:t>,</w:t>
      </w:r>
      <w:r w:rsidR="006B7B28">
        <w:rPr>
          <w:rFonts w:ascii="Times New Roman" w:hAnsi="Times New Roman"/>
        </w:rPr>
        <w:t>952</w:t>
      </w:r>
      <w:r w:rsidRPr="0052718A">
        <w:rPr>
          <w:rFonts w:ascii="Times New Roman" w:hAnsi="Times New Roman"/>
        </w:rPr>
        <w:t xml:space="preserve"> from the 20</w:t>
      </w:r>
      <w:r w:rsidR="006B7B28">
        <w:rPr>
          <w:rFonts w:ascii="Times New Roman" w:hAnsi="Times New Roman"/>
        </w:rPr>
        <w:t>20</w:t>
      </w:r>
      <w:r w:rsidRPr="0052718A">
        <w:rPr>
          <w:rFonts w:ascii="Times New Roman" w:hAnsi="Times New Roman"/>
        </w:rPr>
        <w:t xml:space="preserve"> GS pay schedule</w:t>
      </w:r>
      <w:r w:rsidR="002C4AB1">
        <w:rPr>
          <w:rFonts w:ascii="Times New Roman" w:hAnsi="Times New Roman"/>
        </w:rPr>
        <w:t xml:space="preserve"> </w:t>
      </w:r>
      <w:r w:rsidRPr="0052718A">
        <w:rPr>
          <w:rFonts w:ascii="Times New Roman" w:hAnsi="Times New Roman"/>
        </w:rPr>
        <w:t xml:space="preserve">by </w:t>
      </w:r>
      <w:r w:rsidR="00BE2B6D">
        <w:rPr>
          <w:rFonts w:ascii="Times New Roman" w:hAnsi="Times New Roman"/>
        </w:rPr>
        <w:t xml:space="preserve">2,080 hours in </w:t>
      </w:r>
      <w:r w:rsidR="00BE2B6D">
        <w:rPr>
          <w:rFonts w:ascii="Times New Roman" w:hAnsi="Times New Roman"/>
        </w:rPr>
        <w:lastRenderedPageBreak/>
        <w:t>the f</w:t>
      </w:r>
      <w:r w:rsidRPr="0052718A">
        <w:rPr>
          <w:rFonts w:ascii="Times New Roman" w:hAnsi="Times New Roman"/>
        </w:rPr>
        <w:t>ederal work year.</w:t>
      </w:r>
      <w:r w:rsidR="00790210">
        <w:rPr>
          <w:rStyle w:val="FootnoteReference"/>
          <w:rFonts w:ascii="Times New Roman" w:hAnsi="Times New Roman"/>
        </w:rPr>
        <w:footnoteReference w:id="9"/>
      </w:r>
      <w:r w:rsidRPr="0052718A">
        <w:rPr>
          <w:rFonts w:ascii="Times New Roman" w:hAnsi="Times New Roman"/>
        </w:rPr>
        <w:t xml:space="preserve"> The hourly rates were then multiplied by the standard government benefits multiplication factor of 1.6.</w:t>
      </w:r>
    </w:p>
    <w:bookmarkEnd w:id="2"/>
    <w:p w:rsidR="0052718A" w:rsidP="0052718A" w:rsidRDefault="0052718A" w14:paraId="1D17C920" w14:textId="77777777">
      <w:pPr>
        <w:tabs>
          <w:tab w:val="left" w:pos="-1440"/>
        </w:tabs>
        <w:rPr>
          <w:rFonts w:ascii="Times New Roman" w:hAnsi="Times New Roman"/>
        </w:rPr>
      </w:pPr>
    </w:p>
    <w:p w:rsidR="002B63CB" w:rsidP="0052718A" w:rsidRDefault="002B63CB" w14:paraId="5BF69B40" w14:textId="120B022B">
      <w:pPr>
        <w:tabs>
          <w:tab w:val="left" w:pos="-1440"/>
        </w:tabs>
        <w:rPr>
          <w:rFonts w:ascii="Times New Roman" w:hAnsi="Times New Roman"/>
        </w:rPr>
      </w:pPr>
      <w:r>
        <w:rPr>
          <w:rFonts w:ascii="Times New Roman" w:hAnsi="Times New Roman"/>
        </w:rPr>
        <w:t>In addition to these costs, EPA also expends $</w:t>
      </w:r>
      <w:r w:rsidR="002C4AB1">
        <w:rPr>
          <w:rFonts w:ascii="Times New Roman" w:hAnsi="Times New Roman"/>
        </w:rPr>
        <w:t>200</w:t>
      </w:r>
      <w:r>
        <w:rPr>
          <w:rFonts w:ascii="Times New Roman" w:hAnsi="Times New Roman"/>
        </w:rPr>
        <w:t>,000 a year for contractor support for the CWNIMS and CBR databases. This support includes assisting the CWSRF</w:t>
      </w:r>
      <w:r w:rsidR="00867149">
        <w:rPr>
          <w:rFonts w:ascii="Times New Roman" w:hAnsi="Times New Roman"/>
        </w:rPr>
        <w:t>s</w:t>
      </w:r>
      <w:r>
        <w:rPr>
          <w:rFonts w:ascii="Times New Roman" w:hAnsi="Times New Roman"/>
        </w:rPr>
        <w:t xml:space="preserve"> with data entry and EPA with data revi</w:t>
      </w:r>
      <w:r w:rsidR="00BE2B6D">
        <w:rPr>
          <w:rFonts w:ascii="Times New Roman" w:hAnsi="Times New Roman"/>
        </w:rPr>
        <w:t>ew. The contractor also provides support by addressing any tec</w:t>
      </w:r>
      <w:r w:rsidR="00867149">
        <w:rPr>
          <w:rFonts w:ascii="Times New Roman" w:hAnsi="Times New Roman"/>
        </w:rPr>
        <w:t xml:space="preserve">hnical issues that </w:t>
      </w:r>
      <w:r w:rsidR="00BE2B6D">
        <w:rPr>
          <w:rFonts w:ascii="Times New Roman" w:hAnsi="Times New Roman"/>
        </w:rPr>
        <w:t>prevent the CWSRFs fr</w:t>
      </w:r>
      <w:r w:rsidR="00E93ABE">
        <w:rPr>
          <w:rFonts w:ascii="Times New Roman" w:hAnsi="Times New Roman"/>
        </w:rPr>
        <w:t xml:space="preserve">om effectively </w:t>
      </w:r>
      <w:r w:rsidR="0042112A">
        <w:rPr>
          <w:rFonts w:ascii="Times New Roman" w:hAnsi="Times New Roman"/>
        </w:rPr>
        <w:t>entering data into these databases</w:t>
      </w:r>
      <w:r w:rsidR="00E93ABE">
        <w:rPr>
          <w:rFonts w:ascii="Times New Roman" w:hAnsi="Times New Roman"/>
        </w:rPr>
        <w:t>.</w:t>
      </w:r>
    </w:p>
    <w:p w:rsidR="002B63CB" w:rsidP="00764378" w:rsidRDefault="002B63CB" w14:paraId="53A43441" w14:textId="75647B92">
      <w:pPr>
        <w:widowControl/>
        <w:spacing w:after="160" w:line="259" w:lineRule="auto"/>
        <w:rPr>
          <w:rFonts w:ascii="Times New Roman" w:hAnsi="Times New Roman"/>
        </w:rPr>
      </w:pPr>
    </w:p>
    <w:tbl>
      <w:tblPr>
        <w:tblW w:w="9360" w:type="dxa"/>
        <w:tblInd w:w="-5" w:type="dxa"/>
        <w:tblLook w:val="04A0" w:firstRow="1" w:lastRow="0" w:firstColumn="1" w:lastColumn="0" w:noHBand="0" w:noVBand="1"/>
      </w:tblPr>
      <w:tblGrid>
        <w:gridCol w:w="2385"/>
        <w:gridCol w:w="1395"/>
        <w:gridCol w:w="1395"/>
        <w:gridCol w:w="1395"/>
        <w:gridCol w:w="1395"/>
        <w:gridCol w:w="1395"/>
      </w:tblGrid>
      <w:tr w:rsidRPr="00F90837" w:rsidR="00F90837" w:rsidTr="00921B47" w14:paraId="4649F12F" w14:textId="77777777">
        <w:trPr>
          <w:trHeight w:val="555"/>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F90837" w:rsidR="00F90837" w:rsidP="00F90837" w:rsidRDefault="00F90837" w14:paraId="19D917D4" w14:textId="77777777">
            <w:pPr>
              <w:widowControl/>
              <w:rPr>
                <w:rFonts w:ascii="Times New Roman" w:hAnsi="Times New Roman"/>
                <w:b/>
                <w:bCs/>
                <w:snapToGrid/>
                <w:color w:val="000000"/>
                <w:sz w:val="16"/>
                <w:szCs w:val="16"/>
              </w:rPr>
            </w:pPr>
            <w:r w:rsidRPr="00F90837">
              <w:rPr>
                <w:rFonts w:ascii="Times New Roman" w:hAnsi="Times New Roman"/>
                <w:b/>
                <w:bCs/>
                <w:snapToGrid/>
                <w:color w:val="000000"/>
                <w:sz w:val="16"/>
                <w:szCs w:val="16"/>
              </w:rPr>
              <w:t>Activity*</w:t>
            </w:r>
          </w:p>
        </w:tc>
        <w:tc>
          <w:tcPr>
            <w:tcW w:w="1395" w:type="dxa"/>
            <w:tcBorders>
              <w:top w:val="single" w:color="000000" w:sz="4" w:space="0"/>
              <w:left w:val="nil"/>
              <w:bottom w:val="single" w:color="000000" w:sz="4" w:space="0"/>
              <w:right w:val="single" w:color="000000" w:sz="4" w:space="0"/>
            </w:tcBorders>
            <w:shd w:val="clear" w:color="auto" w:fill="auto"/>
            <w:vAlign w:val="center"/>
            <w:hideMark/>
          </w:tcPr>
          <w:p w:rsidRPr="00F90837" w:rsidR="00F90837" w:rsidP="00F90837" w:rsidRDefault="00F90837" w14:paraId="3873DB23" w14:textId="77777777">
            <w:pPr>
              <w:widowControl/>
              <w:jc w:val="center"/>
              <w:rPr>
                <w:rFonts w:ascii="Times New Roman" w:hAnsi="Times New Roman"/>
                <w:b/>
                <w:bCs/>
                <w:snapToGrid/>
                <w:color w:val="000000"/>
                <w:sz w:val="16"/>
                <w:szCs w:val="16"/>
              </w:rPr>
            </w:pPr>
            <w:r w:rsidRPr="00F90837">
              <w:rPr>
                <w:rFonts w:ascii="Times New Roman" w:hAnsi="Times New Roman"/>
                <w:b/>
                <w:bCs/>
                <w:snapToGrid/>
                <w:color w:val="000000"/>
                <w:sz w:val="16"/>
                <w:szCs w:val="16"/>
              </w:rPr>
              <w:t>Average Annual</w:t>
            </w:r>
            <w:r w:rsidRPr="00F90837">
              <w:rPr>
                <w:rFonts w:ascii="Times New Roman" w:hAnsi="Times New Roman"/>
                <w:b/>
                <w:bCs/>
                <w:snapToGrid/>
                <w:color w:val="000000"/>
                <w:sz w:val="16"/>
                <w:szCs w:val="16"/>
              </w:rPr>
              <w:br/>
              <w:t>Labor Hours</w:t>
            </w:r>
          </w:p>
        </w:tc>
        <w:tc>
          <w:tcPr>
            <w:tcW w:w="1395" w:type="dxa"/>
            <w:tcBorders>
              <w:top w:val="single" w:color="000000" w:sz="4" w:space="0"/>
              <w:left w:val="nil"/>
              <w:bottom w:val="single" w:color="000000" w:sz="4" w:space="0"/>
              <w:right w:val="single" w:color="000000" w:sz="4" w:space="0"/>
            </w:tcBorders>
            <w:shd w:val="clear" w:color="auto" w:fill="auto"/>
            <w:vAlign w:val="center"/>
            <w:hideMark/>
          </w:tcPr>
          <w:p w:rsidRPr="00F90837" w:rsidR="00F90837" w:rsidP="00F90837" w:rsidRDefault="00F90837" w14:paraId="4FAA8D41" w14:textId="77777777">
            <w:pPr>
              <w:widowControl/>
              <w:jc w:val="center"/>
              <w:rPr>
                <w:rFonts w:ascii="Times New Roman" w:hAnsi="Times New Roman"/>
                <w:b/>
                <w:bCs/>
                <w:snapToGrid/>
                <w:color w:val="000000"/>
                <w:sz w:val="16"/>
                <w:szCs w:val="16"/>
              </w:rPr>
            </w:pPr>
            <w:r w:rsidRPr="00F90837">
              <w:rPr>
                <w:rFonts w:ascii="Times New Roman" w:hAnsi="Times New Roman"/>
                <w:b/>
                <w:bCs/>
                <w:snapToGrid/>
                <w:color w:val="000000"/>
                <w:sz w:val="16"/>
                <w:szCs w:val="16"/>
              </w:rPr>
              <w:t xml:space="preserve"> Cost Per Hour</w:t>
            </w:r>
          </w:p>
        </w:tc>
        <w:tc>
          <w:tcPr>
            <w:tcW w:w="1395" w:type="dxa"/>
            <w:tcBorders>
              <w:top w:val="single" w:color="000000" w:sz="4" w:space="0"/>
              <w:left w:val="nil"/>
              <w:bottom w:val="nil"/>
              <w:right w:val="single" w:color="000000" w:sz="4" w:space="0"/>
            </w:tcBorders>
            <w:shd w:val="clear" w:color="auto" w:fill="auto"/>
            <w:vAlign w:val="center"/>
            <w:hideMark/>
          </w:tcPr>
          <w:p w:rsidRPr="00F90837" w:rsidR="00F90837" w:rsidP="00F90837" w:rsidRDefault="00F90837" w14:paraId="5CF9D1A6" w14:textId="77777777">
            <w:pPr>
              <w:widowControl/>
              <w:jc w:val="center"/>
              <w:rPr>
                <w:rFonts w:ascii="Times New Roman" w:hAnsi="Times New Roman"/>
                <w:b/>
                <w:bCs/>
                <w:snapToGrid/>
                <w:color w:val="000000"/>
                <w:sz w:val="16"/>
                <w:szCs w:val="16"/>
              </w:rPr>
            </w:pPr>
            <w:r w:rsidRPr="00F90837">
              <w:rPr>
                <w:rFonts w:ascii="Times New Roman" w:hAnsi="Times New Roman"/>
                <w:b/>
                <w:bCs/>
                <w:snapToGrid/>
                <w:color w:val="000000"/>
                <w:sz w:val="16"/>
                <w:szCs w:val="16"/>
              </w:rPr>
              <w:t>Average Annual</w:t>
            </w:r>
            <w:r w:rsidRPr="00F90837">
              <w:rPr>
                <w:rFonts w:ascii="Times New Roman" w:hAnsi="Times New Roman"/>
                <w:b/>
                <w:bCs/>
                <w:snapToGrid/>
                <w:color w:val="000000"/>
                <w:sz w:val="16"/>
                <w:szCs w:val="16"/>
              </w:rPr>
              <w:br/>
              <w:t xml:space="preserve">Labor Cost </w:t>
            </w:r>
          </w:p>
        </w:tc>
        <w:tc>
          <w:tcPr>
            <w:tcW w:w="1395" w:type="dxa"/>
            <w:tcBorders>
              <w:top w:val="single" w:color="000000" w:sz="4" w:space="0"/>
              <w:left w:val="nil"/>
              <w:bottom w:val="single" w:color="000000" w:sz="4" w:space="0"/>
              <w:right w:val="single" w:color="000000" w:sz="4" w:space="0"/>
            </w:tcBorders>
            <w:shd w:val="clear" w:color="auto" w:fill="auto"/>
            <w:vAlign w:val="center"/>
            <w:hideMark/>
          </w:tcPr>
          <w:p w:rsidRPr="00F90837" w:rsidR="00F90837" w:rsidP="00F90837" w:rsidRDefault="00F90837" w14:paraId="76ECC1BD" w14:textId="77777777">
            <w:pPr>
              <w:widowControl/>
              <w:jc w:val="center"/>
              <w:rPr>
                <w:rFonts w:ascii="Times New Roman" w:hAnsi="Times New Roman"/>
                <w:b/>
                <w:bCs/>
                <w:snapToGrid/>
                <w:color w:val="000000"/>
                <w:sz w:val="16"/>
                <w:szCs w:val="16"/>
              </w:rPr>
            </w:pPr>
            <w:r w:rsidRPr="00F90837">
              <w:rPr>
                <w:rFonts w:ascii="Times New Roman" w:hAnsi="Times New Roman"/>
                <w:b/>
                <w:bCs/>
                <w:snapToGrid/>
                <w:color w:val="000000"/>
                <w:sz w:val="16"/>
                <w:szCs w:val="16"/>
              </w:rPr>
              <w:t>Average Annual</w:t>
            </w:r>
            <w:r w:rsidRPr="00F90837">
              <w:rPr>
                <w:rFonts w:ascii="Times New Roman" w:hAnsi="Times New Roman"/>
                <w:b/>
                <w:bCs/>
                <w:snapToGrid/>
                <w:color w:val="000000"/>
                <w:sz w:val="16"/>
                <w:szCs w:val="16"/>
              </w:rPr>
              <w:br/>
              <w:t xml:space="preserve">O &amp; M Cost </w:t>
            </w:r>
          </w:p>
        </w:tc>
        <w:tc>
          <w:tcPr>
            <w:tcW w:w="1395" w:type="dxa"/>
            <w:tcBorders>
              <w:top w:val="single" w:color="000000" w:sz="4" w:space="0"/>
              <w:left w:val="nil"/>
              <w:bottom w:val="single" w:color="000000" w:sz="4" w:space="0"/>
              <w:right w:val="single" w:color="000000" w:sz="4" w:space="0"/>
            </w:tcBorders>
            <w:shd w:val="clear" w:color="auto" w:fill="auto"/>
            <w:vAlign w:val="center"/>
            <w:hideMark/>
          </w:tcPr>
          <w:p w:rsidRPr="00F90837" w:rsidR="00F90837" w:rsidP="00F90837" w:rsidRDefault="00F90837" w14:paraId="73D17A33" w14:textId="77777777">
            <w:pPr>
              <w:widowControl/>
              <w:jc w:val="center"/>
              <w:rPr>
                <w:rFonts w:ascii="Times New Roman" w:hAnsi="Times New Roman"/>
                <w:b/>
                <w:bCs/>
                <w:snapToGrid/>
                <w:color w:val="000000"/>
                <w:sz w:val="16"/>
                <w:szCs w:val="16"/>
              </w:rPr>
            </w:pPr>
            <w:r w:rsidRPr="00F90837">
              <w:rPr>
                <w:rFonts w:ascii="Times New Roman" w:hAnsi="Times New Roman"/>
                <w:b/>
                <w:bCs/>
                <w:snapToGrid/>
                <w:color w:val="000000"/>
                <w:sz w:val="16"/>
                <w:szCs w:val="16"/>
              </w:rPr>
              <w:t>Total Cost</w:t>
            </w:r>
            <w:r w:rsidRPr="00F90837">
              <w:rPr>
                <w:rFonts w:ascii="Times New Roman" w:hAnsi="Times New Roman"/>
                <w:b/>
                <w:bCs/>
                <w:snapToGrid/>
                <w:color w:val="000000"/>
                <w:sz w:val="16"/>
                <w:szCs w:val="16"/>
              </w:rPr>
              <w:br/>
              <w:t xml:space="preserve">Per Year </w:t>
            </w:r>
          </w:p>
        </w:tc>
      </w:tr>
      <w:tr w:rsidRPr="00F90837" w:rsidR="0031466C" w:rsidTr="004773A8" w14:paraId="0D7E33CC" w14:textId="77777777">
        <w:trPr>
          <w:trHeight w:val="540"/>
        </w:trPr>
        <w:tc>
          <w:tcPr>
            <w:tcW w:w="2385" w:type="dxa"/>
            <w:tcBorders>
              <w:top w:val="nil"/>
              <w:left w:val="single" w:color="000000" w:sz="4" w:space="0"/>
              <w:bottom w:val="single" w:color="000000" w:sz="4" w:space="0"/>
              <w:right w:val="single" w:color="000000" w:sz="4" w:space="0"/>
            </w:tcBorders>
            <w:shd w:val="clear" w:color="auto" w:fill="auto"/>
            <w:vAlign w:val="center"/>
            <w:hideMark/>
          </w:tcPr>
          <w:p w:rsidRPr="00F90837" w:rsidR="0031466C" w:rsidP="0031466C" w:rsidRDefault="0031466C" w14:paraId="1DB67F41" w14:textId="77777777">
            <w:pPr>
              <w:widowControl/>
              <w:rPr>
                <w:rFonts w:ascii="Times New Roman" w:hAnsi="Times New Roman"/>
                <w:snapToGrid/>
                <w:color w:val="000000"/>
                <w:sz w:val="16"/>
                <w:szCs w:val="16"/>
              </w:rPr>
            </w:pPr>
            <w:r w:rsidRPr="00F90837">
              <w:rPr>
                <w:rFonts w:ascii="Times New Roman" w:hAnsi="Times New Roman"/>
                <w:snapToGrid/>
                <w:color w:val="000000"/>
                <w:sz w:val="16"/>
                <w:szCs w:val="16"/>
              </w:rPr>
              <w:t>Capitalization Grant Agreement/</w:t>
            </w:r>
            <w:r w:rsidRPr="00F90837">
              <w:rPr>
                <w:rFonts w:ascii="Times New Roman" w:hAnsi="Times New Roman"/>
                <w:snapToGrid/>
                <w:color w:val="000000"/>
                <w:sz w:val="16"/>
                <w:szCs w:val="16"/>
              </w:rPr>
              <w:br/>
              <w:t>Intended Use Plan</w:t>
            </w:r>
          </w:p>
        </w:tc>
        <w:tc>
          <w:tcPr>
            <w:tcW w:w="1395" w:type="dxa"/>
            <w:tcBorders>
              <w:top w:val="nil"/>
              <w:left w:val="nil"/>
              <w:bottom w:val="single" w:color="000000" w:sz="4" w:space="0"/>
              <w:right w:val="single" w:color="000000" w:sz="4" w:space="0"/>
            </w:tcBorders>
            <w:shd w:val="clear" w:color="auto" w:fill="auto"/>
            <w:vAlign w:val="center"/>
            <w:hideMark/>
          </w:tcPr>
          <w:p w:rsidRPr="00F90837" w:rsidR="0031466C" w:rsidP="0031466C" w:rsidRDefault="0031466C" w14:paraId="7D3C98A8" w14:textId="77777777">
            <w:pPr>
              <w:widowControl/>
              <w:jc w:val="center"/>
              <w:rPr>
                <w:rFonts w:ascii="Times New Roman" w:hAnsi="Times New Roman"/>
                <w:snapToGrid/>
                <w:color w:val="000000"/>
                <w:sz w:val="16"/>
                <w:szCs w:val="16"/>
              </w:rPr>
            </w:pPr>
            <w:r w:rsidRPr="00F90837">
              <w:rPr>
                <w:rFonts w:ascii="Times New Roman" w:hAnsi="Times New Roman"/>
                <w:snapToGrid/>
                <w:color w:val="000000"/>
                <w:sz w:val="16"/>
                <w:szCs w:val="16"/>
              </w:rPr>
              <w:t>2,525</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18B96024" w14:textId="4E5C4C7E">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$66.89 </w:t>
            </w:r>
          </w:p>
        </w:tc>
        <w:tc>
          <w:tcPr>
            <w:tcW w:w="1395" w:type="dxa"/>
            <w:tcBorders>
              <w:top w:val="single" w:color="000000" w:sz="4" w:space="0"/>
              <w:left w:val="nil"/>
              <w:bottom w:val="single" w:color="000000" w:sz="4" w:space="0"/>
              <w:right w:val="single" w:color="000000" w:sz="4" w:space="0"/>
            </w:tcBorders>
            <w:shd w:val="clear" w:color="auto" w:fill="auto"/>
            <w:vAlign w:val="center"/>
            <w:hideMark/>
          </w:tcPr>
          <w:p w:rsidRPr="0031466C" w:rsidR="0031466C" w:rsidP="0031466C" w:rsidRDefault="0031466C" w14:paraId="1AAA0957" w14:textId="098B1903">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$168,897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0835144B" w14:textId="3B7AC15B">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$0.00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775831DF" w14:textId="319CA630">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$168,897 </w:t>
            </w:r>
          </w:p>
        </w:tc>
      </w:tr>
      <w:tr w:rsidRPr="00F90837" w:rsidR="0031466C" w:rsidTr="004773A8" w14:paraId="0686E875" w14:textId="77777777">
        <w:trPr>
          <w:trHeight w:val="525"/>
        </w:trPr>
        <w:tc>
          <w:tcPr>
            <w:tcW w:w="2385" w:type="dxa"/>
            <w:tcBorders>
              <w:top w:val="nil"/>
              <w:left w:val="single" w:color="000000" w:sz="4" w:space="0"/>
              <w:bottom w:val="single" w:color="000000" w:sz="4" w:space="0"/>
              <w:right w:val="single" w:color="000000" w:sz="4" w:space="0"/>
            </w:tcBorders>
            <w:shd w:val="clear" w:color="auto" w:fill="auto"/>
            <w:vAlign w:val="center"/>
            <w:hideMark/>
          </w:tcPr>
          <w:p w:rsidRPr="00F90837" w:rsidR="0031466C" w:rsidP="0031466C" w:rsidRDefault="0031466C" w14:paraId="3D95CF48" w14:textId="77777777">
            <w:pPr>
              <w:widowControl/>
              <w:rPr>
                <w:rFonts w:ascii="Times New Roman" w:hAnsi="Times New Roman"/>
                <w:snapToGrid/>
                <w:color w:val="000000"/>
                <w:sz w:val="16"/>
                <w:szCs w:val="16"/>
              </w:rPr>
            </w:pPr>
            <w:r w:rsidRPr="00F90837">
              <w:rPr>
                <w:rFonts w:ascii="Times New Roman" w:hAnsi="Times New Roman"/>
                <w:snapToGrid/>
                <w:color w:val="000000"/>
                <w:sz w:val="16"/>
                <w:szCs w:val="16"/>
              </w:rPr>
              <w:t>Annual Report</w:t>
            </w:r>
          </w:p>
        </w:tc>
        <w:tc>
          <w:tcPr>
            <w:tcW w:w="1395" w:type="dxa"/>
            <w:tcBorders>
              <w:top w:val="nil"/>
              <w:left w:val="nil"/>
              <w:bottom w:val="single" w:color="000000" w:sz="4" w:space="0"/>
              <w:right w:val="single" w:color="000000" w:sz="4" w:space="0"/>
            </w:tcBorders>
            <w:shd w:val="clear" w:color="auto" w:fill="auto"/>
            <w:vAlign w:val="center"/>
            <w:hideMark/>
          </w:tcPr>
          <w:p w:rsidRPr="00F90837" w:rsidR="0031466C" w:rsidP="0031466C" w:rsidRDefault="0031466C" w14:paraId="373DE382" w14:textId="77777777">
            <w:pPr>
              <w:widowControl/>
              <w:jc w:val="center"/>
              <w:rPr>
                <w:rFonts w:ascii="Times New Roman" w:hAnsi="Times New Roman"/>
                <w:snapToGrid/>
                <w:color w:val="000000"/>
                <w:sz w:val="16"/>
                <w:szCs w:val="16"/>
              </w:rPr>
            </w:pPr>
            <w:r w:rsidRPr="00F90837">
              <w:rPr>
                <w:rFonts w:ascii="Times New Roman" w:hAnsi="Times New Roman"/>
                <w:snapToGrid/>
                <w:color w:val="000000"/>
                <w:sz w:val="16"/>
                <w:szCs w:val="16"/>
              </w:rPr>
              <w:t>1,495</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5C4DD0B6" w14:textId="609BFE4E">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$66.89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304CB1D5" w14:textId="2398E50D">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$100,001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094EF872" w14:textId="4B2D50F1">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$0.00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359DEC81" w14:textId="69E5E800">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$100,001 </w:t>
            </w:r>
          </w:p>
        </w:tc>
      </w:tr>
      <w:tr w:rsidRPr="00F90837" w:rsidR="0031466C" w:rsidTr="004773A8" w14:paraId="6034A580" w14:textId="77777777">
        <w:trPr>
          <w:trHeight w:val="600"/>
        </w:trPr>
        <w:tc>
          <w:tcPr>
            <w:tcW w:w="2385" w:type="dxa"/>
            <w:tcBorders>
              <w:top w:val="nil"/>
              <w:left w:val="single" w:color="000000" w:sz="4" w:space="0"/>
              <w:bottom w:val="nil"/>
              <w:right w:val="single" w:color="000000" w:sz="4" w:space="0"/>
            </w:tcBorders>
            <w:shd w:val="clear" w:color="auto" w:fill="auto"/>
            <w:noWrap/>
            <w:vAlign w:val="center"/>
            <w:hideMark/>
          </w:tcPr>
          <w:p w:rsidRPr="00F90837" w:rsidR="0031466C" w:rsidP="0031466C" w:rsidRDefault="0031466C" w14:paraId="009090F2" w14:textId="77777777">
            <w:pPr>
              <w:widowControl/>
              <w:rPr>
                <w:rFonts w:ascii="Times New Roman" w:hAnsi="Times New Roman"/>
                <w:snapToGrid/>
                <w:color w:val="000000"/>
                <w:sz w:val="16"/>
                <w:szCs w:val="16"/>
              </w:rPr>
            </w:pPr>
            <w:r w:rsidRPr="00F90837">
              <w:rPr>
                <w:rFonts w:ascii="Times New Roman" w:hAnsi="Times New Roman"/>
                <w:snapToGrid/>
                <w:color w:val="000000"/>
                <w:sz w:val="16"/>
                <w:szCs w:val="16"/>
              </w:rPr>
              <w:t>Annual Audit</w:t>
            </w:r>
          </w:p>
        </w:tc>
        <w:tc>
          <w:tcPr>
            <w:tcW w:w="1395" w:type="dxa"/>
            <w:tcBorders>
              <w:top w:val="nil"/>
              <w:left w:val="nil"/>
              <w:bottom w:val="single" w:color="000000" w:sz="4" w:space="0"/>
              <w:right w:val="single" w:color="000000" w:sz="4" w:space="0"/>
            </w:tcBorders>
            <w:shd w:val="clear" w:color="auto" w:fill="auto"/>
            <w:vAlign w:val="center"/>
            <w:hideMark/>
          </w:tcPr>
          <w:p w:rsidRPr="00F90837" w:rsidR="0031466C" w:rsidP="0031466C" w:rsidRDefault="0031466C" w14:paraId="45154F7B" w14:textId="77777777">
            <w:pPr>
              <w:widowControl/>
              <w:jc w:val="center"/>
              <w:rPr>
                <w:rFonts w:ascii="Times New Roman" w:hAnsi="Times New Roman"/>
                <w:snapToGrid/>
                <w:color w:val="000000"/>
                <w:sz w:val="16"/>
                <w:szCs w:val="16"/>
              </w:rPr>
            </w:pPr>
            <w:r w:rsidRPr="00F90837">
              <w:rPr>
                <w:rFonts w:ascii="Times New Roman" w:hAnsi="Times New Roman"/>
                <w:snapToGrid/>
                <w:color w:val="000000"/>
                <w:sz w:val="16"/>
                <w:szCs w:val="16"/>
              </w:rPr>
              <w:t>940</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5D970B08" w14:textId="536E2908">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$66.89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068F260D" w14:textId="736CEB6F">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$62,877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3CB362AA" w14:textId="3731499B">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$0.00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48DCF876" w14:textId="7F6A133E">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$62,877 </w:t>
            </w:r>
          </w:p>
        </w:tc>
      </w:tr>
      <w:tr w:rsidRPr="00F90837" w:rsidR="0031466C" w:rsidTr="004773A8" w14:paraId="17447256" w14:textId="77777777">
        <w:trPr>
          <w:trHeight w:val="510"/>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F90837" w:rsidR="0031466C" w:rsidP="0031466C" w:rsidRDefault="0031466C" w14:paraId="5EBE0926" w14:textId="25CA3A23">
            <w:pPr>
              <w:widowControl/>
              <w:rPr>
                <w:rFonts w:ascii="Times New Roman" w:hAnsi="Times New Roman"/>
                <w:snapToGrid/>
                <w:color w:val="000000"/>
                <w:sz w:val="16"/>
                <w:szCs w:val="16"/>
              </w:rPr>
            </w:pPr>
            <w:r w:rsidRPr="00F90837">
              <w:rPr>
                <w:rFonts w:ascii="Times New Roman" w:hAnsi="Times New Roman"/>
                <w:snapToGrid/>
                <w:color w:val="000000"/>
                <w:sz w:val="16"/>
                <w:szCs w:val="16"/>
              </w:rPr>
              <w:t>CBR &amp; NIMS Reporting</w:t>
            </w:r>
          </w:p>
        </w:tc>
        <w:tc>
          <w:tcPr>
            <w:tcW w:w="1395" w:type="dxa"/>
            <w:tcBorders>
              <w:top w:val="nil"/>
              <w:left w:val="nil"/>
              <w:bottom w:val="single" w:color="000000" w:sz="4" w:space="0"/>
              <w:right w:val="single" w:color="000000" w:sz="4" w:space="0"/>
            </w:tcBorders>
            <w:shd w:val="clear" w:color="auto" w:fill="auto"/>
            <w:vAlign w:val="center"/>
            <w:hideMark/>
          </w:tcPr>
          <w:p w:rsidRPr="00F90837" w:rsidR="0031466C" w:rsidP="0031466C" w:rsidRDefault="0031466C" w14:paraId="3B71D4FD" w14:textId="77777777">
            <w:pPr>
              <w:widowControl/>
              <w:jc w:val="center"/>
              <w:rPr>
                <w:rFonts w:ascii="Times New Roman" w:hAnsi="Times New Roman"/>
                <w:snapToGrid/>
                <w:color w:val="000000"/>
                <w:sz w:val="16"/>
                <w:szCs w:val="16"/>
              </w:rPr>
            </w:pPr>
            <w:r w:rsidRPr="00F90837">
              <w:rPr>
                <w:rFonts w:ascii="Times New Roman" w:hAnsi="Times New Roman"/>
                <w:snapToGrid/>
                <w:color w:val="000000"/>
                <w:sz w:val="16"/>
                <w:szCs w:val="16"/>
              </w:rPr>
              <w:t>3,876</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1904D41D" w14:textId="49DAEF51">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$66.89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694A2D15" w14:textId="176545A6">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$259,266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5DB06295" w14:textId="29119E97">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$200,000 </w:t>
            </w:r>
          </w:p>
        </w:tc>
        <w:tc>
          <w:tcPr>
            <w:tcW w:w="1395" w:type="dxa"/>
            <w:tcBorders>
              <w:top w:val="nil"/>
              <w:left w:val="nil"/>
              <w:bottom w:val="single" w:color="000000" w:sz="4" w:space="0"/>
              <w:right w:val="single" w:color="000000" w:sz="4" w:space="0"/>
            </w:tcBorders>
            <w:shd w:val="clear" w:color="auto" w:fill="auto"/>
            <w:vAlign w:val="center"/>
            <w:hideMark/>
          </w:tcPr>
          <w:p w:rsidRPr="0031466C" w:rsidR="0031466C" w:rsidP="0031466C" w:rsidRDefault="0031466C" w14:paraId="52C2D3CE" w14:textId="590D131A">
            <w:pPr>
              <w:widowControl/>
              <w:jc w:val="center"/>
              <w:rPr>
                <w:rFonts w:ascii="Times New Roman" w:hAnsi="Times New Roman"/>
                <w:snapToGrid/>
                <w:color w:val="000000"/>
                <w:sz w:val="16"/>
                <w:szCs w:val="16"/>
              </w:rPr>
            </w:pPr>
            <w:r w:rsidRPr="0031466C">
              <w:rPr>
                <w:rFonts w:ascii="Times New Roman" w:hAnsi="Times New Roman"/>
                <w:color w:val="000000"/>
                <w:sz w:val="16"/>
                <w:szCs w:val="16"/>
              </w:rPr>
              <w:t xml:space="preserve">$459,266 </w:t>
            </w:r>
          </w:p>
        </w:tc>
      </w:tr>
      <w:tr w:rsidRPr="00F90837" w:rsidR="00921B47" w:rsidTr="00921B47" w14:paraId="69D19B99" w14:textId="77777777">
        <w:trPr>
          <w:trHeight w:val="180"/>
        </w:trPr>
        <w:tc>
          <w:tcPr>
            <w:tcW w:w="2385" w:type="dxa"/>
            <w:tcBorders>
              <w:top w:val="nil"/>
              <w:left w:val="nil"/>
              <w:bottom w:val="nil"/>
              <w:right w:val="nil"/>
            </w:tcBorders>
            <w:shd w:val="clear" w:color="auto" w:fill="auto"/>
            <w:noWrap/>
            <w:vAlign w:val="center"/>
            <w:hideMark/>
          </w:tcPr>
          <w:p w:rsidRPr="00F90837" w:rsidR="00921B47" w:rsidP="00921B47" w:rsidRDefault="00921B47" w14:paraId="37E30151" w14:textId="77777777">
            <w:pPr>
              <w:widowControl/>
              <w:rPr>
                <w:rFonts w:ascii="Times New Roman" w:hAnsi="Times New Roman"/>
                <w:snapToGrid/>
                <w:color w:val="000000"/>
                <w:sz w:val="16"/>
                <w:szCs w:val="16"/>
              </w:rPr>
            </w:pPr>
            <w:r w:rsidRPr="00F90837">
              <w:rPr>
                <w:rFonts w:ascii="Times New Roman" w:hAnsi="Times New Roman"/>
                <w:snapToGrid/>
                <w:color w:val="000000"/>
                <w:sz w:val="16"/>
                <w:szCs w:val="16"/>
              </w:rPr>
              <w:t> </w:t>
            </w:r>
          </w:p>
        </w:tc>
        <w:tc>
          <w:tcPr>
            <w:tcW w:w="1395" w:type="dxa"/>
            <w:tcBorders>
              <w:top w:val="nil"/>
              <w:left w:val="nil"/>
              <w:bottom w:val="nil"/>
              <w:right w:val="nil"/>
            </w:tcBorders>
            <w:shd w:val="clear" w:color="auto" w:fill="auto"/>
            <w:noWrap/>
            <w:vAlign w:val="center"/>
            <w:hideMark/>
          </w:tcPr>
          <w:p w:rsidRPr="00F90837" w:rsidR="00921B47" w:rsidP="00921B47" w:rsidRDefault="00921B47" w14:paraId="1AB6637C" w14:textId="77777777">
            <w:pPr>
              <w:widowControl/>
              <w:jc w:val="center"/>
              <w:rPr>
                <w:rFonts w:ascii="Times New Roman" w:hAnsi="Times New Roman"/>
                <w:snapToGrid/>
                <w:color w:val="000000"/>
                <w:sz w:val="16"/>
                <w:szCs w:val="16"/>
              </w:rPr>
            </w:pPr>
            <w:r w:rsidRPr="00F90837">
              <w:rPr>
                <w:rFonts w:ascii="Times New Roman" w:hAnsi="Times New Roman"/>
                <w:snapToGrid/>
                <w:color w:val="000000"/>
                <w:sz w:val="16"/>
                <w:szCs w:val="16"/>
              </w:rPr>
              <w:t> </w:t>
            </w:r>
          </w:p>
        </w:tc>
        <w:tc>
          <w:tcPr>
            <w:tcW w:w="1395" w:type="dxa"/>
            <w:tcBorders>
              <w:top w:val="nil"/>
              <w:left w:val="nil"/>
              <w:bottom w:val="nil"/>
              <w:right w:val="nil"/>
            </w:tcBorders>
            <w:shd w:val="clear" w:color="auto" w:fill="auto"/>
            <w:noWrap/>
            <w:vAlign w:val="center"/>
            <w:hideMark/>
          </w:tcPr>
          <w:p w:rsidRPr="00F90837" w:rsidR="00921B47" w:rsidP="00921B47" w:rsidRDefault="00921B47" w14:paraId="62134477" w14:textId="77777777">
            <w:pPr>
              <w:widowControl/>
              <w:jc w:val="center"/>
              <w:rPr>
                <w:rFonts w:ascii="Times New Roman" w:hAnsi="Times New Roman"/>
                <w:snapToGrid/>
                <w:color w:val="000000"/>
                <w:sz w:val="16"/>
                <w:szCs w:val="16"/>
              </w:rPr>
            </w:pPr>
            <w:r w:rsidRPr="00F90837">
              <w:rPr>
                <w:rFonts w:ascii="Times New Roman" w:hAnsi="Times New Roman"/>
                <w:snapToGrid/>
                <w:color w:val="000000"/>
                <w:sz w:val="16"/>
                <w:szCs w:val="16"/>
              </w:rPr>
              <w:t> </w:t>
            </w:r>
          </w:p>
        </w:tc>
        <w:tc>
          <w:tcPr>
            <w:tcW w:w="1395" w:type="dxa"/>
            <w:tcBorders>
              <w:top w:val="nil"/>
              <w:left w:val="nil"/>
              <w:bottom w:val="nil"/>
              <w:right w:val="nil"/>
            </w:tcBorders>
            <w:shd w:val="clear" w:color="auto" w:fill="auto"/>
            <w:noWrap/>
            <w:hideMark/>
          </w:tcPr>
          <w:p w:rsidRPr="00F90837" w:rsidR="00921B47" w:rsidP="00921B47" w:rsidRDefault="00921B47" w14:paraId="183680D2" w14:textId="3B743441">
            <w:pPr>
              <w:widowControl/>
              <w:jc w:val="center"/>
              <w:rPr>
                <w:rFonts w:ascii="Times New Roman" w:hAnsi="Times New Roman"/>
                <w:snapToGrid/>
                <w:color w:val="000000"/>
                <w:sz w:val="16"/>
                <w:szCs w:val="16"/>
              </w:rPr>
            </w:pPr>
          </w:p>
        </w:tc>
        <w:tc>
          <w:tcPr>
            <w:tcW w:w="1395" w:type="dxa"/>
            <w:tcBorders>
              <w:top w:val="nil"/>
              <w:left w:val="nil"/>
              <w:bottom w:val="nil"/>
              <w:right w:val="nil"/>
            </w:tcBorders>
            <w:shd w:val="clear" w:color="auto" w:fill="auto"/>
            <w:noWrap/>
            <w:vAlign w:val="center"/>
            <w:hideMark/>
          </w:tcPr>
          <w:p w:rsidRPr="00F90837" w:rsidR="00921B47" w:rsidP="00921B47" w:rsidRDefault="00921B47" w14:paraId="7DF8A7DD" w14:textId="77777777">
            <w:pPr>
              <w:widowControl/>
              <w:jc w:val="center"/>
              <w:rPr>
                <w:rFonts w:ascii="Times New Roman" w:hAnsi="Times New Roman"/>
                <w:snapToGrid/>
                <w:color w:val="000000"/>
                <w:sz w:val="16"/>
                <w:szCs w:val="16"/>
              </w:rPr>
            </w:pPr>
            <w:r w:rsidRPr="00F90837">
              <w:rPr>
                <w:rFonts w:ascii="Times New Roman" w:hAnsi="Times New Roman"/>
                <w:snapToGrid/>
                <w:color w:val="000000"/>
                <w:sz w:val="16"/>
                <w:szCs w:val="16"/>
              </w:rPr>
              <w:t> </w:t>
            </w:r>
          </w:p>
        </w:tc>
        <w:tc>
          <w:tcPr>
            <w:tcW w:w="1395" w:type="dxa"/>
            <w:tcBorders>
              <w:top w:val="nil"/>
              <w:left w:val="nil"/>
              <w:bottom w:val="nil"/>
              <w:right w:val="nil"/>
            </w:tcBorders>
            <w:shd w:val="clear" w:color="auto" w:fill="auto"/>
            <w:noWrap/>
            <w:vAlign w:val="center"/>
            <w:hideMark/>
          </w:tcPr>
          <w:p w:rsidRPr="00F90837" w:rsidR="00921B47" w:rsidP="00921B47" w:rsidRDefault="00921B47" w14:paraId="474CD69A" w14:textId="77777777">
            <w:pPr>
              <w:widowControl/>
              <w:jc w:val="center"/>
              <w:rPr>
                <w:rFonts w:ascii="Times New Roman" w:hAnsi="Times New Roman"/>
                <w:snapToGrid/>
                <w:color w:val="000000"/>
                <w:sz w:val="16"/>
                <w:szCs w:val="16"/>
              </w:rPr>
            </w:pPr>
            <w:r w:rsidRPr="00F90837">
              <w:rPr>
                <w:rFonts w:ascii="Times New Roman" w:hAnsi="Times New Roman"/>
                <w:snapToGrid/>
                <w:color w:val="000000"/>
                <w:sz w:val="16"/>
                <w:szCs w:val="16"/>
              </w:rPr>
              <w:t> </w:t>
            </w:r>
          </w:p>
        </w:tc>
      </w:tr>
      <w:tr w:rsidRPr="00F90837" w:rsidR="00F90837" w:rsidTr="00921B47" w14:paraId="43D57A4F" w14:textId="77777777">
        <w:trPr>
          <w:trHeight w:val="480"/>
        </w:trPr>
        <w:tc>
          <w:tcPr>
            <w:tcW w:w="9360" w:type="dxa"/>
            <w:gridSpan w:val="6"/>
            <w:tcBorders>
              <w:top w:val="nil"/>
              <w:left w:val="nil"/>
              <w:bottom w:val="nil"/>
              <w:right w:val="nil"/>
            </w:tcBorders>
            <w:shd w:val="clear" w:color="auto" w:fill="auto"/>
            <w:vAlign w:val="center"/>
            <w:hideMark/>
          </w:tcPr>
          <w:p w:rsidRPr="00F90837" w:rsidR="00F90837" w:rsidP="00F90837" w:rsidRDefault="00F90837" w14:paraId="294B2BA1" w14:textId="6F6BE291">
            <w:pPr>
              <w:widowControl/>
              <w:rPr>
                <w:rFonts w:ascii="Times New Roman" w:hAnsi="Times New Roman"/>
                <w:snapToGrid/>
                <w:color w:val="000000"/>
                <w:sz w:val="16"/>
                <w:szCs w:val="16"/>
              </w:rPr>
            </w:pPr>
            <w:r w:rsidRPr="00F90837">
              <w:rPr>
                <w:rFonts w:ascii="Times New Roman" w:hAnsi="Times New Roman"/>
                <w:snapToGrid/>
                <w:color w:val="000000"/>
                <w:sz w:val="16"/>
                <w:szCs w:val="16"/>
              </w:rPr>
              <w:t xml:space="preserve">* The number of respondents is the 51 CWSRFs, with the exception of the Independent Annual Audit (47 respondents). There is no federal burden associated with the public awareness policy. </w:t>
            </w:r>
          </w:p>
        </w:tc>
      </w:tr>
    </w:tbl>
    <w:p w:rsidR="00500ABB" w:rsidP="0052718A" w:rsidRDefault="00500ABB" w14:paraId="58334ECC" w14:textId="77777777">
      <w:pPr>
        <w:tabs>
          <w:tab w:val="left" w:pos="-1440"/>
        </w:tabs>
        <w:rPr>
          <w:rFonts w:ascii="Times New Roman" w:hAnsi="Times New Roman"/>
        </w:rPr>
      </w:pPr>
    </w:p>
    <w:tbl>
      <w:tblPr>
        <w:tblW w:w="5500" w:type="dxa"/>
        <w:tblLook w:val="04A0" w:firstRow="1" w:lastRow="0" w:firstColumn="1" w:lastColumn="0" w:noHBand="0" w:noVBand="1"/>
      </w:tblPr>
      <w:tblGrid>
        <w:gridCol w:w="4000"/>
        <w:gridCol w:w="1500"/>
      </w:tblGrid>
      <w:tr w:rsidRPr="00F90837" w:rsidR="00F90837" w:rsidTr="00F90837" w14:paraId="6EA261A1" w14:textId="77777777">
        <w:trPr>
          <w:trHeight w:val="300"/>
        </w:trPr>
        <w:tc>
          <w:tcPr>
            <w:tcW w:w="4000" w:type="dxa"/>
            <w:tcBorders>
              <w:top w:val="nil"/>
              <w:left w:val="nil"/>
              <w:bottom w:val="nil"/>
              <w:right w:val="nil"/>
            </w:tcBorders>
            <w:shd w:val="clear" w:color="auto" w:fill="auto"/>
            <w:vAlign w:val="bottom"/>
            <w:hideMark/>
          </w:tcPr>
          <w:p w:rsidRPr="00F90837" w:rsidR="00F90837" w:rsidP="00F90837" w:rsidRDefault="00F90837" w14:paraId="133D17D3" w14:textId="77777777">
            <w:pPr>
              <w:widowControl/>
              <w:rPr>
                <w:rFonts w:ascii="Times New Roman" w:hAnsi="Times New Roman"/>
                <w:b/>
                <w:bCs/>
                <w:snapToGrid/>
                <w:color w:val="000000"/>
                <w:sz w:val="20"/>
              </w:rPr>
            </w:pPr>
            <w:r w:rsidRPr="00F90837">
              <w:rPr>
                <w:rFonts w:ascii="Times New Roman" w:hAnsi="Times New Roman"/>
                <w:b/>
                <w:bCs/>
                <w:snapToGrid/>
                <w:color w:val="000000"/>
                <w:sz w:val="20"/>
              </w:rPr>
              <w:t>Average Annual # of Hours:</w:t>
            </w:r>
          </w:p>
        </w:tc>
        <w:tc>
          <w:tcPr>
            <w:tcW w:w="1500" w:type="dxa"/>
            <w:tcBorders>
              <w:top w:val="nil"/>
              <w:left w:val="nil"/>
              <w:bottom w:val="nil"/>
              <w:right w:val="nil"/>
            </w:tcBorders>
            <w:shd w:val="clear" w:color="auto" w:fill="auto"/>
            <w:noWrap/>
            <w:vAlign w:val="bottom"/>
            <w:hideMark/>
          </w:tcPr>
          <w:p w:rsidRPr="00F90837" w:rsidR="00F90837" w:rsidP="00F90837" w:rsidRDefault="00F90837" w14:paraId="29C7BCCA" w14:textId="77777777">
            <w:pPr>
              <w:widowControl/>
              <w:jc w:val="center"/>
              <w:rPr>
                <w:rFonts w:ascii="Times New Roman" w:hAnsi="Times New Roman"/>
                <w:b/>
                <w:bCs/>
                <w:snapToGrid/>
                <w:color w:val="000000"/>
                <w:sz w:val="20"/>
              </w:rPr>
            </w:pPr>
            <w:r w:rsidRPr="00F90837">
              <w:rPr>
                <w:rFonts w:ascii="Times New Roman" w:hAnsi="Times New Roman"/>
                <w:b/>
                <w:bCs/>
                <w:snapToGrid/>
                <w:color w:val="000000"/>
                <w:sz w:val="20"/>
              </w:rPr>
              <w:t>8,836</w:t>
            </w:r>
          </w:p>
        </w:tc>
      </w:tr>
      <w:tr w:rsidRPr="00F90837" w:rsidR="00F90837" w:rsidTr="00F90837" w14:paraId="48F68180" w14:textId="77777777">
        <w:trPr>
          <w:trHeight w:val="300"/>
        </w:trPr>
        <w:tc>
          <w:tcPr>
            <w:tcW w:w="4000" w:type="dxa"/>
            <w:tcBorders>
              <w:top w:val="nil"/>
              <w:left w:val="nil"/>
              <w:bottom w:val="nil"/>
              <w:right w:val="nil"/>
            </w:tcBorders>
            <w:shd w:val="clear" w:color="auto" w:fill="auto"/>
            <w:vAlign w:val="bottom"/>
            <w:hideMark/>
          </w:tcPr>
          <w:p w:rsidRPr="00F90837" w:rsidR="00F90837" w:rsidP="00F90837" w:rsidRDefault="00F90837" w14:paraId="66884BEE" w14:textId="77777777">
            <w:pPr>
              <w:widowControl/>
              <w:rPr>
                <w:rFonts w:ascii="Times New Roman" w:hAnsi="Times New Roman"/>
                <w:b/>
                <w:bCs/>
                <w:snapToGrid/>
                <w:color w:val="000000"/>
                <w:sz w:val="20"/>
              </w:rPr>
            </w:pPr>
            <w:r w:rsidRPr="00F90837">
              <w:rPr>
                <w:rFonts w:ascii="Times New Roman" w:hAnsi="Times New Roman"/>
                <w:b/>
                <w:bCs/>
                <w:snapToGrid/>
                <w:color w:val="000000"/>
                <w:sz w:val="20"/>
              </w:rPr>
              <w:t>Average Annual Cost:</w:t>
            </w:r>
          </w:p>
        </w:tc>
        <w:tc>
          <w:tcPr>
            <w:tcW w:w="1500" w:type="dxa"/>
            <w:tcBorders>
              <w:top w:val="nil"/>
              <w:left w:val="nil"/>
              <w:bottom w:val="nil"/>
              <w:right w:val="nil"/>
            </w:tcBorders>
            <w:shd w:val="clear" w:color="auto" w:fill="auto"/>
            <w:noWrap/>
            <w:vAlign w:val="bottom"/>
            <w:hideMark/>
          </w:tcPr>
          <w:p w:rsidRPr="004773A8" w:rsidR="00F90837" w:rsidP="004773A8" w:rsidRDefault="004773A8" w14:paraId="15D5DFC7" w14:textId="25E8BA6A">
            <w:pPr>
              <w:widowControl/>
              <w:jc w:val="center"/>
              <w:rPr>
                <w:rFonts w:ascii="Times New Roman" w:hAnsi="Times New Roman"/>
                <w:b/>
                <w:bCs/>
                <w:snapToGrid/>
                <w:color w:val="000000"/>
                <w:sz w:val="20"/>
              </w:rPr>
            </w:pPr>
            <w:r w:rsidRPr="004773A8">
              <w:rPr>
                <w:rFonts w:ascii="Times New Roman" w:hAnsi="Times New Roman"/>
                <w:b/>
                <w:bCs/>
                <w:color w:val="000000"/>
                <w:sz w:val="20"/>
              </w:rPr>
              <w:t>$791,04</w:t>
            </w:r>
            <w:r w:rsidR="005B4EA3">
              <w:rPr>
                <w:rFonts w:ascii="Times New Roman" w:hAnsi="Times New Roman"/>
                <w:b/>
                <w:bCs/>
                <w:color w:val="000000"/>
                <w:sz w:val="20"/>
              </w:rPr>
              <w:t>1</w:t>
            </w:r>
            <w:r w:rsidRPr="004773A8">
              <w:rPr>
                <w:rFonts w:ascii="Times New Roman" w:hAnsi="Times New Roman"/>
                <w:b/>
                <w:bCs/>
                <w:color w:val="000000"/>
                <w:sz w:val="20"/>
              </w:rPr>
              <w:t xml:space="preserve"> </w:t>
            </w:r>
          </w:p>
        </w:tc>
      </w:tr>
      <w:tr w:rsidRPr="00F90837" w:rsidR="00F90837" w:rsidTr="00F90837" w14:paraId="144C6BC8" w14:textId="77777777">
        <w:trPr>
          <w:trHeight w:val="300"/>
        </w:trPr>
        <w:tc>
          <w:tcPr>
            <w:tcW w:w="4000" w:type="dxa"/>
            <w:tcBorders>
              <w:top w:val="nil"/>
              <w:left w:val="nil"/>
              <w:bottom w:val="nil"/>
              <w:right w:val="nil"/>
            </w:tcBorders>
            <w:shd w:val="clear" w:color="auto" w:fill="auto"/>
            <w:noWrap/>
            <w:vAlign w:val="bottom"/>
            <w:hideMark/>
          </w:tcPr>
          <w:p w:rsidRPr="00F90837" w:rsidR="00F90837" w:rsidP="00F90837" w:rsidRDefault="00F90837" w14:paraId="33D2EBC9" w14:textId="77777777">
            <w:pPr>
              <w:widowControl/>
              <w:jc w:val="center"/>
              <w:rPr>
                <w:rFonts w:ascii="Times New Roman" w:hAnsi="Times New Roman"/>
                <w:b/>
                <w:bCs/>
                <w:snapToGrid/>
                <w:color w:val="000000"/>
                <w:sz w:val="20"/>
              </w:rPr>
            </w:pPr>
          </w:p>
        </w:tc>
        <w:tc>
          <w:tcPr>
            <w:tcW w:w="1500" w:type="dxa"/>
            <w:tcBorders>
              <w:top w:val="nil"/>
              <w:left w:val="nil"/>
              <w:bottom w:val="nil"/>
              <w:right w:val="nil"/>
            </w:tcBorders>
            <w:shd w:val="clear" w:color="auto" w:fill="auto"/>
            <w:noWrap/>
            <w:vAlign w:val="bottom"/>
            <w:hideMark/>
          </w:tcPr>
          <w:p w:rsidRPr="00F90837" w:rsidR="00F90837" w:rsidP="00F90837" w:rsidRDefault="00F90837" w14:paraId="3DAC4128" w14:textId="77777777">
            <w:pPr>
              <w:widowControl/>
              <w:rPr>
                <w:rFonts w:ascii="Times New Roman" w:hAnsi="Times New Roman"/>
                <w:snapToGrid/>
                <w:sz w:val="20"/>
              </w:rPr>
            </w:pPr>
          </w:p>
        </w:tc>
      </w:tr>
      <w:tr w:rsidRPr="00F90837" w:rsidR="00F90837" w:rsidTr="00F90837" w14:paraId="0282A481" w14:textId="77777777">
        <w:trPr>
          <w:trHeight w:val="300"/>
        </w:trPr>
        <w:tc>
          <w:tcPr>
            <w:tcW w:w="4000" w:type="dxa"/>
            <w:tcBorders>
              <w:top w:val="nil"/>
              <w:left w:val="nil"/>
              <w:bottom w:val="nil"/>
              <w:right w:val="nil"/>
            </w:tcBorders>
            <w:shd w:val="clear" w:color="auto" w:fill="auto"/>
            <w:vAlign w:val="bottom"/>
            <w:hideMark/>
          </w:tcPr>
          <w:p w:rsidRPr="00F90837" w:rsidR="00F90837" w:rsidP="00F90837" w:rsidRDefault="00F90837" w14:paraId="52CF9FBD" w14:textId="77777777">
            <w:pPr>
              <w:widowControl/>
              <w:rPr>
                <w:rFonts w:ascii="Times New Roman" w:hAnsi="Times New Roman"/>
                <w:b/>
                <w:bCs/>
                <w:snapToGrid/>
                <w:color w:val="000000"/>
                <w:sz w:val="20"/>
              </w:rPr>
            </w:pPr>
            <w:r w:rsidRPr="00F90837">
              <w:rPr>
                <w:rFonts w:ascii="Times New Roman" w:hAnsi="Times New Roman"/>
                <w:b/>
                <w:bCs/>
                <w:snapToGrid/>
                <w:color w:val="000000"/>
                <w:sz w:val="20"/>
              </w:rPr>
              <w:t>Total # of Hours (FFY 2021 to FFY 2023):</w:t>
            </w:r>
          </w:p>
        </w:tc>
        <w:tc>
          <w:tcPr>
            <w:tcW w:w="1500" w:type="dxa"/>
            <w:tcBorders>
              <w:top w:val="nil"/>
              <w:left w:val="nil"/>
              <w:bottom w:val="nil"/>
              <w:right w:val="nil"/>
            </w:tcBorders>
            <w:shd w:val="clear" w:color="auto" w:fill="auto"/>
            <w:noWrap/>
            <w:vAlign w:val="bottom"/>
            <w:hideMark/>
          </w:tcPr>
          <w:p w:rsidRPr="00F90837" w:rsidR="00F90837" w:rsidP="00F90837" w:rsidRDefault="00F90837" w14:paraId="022FE576" w14:textId="77777777">
            <w:pPr>
              <w:widowControl/>
              <w:jc w:val="center"/>
              <w:rPr>
                <w:rFonts w:ascii="Times New Roman" w:hAnsi="Times New Roman"/>
                <w:b/>
                <w:bCs/>
                <w:snapToGrid/>
                <w:color w:val="000000"/>
                <w:sz w:val="20"/>
              </w:rPr>
            </w:pPr>
            <w:r w:rsidRPr="00F90837">
              <w:rPr>
                <w:rFonts w:ascii="Times New Roman" w:hAnsi="Times New Roman"/>
                <w:b/>
                <w:bCs/>
                <w:snapToGrid/>
                <w:color w:val="000000"/>
                <w:sz w:val="20"/>
              </w:rPr>
              <w:t>26,508</w:t>
            </w:r>
          </w:p>
        </w:tc>
      </w:tr>
      <w:tr w:rsidRPr="00F90837" w:rsidR="00F90837" w:rsidTr="00F90837" w14:paraId="6E14E50A" w14:textId="77777777">
        <w:trPr>
          <w:trHeight w:val="300"/>
        </w:trPr>
        <w:tc>
          <w:tcPr>
            <w:tcW w:w="4000" w:type="dxa"/>
            <w:tcBorders>
              <w:top w:val="nil"/>
              <w:left w:val="nil"/>
              <w:bottom w:val="nil"/>
              <w:right w:val="nil"/>
            </w:tcBorders>
            <w:shd w:val="clear" w:color="auto" w:fill="auto"/>
            <w:vAlign w:val="bottom"/>
            <w:hideMark/>
          </w:tcPr>
          <w:p w:rsidRPr="00F90837" w:rsidR="00F90837" w:rsidP="00F90837" w:rsidRDefault="00F90837" w14:paraId="68EDAB06" w14:textId="77777777">
            <w:pPr>
              <w:widowControl/>
              <w:rPr>
                <w:rFonts w:ascii="Times New Roman" w:hAnsi="Times New Roman"/>
                <w:b/>
                <w:bCs/>
                <w:snapToGrid/>
                <w:color w:val="000000"/>
                <w:sz w:val="20"/>
              </w:rPr>
            </w:pPr>
            <w:r w:rsidRPr="00F90837">
              <w:rPr>
                <w:rFonts w:ascii="Times New Roman" w:hAnsi="Times New Roman"/>
                <w:b/>
                <w:bCs/>
                <w:snapToGrid/>
                <w:color w:val="000000"/>
                <w:sz w:val="20"/>
              </w:rPr>
              <w:t>Total Cost (FFY 2021 to FFY 2023):</w:t>
            </w:r>
          </w:p>
        </w:tc>
        <w:tc>
          <w:tcPr>
            <w:tcW w:w="1500" w:type="dxa"/>
            <w:tcBorders>
              <w:top w:val="nil"/>
              <w:left w:val="nil"/>
              <w:bottom w:val="nil"/>
              <w:right w:val="nil"/>
            </w:tcBorders>
            <w:shd w:val="clear" w:color="auto" w:fill="auto"/>
            <w:noWrap/>
            <w:vAlign w:val="bottom"/>
            <w:hideMark/>
          </w:tcPr>
          <w:p w:rsidRPr="00F90837" w:rsidR="00F90837" w:rsidP="00F90837" w:rsidRDefault="004773A8" w14:paraId="00C704EF" w14:textId="1208CED2">
            <w:pPr>
              <w:widowControl/>
              <w:jc w:val="center"/>
              <w:rPr>
                <w:rFonts w:ascii="Times New Roman" w:hAnsi="Times New Roman"/>
                <w:b/>
                <w:bCs/>
                <w:snapToGrid/>
                <w:color w:val="000000"/>
                <w:sz w:val="20"/>
              </w:rPr>
            </w:pPr>
            <w:r w:rsidRPr="004773A8">
              <w:rPr>
                <w:rFonts w:ascii="Times New Roman" w:hAnsi="Times New Roman"/>
                <w:b/>
                <w:bCs/>
                <w:snapToGrid/>
                <w:color w:val="000000"/>
                <w:sz w:val="20"/>
              </w:rPr>
              <w:t>$2,373,12</w:t>
            </w:r>
            <w:r w:rsidR="005B4EA3">
              <w:rPr>
                <w:rFonts w:ascii="Times New Roman" w:hAnsi="Times New Roman"/>
                <w:b/>
                <w:bCs/>
                <w:snapToGrid/>
                <w:color w:val="000000"/>
                <w:sz w:val="20"/>
              </w:rPr>
              <w:t>3</w:t>
            </w:r>
          </w:p>
        </w:tc>
      </w:tr>
    </w:tbl>
    <w:p w:rsidR="00125D5D" w:rsidP="0052718A" w:rsidRDefault="00125D5D" w14:paraId="412A7D05" w14:textId="77777777">
      <w:pPr>
        <w:tabs>
          <w:tab w:val="left" w:pos="-1440"/>
        </w:tabs>
        <w:rPr>
          <w:rFonts w:ascii="Times New Roman" w:hAnsi="Times New Roman"/>
        </w:rPr>
      </w:pPr>
    </w:p>
    <w:p w:rsidR="00C67898" w:rsidP="00B63A0D" w:rsidRDefault="00900F70" w14:paraId="34B601F9" w14:textId="7653B574">
      <w:pPr>
        <w:tabs>
          <w:tab w:val="left" w:pos="-1440"/>
        </w:tabs>
        <w:rPr>
          <w:rFonts w:ascii="Times New Roman" w:hAnsi="Times New Roman"/>
          <w:b/>
        </w:rPr>
      </w:pPr>
      <w:r w:rsidRPr="0031466C">
        <w:rPr>
          <w:rFonts w:ascii="Times New Roman" w:hAnsi="Times New Roman"/>
          <w:b/>
        </w:rPr>
        <w:t>15. Explain the reason for any program changes or adjustments in burden estimates from the previous approved ICR.</w:t>
      </w:r>
      <w:r w:rsidRPr="00004733">
        <w:rPr>
          <w:rFonts w:ascii="Times New Roman" w:hAnsi="Times New Roman"/>
          <w:b/>
        </w:rPr>
        <w:t xml:space="preserve">  </w:t>
      </w:r>
    </w:p>
    <w:p w:rsidR="00B63A0D" w:rsidP="00B63A0D" w:rsidRDefault="00B63A0D" w14:paraId="344C5846" w14:textId="77777777">
      <w:pPr>
        <w:tabs>
          <w:tab w:val="left" w:pos="-1440"/>
        </w:tabs>
        <w:rPr>
          <w:rFonts w:ascii="Times New Roman" w:hAnsi="Times New Roman"/>
          <w:b/>
        </w:rPr>
      </w:pPr>
    </w:p>
    <w:p w:rsidR="00E80897" w:rsidP="004F342B" w:rsidRDefault="009369C3" w14:paraId="1FEB895E" w14:textId="46C3DAE7">
      <w:pPr>
        <w:tabs>
          <w:tab w:val="left" w:pos="-1440"/>
        </w:tabs>
        <w:rPr>
          <w:rFonts w:ascii="Times New Roman" w:hAnsi="Times New Roman"/>
        </w:rPr>
      </w:pPr>
      <w:r w:rsidRPr="00EF0BB8">
        <w:rPr>
          <w:rFonts w:ascii="Times New Roman" w:hAnsi="Times New Roman"/>
        </w:rPr>
        <w:t>The respondent average a</w:t>
      </w:r>
      <w:r w:rsidRPr="00EF0BB8" w:rsidR="001443DF">
        <w:rPr>
          <w:rFonts w:ascii="Times New Roman" w:hAnsi="Times New Roman"/>
        </w:rPr>
        <w:t xml:space="preserve">nnual </w:t>
      </w:r>
      <w:r w:rsidR="00EA1E8A">
        <w:rPr>
          <w:rFonts w:ascii="Times New Roman" w:hAnsi="Times New Roman"/>
        </w:rPr>
        <w:t xml:space="preserve">hourly </w:t>
      </w:r>
      <w:r w:rsidRPr="00EF0BB8" w:rsidR="001443DF">
        <w:rPr>
          <w:rFonts w:ascii="Times New Roman" w:hAnsi="Times New Roman"/>
        </w:rPr>
        <w:t>bur</w:t>
      </w:r>
      <w:r w:rsidRPr="00EF0BB8" w:rsidR="00882C89">
        <w:rPr>
          <w:rFonts w:ascii="Times New Roman" w:hAnsi="Times New Roman"/>
        </w:rPr>
        <w:t xml:space="preserve">den </w:t>
      </w:r>
      <w:r w:rsidR="00BC49A2">
        <w:rPr>
          <w:rFonts w:ascii="Times New Roman" w:hAnsi="Times New Roman"/>
        </w:rPr>
        <w:t xml:space="preserve">decreased </w:t>
      </w:r>
      <w:r w:rsidRPr="00EF0BB8" w:rsidR="00882C89">
        <w:rPr>
          <w:rFonts w:ascii="Times New Roman" w:hAnsi="Times New Roman"/>
        </w:rPr>
        <w:t>by</w:t>
      </w:r>
      <w:r w:rsidR="00BC49A2">
        <w:rPr>
          <w:rFonts w:ascii="Times New Roman" w:hAnsi="Times New Roman"/>
        </w:rPr>
        <w:t xml:space="preserve"> 530,156</w:t>
      </w:r>
      <w:r w:rsidRPr="00EF0BB8" w:rsidR="000F07FB">
        <w:rPr>
          <w:rFonts w:ascii="Times New Roman" w:hAnsi="Times New Roman"/>
        </w:rPr>
        <w:t xml:space="preserve"> hours which represents a </w:t>
      </w:r>
      <w:r w:rsidR="00BC49A2">
        <w:rPr>
          <w:rFonts w:ascii="Times New Roman" w:hAnsi="Times New Roman"/>
        </w:rPr>
        <w:t>90</w:t>
      </w:r>
      <w:r w:rsidRPr="00EF0BB8" w:rsidR="00695265">
        <w:rPr>
          <w:rFonts w:ascii="Times New Roman" w:hAnsi="Times New Roman"/>
        </w:rPr>
        <w:t xml:space="preserve">% </w:t>
      </w:r>
      <w:r w:rsidR="00BC49A2">
        <w:rPr>
          <w:rFonts w:ascii="Times New Roman" w:hAnsi="Times New Roman"/>
        </w:rPr>
        <w:t>de</w:t>
      </w:r>
      <w:r w:rsidR="00C70915">
        <w:rPr>
          <w:rFonts w:ascii="Times New Roman" w:hAnsi="Times New Roman"/>
        </w:rPr>
        <w:t>crease</w:t>
      </w:r>
      <w:r w:rsidRPr="00EF0BB8">
        <w:rPr>
          <w:rFonts w:ascii="Times New Roman" w:hAnsi="Times New Roman"/>
        </w:rPr>
        <w:t>. The total ave</w:t>
      </w:r>
      <w:r w:rsidRPr="00EF0BB8" w:rsidR="006204D2">
        <w:rPr>
          <w:rFonts w:ascii="Times New Roman" w:hAnsi="Times New Roman"/>
        </w:rPr>
        <w:t xml:space="preserve">rage </w:t>
      </w:r>
      <w:r w:rsidRPr="00EF0BB8" w:rsidR="00867149">
        <w:rPr>
          <w:rFonts w:ascii="Times New Roman" w:hAnsi="Times New Roman"/>
        </w:rPr>
        <w:t xml:space="preserve">annual </w:t>
      </w:r>
      <w:r w:rsidRPr="00EF0BB8" w:rsidR="00F96B39">
        <w:rPr>
          <w:rFonts w:ascii="Times New Roman" w:hAnsi="Times New Roman"/>
        </w:rPr>
        <w:t xml:space="preserve">cost burden </w:t>
      </w:r>
      <w:r w:rsidR="00BC49A2">
        <w:rPr>
          <w:rFonts w:ascii="Times New Roman" w:hAnsi="Times New Roman"/>
        </w:rPr>
        <w:t>de</w:t>
      </w:r>
      <w:r w:rsidRPr="00EF0BB8" w:rsidR="006204D2">
        <w:rPr>
          <w:rFonts w:ascii="Times New Roman" w:hAnsi="Times New Roman"/>
        </w:rPr>
        <w:t xml:space="preserve">creased by </w:t>
      </w:r>
      <w:r w:rsidRPr="00C70915" w:rsidR="00C70915">
        <w:rPr>
          <w:rFonts w:ascii="Times New Roman" w:hAnsi="Times New Roman"/>
        </w:rPr>
        <w:t>$</w:t>
      </w:r>
      <w:r w:rsidR="00BC49A2">
        <w:rPr>
          <w:rFonts w:ascii="Times New Roman" w:hAnsi="Times New Roman"/>
        </w:rPr>
        <w:t>24</w:t>
      </w:r>
      <w:r w:rsidRPr="00C70915" w:rsidR="00C70915">
        <w:rPr>
          <w:rFonts w:ascii="Times New Roman" w:hAnsi="Times New Roman"/>
        </w:rPr>
        <w:t>,</w:t>
      </w:r>
      <w:r w:rsidR="0031466C">
        <w:rPr>
          <w:rFonts w:ascii="Times New Roman" w:hAnsi="Times New Roman"/>
        </w:rPr>
        <w:t>102</w:t>
      </w:r>
      <w:r w:rsidRPr="00C70915" w:rsidR="00C70915">
        <w:rPr>
          <w:rFonts w:ascii="Times New Roman" w:hAnsi="Times New Roman"/>
        </w:rPr>
        <w:t>,</w:t>
      </w:r>
      <w:r w:rsidR="0031466C">
        <w:rPr>
          <w:rFonts w:ascii="Times New Roman" w:hAnsi="Times New Roman"/>
        </w:rPr>
        <w:t>575</w:t>
      </w:r>
      <w:r w:rsidRPr="00C70915" w:rsidR="00C70915">
        <w:rPr>
          <w:rFonts w:ascii="Times New Roman" w:hAnsi="Times New Roman"/>
        </w:rPr>
        <w:t xml:space="preserve"> </w:t>
      </w:r>
      <w:r w:rsidRPr="00EF0BB8" w:rsidR="006204D2">
        <w:rPr>
          <w:rFonts w:ascii="Times New Roman" w:hAnsi="Times New Roman"/>
        </w:rPr>
        <w:t>(or</w:t>
      </w:r>
      <w:r w:rsidRPr="00EF0BB8" w:rsidR="000E5897">
        <w:rPr>
          <w:rFonts w:ascii="Times New Roman" w:hAnsi="Times New Roman"/>
        </w:rPr>
        <w:t xml:space="preserve"> </w:t>
      </w:r>
      <w:r w:rsidR="00BC49A2">
        <w:rPr>
          <w:rFonts w:ascii="Times New Roman" w:hAnsi="Times New Roman"/>
        </w:rPr>
        <w:t>8</w:t>
      </w:r>
      <w:r w:rsidR="00C70915">
        <w:rPr>
          <w:rFonts w:ascii="Times New Roman" w:hAnsi="Times New Roman"/>
        </w:rPr>
        <w:t>0</w:t>
      </w:r>
      <w:r w:rsidRPr="00EF0BB8" w:rsidR="001443DF">
        <w:rPr>
          <w:rFonts w:ascii="Times New Roman" w:hAnsi="Times New Roman"/>
        </w:rPr>
        <w:t>%</w:t>
      </w:r>
      <w:r w:rsidRPr="00EF0BB8" w:rsidR="006204D2">
        <w:rPr>
          <w:rFonts w:ascii="Times New Roman" w:hAnsi="Times New Roman"/>
        </w:rPr>
        <w:t>)</w:t>
      </w:r>
      <w:r w:rsidRPr="00EF0BB8" w:rsidR="001443DF">
        <w:rPr>
          <w:rFonts w:ascii="Times New Roman" w:hAnsi="Times New Roman"/>
        </w:rPr>
        <w:t xml:space="preserve">. </w:t>
      </w:r>
      <w:r w:rsidRPr="00EF0BB8" w:rsidR="00C033BD">
        <w:rPr>
          <w:rFonts w:ascii="Times New Roman" w:hAnsi="Times New Roman"/>
        </w:rPr>
        <w:t>The t</w:t>
      </w:r>
      <w:r w:rsidRPr="00EF0BB8" w:rsidR="001443DF">
        <w:rPr>
          <w:rFonts w:ascii="Times New Roman" w:hAnsi="Times New Roman"/>
        </w:rPr>
        <w:t>able below</w:t>
      </w:r>
      <w:r w:rsidRPr="00EF0BB8">
        <w:rPr>
          <w:rFonts w:ascii="Times New Roman" w:hAnsi="Times New Roman"/>
        </w:rPr>
        <w:t xml:space="preserve"> presents a summary of the adjustments in burden estimates from the p</w:t>
      </w:r>
      <w:r w:rsidRPr="00EF0BB8" w:rsidR="001443DF">
        <w:rPr>
          <w:rFonts w:ascii="Times New Roman" w:hAnsi="Times New Roman"/>
        </w:rPr>
        <w:t xml:space="preserve">reviously approved ICR. These </w:t>
      </w:r>
      <w:r w:rsidRPr="00EF0BB8">
        <w:rPr>
          <w:rFonts w:ascii="Times New Roman" w:hAnsi="Times New Roman"/>
        </w:rPr>
        <w:t>adjustments are due to several changes:</w:t>
      </w:r>
    </w:p>
    <w:p w:rsidR="00CA43D9" w:rsidRDefault="00CA43D9" w14:paraId="4A48C84C" w14:textId="7B01441E">
      <w:pPr>
        <w:widowControl/>
        <w:spacing w:after="160" w:line="259" w:lineRule="auto"/>
        <w:rPr>
          <w:rFonts w:ascii="Times New Roman" w:hAnsi="Times New Roman"/>
        </w:rPr>
      </w:pPr>
      <w:r>
        <w:rPr>
          <w:rFonts w:ascii="Times New Roman" w:hAnsi="Times New Roman"/>
        </w:rPr>
        <w:br w:type="page"/>
      </w:r>
    </w:p>
    <w:p w:rsidR="006705FF" w:rsidP="00882C89" w:rsidRDefault="006705FF" w14:paraId="7A9F2888" w14:textId="77777777">
      <w:pPr>
        <w:widowControl/>
        <w:spacing w:after="160" w:line="259" w:lineRule="auto"/>
        <w:rPr>
          <w:rFonts w:ascii="Times New Roman" w:hAnsi="Times New Roman"/>
        </w:rPr>
      </w:pPr>
    </w:p>
    <w:tbl>
      <w:tblPr>
        <w:tblW w:w="9534" w:type="dxa"/>
        <w:tblLook w:val="04A0" w:firstRow="1" w:lastRow="0" w:firstColumn="1" w:lastColumn="0" w:noHBand="0" w:noVBand="1"/>
      </w:tblPr>
      <w:tblGrid>
        <w:gridCol w:w="2699"/>
        <w:gridCol w:w="1664"/>
        <w:gridCol w:w="1664"/>
        <w:gridCol w:w="1664"/>
        <w:gridCol w:w="1843"/>
      </w:tblGrid>
      <w:tr w:rsidRPr="00C70915" w:rsidR="00C70915" w:rsidTr="0022684E" w14:paraId="0F2EE01B" w14:textId="77777777">
        <w:trPr>
          <w:trHeight w:val="630"/>
        </w:trPr>
        <w:tc>
          <w:tcPr>
            <w:tcW w:w="2699" w:type="dxa"/>
            <w:tcBorders>
              <w:top w:val="single" w:color="000000" w:sz="4" w:space="0"/>
              <w:left w:val="single" w:color="000000" w:sz="4" w:space="0"/>
              <w:bottom w:val="nil"/>
              <w:right w:val="single" w:color="000000" w:sz="4" w:space="0"/>
            </w:tcBorders>
            <w:shd w:val="clear" w:color="auto" w:fill="auto"/>
            <w:vAlign w:val="center"/>
            <w:hideMark/>
          </w:tcPr>
          <w:p w:rsidRPr="00C70915" w:rsidR="00C70915" w:rsidP="00C70915" w:rsidRDefault="00C70915" w14:paraId="1E7A11C3" w14:textId="77777777">
            <w:pPr>
              <w:widowControl/>
              <w:rPr>
                <w:rFonts w:ascii="Times New Roman" w:hAnsi="Times New Roman"/>
                <w:b/>
                <w:bCs/>
                <w:snapToGrid/>
                <w:color w:val="000000"/>
                <w:sz w:val="16"/>
                <w:szCs w:val="16"/>
              </w:rPr>
            </w:pPr>
            <w:r w:rsidRPr="00C70915">
              <w:rPr>
                <w:rFonts w:ascii="Times New Roman" w:hAnsi="Times New Roman"/>
                <w:b/>
                <w:bCs/>
                <w:snapToGrid/>
                <w:color w:val="000000"/>
                <w:sz w:val="16"/>
                <w:szCs w:val="16"/>
              </w:rPr>
              <w:t xml:space="preserve">Activity </w:t>
            </w:r>
          </w:p>
        </w:tc>
        <w:tc>
          <w:tcPr>
            <w:tcW w:w="1664" w:type="dxa"/>
            <w:tcBorders>
              <w:top w:val="single" w:color="000000" w:sz="4" w:space="0"/>
              <w:left w:val="nil"/>
              <w:bottom w:val="nil"/>
              <w:right w:val="single" w:color="000000" w:sz="4" w:space="0"/>
            </w:tcBorders>
            <w:shd w:val="clear" w:color="auto" w:fill="auto"/>
            <w:vAlign w:val="center"/>
            <w:hideMark/>
          </w:tcPr>
          <w:p w:rsidRPr="00C70915" w:rsidR="00C70915" w:rsidP="00C70915" w:rsidRDefault="00C70915" w14:paraId="4C0839AF" w14:textId="77777777">
            <w:pPr>
              <w:widowControl/>
              <w:jc w:val="center"/>
              <w:rPr>
                <w:rFonts w:ascii="Times New Roman" w:hAnsi="Times New Roman"/>
                <w:b/>
                <w:bCs/>
                <w:snapToGrid/>
                <w:color w:val="000000"/>
                <w:sz w:val="16"/>
                <w:szCs w:val="16"/>
              </w:rPr>
            </w:pPr>
            <w:r w:rsidRPr="00C70915">
              <w:rPr>
                <w:rFonts w:ascii="Times New Roman" w:hAnsi="Times New Roman"/>
                <w:b/>
                <w:bCs/>
                <w:snapToGrid/>
                <w:color w:val="000000"/>
                <w:sz w:val="16"/>
                <w:szCs w:val="16"/>
              </w:rPr>
              <w:t>Reason*</w:t>
            </w:r>
          </w:p>
        </w:tc>
        <w:tc>
          <w:tcPr>
            <w:tcW w:w="1664" w:type="dxa"/>
            <w:tcBorders>
              <w:top w:val="single" w:color="000000" w:sz="4" w:space="0"/>
              <w:left w:val="nil"/>
              <w:bottom w:val="nil"/>
              <w:right w:val="single" w:color="000000" w:sz="4" w:space="0"/>
            </w:tcBorders>
            <w:shd w:val="clear" w:color="auto" w:fill="auto"/>
            <w:vAlign w:val="center"/>
            <w:hideMark/>
          </w:tcPr>
          <w:p w:rsidRPr="00C70915" w:rsidR="00C70915" w:rsidP="00C70915" w:rsidRDefault="00C70915" w14:paraId="7299D23A" w14:textId="77777777">
            <w:pPr>
              <w:widowControl/>
              <w:jc w:val="center"/>
              <w:rPr>
                <w:rFonts w:ascii="Times New Roman" w:hAnsi="Times New Roman"/>
                <w:b/>
                <w:bCs/>
                <w:snapToGrid/>
                <w:color w:val="000000"/>
                <w:sz w:val="16"/>
                <w:szCs w:val="16"/>
              </w:rPr>
            </w:pPr>
            <w:r w:rsidRPr="00C70915">
              <w:rPr>
                <w:rFonts w:ascii="Times New Roman" w:hAnsi="Times New Roman"/>
                <w:b/>
                <w:bCs/>
                <w:snapToGrid/>
                <w:color w:val="000000"/>
                <w:sz w:val="16"/>
                <w:szCs w:val="16"/>
              </w:rPr>
              <w:t>Previous</w:t>
            </w:r>
            <w:r w:rsidRPr="00C70915">
              <w:rPr>
                <w:rFonts w:ascii="Times New Roman" w:hAnsi="Times New Roman"/>
                <w:b/>
                <w:bCs/>
                <w:snapToGrid/>
                <w:color w:val="000000"/>
                <w:sz w:val="16"/>
                <w:szCs w:val="16"/>
              </w:rPr>
              <w:br/>
              <w:t>Burden</w:t>
            </w:r>
          </w:p>
        </w:tc>
        <w:tc>
          <w:tcPr>
            <w:tcW w:w="1664" w:type="dxa"/>
            <w:tcBorders>
              <w:top w:val="single" w:color="000000" w:sz="4" w:space="0"/>
              <w:left w:val="nil"/>
              <w:bottom w:val="nil"/>
              <w:right w:val="single" w:color="000000" w:sz="4" w:space="0"/>
            </w:tcBorders>
            <w:shd w:val="clear" w:color="auto" w:fill="auto"/>
            <w:vAlign w:val="center"/>
            <w:hideMark/>
          </w:tcPr>
          <w:p w:rsidRPr="00C70915" w:rsidR="00C70915" w:rsidP="00C70915" w:rsidRDefault="00C70915" w14:paraId="1222EB3E" w14:textId="5A251799">
            <w:pPr>
              <w:widowControl/>
              <w:jc w:val="center"/>
              <w:rPr>
                <w:rFonts w:ascii="Times New Roman" w:hAnsi="Times New Roman"/>
                <w:b/>
                <w:bCs/>
                <w:snapToGrid/>
                <w:color w:val="000000"/>
                <w:sz w:val="16"/>
                <w:szCs w:val="16"/>
              </w:rPr>
            </w:pPr>
            <w:r w:rsidRPr="00C70915">
              <w:rPr>
                <w:rFonts w:ascii="Times New Roman" w:hAnsi="Times New Roman"/>
                <w:b/>
                <w:bCs/>
                <w:snapToGrid/>
                <w:color w:val="000000"/>
                <w:sz w:val="16"/>
                <w:szCs w:val="16"/>
              </w:rPr>
              <w:t>New</w:t>
            </w:r>
            <w:r w:rsidRPr="00C70915">
              <w:rPr>
                <w:rFonts w:ascii="Times New Roman" w:hAnsi="Times New Roman"/>
                <w:b/>
                <w:bCs/>
                <w:snapToGrid/>
                <w:color w:val="000000"/>
                <w:sz w:val="16"/>
                <w:szCs w:val="16"/>
              </w:rPr>
              <w:br/>
              <w:t>Burden</w:t>
            </w:r>
          </w:p>
        </w:tc>
        <w:tc>
          <w:tcPr>
            <w:tcW w:w="1843" w:type="dxa"/>
            <w:tcBorders>
              <w:top w:val="single" w:color="000000" w:sz="4" w:space="0"/>
              <w:left w:val="nil"/>
              <w:bottom w:val="nil"/>
              <w:right w:val="single" w:color="000000" w:sz="4" w:space="0"/>
            </w:tcBorders>
            <w:shd w:val="clear" w:color="auto" w:fill="auto"/>
            <w:vAlign w:val="center"/>
            <w:hideMark/>
          </w:tcPr>
          <w:p w:rsidRPr="00C70915" w:rsidR="00C70915" w:rsidP="00C70915" w:rsidRDefault="00C70915" w14:paraId="60A759DA" w14:textId="77777777">
            <w:pPr>
              <w:widowControl/>
              <w:jc w:val="center"/>
              <w:rPr>
                <w:rFonts w:ascii="Times New Roman" w:hAnsi="Times New Roman"/>
                <w:b/>
                <w:bCs/>
                <w:snapToGrid/>
                <w:color w:val="000000"/>
                <w:sz w:val="16"/>
                <w:szCs w:val="16"/>
              </w:rPr>
            </w:pPr>
            <w:r w:rsidRPr="00C70915">
              <w:rPr>
                <w:rFonts w:ascii="Times New Roman" w:hAnsi="Times New Roman"/>
                <w:b/>
                <w:bCs/>
                <w:snapToGrid/>
                <w:color w:val="000000"/>
                <w:sz w:val="16"/>
                <w:szCs w:val="16"/>
              </w:rPr>
              <w:t xml:space="preserve"> Difference</w:t>
            </w:r>
          </w:p>
        </w:tc>
      </w:tr>
      <w:tr w:rsidRPr="00C70915" w:rsidR="00C70915" w:rsidTr="0022684E" w14:paraId="1CCB6FA3" w14:textId="77777777">
        <w:trPr>
          <w:trHeight w:val="570"/>
        </w:trPr>
        <w:tc>
          <w:tcPr>
            <w:tcW w:w="2699" w:type="dxa"/>
            <w:tcBorders>
              <w:top w:val="double" w:color="000000" w:sz="6" w:space="0"/>
              <w:left w:val="single" w:color="000000" w:sz="4" w:space="0"/>
              <w:bottom w:val="single" w:color="000000" w:sz="4" w:space="0"/>
              <w:right w:val="single" w:color="000000" w:sz="4" w:space="0"/>
            </w:tcBorders>
            <w:shd w:val="clear" w:color="auto" w:fill="auto"/>
            <w:vAlign w:val="center"/>
            <w:hideMark/>
          </w:tcPr>
          <w:p w:rsidRPr="00C70915" w:rsidR="00C70915" w:rsidP="00C70915" w:rsidRDefault="00C70915" w14:paraId="14583278"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Capitalization Grant Agreement/</w:t>
            </w:r>
            <w:r w:rsidRPr="00C70915">
              <w:rPr>
                <w:rFonts w:ascii="Times New Roman" w:hAnsi="Times New Roman"/>
                <w:snapToGrid/>
                <w:color w:val="000000"/>
                <w:sz w:val="16"/>
                <w:szCs w:val="16"/>
              </w:rPr>
              <w:br/>
              <w:t>Intended Use Plan (Hours)</w:t>
            </w:r>
          </w:p>
        </w:tc>
        <w:tc>
          <w:tcPr>
            <w:tcW w:w="1664"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1694E416"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NC</w:t>
            </w:r>
          </w:p>
        </w:tc>
        <w:tc>
          <w:tcPr>
            <w:tcW w:w="1664"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68FEE633"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10,200</w:t>
            </w:r>
          </w:p>
        </w:tc>
        <w:tc>
          <w:tcPr>
            <w:tcW w:w="1664"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15D213F0"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10,200</w:t>
            </w:r>
          </w:p>
        </w:tc>
        <w:tc>
          <w:tcPr>
            <w:tcW w:w="1843"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375396C2"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 xml:space="preserve">0 </w:t>
            </w:r>
          </w:p>
        </w:tc>
      </w:tr>
      <w:tr w:rsidRPr="00C70915" w:rsidR="00202CBC" w:rsidTr="0022684E" w14:paraId="2CE88520" w14:textId="77777777">
        <w:trPr>
          <w:trHeight w:val="570"/>
        </w:trPr>
        <w:tc>
          <w:tcPr>
            <w:tcW w:w="2699" w:type="dxa"/>
            <w:tcBorders>
              <w:top w:val="nil"/>
              <w:left w:val="single" w:color="000000" w:sz="4" w:space="0"/>
              <w:bottom w:val="nil"/>
              <w:right w:val="single" w:color="000000" w:sz="4" w:space="0"/>
            </w:tcBorders>
            <w:shd w:val="clear" w:color="auto" w:fill="auto"/>
            <w:vAlign w:val="center"/>
            <w:hideMark/>
          </w:tcPr>
          <w:p w:rsidRPr="00C70915" w:rsidR="00202CBC" w:rsidP="00202CBC" w:rsidRDefault="00202CBC" w14:paraId="43868DEA"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Capitalization Grant Agreement/</w:t>
            </w:r>
            <w:r w:rsidRPr="00C70915">
              <w:rPr>
                <w:rFonts w:ascii="Times New Roman" w:hAnsi="Times New Roman"/>
                <w:snapToGrid/>
                <w:color w:val="000000"/>
                <w:sz w:val="16"/>
                <w:szCs w:val="16"/>
              </w:rPr>
              <w:br/>
              <w:t>Intended Use Plan (Cost)</w:t>
            </w:r>
          </w:p>
        </w:tc>
        <w:tc>
          <w:tcPr>
            <w:tcW w:w="1664" w:type="dxa"/>
            <w:tcBorders>
              <w:top w:val="nil"/>
              <w:left w:val="nil"/>
              <w:bottom w:val="nil"/>
              <w:right w:val="single" w:color="000000" w:sz="4" w:space="0"/>
            </w:tcBorders>
            <w:shd w:val="clear" w:color="auto" w:fill="auto"/>
            <w:vAlign w:val="center"/>
            <w:hideMark/>
          </w:tcPr>
          <w:p w:rsidRPr="00C70915" w:rsidR="00202CBC" w:rsidP="00202CBC" w:rsidRDefault="00202CBC" w14:paraId="1BFF31B6"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A</w:t>
            </w:r>
          </w:p>
        </w:tc>
        <w:tc>
          <w:tcPr>
            <w:tcW w:w="1664" w:type="dxa"/>
            <w:tcBorders>
              <w:top w:val="nil"/>
              <w:left w:val="nil"/>
              <w:bottom w:val="nil"/>
              <w:right w:val="single" w:color="000000" w:sz="4" w:space="0"/>
            </w:tcBorders>
            <w:shd w:val="clear" w:color="auto" w:fill="auto"/>
            <w:vAlign w:val="center"/>
            <w:hideMark/>
          </w:tcPr>
          <w:p w:rsidRPr="00C70915" w:rsidR="00202CBC" w:rsidP="00202CBC" w:rsidRDefault="00202CBC" w14:paraId="2822D595"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$561,918</w:t>
            </w:r>
          </w:p>
        </w:tc>
        <w:tc>
          <w:tcPr>
            <w:tcW w:w="1664" w:type="dxa"/>
            <w:tcBorders>
              <w:top w:val="nil"/>
              <w:left w:val="nil"/>
              <w:bottom w:val="nil"/>
              <w:right w:val="single" w:color="000000" w:sz="4" w:space="0"/>
            </w:tcBorders>
            <w:shd w:val="clear" w:color="auto" w:fill="auto"/>
            <w:vAlign w:val="center"/>
            <w:hideMark/>
          </w:tcPr>
          <w:p w:rsidRPr="00202CBC" w:rsidR="00202CBC" w:rsidP="00202CBC" w:rsidRDefault="00202CBC" w14:paraId="5B686D06" w14:textId="4CB746A4">
            <w:pPr>
              <w:widowControl/>
              <w:jc w:val="center"/>
              <w:rPr>
                <w:rFonts w:ascii="Times New Roman" w:hAnsi="Times New Roman"/>
                <w:snapToGrid/>
                <w:color w:val="000000"/>
                <w:sz w:val="16"/>
                <w:szCs w:val="16"/>
              </w:rPr>
            </w:pPr>
            <w:r w:rsidRPr="00202CBC">
              <w:rPr>
                <w:rFonts w:ascii="Times New Roman" w:hAnsi="Times New Roman"/>
                <w:color w:val="000000"/>
                <w:sz w:val="16"/>
                <w:szCs w:val="16"/>
              </w:rPr>
              <w:t xml:space="preserve">$552,024 </w:t>
            </w:r>
          </w:p>
        </w:tc>
        <w:tc>
          <w:tcPr>
            <w:tcW w:w="1843" w:type="dxa"/>
            <w:tcBorders>
              <w:top w:val="nil"/>
              <w:left w:val="nil"/>
              <w:bottom w:val="nil"/>
              <w:right w:val="single" w:color="000000" w:sz="4" w:space="0"/>
            </w:tcBorders>
            <w:shd w:val="clear" w:color="auto" w:fill="auto"/>
            <w:vAlign w:val="center"/>
            <w:hideMark/>
          </w:tcPr>
          <w:p w:rsidRPr="00202CBC" w:rsidR="00202CBC" w:rsidP="00202CBC" w:rsidRDefault="00202CBC" w14:paraId="502B6C59" w14:textId="4A212D6C">
            <w:pPr>
              <w:widowControl/>
              <w:jc w:val="center"/>
              <w:rPr>
                <w:rFonts w:ascii="Times New Roman" w:hAnsi="Times New Roman"/>
                <w:snapToGrid/>
                <w:color w:val="000000"/>
                <w:sz w:val="16"/>
                <w:szCs w:val="16"/>
              </w:rPr>
            </w:pPr>
            <w:r w:rsidRPr="00202CBC">
              <w:rPr>
                <w:rFonts w:ascii="Times New Roman" w:hAnsi="Times New Roman"/>
                <w:color w:val="FF0000"/>
                <w:sz w:val="16"/>
                <w:szCs w:val="16"/>
              </w:rPr>
              <w:t>($9,894)</w:t>
            </w:r>
          </w:p>
        </w:tc>
      </w:tr>
      <w:tr w:rsidRPr="00C70915" w:rsidR="00C70915" w:rsidTr="0022684E" w14:paraId="49DBEC62" w14:textId="77777777">
        <w:trPr>
          <w:trHeight w:val="480"/>
        </w:trPr>
        <w:tc>
          <w:tcPr>
            <w:tcW w:w="2699" w:type="dxa"/>
            <w:tcBorders>
              <w:top w:val="double" w:color="000000" w:sz="6" w:space="0"/>
              <w:left w:val="single" w:color="000000" w:sz="4" w:space="0"/>
              <w:bottom w:val="single" w:color="000000" w:sz="4" w:space="0"/>
              <w:right w:val="single" w:color="000000" w:sz="4" w:space="0"/>
            </w:tcBorders>
            <w:shd w:val="clear" w:color="auto" w:fill="auto"/>
            <w:vAlign w:val="center"/>
            <w:hideMark/>
          </w:tcPr>
          <w:p w:rsidRPr="00C70915" w:rsidR="00C70915" w:rsidP="00C70915" w:rsidRDefault="00C70915" w14:paraId="6F47DA97"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Annual Report (Hours)</w:t>
            </w:r>
          </w:p>
        </w:tc>
        <w:tc>
          <w:tcPr>
            <w:tcW w:w="1664"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3299B503"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NC</w:t>
            </w:r>
          </w:p>
        </w:tc>
        <w:tc>
          <w:tcPr>
            <w:tcW w:w="1664"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4DC20C21"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5,610</w:t>
            </w:r>
          </w:p>
        </w:tc>
        <w:tc>
          <w:tcPr>
            <w:tcW w:w="1664"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2858383D"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5,610</w:t>
            </w:r>
          </w:p>
        </w:tc>
        <w:tc>
          <w:tcPr>
            <w:tcW w:w="1843"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5B72455D"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 xml:space="preserve">0 </w:t>
            </w:r>
          </w:p>
        </w:tc>
      </w:tr>
      <w:tr w:rsidRPr="00C70915" w:rsidR="00202CBC" w:rsidTr="0022684E" w14:paraId="7989B05D" w14:textId="77777777">
        <w:trPr>
          <w:trHeight w:val="480"/>
        </w:trPr>
        <w:tc>
          <w:tcPr>
            <w:tcW w:w="2699" w:type="dxa"/>
            <w:tcBorders>
              <w:top w:val="nil"/>
              <w:left w:val="single" w:color="000000" w:sz="4" w:space="0"/>
              <w:bottom w:val="double" w:color="000000" w:sz="6" w:space="0"/>
              <w:right w:val="single" w:color="000000" w:sz="4" w:space="0"/>
            </w:tcBorders>
            <w:shd w:val="clear" w:color="auto" w:fill="auto"/>
            <w:vAlign w:val="center"/>
            <w:hideMark/>
          </w:tcPr>
          <w:p w:rsidRPr="00C70915" w:rsidR="00202CBC" w:rsidP="00202CBC" w:rsidRDefault="00202CBC" w14:paraId="15083F26"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Annual Report (Cost)</w:t>
            </w:r>
          </w:p>
        </w:tc>
        <w:tc>
          <w:tcPr>
            <w:tcW w:w="1664" w:type="dxa"/>
            <w:tcBorders>
              <w:top w:val="nil"/>
              <w:left w:val="nil"/>
              <w:bottom w:val="double" w:color="000000" w:sz="6" w:space="0"/>
              <w:right w:val="single" w:color="000000" w:sz="4" w:space="0"/>
            </w:tcBorders>
            <w:shd w:val="clear" w:color="auto" w:fill="auto"/>
            <w:vAlign w:val="center"/>
            <w:hideMark/>
          </w:tcPr>
          <w:p w:rsidRPr="00C70915" w:rsidR="00202CBC" w:rsidP="00202CBC" w:rsidRDefault="00202CBC" w14:paraId="786B5C95"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A</w:t>
            </w:r>
          </w:p>
        </w:tc>
        <w:tc>
          <w:tcPr>
            <w:tcW w:w="1664" w:type="dxa"/>
            <w:tcBorders>
              <w:top w:val="nil"/>
              <w:left w:val="nil"/>
              <w:bottom w:val="double" w:color="000000" w:sz="6" w:space="0"/>
              <w:right w:val="single" w:color="000000" w:sz="4" w:space="0"/>
            </w:tcBorders>
            <w:shd w:val="clear" w:color="auto" w:fill="auto"/>
            <w:vAlign w:val="center"/>
            <w:hideMark/>
          </w:tcPr>
          <w:p w:rsidRPr="00C70915" w:rsidR="00202CBC" w:rsidP="00202CBC" w:rsidRDefault="00202CBC" w14:paraId="49CBC0C8"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$309,055</w:t>
            </w:r>
          </w:p>
        </w:tc>
        <w:tc>
          <w:tcPr>
            <w:tcW w:w="1664" w:type="dxa"/>
            <w:tcBorders>
              <w:top w:val="nil"/>
              <w:left w:val="nil"/>
              <w:bottom w:val="double" w:color="000000" w:sz="6" w:space="0"/>
              <w:right w:val="single" w:color="000000" w:sz="4" w:space="0"/>
            </w:tcBorders>
            <w:shd w:val="clear" w:color="auto" w:fill="auto"/>
            <w:vAlign w:val="center"/>
            <w:hideMark/>
          </w:tcPr>
          <w:p w:rsidRPr="00202CBC" w:rsidR="00202CBC" w:rsidP="00202CBC" w:rsidRDefault="00202CBC" w14:paraId="28AF8DDA" w14:textId="3A21CC74">
            <w:pPr>
              <w:widowControl/>
              <w:jc w:val="center"/>
              <w:rPr>
                <w:rFonts w:ascii="Times New Roman" w:hAnsi="Times New Roman"/>
                <w:snapToGrid/>
                <w:color w:val="000000"/>
                <w:sz w:val="16"/>
                <w:szCs w:val="16"/>
              </w:rPr>
            </w:pPr>
            <w:r w:rsidRPr="00202CBC">
              <w:rPr>
                <w:rFonts w:ascii="Times New Roman" w:hAnsi="Times New Roman"/>
                <w:color w:val="000000"/>
                <w:sz w:val="16"/>
                <w:szCs w:val="16"/>
              </w:rPr>
              <w:t xml:space="preserve">$303,613 </w:t>
            </w:r>
          </w:p>
        </w:tc>
        <w:tc>
          <w:tcPr>
            <w:tcW w:w="1843" w:type="dxa"/>
            <w:tcBorders>
              <w:top w:val="nil"/>
              <w:left w:val="nil"/>
              <w:bottom w:val="nil"/>
              <w:right w:val="single" w:color="000000" w:sz="4" w:space="0"/>
            </w:tcBorders>
            <w:shd w:val="clear" w:color="auto" w:fill="auto"/>
            <w:vAlign w:val="center"/>
            <w:hideMark/>
          </w:tcPr>
          <w:p w:rsidRPr="00202CBC" w:rsidR="00202CBC" w:rsidP="00202CBC" w:rsidRDefault="00202CBC" w14:paraId="71E1ABD3" w14:textId="3AF30DF0">
            <w:pPr>
              <w:widowControl/>
              <w:jc w:val="center"/>
              <w:rPr>
                <w:rFonts w:ascii="Times New Roman" w:hAnsi="Times New Roman"/>
                <w:snapToGrid/>
                <w:color w:val="000000"/>
                <w:sz w:val="16"/>
                <w:szCs w:val="16"/>
              </w:rPr>
            </w:pPr>
            <w:r w:rsidRPr="00202CBC">
              <w:rPr>
                <w:rFonts w:ascii="Times New Roman" w:hAnsi="Times New Roman"/>
                <w:color w:val="FF0000"/>
                <w:sz w:val="16"/>
                <w:szCs w:val="16"/>
              </w:rPr>
              <w:t>($5,442)</w:t>
            </w:r>
          </w:p>
        </w:tc>
      </w:tr>
      <w:tr w:rsidRPr="00C70915" w:rsidR="00C70915" w:rsidTr="0022684E" w14:paraId="5FBF811B" w14:textId="77777777">
        <w:trPr>
          <w:trHeight w:val="450"/>
        </w:trPr>
        <w:tc>
          <w:tcPr>
            <w:tcW w:w="2699" w:type="dxa"/>
            <w:tcBorders>
              <w:top w:val="nil"/>
              <w:left w:val="single" w:color="000000" w:sz="4" w:space="0"/>
              <w:bottom w:val="single" w:color="000000" w:sz="4" w:space="0"/>
              <w:right w:val="single" w:color="000000" w:sz="4" w:space="0"/>
            </w:tcBorders>
            <w:shd w:val="clear" w:color="auto" w:fill="auto"/>
            <w:vAlign w:val="center"/>
            <w:hideMark/>
          </w:tcPr>
          <w:p w:rsidRPr="00C70915" w:rsidR="00C70915" w:rsidP="00C70915" w:rsidRDefault="00C70915" w14:paraId="323FE396"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Annual Audit (Hours)</w:t>
            </w:r>
          </w:p>
        </w:tc>
        <w:tc>
          <w:tcPr>
            <w:tcW w:w="1664" w:type="dxa"/>
            <w:tcBorders>
              <w:top w:val="nil"/>
              <w:left w:val="nil"/>
              <w:bottom w:val="single" w:color="000000" w:sz="4" w:space="0"/>
              <w:right w:val="single" w:color="000000" w:sz="4" w:space="0"/>
            </w:tcBorders>
            <w:shd w:val="clear" w:color="auto" w:fill="auto"/>
            <w:vAlign w:val="center"/>
            <w:hideMark/>
          </w:tcPr>
          <w:p w:rsidRPr="00C70915" w:rsidR="00C70915" w:rsidP="00C70915" w:rsidRDefault="00C70915" w14:paraId="580AB873"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NC</w:t>
            </w:r>
          </w:p>
        </w:tc>
        <w:tc>
          <w:tcPr>
            <w:tcW w:w="1664" w:type="dxa"/>
            <w:tcBorders>
              <w:top w:val="nil"/>
              <w:left w:val="nil"/>
              <w:bottom w:val="single" w:color="000000" w:sz="4" w:space="0"/>
              <w:right w:val="single" w:color="000000" w:sz="4" w:space="0"/>
            </w:tcBorders>
            <w:shd w:val="clear" w:color="auto" w:fill="auto"/>
            <w:vAlign w:val="center"/>
            <w:hideMark/>
          </w:tcPr>
          <w:p w:rsidRPr="00C70915" w:rsidR="00C70915" w:rsidP="00C70915" w:rsidRDefault="00C70915" w14:paraId="2E52EE24"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36,190</w:t>
            </w:r>
          </w:p>
        </w:tc>
        <w:tc>
          <w:tcPr>
            <w:tcW w:w="1664" w:type="dxa"/>
            <w:tcBorders>
              <w:top w:val="nil"/>
              <w:left w:val="nil"/>
              <w:bottom w:val="single" w:color="000000" w:sz="4" w:space="0"/>
              <w:right w:val="single" w:color="000000" w:sz="4" w:space="0"/>
            </w:tcBorders>
            <w:shd w:val="clear" w:color="auto" w:fill="auto"/>
            <w:vAlign w:val="center"/>
            <w:hideMark/>
          </w:tcPr>
          <w:p w:rsidRPr="00C70915" w:rsidR="00C70915" w:rsidP="00C70915" w:rsidRDefault="00C70915" w14:paraId="3E86B72A"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36,190</w:t>
            </w:r>
          </w:p>
        </w:tc>
        <w:tc>
          <w:tcPr>
            <w:tcW w:w="1843"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512DA92A"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 xml:space="preserve">0 </w:t>
            </w:r>
          </w:p>
        </w:tc>
      </w:tr>
      <w:tr w:rsidRPr="00C70915" w:rsidR="00202CBC" w:rsidTr="0022684E" w14:paraId="1EFEC228" w14:textId="77777777">
        <w:trPr>
          <w:trHeight w:val="450"/>
        </w:trPr>
        <w:tc>
          <w:tcPr>
            <w:tcW w:w="2699" w:type="dxa"/>
            <w:tcBorders>
              <w:top w:val="nil"/>
              <w:left w:val="single" w:color="000000" w:sz="4" w:space="0"/>
              <w:bottom w:val="double" w:color="000000" w:sz="6" w:space="0"/>
              <w:right w:val="single" w:color="000000" w:sz="4" w:space="0"/>
            </w:tcBorders>
            <w:shd w:val="clear" w:color="auto" w:fill="auto"/>
            <w:vAlign w:val="center"/>
            <w:hideMark/>
          </w:tcPr>
          <w:p w:rsidRPr="00C70915" w:rsidR="00202CBC" w:rsidP="00202CBC" w:rsidRDefault="00202CBC" w14:paraId="50C8C246"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Annual Audit (Cost)**</w:t>
            </w:r>
          </w:p>
        </w:tc>
        <w:tc>
          <w:tcPr>
            <w:tcW w:w="1664" w:type="dxa"/>
            <w:tcBorders>
              <w:top w:val="nil"/>
              <w:left w:val="nil"/>
              <w:bottom w:val="double" w:color="000000" w:sz="6" w:space="0"/>
              <w:right w:val="single" w:color="000000" w:sz="4" w:space="0"/>
            </w:tcBorders>
            <w:shd w:val="clear" w:color="auto" w:fill="auto"/>
            <w:vAlign w:val="center"/>
            <w:hideMark/>
          </w:tcPr>
          <w:p w:rsidRPr="00C70915" w:rsidR="00202CBC" w:rsidP="00202CBC" w:rsidRDefault="00202CBC" w14:paraId="40D1CCA0"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A</w:t>
            </w:r>
          </w:p>
        </w:tc>
        <w:tc>
          <w:tcPr>
            <w:tcW w:w="1664" w:type="dxa"/>
            <w:tcBorders>
              <w:top w:val="nil"/>
              <w:left w:val="nil"/>
              <w:bottom w:val="double" w:color="000000" w:sz="6" w:space="0"/>
              <w:right w:val="single" w:color="000000" w:sz="4" w:space="0"/>
            </w:tcBorders>
            <w:shd w:val="clear" w:color="auto" w:fill="auto"/>
            <w:vAlign w:val="center"/>
            <w:hideMark/>
          </w:tcPr>
          <w:p w:rsidRPr="00C70915" w:rsidR="00202CBC" w:rsidP="00202CBC" w:rsidRDefault="00202CBC" w14:paraId="4BA3DDC2"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$4,921,807</w:t>
            </w:r>
          </w:p>
        </w:tc>
        <w:tc>
          <w:tcPr>
            <w:tcW w:w="1664" w:type="dxa"/>
            <w:tcBorders>
              <w:top w:val="nil"/>
              <w:left w:val="nil"/>
              <w:bottom w:val="double" w:color="000000" w:sz="6" w:space="0"/>
              <w:right w:val="single" w:color="000000" w:sz="4" w:space="0"/>
            </w:tcBorders>
            <w:shd w:val="clear" w:color="auto" w:fill="auto"/>
            <w:vAlign w:val="center"/>
            <w:hideMark/>
          </w:tcPr>
          <w:p w:rsidRPr="00202CBC" w:rsidR="00202CBC" w:rsidP="00202CBC" w:rsidRDefault="00202CBC" w14:paraId="687F27D4" w14:textId="7EA749D3">
            <w:pPr>
              <w:widowControl/>
              <w:jc w:val="center"/>
              <w:rPr>
                <w:rFonts w:ascii="Times New Roman" w:hAnsi="Times New Roman"/>
                <w:snapToGrid/>
                <w:color w:val="000000"/>
                <w:sz w:val="16"/>
                <w:szCs w:val="16"/>
              </w:rPr>
            </w:pPr>
            <w:r w:rsidRPr="00202CBC">
              <w:rPr>
                <w:rFonts w:ascii="Times New Roman" w:hAnsi="Times New Roman"/>
                <w:color w:val="000000"/>
                <w:sz w:val="16"/>
                <w:szCs w:val="16"/>
              </w:rPr>
              <w:t xml:space="preserve">$4,886,703 </w:t>
            </w:r>
          </w:p>
        </w:tc>
        <w:tc>
          <w:tcPr>
            <w:tcW w:w="1843" w:type="dxa"/>
            <w:tcBorders>
              <w:top w:val="nil"/>
              <w:left w:val="nil"/>
              <w:bottom w:val="nil"/>
              <w:right w:val="single" w:color="000000" w:sz="4" w:space="0"/>
            </w:tcBorders>
            <w:shd w:val="clear" w:color="auto" w:fill="auto"/>
            <w:vAlign w:val="center"/>
            <w:hideMark/>
          </w:tcPr>
          <w:p w:rsidRPr="00202CBC" w:rsidR="00202CBC" w:rsidP="00202CBC" w:rsidRDefault="00202CBC" w14:paraId="7127CD60" w14:textId="037335F7">
            <w:pPr>
              <w:widowControl/>
              <w:jc w:val="center"/>
              <w:rPr>
                <w:rFonts w:ascii="Times New Roman" w:hAnsi="Times New Roman"/>
                <w:snapToGrid/>
                <w:color w:val="000000"/>
                <w:sz w:val="16"/>
                <w:szCs w:val="16"/>
              </w:rPr>
            </w:pPr>
            <w:r w:rsidRPr="00202CBC">
              <w:rPr>
                <w:rFonts w:ascii="Times New Roman" w:hAnsi="Times New Roman"/>
                <w:color w:val="FF0000"/>
                <w:sz w:val="16"/>
                <w:szCs w:val="16"/>
              </w:rPr>
              <w:t>($35,104)</w:t>
            </w:r>
          </w:p>
        </w:tc>
      </w:tr>
      <w:tr w:rsidRPr="00C70915" w:rsidR="00C70915" w:rsidTr="0022684E" w14:paraId="7A4553BC" w14:textId="77777777">
        <w:trPr>
          <w:trHeight w:val="402"/>
        </w:trPr>
        <w:tc>
          <w:tcPr>
            <w:tcW w:w="2699" w:type="dxa"/>
            <w:tcBorders>
              <w:top w:val="nil"/>
              <w:left w:val="single" w:color="000000" w:sz="4" w:space="0"/>
              <w:bottom w:val="single" w:color="000000" w:sz="4" w:space="0"/>
              <w:right w:val="single" w:color="000000" w:sz="4" w:space="0"/>
            </w:tcBorders>
            <w:shd w:val="clear" w:color="auto" w:fill="auto"/>
            <w:vAlign w:val="center"/>
            <w:hideMark/>
          </w:tcPr>
          <w:p w:rsidRPr="00C70915" w:rsidR="00C70915" w:rsidP="00C70915" w:rsidRDefault="00C70915" w14:paraId="2E6B29C3"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CBR &amp; NIMS Reporting (Hours)</w:t>
            </w:r>
          </w:p>
        </w:tc>
        <w:tc>
          <w:tcPr>
            <w:tcW w:w="1664" w:type="dxa"/>
            <w:tcBorders>
              <w:top w:val="nil"/>
              <w:left w:val="nil"/>
              <w:bottom w:val="single" w:color="000000" w:sz="4" w:space="0"/>
              <w:right w:val="single" w:color="000000" w:sz="4" w:space="0"/>
            </w:tcBorders>
            <w:shd w:val="clear" w:color="auto" w:fill="auto"/>
            <w:vAlign w:val="center"/>
            <w:hideMark/>
          </w:tcPr>
          <w:p w:rsidRPr="00C70915" w:rsidR="00C70915" w:rsidP="00C70915" w:rsidRDefault="00C70915" w14:paraId="602DDE47"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NC</w:t>
            </w:r>
          </w:p>
        </w:tc>
        <w:tc>
          <w:tcPr>
            <w:tcW w:w="1664" w:type="dxa"/>
            <w:tcBorders>
              <w:top w:val="nil"/>
              <w:left w:val="nil"/>
              <w:bottom w:val="single" w:color="000000" w:sz="4" w:space="0"/>
              <w:right w:val="single" w:color="000000" w:sz="4" w:space="0"/>
            </w:tcBorders>
            <w:shd w:val="clear" w:color="auto" w:fill="auto"/>
            <w:vAlign w:val="center"/>
            <w:hideMark/>
          </w:tcPr>
          <w:p w:rsidRPr="00C70915" w:rsidR="00C70915" w:rsidP="00C70915" w:rsidRDefault="00C70915" w14:paraId="5AB52BB9"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4,590</w:t>
            </w:r>
          </w:p>
        </w:tc>
        <w:tc>
          <w:tcPr>
            <w:tcW w:w="1664" w:type="dxa"/>
            <w:tcBorders>
              <w:top w:val="nil"/>
              <w:left w:val="nil"/>
              <w:bottom w:val="single" w:color="000000" w:sz="4" w:space="0"/>
              <w:right w:val="single" w:color="000000" w:sz="4" w:space="0"/>
            </w:tcBorders>
            <w:shd w:val="clear" w:color="auto" w:fill="auto"/>
            <w:vAlign w:val="center"/>
            <w:hideMark/>
          </w:tcPr>
          <w:p w:rsidRPr="00C70915" w:rsidR="00C70915" w:rsidP="00C70915" w:rsidRDefault="00C70915" w14:paraId="735B418E"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4,590</w:t>
            </w:r>
          </w:p>
        </w:tc>
        <w:tc>
          <w:tcPr>
            <w:tcW w:w="1843"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0EEECD44"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 xml:space="preserve">0 </w:t>
            </w:r>
          </w:p>
        </w:tc>
      </w:tr>
      <w:tr w:rsidRPr="00C70915" w:rsidR="00202CBC" w:rsidTr="0022684E" w14:paraId="74FDEE46" w14:textId="77777777">
        <w:trPr>
          <w:trHeight w:val="402"/>
        </w:trPr>
        <w:tc>
          <w:tcPr>
            <w:tcW w:w="2699" w:type="dxa"/>
            <w:tcBorders>
              <w:top w:val="nil"/>
              <w:left w:val="single" w:color="000000" w:sz="4" w:space="0"/>
              <w:bottom w:val="double" w:color="000000" w:sz="6" w:space="0"/>
              <w:right w:val="single" w:color="000000" w:sz="4" w:space="0"/>
            </w:tcBorders>
            <w:shd w:val="clear" w:color="auto" w:fill="auto"/>
            <w:vAlign w:val="center"/>
            <w:hideMark/>
          </w:tcPr>
          <w:p w:rsidRPr="00C70915" w:rsidR="00202CBC" w:rsidP="00202CBC" w:rsidRDefault="00202CBC" w14:paraId="50AA4FAD"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CBR &amp; NIMS Reporting (Cost)</w:t>
            </w:r>
          </w:p>
        </w:tc>
        <w:tc>
          <w:tcPr>
            <w:tcW w:w="1664" w:type="dxa"/>
            <w:tcBorders>
              <w:top w:val="nil"/>
              <w:left w:val="nil"/>
              <w:bottom w:val="double" w:color="000000" w:sz="6" w:space="0"/>
              <w:right w:val="single" w:color="000000" w:sz="4" w:space="0"/>
            </w:tcBorders>
            <w:shd w:val="clear" w:color="auto" w:fill="auto"/>
            <w:vAlign w:val="center"/>
            <w:hideMark/>
          </w:tcPr>
          <w:p w:rsidRPr="00C70915" w:rsidR="00202CBC" w:rsidP="00202CBC" w:rsidRDefault="00202CBC" w14:paraId="30BF8DC5"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A</w:t>
            </w:r>
          </w:p>
        </w:tc>
        <w:tc>
          <w:tcPr>
            <w:tcW w:w="1664" w:type="dxa"/>
            <w:tcBorders>
              <w:top w:val="nil"/>
              <w:left w:val="nil"/>
              <w:bottom w:val="double" w:color="000000" w:sz="6" w:space="0"/>
              <w:right w:val="single" w:color="000000" w:sz="4" w:space="0"/>
            </w:tcBorders>
            <w:shd w:val="clear" w:color="auto" w:fill="auto"/>
            <w:vAlign w:val="center"/>
            <w:hideMark/>
          </w:tcPr>
          <w:p w:rsidRPr="00C70915" w:rsidR="00202CBC" w:rsidP="00202CBC" w:rsidRDefault="00202CBC" w14:paraId="3FAE83F3"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$252,863</w:t>
            </w:r>
          </w:p>
        </w:tc>
        <w:tc>
          <w:tcPr>
            <w:tcW w:w="1664" w:type="dxa"/>
            <w:tcBorders>
              <w:top w:val="nil"/>
              <w:left w:val="nil"/>
              <w:bottom w:val="double" w:color="000000" w:sz="6" w:space="0"/>
              <w:right w:val="single" w:color="000000" w:sz="4" w:space="0"/>
            </w:tcBorders>
            <w:shd w:val="clear" w:color="auto" w:fill="auto"/>
            <w:vAlign w:val="center"/>
            <w:hideMark/>
          </w:tcPr>
          <w:p w:rsidRPr="00202CBC" w:rsidR="00202CBC" w:rsidP="00202CBC" w:rsidRDefault="00202CBC" w14:paraId="2508E2C3" w14:textId="31733543">
            <w:pPr>
              <w:widowControl/>
              <w:jc w:val="center"/>
              <w:rPr>
                <w:rFonts w:ascii="Times New Roman" w:hAnsi="Times New Roman"/>
                <w:snapToGrid/>
                <w:color w:val="000000"/>
                <w:sz w:val="16"/>
                <w:szCs w:val="16"/>
              </w:rPr>
            </w:pPr>
            <w:r w:rsidRPr="00202CBC">
              <w:rPr>
                <w:rFonts w:ascii="Times New Roman" w:hAnsi="Times New Roman"/>
                <w:color w:val="000000"/>
                <w:sz w:val="16"/>
                <w:szCs w:val="16"/>
              </w:rPr>
              <w:t xml:space="preserve">$248,411 </w:t>
            </w:r>
          </w:p>
        </w:tc>
        <w:tc>
          <w:tcPr>
            <w:tcW w:w="1843" w:type="dxa"/>
            <w:tcBorders>
              <w:top w:val="nil"/>
              <w:left w:val="nil"/>
              <w:bottom w:val="double" w:color="000000" w:sz="6" w:space="0"/>
              <w:right w:val="single" w:color="000000" w:sz="4" w:space="0"/>
            </w:tcBorders>
            <w:shd w:val="clear" w:color="auto" w:fill="auto"/>
            <w:vAlign w:val="center"/>
            <w:hideMark/>
          </w:tcPr>
          <w:p w:rsidRPr="00202CBC" w:rsidR="00202CBC" w:rsidP="00202CBC" w:rsidRDefault="00202CBC" w14:paraId="60F01261" w14:textId="41992C80">
            <w:pPr>
              <w:widowControl/>
              <w:jc w:val="center"/>
              <w:rPr>
                <w:rFonts w:ascii="Times New Roman" w:hAnsi="Times New Roman"/>
                <w:snapToGrid/>
                <w:color w:val="000000"/>
                <w:sz w:val="16"/>
                <w:szCs w:val="16"/>
              </w:rPr>
            </w:pPr>
            <w:r w:rsidRPr="00202CBC">
              <w:rPr>
                <w:rFonts w:ascii="Times New Roman" w:hAnsi="Times New Roman"/>
                <w:color w:val="FF0000"/>
                <w:sz w:val="16"/>
                <w:szCs w:val="16"/>
              </w:rPr>
              <w:t>($4,452)</w:t>
            </w:r>
          </w:p>
        </w:tc>
      </w:tr>
      <w:tr w:rsidRPr="00C70915" w:rsidR="0051009E" w:rsidTr="0022684E" w14:paraId="43312068" w14:textId="77777777">
        <w:trPr>
          <w:trHeight w:val="570"/>
        </w:trPr>
        <w:tc>
          <w:tcPr>
            <w:tcW w:w="2699" w:type="dxa"/>
            <w:tcBorders>
              <w:top w:val="nil"/>
              <w:left w:val="single" w:color="000000" w:sz="4" w:space="0"/>
              <w:bottom w:val="single" w:color="000000" w:sz="4" w:space="0"/>
              <w:right w:val="single" w:color="000000" w:sz="4" w:space="0"/>
            </w:tcBorders>
            <w:shd w:val="clear" w:color="auto" w:fill="auto"/>
            <w:vAlign w:val="center"/>
            <w:hideMark/>
          </w:tcPr>
          <w:p w:rsidRPr="00C70915" w:rsidR="0051009E" w:rsidP="0051009E" w:rsidRDefault="0051009E" w14:paraId="4CAAE7DE"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 xml:space="preserve">CWSRF Applications - </w:t>
            </w:r>
            <w:r w:rsidRPr="00C70915">
              <w:rPr>
                <w:rFonts w:ascii="Times New Roman" w:hAnsi="Times New Roman"/>
                <w:snapToGrid/>
                <w:color w:val="000000"/>
                <w:sz w:val="16"/>
                <w:szCs w:val="16"/>
              </w:rPr>
              <w:br/>
              <w:t>Borrower and Review (Hours)</w:t>
            </w:r>
          </w:p>
        </w:tc>
        <w:tc>
          <w:tcPr>
            <w:tcW w:w="1664" w:type="dxa"/>
            <w:tcBorders>
              <w:top w:val="nil"/>
              <w:left w:val="nil"/>
              <w:bottom w:val="single" w:color="000000" w:sz="4" w:space="0"/>
              <w:right w:val="single" w:color="000000" w:sz="4" w:space="0"/>
            </w:tcBorders>
            <w:shd w:val="clear" w:color="auto" w:fill="auto"/>
            <w:vAlign w:val="center"/>
            <w:hideMark/>
          </w:tcPr>
          <w:p w:rsidRPr="00C70915" w:rsidR="0051009E" w:rsidP="0051009E" w:rsidRDefault="0051009E" w14:paraId="538E13FA"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A</w:t>
            </w:r>
          </w:p>
        </w:tc>
        <w:tc>
          <w:tcPr>
            <w:tcW w:w="1664" w:type="dxa"/>
            <w:tcBorders>
              <w:top w:val="nil"/>
              <w:left w:val="nil"/>
              <w:bottom w:val="single" w:color="000000" w:sz="4" w:space="0"/>
              <w:right w:val="single" w:color="000000" w:sz="4" w:space="0"/>
            </w:tcBorders>
            <w:shd w:val="clear" w:color="auto" w:fill="auto"/>
            <w:vAlign w:val="center"/>
            <w:hideMark/>
          </w:tcPr>
          <w:p w:rsidRPr="001253CC" w:rsidR="0051009E" w:rsidP="0051009E" w:rsidRDefault="0051009E" w14:paraId="0CA13FFB" w14:textId="11DE3970">
            <w:pPr>
              <w:widowControl/>
              <w:jc w:val="center"/>
              <w:rPr>
                <w:rFonts w:ascii="Times New Roman" w:hAnsi="Times New Roman"/>
                <w:snapToGrid/>
                <w:color w:val="000000"/>
                <w:sz w:val="16"/>
                <w:szCs w:val="16"/>
              </w:rPr>
            </w:pPr>
            <w:r w:rsidRPr="0038760E">
              <w:rPr>
                <w:rFonts w:ascii="Times New Roman" w:hAnsi="Times New Roman"/>
                <w:color w:val="000000"/>
                <w:sz w:val="16"/>
                <w:szCs w:val="16"/>
              </w:rPr>
              <w:t>530,010</w:t>
            </w:r>
          </w:p>
        </w:tc>
        <w:tc>
          <w:tcPr>
            <w:tcW w:w="1664" w:type="dxa"/>
            <w:tcBorders>
              <w:top w:val="nil"/>
              <w:left w:val="nil"/>
              <w:bottom w:val="single" w:color="000000" w:sz="4" w:space="0"/>
              <w:right w:val="single" w:color="000000" w:sz="4" w:space="0"/>
            </w:tcBorders>
            <w:shd w:val="clear" w:color="auto" w:fill="auto"/>
            <w:vAlign w:val="center"/>
            <w:hideMark/>
          </w:tcPr>
          <w:p w:rsidRPr="001253CC" w:rsidR="0051009E" w:rsidP="0051009E" w:rsidRDefault="0051009E" w14:paraId="212031B7" w14:textId="526A3ECD">
            <w:pPr>
              <w:widowControl/>
              <w:jc w:val="center"/>
              <w:rPr>
                <w:rFonts w:ascii="Times New Roman" w:hAnsi="Times New Roman"/>
                <w:snapToGrid/>
                <w:color w:val="000000"/>
                <w:sz w:val="16"/>
                <w:szCs w:val="16"/>
              </w:rPr>
            </w:pPr>
            <w:r w:rsidRPr="006D5E67">
              <w:rPr>
                <w:rFonts w:ascii="Times New Roman" w:hAnsi="Times New Roman"/>
                <w:color w:val="000000"/>
                <w:sz w:val="16"/>
                <w:szCs w:val="16"/>
              </w:rPr>
              <w:t>0</w:t>
            </w:r>
          </w:p>
        </w:tc>
        <w:tc>
          <w:tcPr>
            <w:tcW w:w="1843" w:type="dxa"/>
            <w:tcBorders>
              <w:top w:val="nil"/>
              <w:left w:val="nil"/>
              <w:bottom w:val="single" w:color="000000" w:sz="4" w:space="0"/>
              <w:right w:val="single" w:color="000000" w:sz="4" w:space="0"/>
            </w:tcBorders>
            <w:shd w:val="clear" w:color="auto" w:fill="auto"/>
            <w:vAlign w:val="center"/>
            <w:hideMark/>
          </w:tcPr>
          <w:p w:rsidRPr="001253CC" w:rsidR="0051009E" w:rsidP="0051009E" w:rsidRDefault="0051009E" w14:paraId="6B1FEF6D" w14:textId="50F82F17">
            <w:pPr>
              <w:widowControl/>
              <w:jc w:val="center"/>
              <w:rPr>
                <w:rFonts w:ascii="Times New Roman" w:hAnsi="Times New Roman"/>
                <w:snapToGrid/>
                <w:color w:val="000000"/>
                <w:sz w:val="16"/>
                <w:szCs w:val="16"/>
              </w:rPr>
            </w:pPr>
            <w:r w:rsidRPr="006D5E67">
              <w:rPr>
                <w:rFonts w:ascii="Times New Roman" w:hAnsi="Times New Roman"/>
                <w:color w:val="FF0000"/>
                <w:sz w:val="16"/>
                <w:szCs w:val="16"/>
              </w:rPr>
              <w:t>(530,010)</w:t>
            </w:r>
          </w:p>
        </w:tc>
      </w:tr>
      <w:tr w:rsidRPr="00C70915" w:rsidR="0022684E" w:rsidTr="0022684E" w14:paraId="2A99C5E0" w14:textId="77777777">
        <w:trPr>
          <w:trHeight w:val="570"/>
        </w:trPr>
        <w:tc>
          <w:tcPr>
            <w:tcW w:w="2699" w:type="dxa"/>
            <w:tcBorders>
              <w:top w:val="nil"/>
              <w:left w:val="single" w:color="000000" w:sz="4" w:space="0"/>
              <w:bottom w:val="nil"/>
              <w:right w:val="single" w:color="000000" w:sz="4" w:space="0"/>
            </w:tcBorders>
            <w:shd w:val="clear" w:color="auto" w:fill="auto"/>
            <w:vAlign w:val="center"/>
            <w:hideMark/>
          </w:tcPr>
          <w:p w:rsidRPr="00C70915" w:rsidR="0022684E" w:rsidP="0022684E" w:rsidRDefault="0022684E" w14:paraId="4EB520B4"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 xml:space="preserve">CWSRF Applications - </w:t>
            </w:r>
            <w:r w:rsidRPr="00C70915">
              <w:rPr>
                <w:rFonts w:ascii="Times New Roman" w:hAnsi="Times New Roman"/>
                <w:snapToGrid/>
                <w:color w:val="000000"/>
                <w:sz w:val="16"/>
                <w:szCs w:val="16"/>
              </w:rPr>
              <w:br/>
              <w:t>Borrower and Review (Hours)</w:t>
            </w:r>
          </w:p>
        </w:tc>
        <w:tc>
          <w:tcPr>
            <w:tcW w:w="1664" w:type="dxa"/>
            <w:tcBorders>
              <w:top w:val="nil"/>
              <w:left w:val="nil"/>
              <w:bottom w:val="nil"/>
              <w:right w:val="single" w:color="000000" w:sz="4" w:space="0"/>
            </w:tcBorders>
            <w:shd w:val="clear" w:color="auto" w:fill="auto"/>
            <w:vAlign w:val="center"/>
            <w:hideMark/>
          </w:tcPr>
          <w:p w:rsidRPr="00C70915" w:rsidR="0022684E" w:rsidP="0022684E" w:rsidRDefault="0022684E" w14:paraId="15B47AF3"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A</w:t>
            </w:r>
          </w:p>
        </w:tc>
        <w:tc>
          <w:tcPr>
            <w:tcW w:w="1664" w:type="dxa"/>
            <w:tcBorders>
              <w:top w:val="nil"/>
              <w:left w:val="nil"/>
              <w:bottom w:val="nil"/>
              <w:right w:val="single" w:color="000000" w:sz="4" w:space="0"/>
            </w:tcBorders>
            <w:shd w:val="clear" w:color="auto" w:fill="auto"/>
            <w:vAlign w:val="center"/>
            <w:hideMark/>
          </w:tcPr>
          <w:p w:rsidRPr="001253CC" w:rsidR="0022684E" w:rsidP="0022684E" w:rsidRDefault="0022684E" w14:paraId="47DD82C9" w14:textId="154E2C72">
            <w:pPr>
              <w:widowControl/>
              <w:jc w:val="center"/>
              <w:rPr>
                <w:rFonts w:ascii="Times New Roman" w:hAnsi="Times New Roman"/>
                <w:snapToGrid/>
                <w:color w:val="000000"/>
                <w:sz w:val="16"/>
                <w:szCs w:val="16"/>
              </w:rPr>
            </w:pPr>
            <w:r w:rsidRPr="0038760E">
              <w:rPr>
                <w:rFonts w:ascii="Times New Roman" w:hAnsi="Times New Roman"/>
                <w:color w:val="000000"/>
                <w:sz w:val="16"/>
                <w:szCs w:val="16"/>
              </w:rPr>
              <w:t xml:space="preserve">$24,041,254 </w:t>
            </w:r>
          </w:p>
        </w:tc>
        <w:tc>
          <w:tcPr>
            <w:tcW w:w="1664" w:type="dxa"/>
            <w:tcBorders>
              <w:top w:val="nil"/>
              <w:left w:val="nil"/>
              <w:bottom w:val="nil"/>
              <w:right w:val="single" w:color="000000" w:sz="4" w:space="0"/>
            </w:tcBorders>
            <w:shd w:val="clear" w:color="auto" w:fill="auto"/>
            <w:vAlign w:val="center"/>
            <w:hideMark/>
          </w:tcPr>
          <w:p w:rsidRPr="001253CC" w:rsidR="0022684E" w:rsidP="0022684E" w:rsidRDefault="0022684E" w14:paraId="17EF2FF0" w14:textId="5C335F6B">
            <w:pPr>
              <w:widowControl/>
              <w:jc w:val="center"/>
              <w:rPr>
                <w:rFonts w:ascii="Times New Roman" w:hAnsi="Times New Roman"/>
                <w:snapToGrid/>
                <w:color w:val="000000"/>
                <w:sz w:val="16"/>
                <w:szCs w:val="16"/>
              </w:rPr>
            </w:pPr>
            <w:r w:rsidRPr="006D5E67">
              <w:rPr>
                <w:rFonts w:ascii="Times New Roman" w:hAnsi="Times New Roman"/>
                <w:color w:val="000000"/>
                <w:sz w:val="16"/>
                <w:szCs w:val="16"/>
              </w:rPr>
              <w:t xml:space="preserve">$0 </w:t>
            </w:r>
          </w:p>
        </w:tc>
        <w:tc>
          <w:tcPr>
            <w:tcW w:w="1843" w:type="dxa"/>
            <w:tcBorders>
              <w:top w:val="nil"/>
              <w:left w:val="nil"/>
              <w:bottom w:val="nil"/>
              <w:right w:val="single" w:color="000000" w:sz="4" w:space="0"/>
            </w:tcBorders>
            <w:shd w:val="clear" w:color="auto" w:fill="auto"/>
            <w:vAlign w:val="center"/>
            <w:hideMark/>
          </w:tcPr>
          <w:p w:rsidRPr="001253CC" w:rsidR="0022684E" w:rsidP="0022684E" w:rsidRDefault="0022684E" w14:paraId="4E0ED8A3" w14:textId="39E07273">
            <w:pPr>
              <w:widowControl/>
              <w:jc w:val="center"/>
              <w:rPr>
                <w:rFonts w:ascii="Times New Roman" w:hAnsi="Times New Roman"/>
                <w:snapToGrid/>
                <w:color w:val="000000"/>
                <w:sz w:val="16"/>
                <w:szCs w:val="16"/>
              </w:rPr>
            </w:pPr>
            <w:r w:rsidRPr="006D5E67">
              <w:rPr>
                <w:rFonts w:ascii="Times New Roman" w:hAnsi="Times New Roman"/>
                <w:color w:val="FF0000"/>
                <w:sz w:val="16"/>
                <w:szCs w:val="16"/>
              </w:rPr>
              <w:t>($24,041,254)</w:t>
            </w:r>
          </w:p>
        </w:tc>
      </w:tr>
      <w:tr w:rsidRPr="00C70915" w:rsidR="00C70915" w:rsidTr="0022684E" w14:paraId="6AB85EAB" w14:textId="77777777">
        <w:trPr>
          <w:trHeight w:val="402"/>
        </w:trPr>
        <w:tc>
          <w:tcPr>
            <w:tcW w:w="2699" w:type="dxa"/>
            <w:tcBorders>
              <w:top w:val="double" w:color="000000" w:sz="6" w:space="0"/>
              <w:left w:val="single" w:color="000000" w:sz="4" w:space="0"/>
              <w:bottom w:val="single" w:color="000000" w:sz="4" w:space="0"/>
              <w:right w:val="single" w:color="000000" w:sz="4" w:space="0"/>
            </w:tcBorders>
            <w:shd w:val="clear" w:color="auto" w:fill="auto"/>
            <w:vAlign w:val="center"/>
            <w:hideMark/>
          </w:tcPr>
          <w:p w:rsidRPr="00C70915" w:rsidR="00C70915" w:rsidP="00C70915" w:rsidRDefault="00C70915" w14:paraId="6848E1FD"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Public Awareness Policy (Hours)</w:t>
            </w:r>
          </w:p>
        </w:tc>
        <w:tc>
          <w:tcPr>
            <w:tcW w:w="1664"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4F1288EA"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A</w:t>
            </w:r>
          </w:p>
        </w:tc>
        <w:tc>
          <w:tcPr>
            <w:tcW w:w="1664"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151B6954"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786</w:t>
            </w:r>
          </w:p>
        </w:tc>
        <w:tc>
          <w:tcPr>
            <w:tcW w:w="1664"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57A479B4"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640</w:t>
            </w:r>
          </w:p>
        </w:tc>
        <w:tc>
          <w:tcPr>
            <w:tcW w:w="1843" w:type="dxa"/>
            <w:tcBorders>
              <w:top w:val="double" w:color="000000" w:sz="6" w:space="0"/>
              <w:left w:val="nil"/>
              <w:bottom w:val="single" w:color="000000" w:sz="4" w:space="0"/>
              <w:right w:val="single" w:color="000000" w:sz="4" w:space="0"/>
            </w:tcBorders>
            <w:shd w:val="clear" w:color="auto" w:fill="auto"/>
            <w:vAlign w:val="center"/>
            <w:hideMark/>
          </w:tcPr>
          <w:p w:rsidRPr="00C70915" w:rsidR="00C70915" w:rsidP="00C70915" w:rsidRDefault="00C70915" w14:paraId="5BDDE573" w14:textId="77777777">
            <w:pPr>
              <w:widowControl/>
              <w:jc w:val="center"/>
              <w:rPr>
                <w:rFonts w:ascii="Times New Roman" w:hAnsi="Times New Roman"/>
                <w:snapToGrid/>
                <w:color w:val="000000"/>
                <w:sz w:val="16"/>
                <w:szCs w:val="16"/>
              </w:rPr>
            </w:pPr>
            <w:r w:rsidRPr="00C70915">
              <w:rPr>
                <w:rFonts w:ascii="Times New Roman" w:hAnsi="Times New Roman"/>
                <w:snapToGrid/>
                <w:color w:val="FF0000"/>
                <w:sz w:val="16"/>
                <w:szCs w:val="16"/>
              </w:rPr>
              <w:t>(146)</w:t>
            </w:r>
          </w:p>
        </w:tc>
      </w:tr>
      <w:tr w:rsidRPr="00C70915" w:rsidR="00202CBC" w:rsidTr="0022684E" w14:paraId="3E4D3F42" w14:textId="77777777">
        <w:trPr>
          <w:trHeight w:val="402"/>
        </w:trPr>
        <w:tc>
          <w:tcPr>
            <w:tcW w:w="2699" w:type="dxa"/>
            <w:tcBorders>
              <w:top w:val="nil"/>
              <w:left w:val="single" w:color="000000" w:sz="4" w:space="0"/>
              <w:bottom w:val="single" w:color="000000" w:sz="18" w:space="0"/>
              <w:right w:val="single" w:color="000000" w:sz="4" w:space="0"/>
            </w:tcBorders>
            <w:shd w:val="clear" w:color="auto" w:fill="auto"/>
            <w:vAlign w:val="center"/>
            <w:hideMark/>
          </w:tcPr>
          <w:p w:rsidRPr="00C70915" w:rsidR="00202CBC" w:rsidP="00202CBC" w:rsidRDefault="00202CBC" w14:paraId="3E14A38F" w14:textId="77777777">
            <w:pPr>
              <w:widowControl/>
              <w:rPr>
                <w:rFonts w:ascii="Times New Roman" w:hAnsi="Times New Roman"/>
                <w:snapToGrid/>
                <w:color w:val="000000"/>
                <w:sz w:val="16"/>
                <w:szCs w:val="16"/>
              </w:rPr>
            </w:pPr>
            <w:r w:rsidRPr="00C70915">
              <w:rPr>
                <w:rFonts w:ascii="Times New Roman" w:hAnsi="Times New Roman"/>
                <w:snapToGrid/>
                <w:color w:val="000000"/>
                <w:sz w:val="16"/>
                <w:szCs w:val="16"/>
              </w:rPr>
              <w:t>Public Awareness Policy (Cost)</w:t>
            </w:r>
          </w:p>
        </w:tc>
        <w:tc>
          <w:tcPr>
            <w:tcW w:w="1664" w:type="dxa"/>
            <w:tcBorders>
              <w:top w:val="nil"/>
              <w:left w:val="nil"/>
              <w:bottom w:val="single" w:color="000000" w:sz="18" w:space="0"/>
              <w:right w:val="single" w:color="000000" w:sz="4" w:space="0"/>
            </w:tcBorders>
            <w:shd w:val="clear" w:color="auto" w:fill="auto"/>
            <w:vAlign w:val="center"/>
            <w:hideMark/>
          </w:tcPr>
          <w:p w:rsidRPr="00C70915" w:rsidR="00202CBC" w:rsidP="00202CBC" w:rsidRDefault="00202CBC" w14:paraId="38D36BD5"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A</w:t>
            </w:r>
          </w:p>
        </w:tc>
        <w:tc>
          <w:tcPr>
            <w:tcW w:w="1664" w:type="dxa"/>
            <w:tcBorders>
              <w:top w:val="nil"/>
              <w:left w:val="nil"/>
              <w:bottom w:val="single" w:color="000000" w:sz="18" w:space="0"/>
              <w:right w:val="single" w:color="000000" w:sz="4" w:space="0"/>
            </w:tcBorders>
            <w:shd w:val="clear" w:color="auto" w:fill="auto"/>
            <w:vAlign w:val="center"/>
            <w:hideMark/>
          </w:tcPr>
          <w:p w:rsidRPr="00C70915" w:rsidR="00202CBC" w:rsidP="00202CBC" w:rsidRDefault="00202CBC" w14:paraId="21DC9DC7" w14:textId="77777777">
            <w:pPr>
              <w:widowControl/>
              <w:jc w:val="center"/>
              <w:rPr>
                <w:rFonts w:ascii="Times New Roman" w:hAnsi="Times New Roman"/>
                <w:snapToGrid/>
                <w:color w:val="000000"/>
                <w:sz w:val="16"/>
                <w:szCs w:val="16"/>
              </w:rPr>
            </w:pPr>
            <w:r w:rsidRPr="00C70915">
              <w:rPr>
                <w:rFonts w:ascii="Times New Roman" w:hAnsi="Times New Roman"/>
                <w:snapToGrid/>
                <w:color w:val="000000"/>
                <w:sz w:val="16"/>
                <w:szCs w:val="16"/>
              </w:rPr>
              <w:t>$29,098</w:t>
            </w:r>
          </w:p>
        </w:tc>
        <w:tc>
          <w:tcPr>
            <w:tcW w:w="1664" w:type="dxa"/>
            <w:tcBorders>
              <w:top w:val="nil"/>
              <w:left w:val="nil"/>
              <w:bottom w:val="single" w:color="000000" w:sz="18" w:space="0"/>
              <w:right w:val="single" w:color="000000" w:sz="4" w:space="0"/>
            </w:tcBorders>
            <w:shd w:val="clear" w:color="auto" w:fill="auto"/>
            <w:vAlign w:val="center"/>
            <w:hideMark/>
          </w:tcPr>
          <w:p w:rsidRPr="00202CBC" w:rsidR="00202CBC" w:rsidP="00202CBC" w:rsidRDefault="00202CBC" w14:paraId="279D9524" w14:textId="4477B93E">
            <w:pPr>
              <w:widowControl/>
              <w:jc w:val="center"/>
              <w:rPr>
                <w:rFonts w:ascii="Times New Roman" w:hAnsi="Times New Roman"/>
                <w:snapToGrid/>
                <w:color w:val="000000"/>
                <w:sz w:val="16"/>
                <w:szCs w:val="16"/>
              </w:rPr>
            </w:pPr>
            <w:r w:rsidRPr="00202CBC">
              <w:rPr>
                <w:rFonts w:ascii="Times New Roman" w:hAnsi="Times New Roman"/>
                <w:color w:val="000000"/>
                <w:sz w:val="16"/>
                <w:szCs w:val="16"/>
              </w:rPr>
              <w:t xml:space="preserve">$22,669 </w:t>
            </w:r>
          </w:p>
        </w:tc>
        <w:tc>
          <w:tcPr>
            <w:tcW w:w="1843" w:type="dxa"/>
            <w:tcBorders>
              <w:top w:val="nil"/>
              <w:left w:val="nil"/>
              <w:bottom w:val="single" w:color="000000" w:sz="18" w:space="0"/>
              <w:right w:val="single" w:color="000000" w:sz="4" w:space="0"/>
            </w:tcBorders>
            <w:shd w:val="clear" w:color="auto" w:fill="auto"/>
            <w:vAlign w:val="center"/>
            <w:hideMark/>
          </w:tcPr>
          <w:p w:rsidRPr="00202CBC" w:rsidR="00202CBC" w:rsidP="00202CBC" w:rsidRDefault="00202CBC" w14:paraId="636F423E" w14:textId="68D96D88">
            <w:pPr>
              <w:widowControl/>
              <w:jc w:val="center"/>
              <w:rPr>
                <w:rFonts w:ascii="Times New Roman" w:hAnsi="Times New Roman"/>
                <w:snapToGrid/>
                <w:color w:val="000000"/>
                <w:sz w:val="16"/>
                <w:szCs w:val="16"/>
              </w:rPr>
            </w:pPr>
            <w:r w:rsidRPr="00202CBC">
              <w:rPr>
                <w:rFonts w:ascii="Times New Roman" w:hAnsi="Times New Roman"/>
                <w:color w:val="FF0000"/>
                <w:sz w:val="16"/>
                <w:szCs w:val="16"/>
              </w:rPr>
              <w:t>($6,429)</w:t>
            </w:r>
          </w:p>
        </w:tc>
      </w:tr>
      <w:tr w:rsidRPr="00C70915" w:rsidR="0022684E" w:rsidTr="0022684E" w14:paraId="5CED1322" w14:textId="77777777">
        <w:trPr>
          <w:trHeight w:val="402"/>
        </w:trPr>
        <w:tc>
          <w:tcPr>
            <w:tcW w:w="2699" w:type="dxa"/>
            <w:tcBorders>
              <w:top w:val="single" w:color="000000" w:sz="18" w:space="0"/>
              <w:left w:val="single" w:color="000000" w:sz="4" w:space="0"/>
              <w:bottom w:val="single" w:color="000000" w:sz="4" w:space="0"/>
              <w:right w:val="single" w:color="000000" w:sz="4" w:space="0"/>
            </w:tcBorders>
            <w:shd w:val="clear" w:color="auto" w:fill="auto"/>
            <w:vAlign w:val="center"/>
            <w:hideMark/>
          </w:tcPr>
          <w:p w:rsidRPr="00C70915" w:rsidR="0022684E" w:rsidP="0022684E" w:rsidRDefault="0022684E" w14:paraId="34808EAF" w14:textId="77777777">
            <w:pPr>
              <w:widowControl/>
              <w:rPr>
                <w:rFonts w:ascii="Times New Roman" w:hAnsi="Times New Roman"/>
                <w:b/>
                <w:bCs/>
                <w:snapToGrid/>
                <w:color w:val="000000"/>
                <w:sz w:val="16"/>
                <w:szCs w:val="16"/>
              </w:rPr>
            </w:pPr>
            <w:r w:rsidRPr="00C70915">
              <w:rPr>
                <w:rFonts w:ascii="Times New Roman" w:hAnsi="Times New Roman"/>
                <w:b/>
                <w:bCs/>
                <w:snapToGrid/>
                <w:color w:val="000000"/>
                <w:sz w:val="16"/>
                <w:szCs w:val="16"/>
              </w:rPr>
              <w:t>Total (Hours)</w:t>
            </w:r>
          </w:p>
        </w:tc>
        <w:tc>
          <w:tcPr>
            <w:tcW w:w="1664" w:type="dxa"/>
            <w:tcBorders>
              <w:top w:val="single" w:color="000000" w:sz="18" w:space="0"/>
              <w:left w:val="nil"/>
              <w:bottom w:val="single" w:color="000000" w:sz="4" w:space="0"/>
              <w:right w:val="single" w:color="000000" w:sz="4" w:space="0"/>
            </w:tcBorders>
            <w:shd w:val="clear" w:color="auto" w:fill="auto"/>
            <w:vAlign w:val="center"/>
            <w:hideMark/>
          </w:tcPr>
          <w:p w:rsidRPr="00C70915" w:rsidR="0022684E" w:rsidP="0022684E" w:rsidRDefault="0022684E" w14:paraId="42EEA2E5" w14:textId="77777777">
            <w:pPr>
              <w:widowControl/>
              <w:jc w:val="center"/>
              <w:rPr>
                <w:rFonts w:ascii="Times New Roman" w:hAnsi="Times New Roman"/>
                <w:b/>
                <w:bCs/>
                <w:snapToGrid/>
                <w:color w:val="000000"/>
                <w:sz w:val="16"/>
                <w:szCs w:val="16"/>
              </w:rPr>
            </w:pPr>
            <w:r w:rsidRPr="00C70915">
              <w:rPr>
                <w:rFonts w:ascii="Times New Roman" w:hAnsi="Times New Roman"/>
                <w:b/>
                <w:bCs/>
                <w:snapToGrid/>
                <w:color w:val="000000"/>
                <w:sz w:val="16"/>
                <w:szCs w:val="16"/>
              </w:rPr>
              <w:t> </w:t>
            </w:r>
          </w:p>
        </w:tc>
        <w:tc>
          <w:tcPr>
            <w:tcW w:w="1664" w:type="dxa"/>
            <w:tcBorders>
              <w:top w:val="single" w:color="000000" w:sz="18" w:space="0"/>
              <w:left w:val="nil"/>
              <w:bottom w:val="single" w:color="000000" w:sz="4" w:space="0"/>
              <w:right w:val="single" w:color="000000" w:sz="4" w:space="0"/>
            </w:tcBorders>
            <w:shd w:val="clear" w:color="auto" w:fill="auto"/>
            <w:vAlign w:val="center"/>
            <w:hideMark/>
          </w:tcPr>
          <w:p w:rsidRPr="001253CC" w:rsidR="0022684E" w:rsidP="0022684E" w:rsidRDefault="0022684E" w14:paraId="57EC046E" w14:textId="730BD213">
            <w:pPr>
              <w:widowControl/>
              <w:jc w:val="center"/>
              <w:rPr>
                <w:rFonts w:ascii="Times New Roman" w:hAnsi="Times New Roman"/>
                <w:b/>
                <w:bCs/>
                <w:snapToGrid/>
                <w:color w:val="000000"/>
                <w:sz w:val="16"/>
                <w:szCs w:val="16"/>
              </w:rPr>
            </w:pPr>
            <w:r w:rsidRPr="0038760E">
              <w:rPr>
                <w:rFonts w:ascii="Times New Roman" w:hAnsi="Times New Roman"/>
                <w:b/>
                <w:bCs/>
                <w:color w:val="000000"/>
                <w:sz w:val="16"/>
                <w:szCs w:val="16"/>
              </w:rPr>
              <w:t>587,386</w:t>
            </w:r>
          </w:p>
        </w:tc>
        <w:tc>
          <w:tcPr>
            <w:tcW w:w="1664" w:type="dxa"/>
            <w:tcBorders>
              <w:top w:val="single" w:color="000000" w:sz="18" w:space="0"/>
              <w:left w:val="nil"/>
              <w:bottom w:val="single" w:color="000000" w:sz="4" w:space="0"/>
              <w:right w:val="single" w:color="000000" w:sz="4" w:space="0"/>
            </w:tcBorders>
            <w:shd w:val="clear" w:color="auto" w:fill="auto"/>
            <w:vAlign w:val="center"/>
            <w:hideMark/>
          </w:tcPr>
          <w:p w:rsidRPr="001253CC" w:rsidR="0022684E" w:rsidP="0022684E" w:rsidRDefault="0022684E" w14:paraId="1472D69E" w14:textId="729372CD">
            <w:pPr>
              <w:widowControl/>
              <w:jc w:val="center"/>
              <w:rPr>
                <w:rFonts w:ascii="Times New Roman" w:hAnsi="Times New Roman"/>
                <w:b/>
                <w:bCs/>
                <w:snapToGrid/>
                <w:color w:val="000000"/>
                <w:sz w:val="16"/>
                <w:szCs w:val="16"/>
              </w:rPr>
            </w:pPr>
            <w:r w:rsidRPr="006D5E67">
              <w:rPr>
                <w:rFonts w:ascii="Times New Roman" w:hAnsi="Times New Roman"/>
                <w:b/>
                <w:bCs/>
                <w:color w:val="000000"/>
                <w:sz w:val="16"/>
                <w:szCs w:val="16"/>
              </w:rPr>
              <w:t>57,230</w:t>
            </w:r>
          </w:p>
        </w:tc>
        <w:tc>
          <w:tcPr>
            <w:tcW w:w="1843" w:type="dxa"/>
            <w:tcBorders>
              <w:top w:val="single" w:color="000000" w:sz="18" w:space="0"/>
              <w:left w:val="nil"/>
              <w:bottom w:val="single" w:color="000000" w:sz="4" w:space="0"/>
              <w:right w:val="single" w:color="000000" w:sz="4" w:space="0"/>
            </w:tcBorders>
            <w:shd w:val="clear" w:color="auto" w:fill="auto"/>
            <w:vAlign w:val="center"/>
            <w:hideMark/>
          </w:tcPr>
          <w:p w:rsidRPr="001253CC" w:rsidR="0022684E" w:rsidP="0022684E" w:rsidRDefault="0022684E" w14:paraId="14A01908" w14:textId="1DA81830">
            <w:pPr>
              <w:widowControl/>
              <w:jc w:val="center"/>
              <w:rPr>
                <w:rFonts w:ascii="Times New Roman" w:hAnsi="Times New Roman"/>
                <w:b/>
                <w:bCs/>
                <w:snapToGrid/>
                <w:color w:val="000000"/>
                <w:sz w:val="16"/>
                <w:szCs w:val="16"/>
              </w:rPr>
            </w:pPr>
            <w:r w:rsidRPr="006D5E67">
              <w:rPr>
                <w:rFonts w:ascii="Times New Roman" w:hAnsi="Times New Roman"/>
                <w:b/>
                <w:bCs/>
                <w:color w:val="FF0000"/>
                <w:sz w:val="16"/>
                <w:szCs w:val="16"/>
              </w:rPr>
              <w:t>(530,156)</w:t>
            </w:r>
          </w:p>
        </w:tc>
      </w:tr>
      <w:tr w:rsidRPr="00C70915" w:rsidR="00202CBC" w:rsidTr="0022684E" w14:paraId="65D325C7" w14:textId="77777777">
        <w:trPr>
          <w:trHeight w:val="402"/>
        </w:trPr>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70915" w:rsidR="00202CBC" w:rsidP="00202CBC" w:rsidRDefault="00202CBC" w14:paraId="0E03E748" w14:textId="77777777">
            <w:pPr>
              <w:widowControl/>
              <w:rPr>
                <w:rFonts w:ascii="Times New Roman" w:hAnsi="Times New Roman"/>
                <w:b/>
                <w:bCs/>
                <w:snapToGrid/>
                <w:color w:val="000000"/>
                <w:sz w:val="16"/>
                <w:szCs w:val="16"/>
              </w:rPr>
            </w:pPr>
            <w:r w:rsidRPr="00C70915">
              <w:rPr>
                <w:rFonts w:ascii="Times New Roman" w:hAnsi="Times New Roman"/>
                <w:b/>
                <w:bCs/>
                <w:snapToGrid/>
                <w:color w:val="000000"/>
                <w:sz w:val="16"/>
                <w:szCs w:val="16"/>
              </w:rPr>
              <w:t>Total (Cost)</w:t>
            </w:r>
          </w:p>
        </w:tc>
        <w:tc>
          <w:tcPr>
            <w:tcW w:w="1664" w:type="dxa"/>
            <w:tcBorders>
              <w:top w:val="single" w:color="000000" w:sz="4" w:space="0"/>
              <w:left w:val="nil"/>
              <w:bottom w:val="single" w:color="000000" w:sz="4" w:space="0"/>
              <w:right w:val="single" w:color="000000" w:sz="4" w:space="0"/>
            </w:tcBorders>
            <w:shd w:val="clear" w:color="auto" w:fill="auto"/>
            <w:vAlign w:val="center"/>
            <w:hideMark/>
          </w:tcPr>
          <w:p w:rsidRPr="00C70915" w:rsidR="00202CBC" w:rsidP="00202CBC" w:rsidRDefault="00202CBC" w14:paraId="46CC6629" w14:textId="77777777">
            <w:pPr>
              <w:widowControl/>
              <w:jc w:val="center"/>
              <w:rPr>
                <w:rFonts w:ascii="Times New Roman" w:hAnsi="Times New Roman"/>
                <w:b/>
                <w:bCs/>
                <w:snapToGrid/>
                <w:color w:val="000000"/>
                <w:sz w:val="16"/>
                <w:szCs w:val="16"/>
              </w:rPr>
            </w:pPr>
            <w:r w:rsidRPr="00C70915">
              <w:rPr>
                <w:rFonts w:ascii="Times New Roman" w:hAnsi="Times New Roman"/>
                <w:b/>
                <w:bCs/>
                <w:snapToGrid/>
                <w:color w:val="000000"/>
                <w:sz w:val="16"/>
                <w:szCs w:val="16"/>
              </w:rPr>
              <w:t> </w:t>
            </w:r>
          </w:p>
        </w:tc>
        <w:tc>
          <w:tcPr>
            <w:tcW w:w="1664" w:type="dxa"/>
            <w:tcBorders>
              <w:top w:val="single" w:color="000000" w:sz="4" w:space="0"/>
              <w:left w:val="nil"/>
              <w:bottom w:val="single" w:color="000000" w:sz="4" w:space="0"/>
              <w:right w:val="single" w:color="000000" w:sz="4" w:space="0"/>
            </w:tcBorders>
            <w:shd w:val="clear" w:color="auto" w:fill="auto"/>
            <w:vAlign w:val="center"/>
            <w:hideMark/>
          </w:tcPr>
          <w:p w:rsidRPr="001253CC" w:rsidR="00202CBC" w:rsidP="00202CBC" w:rsidRDefault="00202CBC" w14:paraId="2A7804CB" w14:textId="04F344CD">
            <w:pPr>
              <w:widowControl/>
              <w:jc w:val="center"/>
              <w:rPr>
                <w:rFonts w:ascii="Times New Roman" w:hAnsi="Times New Roman"/>
                <w:b/>
                <w:bCs/>
                <w:snapToGrid/>
                <w:color w:val="000000"/>
                <w:sz w:val="16"/>
                <w:szCs w:val="16"/>
              </w:rPr>
            </w:pPr>
            <w:r w:rsidRPr="0038760E">
              <w:rPr>
                <w:rFonts w:ascii="Times New Roman" w:hAnsi="Times New Roman"/>
                <w:b/>
                <w:bCs/>
                <w:color w:val="000000"/>
                <w:sz w:val="16"/>
                <w:szCs w:val="16"/>
              </w:rPr>
              <w:t xml:space="preserve">$30,115,995 </w:t>
            </w:r>
          </w:p>
        </w:tc>
        <w:tc>
          <w:tcPr>
            <w:tcW w:w="1664" w:type="dxa"/>
            <w:tcBorders>
              <w:top w:val="single" w:color="000000" w:sz="4" w:space="0"/>
              <w:left w:val="nil"/>
              <w:bottom w:val="single" w:color="000000" w:sz="4" w:space="0"/>
              <w:right w:val="single" w:color="000000" w:sz="4" w:space="0"/>
            </w:tcBorders>
            <w:shd w:val="clear" w:color="auto" w:fill="auto"/>
            <w:vAlign w:val="center"/>
            <w:hideMark/>
          </w:tcPr>
          <w:p w:rsidRPr="00202CBC" w:rsidR="00202CBC" w:rsidP="00202CBC" w:rsidRDefault="00202CBC" w14:paraId="595CA7AD" w14:textId="30C967C1">
            <w:pPr>
              <w:widowControl/>
              <w:jc w:val="center"/>
              <w:rPr>
                <w:rFonts w:ascii="Times New Roman" w:hAnsi="Times New Roman"/>
                <w:b/>
                <w:bCs/>
                <w:snapToGrid/>
                <w:color w:val="000000"/>
                <w:sz w:val="16"/>
                <w:szCs w:val="16"/>
              </w:rPr>
            </w:pPr>
            <w:r w:rsidRPr="00202CBC">
              <w:rPr>
                <w:rFonts w:ascii="Times New Roman" w:hAnsi="Times New Roman"/>
                <w:b/>
                <w:bCs/>
                <w:color w:val="000000"/>
                <w:sz w:val="16"/>
                <w:szCs w:val="16"/>
              </w:rPr>
              <w:t xml:space="preserve">$6,013,420 </w:t>
            </w:r>
          </w:p>
        </w:tc>
        <w:tc>
          <w:tcPr>
            <w:tcW w:w="1843" w:type="dxa"/>
            <w:tcBorders>
              <w:top w:val="single" w:color="000000" w:sz="4" w:space="0"/>
              <w:left w:val="nil"/>
              <w:bottom w:val="single" w:color="000000" w:sz="4" w:space="0"/>
              <w:right w:val="single" w:color="000000" w:sz="4" w:space="0"/>
            </w:tcBorders>
            <w:shd w:val="clear" w:color="auto" w:fill="auto"/>
            <w:vAlign w:val="center"/>
            <w:hideMark/>
          </w:tcPr>
          <w:p w:rsidRPr="00202CBC" w:rsidR="00202CBC" w:rsidP="00202CBC" w:rsidRDefault="00202CBC" w14:paraId="52998012" w14:textId="038F806A">
            <w:pPr>
              <w:widowControl/>
              <w:jc w:val="center"/>
              <w:rPr>
                <w:rFonts w:ascii="Times New Roman" w:hAnsi="Times New Roman"/>
                <w:b/>
                <w:bCs/>
                <w:snapToGrid/>
                <w:color w:val="000000"/>
                <w:sz w:val="16"/>
                <w:szCs w:val="16"/>
              </w:rPr>
            </w:pPr>
            <w:r w:rsidRPr="00202CBC">
              <w:rPr>
                <w:rFonts w:ascii="Times New Roman" w:hAnsi="Times New Roman"/>
                <w:b/>
                <w:bCs/>
                <w:color w:val="FF0000"/>
                <w:sz w:val="16"/>
                <w:szCs w:val="16"/>
              </w:rPr>
              <w:t>($24,102,575)</w:t>
            </w:r>
          </w:p>
        </w:tc>
      </w:tr>
      <w:tr w:rsidRPr="00C70915" w:rsidR="00C70915" w:rsidTr="0022684E" w14:paraId="52F9763B" w14:textId="77777777">
        <w:trPr>
          <w:trHeight w:val="300"/>
        </w:trPr>
        <w:tc>
          <w:tcPr>
            <w:tcW w:w="7691" w:type="dxa"/>
            <w:gridSpan w:val="4"/>
            <w:tcBorders>
              <w:top w:val="nil"/>
              <w:left w:val="nil"/>
              <w:bottom w:val="nil"/>
              <w:right w:val="nil"/>
            </w:tcBorders>
            <w:shd w:val="clear" w:color="auto" w:fill="auto"/>
            <w:noWrap/>
            <w:vAlign w:val="bottom"/>
            <w:hideMark/>
          </w:tcPr>
          <w:p w:rsidRPr="00C70915" w:rsidR="00C70915" w:rsidP="00C70915" w:rsidRDefault="00C70915" w14:paraId="705D2B11" w14:textId="6C8D96BF">
            <w:pPr>
              <w:widowControl/>
              <w:rPr>
                <w:rFonts w:ascii="Calibri" w:hAnsi="Calibri" w:cs="Calibri"/>
                <w:snapToGrid/>
                <w:color w:val="000000"/>
                <w:sz w:val="16"/>
                <w:szCs w:val="16"/>
              </w:rPr>
            </w:pPr>
            <w:r w:rsidRPr="00C70915">
              <w:rPr>
                <w:rFonts w:ascii="Calibri" w:hAnsi="Calibri" w:cs="Calibri"/>
                <w:snapToGrid/>
                <w:color w:val="000000"/>
                <w:sz w:val="16"/>
                <w:szCs w:val="16"/>
              </w:rPr>
              <w:t>*A = Adjustment; PC = Program Change</w:t>
            </w:r>
            <w:r w:rsidR="00E869ED">
              <w:rPr>
                <w:rFonts w:ascii="Calibri" w:hAnsi="Calibri" w:cs="Calibri"/>
                <w:snapToGrid/>
                <w:color w:val="000000"/>
                <w:sz w:val="16"/>
                <w:szCs w:val="16"/>
              </w:rPr>
              <w:t xml:space="preserve">, </w:t>
            </w:r>
            <w:r w:rsidRPr="00C70915">
              <w:rPr>
                <w:rFonts w:ascii="Calibri" w:hAnsi="Calibri" w:cs="Calibri"/>
                <w:snapToGrid/>
                <w:color w:val="000000"/>
                <w:sz w:val="16"/>
                <w:szCs w:val="16"/>
              </w:rPr>
              <w:t>NC = No Change</w:t>
            </w:r>
          </w:p>
        </w:tc>
        <w:tc>
          <w:tcPr>
            <w:tcW w:w="1843" w:type="dxa"/>
            <w:tcBorders>
              <w:top w:val="nil"/>
              <w:left w:val="nil"/>
              <w:bottom w:val="nil"/>
              <w:right w:val="nil"/>
            </w:tcBorders>
            <w:shd w:val="clear" w:color="auto" w:fill="auto"/>
            <w:noWrap/>
            <w:vAlign w:val="bottom"/>
            <w:hideMark/>
          </w:tcPr>
          <w:p w:rsidRPr="00C70915" w:rsidR="00C70915" w:rsidP="00C70915" w:rsidRDefault="00C70915" w14:paraId="414A1AF8" w14:textId="77777777">
            <w:pPr>
              <w:widowControl/>
              <w:rPr>
                <w:rFonts w:ascii="Calibri" w:hAnsi="Calibri" w:cs="Calibri"/>
                <w:snapToGrid/>
                <w:color w:val="000000"/>
                <w:sz w:val="16"/>
                <w:szCs w:val="16"/>
              </w:rPr>
            </w:pPr>
          </w:p>
        </w:tc>
      </w:tr>
      <w:tr w:rsidRPr="00C70915" w:rsidR="00C70915" w:rsidTr="0022684E" w14:paraId="092E4018" w14:textId="77777777">
        <w:trPr>
          <w:trHeight w:val="300"/>
        </w:trPr>
        <w:tc>
          <w:tcPr>
            <w:tcW w:w="9534" w:type="dxa"/>
            <w:gridSpan w:val="5"/>
            <w:tcBorders>
              <w:top w:val="nil"/>
              <w:left w:val="nil"/>
              <w:bottom w:val="nil"/>
              <w:right w:val="nil"/>
            </w:tcBorders>
            <w:shd w:val="clear" w:color="auto" w:fill="auto"/>
            <w:noWrap/>
            <w:vAlign w:val="bottom"/>
            <w:hideMark/>
          </w:tcPr>
          <w:p w:rsidRPr="00C70915" w:rsidR="00C70915" w:rsidP="00C70915" w:rsidRDefault="00C70915" w14:paraId="4739A2FB" w14:textId="77777777">
            <w:pPr>
              <w:widowControl/>
              <w:rPr>
                <w:rFonts w:ascii="Calibri" w:hAnsi="Calibri" w:cs="Calibri"/>
                <w:snapToGrid/>
                <w:color w:val="000000"/>
                <w:sz w:val="16"/>
                <w:szCs w:val="16"/>
              </w:rPr>
            </w:pPr>
            <w:r w:rsidRPr="00C70915">
              <w:rPr>
                <w:rFonts w:ascii="Calibri" w:hAnsi="Calibri" w:cs="Calibri"/>
                <w:snapToGrid/>
                <w:color w:val="000000"/>
                <w:sz w:val="16"/>
                <w:szCs w:val="16"/>
              </w:rPr>
              <w:t>** Includes the average annual O &amp; M cost of $2,928,100 associated with the hiring a firm to conduct the audit</w:t>
            </w:r>
          </w:p>
        </w:tc>
      </w:tr>
    </w:tbl>
    <w:p w:rsidR="00882C89" w:rsidP="00882C89" w:rsidRDefault="00882C89" w14:paraId="1CAC87D7" w14:textId="4BE13D53">
      <w:pPr>
        <w:widowControl/>
        <w:spacing w:after="160" w:line="259" w:lineRule="auto"/>
        <w:rPr>
          <w:rFonts w:ascii="Times New Roman" w:hAnsi="Times New Roman"/>
        </w:rPr>
      </w:pPr>
    </w:p>
    <w:p w:rsidRPr="005E4097" w:rsidR="009D36CF" w:rsidP="00F51FDE" w:rsidRDefault="00F51FDE" w14:paraId="0B7E24DC" w14:textId="11F02FA6">
      <w:pPr>
        <w:pStyle w:val="ListParagraph"/>
        <w:numPr>
          <w:ilvl w:val="0"/>
          <w:numId w:val="32"/>
        </w:numPr>
        <w:tabs>
          <w:tab w:val="left" w:pos="-1440"/>
        </w:tabs>
        <w:rPr>
          <w:rFonts w:ascii="Times New Roman" w:hAnsi="Times New Roman"/>
        </w:rPr>
      </w:pPr>
      <w:r w:rsidRPr="005E4097">
        <w:rPr>
          <w:rFonts w:ascii="Times New Roman" w:hAnsi="Times New Roman"/>
        </w:rPr>
        <w:t>The hourly cost esti</w:t>
      </w:r>
      <w:r w:rsidRPr="005E4097" w:rsidR="009D36CF">
        <w:rPr>
          <w:rFonts w:ascii="Times New Roman" w:hAnsi="Times New Roman"/>
        </w:rPr>
        <w:t xml:space="preserve">mate for CWSRF </w:t>
      </w:r>
      <w:r w:rsidRPr="005E4097" w:rsidR="00412FDF">
        <w:rPr>
          <w:rFonts w:ascii="Times New Roman" w:hAnsi="Times New Roman"/>
        </w:rPr>
        <w:t xml:space="preserve">state </w:t>
      </w:r>
      <w:r w:rsidRPr="005E4097" w:rsidR="009D36CF">
        <w:rPr>
          <w:rFonts w:ascii="Times New Roman" w:hAnsi="Times New Roman"/>
        </w:rPr>
        <w:t xml:space="preserve">staff was </w:t>
      </w:r>
      <w:r w:rsidR="00E869ED">
        <w:rPr>
          <w:rFonts w:ascii="Times New Roman" w:hAnsi="Times New Roman"/>
        </w:rPr>
        <w:t xml:space="preserve">slightly </w:t>
      </w:r>
      <w:r w:rsidR="00756889">
        <w:rPr>
          <w:rFonts w:ascii="Times New Roman" w:hAnsi="Times New Roman"/>
        </w:rPr>
        <w:t>de</w:t>
      </w:r>
      <w:r w:rsidRPr="005E4097" w:rsidR="009D36CF">
        <w:rPr>
          <w:rFonts w:ascii="Times New Roman" w:hAnsi="Times New Roman"/>
        </w:rPr>
        <w:t>creased</w:t>
      </w:r>
      <w:r w:rsidRPr="005E4097" w:rsidR="00746DF4">
        <w:rPr>
          <w:rFonts w:ascii="Times New Roman" w:hAnsi="Times New Roman"/>
        </w:rPr>
        <w:t xml:space="preserve"> from </w:t>
      </w:r>
      <w:r w:rsidR="00E869ED">
        <w:rPr>
          <w:rFonts w:ascii="Times New Roman" w:hAnsi="Times New Roman"/>
        </w:rPr>
        <w:t>$55.09</w:t>
      </w:r>
      <w:r w:rsidRPr="005E4097" w:rsidR="00746DF4">
        <w:rPr>
          <w:rFonts w:ascii="Times New Roman" w:hAnsi="Times New Roman"/>
        </w:rPr>
        <w:t xml:space="preserve"> per hour to $5</w:t>
      </w:r>
      <w:r w:rsidR="00756889">
        <w:rPr>
          <w:rFonts w:ascii="Times New Roman" w:hAnsi="Times New Roman"/>
        </w:rPr>
        <w:t>4</w:t>
      </w:r>
      <w:r w:rsidRPr="005E4097" w:rsidR="00746DF4">
        <w:rPr>
          <w:rFonts w:ascii="Times New Roman" w:hAnsi="Times New Roman"/>
        </w:rPr>
        <w:t>.</w:t>
      </w:r>
      <w:r w:rsidR="00756889">
        <w:rPr>
          <w:rFonts w:ascii="Times New Roman" w:hAnsi="Times New Roman"/>
        </w:rPr>
        <w:t>12</w:t>
      </w:r>
      <w:r w:rsidRPr="005E4097">
        <w:rPr>
          <w:rFonts w:ascii="Times New Roman" w:hAnsi="Times New Roman"/>
        </w:rPr>
        <w:t xml:space="preserve"> per hour. Likewise, the hourly cost estimate for the CWSRF</w:t>
      </w:r>
      <w:r w:rsidRPr="005E4097" w:rsidR="009D36CF">
        <w:rPr>
          <w:rFonts w:ascii="Times New Roman" w:hAnsi="Times New Roman"/>
        </w:rPr>
        <w:t xml:space="preserve"> borrower was </w:t>
      </w:r>
      <w:r w:rsidR="00E869ED">
        <w:rPr>
          <w:rFonts w:ascii="Times New Roman" w:hAnsi="Times New Roman"/>
        </w:rPr>
        <w:t>slightly de</w:t>
      </w:r>
      <w:r w:rsidRPr="005E4097" w:rsidR="009D36CF">
        <w:rPr>
          <w:rFonts w:ascii="Times New Roman" w:hAnsi="Times New Roman"/>
        </w:rPr>
        <w:t>creased</w:t>
      </w:r>
      <w:r w:rsidRPr="005E4097" w:rsidR="001612F0">
        <w:rPr>
          <w:rFonts w:ascii="Times New Roman" w:hAnsi="Times New Roman"/>
        </w:rPr>
        <w:t xml:space="preserve"> from $</w:t>
      </w:r>
      <w:r w:rsidR="00E869ED">
        <w:rPr>
          <w:rFonts w:ascii="Times New Roman" w:hAnsi="Times New Roman"/>
        </w:rPr>
        <w:t>37.02</w:t>
      </w:r>
      <w:r w:rsidRPr="005E4097" w:rsidR="001612F0">
        <w:rPr>
          <w:rFonts w:ascii="Times New Roman" w:hAnsi="Times New Roman"/>
        </w:rPr>
        <w:t xml:space="preserve"> per hour</w:t>
      </w:r>
      <w:r w:rsidRPr="005E4097" w:rsidR="00746DF4">
        <w:rPr>
          <w:rFonts w:ascii="Times New Roman" w:hAnsi="Times New Roman"/>
        </w:rPr>
        <w:t xml:space="preserve"> to $3</w:t>
      </w:r>
      <w:r w:rsidR="00E869ED">
        <w:rPr>
          <w:rFonts w:ascii="Times New Roman" w:hAnsi="Times New Roman"/>
        </w:rPr>
        <w:t>5</w:t>
      </w:r>
      <w:r w:rsidRPr="005E4097" w:rsidR="00746DF4">
        <w:rPr>
          <w:rFonts w:ascii="Times New Roman" w:hAnsi="Times New Roman"/>
        </w:rPr>
        <w:t>.</w:t>
      </w:r>
      <w:r w:rsidR="00756889">
        <w:rPr>
          <w:rFonts w:ascii="Times New Roman" w:hAnsi="Times New Roman"/>
        </w:rPr>
        <w:t>42</w:t>
      </w:r>
      <w:r w:rsidRPr="005E4097">
        <w:rPr>
          <w:rFonts w:ascii="Times New Roman" w:hAnsi="Times New Roman"/>
        </w:rPr>
        <w:t xml:space="preserve"> per hour</w:t>
      </w:r>
      <w:r w:rsidRPr="005E4097" w:rsidR="009D36CF">
        <w:rPr>
          <w:rFonts w:ascii="Times New Roman" w:hAnsi="Times New Roman"/>
        </w:rPr>
        <w:t xml:space="preserve">. These adjustments impact all cost burden estimates accordingly. </w:t>
      </w:r>
    </w:p>
    <w:p w:rsidRPr="005E4097" w:rsidR="00F51FDE" w:rsidP="009D36CF" w:rsidRDefault="00E917CB" w14:paraId="2B49BE6A" w14:textId="0D6D5E39">
      <w:pPr>
        <w:pStyle w:val="ListParagraph"/>
        <w:numPr>
          <w:ilvl w:val="1"/>
          <w:numId w:val="32"/>
        </w:numPr>
        <w:tabs>
          <w:tab w:val="left" w:pos="-1440"/>
        </w:tabs>
        <w:rPr>
          <w:rFonts w:ascii="Times New Roman" w:hAnsi="Times New Roman"/>
        </w:rPr>
      </w:pPr>
      <w:r w:rsidRPr="005E4097">
        <w:rPr>
          <w:rFonts w:ascii="Times New Roman" w:hAnsi="Times New Roman"/>
        </w:rPr>
        <w:t>The</w:t>
      </w:r>
      <w:r w:rsidR="00E869ED">
        <w:rPr>
          <w:rFonts w:ascii="Times New Roman" w:hAnsi="Times New Roman"/>
        </w:rPr>
        <w:t xml:space="preserve"> previous</w:t>
      </w:r>
      <w:r w:rsidRPr="005E4097">
        <w:rPr>
          <w:rFonts w:ascii="Times New Roman" w:hAnsi="Times New Roman"/>
        </w:rPr>
        <w:t xml:space="preserve"> estimates were developed by</w:t>
      </w:r>
      <w:r w:rsidRPr="005E4097" w:rsidR="00F51FDE">
        <w:rPr>
          <w:rFonts w:ascii="Times New Roman" w:hAnsi="Times New Roman"/>
        </w:rPr>
        <w:t xml:space="preserve"> the Office of Groundwater and Drinking Water </w:t>
      </w:r>
      <w:r w:rsidRPr="005E4097">
        <w:rPr>
          <w:rFonts w:ascii="Times New Roman" w:hAnsi="Times New Roman"/>
        </w:rPr>
        <w:t>using the expertise of a contractor as part of their effort</w:t>
      </w:r>
      <w:r w:rsidRPr="005E4097" w:rsidR="00F51FDE">
        <w:rPr>
          <w:rFonts w:ascii="Times New Roman" w:hAnsi="Times New Roman"/>
        </w:rPr>
        <w:t xml:space="preserve"> </w:t>
      </w:r>
      <w:r w:rsidRPr="005E4097">
        <w:rPr>
          <w:rFonts w:ascii="Times New Roman" w:hAnsi="Times New Roman"/>
        </w:rPr>
        <w:t>in renewing the ICR for the DWSRF</w:t>
      </w:r>
      <w:r w:rsidRPr="005E4097" w:rsidR="00F51FDE">
        <w:rPr>
          <w:rFonts w:ascii="Times New Roman" w:hAnsi="Times New Roman"/>
        </w:rPr>
        <w:t>.</w:t>
      </w:r>
      <w:r w:rsidRPr="005E4097" w:rsidR="009D36CF">
        <w:rPr>
          <w:rFonts w:ascii="Times New Roman" w:hAnsi="Times New Roman"/>
        </w:rPr>
        <w:t xml:space="preserve"> </w:t>
      </w:r>
      <w:r w:rsidRPr="005E4097" w:rsidR="00F51FDE">
        <w:rPr>
          <w:rFonts w:ascii="Times New Roman" w:hAnsi="Times New Roman"/>
        </w:rPr>
        <w:t xml:space="preserve">  </w:t>
      </w:r>
    </w:p>
    <w:p w:rsidRPr="005E4097" w:rsidR="00E80897" w:rsidP="00F51FDE" w:rsidRDefault="00E917CB" w14:paraId="3DA7D053" w14:textId="294BAED2">
      <w:pPr>
        <w:pStyle w:val="ListParagraph"/>
        <w:numPr>
          <w:ilvl w:val="1"/>
          <w:numId w:val="32"/>
        </w:numPr>
        <w:tabs>
          <w:tab w:val="left" w:pos="-1440"/>
        </w:tabs>
        <w:rPr>
          <w:rFonts w:ascii="Times New Roman" w:hAnsi="Times New Roman"/>
        </w:rPr>
      </w:pPr>
      <w:r w:rsidRPr="005E4097">
        <w:rPr>
          <w:rFonts w:ascii="Times New Roman" w:hAnsi="Times New Roman"/>
        </w:rPr>
        <w:t>The</w:t>
      </w:r>
      <w:r w:rsidR="00E869ED">
        <w:rPr>
          <w:rFonts w:ascii="Times New Roman" w:hAnsi="Times New Roman"/>
        </w:rPr>
        <w:t xml:space="preserve"> new cost estimates </w:t>
      </w:r>
      <w:r w:rsidR="00EB7FAB">
        <w:rPr>
          <w:rFonts w:ascii="Times New Roman" w:hAnsi="Times New Roman"/>
        </w:rPr>
        <w:t xml:space="preserve">are </w:t>
      </w:r>
      <w:r w:rsidR="00E869ED">
        <w:rPr>
          <w:rFonts w:ascii="Times New Roman" w:hAnsi="Times New Roman"/>
        </w:rPr>
        <w:t xml:space="preserve">based on the latest data available from </w:t>
      </w:r>
      <w:r w:rsidRPr="00C70915" w:rsidR="00522160">
        <w:rPr>
          <w:rFonts w:ascii="Times New Roman" w:hAnsi="Times New Roman"/>
          <w:szCs w:val="24"/>
        </w:rPr>
        <w:t>Bureau of Labor Statistics, U.S. Department of Labor</w:t>
      </w:r>
      <w:r w:rsidR="00A80D06">
        <w:rPr>
          <w:rFonts w:ascii="Times New Roman" w:hAnsi="Times New Roman"/>
          <w:szCs w:val="24"/>
        </w:rPr>
        <w:t>.</w:t>
      </w:r>
    </w:p>
    <w:p w:rsidRPr="005E4097" w:rsidR="00CB2961" w:rsidP="006D5E67" w:rsidRDefault="00B84D0A" w14:paraId="003DDFBD" w14:textId="5A5D6D4D">
      <w:pPr>
        <w:pStyle w:val="ListParagraph"/>
        <w:numPr>
          <w:ilvl w:val="0"/>
          <w:numId w:val="32"/>
        </w:numPr>
        <w:tabs>
          <w:tab w:val="left" w:pos="-1440"/>
        </w:tabs>
        <w:rPr>
          <w:rFonts w:ascii="Times New Roman" w:hAnsi="Times New Roman"/>
        </w:rPr>
      </w:pPr>
      <w:r>
        <w:rPr>
          <w:rFonts w:ascii="Times New Roman" w:hAnsi="Times New Roman"/>
        </w:rPr>
        <w:t xml:space="preserve">The </w:t>
      </w:r>
      <w:r w:rsidRPr="00B84D0A">
        <w:rPr>
          <w:rFonts w:ascii="Times New Roman" w:hAnsi="Times New Roman"/>
        </w:rPr>
        <w:t xml:space="preserve">Office of Management and Budget </w:t>
      </w:r>
      <w:r>
        <w:rPr>
          <w:rFonts w:ascii="Times New Roman" w:hAnsi="Times New Roman"/>
        </w:rPr>
        <w:t xml:space="preserve">provided </w:t>
      </w:r>
      <w:r w:rsidR="00CA43D9">
        <w:rPr>
          <w:rFonts w:ascii="Times New Roman" w:hAnsi="Times New Roman"/>
        </w:rPr>
        <w:t xml:space="preserve">additional </w:t>
      </w:r>
      <w:r w:rsidRPr="00B84D0A">
        <w:rPr>
          <w:rFonts w:ascii="Times New Roman" w:hAnsi="Times New Roman"/>
        </w:rPr>
        <w:t>guidance</w:t>
      </w:r>
      <w:r w:rsidR="00CA43D9">
        <w:rPr>
          <w:rFonts w:ascii="Times New Roman" w:hAnsi="Times New Roman"/>
        </w:rPr>
        <w:t xml:space="preserve">, </w:t>
      </w:r>
      <w:r w:rsidRPr="00B84D0A">
        <w:rPr>
          <w:rFonts w:ascii="Times New Roman" w:hAnsi="Times New Roman"/>
        </w:rPr>
        <w:t>recommend</w:t>
      </w:r>
      <w:r w:rsidR="00CA43D9">
        <w:rPr>
          <w:rFonts w:ascii="Times New Roman" w:hAnsi="Times New Roman"/>
        </w:rPr>
        <w:t>ing</w:t>
      </w:r>
      <w:r w:rsidRPr="00B84D0A">
        <w:rPr>
          <w:rFonts w:ascii="Times New Roman" w:hAnsi="Times New Roman"/>
        </w:rPr>
        <w:t xml:space="preserve"> that the burden associated with the CWSRF applications be removed as part of this ICR renewal. Specifically, the Office of Management and Budget noted that it was appropriate to exclude this burden since 1): states have a significant degree of discretion in what </w:t>
      </w:r>
      <w:r w:rsidRPr="00B84D0A">
        <w:rPr>
          <w:rFonts w:ascii="Times New Roman" w:hAnsi="Times New Roman"/>
        </w:rPr>
        <w:lastRenderedPageBreak/>
        <w:t>information they solicit through the CWSRF applications and 2): CWSRF application</w:t>
      </w:r>
      <w:r w:rsidR="005E4D0C">
        <w:rPr>
          <w:rFonts w:ascii="Times New Roman" w:hAnsi="Times New Roman"/>
        </w:rPr>
        <w:t>s</w:t>
      </w:r>
      <w:r w:rsidRPr="00B84D0A">
        <w:rPr>
          <w:rFonts w:ascii="Times New Roman" w:hAnsi="Times New Roman"/>
        </w:rPr>
        <w:t xml:space="preserve"> are not subject to EPA approval.</w:t>
      </w:r>
    </w:p>
    <w:p w:rsidRPr="001612F0" w:rsidR="00E80897" w:rsidP="006D5E67" w:rsidRDefault="00A80D06" w14:paraId="433FB955" w14:textId="410F452C">
      <w:pPr>
        <w:pStyle w:val="ListParagraph"/>
        <w:numPr>
          <w:ilvl w:val="0"/>
          <w:numId w:val="32"/>
        </w:numPr>
        <w:tabs>
          <w:tab w:val="left" w:pos="-1440"/>
        </w:tabs>
      </w:pPr>
      <w:r>
        <w:rPr>
          <w:rFonts w:ascii="Times New Roman" w:hAnsi="Times New Roman"/>
        </w:rPr>
        <w:t>T</w:t>
      </w:r>
      <w:r w:rsidRPr="001612F0" w:rsidR="00E80897">
        <w:rPr>
          <w:rFonts w:ascii="Times New Roman" w:hAnsi="Times New Roman"/>
        </w:rPr>
        <w:t xml:space="preserve">he </w:t>
      </w:r>
      <w:r>
        <w:rPr>
          <w:rFonts w:ascii="Times New Roman" w:hAnsi="Times New Roman"/>
        </w:rPr>
        <w:t xml:space="preserve">burden of the </w:t>
      </w:r>
      <w:r w:rsidRPr="001612F0" w:rsidR="00E80897">
        <w:rPr>
          <w:rFonts w:ascii="Times New Roman" w:hAnsi="Times New Roman"/>
        </w:rPr>
        <w:t xml:space="preserve">public awareness policy </w:t>
      </w:r>
      <w:r>
        <w:rPr>
          <w:rFonts w:ascii="Times New Roman" w:hAnsi="Times New Roman"/>
        </w:rPr>
        <w:t>was slightly decreased</w:t>
      </w:r>
      <w:r w:rsidRPr="001612F0" w:rsidR="00E80897">
        <w:rPr>
          <w:rFonts w:ascii="Times New Roman" w:hAnsi="Times New Roman"/>
        </w:rPr>
        <w:t xml:space="preserve"> </w:t>
      </w:r>
      <w:r>
        <w:rPr>
          <w:rFonts w:ascii="Times New Roman" w:hAnsi="Times New Roman"/>
        </w:rPr>
        <w:t>from 786 hours to 640 hours. Though the</w:t>
      </w:r>
      <w:r w:rsidR="00B41F76">
        <w:rPr>
          <w:rFonts w:ascii="Times New Roman" w:hAnsi="Times New Roman"/>
        </w:rPr>
        <w:t xml:space="preserve"> </w:t>
      </w:r>
      <w:r w:rsidR="00F82C35">
        <w:rPr>
          <w:rFonts w:ascii="Times New Roman" w:hAnsi="Times New Roman"/>
        </w:rPr>
        <w:t>estimate of</w:t>
      </w:r>
      <w:r>
        <w:rPr>
          <w:rFonts w:ascii="Times New Roman" w:hAnsi="Times New Roman"/>
        </w:rPr>
        <w:t xml:space="preserve"> </w:t>
      </w:r>
      <w:r w:rsidR="00F82C35">
        <w:rPr>
          <w:rFonts w:ascii="Times New Roman" w:hAnsi="Times New Roman"/>
        </w:rPr>
        <w:t>the total</w:t>
      </w:r>
      <w:r>
        <w:rPr>
          <w:rFonts w:ascii="Times New Roman" w:hAnsi="Times New Roman"/>
        </w:rPr>
        <w:t xml:space="preserve"> number of borrowers</w:t>
      </w:r>
      <w:r w:rsidR="00B41F76">
        <w:rPr>
          <w:rFonts w:ascii="Times New Roman" w:hAnsi="Times New Roman"/>
        </w:rPr>
        <w:t xml:space="preserve"> is expected to increase</w:t>
      </w:r>
      <w:r>
        <w:rPr>
          <w:rFonts w:ascii="Times New Roman" w:hAnsi="Times New Roman"/>
        </w:rPr>
        <w:t>, it</w:t>
      </w:r>
      <w:r w:rsidR="00F82C35">
        <w:rPr>
          <w:rFonts w:ascii="Times New Roman" w:hAnsi="Times New Roman"/>
        </w:rPr>
        <w:t xml:space="preserve"> is also</w:t>
      </w:r>
      <w:r>
        <w:rPr>
          <w:rFonts w:ascii="Times New Roman" w:hAnsi="Times New Roman"/>
        </w:rPr>
        <w:t xml:space="preserve"> estimated that the proportion of borrowers that will be impacted by this requirement will be lower</w:t>
      </w:r>
      <w:r w:rsidR="00163C49">
        <w:rPr>
          <w:rFonts w:ascii="Times New Roman" w:hAnsi="Times New Roman"/>
        </w:rPr>
        <w:t xml:space="preserve"> given the increase of SRF funding relative to the federal investment</w:t>
      </w:r>
      <w:r w:rsidR="00F82C35">
        <w:rPr>
          <w:rFonts w:ascii="Times New Roman" w:hAnsi="Times New Roman"/>
        </w:rPr>
        <w:t xml:space="preserve"> in recent years</w:t>
      </w:r>
      <w:r>
        <w:rPr>
          <w:rFonts w:ascii="Times New Roman" w:hAnsi="Times New Roman"/>
        </w:rPr>
        <w:t>.</w:t>
      </w:r>
    </w:p>
    <w:p w:rsidR="00637E9D" w:rsidP="00637E9D" w:rsidRDefault="00637E9D" w14:paraId="2F6C2963" w14:textId="77777777">
      <w:pPr>
        <w:widowControl/>
        <w:spacing w:after="160" w:line="259" w:lineRule="auto"/>
        <w:rPr>
          <w:rFonts w:ascii="Times New Roman" w:hAnsi="Times New Roman"/>
        </w:rPr>
      </w:pPr>
    </w:p>
    <w:p w:rsidRPr="00507759" w:rsidR="00C67898" w:rsidP="00507759" w:rsidRDefault="00B63A0D" w14:paraId="447873AB" w14:textId="490D01F2">
      <w:pPr>
        <w:widowControl/>
        <w:spacing w:after="160" w:line="259" w:lineRule="auto"/>
        <w:rPr>
          <w:rFonts w:ascii="Times New Roman" w:hAnsi="Times New Roman"/>
        </w:rPr>
      </w:pPr>
      <w:r>
        <w:rPr>
          <w:rFonts w:ascii="Times New Roman" w:hAnsi="Times New Roman"/>
          <w:b/>
        </w:rPr>
        <w:t>16. F</w:t>
      </w:r>
      <w:r w:rsidRPr="00004733">
        <w:rPr>
          <w:rFonts w:ascii="Times New Roman" w:hAnsi="Times New Roman"/>
          <w:b/>
        </w:rPr>
        <w:t>or collections of information whose results will be published, outline plans for</w:t>
      </w:r>
      <w:r>
        <w:rPr>
          <w:rFonts w:ascii="Times New Roman" w:hAnsi="Times New Roman"/>
          <w:b/>
        </w:rPr>
        <w:t xml:space="preserve"> tabulation, and publication.  A</w:t>
      </w:r>
      <w:r w:rsidRPr="00004733">
        <w:rPr>
          <w:rFonts w:ascii="Times New Roman" w:hAnsi="Times New Roman"/>
          <w:b/>
        </w:rPr>
        <w:t xml:space="preserve">ddress any complex analytical </w:t>
      </w:r>
      <w:r>
        <w:rPr>
          <w:rFonts w:ascii="Times New Roman" w:hAnsi="Times New Roman"/>
          <w:b/>
        </w:rPr>
        <w:t>techniques that will be used.  P</w:t>
      </w:r>
      <w:r w:rsidRPr="00004733">
        <w:rPr>
          <w:rFonts w:ascii="Times New Roman" w:hAnsi="Times New Roman"/>
          <w:b/>
        </w:rPr>
        <w:t xml:space="preserve">rovide the time schedule for the entire project, including beginning and ending dates of the collection of information, completion of report, publication dates, and other actions.  </w:t>
      </w:r>
    </w:p>
    <w:p w:rsidR="00882C89" w:rsidP="00882C89" w:rsidRDefault="001775C9" w14:paraId="432D0C11" w14:textId="4D36F817">
      <w:pPr>
        <w:pStyle w:val="BodyTextIndent3"/>
        <w:ind w:left="0"/>
        <w:rPr>
          <w:rFonts w:ascii="Times New Roman" w:hAnsi="Times New Roman"/>
          <w:i w:val="0"/>
        </w:rPr>
      </w:pPr>
      <w:r>
        <w:rPr>
          <w:rFonts w:ascii="Times New Roman" w:hAnsi="Times New Roman"/>
          <w:i w:val="0"/>
        </w:rPr>
        <w:t xml:space="preserve">Annual </w:t>
      </w:r>
      <w:r w:rsidR="00744479">
        <w:rPr>
          <w:rFonts w:ascii="Times New Roman" w:hAnsi="Times New Roman"/>
          <w:i w:val="0"/>
        </w:rPr>
        <w:t xml:space="preserve">state and national </w:t>
      </w:r>
      <w:r>
        <w:rPr>
          <w:rFonts w:ascii="Times New Roman" w:hAnsi="Times New Roman"/>
          <w:i w:val="0"/>
        </w:rPr>
        <w:t>r</w:t>
      </w:r>
      <w:r w:rsidR="00313D32">
        <w:rPr>
          <w:rFonts w:ascii="Times New Roman" w:hAnsi="Times New Roman"/>
          <w:i w:val="0"/>
        </w:rPr>
        <w:t>eports reflecting</w:t>
      </w:r>
      <w:r>
        <w:rPr>
          <w:rFonts w:ascii="Times New Roman" w:hAnsi="Times New Roman"/>
          <w:i w:val="0"/>
        </w:rPr>
        <w:t xml:space="preserve"> the latest</w:t>
      </w:r>
      <w:r w:rsidR="00313D32">
        <w:rPr>
          <w:rFonts w:ascii="Times New Roman" w:hAnsi="Times New Roman"/>
          <w:i w:val="0"/>
        </w:rPr>
        <w:t xml:space="preserve"> CWNIMS data are posted in</w:t>
      </w:r>
      <w:r>
        <w:rPr>
          <w:rFonts w:ascii="Times New Roman" w:hAnsi="Times New Roman"/>
          <w:i w:val="0"/>
        </w:rPr>
        <w:t xml:space="preserve"> the early part of every calendar </w:t>
      </w:r>
      <w:r w:rsidR="00744479">
        <w:rPr>
          <w:rFonts w:ascii="Times New Roman" w:hAnsi="Times New Roman"/>
          <w:i w:val="0"/>
        </w:rPr>
        <w:t xml:space="preserve">year </w:t>
      </w:r>
      <w:r w:rsidR="00867149">
        <w:rPr>
          <w:rFonts w:ascii="Times New Roman" w:hAnsi="Times New Roman"/>
          <w:i w:val="0"/>
        </w:rPr>
        <w:t>on EPA’s website</w:t>
      </w:r>
      <w:r>
        <w:rPr>
          <w:rFonts w:ascii="Times New Roman" w:hAnsi="Times New Roman"/>
          <w:i w:val="0"/>
        </w:rPr>
        <w:t xml:space="preserve">. </w:t>
      </w:r>
      <w:r w:rsidR="00744479">
        <w:rPr>
          <w:rFonts w:ascii="Times New Roman" w:hAnsi="Times New Roman"/>
          <w:i w:val="0"/>
        </w:rPr>
        <w:t>R</w:t>
      </w:r>
      <w:r>
        <w:rPr>
          <w:rFonts w:ascii="Times New Roman" w:hAnsi="Times New Roman"/>
          <w:i w:val="0"/>
        </w:rPr>
        <w:t xml:space="preserve">eports showing the </w:t>
      </w:r>
      <w:r w:rsidR="009A6FD3">
        <w:rPr>
          <w:rFonts w:ascii="Times New Roman" w:hAnsi="Times New Roman"/>
          <w:i w:val="0"/>
        </w:rPr>
        <w:t>assistance agreements</w:t>
      </w:r>
      <w:r w:rsidR="00744479">
        <w:rPr>
          <w:rFonts w:ascii="Times New Roman" w:hAnsi="Times New Roman"/>
          <w:i w:val="0"/>
        </w:rPr>
        <w:t xml:space="preserve"> reported in the CBR database are also posted online </w:t>
      </w:r>
      <w:r w:rsidR="00FB0876">
        <w:rPr>
          <w:rFonts w:ascii="Times New Roman" w:hAnsi="Times New Roman"/>
          <w:i w:val="0"/>
        </w:rPr>
        <w:t xml:space="preserve">on a </w:t>
      </w:r>
      <w:r w:rsidR="00744479">
        <w:rPr>
          <w:rFonts w:ascii="Times New Roman" w:hAnsi="Times New Roman"/>
          <w:i w:val="0"/>
        </w:rPr>
        <w:t>quarterly</w:t>
      </w:r>
      <w:r w:rsidR="00FB0876">
        <w:rPr>
          <w:rFonts w:ascii="Times New Roman" w:hAnsi="Times New Roman"/>
          <w:i w:val="0"/>
        </w:rPr>
        <w:t xml:space="preserve"> basis</w:t>
      </w:r>
      <w:r w:rsidR="00744479">
        <w:rPr>
          <w:rFonts w:ascii="Times New Roman" w:hAnsi="Times New Roman"/>
          <w:i w:val="0"/>
        </w:rPr>
        <w:t xml:space="preserve">.  </w:t>
      </w:r>
      <w:r>
        <w:rPr>
          <w:rFonts w:ascii="Times New Roman" w:hAnsi="Times New Roman"/>
          <w:i w:val="0"/>
        </w:rPr>
        <w:t>These reports</w:t>
      </w:r>
      <w:r w:rsidR="00FB0876">
        <w:rPr>
          <w:rFonts w:ascii="Times New Roman" w:hAnsi="Times New Roman"/>
          <w:i w:val="0"/>
        </w:rPr>
        <w:t xml:space="preserve"> are made</w:t>
      </w:r>
      <w:r w:rsidR="00744479">
        <w:rPr>
          <w:rFonts w:ascii="Times New Roman" w:hAnsi="Times New Roman"/>
          <w:i w:val="0"/>
        </w:rPr>
        <w:t xml:space="preserve"> </w:t>
      </w:r>
      <w:r>
        <w:rPr>
          <w:rFonts w:ascii="Times New Roman" w:hAnsi="Times New Roman"/>
          <w:i w:val="0"/>
        </w:rPr>
        <w:t>publicly available at</w:t>
      </w:r>
      <w:r w:rsidR="00744479">
        <w:rPr>
          <w:rFonts w:ascii="Times New Roman" w:hAnsi="Times New Roman"/>
          <w:i w:val="0"/>
        </w:rPr>
        <w:t xml:space="preserve"> </w:t>
      </w:r>
      <w:hyperlink w:history="1" r:id="rId17">
        <w:r w:rsidRPr="0039740B" w:rsidR="00744479">
          <w:rPr>
            <w:rStyle w:val="Hyperlink"/>
            <w:rFonts w:ascii="Times New Roman" w:hAnsi="Times New Roman"/>
            <w:i w:val="0"/>
          </w:rPr>
          <w:t>http://www.epa.gov/cwsrf/clean-water-state-revolving-fund-cwsrf-results</w:t>
        </w:r>
      </w:hyperlink>
      <w:r w:rsidR="00744479">
        <w:rPr>
          <w:rFonts w:ascii="Times New Roman" w:hAnsi="Times New Roman"/>
          <w:i w:val="0"/>
        </w:rPr>
        <w:t>.</w:t>
      </w:r>
    </w:p>
    <w:p w:rsidR="00882C89" w:rsidP="00882C89" w:rsidRDefault="00882C89" w14:paraId="2BCD7CC7" w14:textId="77777777">
      <w:pPr>
        <w:pStyle w:val="BodyTextIndent3"/>
        <w:ind w:left="0"/>
        <w:rPr>
          <w:rFonts w:ascii="Times New Roman" w:hAnsi="Times New Roman"/>
          <w:i w:val="0"/>
        </w:rPr>
      </w:pPr>
    </w:p>
    <w:p w:rsidRPr="00882C89" w:rsidR="00C67898" w:rsidP="00882C89" w:rsidRDefault="00B63A0D" w14:paraId="2B082A20" w14:textId="78F6B6BE">
      <w:pPr>
        <w:pStyle w:val="BodyTextIndent3"/>
        <w:ind w:left="0"/>
        <w:rPr>
          <w:rFonts w:ascii="Times New Roman" w:hAnsi="Times New Roman"/>
          <w:b/>
          <w:i w:val="0"/>
        </w:rPr>
      </w:pPr>
      <w:r w:rsidRPr="00882C89">
        <w:rPr>
          <w:rFonts w:ascii="Times New Roman" w:hAnsi="Times New Roman"/>
          <w:b/>
          <w:i w:val="0"/>
        </w:rPr>
        <w:t>17. If seeking approval to not display the expiration date for OMB approval of the information collection, explain the reasons that display would be inappropriate</w:t>
      </w:r>
      <w:r w:rsidRPr="00882C89" w:rsidR="00C67898">
        <w:rPr>
          <w:rFonts w:ascii="Times New Roman" w:hAnsi="Times New Roman"/>
          <w:b/>
          <w:i w:val="0"/>
        </w:rPr>
        <w:t xml:space="preserve">.  </w:t>
      </w:r>
    </w:p>
    <w:p w:rsidR="00C67898" w:rsidP="00C67898" w:rsidRDefault="00C67898" w14:paraId="7344E3DD" w14:textId="77777777">
      <w:pPr>
        <w:rPr>
          <w:rFonts w:ascii="Times New Roman" w:hAnsi="Times New Roman"/>
          <w:b/>
        </w:rPr>
      </w:pPr>
    </w:p>
    <w:p w:rsidRPr="00004733" w:rsidR="00C67898" w:rsidP="00C67898" w:rsidRDefault="00B63A0D" w14:paraId="7B7CC451" w14:textId="577E8907">
      <w:pPr>
        <w:rPr>
          <w:rFonts w:ascii="Times New Roman" w:hAnsi="Times New Roman"/>
          <w:b/>
        </w:rPr>
      </w:pPr>
      <w:r w:rsidRPr="00B63A0D">
        <w:rPr>
          <w:rFonts w:ascii="Times New Roman" w:hAnsi="Times New Roman"/>
        </w:rPr>
        <w:t xml:space="preserve">The </w:t>
      </w:r>
      <w:r w:rsidR="00944DA0">
        <w:rPr>
          <w:rFonts w:ascii="Times New Roman" w:hAnsi="Times New Roman"/>
        </w:rPr>
        <w:t>A</w:t>
      </w:r>
      <w:r w:rsidRPr="00B63A0D" w:rsidR="00944DA0">
        <w:rPr>
          <w:rFonts w:ascii="Times New Roman" w:hAnsi="Times New Roman"/>
        </w:rPr>
        <w:t xml:space="preserve">gency </w:t>
      </w:r>
      <w:r w:rsidRPr="00B63A0D">
        <w:rPr>
          <w:rFonts w:ascii="Times New Roman" w:hAnsi="Times New Roman"/>
        </w:rPr>
        <w:t>plans to display the expiration date for OMB approval of the information</w:t>
      </w:r>
      <w:r>
        <w:rPr>
          <w:rFonts w:ascii="Times New Roman" w:hAnsi="Times New Roman"/>
        </w:rPr>
        <w:t xml:space="preserve"> collection on all instruments.</w:t>
      </w:r>
    </w:p>
    <w:p w:rsidRPr="00004733" w:rsidR="00C67898" w:rsidP="00C67898" w:rsidRDefault="00C67898" w14:paraId="7C844D36" w14:textId="77777777">
      <w:pPr>
        <w:rPr>
          <w:rFonts w:ascii="Times New Roman" w:hAnsi="Times New Roman"/>
          <w:b/>
        </w:rPr>
      </w:pPr>
    </w:p>
    <w:p w:rsidRPr="00004733" w:rsidR="00C67898" w:rsidP="00B63A0D" w:rsidRDefault="00B63A0D" w14:paraId="7A92FF22" w14:textId="25DD5684">
      <w:pPr>
        <w:tabs>
          <w:tab w:val="left" w:pos="-1440"/>
        </w:tabs>
        <w:rPr>
          <w:rFonts w:ascii="Times New Roman" w:hAnsi="Times New Roman"/>
          <w:b/>
        </w:rPr>
      </w:pPr>
      <w:r>
        <w:rPr>
          <w:rFonts w:ascii="Times New Roman" w:hAnsi="Times New Roman"/>
          <w:b/>
        </w:rPr>
        <w:t>18. E</w:t>
      </w:r>
      <w:r w:rsidRPr="00004733">
        <w:rPr>
          <w:rFonts w:ascii="Times New Roman" w:hAnsi="Times New Roman"/>
          <w:b/>
        </w:rPr>
        <w:t>xplain each exception to the</w:t>
      </w:r>
      <w:r>
        <w:rPr>
          <w:rFonts w:ascii="Times New Roman" w:hAnsi="Times New Roman"/>
          <w:b/>
        </w:rPr>
        <w:t xml:space="preserve"> "Certification for Paperwork Reduction Act S</w:t>
      </w:r>
      <w:r w:rsidRPr="00004733">
        <w:rPr>
          <w:rFonts w:ascii="Times New Roman" w:hAnsi="Times New Roman"/>
          <w:b/>
        </w:rPr>
        <w:t xml:space="preserve">ubmissions" </w:t>
      </w:r>
      <w:r>
        <w:rPr>
          <w:rFonts w:ascii="Times New Roman" w:hAnsi="Times New Roman"/>
          <w:b/>
        </w:rPr>
        <w:t>in ROCIS</w:t>
      </w:r>
      <w:r w:rsidRPr="00004733">
        <w:rPr>
          <w:rFonts w:ascii="Times New Roman" w:hAnsi="Times New Roman"/>
          <w:b/>
        </w:rPr>
        <w:t xml:space="preserve">. </w:t>
      </w:r>
    </w:p>
    <w:p w:rsidR="00C67898" w:rsidP="00C67898" w:rsidRDefault="00C67898" w14:paraId="7452B88E" w14:textId="77777777">
      <w:pPr>
        <w:rPr>
          <w:rFonts w:ascii="Times New Roman" w:hAnsi="Times New Roman"/>
          <w:b/>
        </w:rPr>
      </w:pPr>
    </w:p>
    <w:p w:rsidRPr="00B63A0D" w:rsidR="00C67898" w:rsidP="00B63A0D" w:rsidRDefault="00B63A0D" w14:paraId="3211EC23" w14:textId="2C5BAA1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B63A0D">
        <w:rPr>
          <w:rFonts w:ascii="Times New Roman" w:hAnsi="Times New Roman"/>
        </w:rPr>
        <w:t xml:space="preserve">The </w:t>
      </w:r>
      <w:r w:rsidR="00926D23">
        <w:rPr>
          <w:rFonts w:ascii="Times New Roman" w:hAnsi="Times New Roman"/>
        </w:rPr>
        <w:t>A</w:t>
      </w:r>
      <w:r w:rsidRPr="00B63A0D" w:rsidR="00926D23">
        <w:rPr>
          <w:rFonts w:ascii="Times New Roman" w:hAnsi="Times New Roman"/>
        </w:rPr>
        <w:t xml:space="preserve">gency </w:t>
      </w:r>
      <w:r w:rsidRPr="00B63A0D">
        <w:rPr>
          <w:rFonts w:ascii="Times New Roman" w:hAnsi="Times New Roman"/>
        </w:rPr>
        <w:t xml:space="preserve">is able to certify compliance with all provisions </w:t>
      </w:r>
      <w:r w:rsidR="00BD127E">
        <w:rPr>
          <w:rFonts w:ascii="Times New Roman" w:hAnsi="Times New Roman"/>
        </w:rPr>
        <w:t>of the certification statement.</w:t>
      </w:r>
    </w:p>
    <w:p w:rsidR="00C67898" w:rsidP="00C67898" w:rsidRDefault="00C67898" w14:paraId="749CC03F" w14:textId="77777777">
      <w:pPr>
        <w:widowControl/>
        <w:autoSpaceDE w:val="0"/>
        <w:autoSpaceDN w:val="0"/>
        <w:adjustRightInd w:val="0"/>
        <w:rPr>
          <w:rFonts w:ascii="Arial" w:hAnsi="Arial" w:cs="Arial"/>
          <w:snapToGrid/>
          <w:sz w:val="18"/>
          <w:szCs w:val="18"/>
        </w:rPr>
      </w:pPr>
    </w:p>
    <w:p w:rsidR="00B63A0D" w:rsidP="00C67898" w:rsidRDefault="00B63A0D" w14:paraId="7D6032B3" w14:textId="77777777">
      <w:pPr>
        <w:tabs>
          <w:tab w:val="left" w:pos="-1440"/>
        </w:tabs>
        <w:ind w:left="720" w:hanging="720"/>
        <w:rPr>
          <w:rFonts w:ascii="Times New Roman" w:hAnsi="Times New Roman"/>
          <w:b/>
        </w:rPr>
      </w:pPr>
    </w:p>
    <w:p w:rsidRPr="00B63A0D" w:rsidR="00B63A0D" w:rsidP="00B63A0D" w:rsidRDefault="00B63A0D" w14:paraId="280B66C7" w14:textId="77777777">
      <w:pPr>
        <w:rPr>
          <w:rFonts w:ascii="Times New Roman" w:hAnsi="Times New Roman"/>
          <w:b/>
          <w:sz w:val="28"/>
          <w:szCs w:val="28"/>
        </w:rPr>
      </w:pPr>
      <w:r w:rsidRPr="00B63A0D">
        <w:rPr>
          <w:rFonts w:ascii="Times New Roman" w:hAnsi="Times New Roman"/>
          <w:b/>
          <w:sz w:val="28"/>
          <w:szCs w:val="28"/>
        </w:rPr>
        <w:t xml:space="preserve">B. </w:t>
      </w:r>
      <w:r w:rsidRPr="00B63A0D">
        <w:rPr>
          <w:rFonts w:ascii="Times New Roman" w:hAnsi="Times New Roman"/>
          <w:b/>
          <w:sz w:val="28"/>
          <w:szCs w:val="28"/>
          <w:u w:val="single"/>
        </w:rPr>
        <w:t>Statistical Methods (used for collection of information employing statistical methods)</w:t>
      </w:r>
    </w:p>
    <w:p w:rsidR="00213A3B" w:rsidP="00B63A0D" w:rsidRDefault="00213A3B" w14:paraId="6B9D4138" w14:textId="77777777">
      <w:pPr>
        <w:rPr>
          <w:rFonts w:ascii="Times New Roman" w:hAnsi="Times New Roman"/>
          <w:szCs w:val="24"/>
        </w:rPr>
      </w:pPr>
    </w:p>
    <w:p w:rsidR="0023214E" w:rsidRDefault="00B63A0D" w14:paraId="4DB530ED" w14:textId="01DD8EF7">
      <w:r w:rsidRPr="00213A3B">
        <w:rPr>
          <w:rFonts w:ascii="Times New Roman" w:hAnsi="Times New Roman"/>
          <w:szCs w:val="24"/>
        </w:rPr>
        <w:t>Statistical methods are not used with this collection</w:t>
      </w:r>
      <w:r w:rsidR="009524FD">
        <w:rPr>
          <w:rFonts w:ascii="Times New Roman" w:hAnsi="Times New Roman"/>
          <w:szCs w:val="24"/>
        </w:rPr>
        <w:t>.</w:t>
      </w:r>
    </w:p>
    <w:sectPr w:rsidR="0023214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7EF7A" w14:textId="77777777" w:rsidR="00EA6006" w:rsidRDefault="00EA6006" w:rsidP="008F2F6D">
      <w:r>
        <w:separator/>
      </w:r>
    </w:p>
  </w:endnote>
  <w:endnote w:type="continuationSeparator" w:id="0">
    <w:p w14:paraId="610E0430" w14:textId="77777777" w:rsidR="00EA6006" w:rsidRDefault="00EA6006" w:rsidP="008F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694161"/>
      <w:docPartObj>
        <w:docPartGallery w:val="Page Numbers (Bottom of Page)"/>
        <w:docPartUnique/>
      </w:docPartObj>
    </w:sdtPr>
    <w:sdtEndPr>
      <w:rPr>
        <w:noProof/>
      </w:rPr>
    </w:sdtEndPr>
    <w:sdtContent>
      <w:p w14:paraId="1ED094A5" w14:textId="596BDE99" w:rsidR="007F648A" w:rsidRDefault="007F648A">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72A8F204" w14:textId="77777777" w:rsidR="007F648A" w:rsidRDefault="007F6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FEA60" w14:textId="77777777" w:rsidR="00EA6006" w:rsidRDefault="00EA6006" w:rsidP="008F2F6D">
      <w:r>
        <w:separator/>
      </w:r>
    </w:p>
  </w:footnote>
  <w:footnote w:type="continuationSeparator" w:id="0">
    <w:p w14:paraId="1612AA1F" w14:textId="77777777" w:rsidR="00EA6006" w:rsidRDefault="00EA6006" w:rsidP="008F2F6D">
      <w:r>
        <w:continuationSeparator/>
      </w:r>
    </w:p>
  </w:footnote>
  <w:footnote w:id="1">
    <w:p w14:paraId="74E0445B" w14:textId="2F7A12A6" w:rsidR="007F648A" w:rsidRDefault="007F648A">
      <w:pPr>
        <w:pStyle w:val="FootnoteText"/>
      </w:pPr>
      <w:r w:rsidRPr="004A047A">
        <w:rPr>
          <w:rStyle w:val="FootnoteReference"/>
          <w:rFonts w:ascii="Times New Roman" w:hAnsi="Times New Roman"/>
        </w:rPr>
        <w:footnoteRef/>
      </w:r>
      <w:r w:rsidRPr="004A047A">
        <w:rPr>
          <w:rFonts w:ascii="Times New Roman" w:hAnsi="Times New Roman"/>
        </w:rPr>
        <w:t xml:space="preserve"> Additional subsidization is assistance provided in the form of principal forgiveness, grants, or negative interest loans.</w:t>
      </w:r>
    </w:p>
  </w:footnote>
  <w:footnote w:id="2">
    <w:p w14:paraId="0730DC06" w14:textId="47D4335E" w:rsidR="007F648A" w:rsidRPr="00892643" w:rsidRDefault="007F648A">
      <w:pPr>
        <w:pStyle w:val="FootnoteText"/>
        <w:rPr>
          <w:rFonts w:ascii="Times New Roman" w:hAnsi="Times New Roman"/>
        </w:rPr>
      </w:pPr>
      <w:r w:rsidRPr="00892643">
        <w:rPr>
          <w:rStyle w:val="FootnoteReference"/>
          <w:rFonts w:ascii="Times New Roman" w:hAnsi="Times New Roman"/>
        </w:rPr>
        <w:footnoteRef/>
      </w:r>
      <w:r w:rsidRPr="00892643">
        <w:rPr>
          <w:rFonts w:ascii="Times New Roman" w:hAnsi="Times New Roman"/>
        </w:rPr>
        <w:t xml:space="preserve"> This mainly includes leveraging, where a CWSRF raises addition</w:t>
      </w:r>
      <w:r>
        <w:rPr>
          <w:rFonts w:ascii="Times New Roman" w:hAnsi="Times New Roman"/>
        </w:rPr>
        <w:t xml:space="preserve">al funding by selling </w:t>
      </w:r>
      <w:r w:rsidRPr="00892643">
        <w:rPr>
          <w:rFonts w:ascii="Times New Roman" w:hAnsi="Times New Roman"/>
        </w:rPr>
        <w:t>bonds.</w:t>
      </w:r>
    </w:p>
  </w:footnote>
  <w:footnote w:id="3">
    <w:p w14:paraId="78759384" w14:textId="450C6B91" w:rsidR="007F648A" w:rsidRDefault="007F648A">
      <w:pPr>
        <w:pStyle w:val="FootnoteText"/>
      </w:pPr>
      <w:r w:rsidRPr="00892643">
        <w:rPr>
          <w:rStyle w:val="FootnoteReference"/>
          <w:rFonts w:ascii="Times New Roman" w:hAnsi="Times New Roman"/>
        </w:rPr>
        <w:footnoteRef/>
      </w:r>
      <w:r w:rsidRPr="00892643">
        <w:rPr>
          <w:rFonts w:ascii="Times New Roman" w:hAnsi="Times New Roman"/>
        </w:rPr>
        <w:t xml:space="preserve"> For some CWSRFs the binding commitment represents a preliminary commitment to provide funding for a project. The binding commitment is eventually finalized as an executed loan agreement. For other CWSRFs there is no distinction between the binding commitment and executed loan. Regardless, the binding commitment is considered sufficient for meeting this requirement.</w:t>
      </w:r>
    </w:p>
  </w:footnote>
  <w:footnote w:id="4">
    <w:p w14:paraId="5303B8B6" w14:textId="6481B145" w:rsidR="007F648A" w:rsidRPr="00892643" w:rsidRDefault="007F648A">
      <w:pPr>
        <w:pStyle w:val="FootnoteText"/>
        <w:rPr>
          <w:rFonts w:ascii="Times New Roman" w:hAnsi="Times New Roman"/>
        </w:rPr>
      </w:pPr>
      <w:r w:rsidRPr="00892643">
        <w:rPr>
          <w:rStyle w:val="FootnoteReference"/>
          <w:rFonts w:ascii="Times New Roman" w:hAnsi="Times New Roman"/>
        </w:rPr>
        <w:footnoteRef/>
      </w:r>
      <w:r w:rsidRPr="00892643">
        <w:rPr>
          <w:rFonts w:ascii="Times New Roman" w:hAnsi="Times New Roman"/>
        </w:rPr>
        <w:t xml:space="preserve"> WRRDA amended the CWA to provide the CWSRFs with the ability to provide additional subsidization under certain conditions. These conditions restrict the use of this type of assistance to addressing affordability issues or to promoting projects that include sustainability, water or energy efficiency, or stormwater components.</w:t>
      </w:r>
    </w:p>
  </w:footnote>
  <w:footnote w:id="5">
    <w:p w14:paraId="757F4934" w14:textId="626D8A34" w:rsidR="007F648A" w:rsidRPr="00E87A31" w:rsidRDefault="007F648A">
      <w:pPr>
        <w:pStyle w:val="FootnoteText"/>
        <w:rPr>
          <w:rFonts w:ascii="Times New Roman" w:hAnsi="Times New Roman"/>
        </w:rPr>
      </w:pPr>
      <w:r w:rsidRPr="00E87A31">
        <w:rPr>
          <w:rStyle w:val="FootnoteReference"/>
          <w:rFonts w:ascii="Times New Roman" w:hAnsi="Times New Roman"/>
        </w:rPr>
        <w:footnoteRef/>
      </w:r>
      <w:r w:rsidRPr="00E87A31">
        <w:rPr>
          <w:rFonts w:ascii="Times New Roman" w:hAnsi="Times New Roman"/>
        </w:rPr>
        <w:t xml:space="preserve"> A</w:t>
      </w:r>
      <w:r>
        <w:rPr>
          <w:rFonts w:ascii="Times New Roman" w:hAnsi="Times New Roman"/>
        </w:rPr>
        <w:t>n</w:t>
      </w:r>
      <w:r w:rsidRPr="00E87A31">
        <w:rPr>
          <w:rFonts w:ascii="Times New Roman" w:hAnsi="Times New Roman"/>
        </w:rPr>
        <w:t xml:space="preserve"> electronic copy of this report is available at http://www.epa.gov/sites/production/files/2015-04/documents/additional_subsidization_report_to_congress_.pdf</w:t>
      </w:r>
    </w:p>
  </w:footnote>
  <w:footnote w:id="6">
    <w:p w14:paraId="48C6DB19" w14:textId="77777777" w:rsidR="007F648A" w:rsidRDefault="007F648A" w:rsidP="00072CA3">
      <w:pPr>
        <w:pStyle w:val="FootnoteText"/>
      </w:pPr>
      <w:r w:rsidRPr="00E87A31">
        <w:rPr>
          <w:rStyle w:val="FootnoteReference"/>
          <w:rFonts w:ascii="Times New Roman" w:hAnsi="Times New Roman"/>
        </w:rPr>
        <w:footnoteRef/>
      </w:r>
      <w:r w:rsidRPr="00E87A31">
        <w:rPr>
          <w:rFonts w:ascii="Times New Roman" w:hAnsi="Times New Roman"/>
        </w:rPr>
        <w:t xml:space="preserve"> A copy of this guidance has been included with the supporting statement.</w:t>
      </w:r>
    </w:p>
  </w:footnote>
  <w:footnote w:id="7">
    <w:p w14:paraId="3D4421F2" w14:textId="3A338AA4" w:rsidR="007F648A" w:rsidRPr="006F0570" w:rsidRDefault="007F648A">
      <w:pPr>
        <w:pStyle w:val="FootnoteText"/>
        <w:rPr>
          <w:rFonts w:ascii="Times New Roman" w:hAnsi="Times New Roman"/>
        </w:rPr>
      </w:pPr>
      <w:r w:rsidRPr="006F0570">
        <w:rPr>
          <w:rStyle w:val="FootnoteReference"/>
          <w:rFonts w:ascii="Times New Roman" w:hAnsi="Times New Roman"/>
        </w:rPr>
        <w:footnoteRef/>
      </w:r>
      <w:r w:rsidRPr="006F0570">
        <w:rPr>
          <w:rFonts w:ascii="Times New Roman" w:hAnsi="Times New Roman"/>
        </w:rPr>
        <w:t xml:space="preserve"> https://www.bls.gov/oes/current/naics4_999200.htm</w:t>
      </w:r>
    </w:p>
  </w:footnote>
  <w:footnote w:id="8">
    <w:p w14:paraId="59191E69" w14:textId="45E9FF1B" w:rsidR="007F648A" w:rsidRDefault="007F648A">
      <w:pPr>
        <w:pStyle w:val="FootnoteText"/>
      </w:pPr>
      <w:r w:rsidRPr="006F0570">
        <w:rPr>
          <w:rStyle w:val="FootnoteReference"/>
          <w:rFonts w:ascii="Times New Roman" w:hAnsi="Times New Roman"/>
        </w:rPr>
        <w:footnoteRef/>
      </w:r>
      <w:r w:rsidRPr="006F0570">
        <w:rPr>
          <w:rFonts w:ascii="Times New Roman" w:hAnsi="Times New Roman"/>
        </w:rPr>
        <w:t xml:space="preserve"> </w:t>
      </w:r>
      <w:r w:rsidRPr="008F1F48">
        <w:rPr>
          <w:rFonts w:ascii="Times New Roman" w:hAnsi="Times New Roman"/>
        </w:rPr>
        <w:t>https://www.bls.gov/oes/current/naics4_221300.htm</w:t>
      </w:r>
    </w:p>
  </w:footnote>
  <w:footnote w:id="9">
    <w:p w14:paraId="61001C09" w14:textId="556AC8E9" w:rsidR="007F648A" w:rsidRDefault="007F648A">
      <w:pPr>
        <w:pStyle w:val="FootnoteText"/>
      </w:pPr>
      <w:r>
        <w:rPr>
          <w:rStyle w:val="FootnoteReference"/>
        </w:rPr>
        <w:footnoteRef/>
      </w:r>
      <w:r>
        <w:t xml:space="preserve"> </w:t>
      </w:r>
      <w:bookmarkStart w:id="3" w:name="_Hlk40365283"/>
      <w:bookmarkStart w:id="4" w:name="_Hlk40365284"/>
      <w:r w:rsidRPr="006B7B28">
        <w:rPr>
          <w:rFonts w:ascii="Times New Roman" w:hAnsi="Times New Roman"/>
        </w:rPr>
        <w:t>https://www.opm.gov/policy-data-oversight/pay-leave/salaries-wages/salary-tables/pdf/2020/RUS.pdf</w:t>
      </w:r>
      <w:bookmarkEnd w:id="3"/>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D729BC"/>
    <w:multiLevelType w:val="hybridMultilevel"/>
    <w:tmpl w:val="F0C43DB0"/>
    <w:lvl w:ilvl="0" w:tplc="473E7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795486"/>
    <w:multiLevelType w:val="hybridMultilevel"/>
    <w:tmpl w:val="AD9CD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15:restartNumberingAfterBreak="0">
    <w:nsid w:val="0A3964E2"/>
    <w:multiLevelType w:val="hybridMultilevel"/>
    <w:tmpl w:val="ECA29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232A9"/>
    <w:multiLevelType w:val="hybridMultilevel"/>
    <w:tmpl w:val="6DB2B692"/>
    <w:lvl w:ilvl="0" w:tplc="04090019">
      <w:start w:val="1"/>
      <w:numFmt w:val="lowerLetter"/>
      <w:lvlText w:val="%1."/>
      <w:lvlJc w:val="left"/>
      <w:pPr>
        <w:tabs>
          <w:tab w:val="num" w:pos="720"/>
        </w:tabs>
        <w:ind w:left="720" w:hanging="360"/>
      </w:pPr>
      <w:rPr>
        <w:rFonts w:hint="default"/>
        <w:u w:val="none"/>
      </w:rPr>
    </w:lvl>
    <w:lvl w:ilvl="1" w:tplc="A3601EF0">
      <w:start w:val="1"/>
      <w:numFmt w:val="lowerLetter"/>
      <w:lvlText w:val="%2."/>
      <w:lvlJc w:val="left"/>
      <w:pPr>
        <w:tabs>
          <w:tab w:val="num" w:pos="1440"/>
        </w:tabs>
        <w:ind w:left="1440" w:hanging="360"/>
      </w:pPr>
      <w:rPr>
        <w:rFonts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10272"/>
    <w:multiLevelType w:val="hybridMultilevel"/>
    <w:tmpl w:val="0722FF3C"/>
    <w:lvl w:ilvl="0" w:tplc="04090001">
      <w:start w:val="1"/>
      <w:numFmt w:val="bullet"/>
      <w:lvlText w:val=""/>
      <w:lvlJc w:val="left"/>
      <w:pPr>
        <w:ind w:left="360" w:hanging="360"/>
      </w:pPr>
      <w:rPr>
        <w:rFonts w:ascii="Symbol" w:hAnsi="Symbol" w:hint="default"/>
      </w:rPr>
    </w:lvl>
    <w:lvl w:ilvl="1" w:tplc="043A919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7B59E5"/>
    <w:multiLevelType w:val="hybridMultilevel"/>
    <w:tmpl w:val="FEF23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63043"/>
    <w:multiLevelType w:val="hybridMultilevel"/>
    <w:tmpl w:val="07860F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F05C0F"/>
    <w:multiLevelType w:val="hybridMultilevel"/>
    <w:tmpl w:val="E070E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921E50"/>
    <w:multiLevelType w:val="hybridMultilevel"/>
    <w:tmpl w:val="30106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71521F"/>
    <w:multiLevelType w:val="hybridMultilevel"/>
    <w:tmpl w:val="7436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730F7"/>
    <w:multiLevelType w:val="hybridMultilevel"/>
    <w:tmpl w:val="6DFE0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977BAE"/>
    <w:multiLevelType w:val="hybridMultilevel"/>
    <w:tmpl w:val="1D8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90190"/>
    <w:multiLevelType w:val="hybridMultilevel"/>
    <w:tmpl w:val="51DE4568"/>
    <w:lvl w:ilvl="0" w:tplc="0409000F">
      <w:start w:val="1"/>
      <w:numFmt w:val="decimal"/>
      <w:lvlText w:val="%1."/>
      <w:lvlJc w:val="left"/>
      <w:pPr>
        <w:ind w:left="720" w:hanging="360"/>
      </w:pPr>
      <w:rPr>
        <w:rFonts w:hint="default"/>
      </w:rPr>
    </w:lvl>
    <w:lvl w:ilvl="1" w:tplc="043A919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603F5"/>
    <w:multiLevelType w:val="hybridMultilevel"/>
    <w:tmpl w:val="045CA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9" w15:restartNumberingAfterBreak="0">
    <w:nsid w:val="249E7C5D"/>
    <w:multiLevelType w:val="hybridMultilevel"/>
    <w:tmpl w:val="BA9A1A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B7487F"/>
    <w:multiLevelType w:val="hybridMultilevel"/>
    <w:tmpl w:val="0C78C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777880"/>
    <w:multiLevelType w:val="hybridMultilevel"/>
    <w:tmpl w:val="34E0FFA2"/>
    <w:lvl w:ilvl="0" w:tplc="6E843ABA">
      <w:start w:val="5"/>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F2F37"/>
    <w:multiLevelType w:val="hybridMultilevel"/>
    <w:tmpl w:val="F95AA2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5421B"/>
    <w:multiLevelType w:val="hybridMultilevel"/>
    <w:tmpl w:val="5CF0F9CE"/>
    <w:lvl w:ilvl="0" w:tplc="135E8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024DFD"/>
    <w:multiLevelType w:val="hybridMultilevel"/>
    <w:tmpl w:val="2C701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A3F14"/>
    <w:multiLevelType w:val="hybridMultilevel"/>
    <w:tmpl w:val="20F82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F3176A"/>
    <w:multiLevelType w:val="hybridMultilevel"/>
    <w:tmpl w:val="C0C846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278119C"/>
    <w:multiLevelType w:val="hybridMultilevel"/>
    <w:tmpl w:val="E3B2C4E8"/>
    <w:lvl w:ilvl="0" w:tplc="573CFA04">
      <w:start w:val="1"/>
      <w:numFmt w:val="decimal"/>
      <w:lvlText w:val="(%1)"/>
      <w:lvlJc w:val="left"/>
      <w:pPr>
        <w:ind w:left="720" w:hanging="360"/>
      </w:pPr>
      <w:rPr>
        <w:rFonts w:hint="default"/>
      </w:rPr>
    </w:lvl>
    <w:lvl w:ilvl="1" w:tplc="1A98C248">
      <w:start w:val="1"/>
      <w:numFmt w:val="upperLetter"/>
      <w:lvlText w:val="(%2)"/>
      <w:lvlJc w:val="left"/>
      <w:pPr>
        <w:ind w:left="1470" w:hanging="390"/>
      </w:pPr>
      <w:rPr>
        <w:rFonts w:hint="default"/>
      </w:rPr>
    </w:lvl>
    <w:lvl w:ilvl="2" w:tplc="91B68F2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9" w15:restartNumberingAfterBreak="0">
    <w:nsid w:val="56DA42EE"/>
    <w:multiLevelType w:val="hybridMultilevel"/>
    <w:tmpl w:val="BC243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082950"/>
    <w:multiLevelType w:val="hybridMultilevel"/>
    <w:tmpl w:val="6422D73E"/>
    <w:lvl w:ilvl="0" w:tplc="0409000F">
      <w:start w:val="1"/>
      <w:numFmt w:val="decimal"/>
      <w:lvlText w:val="%1."/>
      <w:lvlJc w:val="left"/>
      <w:pPr>
        <w:ind w:left="720" w:hanging="360"/>
      </w:pPr>
    </w:lvl>
    <w:lvl w:ilvl="1" w:tplc="043A919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F52B1"/>
    <w:multiLevelType w:val="hybridMultilevel"/>
    <w:tmpl w:val="290A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C2D3D"/>
    <w:multiLevelType w:val="hybridMultilevel"/>
    <w:tmpl w:val="6358C256"/>
    <w:lvl w:ilvl="0" w:tplc="ECB0C53C">
      <w:start w:val="5"/>
      <w:numFmt w:val="bullet"/>
      <w:lvlText w:val="•"/>
      <w:lvlJc w:val="left"/>
      <w:pPr>
        <w:ind w:left="72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72F80"/>
    <w:multiLevelType w:val="hybridMultilevel"/>
    <w:tmpl w:val="FDE86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DB5495"/>
    <w:multiLevelType w:val="hybridMultilevel"/>
    <w:tmpl w:val="472263FA"/>
    <w:lvl w:ilvl="0" w:tplc="04090019">
      <w:start w:val="1"/>
      <w:numFmt w:val="lowerLetter"/>
      <w:lvlText w:val="%1."/>
      <w:lvlJc w:val="left"/>
      <w:pPr>
        <w:tabs>
          <w:tab w:val="num" w:pos="720"/>
        </w:tabs>
        <w:ind w:left="720" w:hanging="360"/>
      </w:pPr>
      <w:rPr>
        <w:rFonts w:hint="default"/>
        <w:u w:val="none"/>
      </w:rPr>
    </w:lvl>
    <w:lvl w:ilvl="1" w:tplc="A7FAC862">
      <w:numFmt w:val="bullet"/>
      <w:lvlText w:val="•"/>
      <w:lvlJc w:val="left"/>
      <w:pPr>
        <w:tabs>
          <w:tab w:val="num" w:pos="1440"/>
        </w:tabs>
        <w:ind w:left="1440" w:hanging="360"/>
      </w:pPr>
      <w:rPr>
        <w:rFonts w:ascii="Times New Roman" w:eastAsia="Times New Roman" w:hAnsi="Times New Roman" w:cs="Times New Roman"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346118"/>
    <w:multiLevelType w:val="hybridMultilevel"/>
    <w:tmpl w:val="26E0BF7A"/>
    <w:lvl w:ilvl="0" w:tplc="04090001">
      <w:start w:val="1"/>
      <w:numFmt w:val="bullet"/>
      <w:lvlText w:val=""/>
      <w:lvlJc w:val="left"/>
      <w:pPr>
        <w:ind w:left="720" w:hanging="360"/>
      </w:pPr>
      <w:rPr>
        <w:rFonts w:ascii="Symbol" w:hAnsi="Symbol" w:hint="default"/>
      </w:rPr>
    </w:lvl>
    <w:lvl w:ilvl="1" w:tplc="043A919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380DA1"/>
    <w:multiLevelType w:val="hybridMultilevel"/>
    <w:tmpl w:val="038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31234"/>
    <w:multiLevelType w:val="hybridMultilevel"/>
    <w:tmpl w:val="F77E5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4A0D11"/>
    <w:multiLevelType w:val="hybridMultilevel"/>
    <w:tmpl w:val="0E9CC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E0174D"/>
    <w:multiLevelType w:val="hybridMultilevel"/>
    <w:tmpl w:val="4C805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3274FA"/>
    <w:multiLevelType w:val="hybridMultilevel"/>
    <w:tmpl w:val="BA68D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550A7"/>
    <w:multiLevelType w:val="hybridMultilevel"/>
    <w:tmpl w:val="6DB2B692"/>
    <w:lvl w:ilvl="0" w:tplc="04090019">
      <w:start w:val="1"/>
      <w:numFmt w:val="lowerLetter"/>
      <w:lvlText w:val="%1."/>
      <w:lvlJc w:val="left"/>
      <w:pPr>
        <w:tabs>
          <w:tab w:val="num" w:pos="720"/>
        </w:tabs>
        <w:ind w:left="720" w:hanging="360"/>
      </w:pPr>
      <w:rPr>
        <w:rFonts w:hint="default"/>
        <w:u w:val="none"/>
      </w:rPr>
    </w:lvl>
    <w:lvl w:ilvl="1" w:tplc="A3601EF0">
      <w:start w:val="1"/>
      <w:numFmt w:val="lowerLetter"/>
      <w:lvlText w:val="%2."/>
      <w:lvlJc w:val="left"/>
      <w:pPr>
        <w:tabs>
          <w:tab w:val="num" w:pos="1440"/>
        </w:tabs>
        <w:ind w:left="1440" w:hanging="360"/>
      </w:pPr>
      <w:rPr>
        <w:rFonts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3417F3"/>
    <w:multiLevelType w:val="hybridMultilevel"/>
    <w:tmpl w:val="6DB2B692"/>
    <w:lvl w:ilvl="0" w:tplc="04090019">
      <w:start w:val="1"/>
      <w:numFmt w:val="lowerLetter"/>
      <w:lvlText w:val="%1."/>
      <w:lvlJc w:val="left"/>
      <w:pPr>
        <w:tabs>
          <w:tab w:val="num" w:pos="720"/>
        </w:tabs>
        <w:ind w:left="720" w:hanging="360"/>
      </w:pPr>
      <w:rPr>
        <w:rFonts w:hint="default"/>
        <w:u w:val="none"/>
      </w:rPr>
    </w:lvl>
    <w:lvl w:ilvl="1" w:tplc="A3601EF0">
      <w:start w:val="1"/>
      <w:numFmt w:val="lowerLetter"/>
      <w:lvlText w:val="%2."/>
      <w:lvlJc w:val="left"/>
      <w:pPr>
        <w:tabs>
          <w:tab w:val="num" w:pos="1440"/>
        </w:tabs>
        <w:ind w:left="1440" w:hanging="360"/>
      </w:pPr>
      <w:rPr>
        <w:rFonts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4">
    <w:abstractNumId w:val="18"/>
  </w:num>
  <w:num w:numId="5">
    <w:abstractNumId w:val="28"/>
  </w:num>
  <w:num w:numId="6">
    <w:abstractNumId w:val="3"/>
  </w:num>
  <w:num w:numId="7">
    <w:abstractNumId w:val="22"/>
  </w:num>
  <w:num w:numId="8">
    <w:abstractNumId w:val="41"/>
  </w:num>
  <w:num w:numId="9">
    <w:abstractNumId w:val="24"/>
  </w:num>
  <w:num w:numId="10">
    <w:abstractNumId w:val="9"/>
  </w:num>
  <w:num w:numId="11">
    <w:abstractNumId w:val="27"/>
  </w:num>
  <w:num w:numId="12">
    <w:abstractNumId w:val="30"/>
  </w:num>
  <w:num w:numId="13">
    <w:abstractNumId w:val="23"/>
  </w:num>
  <w:num w:numId="14">
    <w:abstractNumId w:val="35"/>
  </w:num>
  <w:num w:numId="15">
    <w:abstractNumId w:val="16"/>
  </w:num>
  <w:num w:numId="16">
    <w:abstractNumId w:val="40"/>
  </w:num>
  <w:num w:numId="17">
    <w:abstractNumId w:val="12"/>
  </w:num>
  <w:num w:numId="18">
    <w:abstractNumId w:val="17"/>
  </w:num>
  <w:num w:numId="19">
    <w:abstractNumId w:val="8"/>
  </w:num>
  <w:num w:numId="20">
    <w:abstractNumId w:val="14"/>
  </w:num>
  <w:num w:numId="21">
    <w:abstractNumId w:val="7"/>
  </w:num>
  <w:num w:numId="22">
    <w:abstractNumId w:val="11"/>
  </w:num>
  <w:num w:numId="23">
    <w:abstractNumId w:val="4"/>
  </w:num>
  <w:num w:numId="24">
    <w:abstractNumId w:val="25"/>
  </w:num>
  <w:num w:numId="25">
    <w:abstractNumId w:val="42"/>
  </w:num>
  <w:num w:numId="26">
    <w:abstractNumId w:val="37"/>
  </w:num>
  <w:num w:numId="27">
    <w:abstractNumId w:val="38"/>
  </w:num>
  <w:num w:numId="28">
    <w:abstractNumId w:val="26"/>
  </w:num>
  <w:num w:numId="29">
    <w:abstractNumId w:val="10"/>
  </w:num>
  <w:num w:numId="30">
    <w:abstractNumId w:val="34"/>
  </w:num>
  <w:num w:numId="31">
    <w:abstractNumId w:val="21"/>
  </w:num>
  <w:num w:numId="32">
    <w:abstractNumId w:val="6"/>
  </w:num>
  <w:num w:numId="33">
    <w:abstractNumId w:val="20"/>
  </w:num>
  <w:num w:numId="34">
    <w:abstractNumId w:val="15"/>
  </w:num>
  <w:num w:numId="35">
    <w:abstractNumId w:val="19"/>
  </w:num>
  <w:num w:numId="36">
    <w:abstractNumId w:val="29"/>
  </w:num>
  <w:num w:numId="37">
    <w:abstractNumId w:val="33"/>
  </w:num>
  <w:num w:numId="38">
    <w:abstractNumId w:val="39"/>
  </w:num>
  <w:num w:numId="39">
    <w:abstractNumId w:val="31"/>
  </w:num>
  <w:num w:numId="40">
    <w:abstractNumId w:val="2"/>
  </w:num>
  <w:num w:numId="41">
    <w:abstractNumId w:val="36"/>
  </w:num>
  <w:num w:numId="42">
    <w:abstractNumId w:val="3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98"/>
    <w:rsid w:val="0000022B"/>
    <w:rsid w:val="00000682"/>
    <w:rsid w:val="00001691"/>
    <w:rsid w:val="000021FB"/>
    <w:rsid w:val="00002558"/>
    <w:rsid w:val="00002B32"/>
    <w:rsid w:val="000134B0"/>
    <w:rsid w:val="00015BD4"/>
    <w:rsid w:val="000165CA"/>
    <w:rsid w:val="0001782D"/>
    <w:rsid w:val="00020990"/>
    <w:rsid w:val="00021E07"/>
    <w:rsid w:val="00024CA0"/>
    <w:rsid w:val="0003057E"/>
    <w:rsid w:val="0003231C"/>
    <w:rsid w:val="000350C5"/>
    <w:rsid w:val="000417D0"/>
    <w:rsid w:val="00042B21"/>
    <w:rsid w:val="00045838"/>
    <w:rsid w:val="00045DB5"/>
    <w:rsid w:val="00047E22"/>
    <w:rsid w:val="00051796"/>
    <w:rsid w:val="000521C5"/>
    <w:rsid w:val="00054D3B"/>
    <w:rsid w:val="00056F2B"/>
    <w:rsid w:val="00057A43"/>
    <w:rsid w:val="000606E7"/>
    <w:rsid w:val="00060B41"/>
    <w:rsid w:val="00061484"/>
    <w:rsid w:val="00064C9B"/>
    <w:rsid w:val="00065327"/>
    <w:rsid w:val="00065703"/>
    <w:rsid w:val="000660AA"/>
    <w:rsid w:val="00066D3C"/>
    <w:rsid w:val="000675B5"/>
    <w:rsid w:val="00067CF4"/>
    <w:rsid w:val="000718FE"/>
    <w:rsid w:val="00071D4F"/>
    <w:rsid w:val="00072CA3"/>
    <w:rsid w:val="00074697"/>
    <w:rsid w:val="00075B62"/>
    <w:rsid w:val="00081AA7"/>
    <w:rsid w:val="00082BAC"/>
    <w:rsid w:val="000839B3"/>
    <w:rsid w:val="0008422A"/>
    <w:rsid w:val="00084790"/>
    <w:rsid w:val="00085016"/>
    <w:rsid w:val="000871FC"/>
    <w:rsid w:val="00090A34"/>
    <w:rsid w:val="00091165"/>
    <w:rsid w:val="000916F7"/>
    <w:rsid w:val="00091FC5"/>
    <w:rsid w:val="000926C1"/>
    <w:rsid w:val="00093D85"/>
    <w:rsid w:val="00095EF5"/>
    <w:rsid w:val="00097A7F"/>
    <w:rsid w:val="000A02E6"/>
    <w:rsid w:val="000A433D"/>
    <w:rsid w:val="000A4A02"/>
    <w:rsid w:val="000A5FC4"/>
    <w:rsid w:val="000A61FA"/>
    <w:rsid w:val="000A6744"/>
    <w:rsid w:val="000A696C"/>
    <w:rsid w:val="000B34AC"/>
    <w:rsid w:val="000B3D3A"/>
    <w:rsid w:val="000B4520"/>
    <w:rsid w:val="000B510F"/>
    <w:rsid w:val="000C02A0"/>
    <w:rsid w:val="000C0C90"/>
    <w:rsid w:val="000C23B9"/>
    <w:rsid w:val="000C47C7"/>
    <w:rsid w:val="000C6186"/>
    <w:rsid w:val="000D1232"/>
    <w:rsid w:val="000D13BB"/>
    <w:rsid w:val="000D327A"/>
    <w:rsid w:val="000D3632"/>
    <w:rsid w:val="000D4164"/>
    <w:rsid w:val="000D418F"/>
    <w:rsid w:val="000E0C81"/>
    <w:rsid w:val="000E0E31"/>
    <w:rsid w:val="000E4A29"/>
    <w:rsid w:val="000E5897"/>
    <w:rsid w:val="000E694F"/>
    <w:rsid w:val="000F05CF"/>
    <w:rsid w:val="000F07FB"/>
    <w:rsid w:val="000F0B20"/>
    <w:rsid w:val="000F1350"/>
    <w:rsid w:val="000F6500"/>
    <w:rsid w:val="000F7F50"/>
    <w:rsid w:val="00100C34"/>
    <w:rsid w:val="00101265"/>
    <w:rsid w:val="00102205"/>
    <w:rsid w:val="0010286C"/>
    <w:rsid w:val="00104211"/>
    <w:rsid w:val="0010749F"/>
    <w:rsid w:val="001115AD"/>
    <w:rsid w:val="00113731"/>
    <w:rsid w:val="00113AA4"/>
    <w:rsid w:val="0011495D"/>
    <w:rsid w:val="00115A20"/>
    <w:rsid w:val="00120F52"/>
    <w:rsid w:val="00121452"/>
    <w:rsid w:val="001231E7"/>
    <w:rsid w:val="0012395E"/>
    <w:rsid w:val="0012397F"/>
    <w:rsid w:val="001253CC"/>
    <w:rsid w:val="001257CD"/>
    <w:rsid w:val="00125D5D"/>
    <w:rsid w:val="00135782"/>
    <w:rsid w:val="001407D3"/>
    <w:rsid w:val="001443DF"/>
    <w:rsid w:val="00152281"/>
    <w:rsid w:val="00152B52"/>
    <w:rsid w:val="001530F5"/>
    <w:rsid w:val="0015426F"/>
    <w:rsid w:val="001549DC"/>
    <w:rsid w:val="00154E55"/>
    <w:rsid w:val="00156203"/>
    <w:rsid w:val="001612F0"/>
    <w:rsid w:val="00163C49"/>
    <w:rsid w:val="00165EDF"/>
    <w:rsid w:val="00167580"/>
    <w:rsid w:val="001678D9"/>
    <w:rsid w:val="0017159A"/>
    <w:rsid w:val="00171EB8"/>
    <w:rsid w:val="00177369"/>
    <w:rsid w:val="001775C9"/>
    <w:rsid w:val="00181758"/>
    <w:rsid w:val="0018515B"/>
    <w:rsid w:val="00186385"/>
    <w:rsid w:val="001864EB"/>
    <w:rsid w:val="00190513"/>
    <w:rsid w:val="00193A31"/>
    <w:rsid w:val="001A02AC"/>
    <w:rsid w:val="001A47BD"/>
    <w:rsid w:val="001A4877"/>
    <w:rsid w:val="001A4A0A"/>
    <w:rsid w:val="001A587D"/>
    <w:rsid w:val="001A6925"/>
    <w:rsid w:val="001A6B1E"/>
    <w:rsid w:val="001A7828"/>
    <w:rsid w:val="001B08DF"/>
    <w:rsid w:val="001B3FBC"/>
    <w:rsid w:val="001B580F"/>
    <w:rsid w:val="001C150E"/>
    <w:rsid w:val="001C29BA"/>
    <w:rsid w:val="001C2D6A"/>
    <w:rsid w:val="001C4260"/>
    <w:rsid w:val="001C6C53"/>
    <w:rsid w:val="001D1A7E"/>
    <w:rsid w:val="001D2123"/>
    <w:rsid w:val="001D2185"/>
    <w:rsid w:val="001D4616"/>
    <w:rsid w:val="001D5587"/>
    <w:rsid w:val="001D58D8"/>
    <w:rsid w:val="001D5ECF"/>
    <w:rsid w:val="001D7A15"/>
    <w:rsid w:val="001E157A"/>
    <w:rsid w:val="001E207A"/>
    <w:rsid w:val="001E3F5B"/>
    <w:rsid w:val="001E6103"/>
    <w:rsid w:val="001E6A03"/>
    <w:rsid w:val="001F122E"/>
    <w:rsid w:val="001F149F"/>
    <w:rsid w:val="001F1DE1"/>
    <w:rsid w:val="001F3B41"/>
    <w:rsid w:val="001F4159"/>
    <w:rsid w:val="001F5D24"/>
    <w:rsid w:val="002014F0"/>
    <w:rsid w:val="002016B1"/>
    <w:rsid w:val="002029E0"/>
    <w:rsid w:val="00202CBC"/>
    <w:rsid w:val="00203CD4"/>
    <w:rsid w:val="00204019"/>
    <w:rsid w:val="00205182"/>
    <w:rsid w:val="00210502"/>
    <w:rsid w:val="00213348"/>
    <w:rsid w:val="00213A3B"/>
    <w:rsid w:val="0022058F"/>
    <w:rsid w:val="0022118F"/>
    <w:rsid w:val="002212B8"/>
    <w:rsid w:val="00223111"/>
    <w:rsid w:val="0022411D"/>
    <w:rsid w:val="0022684E"/>
    <w:rsid w:val="002272D0"/>
    <w:rsid w:val="00227EE8"/>
    <w:rsid w:val="00232098"/>
    <w:rsid w:val="0023214E"/>
    <w:rsid w:val="00234913"/>
    <w:rsid w:val="00237165"/>
    <w:rsid w:val="002377E8"/>
    <w:rsid w:val="002405C6"/>
    <w:rsid w:val="00240D88"/>
    <w:rsid w:val="0024401C"/>
    <w:rsid w:val="00246A4D"/>
    <w:rsid w:val="00251BA1"/>
    <w:rsid w:val="00254A06"/>
    <w:rsid w:val="00254D54"/>
    <w:rsid w:val="00256536"/>
    <w:rsid w:val="0025739C"/>
    <w:rsid w:val="002575BB"/>
    <w:rsid w:val="0026122C"/>
    <w:rsid w:val="00263451"/>
    <w:rsid w:val="0026560E"/>
    <w:rsid w:val="00265C32"/>
    <w:rsid w:val="002676D5"/>
    <w:rsid w:val="00273048"/>
    <w:rsid w:val="00273D76"/>
    <w:rsid w:val="00274FCF"/>
    <w:rsid w:val="002754A9"/>
    <w:rsid w:val="002759B4"/>
    <w:rsid w:val="002810C9"/>
    <w:rsid w:val="002845DB"/>
    <w:rsid w:val="002852F7"/>
    <w:rsid w:val="0029261D"/>
    <w:rsid w:val="00292741"/>
    <w:rsid w:val="0029320C"/>
    <w:rsid w:val="0029323C"/>
    <w:rsid w:val="00293A08"/>
    <w:rsid w:val="00294053"/>
    <w:rsid w:val="00295B95"/>
    <w:rsid w:val="0029772A"/>
    <w:rsid w:val="002A0794"/>
    <w:rsid w:val="002A4AFE"/>
    <w:rsid w:val="002A5E90"/>
    <w:rsid w:val="002A5FD3"/>
    <w:rsid w:val="002B060F"/>
    <w:rsid w:val="002B605A"/>
    <w:rsid w:val="002B63CB"/>
    <w:rsid w:val="002C163F"/>
    <w:rsid w:val="002C4AB1"/>
    <w:rsid w:val="002C5614"/>
    <w:rsid w:val="002C5E7B"/>
    <w:rsid w:val="002D2638"/>
    <w:rsid w:val="002D3336"/>
    <w:rsid w:val="002D3B79"/>
    <w:rsid w:val="002D5B99"/>
    <w:rsid w:val="002D716A"/>
    <w:rsid w:val="002E127B"/>
    <w:rsid w:val="002E1E69"/>
    <w:rsid w:val="002E3C13"/>
    <w:rsid w:val="002F296F"/>
    <w:rsid w:val="002F2BD0"/>
    <w:rsid w:val="002F5444"/>
    <w:rsid w:val="00302389"/>
    <w:rsid w:val="003030E6"/>
    <w:rsid w:val="00305725"/>
    <w:rsid w:val="00306107"/>
    <w:rsid w:val="00307149"/>
    <w:rsid w:val="00311711"/>
    <w:rsid w:val="0031272A"/>
    <w:rsid w:val="00313C6B"/>
    <w:rsid w:val="00313D32"/>
    <w:rsid w:val="00314060"/>
    <w:rsid w:val="0031466C"/>
    <w:rsid w:val="00314A68"/>
    <w:rsid w:val="00325D77"/>
    <w:rsid w:val="00326746"/>
    <w:rsid w:val="00326CC6"/>
    <w:rsid w:val="0032755D"/>
    <w:rsid w:val="00332795"/>
    <w:rsid w:val="0033340F"/>
    <w:rsid w:val="00333625"/>
    <w:rsid w:val="00333799"/>
    <w:rsid w:val="003421A1"/>
    <w:rsid w:val="00342D65"/>
    <w:rsid w:val="00346497"/>
    <w:rsid w:val="003500B2"/>
    <w:rsid w:val="003501A8"/>
    <w:rsid w:val="00350B1E"/>
    <w:rsid w:val="00351F77"/>
    <w:rsid w:val="00355294"/>
    <w:rsid w:val="00355C5A"/>
    <w:rsid w:val="0035608E"/>
    <w:rsid w:val="0035632A"/>
    <w:rsid w:val="003574BB"/>
    <w:rsid w:val="003575A7"/>
    <w:rsid w:val="00357800"/>
    <w:rsid w:val="003578E4"/>
    <w:rsid w:val="00357EA5"/>
    <w:rsid w:val="00365C33"/>
    <w:rsid w:val="00367979"/>
    <w:rsid w:val="00367FA4"/>
    <w:rsid w:val="00370402"/>
    <w:rsid w:val="00373736"/>
    <w:rsid w:val="00373E17"/>
    <w:rsid w:val="00381861"/>
    <w:rsid w:val="00381EA1"/>
    <w:rsid w:val="003840A3"/>
    <w:rsid w:val="0038486D"/>
    <w:rsid w:val="0038608C"/>
    <w:rsid w:val="0038760E"/>
    <w:rsid w:val="003929B7"/>
    <w:rsid w:val="00393FF2"/>
    <w:rsid w:val="003948D5"/>
    <w:rsid w:val="003967D4"/>
    <w:rsid w:val="003A0D67"/>
    <w:rsid w:val="003A262B"/>
    <w:rsid w:val="003A5A9A"/>
    <w:rsid w:val="003A5CA4"/>
    <w:rsid w:val="003A61AD"/>
    <w:rsid w:val="003A6FBC"/>
    <w:rsid w:val="003B2640"/>
    <w:rsid w:val="003B2A1E"/>
    <w:rsid w:val="003B445F"/>
    <w:rsid w:val="003B46D3"/>
    <w:rsid w:val="003B56DF"/>
    <w:rsid w:val="003C0E07"/>
    <w:rsid w:val="003C194D"/>
    <w:rsid w:val="003C1B07"/>
    <w:rsid w:val="003C1B11"/>
    <w:rsid w:val="003C251A"/>
    <w:rsid w:val="003C4D2D"/>
    <w:rsid w:val="003C6D05"/>
    <w:rsid w:val="003C7769"/>
    <w:rsid w:val="003D0501"/>
    <w:rsid w:val="003D23FA"/>
    <w:rsid w:val="003D2E21"/>
    <w:rsid w:val="003D36FB"/>
    <w:rsid w:val="003D3B9F"/>
    <w:rsid w:val="003D61A5"/>
    <w:rsid w:val="003D7252"/>
    <w:rsid w:val="003E7222"/>
    <w:rsid w:val="003F00DC"/>
    <w:rsid w:val="003F19A9"/>
    <w:rsid w:val="003F2707"/>
    <w:rsid w:val="003F2ECD"/>
    <w:rsid w:val="003F560C"/>
    <w:rsid w:val="003F56B1"/>
    <w:rsid w:val="003F6CC1"/>
    <w:rsid w:val="004032E9"/>
    <w:rsid w:val="00403E12"/>
    <w:rsid w:val="00404504"/>
    <w:rsid w:val="00405264"/>
    <w:rsid w:val="00412FDF"/>
    <w:rsid w:val="00416800"/>
    <w:rsid w:val="004201BF"/>
    <w:rsid w:val="0042028B"/>
    <w:rsid w:val="00420D70"/>
    <w:rsid w:val="0042106E"/>
    <w:rsid w:val="0042112A"/>
    <w:rsid w:val="00423DE9"/>
    <w:rsid w:val="004250CD"/>
    <w:rsid w:val="004252FC"/>
    <w:rsid w:val="004367A7"/>
    <w:rsid w:val="00444FD7"/>
    <w:rsid w:val="00445162"/>
    <w:rsid w:val="00447D36"/>
    <w:rsid w:val="00454CFF"/>
    <w:rsid w:val="0045580F"/>
    <w:rsid w:val="00456CDF"/>
    <w:rsid w:val="00460151"/>
    <w:rsid w:val="00464A8E"/>
    <w:rsid w:val="0046555E"/>
    <w:rsid w:val="00472BAD"/>
    <w:rsid w:val="004773A8"/>
    <w:rsid w:val="0048296C"/>
    <w:rsid w:val="00485F33"/>
    <w:rsid w:val="00487E22"/>
    <w:rsid w:val="00491653"/>
    <w:rsid w:val="00491A9B"/>
    <w:rsid w:val="00496BDF"/>
    <w:rsid w:val="004A047A"/>
    <w:rsid w:val="004A1574"/>
    <w:rsid w:val="004A5F4E"/>
    <w:rsid w:val="004A638F"/>
    <w:rsid w:val="004A68A3"/>
    <w:rsid w:val="004A76EA"/>
    <w:rsid w:val="004B1EF9"/>
    <w:rsid w:val="004B5540"/>
    <w:rsid w:val="004C2699"/>
    <w:rsid w:val="004C2D6C"/>
    <w:rsid w:val="004C3F01"/>
    <w:rsid w:val="004C3F9A"/>
    <w:rsid w:val="004C4F95"/>
    <w:rsid w:val="004C5C42"/>
    <w:rsid w:val="004C6EA3"/>
    <w:rsid w:val="004C73DE"/>
    <w:rsid w:val="004D01A4"/>
    <w:rsid w:val="004D02E0"/>
    <w:rsid w:val="004D2B7E"/>
    <w:rsid w:val="004D368A"/>
    <w:rsid w:val="004D4BCA"/>
    <w:rsid w:val="004D69A3"/>
    <w:rsid w:val="004E5041"/>
    <w:rsid w:val="004E7E73"/>
    <w:rsid w:val="004F1F69"/>
    <w:rsid w:val="004F342B"/>
    <w:rsid w:val="004F44EC"/>
    <w:rsid w:val="004F4935"/>
    <w:rsid w:val="0050025A"/>
    <w:rsid w:val="00500ABB"/>
    <w:rsid w:val="00506DF4"/>
    <w:rsid w:val="00507759"/>
    <w:rsid w:val="0051009E"/>
    <w:rsid w:val="00510968"/>
    <w:rsid w:val="005130C3"/>
    <w:rsid w:val="0051394E"/>
    <w:rsid w:val="00513FB2"/>
    <w:rsid w:val="005161E5"/>
    <w:rsid w:val="00517171"/>
    <w:rsid w:val="00517313"/>
    <w:rsid w:val="00520202"/>
    <w:rsid w:val="0052150F"/>
    <w:rsid w:val="00522160"/>
    <w:rsid w:val="0052401A"/>
    <w:rsid w:val="005254B6"/>
    <w:rsid w:val="005258FA"/>
    <w:rsid w:val="00525BF5"/>
    <w:rsid w:val="00526B86"/>
    <w:rsid w:val="0052718A"/>
    <w:rsid w:val="00530484"/>
    <w:rsid w:val="00530853"/>
    <w:rsid w:val="005316F4"/>
    <w:rsid w:val="00532531"/>
    <w:rsid w:val="00532651"/>
    <w:rsid w:val="00537479"/>
    <w:rsid w:val="005450C8"/>
    <w:rsid w:val="005461B4"/>
    <w:rsid w:val="0054695B"/>
    <w:rsid w:val="00547F01"/>
    <w:rsid w:val="00550479"/>
    <w:rsid w:val="00551AA3"/>
    <w:rsid w:val="00560875"/>
    <w:rsid w:val="005619AE"/>
    <w:rsid w:val="0056541F"/>
    <w:rsid w:val="005723A2"/>
    <w:rsid w:val="00572553"/>
    <w:rsid w:val="00572785"/>
    <w:rsid w:val="005735BF"/>
    <w:rsid w:val="00577B84"/>
    <w:rsid w:val="00581FE3"/>
    <w:rsid w:val="00582590"/>
    <w:rsid w:val="00582745"/>
    <w:rsid w:val="00582EB2"/>
    <w:rsid w:val="0058411E"/>
    <w:rsid w:val="00584A37"/>
    <w:rsid w:val="00586ED4"/>
    <w:rsid w:val="005873FB"/>
    <w:rsid w:val="00590205"/>
    <w:rsid w:val="00592A3F"/>
    <w:rsid w:val="005958C2"/>
    <w:rsid w:val="00596190"/>
    <w:rsid w:val="005A4ED3"/>
    <w:rsid w:val="005A658B"/>
    <w:rsid w:val="005B0A5E"/>
    <w:rsid w:val="005B4EA3"/>
    <w:rsid w:val="005B739C"/>
    <w:rsid w:val="005B7536"/>
    <w:rsid w:val="005B763E"/>
    <w:rsid w:val="005C36ED"/>
    <w:rsid w:val="005C7111"/>
    <w:rsid w:val="005D24AE"/>
    <w:rsid w:val="005D28E2"/>
    <w:rsid w:val="005D28FC"/>
    <w:rsid w:val="005D2D25"/>
    <w:rsid w:val="005D65BE"/>
    <w:rsid w:val="005D7903"/>
    <w:rsid w:val="005E046E"/>
    <w:rsid w:val="005E1204"/>
    <w:rsid w:val="005E4097"/>
    <w:rsid w:val="005E45C4"/>
    <w:rsid w:val="005E4D0C"/>
    <w:rsid w:val="005E4EF7"/>
    <w:rsid w:val="005F0653"/>
    <w:rsid w:val="005F1EA8"/>
    <w:rsid w:val="005F3DDE"/>
    <w:rsid w:val="005F446C"/>
    <w:rsid w:val="005F5615"/>
    <w:rsid w:val="00601544"/>
    <w:rsid w:val="00603873"/>
    <w:rsid w:val="00607154"/>
    <w:rsid w:val="0060721A"/>
    <w:rsid w:val="0060754C"/>
    <w:rsid w:val="006103D3"/>
    <w:rsid w:val="00610D4F"/>
    <w:rsid w:val="0061122D"/>
    <w:rsid w:val="00612A26"/>
    <w:rsid w:val="00616737"/>
    <w:rsid w:val="00616C4F"/>
    <w:rsid w:val="006204D2"/>
    <w:rsid w:val="00620572"/>
    <w:rsid w:val="00623300"/>
    <w:rsid w:val="00623380"/>
    <w:rsid w:val="0063402A"/>
    <w:rsid w:val="00637056"/>
    <w:rsid w:val="00637D5D"/>
    <w:rsid w:val="00637E9D"/>
    <w:rsid w:val="006411EA"/>
    <w:rsid w:val="00641F2F"/>
    <w:rsid w:val="00643C88"/>
    <w:rsid w:val="006464DA"/>
    <w:rsid w:val="0065083E"/>
    <w:rsid w:val="006529BE"/>
    <w:rsid w:val="00652ABB"/>
    <w:rsid w:val="006534D3"/>
    <w:rsid w:val="006535A9"/>
    <w:rsid w:val="00653835"/>
    <w:rsid w:val="00654122"/>
    <w:rsid w:val="006549F2"/>
    <w:rsid w:val="00654FA9"/>
    <w:rsid w:val="00660530"/>
    <w:rsid w:val="00660959"/>
    <w:rsid w:val="0066275A"/>
    <w:rsid w:val="006629E3"/>
    <w:rsid w:val="0066388C"/>
    <w:rsid w:val="006653BD"/>
    <w:rsid w:val="00667927"/>
    <w:rsid w:val="006705FF"/>
    <w:rsid w:val="00681030"/>
    <w:rsid w:val="00682161"/>
    <w:rsid w:val="00685120"/>
    <w:rsid w:val="00685646"/>
    <w:rsid w:val="00687F71"/>
    <w:rsid w:val="00691C92"/>
    <w:rsid w:val="0069294B"/>
    <w:rsid w:val="00693B04"/>
    <w:rsid w:val="00695265"/>
    <w:rsid w:val="00696093"/>
    <w:rsid w:val="00696AE6"/>
    <w:rsid w:val="006A335E"/>
    <w:rsid w:val="006A4F40"/>
    <w:rsid w:val="006A5799"/>
    <w:rsid w:val="006A5D66"/>
    <w:rsid w:val="006A61DF"/>
    <w:rsid w:val="006B06D4"/>
    <w:rsid w:val="006B396F"/>
    <w:rsid w:val="006B4742"/>
    <w:rsid w:val="006B7A81"/>
    <w:rsid w:val="006B7B28"/>
    <w:rsid w:val="006C0636"/>
    <w:rsid w:val="006C1E9E"/>
    <w:rsid w:val="006C3AF6"/>
    <w:rsid w:val="006C4599"/>
    <w:rsid w:val="006C78AC"/>
    <w:rsid w:val="006D5E67"/>
    <w:rsid w:val="006E25DA"/>
    <w:rsid w:val="006E3010"/>
    <w:rsid w:val="006E3275"/>
    <w:rsid w:val="006E338C"/>
    <w:rsid w:val="006E4922"/>
    <w:rsid w:val="006E6B1F"/>
    <w:rsid w:val="006F0570"/>
    <w:rsid w:val="006F38D6"/>
    <w:rsid w:val="0070034D"/>
    <w:rsid w:val="00700475"/>
    <w:rsid w:val="0070336C"/>
    <w:rsid w:val="00704350"/>
    <w:rsid w:val="007050F4"/>
    <w:rsid w:val="00705A02"/>
    <w:rsid w:val="00705C05"/>
    <w:rsid w:val="0071665C"/>
    <w:rsid w:val="0071670D"/>
    <w:rsid w:val="00716F48"/>
    <w:rsid w:val="007204D5"/>
    <w:rsid w:val="0072113E"/>
    <w:rsid w:val="007221B9"/>
    <w:rsid w:val="007223EA"/>
    <w:rsid w:val="00722D23"/>
    <w:rsid w:val="00722E74"/>
    <w:rsid w:val="0072371C"/>
    <w:rsid w:val="007352D8"/>
    <w:rsid w:val="00735520"/>
    <w:rsid w:val="0073604A"/>
    <w:rsid w:val="00736E7C"/>
    <w:rsid w:val="0074295E"/>
    <w:rsid w:val="00742BAD"/>
    <w:rsid w:val="0074359B"/>
    <w:rsid w:val="00744479"/>
    <w:rsid w:val="007456EB"/>
    <w:rsid w:val="00746DF4"/>
    <w:rsid w:val="0075183E"/>
    <w:rsid w:val="007521E1"/>
    <w:rsid w:val="00753AB1"/>
    <w:rsid w:val="00754A18"/>
    <w:rsid w:val="00756889"/>
    <w:rsid w:val="0075721E"/>
    <w:rsid w:val="00763B39"/>
    <w:rsid w:val="00764378"/>
    <w:rsid w:val="00765F1E"/>
    <w:rsid w:val="0076611E"/>
    <w:rsid w:val="00771FB4"/>
    <w:rsid w:val="00774AE2"/>
    <w:rsid w:val="00774F16"/>
    <w:rsid w:val="00775D01"/>
    <w:rsid w:val="00780439"/>
    <w:rsid w:val="00780BF5"/>
    <w:rsid w:val="00782668"/>
    <w:rsid w:val="007849FC"/>
    <w:rsid w:val="00786DC9"/>
    <w:rsid w:val="00787936"/>
    <w:rsid w:val="00790210"/>
    <w:rsid w:val="007915A2"/>
    <w:rsid w:val="00791A0B"/>
    <w:rsid w:val="00794E6A"/>
    <w:rsid w:val="00795158"/>
    <w:rsid w:val="00795C24"/>
    <w:rsid w:val="0079603A"/>
    <w:rsid w:val="00797E1A"/>
    <w:rsid w:val="007A1307"/>
    <w:rsid w:val="007A3B4B"/>
    <w:rsid w:val="007A5BE1"/>
    <w:rsid w:val="007B2D21"/>
    <w:rsid w:val="007B63D2"/>
    <w:rsid w:val="007C007D"/>
    <w:rsid w:val="007C1C0B"/>
    <w:rsid w:val="007C30FA"/>
    <w:rsid w:val="007C3A60"/>
    <w:rsid w:val="007C3DFB"/>
    <w:rsid w:val="007C62F2"/>
    <w:rsid w:val="007C7135"/>
    <w:rsid w:val="007D161F"/>
    <w:rsid w:val="007D33DE"/>
    <w:rsid w:val="007D4D32"/>
    <w:rsid w:val="007D626E"/>
    <w:rsid w:val="007E0DCE"/>
    <w:rsid w:val="007E1069"/>
    <w:rsid w:val="007E50CD"/>
    <w:rsid w:val="007E75D7"/>
    <w:rsid w:val="007F0B77"/>
    <w:rsid w:val="007F1834"/>
    <w:rsid w:val="007F2CE0"/>
    <w:rsid w:val="007F56AA"/>
    <w:rsid w:val="007F648A"/>
    <w:rsid w:val="00804734"/>
    <w:rsid w:val="008053CE"/>
    <w:rsid w:val="00806E22"/>
    <w:rsid w:val="00807B67"/>
    <w:rsid w:val="00810D04"/>
    <w:rsid w:val="00813482"/>
    <w:rsid w:val="00816B4A"/>
    <w:rsid w:val="0082344D"/>
    <w:rsid w:val="0082527F"/>
    <w:rsid w:val="008278BD"/>
    <w:rsid w:val="008307BE"/>
    <w:rsid w:val="008328AD"/>
    <w:rsid w:val="00833BA8"/>
    <w:rsid w:val="00835097"/>
    <w:rsid w:val="008350F9"/>
    <w:rsid w:val="00837889"/>
    <w:rsid w:val="00840D36"/>
    <w:rsid w:val="00841762"/>
    <w:rsid w:val="00844462"/>
    <w:rsid w:val="00846866"/>
    <w:rsid w:val="008504C0"/>
    <w:rsid w:val="00852D92"/>
    <w:rsid w:val="008560CD"/>
    <w:rsid w:val="00856AA1"/>
    <w:rsid w:val="00856EBC"/>
    <w:rsid w:val="008613BD"/>
    <w:rsid w:val="00861D2F"/>
    <w:rsid w:val="008624CA"/>
    <w:rsid w:val="00862E16"/>
    <w:rsid w:val="00862F42"/>
    <w:rsid w:val="00863851"/>
    <w:rsid w:val="00865F94"/>
    <w:rsid w:val="00867149"/>
    <w:rsid w:val="00867640"/>
    <w:rsid w:val="008739C0"/>
    <w:rsid w:val="008747A4"/>
    <w:rsid w:val="008761DC"/>
    <w:rsid w:val="008803B1"/>
    <w:rsid w:val="00882247"/>
    <w:rsid w:val="00882C89"/>
    <w:rsid w:val="00885960"/>
    <w:rsid w:val="00886A09"/>
    <w:rsid w:val="00887576"/>
    <w:rsid w:val="008910AB"/>
    <w:rsid w:val="00892643"/>
    <w:rsid w:val="00894C3F"/>
    <w:rsid w:val="0089510C"/>
    <w:rsid w:val="008A4734"/>
    <w:rsid w:val="008A55DC"/>
    <w:rsid w:val="008A5FF1"/>
    <w:rsid w:val="008A683B"/>
    <w:rsid w:val="008A7498"/>
    <w:rsid w:val="008A7588"/>
    <w:rsid w:val="008C44A4"/>
    <w:rsid w:val="008C5A02"/>
    <w:rsid w:val="008C7E14"/>
    <w:rsid w:val="008C7E6D"/>
    <w:rsid w:val="008D71DD"/>
    <w:rsid w:val="008D7C81"/>
    <w:rsid w:val="008E07BF"/>
    <w:rsid w:val="008E65E8"/>
    <w:rsid w:val="008E7B0E"/>
    <w:rsid w:val="008F139D"/>
    <w:rsid w:val="008F1F48"/>
    <w:rsid w:val="008F2332"/>
    <w:rsid w:val="008F29AA"/>
    <w:rsid w:val="008F2F6D"/>
    <w:rsid w:val="008F57B6"/>
    <w:rsid w:val="008F607E"/>
    <w:rsid w:val="008F77C3"/>
    <w:rsid w:val="009009DA"/>
    <w:rsid w:val="00900F70"/>
    <w:rsid w:val="00901125"/>
    <w:rsid w:val="009024BB"/>
    <w:rsid w:val="00905229"/>
    <w:rsid w:val="0091010E"/>
    <w:rsid w:val="00911C86"/>
    <w:rsid w:val="009122D6"/>
    <w:rsid w:val="009129DC"/>
    <w:rsid w:val="00914045"/>
    <w:rsid w:val="00915376"/>
    <w:rsid w:val="00917CC0"/>
    <w:rsid w:val="009201BE"/>
    <w:rsid w:val="009209FE"/>
    <w:rsid w:val="00921B47"/>
    <w:rsid w:val="00923579"/>
    <w:rsid w:val="00924224"/>
    <w:rsid w:val="00926D23"/>
    <w:rsid w:val="009369C3"/>
    <w:rsid w:val="009403DB"/>
    <w:rsid w:val="0094076B"/>
    <w:rsid w:val="009425EE"/>
    <w:rsid w:val="00944DA0"/>
    <w:rsid w:val="0094666B"/>
    <w:rsid w:val="009524FD"/>
    <w:rsid w:val="00961081"/>
    <w:rsid w:val="00963259"/>
    <w:rsid w:val="00965A7B"/>
    <w:rsid w:val="009745F2"/>
    <w:rsid w:val="00974967"/>
    <w:rsid w:val="00976322"/>
    <w:rsid w:val="00981523"/>
    <w:rsid w:val="0098457B"/>
    <w:rsid w:val="0099235D"/>
    <w:rsid w:val="009923AB"/>
    <w:rsid w:val="00992CB9"/>
    <w:rsid w:val="00992FAA"/>
    <w:rsid w:val="009930D3"/>
    <w:rsid w:val="00997932"/>
    <w:rsid w:val="009A5048"/>
    <w:rsid w:val="009A6885"/>
    <w:rsid w:val="009A6FD3"/>
    <w:rsid w:val="009A7802"/>
    <w:rsid w:val="009B3C6D"/>
    <w:rsid w:val="009B4015"/>
    <w:rsid w:val="009B6502"/>
    <w:rsid w:val="009B6EE6"/>
    <w:rsid w:val="009B732A"/>
    <w:rsid w:val="009C04B1"/>
    <w:rsid w:val="009C6B3E"/>
    <w:rsid w:val="009D0B29"/>
    <w:rsid w:val="009D1226"/>
    <w:rsid w:val="009D1AE7"/>
    <w:rsid w:val="009D36CF"/>
    <w:rsid w:val="009D3977"/>
    <w:rsid w:val="009D48A7"/>
    <w:rsid w:val="009E13E8"/>
    <w:rsid w:val="009E4753"/>
    <w:rsid w:val="009F5576"/>
    <w:rsid w:val="009F778A"/>
    <w:rsid w:val="00A04FBF"/>
    <w:rsid w:val="00A0550E"/>
    <w:rsid w:val="00A06634"/>
    <w:rsid w:val="00A06D52"/>
    <w:rsid w:val="00A13EFA"/>
    <w:rsid w:val="00A30305"/>
    <w:rsid w:val="00A308B1"/>
    <w:rsid w:val="00A36C35"/>
    <w:rsid w:val="00A376D1"/>
    <w:rsid w:val="00A41A43"/>
    <w:rsid w:val="00A5108E"/>
    <w:rsid w:val="00A523B3"/>
    <w:rsid w:val="00A52690"/>
    <w:rsid w:val="00A60752"/>
    <w:rsid w:val="00A60A84"/>
    <w:rsid w:val="00A61304"/>
    <w:rsid w:val="00A623FB"/>
    <w:rsid w:val="00A6525C"/>
    <w:rsid w:val="00A66828"/>
    <w:rsid w:val="00A70789"/>
    <w:rsid w:val="00A76885"/>
    <w:rsid w:val="00A775A8"/>
    <w:rsid w:val="00A80D06"/>
    <w:rsid w:val="00A825B3"/>
    <w:rsid w:val="00A82CC5"/>
    <w:rsid w:val="00A8313A"/>
    <w:rsid w:val="00A83EF9"/>
    <w:rsid w:val="00A86973"/>
    <w:rsid w:val="00A8713F"/>
    <w:rsid w:val="00A87753"/>
    <w:rsid w:val="00A91272"/>
    <w:rsid w:val="00A94843"/>
    <w:rsid w:val="00A963CF"/>
    <w:rsid w:val="00AA25FF"/>
    <w:rsid w:val="00AA2CAF"/>
    <w:rsid w:val="00AA36BC"/>
    <w:rsid w:val="00AA73D7"/>
    <w:rsid w:val="00AB4E79"/>
    <w:rsid w:val="00AC0B22"/>
    <w:rsid w:val="00AC40BF"/>
    <w:rsid w:val="00AC4E25"/>
    <w:rsid w:val="00AC550C"/>
    <w:rsid w:val="00AC71A1"/>
    <w:rsid w:val="00AD316A"/>
    <w:rsid w:val="00AD35E2"/>
    <w:rsid w:val="00AD44F2"/>
    <w:rsid w:val="00AD7E1B"/>
    <w:rsid w:val="00AE084E"/>
    <w:rsid w:val="00AE2A19"/>
    <w:rsid w:val="00AE3630"/>
    <w:rsid w:val="00AE62FA"/>
    <w:rsid w:val="00AF2C20"/>
    <w:rsid w:val="00AF36B7"/>
    <w:rsid w:val="00AF7075"/>
    <w:rsid w:val="00AF731C"/>
    <w:rsid w:val="00B02262"/>
    <w:rsid w:val="00B02C57"/>
    <w:rsid w:val="00B050B3"/>
    <w:rsid w:val="00B055C1"/>
    <w:rsid w:val="00B0565A"/>
    <w:rsid w:val="00B1124A"/>
    <w:rsid w:val="00B14C2B"/>
    <w:rsid w:val="00B151E0"/>
    <w:rsid w:val="00B16724"/>
    <w:rsid w:val="00B16ED1"/>
    <w:rsid w:val="00B17620"/>
    <w:rsid w:val="00B17699"/>
    <w:rsid w:val="00B22F1B"/>
    <w:rsid w:val="00B26155"/>
    <w:rsid w:val="00B26254"/>
    <w:rsid w:val="00B264C4"/>
    <w:rsid w:val="00B32035"/>
    <w:rsid w:val="00B3321B"/>
    <w:rsid w:val="00B337EC"/>
    <w:rsid w:val="00B408CB"/>
    <w:rsid w:val="00B4133F"/>
    <w:rsid w:val="00B41F76"/>
    <w:rsid w:val="00B42E1D"/>
    <w:rsid w:val="00B461CC"/>
    <w:rsid w:val="00B51FB2"/>
    <w:rsid w:val="00B520AA"/>
    <w:rsid w:val="00B54DCC"/>
    <w:rsid w:val="00B55044"/>
    <w:rsid w:val="00B56213"/>
    <w:rsid w:val="00B610D4"/>
    <w:rsid w:val="00B620D4"/>
    <w:rsid w:val="00B63596"/>
    <w:rsid w:val="00B63A0D"/>
    <w:rsid w:val="00B676A5"/>
    <w:rsid w:val="00B70998"/>
    <w:rsid w:val="00B717EB"/>
    <w:rsid w:val="00B71CCB"/>
    <w:rsid w:val="00B73E71"/>
    <w:rsid w:val="00B7449C"/>
    <w:rsid w:val="00B76662"/>
    <w:rsid w:val="00B7762C"/>
    <w:rsid w:val="00B847ED"/>
    <w:rsid w:val="00B84D0A"/>
    <w:rsid w:val="00B866C4"/>
    <w:rsid w:val="00B87E58"/>
    <w:rsid w:val="00B918AE"/>
    <w:rsid w:val="00B9264C"/>
    <w:rsid w:val="00B9441C"/>
    <w:rsid w:val="00B94954"/>
    <w:rsid w:val="00B96AF7"/>
    <w:rsid w:val="00BA1A47"/>
    <w:rsid w:val="00BA2C5B"/>
    <w:rsid w:val="00BA32B7"/>
    <w:rsid w:val="00BA4D3F"/>
    <w:rsid w:val="00BA4EC3"/>
    <w:rsid w:val="00BA5210"/>
    <w:rsid w:val="00BA5356"/>
    <w:rsid w:val="00BB1191"/>
    <w:rsid w:val="00BB1560"/>
    <w:rsid w:val="00BB55C4"/>
    <w:rsid w:val="00BB7013"/>
    <w:rsid w:val="00BB7892"/>
    <w:rsid w:val="00BC0B17"/>
    <w:rsid w:val="00BC1E84"/>
    <w:rsid w:val="00BC25AD"/>
    <w:rsid w:val="00BC425C"/>
    <w:rsid w:val="00BC49A2"/>
    <w:rsid w:val="00BD04CA"/>
    <w:rsid w:val="00BD127E"/>
    <w:rsid w:val="00BD2215"/>
    <w:rsid w:val="00BD39C9"/>
    <w:rsid w:val="00BD6A2A"/>
    <w:rsid w:val="00BE2B6D"/>
    <w:rsid w:val="00BE4ABD"/>
    <w:rsid w:val="00BF00DC"/>
    <w:rsid w:val="00BF0F43"/>
    <w:rsid w:val="00BF4812"/>
    <w:rsid w:val="00BF4C64"/>
    <w:rsid w:val="00BF767D"/>
    <w:rsid w:val="00C015BD"/>
    <w:rsid w:val="00C0308B"/>
    <w:rsid w:val="00C033BD"/>
    <w:rsid w:val="00C0398D"/>
    <w:rsid w:val="00C06049"/>
    <w:rsid w:val="00C0681A"/>
    <w:rsid w:val="00C07562"/>
    <w:rsid w:val="00C13D65"/>
    <w:rsid w:val="00C15502"/>
    <w:rsid w:val="00C155CD"/>
    <w:rsid w:val="00C16A8E"/>
    <w:rsid w:val="00C2366E"/>
    <w:rsid w:val="00C2425C"/>
    <w:rsid w:val="00C25077"/>
    <w:rsid w:val="00C26AAE"/>
    <w:rsid w:val="00C27E6C"/>
    <w:rsid w:val="00C31DA0"/>
    <w:rsid w:val="00C3254D"/>
    <w:rsid w:val="00C40C2F"/>
    <w:rsid w:val="00C42418"/>
    <w:rsid w:val="00C535CC"/>
    <w:rsid w:val="00C552CC"/>
    <w:rsid w:val="00C57886"/>
    <w:rsid w:val="00C60134"/>
    <w:rsid w:val="00C6023B"/>
    <w:rsid w:val="00C60828"/>
    <w:rsid w:val="00C6291C"/>
    <w:rsid w:val="00C6351C"/>
    <w:rsid w:val="00C660B7"/>
    <w:rsid w:val="00C66343"/>
    <w:rsid w:val="00C67898"/>
    <w:rsid w:val="00C70915"/>
    <w:rsid w:val="00C72789"/>
    <w:rsid w:val="00C72B1C"/>
    <w:rsid w:val="00C7554D"/>
    <w:rsid w:val="00C7673F"/>
    <w:rsid w:val="00C767C1"/>
    <w:rsid w:val="00C81837"/>
    <w:rsid w:val="00C856C8"/>
    <w:rsid w:val="00C859F6"/>
    <w:rsid w:val="00C864B3"/>
    <w:rsid w:val="00C86E70"/>
    <w:rsid w:val="00C873C2"/>
    <w:rsid w:val="00C87D04"/>
    <w:rsid w:val="00CA01B3"/>
    <w:rsid w:val="00CA1AF5"/>
    <w:rsid w:val="00CA43D9"/>
    <w:rsid w:val="00CA63CE"/>
    <w:rsid w:val="00CB0721"/>
    <w:rsid w:val="00CB0F9B"/>
    <w:rsid w:val="00CB2961"/>
    <w:rsid w:val="00CB340B"/>
    <w:rsid w:val="00CB663E"/>
    <w:rsid w:val="00CC099B"/>
    <w:rsid w:val="00CC178A"/>
    <w:rsid w:val="00CC38F8"/>
    <w:rsid w:val="00CC39BD"/>
    <w:rsid w:val="00CC3B23"/>
    <w:rsid w:val="00CC4588"/>
    <w:rsid w:val="00CC4F1E"/>
    <w:rsid w:val="00CC69BD"/>
    <w:rsid w:val="00CC75D9"/>
    <w:rsid w:val="00CC7ECB"/>
    <w:rsid w:val="00CD2B79"/>
    <w:rsid w:val="00CD6F6A"/>
    <w:rsid w:val="00CE086D"/>
    <w:rsid w:val="00CE359F"/>
    <w:rsid w:val="00CE37A8"/>
    <w:rsid w:val="00CE69CD"/>
    <w:rsid w:val="00CE6D60"/>
    <w:rsid w:val="00D00C9D"/>
    <w:rsid w:val="00D01A86"/>
    <w:rsid w:val="00D0459B"/>
    <w:rsid w:val="00D06541"/>
    <w:rsid w:val="00D0767F"/>
    <w:rsid w:val="00D137AB"/>
    <w:rsid w:val="00D167BE"/>
    <w:rsid w:val="00D20B80"/>
    <w:rsid w:val="00D25326"/>
    <w:rsid w:val="00D25FD8"/>
    <w:rsid w:val="00D30562"/>
    <w:rsid w:val="00D34DAB"/>
    <w:rsid w:val="00D36717"/>
    <w:rsid w:val="00D3701D"/>
    <w:rsid w:val="00D4006E"/>
    <w:rsid w:val="00D4103A"/>
    <w:rsid w:val="00D411A5"/>
    <w:rsid w:val="00D41369"/>
    <w:rsid w:val="00D4173C"/>
    <w:rsid w:val="00D42C6D"/>
    <w:rsid w:val="00D45980"/>
    <w:rsid w:val="00D45E91"/>
    <w:rsid w:val="00D4666E"/>
    <w:rsid w:val="00D46D7A"/>
    <w:rsid w:val="00D50F17"/>
    <w:rsid w:val="00D51116"/>
    <w:rsid w:val="00D56515"/>
    <w:rsid w:val="00D5664D"/>
    <w:rsid w:val="00D57038"/>
    <w:rsid w:val="00D607BB"/>
    <w:rsid w:val="00D61169"/>
    <w:rsid w:val="00D62604"/>
    <w:rsid w:val="00D62A37"/>
    <w:rsid w:val="00D64868"/>
    <w:rsid w:val="00D658BF"/>
    <w:rsid w:val="00D66D69"/>
    <w:rsid w:val="00D6766E"/>
    <w:rsid w:val="00D73BFE"/>
    <w:rsid w:val="00D76280"/>
    <w:rsid w:val="00D82058"/>
    <w:rsid w:val="00D82E00"/>
    <w:rsid w:val="00D86923"/>
    <w:rsid w:val="00D92DE6"/>
    <w:rsid w:val="00D937E5"/>
    <w:rsid w:val="00D93866"/>
    <w:rsid w:val="00D93EAA"/>
    <w:rsid w:val="00D96F7E"/>
    <w:rsid w:val="00D9787D"/>
    <w:rsid w:val="00DA3312"/>
    <w:rsid w:val="00DA5A3D"/>
    <w:rsid w:val="00DA655A"/>
    <w:rsid w:val="00DA694A"/>
    <w:rsid w:val="00DB0B7F"/>
    <w:rsid w:val="00DB39BE"/>
    <w:rsid w:val="00DB3F14"/>
    <w:rsid w:val="00DB59DF"/>
    <w:rsid w:val="00DC0F12"/>
    <w:rsid w:val="00DC2300"/>
    <w:rsid w:val="00DC31BB"/>
    <w:rsid w:val="00DC567F"/>
    <w:rsid w:val="00DD0BAB"/>
    <w:rsid w:val="00DD1ADE"/>
    <w:rsid w:val="00DD3647"/>
    <w:rsid w:val="00DD4481"/>
    <w:rsid w:val="00DD5CB7"/>
    <w:rsid w:val="00DD76B0"/>
    <w:rsid w:val="00DE035B"/>
    <w:rsid w:val="00DE2939"/>
    <w:rsid w:val="00DE7C00"/>
    <w:rsid w:val="00DF24E6"/>
    <w:rsid w:val="00DF3285"/>
    <w:rsid w:val="00DF32ED"/>
    <w:rsid w:val="00DF6259"/>
    <w:rsid w:val="00DF6E71"/>
    <w:rsid w:val="00E00859"/>
    <w:rsid w:val="00E01E63"/>
    <w:rsid w:val="00E02D64"/>
    <w:rsid w:val="00E03CCB"/>
    <w:rsid w:val="00E04C8A"/>
    <w:rsid w:val="00E05AFD"/>
    <w:rsid w:val="00E05CFC"/>
    <w:rsid w:val="00E061D3"/>
    <w:rsid w:val="00E06D5F"/>
    <w:rsid w:val="00E10263"/>
    <w:rsid w:val="00E12875"/>
    <w:rsid w:val="00E12A92"/>
    <w:rsid w:val="00E12DDD"/>
    <w:rsid w:val="00E13365"/>
    <w:rsid w:val="00E16DE6"/>
    <w:rsid w:val="00E214AC"/>
    <w:rsid w:val="00E22313"/>
    <w:rsid w:val="00E23E3F"/>
    <w:rsid w:val="00E24EE8"/>
    <w:rsid w:val="00E321B0"/>
    <w:rsid w:val="00E33590"/>
    <w:rsid w:val="00E3608F"/>
    <w:rsid w:val="00E368CF"/>
    <w:rsid w:val="00E400B2"/>
    <w:rsid w:val="00E41F4B"/>
    <w:rsid w:val="00E42162"/>
    <w:rsid w:val="00E42275"/>
    <w:rsid w:val="00E436E2"/>
    <w:rsid w:val="00E452EB"/>
    <w:rsid w:val="00E4594A"/>
    <w:rsid w:val="00E464D6"/>
    <w:rsid w:val="00E50677"/>
    <w:rsid w:val="00E50A85"/>
    <w:rsid w:val="00E523F5"/>
    <w:rsid w:val="00E52F9B"/>
    <w:rsid w:val="00E53658"/>
    <w:rsid w:val="00E55DAD"/>
    <w:rsid w:val="00E56BD4"/>
    <w:rsid w:val="00E61668"/>
    <w:rsid w:val="00E6197A"/>
    <w:rsid w:val="00E62A20"/>
    <w:rsid w:val="00E63C92"/>
    <w:rsid w:val="00E649C4"/>
    <w:rsid w:val="00E6539D"/>
    <w:rsid w:val="00E67194"/>
    <w:rsid w:val="00E708CA"/>
    <w:rsid w:val="00E7333D"/>
    <w:rsid w:val="00E76715"/>
    <w:rsid w:val="00E77D3A"/>
    <w:rsid w:val="00E80897"/>
    <w:rsid w:val="00E83092"/>
    <w:rsid w:val="00E84544"/>
    <w:rsid w:val="00E85164"/>
    <w:rsid w:val="00E85A6C"/>
    <w:rsid w:val="00E869ED"/>
    <w:rsid w:val="00E87A31"/>
    <w:rsid w:val="00E90439"/>
    <w:rsid w:val="00E91419"/>
    <w:rsid w:val="00E917CB"/>
    <w:rsid w:val="00E919DB"/>
    <w:rsid w:val="00E926F0"/>
    <w:rsid w:val="00E93ABE"/>
    <w:rsid w:val="00E94C24"/>
    <w:rsid w:val="00E95AA1"/>
    <w:rsid w:val="00E969E0"/>
    <w:rsid w:val="00EA0FD5"/>
    <w:rsid w:val="00EA1E8A"/>
    <w:rsid w:val="00EA280F"/>
    <w:rsid w:val="00EA3DEE"/>
    <w:rsid w:val="00EA404E"/>
    <w:rsid w:val="00EA4C44"/>
    <w:rsid w:val="00EA6006"/>
    <w:rsid w:val="00EB4309"/>
    <w:rsid w:val="00EB7DDA"/>
    <w:rsid w:val="00EB7FAB"/>
    <w:rsid w:val="00EC0670"/>
    <w:rsid w:val="00EC3777"/>
    <w:rsid w:val="00EC3C09"/>
    <w:rsid w:val="00EC7CD7"/>
    <w:rsid w:val="00ED3C1B"/>
    <w:rsid w:val="00EE2D20"/>
    <w:rsid w:val="00EE5E9D"/>
    <w:rsid w:val="00EE7648"/>
    <w:rsid w:val="00EF0BB8"/>
    <w:rsid w:val="00EF1952"/>
    <w:rsid w:val="00EF19B8"/>
    <w:rsid w:val="00EF7CC6"/>
    <w:rsid w:val="00EF7FD5"/>
    <w:rsid w:val="00F00D9C"/>
    <w:rsid w:val="00F01EA0"/>
    <w:rsid w:val="00F032F8"/>
    <w:rsid w:val="00F041AC"/>
    <w:rsid w:val="00F047BF"/>
    <w:rsid w:val="00F06EEF"/>
    <w:rsid w:val="00F106BF"/>
    <w:rsid w:val="00F11601"/>
    <w:rsid w:val="00F11AE5"/>
    <w:rsid w:val="00F14CCB"/>
    <w:rsid w:val="00F236AB"/>
    <w:rsid w:val="00F252E9"/>
    <w:rsid w:val="00F2556D"/>
    <w:rsid w:val="00F25C8E"/>
    <w:rsid w:val="00F3564E"/>
    <w:rsid w:val="00F370B6"/>
    <w:rsid w:val="00F409E1"/>
    <w:rsid w:val="00F40F76"/>
    <w:rsid w:val="00F4170E"/>
    <w:rsid w:val="00F43E2E"/>
    <w:rsid w:val="00F458A6"/>
    <w:rsid w:val="00F45B1E"/>
    <w:rsid w:val="00F50822"/>
    <w:rsid w:val="00F51FDE"/>
    <w:rsid w:val="00F53A0E"/>
    <w:rsid w:val="00F55905"/>
    <w:rsid w:val="00F56F8F"/>
    <w:rsid w:val="00F60DFF"/>
    <w:rsid w:val="00F627C1"/>
    <w:rsid w:val="00F62F37"/>
    <w:rsid w:val="00F63063"/>
    <w:rsid w:val="00F70612"/>
    <w:rsid w:val="00F70737"/>
    <w:rsid w:val="00F71FD1"/>
    <w:rsid w:val="00F7272D"/>
    <w:rsid w:val="00F72F6D"/>
    <w:rsid w:val="00F81161"/>
    <w:rsid w:val="00F82C35"/>
    <w:rsid w:val="00F84774"/>
    <w:rsid w:val="00F8594A"/>
    <w:rsid w:val="00F90837"/>
    <w:rsid w:val="00F91257"/>
    <w:rsid w:val="00F91CDA"/>
    <w:rsid w:val="00F92D9E"/>
    <w:rsid w:val="00F96B39"/>
    <w:rsid w:val="00FA1215"/>
    <w:rsid w:val="00FA1B0F"/>
    <w:rsid w:val="00FA41DD"/>
    <w:rsid w:val="00FB0605"/>
    <w:rsid w:val="00FB0876"/>
    <w:rsid w:val="00FB51DB"/>
    <w:rsid w:val="00FB5C86"/>
    <w:rsid w:val="00FD00E6"/>
    <w:rsid w:val="00FD07A5"/>
    <w:rsid w:val="00FE52BC"/>
    <w:rsid w:val="00FE600B"/>
    <w:rsid w:val="00FF10B5"/>
    <w:rsid w:val="00FF52B9"/>
    <w:rsid w:val="00FF5C06"/>
    <w:rsid w:val="00FF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6C69"/>
  <w15:chartTrackingRefBased/>
  <w15:docId w15:val="{0C886300-9D9C-48CE-AAFA-8C9A5C29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98"/>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C67898"/>
    <w:pPr>
      <w:keepNext/>
      <w:ind w:left="720"/>
      <w:outlineLvl w:val="1"/>
    </w:pPr>
    <w:rPr>
      <w:rFonts w:ascii="Times New Roman" w:hAnsi="Times New Roman"/>
      <w:b/>
      <w:i/>
    </w:rPr>
  </w:style>
  <w:style w:type="paragraph" w:styleId="Heading4">
    <w:name w:val="heading 4"/>
    <w:basedOn w:val="Normal"/>
    <w:next w:val="Normal"/>
    <w:link w:val="Heading4Char"/>
    <w:uiPriority w:val="9"/>
    <w:semiHidden/>
    <w:unhideWhenUsed/>
    <w:qFormat/>
    <w:rsid w:val="004C269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7898"/>
    <w:rPr>
      <w:rFonts w:ascii="Times New Roman" w:eastAsia="Times New Roman" w:hAnsi="Times New Roman" w:cs="Times New Roman"/>
      <w:b/>
      <w:i/>
      <w:snapToGrid w:val="0"/>
      <w:sz w:val="24"/>
      <w:szCs w:val="20"/>
    </w:rPr>
  </w:style>
  <w:style w:type="paragraph" w:styleId="BodyTextIndent">
    <w:name w:val="Body Text Indent"/>
    <w:basedOn w:val="Normal"/>
    <w:link w:val="BodyTextIndentChar"/>
    <w:rsid w:val="00C67898"/>
    <w:pPr>
      <w:ind w:left="1440"/>
    </w:pPr>
    <w:rPr>
      <w:rFonts w:ascii="Times New Roman" w:hAnsi="Times New Roman"/>
    </w:rPr>
  </w:style>
  <w:style w:type="character" w:customStyle="1" w:styleId="BodyTextIndentChar">
    <w:name w:val="Body Text Indent Char"/>
    <w:basedOn w:val="DefaultParagraphFont"/>
    <w:link w:val="BodyTextIndent"/>
    <w:rsid w:val="00C67898"/>
    <w:rPr>
      <w:rFonts w:ascii="Times New Roman" w:eastAsia="Times New Roman" w:hAnsi="Times New Roman" w:cs="Times New Roman"/>
      <w:snapToGrid w:val="0"/>
      <w:sz w:val="24"/>
      <w:szCs w:val="20"/>
    </w:rPr>
  </w:style>
  <w:style w:type="paragraph" w:customStyle="1" w:styleId="Level1">
    <w:name w:val="Level 1"/>
    <w:basedOn w:val="Normal"/>
    <w:rsid w:val="00C67898"/>
    <w:pPr>
      <w:numPr>
        <w:numId w:val="2"/>
      </w:numPr>
      <w:ind w:left="474" w:hanging="186"/>
      <w:outlineLvl w:val="0"/>
    </w:pPr>
    <w:rPr>
      <w:rFonts w:ascii="Times New Roman" w:hAnsi="Times New Roman"/>
    </w:rPr>
  </w:style>
  <w:style w:type="paragraph" w:customStyle="1" w:styleId="Level2">
    <w:name w:val="Level 2"/>
    <w:basedOn w:val="Normal"/>
    <w:rsid w:val="00C67898"/>
    <w:pPr>
      <w:ind w:left="722" w:hanging="361"/>
    </w:pPr>
    <w:rPr>
      <w:rFonts w:ascii="Times New Roman" w:hAnsi="Times New Roman"/>
    </w:rPr>
  </w:style>
  <w:style w:type="paragraph" w:styleId="BodyTextIndent2">
    <w:name w:val="Body Text Indent 2"/>
    <w:basedOn w:val="Normal"/>
    <w:link w:val="BodyTextIndent2Char"/>
    <w:rsid w:val="00C678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character" w:customStyle="1" w:styleId="BodyTextIndent2Char">
    <w:name w:val="Body Text Indent 2 Char"/>
    <w:basedOn w:val="DefaultParagraphFont"/>
    <w:link w:val="BodyTextIndent2"/>
    <w:rsid w:val="00C67898"/>
    <w:rPr>
      <w:rFonts w:ascii="Times New Roman" w:eastAsia="Times New Roman" w:hAnsi="Times New Roman" w:cs="Times New Roman"/>
      <w:i/>
      <w:snapToGrid w:val="0"/>
      <w:sz w:val="24"/>
      <w:szCs w:val="20"/>
    </w:rPr>
  </w:style>
  <w:style w:type="paragraph" w:styleId="BodyText">
    <w:name w:val="Body Text"/>
    <w:basedOn w:val="Normal"/>
    <w:link w:val="BodyTextChar"/>
    <w:rsid w:val="00C67898"/>
    <w:rPr>
      <w:i/>
    </w:rPr>
  </w:style>
  <w:style w:type="character" w:customStyle="1" w:styleId="BodyTextChar">
    <w:name w:val="Body Text Char"/>
    <w:basedOn w:val="DefaultParagraphFont"/>
    <w:link w:val="BodyText"/>
    <w:rsid w:val="00C67898"/>
    <w:rPr>
      <w:rFonts w:ascii="Courier" w:eastAsia="Times New Roman" w:hAnsi="Courier" w:cs="Times New Roman"/>
      <w:i/>
      <w:snapToGrid w:val="0"/>
      <w:sz w:val="24"/>
      <w:szCs w:val="20"/>
    </w:rPr>
  </w:style>
  <w:style w:type="paragraph" w:styleId="BodyTextIndent3">
    <w:name w:val="Body Text Indent 3"/>
    <w:basedOn w:val="Normal"/>
    <w:link w:val="BodyTextIndent3Char"/>
    <w:rsid w:val="00C678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rsid w:val="00C67898"/>
    <w:rPr>
      <w:rFonts w:ascii="Courier" w:eastAsia="Times New Roman" w:hAnsi="Courier" w:cs="Times New Roman"/>
      <w:i/>
      <w:snapToGrid w:val="0"/>
      <w:sz w:val="24"/>
      <w:szCs w:val="20"/>
    </w:rPr>
  </w:style>
  <w:style w:type="table" w:styleId="TableGrid">
    <w:name w:val="Table Grid"/>
    <w:basedOn w:val="TableNormal"/>
    <w:uiPriority w:val="39"/>
    <w:rsid w:val="00C67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898"/>
    <w:pPr>
      <w:ind w:left="720"/>
      <w:contextualSpacing/>
    </w:pPr>
  </w:style>
  <w:style w:type="paragraph" w:styleId="NoSpacing">
    <w:name w:val="No Spacing"/>
    <w:uiPriority w:val="1"/>
    <w:qFormat/>
    <w:rsid w:val="00862E16"/>
    <w:pPr>
      <w:spacing w:after="0" w:line="240" w:lineRule="auto"/>
    </w:pPr>
  </w:style>
  <w:style w:type="paragraph" w:styleId="FootnoteText">
    <w:name w:val="footnote text"/>
    <w:basedOn w:val="Normal"/>
    <w:link w:val="FootnoteTextChar"/>
    <w:uiPriority w:val="99"/>
    <w:semiHidden/>
    <w:unhideWhenUsed/>
    <w:rsid w:val="008F2F6D"/>
    <w:rPr>
      <w:sz w:val="20"/>
    </w:rPr>
  </w:style>
  <w:style w:type="character" w:customStyle="1" w:styleId="FootnoteTextChar">
    <w:name w:val="Footnote Text Char"/>
    <w:basedOn w:val="DefaultParagraphFont"/>
    <w:link w:val="FootnoteText"/>
    <w:uiPriority w:val="99"/>
    <w:semiHidden/>
    <w:rsid w:val="008F2F6D"/>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8F2F6D"/>
    <w:rPr>
      <w:vertAlign w:val="superscript"/>
    </w:rPr>
  </w:style>
  <w:style w:type="paragraph" w:styleId="BalloonText">
    <w:name w:val="Balloon Text"/>
    <w:basedOn w:val="Normal"/>
    <w:link w:val="BalloonTextChar"/>
    <w:uiPriority w:val="99"/>
    <w:semiHidden/>
    <w:unhideWhenUsed/>
    <w:rsid w:val="00DD5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B7"/>
    <w:rPr>
      <w:rFonts w:ascii="Segoe UI" w:eastAsia="Times New Roman" w:hAnsi="Segoe UI" w:cs="Segoe UI"/>
      <w:snapToGrid w:val="0"/>
      <w:sz w:val="18"/>
      <w:szCs w:val="18"/>
    </w:rPr>
  </w:style>
  <w:style w:type="paragraph" w:styleId="EndnoteText">
    <w:name w:val="endnote text"/>
    <w:basedOn w:val="Normal"/>
    <w:link w:val="EndnoteTextChar"/>
    <w:uiPriority w:val="99"/>
    <w:semiHidden/>
    <w:unhideWhenUsed/>
    <w:rsid w:val="00B050B3"/>
    <w:rPr>
      <w:sz w:val="20"/>
    </w:rPr>
  </w:style>
  <w:style w:type="character" w:customStyle="1" w:styleId="EndnoteTextChar">
    <w:name w:val="Endnote Text Char"/>
    <w:basedOn w:val="DefaultParagraphFont"/>
    <w:link w:val="EndnoteText"/>
    <w:uiPriority w:val="99"/>
    <w:semiHidden/>
    <w:rsid w:val="00B050B3"/>
    <w:rPr>
      <w:rFonts w:ascii="Courier" w:eastAsia="Times New Roman" w:hAnsi="Courier" w:cs="Times New Roman"/>
      <w:snapToGrid w:val="0"/>
      <w:sz w:val="20"/>
      <w:szCs w:val="20"/>
    </w:rPr>
  </w:style>
  <w:style w:type="character" w:styleId="EndnoteReference">
    <w:name w:val="endnote reference"/>
    <w:basedOn w:val="DefaultParagraphFont"/>
    <w:uiPriority w:val="99"/>
    <w:semiHidden/>
    <w:unhideWhenUsed/>
    <w:rsid w:val="00B050B3"/>
    <w:rPr>
      <w:vertAlign w:val="superscript"/>
    </w:rPr>
  </w:style>
  <w:style w:type="character" w:styleId="CommentReference">
    <w:name w:val="annotation reference"/>
    <w:basedOn w:val="DefaultParagraphFont"/>
    <w:uiPriority w:val="99"/>
    <w:semiHidden/>
    <w:unhideWhenUsed/>
    <w:rsid w:val="0012397F"/>
    <w:rPr>
      <w:sz w:val="16"/>
      <w:szCs w:val="16"/>
    </w:rPr>
  </w:style>
  <w:style w:type="paragraph" w:styleId="CommentText">
    <w:name w:val="annotation text"/>
    <w:basedOn w:val="Normal"/>
    <w:link w:val="CommentTextChar"/>
    <w:uiPriority w:val="99"/>
    <w:semiHidden/>
    <w:unhideWhenUsed/>
    <w:rsid w:val="0012397F"/>
    <w:rPr>
      <w:sz w:val="20"/>
    </w:rPr>
  </w:style>
  <w:style w:type="character" w:customStyle="1" w:styleId="CommentTextChar">
    <w:name w:val="Comment Text Char"/>
    <w:basedOn w:val="DefaultParagraphFont"/>
    <w:link w:val="CommentText"/>
    <w:uiPriority w:val="99"/>
    <w:semiHidden/>
    <w:rsid w:val="0012397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2397F"/>
    <w:rPr>
      <w:b/>
      <w:bCs/>
    </w:rPr>
  </w:style>
  <w:style w:type="character" w:customStyle="1" w:styleId="CommentSubjectChar">
    <w:name w:val="Comment Subject Char"/>
    <w:basedOn w:val="CommentTextChar"/>
    <w:link w:val="CommentSubject"/>
    <w:uiPriority w:val="99"/>
    <w:semiHidden/>
    <w:rsid w:val="0012397F"/>
    <w:rPr>
      <w:rFonts w:ascii="Courier" w:eastAsia="Times New Roman" w:hAnsi="Courier" w:cs="Times New Roman"/>
      <w:b/>
      <w:bCs/>
      <w:snapToGrid w:val="0"/>
      <w:sz w:val="20"/>
      <w:szCs w:val="20"/>
    </w:rPr>
  </w:style>
  <w:style w:type="character" w:styleId="Hyperlink">
    <w:name w:val="Hyperlink"/>
    <w:basedOn w:val="DefaultParagraphFont"/>
    <w:uiPriority w:val="99"/>
    <w:unhideWhenUsed/>
    <w:rsid w:val="00342D65"/>
    <w:rPr>
      <w:color w:val="0563C1" w:themeColor="hyperlink"/>
      <w:u w:val="single"/>
    </w:rPr>
  </w:style>
  <w:style w:type="character" w:styleId="FollowedHyperlink">
    <w:name w:val="FollowedHyperlink"/>
    <w:basedOn w:val="DefaultParagraphFont"/>
    <w:uiPriority w:val="99"/>
    <w:semiHidden/>
    <w:unhideWhenUsed/>
    <w:rsid w:val="00342D65"/>
    <w:rPr>
      <w:color w:val="954F72" w:themeColor="followedHyperlink"/>
      <w:u w:val="single"/>
    </w:rPr>
  </w:style>
  <w:style w:type="character" w:customStyle="1" w:styleId="Heading4Char">
    <w:name w:val="Heading 4 Char"/>
    <w:basedOn w:val="DefaultParagraphFont"/>
    <w:link w:val="Heading4"/>
    <w:uiPriority w:val="9"/>
    <w:semiHidden/>
    <w:rsid w:val="004C2699"/>
    <w:rPr>
      <w:rFonts w:asciiTheme="majorHAnsi" w:eastAsiaTheme="majorEastAsia" w:hAnsiTheme="majorHAnsi" w:cstheme="majorBidi"/>
      <w:i/>
      <w:iCs/>
      <w:snapToGrid w:val="0"/>
      <w:color w:val="2E74B5" w:themeColor="accent1" w:themeShade="BF"/>
      <w:sz w:val="24"/>
      <w:szCs w:val="20"/>
    </w:rPr>
  </w:style>
  <w:style w:type="paragraph" w:styleId="Header">
    <w:name w:val="header"/>
    <w:basedOn w:val="Normal"/>
    <w:link w:val="HeaderChar"/>
    <w:uiPriority w:val="99"/>
    <w:unhideWhenUsed/>
    <w:rsid w:val="00115A20"/>
    <w:pPr>
      <w:tabs>
        <w:tab w:val="center" w:pos="4680"/>
        <w:tab w:val="right" w:pos="9360"/>
      </w:tabs>
    </w:pPr>
  </w:style>
  <w:style w:type="character" w:customStyle="1" w:styleId="HeaderChar">
    <w:name w:val="Header Char"/>
    <w:basedOn w:val="DefaultParagraphFont"/>
    <w:link w:val="Header"/>
    <w:uiPriority w:val="99"/>
    <w:rsid w:val="00115A2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15A20"/>
    <w:pPr>
      <w:tabs>
        <w:tab w:val="center" w:pos="4680"/>
        <w:tab w:val="right" w:pos="9360"/>
      </w:tabs>
    </w:pPr>
  </w:style>
  <w:style w:type="character" w:customStyle="1" w:styleId="FooterChar">
    <w:name w:val="Footer Char"/>
    <w:basedOn w:val="DefaultParagraphFont"/>
    <w:link w:val="Footer"/>
    <w:uiPriority w:val="99"/>
    <w:rsid w:val="00115A20"/>
    <w:rPr>
      <w:rFonts w:ascii="Courier" w:eastAsia="Times New Roman" w:hAnsi="Courier" w:cs="Times New Roman"/>
      <w:snapToGrid w:val="0"/>
      <w:sz w:val="24"/>
      <w:szCs w:val="20"/>
    </w:rPr>
  </w:style>
  <w:style w:type="paragraph" w:styleId="Revision">
    <w:name w:val="Revision"/>
    <w:hidden/>
    <w:uiPriority w:val="99"/>
    <w:semiHidden/>
    <w:rsid w:val="007F648A"/>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7120">
      <w:bodyDiv w:val="1"/>
      <w:marLeft w:val="0"/>
      <w:marRight w:val="0"/>
      <w:marTop w:val="0"/>
      <w:marBottom w:val="0"/>
      <w:divBdr>
        <w:top w:val="none" w:sz="0" w:space="0" w:color="auto"/>
        <w:left w:val="none" w:sz="0" w:space="0" w:color="auto"/>
        <w:bottom w:val="none" w:sz="0" w:space="0" w:color="auto"/>
        <w:right w:val="none" w:sz="0" w:space="0" w:color="auto"/>
      </w:divBdr>
    </w:div>
    <w:div w:id="35934566">
      <w:bodyDiv w:val="1"/>
      <w:marLeft w:val="0"/>
      <w:marRight w:val="0"/>
      <w:marTop w:val="0"/>
      <w:marBottom w:val="0"/>
      <w:divBdr>
        <w:top w:val="none" w:sz="0" w:space="0" w:color="auto"/>
        <w:left w:val="none" w:sz="0" w:space="0" w:color="auto"/>
        <w:bottom w:val="none" w:sz="0" w:space="0" w:color="auto"/>
        <w:right w:val="none" w:sz="0" w:space="0" w:color="auto"/>
      </w:divBdr>
    </w:div>
    <w:div w:id="55789410">
      <w:bodyDiv w:val="1"/>
      <w:marLeft w:val="0"/>
      <w:marRight w:val="0"/>
      <w:marTop w:val="0"/>
      <w:marBottom w:val="0"/>
      <w:divBdr>
        <w:top w:val="none" w:sz="0" w:space="0" w:color="auto"/>
        <w:left w:val="none" w:sz="0" w:space="0" w:color="auto"/>
        <w:bottom w:val="none" w:sz="0" w:space="0" w:color="auto"/>
        <w:right w:val="none" w:sz="0" w:space="0" w:color="auto"/>
      </w:divBdr>
    </w:div>
    <w:div w:id="84036185">
      <w:bodyDiv w:val="1"/>
      <w:marLeft w:val="0"/>
      <w:marRight w:val="0"/>
      <w:marTop w:val="0"/>
      <w:marBottom w:val="0"/>
      <w:divBdr>
        <w:top w:val="none" w:sz="0" w:space="0" w:color="auto"/>
        <w:left w:val="none" w:sz="0" w:space="0" w:color="auto"/>
        <w:bottom w:val="none" w:sz="0" w:space="0" w:color="auto"/>
        <w:right w:val="none" w:sz="0" w:space="0" w:color="auto"/>
      </w:divBdr>
    </w:div>
    <w:div w:id="210773507">
      <w:bodyDiv w:val="1"/>
      <w:marLeft w:val="0"/>
      <w:marRight w:val="0"/>
      <w:marTop w:val="0"/>
      <w:marBottom w:val="0"/>
      <w:divBdr>
        <w:top w:val="none" w:sz="0" w:space="0" w:color="auto"/>
        <w:left w:val="none" w:sz="0" w:space="0" w:color="auto"/>
        <w:bottom w:val="none" w:sz="0" w:space="0" w:color="auto"/>
        <w:right w:val="none" w:sz="0" w:space="0" w:color="auto"/>
      </w:divBdr>
    </w:div>
    <w:div w:id="215244205">
      <w:bodyDiv w:val="1"/>
      <w:marLeft w:val="0"/>
      <w:marRight w:val="0"/>
      <w:marTop w:val="0"/>
      <w:marBottom w:val="0"/>
      <w:divBdr>
        <w:top w:val="none" w:sz="0" w:space="0" w:color="auto"/>
        <w:left w:val="none" w:sz="0" w:space="0" w:color="auto"/>
        <w:bottom w:val="none" w:sz="0" w:space="0" w:color="auto"/>
        <w:right w:val="none" w:sz="0" w:space="0" w:color="auto"/>
      </w:divBdr>
    </w:div>
    <w:div w:id="216666996">
      <w:bodyDiv w:val="1"/>
      <w:marLeft w:val="0"/>
      <w:marRight w:val="0"/>
      <w:marTop w:val="0"/>
      <w:marBottom w:val="0"/>
      <w:divBdr>
        <w:top w:val="none" w:sz="0" w:space="0" w:color="auto"/>
        <w:left w:val="none" w:sz="0" w:space="0" w:color="auto"/>
        <w:bottom w:val="none" w:sz="0" w:space="0" w:color="auto"/>
        <w:right w:val="none" w:sz="0" w:space="0" w:color="auto"/>
      </w:divBdr>
    </w:div>
    <w:div w:id="243805470">
      <w:bodyDiv w:val="1"/>
      <w:marLeft w:val="0"/>
      <w:marRight w:val="0"/>
      <w:marTop w:val="0"/>
      <w:marBottom w:val="0"/>
      <w:divBdr>
        <w:top w:val="none" w:sz="0" w:space="0" w:color="auto"/>
        <w:left w:val="none" w:sz="0" w:space="0" w:color="auto"/>
        <w:bottom w:val="none" w:sz="0" w:space="0" w:color="auto"/>
        <w:right w:val="none" w:sz="0" w:space="0" w:color="auto"/>
      </w:divBdr>
    </w:div>
    <w:div w:id="309483743">
      <w:bodyDiv w:val="1"/>
      <w:marLeft w:val="0"/>
      <w:marRight w:val="0"/>
      <w:marTop w:val="0"/>
      <w:marBottom w:val="0"/>
      <w:divBdr>
        <w:top w:val="none" w:sz="0" w:space="0" w:color="auto"/>
        <w:left w:val="none" w:sz="0" w:space="0" w:color="auto"/>
        <w:bottom w:val="none" w:sz="0" w:space="0" w:color="auto"/>
        <w:right w:val="none" w:sz="0" w:space="0" w:color="auto"/>
      </w:divBdr>
    </w:div>
    <w:div w:id="312175093">
      <w:bodyDiv w:val="1"/>
      <w:marLeft w:val="0"/>
      <w:marRight w:val="0"/>
      <w:marTop w:val="0"/>
      <w:marBottom w:val="0"/>
      <w:divBdr>
        <w:top w:val="none" w:sz="0" w:space="0" w:color="auto"/>
        <w:left w:val="none" w:sz="0" w:space="0" w:color="auto"/>
        <w:bottom w:val="none" w:sz="0" w:space="0" w:color="auto"/>
        <w:right w:val="none" w:sz="0" w:space="0" w:color="auto"/>
      </w:divBdr>
    </w:div>
    <w:div w:id="383062718">
      <w:bodyDiv w:val="1"/>
      <w:marLeft w:val="0"/>
      <w:marRight w:val="0"/>
      <w:marTop w:val="0"/>
      <w:marBottom w:val="0"/>
      <w:divBdr>
        <w:top w:val="none" w:sz="0" w:space="0" w:color="auto"/>
        <w:left w:val="none" w:sz="0" w:space="0" w:color="auto"/>
        <w:bottom w:val="none" w:sz="0" w:space="0" w:color="auto"/>
        <w:right w:val="none" w:sz="0" w:space="0" w:color="auto"/>
      </w:divBdr>
    </w:div>
    <w:div w:id="397442247">
      <w:bodyDiv w:val="1"/>
      <w:marLeft w:val="0"/>
      <w:marRight w:val="0"/>
      <w:marTop w:val="0"/>
      <w:marBottom w:val="0"/>
      <w:divBdr>
        <w:top w:val="none" w:sz="0" w:space="0" w:color="auto"/>
        <w:left w:val="none" w:sz="0" w:space="0" w:color="auto"/>
        <w:bottom w:val="none" w:sz="0" w:space="0" w:color="auto"/>
        <w:right w:val="none" w:sz="0" w:space="0" w:color="auto"/>
      </w:divBdr>
    </w:div>
    <w:div w:id="408769988">
      <w:bodyDiv w:val="1"/>
      <w:marLeft w:val="0"/>
      <w:marRight w:val="0"/>
      <w:marTop w:val="0"/>
      <w:marBottom w:val="0"/>
      <w:divBdr>
        <w:top w:val="none" w:sz="0" w:space="0" w:color="auto"/>
        <w:left w:val="none" w:sz="0" w:space="0" w:color="auto"/>
        <w:bottom w:val="none" w:sz="0" w:space="0" w:color="auto"/>
        <w:right w:val="none" w:sz="0" w:space="0" w:color="auto"/>
      </w:divBdr>
    </w:div>
    <w:div w:id="451437068">
      <w:bodyDiv w:val="1"/>
      <w:marLeft w:val="0"/>
      <w:marRight w:val="0"/>
      <w:marTop w:val="0"/>
      <w:marBottom w:val="0"/>
      <w:divBdr>
        <w:top w:val="none" w:sz="0" w:space="0" w:color="auto"/>
        <w:left w:val="none" w:sz="0" w:space="0" w:color="auto"/>
        <w:bottom w:val="none" w:sz="0" w:space="0" w:color="auto"/>
        <w:right w:val="none" w:sz="0" w:space="0" w:color="auto"/>
      </w:divBdr>
    </w:div>
    <w:div w:id="456681884">
      <w:bodyDiv w:val="1"/>
      <w:marLeft w:val="0"/>
      <w:marRight w:val="0"/>
      <w:marTop w:val="0"/>
      <w:marBottom w:val="0"/>
      <w:divBdr>
        <w:top w:val="none" w:sz="0" w:space="0" w:color="auto"/>
        <w:left w:val="none" w:sz="0" w:space="0" w:color="auto"/>
        <w:bottom w:val="none" w:sz="0" w:space="0" w:color="auto"/>
        <w:right w:val="none" w:sz="0" w:space="0" w:color="auto"/>
      </w:divBdr>
    </w:div>
    <w:div w:id="464658397">
      <w:bodyDiv w:val="1"/>
      <w:marLeft w:val="0"/>
      <w:marRight w:val="0"/>
      <w:marTop w:val="0"/>
      <w:marBottom w:val="0"/>
      <w:divBdr>
        <w:top w:val="none" w:sz="0" w:space="0" w:color="auto"/>
        <w:left w:val="none" w:sz="0" w:space="0" w:color="auto"/>
        <w:bottom w:val="none" w:sz="0" w:space="0" w:color="auto"/>
        <w:right w:val="none" w:sz="0" w:space="0" w:color="auto"/>
      </w:divBdr>
    </w:div>
    <w:div w:id="509487614">
      <w:bodyDiv w:val="1"/>
      <w:marLeft w:val="0"/>
      <w:marRight w:val="0"/>
      <w:marTop w:val="0"/>
      <w:marBottom w:val="0"/>
      <w:divBdr>
        <w:top w:val="none" w:sz="0" w:space="0" w:color="auto"/>
        <w:left w:val="none" w:sz="0" w:space="0" w:color="auto"/>
        <w:bottom w:val="none" w:sz="0" w:space="0" w:color="auto"/>
        <w:right w:val="none" w:sz="0" w:space="0" w:color="auto"/>
      </w:divBdr>
    </w:div>
    <w:div w:id="560216113">
      <w:bodyDiv w:val="1"/>
      <w:marLeft w:val="0"/>
      <w:marRight w:val="0"/>
      <w:marTop w:val="0"/>
      <w:marBottom w:val="0"/>
      <w:divBdr>
        <w:top w:val="none" w:sz="0" w:space="0" w:color="auto"/>
        <w:left w:val="none" w:sz="0" w:space="0" w:color="auto"/>
        <w:bottom w:val="none" w:sz="0" w:space="0" w:color="auto"/>
        <w:right w:val="none" w:sz="0" w:space="0" w:color="auto"/>
      </w:divBdr>
    </w:div>
    <w:div w:id="588151174">
      <w:bodyDiv w:val="1"/>
      <w:marLeft w:val="0"/>
      <w:marRight w:val="0"/>
      <w:marTop w:val="0"/>
      <w:marBottom w:val="0"/>
      <w:divBdr>
        <w:top w:val="none" w:sz="0" w:space="0" w:color="auto"/>
        <w:left w:val="none" w:sz="0" w:space="0" w:color="auto"/>
        <w:bottom w:val="none" w:sz="0" w:space="0" w:color="auto"/>
        <w:right w:val="none" w:sz="0" w:space="0" w:color="auto"/>
      </w:divBdr>
    </w:div>
    <w:div w:id="635795017">
      <w:bodyDiv w:val="1"/>
      <w:marLeft w:val="0"/>
      <w:marRight w:val="0"/>
      <w:marTop w:val="0"/>
      <w:marBottom w:val="0"/>
      <w:divBdr>
        <w:top w:val="none" w:sz="0" w:space="0" w:color="auto"/>
        <w:left w:val="none" w:sz="0" w:space="0" w:color="auto"/>
        <w:bottom w:val="none" w:sz="0" w:space="0" w:color="auto"/>
        <w:right w:val="none" w:sz="0" w:space="0" w:color="auto"/>
      </w:divBdr>
    </w:div>
    <w:div w:id="669328571">
      <w:bodyDiv w:val="1"/>
      <w:marLeft w:val="0"/>
      <w:marRight w:val="0"/>
      <w:marTop w:val="0"/>
      <w:marBottom w:val="0"/>
      <w:divBdr>
        <w:top w:val="none" w:sz="0" w:space="0" w:color="auto"/>
        <w:left w:val="none" w:sz="0" w:space="0" w:color="auto"/>
        <w:bottom w:val="none" w:sz="0" w:space="0" w:color="auto"/>
        <w:right w:val="none" w:sz="0" w:space="0" w:color="auto"/>
      </w:divBdr>
    </w:div>
    <w:div w:id="708184178">
      <w:bodyDiv w:val="1"/>
      <w:marLeft w:val="0"/>
      <w:marRight w:val="0"/>
      <w:marTop w:val="0"/>
      <w:marBottom w:val="0"/>
      <w:divBdr>
        <w:top w:val="none" w:sz="0" w:space="0" w:color="auto"/>
        <w:left w:val="none" w:sz="0" w:space="0" w:color="auto"/>
        <w:bottom w:val="none" w:sz="0" w:space="0" w:color="auto"/>
        <w:right w:val="none" w:sz="0" w:space="0" w:color="auto"/>
      </w:divBdr>
    </w:div>
    <w:div w:id="769474343">
      <w:bodyDiv w:val="1"/>
      <w:marLeft w:val="0"/>
      <w:marRight w:val="0"/>
      <w:marTop w:val="0"/>
      <w:marBottom w:val="0"/>
      <w:divBdr>
        <w:top w:val="none" w:sz="0" w:space="0" w:color="auto"/>
        <w:left w:val="none" w:sz="0" w:space="0" w:color="auto"/>
        <w:bottom w:val="none" w:sz="0" w:space="0" w:color="auto"/>
        <w:right w:val="none" w:sz="0" w:space="0" w:color="auto"/>
      </w:divBdr>
    </w:div>
    <w:div w:id="866479997">
      <w:bodyDiv w:val="1"/>
      <w:marLeft w:val="0"/>
      <w:marRight w:val="0"/>
      <w:marTop w:val="0"/>
      <w:marBottom w:val="0"/>
      <w:divBdr>
        <w:top w:val="none" w:sz="0" w:space="0" w:color="auto"/>
        <w:left w:val="none" w:sz="0" w:space="0" w:color="auto"/>
        <w:bottom w:val="none" w:sz="0" w:space="0" w:color="auto"/>
        <w:right w:val="none" w:sz="0" w:space="0" w:color="auto"/>
      </w:divBdr>
    </w:div>
    <w:div w:id="877473853">
      <w:bodyDiv w:val="1"/>
      <w:marLeft w:val="0"/>
      <w:marRight w:val="0"/>
      <w:marTop w:val="0"/>
      <w:marBottom w:val="0"/>
      <w:divBdr>
        <w:top w:val="none" w:sz="0" w:space="0" w:color="auto"/>
        <w:left w:val="none" w:sz="0" w:space="0" w:color="auto"/>
        <w:bottom w:val="none" w:sz="0" w:space="0" w:color="auto"/>
        <w:right w:val="none" w:sz="0" w:space="0" w:color="auto"/>
      </w:divBdr>
    </w:div>
    <w:div w:id="918369854">
      <w:bodyDiv w:val="1"/>
      <w:marLeft w:val="0"/>
      <w:marRight w:val="0"/>
      <w:marTop w:val="0"/>
      <w:marBottom w:val="0"/>
      <w:divBdr>
        <w:top w:val="none" w:sz="0" w:space="0" w:color="auto"/>
        <w:left w:val="none" w:sz="0" w:space="0" w:color="auto"/>
        <w:bottom w:val="none" w:sz="0" w:space="0" w:color="auto"/>
        <w:right w:val="none" w:sz="0" w:space="0" w:color="auto"/>
      </w:divBdr>
    </w:div>
    <w:div w:id="919364479">
      <w:bodyDiv w:val="1"/>
      <w:marLeft w:val="0"/>
      <w:marRight w:val="0"/>
      <w:marTop w:val="0"/>
      <w:marBottom w:val="0"/>
      <w:divBdr>
        <w:top w:val="none" w:sz="0" w:space="0" w:color="auto"/>
        <w:left w:val="none" w:sz="0" w:space="0" w:color="auto"/>
        <w:bottom w:val="none" w:sz="0" w:space="0" w:color="auto"/>
        <w:right w:val="none" w:sz="0" w:space="0" w:color="auto"/>
      </w:divBdr>
    </w:div>
    <w:div w:id="967929650">
      <w:bodyDiv w:val="1"/>
      <w:marLeft w:val="0"/>
      <w:marRight w:val="0"/>
      <w:marTop w:val="0"/>
      <w:marBottom w:val="0"/>
      <w:divBdr>
        <w:top w:val="none" w:sz="0" w:space="0" w:color="auto"/>
        <w:left w:val="none" w:sz="0" w:space="0" w:color="auto"/>
        <w:bottom w:val="none" w:sz="0" w:space="0" w:color="auto"/>
        <w:right w:val="none" w:sz="0" w:space="0" w:color="auto"/>
      </w:divBdr>
    </w:div>
    <w:div w:id="973169889">
      <w:bodyDiv w:val="1"/>
      <w:marLeft w:val="0"/>
      <w:marRight w:val="0"/>
      <w:marTop w:val="0"/>
      <w:marBottom w:val="0"/>
      <w:divBdr>
        <w:top w:val="none" w:sz="0" w:space="0" w:color="auto"/>
        <w:left w:val="none" w:sz="0" w:space="0" w:color="auto"/>
        <w:bottom w:val="none" w:sz="0" w:space="0" w:color="auto"/>
        <w:right w:val="none" w:sz="0" w:space="0" w:color="auto"/>
      </w:divBdr>
    </w:div>
    <w:div w:id="991758815">
      <w:bodyDiv w:val="1"/>
      <w:marLeft w:val="0"/>
      <w:marRight w:val="0"/>
      <w:marTop w:val="0"/>
      <w:marBottom w:val="0"/>
      <w:divBdr>
        <w:top w:val="none" w:sz="0" w:space="0" w:color="auto"/>
        <w:left w:val="none" w:sz="0" w:space="0" w:color="auto"/>
        <w:bottom w:val="none" w:sz="0" w:space="0" w:color="auto"/>
        <w:right w:val="none" w:sz="0" w:space="0" w:color="auto"/>
      </w:divBdr>
    </w:div>
    <w:div w:id="1018461197">
      <w:bodyDiv w:val="1"/>
      <w:marLeft w:val="0"/>
      <w:marRight w:val="0"/>
      <w:marTop w:val="0"/>
      <w:marBottom w:val="0"/>
      <w:divBdr>
        <w:top w:val="none" w:sz="0" w:space="0" w:color="auto"/>
        <w:left w:val="none" w:sz="0" w:space="0" w:color="auto"/>
        <w:bottom w:val="none" w:sz="0" w:space="0" w:color="auto"/>
        <w:right w:val="none" w:sz="0" w:space="0" w:color="auto"/>
      </w:divBdr>
    </w:div>
    <w:div w:id="1067461064">
      <w:bodyDiv w:val="1"/>
      <w:marLeft w:val="0"/>
      <w:marRight w:val="0"/>
      <w:marTop w:val="0"/>
      <w:marBottom w:val="0"/>
      <w:divBdr>
        <w:top w:val="none" w:sz="0" w:space="0" w:color="auto"/>
        <w:left w:val="none" w:sz="0" w:space="0" w:color="auto"/>
        <w:bottom w:val="none" w:sz="0" w:space="0" w:color="auto"/>
        <w:right w:val="none" w:sz="0" w:space="0" w:color="auto"/>
      </w:divBdr>
    </w:div>
    <w:div w:id="1079837651">
      <w:bodyDiv w:val="1"/>
      <w:marLeft w:val="0"/>
      <w:marRight w:val="0"/>
      <w:marTop w:val="0"/>
      <w:marBottom w:val="0"/>
      <w:divBdr>
        <w:top w:val="none" w:sz="0" w:space="0" w:color="auto"/>
        <w:left w:val="none" w:sz="0" w:space="0" w:color="auto"/>
        <w:bottom w:val="none" w:sz="0" w:space="0" w:color="auto"/>
        <w:right w:val="none" w:sz="0" w:space="0" w:color="auto"/>
      </w:divBdr>
    </w:div>
    <w:div w:id="1111167547">
      <w:bodyDiv w:val="1"/>
      <w:marLeft w:val="0"/>
      <w:marRight w:val="0"/>
      <w:marTop w:val="0"/>
      <w:marBottom w:val="0"/>
      <w:divBdr>
        <w:top w:val="none" w:sz="0" w:space="0" w:color="auto"/>
        <w:left w:val="none" w:sz="0" w:space="0" w:color="auto"/>
        <w:bottom w:val="none" w:sz="0" w:space="0" w:color="auto"/>
        <w:right w:val="none" w:sz="0" w:space="0" w:color="auto"/>
      </w:divBdr>
    </w:div>
    <w:div w:id="1123384167">
      <w:bodyDiv w:val="1"/>
      <w:marLeft w:val="0"/>
      <w:marRight w:val="0"/>
      <w:marTop w:val="0"/>
      <w:marBottom w:val="0"/>
      <w:divBdr>
        <w:top w:val="none" w:sz="0" w:space="0" w:color="auto"/>
        <w:left w:val="none" w:sz="0" w:space="0" w:color="auto"/>
        <w:bottom w:val="none" w:sz="0" w:space="0" w:color="auto"/>
        <w:right w:val="none" w:sz="0" w:space="0" w:color="auto"/>
      </w:divBdr>
    </w:div>
    <w:div w:id="1150444225">
      <w:bodyDiv w:val="1"/>
      <w:marLeft w:val="0"/>
      <w:marRight w:val="0"/>
      <w:marTop w:val="0"/>
      <w:marBottom w:val="0"/>
      <w:divBdr>
        <w:top w:val="none" w:sz="0" w:space="0" w:color="auto"/>
        <w:left w:val="none" w:sz="0" w:space="0" w:color="auto"/>
        <w:bottom w:val="none" w:sz="0" w:space="0" w:color="auto"/>
        <w:right w:val="none" w:sz="0" w:space="0" w:color="auto"/>
      </w:divBdr>
    </w:div>
    <w:div w:id="1177421733">
      <w:bodyDiv w:val="1"/>
      <w:marLeft w:val="0"/>
      <w:marRight w:val="0"/>
      <w:marTop w:val="0"/>
      <w:marBottom w:val="0"/>
      <w:divBdr>
        <w:top w:val="none" w:sz="0" w:space="0" w:color="auto"/>
        <w:left w:val="none" w:sz="0" w:space="0" w:color="auto"/>
        <w:bottom w:val="none" w:sz="0" w:space="0" w:color="auto"/>
        <w:right w:val="none" w:sz="0" w:space="0" w:color="auto"/>
      </w:divBdr>
    </w:div>
    <w:div w:id="1186482528">
      <w:bodyDiv w:val="1"/>
      <w:marLeft w:val="0"/>
      <w:marRight w:val="0"/>
      <w:marTop w:val="0"/>
      <w:marBottom w:val="0"/>
      <w:divBdr>
        <w:top w:val="none" w:sz="0" w:space="0" w:color="auto"/>
        <w:left w:val="none" w:sz="0" w:space="0" w:color="auto"/>
        <w:bottom w:val="none" w:sz="0" w:space="0" w:color="auto"/>
        <w:right w:val="none" w:sz="0" w:space="0" w:color="auto"/>
      </w:divBdr>
    </w:div>
    <w:div w:id="1206794267">
      <w:bodyDiv w:val="1"/>
      <w:marLeft w:val="0"/>
      <w:marRight w:val="0"/>
      <w:marTop w:val="0"/>
      <w:marBottom w:val="0"/>
      <w:divBdr>
        <w:top w:val="none" w:sz="0" w:space="0" w:color="auto"/>
        <w:left w:val="none" w:sz="0" w:space="0" w:color="auto"/>
        <w:bottom w:val="none" w:sz="0" w:space="0" w:color="auto"/>
        <w:right w:val="none" w:sz="0" w:space="0" w:color="auto"/>
      </w:divBdr>
    </w:div>
    <w:div w:id="1272467321">
      <w:bodyDiv w:val="1"/>
      <w:marLeft w:val="0"/>
      <w:marRight w:val="0"/>
      <w:marTop w:val="0"/>
      <w:marBottom w:val="0"/>
      <w:divBdr>
        <w:top w:val="none" w:sz="0" w:space="0" w:color="auto"/>
        <w:left w:val="none" w:sz="0" w:space="0" w:color="auto"/>
        <w:bottom w:val="none" w:sz="0" w:space="0" w:color="auto"/>
        <w:right w:val="none" w:sz="0" w:space="0" w:color="auto"/>
      </w:divBdr>
    </w:div>
    <w:div w:id="1273168008">
      <w:bodyDiv w:val="1"/>
      <w:marLeft w:val="0"/>
      <w:marRight w:val="0"/>
      <w:marTop w:val="0"/>
      <w:marBottom w:val="0"/>
      <w:divBdr>
        <w:top w:val="none" w:sz="0" w:space="0" w:color="auto"/>
        <w:left w:val="none" w:sz="0" w:space="0" w:color="auto"/>
        <w:bottom w:val="none" w:sz="0" w:space="0" w:color="auto"/>
        <w:right w:val="none" w:sz="0" w:space="0" w:color="auto"/>
      </w:divBdr>
    </w:div>
    <w:div w:id="1300695102">
      <w:bodyDiv w:val="1"/>
      <w:marLeft w:val="0"/>
      <w:marRight w:val="0"/>
      <w:marTop w:val="0"/>
      <w:marBottom w:val="0"/>
      <w:divBdr>
        <w:top w:val="none" w:sz="0" w:space="0" w:color="auto"/>
        <w:left w:val="none" w:sz="0" w:space="0" w:color="auto"/>
        <w:bottom w:val="none" w:sz="0" w:space="0" w:color="auto"/>
        <w:right w:val="none" w:sz="0" w:space="0" w:color="auto"/>
      </w:divBdr>
    </w:div>
    <w:div w:id="1354302651">
      <w:bodyDiv w:val="1"/>
      <w:marLeft w:val="0"/>
      <w:marRight w:val="0"/>
      <w:marTop w:val="0"/>
      <w:marBottom w:val="0"/>
      <w:divBdr>
        <w:top w:val="none" w:sz="0" w:space="0" w:color="auto"/>
        <w:left w:val="none" w:sz="0" w:space="0" w:color="auto"/>
        <w:bottom w:val="none" w:sz="0" w:space="0" w:color="auto"/>
        <w:right w:val="none" w:sz="0" w:space="0" w:color="auto"/>
      </w:divBdr>
    </w:div>
    <w:div w:id="1384251847">
      <w:bodyDiv w:val="1"/>
      <w:marLeft w:val="0"/>
      <w:marRight w:val="0"/>
      <w:marTop w:val="0"/>
      <w:marBottom w:val="0"/>
      <w:divBdr>
        <w:top w:val="none" w:sz="0" w:space="0" w:color="auto"/>
        <w:left w:val="none" w:sz="0" w:space="0" w:color="auto"/>
        <w:bottom w:val="none" w:sz="0" w:space="0" w:color="auto"/>
        <w:right w:val="none" w:sz="0" w:space="0" w:color="auto"/>
      </w:divBdr>
    </w:div>
    <w:div w:id="1394278621">
      <w:bodyDiv w:val="1"/>
      <w:marLeft w:val="0"/>
      <w:marRight w:val="0"/>
      <w:marTop w:val="0"/>
      <w:marBottom w:val="0"/>
      <w:divBdr>
        <w:top w:val="none" w:sz="0" w:space="0" w:color="auto"/>
        <w:left w:val="none" w:sz="0" w:space="0" w:color="auto"/>
        <w:bottom w:val="none" w:sz="0" w:space="0" w:color="auto"/>
        <w:right w:val="none" w:sz="0" w:space="0" w:color="auto"/>
      </w:divBdr>
    </w:div>
    <w:div w:id="1433546367">
      <w:bodyDiv w:val="1"/>
      <w:marLeft w:val="0"/>
      <w:marRight w:val="0"/>
      <w:marTop w:val="0"/>
      <w:marBottom w:val="0"/>
      <w:divBdr>
        <w:top w:val="none" w:sz="0" w:space="0" w:color="auto"/>
        <w:left w:val="none" w:sz="0" w:space="0" w:color="auto"/>
        <w:bottom w:val="none" w:sz="0" w:space="0" w:color="auto"/>
        <w:right w:val="none" w:sz="0" w:space="0" w:color="auto"/>
      </w:divBdr>
    </w:div>
    <w:div w:id="1441223540">
      <w:bodyDiv w:val="1"/>
      <w:marLeft w:val="0"/>
      <w:marRight w:val="0"/>
      <w:marTop w:val="0"/>
      <w:marBottom w:val="0"/>
      <w:divBdr>
        <w:top w:val="none" w:sz="0" w:space="0" w:color="auto"/>
        <w:left w:val="none" w:sz="0" w:space="0" w:color="auto"/>
        <w:bottom w:val="none" w:sz="0" w:space="0" w:color="auto"/>
        <w:right w:val="none" w:sz="0" w:space="0" w:color="auto"/>
      </w:divBdr>
    </w:div>
    <w:div w:id="1486780478">
      <w:bodyDiv w:val="1"/>
      <w:marLeft w:val="0"/>
      <w:marRight w:val="0"/>
      <w:marTop w:val="0"/>
      <w:marBottom w:val="0"/>
      <w:divBdr>
        <w:top w:val="none" w:sz="0" w:space="0" w:color="auto"/>
        <w:left w:val="none" w:sz="0" w:space="0" w:color="auto"/>
        <w:bottom w:val="none" w:sz="0" w:space="0" w:color="auto"/>
        <w:right w:val="none" w:sz="0" w:space="0" w:color="auto"/>
      </w:divBdr>
    </w:div>
    <w:div w:id="1490511627">
      <w:bodyDiv w:val="1"/>
      <w:marLeft w:val="0"/>
      <w:marRight w:val="0"/>
      <w:marTop w:val="0"/>
      <w:marBottom w:val="0"/>
      <w:divBdr>
        <w:top w:val="none" w:sz="0" w:space="0" w:color="auto"/>
        <w:left w:val="none" w:sz="0" w:space="0" w:color="auto"/>
        <w:bottom w:val="none" w:sz="0" w:space="0" w:color="auto"/>
        <w:right w:val="none" w:sz="0" w:space="0" w:color="auto"/>
      </w:divBdr>
    </w:div>
    <w:div w:id="1496141938">
      <w:bodyDiv w:val="1"/>
      <w:marLeft w:val="0"/>
      <w:marRight w:val="0"/>
      <w:marTop w:val="0"/>
      <w:marBottom w:val="0"/>
      <w:divBdr>
        <w:top w:val="none" w:sz="0" w:space="0" w:color="auto"/>
        <w:left w:val="none" w:sz="0" w:space="0" w:color="auto"/>
        <w:bottom w:val="none" w:sz="0" w:space="0" w:color="auto"/>
        <w:right w:val="none" w:sz="0" w:space="0" w:color="auto"/>
      </w:divBdr>
    </w:div>
    <w:div w:id="1526401410">
      <w:bodyDiv w:val="1"/>
      <w:marLeft w:val="0"/>
      <w:marRight w:val="0"/>
      <w:marTop w:val="0"/>
      <w:marBottom w:val="0"/>
      <w:divBdr>
        <w:top w:val="none" w:sz="0" w:space="0" w:color="auto"/>
        <w:left w:val="none" w:sz="0" w:space="0" w:color="auto"/>
        <w:bottom w:val="none" w:sz="0" w:space="0" w:color="auto"/>
        <w:right w:val="none" w:sz="0" w:space="0" w:color="auto"/>
      </w:divBdr>
    </w:div>
    <w:div w:id="1555047546">
      <w:bodyDiv w:val="1"/>
      <w:marLeft w:val="0"/>
      <w:marRight w:val="0"/>
      <w:marTop w:val="0"/>
      <w:marBottom w:val="0"/>
      <w:divBdr>
        <w:top w:val="none" w:sz="0" w:space="0" w:color="auto"/>
        <w:left w:val="none" w:sz="0" w:space="0" w:color="auto"/>
        <w:bottom w:val="none" w:sz="0" w:space="0" w:color="auto"/>
        <w:right w:val="none" w:sz="0" w:space="0" w:color="auto"/>
      </w:divBdr>
    </w:div>
    <w:div w:id="1556310225">
      <w:bodyDiv w:val="1"/>
      <w:marLeft w:val="0"/>
      <w:marRight w:val="0"/>
      <w:marTop w:val="0"/>
      <w:marBottom w:val="0"/>
      <w:divBdr>
        <w:top w:val="none" w:sz="0" w:space="0" w:color="auto"/>
        <w:left w:val="none" w:sz="0" w:space="0" w:color="auto"/>
        <w:bottom w:val="none" w:sz="0" w:space="0" w:color="auto"/>
        <w:right w:val="none" w:sz="0" w:space="0" w:color="auto"/>
      </w:divBdr>
    </w:div>
    <w:div w:id="1634479795">
      <w:bodyDiv w:val="1"/>
      <w:marLeft w:val="0"/>
      <w:marRight w:val="0"/>
      <w:marTop w:val="0"/>
      <w:marBottom w:val="0"/>
      <w:divBdr>
        <w:top w:val="none" w:sz="0" w:space="0" w:color="auto"/>
        <w:left w:val="none" w:sz="0" w:space="0" w:color="auto"/>
        <w:bottom w:val="none" w:sz="0" w:space="0" w:color="auto"/>
        <w:right w:val="none" w:sz="0" w:space="0" w:color="auto"/>
      </w:divBdr>
    </w:div>
    <w:div w:id="1684815068">
      <w:bodyDiv w:val="1"/>
      <w:marLeft w:val="0"/>
      <w:marRight w:val="0"/>
      <w:marTop w:val="0"/>
      <w:marBottom w:val="0"/>
      <w:divBdr>
        <w:top w:val="none" w:sz="0" w:space="0" w:color="auto"/>
        <w:left w:val="none" w:sz="0" w:space="0" w:color="auto"/>
        <w:bottom w:val="none" w:sz="0" w:space="0" w:color="auto"/>
        <w:right w:val="none" w:sz="0" w:space="0" w:color="auto"/>
      </w:divBdr>
    </w:div>
    <w:div w:id="1770197776">
      <w:bodyDiv w:val="1"/>
      <w:marLeft w:val="0"/>
      <w:marRight w:val="0"/>
      <w:marTop w:val="0"/>
      <w:marBottom w:val="0"/>
      <w:divBdr>
        <w:top w:val="none" w:sz="0" w:space="0" w:color="auto"/>
        <w:left w:val="none" w:sz="0" w:space="0" w:color="auto"/>
        <w:bottom w:val="none" w:sz="0" w:space="0" w:color="auto"/>
        <w:right w:val="none" w:sz="0" w:space="0" w:color="auto"/>
      </w:divBdr>
    </w:div>
    <w:div w:id="1795833068">
      <w:bodyDiv w:val="1"/>
      <w:marLeft w:val="0"/>
      <w:marRight w:val="0"/>
      <w:marTop w:val="0"/>
      <w:marBottom w:val="0"/>
      <w:divBdr>
        <w:top w:val="none" w:sz="0" w:space="0" w:color="auto"/>
        <w:left w:val="none" w:sz="0" w:space="0" w:color="auto"/>
        <w:bottom w:val="none" w:sz="0" w:space="0" w:color="auto"/>
        <w:right w:val="none" w:sz="0" w:space="0" w:color="auto"/>
      </w:divBdr>
    </w:div>
    <w:div w:id="1831410792">
      <w:bodyDiv w:val="1"/>
      <w:marLeft w:val="0"/>
      <w:marRight w:val="0"/>
      <w:marTop w:val="0"/>
      <w:marBottom w:val="0"/>
      <w:divBdr>
        <w:top w:val="none" w:sz="0" w:space="0" w:color="auto"/>
        <w:left w:val="none" w:sz="0" w:space="0" w:color="auto"/>
        <w:bottom w:val="none" w:sz="0" w:space="0" w:color="auto"/>
        <w:right w:val="none" w:sz="0" w:space="0" w:color="auto"/>
      </w:divBdr>
    </w:div>
    <w:div w:id="1861821764">
      <w:bodyDiv w:val="1"/>
      <w:marLeft w:val="0"/>
      <w:marRight w:val="0"/>
      <w:marTop w:val="0"/>
      <w:marBottom w:val="0"/>
      <w:divBdr>
        <w:top w:val="none" w:sz="0" w:space="0" w:color="auto"/>
        <w:left w:val="none" w:sz="0" w:space="0" w:color="auto"/>
        <w:bottom w:val="none" w:sz="0" w:space="0" w:color="auto"/>
        <w:right w:val="none" w:sz="0" w:space="0" w:color="auto"/>
      </w:divBdr>
    </w:div>
    <w:div w:id="1879514969">
      <w:bodyDiv w:val="1"/>
      <w:marLeft w:val="0"/>
      <w:marRight w:val="0"/>
      <w:marTop w:val="0"/>
      <w:marBottom w:val="0"/>
      <w:divBdr>
        <w:top w:val="none" w:sz="0" w:space="0" w:color="auto"/>
        <w:left w:val="none" w:sz="0" w:space="0" w:color="auto"/>
        <w:bottom w:val="none" w:sz="0" w:space="0" w:color="auto"/>
        <w:right w:val="none" w:sz="0" w:space="0" w:color="auto"/>
      </w:divBdr>
    </w:div>
    <w:div w:id="1919289859">
      <w:bodyDiv w:val="1"/>
      <w:marLeft w:val="0"/>
      <w:marRight w:val="0"/>
      <w:marTop w:val="0"/>
      <w:marBottom w:val="0"/>
      <w:divBdr>
        <w:top w:val="none" w:sz="0" w:space="0" w:color="auto"/>
        <w:left w:val="none" w:sz="0" w:space="0" w:color="auto"/>
        <w:bottom w:val="none" w:sz="0" w:space="0" w:color="auto"/>
        <w:right w:val="none" w:sz="0" w:space="0" w:color="auto"/>
      </w:divBdr>
    </w:div>
    <w:div w:id="1936204569">
      <w:bodyDiv w:val="1"/>
      <w:marLeft w:val="0"/>
      <w:marRight w:val="0"/>
      <w:marTop w:val="0"/>
      <w:marBottom w:val="0"/>
      <w:divBdr>
        <w:top w:val="none" w:sz="0" w:space="0" w:color="auto"/>
        <w:left w:val="none" w:sz="0" w:space="0" w:color="auto"/>
        <w:bottom w:val="none" w:sz="0" w:space="0" w:color="auto"/>
        <w:right w:val="none" w:sz="0" w:space="0" w:color="auto"/>
      </w:divBdr>
    </w:div>
    <w:div w:id="1953852948">
      <w:bodyDiv w:val="1"/>
      <w:marLeft w:val="0"/>
      <w:marRight w:val="0"/>
      <w:marTop w:val="0"/>
      <w:marBottom w:val="0"/>
      <w:divBdr>
        <w:top w:val="none" w:sz="0" w:space="0" w:color="auto"/>
        <w:left w:val="none" w:sz="0" w:space="0" w:color="auto"/>
        <w:bottom w:val="none" w:sz="0" w:space="0" w:color="auto"/>
        <w:right w:val="none" w:sz="0" w:space="0" w:color="auto"/>
      </w:divBdr>
    </w:div>
    <w:div w:id="2052876555">
      <w:bodyDiv w:val="1"/>
      <w:marLeft w:val="0"/>
      <w:marRight w:val="0"/>
      <w:marTop w:val="0"/>
      <w:marBottom w:val="0"/>
      <w:divBdr>
        <w:top w:val="none" w:sz="0" w:space="0" w:color="auto"/>
        <w:left w:val="none" w:sz="0" w:space="0" w:color="auto"/>
        <w:bottom w:val="none" w:sz="0" w:space="0" w:color="auto"/>
        <w:right w:val="none" w:sz="0" w:space="0" w:color="auto"/>
      </w:divBdr>
    </w:div>
    <w:div w:id="2123768152">
      <w:bodyDiv w:val="1"/>
      <w:marLeft w:val="0"/>
      <w:marRight w:val="0"/>
      <w:marTop w:val="0"/>
      <w:marBottom w:val="0"/>
      <w:divBdr>
        <w:top w:val="none" w:sz="0" w:space="0" w:color="auto"/>
        <w:left w:val="none" w:sz="0" w:space="0" w:color="auto"/>
        <w:bottom w:val="none" w:sz="0" w:space="0" w:color="auto"/>
        <w:right w:val="none" w:sz="0" w:space="0" w:color="auto"/>
      </w:divBdr>
    </w:div>
    <w:div w:id="2124877252">
      <w:bodyDiv w:val="1"/>
      <w:marLeft w:val="0"/>
      <w:marRight w:val="0"/>
      <w:marTop w:val="0"/>
      <w:marBottom w:val="0"/>
      <w:divBdr>
        <w:top w:val="none" w:sz="0" w:space="0" w:color="auto"/>
        <w:left w:val="none" w:sz="0" w:space="0" w:color="auto"/>
        <w:bottom w:val="none" w:sz="0" w:space="0" w:color="auto"/>
        <w:right w:val="none" w:sz="0" w:space="0" w:color="auto"/>
      </w:divBdr>
    </w:div>
    <w:div w:id="2141916650">
      <w:bodyDiv w:val="1"/>
      <w:marLeft w:val="0"/>
      <w:marRight w:val="0"/>
      <w:marTop w:val="0"/>
      <w:marBottom w:val="0"/>
      <w:divBdr>
        <w:top w:val="none" w:sz="0" w:space="0" w:color="auto"/>
        <w:left w:val="none" w:sz="0" w:space="0" w:color="auto"/>
        <w:bottom w:val="none" w:sz="0" w:space="0" w:color="auto"/>
        <w:right w:val="none" w:sz="0" w:space="0" w:color="auto"/>
      </w:divBdr>
    </w:div>
    <w:div w:id="214651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ant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cwsrf/learn-about-clean-water-state-revolving-fund-cwsrf" TargetMode="External"/><Relationship Id="rId17" Type="http://schemas.openxmlformats.org/officeDocument/2006/relationships/hyperlink" Target="http://www.epa.gov/cwsrf/clean-water-state-revolving-fund-cwsrf-results" TargetMode="External"/><Relationship Id="rId2" Type="http://schemas.openxmlformats.org/officeDocument/2006/relationships/customXml" Target="../customXml/item2.xml"/><Relationship Id="rId16" Type="http://schemas.openxmlformats.org/officeDocument/2006/relationships/hyperlink" Target="http://www.epa.gov/cwsrf/clean-water-state-revolving-fund-cwsrf-resul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pa.gov/cwsrf/clean-water-state-revolving-fund-cwsrf-national-information-management-system-repor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wsrf.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2019-12-12T16:53:02+00:00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ee984c02-49e0-4237-9cb4-b8b897b7e2f2">Pending</Records_x0020_Status>
    <EPA_x0020_Contributor xmlns="4ffa91fb-a0ff-4ac5-b2db-65c790d184a4">
      <UserInfo>
        <DisplayName/>
        <AccountId xsi:nil="true"/>
        <AccountType/>
      </UserInfo>
    </EPA_x0020_Contributor>
    <TaxCatchAll xmlns="4ffa91fb-a0ff-4ac5-b2db-65c790d184a4"/>
    <Records_x0020_Date xmlns="ee984c02-49e0-4237-9cb4-b8b897b7e2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EA015CCABB27A42A5348D8A6D8CABC4" ma:contentTypeVersion="34" ma:contentTypeDescription="Create a new document." ma:contentTypeScope="" ma:versionID="899062a7bc0c59502947500c5ff604e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e984c02-49e0-4237-9cb4-b8b897b7e2f2" xmlns:ns7="1f5ff9fb-072b-4470-9695-65bdea323e3d" targetNamespace="http://schemas.microsoft.com/office/2006/metadata/properties" ma:root="true" ma:fieldsID="c5e12a21dc48d100bd6b6e1a0b2a4e37" ns1:_="" ns3:_="" ns4:_="" ns5:_="" ns6:_="" ns7:_="">
    <xsd:import namespace="http://schemas.microsoft.com/sharepoint/v3"/>
    <xsd:import namespace="4ffa91fb-a0ff-4ac5-b2db-65c790d184a4"/>
    <xsd:import namespace="http://schemas.microsoft.com/sharepoint.v3"/>
    <xsd:import namespace="http://schemas.microsoft.com/sharepoint/v3/fields"/>
    <xsd:import namespace="ee984c02-49e0-4237-9cb4-b8b897b7e2f2"/>
    <xsd:import namespace="1f5ff9fb-072b-4470-9695-65bdea323e3d"/>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element ref="ns6:LastSharedByUser" minOccurs="0"/>
                <xsd:element ref="ns6:LastSharedByTime" minOccurs="0"/>
                <xsd:element ref="ns7:MediaServiceMetadata" minOccurs="0"/>
                <xsd:element ref="ns7:MediaServiceFastMetadata" minOccurs="0"/>
                <xsd:element ref="ns7:MediaServiceDateTaken" minOccurs="0"/>
                <xsd:element ref="ns7:MediaServiceAutoTags" minOccurs="0"/>
                <xsd:element ref="ns7:MediaServiceOCR" minOccurs="0"/>
                <xsd:element ref="ns6:Records_x0020_Status" minOccurs="0"/>
                <xsd:element ref="ns6:Records_x0020_Date" minOccurs="0"/>
                <xsd:element ref="ns7:MediaServiceEventHashCode" minOccurs="0"/>
                <xsd:element ref="ns7:MediaServiceGenerationTime"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f1f0fe6-3418-4ca7-a637-2fffe2672073}" ma:internalName="TaxCatchAllLabel" ma:readOnly="true" ma:showField="CatchAllDataLabel" ma:web="ee984c02-49e0-4237-9cb4-b8b897b7e2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f1f0fe6-3418-4ca7-a637-2fffe2672073}" ma:internalName="TaxCatchAll" ma:showField="CatchAllData" ma:web="ee984c02-49e0-4237-9cb4-b8b897b7e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84c02-49e0-4237-9cb4-b8b897b7e2f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internalName="SharedWithDetails" ma:readOnly="true">
      <xsd:simpleType>
        <xsd:restriction base="dms:Note">
          <xsd:maxLength value="255"/>
        </xsd:restriction>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8" nillable="true" ma:displayName="Records Status" ma:default="Pending" ma:internalName="Records_x0020_Status">
      <xsd:simpleType>
        <xsd:restriction base="dms:Text"/>
      </xsd:simpleType>
    </xsd:element>
    <xsd:element name="Records_x0020_Date" ma:index="39"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5ff9fb-072b-4470-9695-65bdea323e3d"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DateTaken" ma:index="35" nillable="true" ma:displayName="MediaServiceDateTaken" ma:description="" ma:hidden="true" ma:internalName="MediaServiceDateTaken" ma:readOnly="true">
      <xsd:simpleType>
        <xsd:restriction base="dms:Text"/>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A8C73-4561-4AE0-BA0F-2FE57A2FC36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ee984c02-49e0-4237-9cb4-b8b897b7e2f2"/>
  </ds:schemaRefs>
</ds:datastoreItem>
</file>

<file path=customXml/itemProps2.xml><?xml version="1.0" encoding="utf-8"?>
<ds:datastoreItem xmlns:ds="http://schemas.openxmlformats.org/officeDocument/2006/customXml" ds:itemID="{0EAE32E6-24C9-4C11-B450-88479A173F7E}">
  <ds:schemaRefs>
    <ds:schemaRef ds:uri="http://schemas.microsoft.com/sharepoint/v3/contenttype/forms"/>
  </ds:schemaRefs>
</ds:datastoreItem>
</file>

<file path=customXml/itemProps3.xml><?xml version="1.0" encoding="utf-8"?>
<ds:datastoreItem xmlns:ds="http://schemas.openxmlformats.org/officeDocument/2006/customXml" ds:itemID="{EA345931-D3B4-41EC-B83C-880FBD8156EC}">
  <ds:schemaRefs>
    <ds:schemaRef ds:uri="Microsoft.SharePoint.Taxonomy.ContentTypeSync"/>
  </ds:schemaRefs>
</ds:datastoreItem>
</file>

<file path=customXml/itemProps4.xml><?xml version="1.0" encoding="utf-8"?>
<ds:datastoreItem xmlns:ds="http://schemas.openxmlformats.org/officeDocument/2006/customXml" ds:itemID="{6024C874-B70B-45B3-9889-DB5EB29E1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984c02-49e0-4237-9cb4-b8b897b7e2f2"/>
    <ds:schemaRef ds:uri="1f5ff9fb-072b-4470-9695-65bdea323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F1A551-1EB9-4341-8D99-0A561E82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8151</Words>
  <Characters>46465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Mylin, Mark</dc:creator>
  <cp:keywords/>
  <dc:description/>
  <cp:lastModifiedBy>Kerwin, Courtney</cp:lastModifiedBy>
  <cp:revision>3</cp:revision>
  <cp:lastPrinted>2019-12-09T01:06:00Z</cp:lastPrinted>
  <dcterms:created xsi:type="dcterms:W3CDTF">2020-06-24T13:19:00Z</dcterms:created>
  <dcterms:modified xsi:type="dcterms:W3CDTF">2020-07-31T19:50:00Z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0x010100DEA015CCABB27A42A5348D8A6D8CABC4</vt:lpwstr>
  </property>
</Properties>
</file>