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80D" w:rsidR="0065500B" w:rsidP="0065500B" w:rsidRDefault="0065500B" w14:paraId="0ECB5F62" w14:textId="77777777">
      <w:pPr>
        <w:jc w:val="center"/>
        <w:rPr>
          <w:b/>
          <w:lang w:bidi="en-US"/>
        </w:rPr>
      </w:pPr>
      <w:r w:rsidRPr="0057780D">
        <w:rPr>
          <w:b/>
          <w:lang w:bidi="en-US"/>
        </w:rPr>
        <w:t>Supporting Statement for an Information Collection Request (ICR)</w:t>
      </w:r>
    </w:p>
    <w:p w:rsidRPr="0057780D" w:rsidR="0065500B" w:rsidP="0065500B" w:rsidRDefault="0065500B" w14:paraId="2B16EBD9" w14:textId="77777777">
      <w:pPr>
        <w:jc w:val="center"/>
        <w:rPr>
          <w:b/>
          <w:lang w:bidi="en-US"/>
        </w:rPr>
      </w:pPr>
      <w:r w:rsidRPr="0057780D">
        <w:rPr>
          <w:b/>
          <w:lang w:bidi="en-US"/>
        </w:rPr>
        <w:t>Under the Paperwork Reduction Act (PRA)</w:t>
      </w:r>
    </w:p>
    <w:p w:rsidRPr="0057780D" w:rsidR="0065500B" w:rsidP="0065500B" w:rsidRDefault="0065500B" w14:paraId="2962B4FB" w14:textId="77777777">
      <w:pPr>
        <w:rPr>
          <w:rFonts w:cs="Arial"/>
          <w:sz w:val="20"/>
          <w:szCs w:val="20"/>
          <w:lang w:bidi="en-US"/>
        </w:rPr>
      </w:pPr>
      <w:r w:rsidRPr="0057780D">
        <w:rPr>
          <w:lang w:bidi="en-US"/>
        </w:rPr>
        <w:tab/>
      </w:r>
    </w:p>
    <w:p w:rsidRPr="0057780D" w:rsidR="0065500B" w:rsidP="00DF1750" w:rsidRDefault="0065500B" w14:paraId="43B0CE32" w14:textId="500306DF">
      <w:pPr>
        <w:pStyle w:val="Heading1"/>
        <w:numPr>
          <w:ilvl w:val="0"/>
          <w:numId w:val="1"/>
        </w:numPr>
        <w:rPr>
          <w:lang w:bidi="en-US"/>
        </w:rPr>
      </w:pPr>
      <w:bookmarkStart w:name="_Toc433886697" w:id="0"/>
      <w:r w:rsidRPr="0057780D">
        <w:rPr>
          <w:lang w:bidi="en-US"/>
        </w:rPr>
        <w:t>EXECUTIVE SUMMARY</w:t>
      </w:r>
      <w:bookmarkEnd w:id="0"/>
    </w:p>
    <w:p w:rsidRPr="0057780D" w:rsidR="0065500B" w:rsidP="0065500B" w:rsidRDefault="0065500B" w14:paraId="70E33019" w14:textId="77777777">
      <w:pPr>
        <w:pStyle w:val="Heading2"/>
        <w:numPr>
          <w:ilvl w:val="1"/>
          <w:numId w:val="1"/>
        </w:numPr>
        <w:tabs>
          <w:tab w:val="left" w:pos="1080"/>
        </w:tabs>
        <w:rPr>
          <w:lang w:bidi="en-US"/>
        </w:rPr>
      </w:pPr>
      <w:bookmarkStart w:name="_Toc433886698" w:id="1"/>
      <w:r w:rsidRPr="0057780D">
        <w:rPr>
          <w:lang w:bidi="en-US"/>
        </w:rPr>
        <w:t>Identification of the Information Collection – Title and Numbers</w:t>
      </w:r>
      <w:bookmarkEnd w:id="1"/>
      <w:r w:rsidRPr="0057780D">
        <w:rPr>
          <w:lang w:bidi="en-US"/>
        </w:rPr>
        <w:t xml:space="preserve"> </w:t>
      </w:r>
    </w:p>
    <w:p w:rsidRPr="0057780D" w:rsidR="000878EB" w:rsidP="000878EB" w:rsidRDefault="00963CEF" w14:paraId="4469557D" w14:textId="10FB1109">
      <w:pPr>
        <w:tabs>
          <w:tab w:val="left" w:pos="720"/>
          <w:tab w:val="left" w:pos="1350"/>
          <w:tab w:val="left" w:pos="1440"/>
        </w:tabs>
        <w:ind w:left="1350" w:hanging="1350"/>
        <w:rPr>
          <w:b/>
          <w:lang w:bidi="en-US"/>
        </w:rPr>
      </w:pPr>
      <w:r w:rsidRPr="0057780D">
        <w:rPr>
          <w:b/>
          <w:lang w:bidi="en-US"/>
        </w:rPr>
        <w:tab/>
      </w:r>
      <w:r w:rsidRPr="0057780D" w:rsidR="000878EB">
        <w:rPr>
          <w:rFonts w:cs="Times New Roman"/>
          <w:bCs/>
        </w:rPr>
        <w:t>Chemical-Specific Rules under the Toxic Substances Control Act Section 8(a)</w:t>
      </w:r>
      <w:r w:rsidRPr="0057780D" w:rsidR="00335F50">
        <w:rPr>
          <w:rFonts w:cs="Times New Roman"/>
          <w:bCs/>
        </w:rPr>
        <w:t>; C</w:t>
      </w:r>
      <w:r w:rsidRPr="0057780D" w:rsidR="000878EB">
        <w:rPr>
          <w:rFonts w:cs="Times New Roman"/>
        </w:rPr>
        <w:t>ertain Nanoscale Materials</w:t>
      </w:r>
      <w:r w:rsidRPr="0057780D" w:rsidR="000878EB">
        <w:rPr>
          <w:b/>
          <w:lang w:bidi="en-US"/>
        </w:rPr>
        <w:t xml:space="preserve"> </w:t>
      </w:r>
    </w:p>
    <w:p w:rsidRPr="0057780D" w:rsidR="0065500B" w:rsidP="000878EB" w:rsidRDefault="000878EB" w14:paraId="189CFDC0" w14:textId="18016684">
      <w:pPr>
        <w:tabs>
          <w:tab w:val="left" w:pos="720"/>
          <w:tab w:val="left" w:pos="1350"/>
          <w:tab w:val="left" w:pos="1440"/>
        </w:tabs>
        <w:ind w:left="1350" w:hanging="1350"/>
        <w:rPr>
          <w:lang w:bidi="en-US"/>
        </w:rPr>
      </w:pPr>
      <w:r w:rsidRPr="0057780D">
        <w:rPr>
          <w:b/>
          <w:lang w:bidi="en-US"/>
        </w:rPr>
        <w:tab/>
      </w:r>
      <w:r w:rsidRPr="0057780D" w:rsidR="0065500B">
        <w:rPr>
          <w:b/>
          <w:lang w:bidi="en-US"/>
        </w:rPr>
        <w:t>ICR Numbers:</w:t>
      </w:r>
      <w:r w:rsidRPr="0057780D" w:rsidR="0065500B">
        <w:rPr>
          <w:lang w:bidi="en-US"/>
        </w:rPr>
        <w:t xml:space="preserve"> EPA ICR No.: 25</w:t>
      </w:r>
      <w:r w:rsidRPr="0057780D" w:rsidR="004345BD">
        <w:rPr>
          <w:lang w:bidi="en-US"/>
        </w:rPr>
        <w:t>1</w:t>
      </w:r>
      <w:r w:rsidRPr="0057780D" w:rsidR="0065500B">
        <w:rPr>
          <w:lang w:bidi="en-US"/>
        </w:rPr>
        <w:t>7.0</w:t>
      </w:r>
      <w:r w:rsidRPr="0057780D" w:rsidR="004345BD">
        <w:rPr>
          <w:lang w:bidi="en-US"/>
        </w:rPr>
        <w:t>3</w:t>
      </w:r>
      <w:r w:rsidRPr="0057780D" w:rsidR="0065500B">
        <w:rPr>
          <w:lang w:bidi="en-US"/>
        </w:rPr>
        <w:t>; OMB Control No.: 2070-</w:t>
      </w:r>
      <w:r w:rsidRPr="0057780D" w:rsidR="004345BD">
        <w:rPr>
          <w:lang w:bidi="en-US"/>
        </w:rPr>
        <w:t>0194</w:t>
      </w:r>
      <w:r w:rsidRPr="0057780D" w:rsidR="0065500B">
        <w:rPr>
          <w:lang w:bidi="en-US"/>
        </w:rPr>
        <w:t>.</w:t>
      </w:r>
    </w:p>
    <w:p w:rsidRPr="0057780D" w:rsidR="004345BD" w:rsidP="00335F50" w:rsidRDefault="0065500B" w14:paraId="2DE1E01C" w14:textId="66D86D9D">
      <w:pPr>
        <w:autoSpaceDE w:val="0"/>
        <w:autoSpaceDN w:val="0"/>
        <w:adjustRightInd w:val="0"/>
        <w:rPr>
          <w:rFonts w:cs="Arial"/>
          <w:szCs w:val="24"/>
        </w:rPr>
      </w:pPr>
      <w:r w:rsidRPr="0057780D">
        <w:rPr>
          <w:b/>
          <w:lang w:bidi="en-US"/>
        </w:rPr>
        <w:tab/>
        <w:t>EPA Form Numbers:</w:t>
      </w:r>
      <w:r w:rsidRPr="0057780D">
        <w:rPr>
          <w:lang w:bidi="en-US"/>
        </w:rPr>
        <w:t xml:space="preserve"> </w:t>
      </w:r>
      <w:r w:rsidRPr="0057780D">
        <w:t xml:space="preserve"> </w:t>
      </w:r>
      <w:r w:rsidRPr="0057780D">
        <w:rPr>
          <w:lang w:bidi="en-US"/>
        </w:rPr>
        <w:t xml:space="preserve">EPA Form </w:t>
      </w:r>
      <w:r w:rsidRPr="0057780D" w:rsidR="004345BD">
        <w:rPr>
          <w:lang w:bidi="en-US"/>
        </w:rPr>
        <w:t>9600-07</w:t>
      </w:r>
      <w:r w:rsidRPr="0057780D">
        <w:rPr>
          <w:lang w:bidi="en-US"/>
        </w:rPr>
        <w:t xml:space="preserve">: </w:t>
      </w:r>
      <w:r w:rsidRPr="0057780D" w:rsidR="004345BD">
        <w:rPr>
          <w:rFonts w:cs="Arial"/>
          <w:bCs/>
          <w:szCs w:val="24"/>
        </w:rPr>
        <w:t xml:space="preserve">TSCA §8(a) Reporting for Chemical  </w:t>
      </w:r>
      <w:r w:rsidRPr="0057780D" w:rsidR="00335F50">
        <w:rPr>
          <w:rFonts w:cs="Arial"/>
          <w:bCs/>
          <w:szCs w:val="24"/>
        </w:rPr>
        <w:tab/>
      </w:r>
      <w:r w:rsidRPr="0057780D" w:rsidR="004345BD">
        <w:rPr>
          <w:rFonts w:cs="Arial"/>
          <w:bCs/>
          <w:szCs w:val="24"/>
        </w:rPr>
        <w:t xml:space="preserve">Substances when Manufactured or Processed as Nanoscale Materials: Data </w:t>
      </w:r>
      <w:r w:rsidRPr="0057780D" w:rsidR="00335F50">
        <w:rPr>
          <w:rFonts w:cs="Arial"/>
          <w:bCs/>
          <w:szCs w:val="24"/>
        </w:rPr>
        <w:tab/>
      </w:r>
      <w:r w:rsidRPr="0057780D" w:rsidR="004345BD">
        <w:rPr>
          <w:rFonts w:cs="Arial"/>
          <w:bCs/>
          <w:szCs w:val="24"/>
        </w:rPr>
        <w:t xml:space="preserve">Submission Form </w:t>
      </w:r>
    </w:p>
    <w:p w:rsidRPr="0057780D" w:rsidR="0065500B" w:rsidP="0065500B" w:rsidRDefault="0065500B" w14:paraId="2013A6A1" w14:textId="019858EA">
      <w:pPr>
        <w:pStyle w:val="NoSpacing"/>
        <w:rPr>
          <w:rFonts w:cs="Arial"/>
          <w:bCs/>
          <w:color w:val="008000"/>
        </w:rPr>
      </w:pPr>
      <w:r w:rsidRPr="0057780D">
        <w:rPr>
          <w:lang w:bidi="en-US"/>
        </w:rPr>
        <w:tab/>
      </w:r>
      <w:r w:rsidRPr="0057780D">
        <w:rPr>
          <w:b/>
          <w:lang w:bidi="en-US"/>
        </w:rPr>
        <w:t>Docket ID Number:</w:t>
      </w:r>
      <w:r w:rsidRPr="0057780D">
        <w:rPr>
          <w:lang w:bidi="en-US"/>
        </w:rPr>
        <w:t xml:space="preserve"> EPA-HQ-</w:t>
      </w:r>
      <w:r w:rsidRPr="0057780D">
        <w:rPr>
          <w:bCs/>
        </w:rPr>
        <w:t>OPPT-201</w:t>
      </w:r>
      <w:r w:rsidRPr="0057780D" w:rsidR="004345BD">
        <w:rPr>
          <w:bCs/>
        </w:rPr>
        <w:t>0</w:t>
      </w:r>
      <w:r w:rsidRPr="0057780D">
        <w:rPr>
          <w:rFonts w:cs="Arial"/>
          <w:bCs/>
        </w:rPr>
        <w:t>-0</w:t>
      </w:r>
      <w:r w:rsidRPr="0057780D" w:rsidR="004345BD">
        <w:rPr>
          <w:rFonts w:cs="Arial"/>
          <w:bCs/>
        </w:rPr>
        <w:t>572</w:t>
      </w:r>
      <w:r w:rsidRPr="0057780D">
        <w:rPr>
          <w:rFonts w:cs="Arial"/>
          <w:bCs/>
        </w:rPr>
        <w:t>.</w:t>
      </w:r>
    </w:p>
    <w:p w:rsidRPr="0057780D" w:rsidR="0065500B" w:rsidP="0065500B" w:rsidRDefault="0065500B" w14:paraId="2CEC39B8" w14:textId="77777777">
      <w:pPr>
        <w:pStyle w:val="NoSpacing"/>
        <w:rPr>
          <w:lang w:bidi="en-US"/>
        </w:rPr>
      </w:pPr>
    </w:p>
    <w:p w:rsidRPr="0057780D" w:rsidR="0065500B" w:rsidP="0065500B" w:rsidRDefault="0065500B" w14:paraId="7D6F0967" w14:textId="77777777">
      <w:pPr>
        <w:pStyle w:val="Heading2"/>
        <w:numPr>
          <w:ilvl w:val="1"/>
          <w:numId w:val="1"/>
        </w:numPr>
        <w:tabs>
          <w:tab w:val="left" w:pos="1080"/>
        </w:tabs>
      </w:pPr>
      <w:bookmarkStart w:name="_Toc433886699" w:id="2"/>
      <w:r w:rsidRPr="0057780D">
        <w:t>Docket Information</w:t>
      </w:r>
      <w:bookmarkEnd w:id="2"/>
    </w:p>
    <w:p w:rsidRPr="0057780D" w:rsidR="0065500B" w:rsidP="0065500B" w:rsidRDefault="0065500B" w14:paraId="27C8B226" w14:textId="77777777">
      <w:r w:rsidRPr="0057780D">
        <w:t xml:space="preserve">The information collection request (ICR) that explains the information collection activities and related burden and cost estimates, as well as other supporting documents related to the ICR, are available in the docket established for this ICR.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w:history="1" r:id="rId11">
        <w:r w:rsidRPr="0057780D">
          <w:rPr>
            <w:rStyle w:val="Hyperlink"/>
          </w:rPr>
          <w:t>http://www.epa.gov/dockets</w:t>
        </w:r>
      </w:hyperlink>
      <w:r w:rsidRPr="0057780D">
        <w:t>.</w:t>
      </w:r>
    </w:p>
    <w:p w:rsidRPr="0057780D" w:rsidR="0065500B" w:rsidP="0065500B" w:rsidRDefault="0065500B" w14:paraId="59672DDA" w14:textId="77777777">
      <w:pPr>
        <w:pStyle w:val="NoSpacing"/>
        <w:rPr>
          <w:lang w:bidi="en-US"/>
        </w:rPr>
      </w:pPr>
    </w:p>
    <w:p w:rsidRPr="0057780D" w:rsidR="0065500B" w:rsidP="0065500B" w:rsidRDefault="0065500B" w14:paraId="6656DA10" w14:textId="77777777">
      <w:pPr>
        <w:pStyle w:val="Heading2"/>
        <w:numPr>
          <w:ilvl w:val="1"/>
          <w:numId w:val="1"/>
        </w:numPr>
        <w:tabs>
          <w:tab w:val="left" w:pos="1080"/>
        </w:tabs>
      </w:pPr>
      <w:bookmarkStart w:name="_Toc433886700" w:id="3"/>
      <w:r w:rsidRPr="0057780D">
        <w:t>ICR Status</w:t>
      </w:r>
      <w:bookmarkEnd w:id="3"/>
      <w:r w:rsidRPr="0057780D">
        <w:t xml:space="preserve"> </w:t>
      </w:r>
    </w:p>
    <w:p w:rsidRPr="0057780D" w:rsidR="0065500B" w:rsidP="0065500B" w:rsidRDefault="0065500B" w14:paraId="2CF877CC" w14:textId="77777777">
      <w:r w:rsidRPr="0057780D">
        <w:t>Under the Paperwork Reduction Act (PRA), 44 U.S.C. 3501 et seq., an agency may not conduct or sponsor, and a person is not required to respond to, a collection of information, unless it displays a currently valid control number issued by the Office of Management and Budget (OMB).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57780D" w:rsidR="0065500B" w:rsidP="0065500B" w:rsidRDefault="0065500B" w14:paraId="53189ABC" w14:textId="77777777">
      <w:pPr>
        <w:pStyle w:val="NoSpacing"/>
      </w:pPr>
    </w:p>
    <w:p w:rsidRPr="0057780D" w:rsidR="0065500B" w:rsidP="0065500B" w:rsidRDefault="0065500B" w14:paraId="71F4FF07" w14:textId="77777777">
      <w:r w:rsidRPr="0057780D">
        <w:t xml:space="preserve">Before submitting an ICR to </w:t>
      </w:r>
      <w:r w:rsidRPr="0057780D">
        <w:rPr>
          <w:lang w:bidi="en-US"/>
        </w:rPr>
        <w:t xml:space="preserve">OMB </w:t>
      </w:r>
      <w:r w:rsidRPr="0057780D">
        <w:t xml:space="preserve">for review and approval under the PRA, an agency must solicit comments pursuant to PRA §3506(c)(2)(A) and </w:t>
      </w:r>
      <w:hyperlink w:history="1" w:anchor="5:3.0.2.3.9.0.48.8" r:id="rId12">
        <w:r w:rsidRPr="0057780D">
          <w:rPr>
            <w:rStyle w:val="Hyperlink"/>
          </w:rPr>
          <w:t>5 CFR 1320.8(d)(1)</w:t>
        </w:r>
      </w:hyperlink>
      <w:r w:rsidRPr="0057780D">
        <w:t xml:space="preserve">. After considering comments received on the draft ICR, the agency must submit the ICR to </w:t>
      </w:r>
      <w:r w:rsidRPr="0057780D">
        <w:rPr>
          <w:lang w:bidi="en-US"/>
        </w:rPr>
        <w:t xml:space="preserve">OMB </w:t>
      </w:r>
      <w:r w:rsidRPr="0057780D">
        <w:t xml:space="preserve">for review and approval according to the procedures prescribed in </w:t>
      </w:r>
      <w:hyperlink w:history="1" w:anchor="5:3.0.2.3.9.0.48.12" r:id="rId13">
        <w:r w:rsidRPr="0057780D">
          <w:rPr>
            <w:rStyle w:val="Hyperlink"/>
          </w:rPr>
          <w:t>5 CFR 1320.12</w:t>
        </w:r>
      </w:hyperlink>
      <w:r w:rsidRPr="0057780D">
        <w:t>. In announcing the submission of the final ICR to OMB for review and approval, the agency must provide another opportunity for public review and comments on the revised ICR pursuant to 5 CFR 1320.12(c).</w:t>
      </w:r>
    </w:p>
    <w:p w:rsidRPr="0057780D" w:rsidR="0065500B" w:rsidP="0065500B" w:rsidRDefault="0065500B" w14:paraId="5EE89C7D" w14:textId="77777777">
      <w:pPr>
        <w:pStyle w:val="NoSpacing"/>
      </w:pPr>
    </w:p>
    <w:p w:rsidRPr="0057780D" w:rsidR="0065500B" w:rsidP="0065500B" w:rsidRDefault="0065500B" w14:paraId="1CC84573" w14:textId="361203D9">
      <w:pPr>
        <w:pStyle w:val="NoSpacing"/>
      </w:pPr>
      <w:r w:rsidRPr="0057780D">
        <w:t>This is a</w:t>
      </w:r>
      <w:r w:rsidRPr="0057780D" w:rsidR="00286F64">
        <w:t xml:space="preserve">n </w:t>
      </w:r>
      <w:r w:rsidRPr="0057780D">
        <w:t xml:space="preserve">ICR </w:t>
      </w:r>
      <w:r w:rsidRPr="0057780D" w:rsidR="00286F64">
        <w:t>renewal for t</w:t>
      </w:r>
      <w:r w:rsidRPr="0057780D">
        <w:t xml:space="preserve">he information collection activities that are currently approved by OMB </w:t>
      </w:r>
      <w:r w:rsidRPr="0057780D" w:rsidR="00286F64">
        <w:t>for</w:t>
      </w:r>
      <w:r w:rsidRPr="0057780D">
        <w:t xml:space="preserve">: </w:t>
      </w:r>
    </w:p>
    <w:p w:rsidRPr="0057780D" w:rsidR="0065500B" w:rsidP="0065500B" w:rsidRDefault="0065500B" w14:paraId="4A1CFEAE" w14:textId="77777777">
      <w:pPr>
        <w:pStyle w:val="NoSpacing"/>
      </w:pPr>
    </w:p>
    <w:p w:rsidRPr="0057780D" w:rsidR="00286F64" w:rsidP="00286F64" w:rsidRDefault="0065500B" w14:paraId="44959EE7" w14:textId="77777777">
      <w:pPr>
        <w:tabs>
          <w:tab w:val="left" w:pos="720"/>
          <w:tab w:val="left" w:pos="1440"/>
          <w:tab w:val="left" w:pos="2160"/>
        </w:tabs>
        <w:ind w:left="2160" w:hanging="2160"/>
        <w:rPr>
          <w:szCs w:val="24"/>
        </w:rPr>
      </w:pPr>
      <w:r w:rsidRPr="0057780D">
        <w:t>OMB Control No. 2070-01</w:t>
      </w:r>
      <w:r w:rsidRPr="0057780D" w:rsidR="00286F64">
        <w:t>94;</w:t>
      </w:r>
      <w:r w:rsidRPr="0057780D">
        <w:t xml:space="preserve"> EPA ICR No. </w:t>
      </w:r>
      <w:r w:rsidRPr="0057780D" w:rsidR="00286F64">
        <w:t>2517</w:t>
      </w:r>
      <w:r w:rsidRPr="0057780D">
        <w:t>.</w:t>
      </w:r>
      <w:r w:rsidRPr="0057780D" w:rsidR="00286F64">
        <w:t>02</w:t>
      </w:r>
      <w:r w:rsidRPr="0057780D">
        <w:t>; entitled “</w:t>
      </w:r>
      <w:r w:rsidRPr="0057780D" w:rsidR="00286F64">
        <w:rPr>
          <w:szCs w:val="24"/>
        </w:rPr>
        <w:t xml:space="preserve">Addendum to the Existing </w:t>
      </w:r>
    </w:p>
    <w:p w:rsidRPr="0057780D" w:rsidR="00286F64" w:rsidP="00286F64" w:rsidRDefault="00286F64" w14:paraId="7BD54DA8" w14:textId="34616948">
      <w:pPr>
        <w:tabs>
          <w:tab w:val="left" w:pos="720"/>
          <w:tab w:val="left" w:pos="1440"/>
          <w:tab w:val="left" w:pos="2160"/>
        </w:tabs>
        <w:ind w:left="2160" w:hanging="2160"/>
        <w:rPr>
          <w:bCs/>
          <w:szCs w:val="24"/>
        </w:rPr>
      </w:pPr>
      <w:r w:rsidRPr="0057780D">
        <w:rPr>
          <w:szCs w:val="24"/>
        </w:rPr>
        <w:t xml:space="preserve">EPA ICR Entitled: </w:t>
      </w:r>
      <w:r w:rsidRPr="0057780D">
        <w:rPr>
          <w:bCs/>
          <w:szCs w:val="24"/>
        </w:rPr>
        <w:t>Chemical-Specific Rules, Toxic Substances Control Act Section 8(a)”,</w:t>
      </w:r>
    </w:p>
    <w:p w:rsidRPr="0057780D" w:rsidR="0065500B" w:rsidP="00286F64" w:rsidRDefault="0065500B" w14:paraId="55633200" w14:textId="6CF00B71">
      <w:pPr>
        <w:tabs>
          <w:tab w:val="left" w:pos="720"/>
          <w:tab w:val="left" w:pos="1440"/>
          <w:tab w:val="left" w:pos="2160"/>
        </w:tabs>
        <w:rPr>
          <w:bCs/>
        </w:rPr>
      </w:pPr>
      <w:r w:rsidRPr="0057780D">
        <w:lastRenderedPageBreak/>
        <w:t xml:space="preserve">approved through </w:t>
      </w:r>
      <w:r w:rsidRPr="0057780D">
        <w:rPr>
          <w:bCs/>
        </w:rPr>
        <w:t>August 31, 20</w:t>
      </w:r>
      <w:r w:rsidRPr="0057780D" w:rsidR="00286F64">
        <w:rPr>
          <w:bCs/>
        </w:rPr>
        <w:t>20</w:t>
      </w:r>
      <w:r w:rsidRPr="0057780D">
        <w:rPr>
          <w:bCs/>
        </w:rPr>
        <w:t>.</w:t>
      </w:r>
    </w:p>
    <w:p w:rsidRPr="0057780D" w:rsidR="00DF1750" w:rsidP="00DF1750" w:rsidRDefault="00DF1750" w14:paraId="4FF3F260" w14:textId="77777777">
      <w:pPr>
        <w:pStyle w:val="NoSpacing"/>
      </w:pPr>
    </w:p>
    <w:p w:rsidRPr="0057780D" w:rsidR="0065500B" w:rsidP="0065500B" w:rsidRDefault="0065500B" w14:paraId="032F704D" w14:textId="77777777">
      <w:pPr>
        <w:pStyle w:val="Heading2"/>
        <w:numPr>
          <w:ilvl w:val="1"/>
          <w:numId w:val="1"/>
        </w:numPr>
        <w:tabs>
          <w:tab w:val="left" w:pos="1080"/>
        </w:tabs>
      </w:pPr>
      <w:bookmarkStart w:name="_Toc433886701" w:id="4"/>
      <w:r w:rsidRPr="0057780D">
        <w:t>Abstract</w:t>
      </w:r>
      <w:bookmarkEnd w:id="4"/>
    </w:p>
    <w:p w:rsidRPr="0057780D" w:rsidR="00286F64" w:rsidP="00286F64" w:rsidRDefault="00B022C7" w14:paraId="49D52FBE" w14:textId="1958AD8D">
      <w:pPr>
        <w:pStyle w:val="NoSpacing"/>
        <w:rPr>
          <w:rFonts w:cs="Times New Roman"/>
        </w:rPr>
      </w:pPr>
      <w:r w:rsidRPr="0057780D">
        <w:rPr>
          <w:rFonts w:cs="Times New Roman"/>
        </w:rPr>
        <w:t xml:space="preserve">This information collection request (ICR) covers reporting and recordkeeping requirements for persons who manufacture or process chemical substances as nanoscale materials under the authority of section 8(a) of the Toxic Substances Control Act (TSCA). </w:t>
      </w:r>
    </w:p>
    <w:p w:rsidRPr="0057780D" w:rsidR="00B022C7" w:rsidP="00286F64" w:rsidRDefault="00B022C7" w14:paraId="779EF816" w14:textId="77777777">
      <w:pPr>
        <w:pStyle w:val="NoSpacing"/>
      </w:pPr>
    </w:p>
    <w:p w:rsidRPr="0057780D" w:rsidR="0065500B" w:rsidP="0065500B" w:rsidRDefault="0065500B" w14:paraId="0283D640" w14:textId="757742C9">
      <w:pPr>
        <w:rPr>
          <w:lang w:bidi="en-US"/>
        </w:rPr>
      </w:pPr>
      <w:r w:rsidRPr="0057780D">
        <w:rPr>
          <w:i/>
        </w:rPr>
        <w:t>Legal authority:</w:t>
      </w:r>
      <w:r w:rsidRPr="0057780D">
        <w:t xml:space="preserve"> The Toxic Substances Control Act (TSCA)</w:t>
      </w:r>
      <w:r w:rsidRPr="0057780D" w:rsidR="00FA30B0">
        <w:t xml:space="preserve"> section 8(a)</w:t>
      </w:r>
      <w:r w:rsidRPr="0057780D">
        <w:t>, U. S. C. 260</w:t>
      </w:r>
      <w:r w:rsidRPr="0057780D" w:rsidR="00286F64">
        <w:t xml:space="preserve">7 and </w:t>
      </w:r>
      <w:r w:rsidRPr="0057780D">
        <w:rPr>
          <w:lang w:bidi="en-US"/>
        </w:rPr>
        <w:t xml:space="preserve">implementing regulations in </w:t>
      </w:r>
      <w:r w:rsidRPr="0057780D">
        <w:t>40 CFR part 7</w:t>
      </w:r>
      <w:r w:rsidRPr="0057780D" w:rsidR="00286F64">
        <w:t>04.20</w:t>
      </w:r>
      <w:r w:rsidRPr="0057780D">
        <w:rPr>
          <w:rStyle w:val="Hyperlink"/>
        </w:rPr>
        <w:t>. More details are provided in Unit 2(a) of this Supporting Statement.</w:t>
      </w:r>
    </w:p>
    <w:p w:rsidRPr="0057780D" w:rsidR="0065500B" w:rsidP="0065500B" w:rsidRDefault="0065500B" w14:paraId="16BF0103" w14:textId="77777777">
      <w:pPr>
        <w:pStyle w:val="NoSpacing"/>
      </w:pPr>
    </w:p>
    <w:p w:rsidRPr="0057780D" w:rsidR="0065500B" w:rsidP="0065500B" w:rsidRDefault="0065500B" w14:paraId="38968691" w14:textId="71945B3B">
      <w:pPr>
        <w:rPr>
          <w:rFonts w:eastAsia="Times New Roman" w:cs="Arial"/>
          <w:szCs w:val="24"/>
        </w:rPr>
      </w:pPr>
      <w:r w:rsidRPr="0057780D">
        <w:rPr>
          <w:rFonts w:eastAsia="Times New Roman" w:cs="Arial"/>
          <w:i/>
          <w:iCs/>
          <w:szCs w:val="24"/>
        </w:rPr>
        <w:t>Respondents/affected entities</w:t>
      </w:r>
      <w:r w:rsidRPr="0057780D">
        <w:rPr>
          <w:rFonts w:eastAsia="Times New Roman" w:cs="Arial"/>
          <w:szCs w:val="24"/>
        </w:rPr>
        <w:t xml:space="preserve">: Entities potentially affected by this ICR </w:t>
      </w:r>
      <w:r w:rsidRPr="0057780D">
        <w:t xml:space="preserve">include </w:t>
      </w:r>
      <w:r w:rsidRPr="0057780D">
        <w:rPr>
          <w:bCs/>
        </w:rPr>
        <w:t xml:space="preserve">persons </w:t>
      </w:r>
    </w:p>
    <w:p w:rsidRPr="0057780D" w:rsidR="0065500B" w:rsidP="0065500B" w:rsidRDefault="002E53E0" w14:paraId="01B5352F" w14:textId="1B8DAC5B">
      <w:pPr>
        <w:rPr>
          <w:rFonts w:eastAsia="Times New Roman" w:cs="Arial"/>
          <w:szCs w:val="24"/>
        </w:rPr>
      </w:pPr>
      <w:r w:rsidRPr="0057780D">
        <w:t xml:space="preserve">persons who manufacture or process chemical substances as nanoscale materials </w:t>
      </w:r>
      <w:r w:rsidRPr="0057780D" w:rsidR="001671E8">
        <w:t xml:space="preserve">as defined in the final </w:t>
      </w:r>
      <w:r w:rsidRPr="0057780D">
        <w:t>rule</w:t>
      </w:r>
      <w:r w:rsidRPr="0057780D" w:rsidR="001671E8">
        <w:t xml:space="preserve"> codified at 40 CFR part 704.20.</w:t>
      </w:r>
    </w:p>
    <w:p w:rsidRPr="0057780D" w:rsidR="002E53E0" w:rsidP="0065500B" w:rsidRDefault="002E53E0" w14:paraId="21EE23C3" w14:textId="77777777">
      <w:pPr>
        <w:rPr>
          <w:rFonts w:eastAsia="Times New Roman" w:cs="Arial"/>
          <w:i/>
          <w:szCs w:val="24"/>
        </w:rPr>
      </w:pPr>
    </w:p>
    <w:p w:rsidRPr="0057780D" w:rsidR="0065500B" w:rsidP="0065500B" w:rsidRDefault="0065500B" w14:paraId="1FC5EAA6" w14:textId="30C44920">
      <w:pPr>
        <w:rPr>
          <w:rFonts w:eastAsia="Times New Roman" w:cs="Arial"/>
          <w:bCs/>
          <w:szCs w:val="24"/>
        </w:rPr>
      </w:pPr>
      <w:r w:rsidRPr="0057780D">
        <w:rPr>
          <w:rFonts w:eastAsia="Times New Roman" w:cs="Arial"/>
          <w:i/>
          <w:szCs w:val="24"/>
        </w:rPr>
        <w:t>Respondent’s obligation to respond</w:t>
      </w:r>
      <w:r w:rsidRPr="0057780D">
        <w:rPr>
          <w:rFonts w:eastAsia="Times New Roman" w:cs="Arial"/>
          <w:szCs w:val="24"/>
        </w:rPr>
        <w:t xml:space="preserve">: </w:t>
      </w:r>
      <w:r w:rsidRPr="0057780D">
        <w:rPr>
          <w:rFonts w:cs="Arial"/>
          <w:bCs/>
          <w:szCs w:val="24"/>
        </w:rPr>
        <w:t>Responses are mandatory under TSCA (see also 40 CFR part 7</w:t>
      </w:r>
      <w:r w:rsidRPr="0057780D" w:rsidR="002E53E0">
        <w:rPr>
          <w:rFonts w:cs="Arial"/>
          <w:bCs/>
          <w:szCs w:val="24"/>
        </w:rPr>
        <w:t>0</w:t>
      </w:r>
      <w:r w:rsidRPr="0057780D">
        <w:rPr>
          <w:rFonts w:cs="Arial"/>
          <w:bCs/>
          <w:szCs w:val="24"/>
        </w:rPr>
        <w:t>4</w:t>
      </w:r>
      <w:r w:rsidRPr="0057780D" w:rsidR="001671E8">
        <w:rPr>
          <w:rFonts w:cs="Arial"/>
          <w:bCs/>
          <w:szCs w:val="24"/>
        </w:rPr>
        <w:t>.</w:t>
      </w:r>
      <w:r w:rsidRPr="0057780D" w:rsidR="002E53E0">
        <w:rPr>
          <w:rFonts w:cs="Arial"/>
          <w:bCs/>
          <w:szCs w:val="24"/>
        </w:rPr>
        <w:t>20</w:t>
      </w:r>
      <w:r w:rsidRPr="0057780D">
        <w:rPr>
          <w:rFonts w:cs="Arial"/>
          <w:bCs/>
          <w:szCs w:val="24"/>
        </w:rPr>
        <w:t>).</w:t>
      </w:r>
    </w:p>
    <w:p w:rsidRPr="0057780D" w:rsidR="0065500B" w:rsidP="0065500B" w:rsidRDefault="0065500B" w14:paraId="06C799FC" w14:textId="77777777">
      <w:pPr>
        <w:rPr>
          <w:rFonts w:eastAsia="Times New Roman" w:cs="Arial"/>
          <w:bCs/>
          <w:szCs w:val="24"/>
        </w:rPr>
      </w:pPr>
    </w:p>
    <w:p w:rsidRPr="0057780D" w:rsidR="0065500B" w:rsidP="0065500B" w:rsidRDefault="0065500B" w14:paraId="326AFB17" w14:textId="6260BB3A">
      <w:pPr>
        <w:rPr>
          <w:rFonts w:eastAsia="Times New Roman" w:cs="Arial"/>
          <w:szCs w:val="24"/>
        </w:rPr>
      </w:pPr>
      <w:r w:rsidRPr="0057780D">
        <w:rPr>
          <w:rFonts w:eastAsia="Times New Roman" w:cs="Arial"/>
          <w:bCs/>
          <w:i/>
          <w:szCs w:val="24"/>
        </w:rPr>
        <w:t>Confidentiality of responses:</w:t>
      </w:r>
      <w:r w:rsidRPr="0057780D">
        <w:rPr>
          <w:rFonts w:eastAsia="Times New Roman" w:cs="Arial"/>
          <w:bCs/>
          <w:szCs w:val="24"/>
        </w:rPr>
        <w:t xml:space="preserve"> Respondents may claim all or part of a document submitted to be as confidential. EPA will disclose information that is covered by a claim of confidentiality only to the extent permitted by, and in accordance with, the procedures in TSCA section 14 and 40 CFR part 2.</w:t>
      </w:r>
      <w:r w:rsidRPr="0057780D">
        <w:rPr>
          <w:rFonts w:eastAsia="Times New Roman" w:cs="Arial"/>
          <w:szCs w:val="24"/>
          <w:lang w:val="en-CA"/>
        </w:rPr>
        <w:fldChar w:fldCharType="begin"/>
      </w:r>
      <w:r w:rsidRPr="0057780D">
        <w:rPr>
          <w:rFonts w:eastAsia="Times New Roman" w:cs="Arial"/>
          <w:szCs w:val="24"/>
          <w:lang w:val="en-CA"/>
        </w:rPr>
        <w:instrText xml:space="preserve"> SEQ CHAPTER \h \r 1</w:instrText>
      </w:r>
      <w:r w:rsidRPr="0057780D">
        <w:rPr>
          <w:rFonts w:eastAsia="Times New Roman" w:cs="Arial"/>
          <w:szCs w:val="24"/>
          <w:lang w:val="en-CA"/>
        </w:rPr>
        <w:fldChar w:fldCharType="end"/>
      </w:r>
      <w:r w:rsidRPr="0057780D">
        <w:rPr>
          <w:rFonts w:eastAsia="Times New Roman" w:cs="Arial"/>
          <w:szCs w:val="24"/>
          <w:lang w:val="en-CA"/>
        </w:rPr>
        <w:fldChar w:fldCharType="begin"/>
      </w:r>
      <w:r w:rsidRPr="0057780D">
        <w:rPr>
          <w:rFonts w:eastAsia="Times New Roman" w:cs="Arial"/>
          <w:szCs w:val="24"/>
          <w:lang w:val="en-CA"/>
        </w:rPr>
        <w:instrText xml:space="preserve"> SEQ CHAPTER \h \r 1</w:instrText>
      </w:r>
      <w:r w:rsidRPr="0057780D">
        <w:rPr>
          <w:rFonts w:eastAsia="Times New Roman" w:cs="Arial"/>
          <w:szCs w:val="24"/>
          <w:lang w:val="en-CA"/>
        </w:rPr>
        <w:fldChar w:fldCharType="end"/>
      </w:r>
    </w:p>
    <w:p w:rsidRPr="0057780D" w:rsidR="0065500B" w:rsidP="0065500B" w:rsidRDefault="0065500B" w14:paraId="4D2F7114" w14:textId="77777777">
      <w:pPr>
        <w:rPr>
          <w:rFonts w:eastAsia="Times New Roman" w:cs="Arial"/>
          <w:i/>
          <w:iCs/>
          <w:szCs w:val="24"/>
        </w:rPr>
      </w:pPr>
    </w:p>
    <w:p w:rsidRPr="0057780D" w:rsidR="00A721E2" w:rsidP="00A721E2" w:rsidRDefault="00A721E2" w14:paraId="7C5A8C5F" w14:textId="6BA694A6">
      <w:pPr>
        <w:spacing w:line="480" w:lineRule="auto"/>
        <w:rPr>
          <w:rFonts w:cs="Arial"/>
          <w:szCs w:val="24"/>
        </w:rPr>
      </w:pPr>
      <w:bookmarkStart w:name="_Hlk22799144" w:id="5"/>
      <w:r w:rsidRPr="0057780D">
        <w:rPr>
          <w:rFonts w:cs="Arial"/>
          <w:i/>
          <w:iCs/>
          <w:szCs w:val="24"/>
        </w:rPr>
        <w:t>Estimated total number of potential respondents</w:t>
      </w:r>
      <w:bookmarkEnd w:id="5"/>
      <w:r w:rsidRPr="0057780D">
        <w:rPr>
          <w:rFonts w:cs="Arial"/>
          <w:szCs w:val="24"/>
        </w:rPr>
        <w:t xml:space="preserve">:  </w:t>
      </w:r>
      <w:r w:rsidRPr="0057780D" w:rsidR="00A5316D">
        <w:rPr>
          <w:rFonts w:cs="Arial"/>
          <w:szCs w:val="24"/>
        </w:rPr>
        <w:t>285</w:t>
      </w:r>
      <w:r w:rsidRPr="0057780D">
        <w:rPr>
          <w:rFonts w:cs="Arial"/>
          <w:bCs/>
          <w:szCs w:val="24"/>
        </w:rPr>
        <w:t xml:space="preserve"> per year</w:t>
      </w:r>
    </w:p>
    <w:p w:rsidRPr="0057780D" w:rsidR="00FA30B0" w:rsidP="00A721E2" w:rsidRDefault="00A721E2" w14:paraId="4C5B5BCB" w14:textId="77777777">
      <w:pPr>
        <w:spacing w:line="480" w:lineRule="auto"/>
        <w:rPr>
          <w:rFonts w:cs="Arial"/>
          <w:szCs w:val="24"/>
        </w:rPr>
      </w:pPr>
      <w:r w:rsidRPr="0057780D">
        <w:rPr>
          <w:rFonts w:cs="Arial"/>
          <w:i/>
          <w:iCs/>
          <w:szCs w:val="24"/>
        </w:rPr>
        <w:t>Frequency of response</w:t>
      </w:r>
      <w:r w:rsidRPr="0057780D">
        <w:rPr>
          <w:rFonts w:cs="Arial"/>
          <w:szCs w:val="24"/>
        </w:rPr>
        <w:t>: On occasion .</w:t>
      </w:r>
      <w:bookmarkStart w:name="_Hlk22799089" w:id="6"/>
    </w:p>
    <w:bookmarkEnd w:id="6"/>
    <w:p w:rsidRPr="0057780D" w:rsidR="00A721E2" w:rsidP="00EC5DCF" w:rsidRDefault="00A721E2" w14:paraId="1D2F9A12" w14:textId="1AF90698">
      <w:pPr>
        <w:rPr>
          <w:rFonts w:eastAsia="Times New Roman" w:cs="Arial"/>
          <w:szCs w:val="24"/>
        </w:rPr>
      </w:pPr>
      <w:r w:rsidRPr="0057780D">
        <w:rPr>
          <w:rFonts w:cs="Arial"/>
          <w:i/>
          <w:iCs/>
          <w:szCs w:val="24"/>
        </w:rPr>
        <w:t xml:space="preserve">Estimated total annual burden hours: </w:t>
      </w:r>
      <w:r w:rsidRPr="0057780D">
        <w:rPr>
          <w:rFonts w:cs="Arial"/>
          <w:szCs w:val="24"/>
        </w:rPr>
        <w:t>40,089 hours.</w:t>
      </w:r>
      <w:r w:rsidRPr="0057780D" w:rsidR="00FA30B0">
        <w:rPr>
          <w:rFonts w:eastAsia="Times New Roman" w:cs="Arial"/>
          <w:szCs w:val="24"/>
        </w:rPr>
        <w:t xml:space="preserve"> Burden is defined at 5 CFR 1320.3(b).</w:t>
      </w:r>
    </w:p>
    <w:p w:rsidRPr="0057780D" w:rsidR="00EC5DCF" w:rsidP="00EC5DCF" w:rsidRDefault="00EC5DCF" w14:paraId="5E7EB07C" w14:textId="77777777">
      <w:pPr>
        <w:pStyle w:val="NoSpacing"/>
      </w:pPr>
    </w:p>
    <w:p w:rsidRPr="0057780D" w:rsidR="00FA30B0" w:rsidP="00FA30B0" w:rsidRDefault="00A721E2" w14:paraId="492181EA" w14:textId="3FD5D509">
      <w:pPr>
        <w:rPr>
          <w:rFonts w:eastAsia="Times New Roman" w:cs="Arial"/>
          <w:szCs w:val="24"/>
        </w:rPr>
      </w:pPr>
      <w:r w:rsidRPr="0057780D">
        <w:rPr>
          <w:rFonts w:cs="Arial"/>
          <w:i/>
          <w:iCs/>
          <w:szCs w:val="24"/>
        </w:rPr>
        <w:t>Estimated total annual costs</w:t>
      </w:r>
      <w:r w:rsidRPr="0057780D">
        <w:rPr>
          <w:rFonts w:cs="Arial"/>
          <w:szCs w:val="24"/>
        </w:rPr>
        <w:t xml:space="preserve">:  </w:t>
      </w:r>
      <w:r w:rsidRPr="0057780D">
        <w:rPr>
          <w:rFonts w:cs="Arial"/>
          <w:bCs/>
          <w:szCs w:val="24"/>
        </w:rPr>
        <w:t>$3,067,546</w:t>
      </w:r>
      <w:r w:rsidRPr="0057780D" w:rsidR="00FA30B0">
        <w:rPr>
          <w:rFonts w:cs="Arial"/>
          <w:bCs/>
          <w:szCs w:val="24"/>
        </w:rPr>
        <w:t xml:space="preserve">, </w:t>
      </w:r>
      <w:r w:rsidRPr="0057780D" w:rsidR="00FA30B0">
        <w:rPr>
          <w:rFonts w:eastAsia="Times New Roman" w:cs="Arial"/>
          <w:bCs/>
          <w:szCs w:val="24"/>
        </w:rPr>
        <w:t xml:space="preserve">includes no annualized </w:t>
      </w:r>
      <w:r w:rsidRPr="0057780D" w:rsidR="00FA30B0">
        <w:rPr>
          <w:rFonts w:eastAsia="Times New Roman" w:cs="Arial"/>
          <w:szCs w:val="24"/>
        </w:rPr>
        <w:t>capital investment or maintenance and operational costs.</w:t>
      </w:r>
    </w:p>
    <w:p w:rsidRPr="0057780D" w:rsidR="0065500B" w:rsidP="0065500B" w:rsidRDefault="0065500B" w14:paraId="008789EE" w14:textId="77777777">
      <w:pPr>
        <w:pStyle w:val="NoSpacing"/>
        <w:rPr>
          <w:rFonts w:cs="Arial"/>
          <w:szCs w:val="24"/>
        </w:rPr>
      </w:pPr>
    </w:p>
    <w:p w:rsidRPr="0057780D" w:rsidR="0065500B" w:rsidP="00FA30B0" w:rsidRDefault="0065500B" w14:paraId="30C98C84" w14:textId="2AD67552">
      <w:pPr>
        <w:rPr>
          <w:rFonts w:cs="Arial"/>
          <w:szCs w:val="24"/>
        </w:rPr>
      </w:pPr>
      <w:r w:rsidRPr="0057780D">
        <w:rPr>
          <w:rFonts w:eastAsia="Times New Roman" w:cs="Arial"/>
          <w:i/>
          <w:szCs w:val="24"/>
        </w:rPr>
        <w:t>Changes in the estimates</w:t>
      </w:r>
      <w:r w:rsidRPr="0057780D">
        <w:rPr>
          <w:rFonts w:eastAsia="Times New Roman" w:cs="Arial"/>
          <w:szCs w:val="24"/>
        </w:rPr>
        <w:t xml:space="preserve">: </w:t>
      </w:r>
      <w:r w:rsidRPr="0057780D" w:rsidR="00FA30B0">
        <w:rPr>
          <w:rFonts w:cs="Arial"/>
          <w:szCs w:val="24"/>
        </w:rPr>
        <w:t xml:space="preserve">There is </w:t>
      </w:r>
      <w:r w:rsidRPr="0057780D" w:rsidR="00FA30B0">
        <w:rPr>
          <w:rFonts w:cs="Arial"/>
          <w:bCs/>
          <w:szCs w:val="24"/>
        </w:rPr>
        <w:t>decrease</w:t>
      </w:r>
      <w:r w:rsidRPr="0057780D" w:rsidR="00FA30B0">
        <w:rPr>
          <w:rFonts w:cs="Arial"/>
          <w:szCs w:val="24"/>
        </w:rPr>
        <w:t xml:space="preserve"> of 26,861 hours in the total estimated respondent burden compared with that identified in the ICR currently approved by OMB. </w:t>
      </w:r>
      <w:bookmarkStart w:name="_Hlk22799892" w:id="7"/>
      <w:r w:rsidRPr="0057780D" w:rsidR="00FA30B0">
        <w:rPr>
          <w:rFonts w:cs="Arial"/>
          <w:szCs w:val="24"/>
        </w:rPr>
        <w:t xml:space="preserve">This decrease reflects EPA's </w:t>
      </w:r>
      <w:r w:rsidRPr="0057780D" w:rsidR="00FA30B0">
        <w:rPr>
          <w:rFonts w:cs="Arial"/>
          <w:bCs/>
          <w:szCs w:val="24"/>
        </w:rPr>
        <w:t xml:space="preserve">expectation of decreased submissions. In the previous ICR period, the rule required an initial one-time reporting on current nanomaterials, while the reporting covered in this period only requires the reporting of new nanomaterials. Furthermore, burden estimates assume that the same manufacturers will report each year and, therefore, will have already undertaken rule familiarization in the previous ICR period. Wage rates were also updated to reflect 2018 dollars. </w:t>
      </w:r>
      <w:bookmarkEnd w:id="7"/>
    </w:p>
    <w:p w:rsidRPr="0057780D" w:rsidR="0065500B" w:rsidP="0065500B" w:rsidRDefault="0065500B" w14:paraId="3F206B5C" w14:textId="77777777">
      <w:pPr>
        <w:rPr>
          <w:rFonts w:cs="Arial"/>
          <w:lang w:bidi="en-US"/>
        </w:rPr>
      </w:pPr>
    </w:p>
    <w:p w:rsidRPr="0057780D" w:rsidR="0065500B" w:rsidP="0065500B" w:rsidRDefault="0065500B" w14:paraId="59C3863B" w14:textId="77777777">
      <w:pPr>
        <w:pStyle w:val="NoSpacing"/>
        <w:rPr>
          <w:lang w:bidi="en-US"/>
        </w:rPr>
      </w:pPr>
    </w:p>
    <w:p w:rsidRPr="0057780D" w:rsidR="0065500B" w:rsidP="0065500B" w:rsidRDefault="0065500B" w14:paraId="3D016F28" w14:textId="77777777">
      <w:pPr>
        <w:pStyle w:val="Heading1"/>
        <w:numPr>
          <w:ilvl w:val="0"/>
          <w:numId w:val="1"/>
        </w:numPr>
      </w:pPr>
      <w:bookmarkStart w:name="_Toc433886702" w:id="8"/>
      <w:r w:rsidRPr="0057780D">
        <w:lastRenderedPageBreak/>
        <w:t>NECESSITY OF THE INFORMATION COLLECTION</w:t>
      </w:r>
      <w:bookmarkEnd w:id="8"/>
    </w:p>
    <w:p w:rsidRPr="0057780D" w:rsidR="0065500B" w:rsidP="0065500B" w:rsidRDefault="0065500B" w14:paraId="7B1236AE" w14:textId="77777777">
      <w:pPr>
        <w:pStyle w:val="Heading2"/>
        <w:numPr>
          <w:ilvl w:val="1"/>
          <w:numId w:val="1"/>
        </w:numPr>
        <w:tabs>
          <w:tab w:val="left" w:pos="1080"/>
        </w:tabs>
      </w:pPr>
      <w:bookmarkStart w:name="_Toc433886703" w:id="9"/>
      <w:r w:rsidRPr="0057780D">
        <w:t>Related Legal and/or Administrative Requirements</w:t>
      </w:r>
      <w:bookmarkEnd w:id="9"/>
    </w:p>
    <w:p w:rsidRPr="0057780D" w:rsidR="0065500B" w:rsidP="0065500B" w:rsidRDefault="0065500B" w14:paraId="04C8B9A9" w14:textId="287D1808">
      <w:pPr>
        <w:pStyle w:val="NoSpacing"/>
      </w:pPr>
      <w:r w:rsidRPr="0057780D">
        <w:t xml:space="preserve">The related legal authority is </w:t>
      </w:r>
      <w:r w:rsidRPr="0057780D" w:rsidR="00B870D5">
        <w:t xml:space="preserve">The Toxic Substances Control Act (TSCA) section 8(a), U. S. C. 2607 and </w:t>
      </w:r>
      <w:r w:rsidRPr="0057780D" w:rsidR="00B870D5">
        <w:rPr>
          <w:lang w:bidi="en-US"/>
        </w:rPr>
        <w:t xml:space="preserve">implementing regulations in </w:t>
      </w:r>
      <w:r w:rsidRPr="0057780D" w:rsidR="00B870D5">
        <w:t>40 CFR part 704.20</w:t>
      </w:r>
    </w:p>
    <w:p w:rsidRPr="0057780D" w:rsidR="0065500B" w:rsidP="0065500B" w:rsidRDefault="0065500B" w14:paraId="17FA5EAC" w14:textId="2A85F984">
      <w:pPr>
        <w:pStyle w:val="NoSpacing"/>
        <w:spacing w:before="200"/>
        <w:rPr>
          <w:lang w:bidi="en-US"/>
        </w:rPr>
      </w:pPr>
      <w:r w:rsidRPr="0057780D">
        <w:rPr>
          <w:lang w:bidi="en-US"/>
        </w:rPr>
        <w:t xml:space="preserve">In addition, the EPA has developed </w:t>
      </w:r>
      <w:r w:rsidRPr="0057780D" w:rsidR="00B870D5">
        <w:rPr>
          <w:lang w:bidi="en-US"/>
        </w:rPr>
        <w:t xml:space="preserve">guidance and </w:t>
      </w:r>
      <w:r w:rsidRPr="0057780D">
        <w:rPr>
          <w:lang w:bidi="en-US"/>
        </w:rPr>
        <w:t xml:space="preserve">other materials that are available at </w:t>
      </w:r>
      <w:r w:rsidRPr="0057780D" w:rsidR="00B870D5">
        <w:rPr>
          <w:lang w:bidi="en-US"/>
        </w:rPr>
        <w:t xml:space="preserve">https://www.epa.gov/reviewing-new-chemicals-under-toxic-substances-control-act-tsca/control-nanoscale-materials-under#info rule. </w:t>
      </w:r>
    </w:p>
    <w:p w:rsidRPr="0057780D" w:rsidR="0065500B" w:rsidP="0065500B" w:rsidRDefault="0065500B" w14:paraId="7B0E9CAA" w14:textId="72987371">
      <w:pPr>
        <w:pStyle w:val="NoSpacing"/>
        <w:spacing w:before="200"/>
        <w:rPr>
          <w:lang w:bidi="en-US"/>
        </w:rPr>
      </w:pPr>
      <w:r w:rsidRPr="0057780D">
        <w:t>The following provides a general overview for requirements covered in this ICR:</w:t>
      </w:r>
    </w:p>
    <w:p w:rsidRPr="0057780D" w:rsidR="0065500B" w:rsidP="0065500B" w:rsidRDefault="0065500B" w14:paraId="7A9D0EBB" w14:textId="77777777"/>
    <w:p w:rsidRPr="0057780D" w:rsidR="007E48B7" w:rsidP="007E48B7" w:rsidRDefault="007E48B7" w14:paraId="2FA97738" w14:textId="3D19D7DC">
      <w:pPr>
        <w:autoSpaceDE w:val="0"/>
        <w:autoSpaceDN w:val="0"/>
        <w:adjustRightInd w:val="0"/>
        <w:rPr>
          <w:rFonts w:eastAsia="MS Mincho"/>
          <w:lang w:eastAsia="ja-JP"/>
        </w:rPr>
      </w:pPr>
      <w:r w:rsidRPr="0057780D">
        <w:rPr>
          <w:rFonts w:eastAsia="MS Mincho"/>
          <w:lang w:eastAsia="ja-JP"/>
        </w:rPr>
        <w:t xml:space="preserve">EPA is requiring that respondents provide all the information described below to the extent it is known or reasonably ascertainable. EPA is not requiring that respondents develop additional data for this information collection request. </w:t>
      </w:r>
    </w:p>
    <w:p w:rsidRPr="0057780D" w:rsidR="007E48B7" w:rsidP="007E48B7" w:rsidRDefault="007E48B7" w14:paraId="134F634F" w14:textId="77777777">
      <w:pPr>
        <w:autoSpaceDE w:val="0"/>
        <w:autoSpaceDN w:val="0"/>
        <w:adjustRightInd w:val="0"/>
        <w:rPr>
          <w:rFonts w:eastAsia="MS Mincho"/>
          <w:lang w:eastAsia="ja-JP"/>
        </w:rPr>
      </w:pPr>
    </w:p>
    <w:p w:rsidRPr="0057780D" w:rsidR="007E48B7" w:rsidP="007E48B7" w:rsidRDefault="007E48B7" w14:paraId="67A17782" w14:textId="77777777">
      <w:pPr>
        <w:autoSpaceDE w:val="0"/>
        <w:autoSpaceDN w:val="0"/>
        <w:adjustRightInd w:val="0"/>
        <w:rPr>
          <w:rFonts w:eastAsia="MS Mincho"/>
          <w:lang w:eastAsia="ja-JP"/>
        </w:rPr>
      </w:pPr>
      <w:r w:rsidRPr="0057780D">
        <w:rPr>
          <w:rFonts w:eastAsia="MS Mincho"/>
          <w:lang w:eastAsia="ja-JP"/>
        </w:rPr>
        <w:t>1. Company name and other identifying information, address of company and site, technical contact and related information.</w:t>
      </w:r>
    </w:p>
    <w:p w:rsidRPr="0057780D" w:rsidR="007E48B7" w:rsidP="007E48B7" w:rsidRDefault="007E48B7" w14:paraId="38729DB4" w14:textId="77777777">
      <w:pPr>
        <w:autoSpaceDE w:val="0"/>
        <w:autoSpaceDN w:val="0"/>
        <w:adjustRightInd w:val="0"/>
        <w:rPr>
          <w:rFonts w:eastAsia="MS Mincho"/>
          <w:lang w:eastAsia="ja-JP"/>
        </w:rPr>
      </w:pPr>
    </w:p>
    <w:p w:rsidRPr="0057780D" w:rsidR="007E48B7" w:rsidP="007E48B7" w:rsidRDefault="007E48B7" w14:paraId="2018D650" w14:textId="77777777">
      <w:pPr>
        <w:autoSpaceDE w:val="0"/>
        <w:autoSpaceDN w:val="0"/>
        <w:adjustRightInd w:val="0"/>
        <w:rPr>
          <w:rFonts w:eastAsia="MS Mincho"/>
          <w:lang w:eastAsia="ja-JP"/>
        </w:rPr>
      </w:pPr>
      <w:r w:rsidRPr="0057780D">
        <w:rPr>
          <w:rFonts w:eastAsia="MS Mincho"/>
          <w:lang w:eastAsia="ja-JP"/>
        </w:rPr>
        <w:t>2. Common or trade name of the chemical substance.</w:t>
      </w:r>
    </w:p>
    <w:p w:rsidRPr="0057780D" w:rsidR="007E48B7" w:rsidP="007E48B7" w:rsidRDefault="007E48B7" w14:paraId="73E27F52" w14:textId="77777777">
      <w:pPr>
        <w:autoSpaceDE w:val="0"/>
        <w:autoSpaceDN w:val="0"/>
        <w:adjustRightInd w:val="0"/>
        <w:rPr>
          <w:rFonts w:eastAsia="MS Mincho"/>
          <w:lang w:eastAsia="ja-JP"/>
        </w:rPr>
      </w:pPr>
      <w:r w:rsidRPr="0057780D">
        <w:rPr>
          <w:rFonts w:eastAsia="MS Mincho"/>
          <w:lang w:eastAsia="ja-JP"/>
        </w:rPr>
        <w:t xml:space="preserve">Chemical identity and molecular structure of substance.  </w:t>
      </w:r>
    </w:p>
    <w:p w:rsidRPr="0057780D" w:rsidR="007E48B7" w:rsidP="007E48B7" w:rsidRDefault="007E48B7" w14:paraId="533B58D6" w14:textId="77777777">
      <w:pPr>
        <w:autoSpaceDE w:val="0"/>
        <w:autoSpaceDN w:val="0"/>
        <w:adjustRightInd w:val="0"/>
        <w:rPr>
          <w:rFonts w:eastAsia="MS Mincho"/>
          <w:lang w:eastAsia="ja-JP"/>
        </w:rPr>
      </w:pPr>
    </w:p>
    <w:p w:rsidRPr="0057780D" w:rsidR="007E48B7" w:rsidP="007E48B7" w:rsidRDefault="007E48B7" w14:paraId="26CBE0E3" w14:textId="77777777">
      <w:pPr>
        <w:autoSpaceDE w:val="0"/>
        <w:autoSpaceDN w:val="0"/>
        <w:adjustRightInd w:val="0"/>
        <w:rPr>
          <w:rFonts w:eastAsia="MS Mincho"/>
          <w:lang w:eastAsia="ja-JP"/>
        </w:rPr>
      </w:pPr>
      <w:r w:rsidRPr="0057780D">
        <w:rPr>
          <w:rFonts w:eastAsia="MS Mincho"/>
          <w:lang w:eastAsia="ja-JP"/>
        </w:rPr>
        <w:t>3. The following physical and environmental fate properties:</w:t>
      </w:r>
    </w:p>
    <w:p w:rsidRPr="0057780D" w:rsidR="007E48B7" w:rsidP="007E48B7" w:rsidRDefault="007E48B7" w14:paraId="767F2174" w14:textId="77777777">
      <w:pPr>
        <w:autoSpaceDE w:val="0"/>
        <w:autoSpaceDN w:val="0"/>
        <w:adjustRightInd w:val="0"/>
        <w:rPr>
          <w:rFonts w:eastAsia="MS Mincho"/>
          <w:lang w:eastAsia="ja-JP"/>
        </w:rPr>
      </w:pPr>
    </w:p>
    <w:p w:rsidRPr="0057780D" w:rsidR="007E48B7" w:rsidP="007E48B7" w:rsidRDefault="007E48B7" w14:paraId="063359CD" w14:textId="77777777">
      <w:pPr>
        <w:autoSpaceDE w:val="0"/>
        <w:autoSpaceDN w:val="0"/>
        <w:adjustRightInd w:val="0"/>
        <w:ind w:left="720"/>
        <w:rPr>
          <w:rFonts w:eastAsia="MS Mincho"/>
          <w:lang w:eastAsia="ja-JP"/>
        </w:rPr>
      </w:pPr>
      <w:r w:rsidRPr="0057780D">
        <w:rPr>
          <w:rFonts w:eastAsia="MS Mincho"/>
          <w:lang w:eastAsia="ja-JP"/>
        </w:rPr>
        <w:t xml:space="preserve">Physical state </w:t>
      </w:r>
    </w:p>
    <w:p w:rsidRPr="0057780D" w:rsidR="007E48B7" w:rsidP="007E48B7" w:rsidRDefault="007E48B7" w14:paraId="7B08CE48" w14:textId="77777777">
      <w:pPr>
        <w:autoSpaceDE w:val="0"/>
        <w:autoSpaceDN w:val="0"/>
        <w:adjustRightInd w:val="0"/>
        <w:ind w:left="720"/>
        <w:rPr>
          <w:rFonts w:eastAsia="MS Mincho"/>
          <w:lang w:eastAsia="ja-JP"/>
        </w:rPr>
      </w:pPr>
      <w:r w:rsidRPr="0057780D">
        <w:rPr>
          <w:rFonts w:eastAsia="MS Mincho"/>
          <w:lang w:eastAsia="ja-JP"/>
        </w:rPr>
        <w:t>Vapor pressure</w:t>
      </w:r>
    </w:p>
    <w:p w:rsidRPr="0057780D" w:rsidR="007E48B7" w:rsidP="007E48B7" w:rsidRDefault="007E48B7" w14:paraId="1BDEA4EF" w14:textId="77777777">
      <w:pPr>
        <w:autoSpaceDE w:val="0"/>
        <w:autoSpaceDN w:val="0"/>
        <w:adjustRightInd w:val="0"/>
        <w:ind w:left="720"/>
        <w:rPr>
          <w:rFonts w:eastAsia="MS Mincho"/>
          <w:lang w:eastAsia="ja-JP"/>
        </w:rPr>
      </w:pPr>
      <w:r w:rsidRPr="0057780D">
        <w:rPr>
          <w:rFonts w:eastAsia="MS Mincho"/>
          <w:lang w:eastAsia="ja-JP"/>
        </w:rPr>
        <w:t>Density Solubility in water or other solvents</w:t>
      </w:r>
    </w:p>
    <w:p w:rsidRPr="0057780D" w:rsidR="007E48B7" w:rsidP="007E48B7" w:rsidRDefault="007E48B7" w14:paraId="476A1334" w14:textId="77777777">
      <w:pPr>
        <w:autoSpaceDE w:val="0"/>
        <w:autoSpaceDN w:val="0"/>
        <w:adjustRightInd w:val="0"/>
        <w:ind w:left="720"/>
        <w:rPr>
          <w:rFonts w:eastAsia="MS Mincho"/>
          <w:lang w:eastAsia="ja-JP"/>
        </w:rPr>
      </w:pPr>
      <w:r w:rsidRPr="0057780D">
        <w:rPr>
          <w:rFonts w:eastAsia="MS Mincho"/>
          <w:lang w:eastAsia="ja-JP"/>
        </w:rPr>
        <w:t xml:space="preserve">Melting temperature </w:t>
      </w:r>
    </w:p>
    <w:p w:rsidRPr="0057780D" w:rsidR="007E48B7" w:rsidP="007E48B7" w:rsidRDefault="007E48B7" w14:paraId="4B6F9C70" w14:textId="77777777">
      <w:pPr>
        <w:autoSpaceDE w:val="0"/>
        <w:autoSpaceDN w:val="0"/>
        <w:adjustRightInd w:val="0"/>
        <w:ind w:left="720"/>
        <w:rPr>
          <w:rFonts w:eastAsia="MS Mincho"/>
          <w:lang w:eastAsia="ja-JP"/>
        </w:rPr>
      </w:pPr>
      <w:r w:rsidRPr="0057780D">
        <w:rPr>
          <w:rFonts w:eastAsia="MS Mincho"/>
          <w:lang w:eastAsia="ja-JP"/>
        </w:rPr>
        <w:t>Boiling/sublimation temperature</w:t>
      </w:r>
    </w:p>
    <w:p w:rsidRPr="0057780D" w:rsidR="007E48B7" w:rsidP="007E48B7" w:rsidRDefault="007E48B7" w14:paraId="13D159C5" w14:textId="77777777">
      <w:pPr>
        <w:autoSpaceDE w:val="0"/>
        <w:autoSpaceDN w:val="0"/>
        <w:adjustRightInd w:val="0"/>
        <w:ind w:left="720"/>
        <w:rPr>
          <w:rFonts w:eastAsia="MS Mincho"/>
          <w:lang w:eastAsia="ja-JP"/>
        </w:rPr>
      </w:pPr>
      <w:r w:rsidRPr="0057780D">
        <w:rPr>
          <w:rFonts w:eastAsia="MS Mincho"/>
          <w:lang w:eastAsia="ja-JP"/>
        </w:rPr>
        <w:t>Spectra Dissociation constant</w:t>
      </w:r>
    </w:p>
    <w:p w:rsidRPr="0057780D" w:rsidR="007E48B7" w:rsidP="007E48B7" w:rsidRDefault="007E48B7" w14:paraId="616D8F50" w14:textId="77777777">
      <w:pPr>
        <w:autoSpaceDE w:val="0"/>
        <w:autoSpaceDN w:val="0"/>
        <w:adjustRightInd w:val="0"/>
        <w:ind w:left="720"/>
        <w:rPr>
          <w:rFonts w:eastAsia="MS Mincho"/>
          <w:lang w:eastAsia="ja-JP"/>
        </w:rPr>
      </w:pPr>
      <w:r w:rsidRPr="0057780D">
        <w:rPr>
          <w:rFonts w:eastAsia="MS Mincho"/>
          <w:lang w:eastAsia="ja-JP"/>
        </w:rPr>
        <w:t xml:space="preserve">Particle size distribution </w:t>
      </w:r>
    </w:p>
    <w:p w:rsidRPr="0057780D" w:rsidR="007E48B7" w:rsidP="007E48B7" w:rsidRDefault="007E48B7" w14:paraId="431FEB78" w14:textId="77777777">
      <w:pPr>
        <w:autoSpaceDE w:val="0"/>
        <w:autoSpaceDN w:val="0"/>
        <w:adjustRightInd w:val="0"/>
        <w:ind w:left="720"/>
        <w:rPr>
          <w:rFonts w:eastAsia="MS Mincho"/>
          <w:lang w:eastAsia="ja-JP"/>
        </w:rPr>
      </w:pPr>
      <w:r w:rsidRPr="0057780D">
        <w:rPr>
          <w:rFonts w:eastAsia="MS Mincho"/>
          <w:lang w:eastAsia="ja-JP"/>
        </w:rPr>
        <w:t>Octanol/water partition coefficient</w:t>
      </w:r>
    </w:p>
    <w:p w:rsidRPr="0057780D" w:rsidR="007E48B7" w:rsidP="007E48B7" w:rsidRDefault="007E48B7" w14:paraId="3A993AA7" w14:textId="77777777">
      <w:pPr>
        <w:autoSpaceDE w:val="0"/>
        <w:autoSpaceDN w:val="0"/>
        <w:adjustRightInd w:val="0"/>
        <w:ind w:left="720"/>
        <w:rPr>
          <w:rFonts w:eastAsia="MS Mincho"/>
          <w:lang w:eastAsia="ja-JP"/>
        </w:rPr>
      </w:pPr>
      <w:r w:rsidRPr="0057780D">
        <w:rPr>
          <w:rFonts w:eastAsia="MS Mincho"/>
          <w:lang w:eastAsia="ja-JP"/>
        </w:rPr>
        <w:t xml:space="preserve">Henry’s Law constant </w:t>
      </w:r>
    </w:p>
    <w:p w:rsidRPr="0057780D" w:rsidR="007E48B7" w:rsidP="007E48B7" w:rsidRDefault="007E48B7" w14:paraId="236BED44" w14:textId="77777777">
      <w:pPr>
        <w:autoSpaceDE w:val="0"/>
        <w:autoSpaceDN w:val="0"/>
        <w:adjustRightInd w:val="0"/>
        <w:ind w:left="720"/>
        <w:rPr>
          <w:rFonts w:eastAsia="MS Mincho"/>
          <w:lang w:eastAsia="ja-JP"/>
        </w:rPr>
      </w:pPr>
      <w:r w:rsidRPr="0057780D">
        <w:rPr>
          <w:rFonts w:eastAsia="MS Mincho"/>
          <w:lang w:eastAsia="ja-JP"/>
        </w:rPr>
        <w:t>Volatilization from water</w:t>
      </w:r>
    </w:p>
    <w:p w:rsidRPr="0057780D" w:rsidR="007E48B7" w:rsidP="007E48B7" w:rsidRDefault="007E48B7" w14:paraId="7E79FFF3" w14:textId="77777777">
      <w:pPr>
        <w:autoSpaceDE w:val="0"/>
        <w:autoSpaceDN w:val="0"/>
        <w:adjustRightInd w:val="0"/>
        <w:ind w:left="720"/>
        <w:rPr>
          <w:rFonts w:eastAsia="MS Mincho"/>
          <w:lang w:eastAsia="ja-JP"/>
        </w:rPr>
      </w:pPr>
      <w:r w:rsidRPr="0057780D">
        <w:rPr>
          <w:rFonts w:eastAsia="MS Mincho"/>
          <w:lang w:eastAsia="ja-JP"/>
        </w:rPr>
        <w:t>pH Volatilization from soil</w:t>
      </w:r>
    </w:p>
    <w:p w:rsidRPr="0057780D" w:rsidR="007E48B7" w:rsidP="007E48B7" w:rsidRDefault="007E48B7" w14:paraId="295CFA99" w14:textId="77777777">
      <w:pPr>
        <w:autoSpaceDE w:val="0"/>
        <w:autoSpaceDN w:val="0"/>
        <w:adjustRightInd w:val="0"/>
        <w:ind w:left="720"/>
        <w:rPr>
          <w:rFonts w:eastAsia="MS Mincho"/>
          <w:lang w:eastAsia="ja-JP"/>
        </w:rPr>
      </w:pPr>
      <w:r w:rsidRPr="0057780D">
        <w:rPr>
          <w:rFonts w:eastAsia="MS Mincho"/>
          <w:lang w:eastAsia="ja-JP"/>
        </w:rPr>
        <w:t xml:space="preserve">Flammability </w:t>
      </w:r>
      <w:proofErr w:type="spellStart"/>
      <w:r w:rsidRPr="0057780D">
        <w:rPr>
          <w:rFonts w:eastAsia="MS Mincho"/>
          <w:lang w:eastAsia="ja-JP"/>
        </w:rPr>
        <w:t>Explodability</w:t>
      </w:r>
      <w:proofErr w:type="spellEnd"/>
    </w:p>
    <w:p w:rsidRPr="0057780D" w:rsidR="007E48B7" w:rsidP="007E48B7" w:rsidRDefault="007E48B7" w14:paraId="6F069A05" w14:textId="77777777">
      <w:pPr>
        <w:autoSpaceDE w:val="0"/>
        <w:autoSpaceDN w:val="0"/>
        <w:adjustRightInd w:val="0"/>
        <w:ind w:left="720"/>
        <w:rPr>
          <w:rFonts w:eastAsia="MS Mincho"/>
          <w:lang w:eastAsia="ja-JP"/>
        </w:rPr>
      </w:pPr>
      <w:r w:rsidRPr="0057780D">
        <w:rPr>
          <w:rFonts w:eastAsia="MS Mincho"/>
          <w:lang w:eastAsia="ja-JP"/>
        </w:rPr>
        <w:t>Adsorption coefficient Shape</w:t>
      </w:r>
    </w:p>
    <w:p w:rsidRPr="0057780D" w:rsidR="007E48B7" w:rsidP="007E48B7" w:rsidRDefault="007E48B7" w14:paraId="6B4F94DF" w14:textId="77777777">
      <w:pPr>
        <w:autoSpaceDE w:val="0"/>
        <w:autoSpaceDN w:val="0"/>
        <w:adjustRightInd w:val="0"/>
        <w:ind w:left="720"/>
        <w:rPr>
          <w:rFonts w:eastAsia="MS Mincho"/>
          <w:lang w:eastAsia="ja-JP"/>
        </w:rPr>
      </w:pPr>
      <w:r w:rsidRPr="0057780D">
        <w:rPr>
          <w:rFonts w:eastAsia="MS Mincho"/>
          <w:lang w:eastAsia="ja-JP"/>
        </w:rPr>
        <w:t>Agglomeration state/dispersion state</w:t>
      </w:r>
    </w:p>
    <w:p w:rsidRPr="0057780D" w:rsidR="007E48B7" w:rsidP="007E48B7" w:rsidRDefault="007E48B7" w14:paraId="670F0DF2" w14:textId="77777777">
      <w:pPr>
        <w:autoSpaceDE w:val="0"/>
        <w:autoSpaceDN w:val="0"/>
        <w:adjustRightInd w:val="0"/>
        <w:ind w:left="720"/>
        <w:rPr>
          <w:rFonts w:eastAsia="MS Mincho"/>
          <w:lang w:eastAsia="ja-JP"/>
        </w:rPr>
      </w:pPr>
      <w:r w:rsidRPr="0057780D">
        <w:rPr>
          <w:rFonts w:eastAsia="MS Mincho"/>
          <w:lang w:eastAsia="ja-JP"/>
        </w:rPr>
        <w:t>Crystal structure</w:t>
      </w:r>
    </w:p>
    <w:p w:rsidRPr="0057780D" w:rsidR="007E48B7" w:rsidP="007E48B7" w:rsidRDefault="007E48B7" w14:paraId="4796DC26" w14:textId="77777777">
      <w:pPr>
        <w:autoSpaceDE w:val="0"/>
        <w:autoSpaceDN w:val="0"/>
        <w:adjustRightInd w:val="0"/>
        <w:ind w:left="720"/>
        <w:rPr>
          <w:rFonts w:eastAsia="MS Mincho"/>
          <w:lang w:eastAsia="ja-JP"/>
        </w:rPr>
      </w:pPr>
      <w:r w:rsidRPr="0057780D">
        <w:rPr>
          <w:rFonts w:eastAsia="MS Mincho"/>
          <w:lang w:eastAsia="ja-JP"/>
        </w:rPr>
        <w:t xml:space="preserve">Chemical composition – including spatially averaged (bulk) and spatially resolved </w:t>
      </w:r>
    </w:p>
    <w:p w:rsidRPr="0057780D" w:rsidR="007E48B7" w:rsidP="007E48B7" w:rsidRDefault="007E48B7" w14:paraId="0188727A" w14:textId="77777777">
      <w:pPr>
        <w:autoSpaceDE w:val="0"/>
        <w:autoSpaceDN w:val="0"/>
        <w:adjustRightInd w:val="0"/>
        <w:ind w:left="720"/>
        <w:rPr>
          <w:rFonts w:eastAsia="MS Mincho"/>
          <w:lang w:eastAsia="ja-JP"/>
        </w:rPr>
      </w:pPr>
      <w:r w:rsidRPr="0057780D">
        <w:rPr>
          <w:rFonts w:eastAsia="MS Mincho"/>
          <w:lang w:eastAsia="ja-JP"/>
        </w:rPr>
        <w:t xml:space="preserve">    heterogeneous composition</w:t>
      </w:r>
    </w:p>
    <w:p w:rsidRPr="0057780D" w:rsidR="007E48B7" w:rsidP="007E48B7" w:rsidRDefault="007E48B7" w14:paraId="6A9C6F89" w14:textId="77777777">
      <w:pPr>
        <w:autoSpaceDE w:val="0"/>
        <w:autoSpaceDN w:val="0"/>
        <w:adjustRightInd w:val="0"/>
        <w:ind w:left="720"/>
        <w:rPr>
          <w:rFonts w:eastAsia="MS Mincho"/>
          <w:lang w:eastAsia="ja-JP"/>
        </w:rPr>
      </w:pPr>
      <w:r w:rsidRPr="0057780D">
        <w:rPr>
          <w:rFonts w:eastAsia="MS Mincho"/>
          <w:lang w:eastAsia="ja-JP"/>
        </w:rPr>
        <w:t>Surface area Surface chemistry</w:t>
      </w:r>
    </w:p>
    <w:p w:rsidRPr="0057780D" w:rsidR="007E48B7" w:rsidP="007E48B7" w:rsidRDefault="007E48B7" w14:paraId="0E6FC3F9" w14:textId="77777777">
      <w:pPr>
        <w:autoSpaceDE w:val="0"/>
        <w:autoSpaceDN w:val="0"/>
        <w:adjustRightInd w:val="0"/>
        <w:ind w:left="720"/>
        <w:rPr>
          <w:rFonts w:eastAsia="MS Mincho"/>
          <w:lang w:eastAsia="ja-JP"/>
        </w:rPr>
      </w:pPr>
      <w:r w:rsidRPr="0057780D">
        <w:rPr>
          <w:rFonts w:eastAsia="MS Mincho"/>
          <w:lang w:eastAsia="ja-JP"/>
        </w:rPr>
        <w:t>Surface charge Porosity</w:t>
      </w:r>
    </w:p>
    <w:p w:rsidRPr="0057780D" w:rsidR="007E48B7" w:rsidP="007E48B7" w:rsidRDefault="007E48B7" w14:paraId="70BDE74B" w14:textId="77777777">
      <w:pPr>
        <w:autoSpaceDE w:val="0"/>
        <w:autoSpaceDN w:val="0"/>
        <w:adjustRightInd w:val="0"/>
        <w:ind w:left="720"/>
        <w:rPr>
          <w:rFonts w:eastAsia="MS Mincho"/>
          <w:lang w:eastAsia="ja-JP"/>
        </w:rPr>
      </w:pPr>
      <w:r w:rsidRPr="0057780D">
        <w:rPr>
          <w:rFonts w:eastAsia="MS Mincho"/>
          <w:lang w:eastAsia="ja-JP"/>
        </w:rPr>
        <w:t>Surface reactivity average particle weight</w:t>
      </w:r>
    </w:p>
    <w:p w:rsidRPr="0057780D" w:rsidR="007E48B7" w:rsidP="007E48B7" w:rsidRDefault="007E48B7" w14:paraId="405F1F28" w14:textId="77777777">
      <w:pPr>
        <w:autoSpaceDE w:val="0"/>
        <w:autoSpaceDN w:val="0"/>
        <w:adjustRightInd w:val="0"/>
        <w:ind w:left="720"/>
        <w:rPr>
          <w:rFonts w:eastAsia="MS Mincho"/>
          <w:lang w:eastAsia="ja-JP"/>
        </w:rPr>
      </w:pPr>
      <w:r w:rsidRPr="0057780D">
        <w:rPr>
          <w:rFonts w:eastAsia="MS Mincho"/>
          <w:lang w:eastAsia="ja-JP"/>
        </w:rPr>
        <w:t>Average particle surface area rate of sorption</w:t>
      </w:r>
    </w:p>
    <w:p w:rsidRPr="0057780D" w:rsidR="007E48B7" w:rsidP="007E48B7" w:rsidRDefault="007E48B7" w14:paraId="1C3B2590" w14:textId="77777777">
      <w:pPr>
        <w:autoSpaceDE w:val="0"/>
        <w:autoSpaceDN w:val="0"/>
        <w:adjustRightInd w:val="0"/>
        <w:ind w:left="720"/>
        <w:rPr>
          <w:rFonts w:eastAsia="MS Mincho"/>
          <w:lang w:eastAsia="ja-JP"/>
        </w:rPr>
      </w:pPr>
      <w:r w:rsidRPr="0057780D">
        <w:rPr>
          <w:rFonts w:eastAsia="MS Mincho"/>
          <w:lang w:eastAsia="ja-JP"/>
        </w:rPr>
        <w:t>Aggregation rate of diffusion</w:t>
      </w:r>
    </w:p>
    <w:p w:rsidRPr="0057780D" w:rsidR="007E48B7" w:rsidP="007E48B7" w:rsidRDefault="007E48B7" w14:paraId="241CCB99" w14:textId="77777777">
      <w:pPr>
        <w:autoSpaceDE w:val="0"/>
        <w:autoSpaceDN w:val="0"/>
        <w:adjustRightInd w:val="0"/>
        <w:ind w:left="720"/>
        <w:rPr>
          <w:rFonts w:eastAsia="MS Mincho"/>
          <w:lang w:eastAsia="ja-JP"/>
        </w:rPr>
      </w:pPr>
      <w:r w:rsidRPr="0057780D">
        <w:rPr>
          <w:rFonts w:eastAsia="MS Mincho"/>
          <w:lang w:eastAsia="ja-JP"/>
        </w:rPr>
        <w:lastRenderedPageBreak/>
        <w:t>Wet and dry transport rate of gravitational settling</w:t>
      </w:r>
    </w:p>
    <w:p w:rsidRPr="0057780D" w:rsidR="007E48B7" w:rsidP="007E48B7" w:rsidRDefault="007E48B7" w14:paraId="7FBB6E97" w14:textId="77777777">
      <w:pPr>
        <w:autoSpaceDE w:val="0"/>
        <w:autoSpaceDN w:val="0"/>
        <w:adjustRightInd w:val="0"/>
        <w:ind w:left="720"/>
        <w:rPr>
          <w:rFonts w:eastAsia="MS Mincho"/>
          <w:lang w:eastAsia="ja-JP"/>
        </w:rPr>
      </w:pPr>
      <w:r w:rsidRPr="0057780D">
        <w:rPr>
          <w:rFonts w:eastAsia="MS Mincho"/>
          <w:lang w:eastAsia="ja-JP"/>
        </w:rPr>
        <w:t>Bioaccumulation/biomagnification biodegradation</w:t>
      </w:r>
    </w:p>
    <w:p w:rsidRPr="0057780D" w:rsidR="007E48B7" w:rsidP="007E48B7" w:rsidRDefault="007E48B7" w14:paraId="548E9808" w14:textId="77777777">
      <w:pPr>
        <w:autoSpaceDE w:val="0"/>
        <w:autoSpaceDN w:val="0"/>
        <w:adjustRightInd w:val="0"/>
        <w:ind w:left="720"/>
        <w:rPr>
          <w:rFonts w:eastAsia="MS Mincho"/>
          <w:lang w:eastAsia="ja-JP"/>
        </w:rPr>
      </w:pPr>
      <w:r w:rsidRPr="0057780D">
        <w:rPr>
          <w:rFonts w:eastAsia="MS Mincho"/>
          <w:lang w:eastAsia="ja-JP"/>
        </w:rPr>
        <w:t>Particle count rate of deposition</w:t>
      </w:r>
    </w:p>
    <w:p w:rsidRPr="0057780D" w:rsidR="007E48B7" w:rsidP="007E48B7" w:rsidRDefault="007E48B7" w14:paraId="7D6B4A70" w14:textId="77777777">
      <w:pPr>
        <w:autoSpaceDE w:val="0"/>
        <w:autoSpaceDN w:val="0"/>
        <w:adjustRightInd w:val="0"/>
        <w:ind w:left="720"/>
        <w:rPr>
          <w:rFonts w:eastAsia="MS Mincho"/>
          <w:lang w:eastAsia="ja-JP"/>
        </w:rPr>
      </w:pPr>
      <w:r w:rsidRPr="0057780D">
        <w:rPr>
          <w:rFonts w:eastAsia="MS Mincho"/>
          <w:lang w:eastAsia="ja-JP"/>
        </w:rPr>
        <w:t>Surface/volume ratio average aerodynamic diameter</w:t>
      </w:r>
    </w:p>
    <w:p w:rsidRPr="0057780D" w:rsidR="007E48B7" w:rsidP="007E48B7" w:rsidRDefault="007E48B7" w14:paraId="18139B3C" w14:textId="77777777">
      <w:pPr>
        <w:autoSpaceDE w:val="0"/>
        <w:autoSpaceDN w:val="0"/>
        <w:adjustRightInd w:val="0"/>
        <w:ind w:left="720"/>
        <w:rPr>
          <w:rFonts w:eastAsia="MS Mincho"/>
          <w:lang w:eastAsia="ja-JP"/>
        </w:rPr>
      </w:pPr>
      <w:r w:rsidRPr="0057780D">
        <w:rPr>
          <w:rFonts w:eastAsia="MS Mincho"/>
          <w:lang w:eastAsia="ja-JP"/>
        </w:rPr>
        <w:t>Mobility through soil</w:t>
      </w:r>
    </w:p>
    <w:p w:rsidRPr="0057780D" w:rsidR="007E48B7" w:rsidP="007E48B7" w:rsidRDefault="007E48B7" w14:paraId="4336F9AE" w14:textId="77777777">
      <w:pPr>
        <w:autoSpaceDE w:val="0"/>
        <w:autoSpaceDN w:val="0"/>
        <w:adjustRightInd w:val="0"/>
        <w:ind w:left="720"/>
        <w:rPr>
          <w:rFonts w:eastAsia="MS Mincho"/>
          <w:lang w:eastAsia="ja-JP"/>
        </w:rPr>
      </w:pPr>
      <w:r w:rsidRPr="0057780D">
        <w:rPr>
          <w:rFonts w:eastAsia="MS Mincho"/>
          <w:lang w:eastAsia="ja-JP"/>
        </w:rPr>
        <w:t>Influence of Redox and photochemical reaction</w:t>
      </w:r>
    </w:p>
    <w:p w:rsidRPr="0057780D" w:rsidR="007E48B7" w:rsidP="007E48B7" w:rsidRDefault="007E48B7" w14:paraId="2F155A7C" w14:textId="77777777">
      <w:pPr>
        <w:autoSpaceDE w:val="0"/>
        <w:autoSpaceDN w:val="0"/>
        <w:adjustRightInd w:val="0"/>
        <w:rPr>
          <w:rFonts w:eastAsia="MS Mincho"/>
          <w:lang w:eastAsia="ja-JP"/>
        </w:rPr>
      </w:pPr>
    </w:p>
    <w:p w:rsidRPr="0057780D" w:rsidR="007E48B7" w:rsidP="007E48B7" w:rsidRDefault="007E48B7" w14:paraId="613D0B74" w14:textId="77777777">
      <w:pPr>
        <w:autoSpaceDE w:val="0"/>
        <w:autoSpaceDN w:val="0"/>
        <w:adjustRightInd w:val="0"/>
        <w:rPr>
          <w:rFonts w:eastAsia="MS Mincho"/>
          <w:lang w:eastAsia="ja-JP"/>
        </w:rPr>
      </w:pPr>
      <w:r w:rsidRPr="0057780D">
        <w:rPr>
          <w:rFonts w:eastAsia="MS Mincho"/>
          <w:lang w:eastAsia="ja-JP"/>
        </w:rPr>
        <w:t>4. Description of all uses including expected consumer uses.</w:t>
      </w:r>
    </w:p>
    <w:p w:rsidRPr="0057780D" w:rsidR="007E48B7" w:rsidP="007E48B7" w:rsidRDefault="007E48B7" w14:paraId="7DED5B1F" w14:textId="77777777">
      <w:pPr>
        <w:autoSpaceDE w:val="0"/>
        <w:autoSpaceDN w:val="0"/>
        <w:adjustRightInd w:val="0"/>
        <w:rPr>
          <w:rFonts w:eastAsia="MS Mincho"/>
          <w:lang w:eastAsia="ja-JP"/>
        </w:rPr>
      </w:pPr>
    </w:p>
    <w:p w:rsidRPr="0057780D" w:rsidR="007E48B7" w:rsidP="007E48B7" w:rsidRDefault="007E48B7" w14:paraId="15CDA961" w14:textId="77777777">
      <w:pPr>
        <w:autoSpaceDE w:val="0"/>
        <w:autoSpaceDN w:val="0"/>
        <w:adjustRightInd w:val="0"/>
        <w:rPr>
          <w:rFonts w:eastAsia="MS Mincho"/>
          <w:lang w:eastAsia="ja-JP"/>
        </w:rPr>
      </w:pPr>
      <w:r w:rsidRPr="0057780D">
        <w:rPr>
          <w:rFonts w:eastAsia="MS Mincho"/>
          <w:lang w:eastAsia="ja-JP"/>
        </w:rPr>
        <w:t>5. Estimate of the total amount of the chemicals substance to be manufactured including the amount for each use category.</w:t>
      </w:r>
    </w:p>
    <w:p w:rsidRPr="0057780D" w:rsidR="007E48B7" w:rsidP="007E48B7" w:rsidRDefault="007E48B7" w14:paraId="0DE79E1F" w14:textId="77777777">
      <w:pPr>
        <w:autoSpaceDE w:val="0"/>
        <w:autoSpaceDN w:val="0"/>
        <w:adjustRightInd w:val="0"/>
        <w:rPr>
          <w:rFonts w:eastAsia="MS Mincho"/>
          <w:lang w:eastAsia="ja-JP"/>
        </w:rPr>
      </w:pPr>
    </w:p>
    <w:p w:rsidRPr="0057780D" w:rsidR="007E48B7" w:rsidP="007E48B7" w:rsidRDefault="007E48B7" w14:paraId="09A9C15D" w14:textId="77777777">
      <w:pPr>
        <w:autoSpaceDE w:val="0"/>
        <w:autoSpaceDN w:val="0"/>
        <w:adjustRightInd w:val="0"/>
        <w:rPr>
          <w:rFonts w:eastAsia="MS Mincho"/>
          <w:lang w:eastAsia="ja-JP"/>
        </w:rPr>
      </w:pPr>
      <w:r w:rsidRPr="0057780D">
        <w:rPr>
          <w:rFonts w:eastAsia="MS Mincho"/>
          <w:lang w:eastAsia="ja-JP"/>
        </w:rPr>
        <w:t>6. Description of byproducts and impurities resulting from manufacture, process, use or disposal of the chemical substance.</w:t>
      </w:r>
    </w:p>
    <w:p w:rsidRPr="0057780D" w:rsidR="007E48B7" w:rsidP="007E48B7" w:rsidRDefault="007E48B7" w14:paraId="506BC5CE" w14:textId="77777777">
      <w:pPr>
        <w:autoSpaceDE w:val="0"/>
        <w:autoSpaceDN w:val="0"/>
        <w:adjustRightInd w:val="0"/>
        <w:rPr>
          <w:rFonts w:eastAsia="MS Mincho"/>
          <w:lang w:eastAsia="ja-JP"/>
        </w:rPr>
      </w:pPr>
    </w:p>
    <w:p w:rsidRPr="0057780D" w:rsidR="007E48B7" w:rsidP="007E48B7" w:rsidRDefault="007E48B7" w14:paraId="51905271" w14:textId="77777777">
      <w:pPr>
        <w:autoSpaceDE w:val="0"/>
        <w:autoSpaceDN w:val="0"/>
        <w:adjustRightInd w:val="0"/>
        <w:rPr>
          <w:rFonts w:eastAsia="MS Mincho"/>
          <w:lang w:eastAsia="ja-JP"/>
        </w:rPr>
      </w:pPr>
      <w:r w:rsidRPr="0057780D">
        <w:rPr>
          <w:rFonts w:eastAsia="MS Mincho"/>
          <w:lang w:eastAsia="ja-JP"/>
        </w:rPr>
        <w:t>7. For each type of workplace in the lifecycle, the same information requested on pp. 8-10 of the EPA PMN form (7710-25) would be helpful for releases and exposures, with the following additions.</w:t>
      </w:r>
    </w:p>
    <w:p w:rsidRPr="0057780D" w:rsidR="007E48B7" w:rsidP="007E48B7" w:rsidRDefault="007E48B7" w14:paraId="28B79464" w14:textId="77777777">
      <w:pPr>
        <w:autoSpaceDE w:val="0"/>
        <w:autoSpaceDN w:val="0"/>
        <w:adjustRightInd w:val="0"/>
        <w:rPr>
          <w:rFonts w:eastAsia="MS Mincho"/>
          <w:lang w:eastAsia="ja-JP"/>
        </w:rPr>
      </w:pPr>
    </w:p>
    <w:p w:rsidRPr="0057780D" w:rsidR="007E48B7" w:rsidP="007E48B7" w:rsidRDefault="007E48B7" w14:paraId="25C483EA" w14:textId="77777777">
      <w:pPr>
        <w:autoSpaceDE w:val="0"/>
        <w:autoSpaceDN w:val="0"/>
        <w:adjustRightInd w:val="0"/>
        <w:rPr>
          <w:rFonts w:eastAsia="MS Mincho"/>
          <w:lang w:eastAsia="ja-JP"/>
        </w:rPr>
      </w:pPr>
      <w:r w:rsidRPr="0057780D">
        <w:rPr>
          <w:rFonts w:eastAsia="MS Mincho"/>
          <w:lang w:eastAsia="ja-JP"/>
        </w:rPr>
        <w:t>8. A brief overview of the lifecycle including all workplaces that manufacture, process, or use the chemical substance and all expected consumer uses.</w:t>
      </w:r>
    </w:p>
    <w:p w:rsidRPr="0057780D" w:rsidR="007E48B7" w:rsidP="007E48B7" w:rsidRDefault="007E48B7" w14:paraId="7F057BB3" w14:textId="77777777">
      <w:pPr>
        <w:autoSpaceDE w:val="0"/>
        <w:autoSpaceDN w:val="0"/>
        <w:adjustRightInd w:val="0"/>
        <w:rPr>
          <w:rFonts w:eastAsia="MS Mincho"/>
          <w:lang w:eastAsia="ja-JP"/>
        </w:rPr>
      </w:pPr>
    </w:p>
    <w:p w:rsidRPr="0057780D" w:rsidR="007E48B7" w:rsidP="007E48B7" w:rsidRDefault="007E48B7" w14:paraId="10677E1D" w14:textId="77777777">
      <w:pPr>
        <w:autoSpaceDE w:val="0"/>
        <w:autoSpaceDN w:val="0"/>
        <w:adjustRightInd w:val="0"/>
        <w:rPr>
          <w:rFonts w:eastAsia="MS Mincho"/>
          <w:lang w:eastAsia="ja-JP"/>
        </w:rPr>
      </w:pPr>
      <w:r w:rsidRPr="0057780D">
        <w:rPr>
          <w:rFonts w:eastAsia="MS Mincho"/>
          <w:lang w:eastAsia="ja-JP"/>
        </w:rPr>
        <w:t>9. For each release point for which control technology is used, the rationale for selecting the control, and, if available, data and measurement methods of waste treatment or purification efficiency studies for the chemical substance.</w:t>
      </w:r>
    </w:p>
    <w:p w:rsidRPr="0057780D" w:rsidR="007E48B7" w:rsidP="007E48B7" w:rsidRDefault="007E48B7" w14:paraId="6D5DCA37" w14:textId="77777777">
      <w:pPr>
        <w:autoSpaceDE w:val="0"/>
        <w:autoSpaceDN w:val="0"/>
        <w:adjustRightInd w:val="0"/>
        <w:rPr>
          <w:rFonts w:eastAsia="MS Mincho"/>
          <w:lang w:eastAsia="ja-JP"/>
        </w:rPr>
      </w:pPr>
    </w:p>
    <w:p w:rsidRPr="0057780D" w:rsidR="007E48B7" w:rsidP="007E48B7" w:rsidRDefault="007E48B7" w14:paraId="42239C36" w14:textId="77777777">
      <w:pPr>
        <w:autoSpaceDE w:val="0"/>
        <w:autoSpaceDN w:val="0"/>
        <w:adjustRightInd w:val="0"/>
        <w:rPr>
          <w:rFonts w:eastAsia="MS Mincho"/>
          <w:lang w:eastAsia="ja-JP"/>
        </w:rPr>
      </w:pPr>
      <w:r w:rsidRPr="0057780D">
        <w:rPr>
          <w:rFonts w:eastAsia="MS Mincho"/>
          <w:lang w:eastAsia="ja-JP"/>
        </w:rPr>
        <w:t>10. Regarding worker exposure information, personal or area monitoring data (in mass concentrations, surface area per mass, number of particles, etc.) for the chemical substance, including the measurement method(s) used to generate the data.</w:t>
      </w:r>
    </w:p>
    <w:p w:rsidRPr="0057780D" w:rsidR="007E48B7" w:rsidP="007E48B7" w:rsidRDefault="007E48B7" w14:paraId="6B2CA3BF" w14:textId="77777777">
      <w:pPr>
        <w:autoSpaceDE w:val="0"/>
        <w:autoSpaceDN w:val="0"/>
        <w:adjustRightInd w:val="0"/>
        <w:rPr>
          <w:rFonts w:eastAsia="MS Mincho"/>
          <w:lang w:eastAsia="ja-JP"/>
        </w:rPr>
      </w:pPr>
    </w:p>
    <w:p w:rsidRPr="0057780D" w:rsidR="007E48B7" w:rsidP="007E48B7" w:rsidRDefault="007E48B7" w14:paraId="2A92D850" w14:textId="77777777">
      <w:pPr>
        <w:autoSpaceDE w:val="0"/>
        <w:autoSpaceDN w:val="0"/>
        <w:adjustRightInd w:val="0"/>
        <w:rPr>
          <w:rFonts w:eastAsia="MS Mincho"/>
          <w:lang w:eastAsia="ja-JP"/>
        </w:rPr>
      </w:pPr>
      <w:r w:rsidRPr="0057780D">
        <w:rPr>
          <w:rFonts w:eastAsia="MS Mincho"/>
          <w:lang w:eastAsia="ja-JP"/>
        </w:rPr>
        <w:t>11. For each protective equipment or engineering control listed as worker protection, the rationale for selecting the protective equipment or engineering controls, and data (and methods used to generate the data) that were used in making the selection or that may help to indicate the effectiveness of the protective equipment or engineering controls.</w:t>
      </w:r>
    </w:p>
    <w:p w:rsidRPr="0057780D" w:rsidR="007E48B7" w:rsidP="007E48B7" w:rsidRDefault="007E48B7" w14:paraId="5E814DB3" w14:textId="77777777">
      <w:pPr>
        <w:autoSpaceDE w:val="0"/>
        <w:autoSpaceDN w:val="0"/>
        <w:adjustRightInd w:val="0"/>
        <w:rPr>
          <w:rFonts w:eastAsia="MS Mincho"/>
          <w:lang w:eastAsia="ja-JP"/>
        </w:rPr>
      </w:pPr>
    </w:p>
    <w:p w:rsidRPr="0057780D" w:rsidR="007E48B7" w:rsidP="007E48B7" w:rsidRDefault="007E48B7" w14:paraId="218EC7A9" w14:textId="77777777">
      <w:pPr>
        <w:autoSpaceDE w:val="0"/>
        <w:autoSpaceDN w:val="0"/>
        <w:adjustRightInd w:val="0"/>
        <w:rPr>
          <w:rFonts w:eastAsia="MS Mincho"/>
          <w:lang w:eastAsia="ja-JP"/>
        </w:rPr>
      </w:pPr>
      <w:r w:rsidRPr="0057780D">
        <w:rPr>
          <w:rFonts w:eastAsia="MS Mincho"/>
          <w:lang w:eastAsia="ja-JP"/>
        </w:rPr>
        <w:t>12. Information on cleaning/reuse/disposal of used protective equipment (gloves, respirator cartridges, etc.).</w:t>
      </w:r>
    </w:p>
    <w:p w:rsidRPr="0057780D" w:rsidR="007E48B7" w:rsidP="007E48B7" w:rsidRDefault="007E48B7" w14:paraId="7D8E6CFE" w14:textId="77777777">
      <w:pPr>
        <w:autoSpaceDE w:val="0"/>
        <w:autoSpaceDN w:val="0"/>
        <w:adjustRightInd w:val="0"/>
        <w:rPr>
          <w:rFonts w:eastAsia="MS Mincho"/>
          <w:lang w:eastAsia="ja-JP"/>
        </w:rPr>
      </w:pPr>
    </w:p>
    <w:p w:rsidRPr="0057780D" w:rsidR="007E48B7" w:rsidP="007E48B7" w:rsidRDefault="007E48B7" w14:paraId="5BF83ADE" w14:textId="77777777">
      <w:pPr>
        <w:autoSpaceDE w:val="0"/>
        <w:autoSpaceDN w:val="0"/>
        <w:adjustRightInd w:val="0"/>
        <w:rPr>
          <w:rFonts w:eastAsia="MS Mincho"/>
          <w:lang w:eastAsia="ja-JP"/>
        </w:rPr>
      </w:pPr>
      <w:r w:rsidRPr="0057780D">
        <w:rPr>
          <w:rFonts w:eastAsia="MS Mincho"/>
          <w:lang w:eastAsia="ja-JP"/>
        </w:rPr>
        <w:t>13. Additional procedures or other equipment intended to mitigate exposures to the chemical substance.</w:t>
      </w:r>
    </w:p>
    <w:p w:rsidRPr="0057780D" w:rsidR="007E48B7" w:rsidP="007E48B7" w:rsidRDefault="007E48B7" w14:paraId="5CF73462" w14:textId="77777777">
      <w:pPr>
        <w:autoSpaceDE w:val="0"/>
        <w:autoSpaceDN w:val="0"/>
        <w:adjustRightInd w:val="0"/>
        <w:rPr>
          <w:rFonts w:eastAsia="MS Mincho"/>
          <w:lang w:eastAsia="ja-JP"/>
        </w:rPr>
      </w:pPr>
    </w:p>
    <w:p w:rsidRPr="0057780D" w:rsidR="007E48B7" w:rsidP="007E48B7" w:rsidRDefault="007E48B7" w14:paraId="12A1765C" w14:textId="77777777">
      <w:pPr>
        <w:autoSpaceDE w:val="0"/>
        <w:autoSpaceDN w:val="0"/>
        <w:adjustRightInd w:val="0"/>
        <w:rPr>
          <w:rFonts w:eastAsia="MS Mincho"/>
          <w:lang w:eastAsia="ja-JP"/>
        </w:rPr>
      </w:pPr>
      <w:r w:rsidRPr="0057780D">
        <w:rPr>
          <w:rFonts w:eastAsia="MS Mincho"/>
          <w:lang w:eastAsia="ja-JP"/>
        </w:rPr>
        <w:t>14. Description of worker training and hazard communication (MSDS, other) specific to the chemical substance.</w:t>
      </w:r>
    </w:p>
    <w:p w:rsidRPr="0057780D" w:rsidR="007E48B7" w:rsidP="007E48B7" w:rsidRDefault="007E48B7" w14:paraId="57466A55" w14:textId="77777777">
      <w:pPr>
        <w:autoSpaceDE w:val="0"/>
        <w:autoSpaceDN w:val="0"/>
        <w:adjustRightInd w:val="0"/>
        <w:rPr>
          <w:rFonts w:eastAsia="MS Mincho"/>
          <w:lang w:eastAsia="ja-JP"/>
        </w:rPr>
      </w:pPr>
    </w:p>
    <w:p w:rsidRPr="0057780D" w:rsidR="007E48B7" w:rsidP="007E48B7" w:rsidRDefault="007E48B7" w14:paraId="436A2096" w14:textId="77777777">
      <w:pPr>
        <w:autoSpaceDE w:val="0"/>
        <w:autoSpaceDN w:val="0"/>
        <w:adjustRightInd w:val="0"/>
        <w:rPr>
          <w:rFonts w:eastAsia="MS Mincho"/>
          <w:lang w:eastAsia="ja-JP"/>
        </w:rPr>
      </w:pPr>
      <w:r w:rsidRPr="0057780D">
        <w:rPr>
          <w:rFonts w:eastAsia="MS Mincho"/>
          <w:lang w:eastAsia="ja-JP"/>
        </w:rPr>
        <w:t>15. Estimate of the total number of individuals other than workers exposed to the chemical substance and duration of exposure.</w:t>
      </w:r>
    </w:p>
    <w:p w:rsidRPr="0057780D" w:rsidR="007E48B7" w:rsidP="007E48B7" w:rsidRDefault="007E48B7" w14:paraId="5970EEEF" w14:textId="77777777">
      <w:pPr>
        <w:autoSpaceDE w:val="0"/>
        <w:autoSpaceDN w:val="0"/>
        <w:adjustRightInd w:val="0"/>
        <w:rPr>
          <w:rFonts w:eastAsia="MS Mincho"/>
          <w:lang w:eastAsia="ja-JP"/>
        </w:rPr>
      </w:pPr>
    </w:p>
    <w:p w:rsidRPr="0057780D" w:rsidR="007E48B7" w:rsidP="007E48B7" w:rsidRDefault="007E48B7" w14:paraId="5C8B3BDC" w14:textId="77777777">
      <w:pPr>
        <w:autoSpaceDE w:val="0"/>
        <w:autoSpaceDN w:val="0"/>
        <w:adjustRightInd w:val="0"/>
        <w:rPr>
          <w:rFonts w:eastAsia="MS Mincho"/>
          <w:lang w:eastAsia="ja-JP"/>
        </w:rPr>
      </w:pPr>
      <w:r w:rsidRPr="0057780D">
        <w:rPr>
          <w:rFonts w:eastAsia="MS Mincho"/>
          <w:lang w:eastAsia="ja-JP"/>
        </w:rPr>
        <w:t xml:space="preserve">16. Manner or method of disposal for consumer use of products containing the chemical substance. </w:t>
      </w:r>
    </w:p>
    <w:p w:rsidRPr="0057780D" w:rsidR="007E48B7" w:rsidP="007E48B7" w:rsidRDefault="007E48B7" w14:paraId="64845C7C" w14:textId="77777777">
      <w:pPr>
        <w:autoSpaceDE w:val="0"/>
        <w:autoSpaceDN w:val="0"/>
        <w:adjustRightInd w:val="0"/>
        <w:rPr>
          <w:rFonts w:eastAsia="MS Mincho"/>
          <w:lang w:eastAsia="ja-JP"/>
        </w:rPr>
      </w:pPr>
    </w:p>
    <w:p w:rsidRPr="0057780D" w:rsidR="007E48B7" w:rsidP="007E48B7" w:rsidRDefault="007E48B7" w14:paraId="44DCDAA9" w14:textId="77777777">
      <w:pPr>
        <w:autoSpaceDE w:val="0"/>
        <w:autoSpaceDN w:val="0"/>
        <w:adjustRightInd w:val="0"/>
        <w:rPr>
          <w:rFonts w:eastAsia="MS Mincho"/>
          <w:lang w:eastAsia="ja-JP"/>
        </w:rPr>
      </w:pPr>
      <w:r w:rsidRPr="0057780D">
        <w:rPr>
          <w:rFonts w:eastAsia="MS Mincho"/>
          <w:lang w:eastAsia="ja-JP"/>
        </w:rPr>
        <w:t>17. Any information in the submitter’s possession regarding health or environmental effects, environmental fate, worker safety, and material characterization, including any information related to characterization of the chemical substance in the subject organism and test medium.</w:t>
      </w:r>
    </w:p>
    <w:p w:rsidRPr="0057780D" w:rsidR="0065500B" w:rsidP="0065500B" w:rsidRDefault="0065500B" w14:paraId="37869EDD" w14:textId="77777777"/>
    <w:p w:rsidRPr="0057780D" w:rsidR="0065500B" w:rsidP="0065500B" w:rsidRDefault="0065500B" w14:paraId="2D799ECB" w14:textId="77777777"/>
    <w:p w:rsidRPr="0057780D" w:rsidR="005738AD" w:rsidP="000878EB" w:rsidRDefault="0065500B" w14:paraId="2B1C26ED" w14:textId="23E3339E">
      <w:pPr>
        <w:pStyle w:val="Heading2"/>
        <w:numPr>
          <w:ilvl w:val="1"/>
          <w:numId w:val="1"/>
        </w:numPr>
        <w:tabs>
          <w:tab w:val="left" w:pos="1080"/>
        </w:tabs>
        <w:rPr>
          <w:b w:val="0"/>
        </w:rPr>
      </w:pPr>
      <w:bookmarkStart w:name="_Toc433886704" w:id="10"/>
      <w:r w:rsidRPr="0057780D">
        <w:t>Necessity of the Information Collection</w:t>
      </w:r>
      <w:bookmarkStart w:name="_Hlk23952136" w:id="11"/>
      <w:bookmarkEnd w:id="10"/>
      <w:r w:rsidRPr="0057780D" w:rsidR="00DC1FA7">
        <w:rPr>
          <w:b w:val="0"/>
        </w:rPr>
        <w:t xml:space="preserve"> </w:t>
      </w:r>
    </w:p>
    <w:bookmarkEnd w:id="11"/>
    <w:p w:rsidRPr="0057780D" w:rsidR="00DC1FA7" w:rsidP="005738AD" w:rsidRDefault="005738AD" w14:paraId="569DA0F8" w14:textId="2791131E">
      <w:pPr>
        <w:pStyle w:val="Heading2"/>
        <w:tabs>
          <w:tab w:val="left" w:pos="1080"/>
        </w:tabs>
        <w:rPr>
          <w:rFonts w:ascii="Times New Roman" w:hAnsi="Times New Roman"/>
          <w:b w:val="0"/>
        </w:rPr>
      </w:pPr>
      <w:r w:rsidRPr="0057780D">
        <w:rPr>
          <w:b w:val="0"/>
        </w:rPr>
        <w:t>Nanoscale</w:t>
      </w:r>
      <w:r w:rsidRPr="0057780D">
        <w:t xml:space="preserve"> </w:t>
      </w:r>
      <w:r w:rsidRPr="0057780D">
        <w:rPr>
          <w:b w:val="0"/>
        </w:rPr>
        <w:t xml:space="preserve">materials or nanomaterials are chemical substances organized in </w:t>
      </w:r>
      <w:r w:rsidRPr="0057780D" w:rsidR="00DC1FA7">
        <w:rPr>
          <w:b w:val="0"/>
        </w:rPr>
        <w:t>structures in the scale of approximately 1 to 100 nanometers and may have different organizations and properties than the same chemical substances in a larger size. Nanoscale materials can be found in a wide variety of products, including electronics, automotive</w:t>
      </w:r>
      <w:r w:rsidRPr="0057780D">
        <w:rPr>
          <w:b w:val="0"/>
        </w:rPr>
        <w:t xml:space="preserve"> </w:t>
      </w:r>
      <w:r w:rsidRPr="0057780D" w:rsidR="00DC1FA7">
        <w:rPr>
          <w:b w:val="0"/>
        </w:rPr>
        <w:t xml:space="preserve">products, paints and coatings, metal-cutting tools, sports equipment, stain-free clothing and mattresses, and ink.   There are hundreds of products already on the market that utilize nanoscale materials. It is recognized that some of these substances, because of their small size, exhibit novel and enhanced properties not present in substances of larger dimensions. It is also widely recognized that there is limited data available on these types of substances. </w:t>
      </w:r>
    </w:p>
    <w:p w:rsidRPr="0057780D" w:rsidR="00DC1FA7" w:rsidP="00DC1FA7" w:rsidRDefault="00DC1FA7" w14:paraId="78353038" w14:textId="77777777">
      <w:pPr>
        <w:pStyle w:val="ListParagraph"/>
        <w:ind w:left="360"/>
      </w:pPr>
    </w:p>
    <w:p w:rsidRPr="0057780D" w:rsidR="00DC1FA7" w:rsidP="005738AD" w:rsidRDefault="00DC1FA7" w14:paraId="307F3A54" w14:textId="09C13204">
      <w:r w:rsidRPr="0057780D">
        <w:t xml:space="preserve">Some nanoscale materials are recognized as new chemical substances subject to notification requirements under TSCA section 5 because they are not contained on the TSCA Inventory. Therefore, they are subject to review for potential human health and environmental risks before they are manufactured and enter commerce. EPA has identified over </w:t>
      </w:r>
      <w:r w:rsidRPr="0057780D" w:rsidR="005738AD">
        <w:t>200</w:t>
      </w:r>
      <w:r w:rsidRPr="0057780D">
        <w:t xml:space="preserve"> nanoscale materials submitted as new chemicals under TSCA since January 2005.  Other nanoscale materials have the same molecular identity as chemical substances which are already on the TSCA Inventory and as such are not subject to new chemical notification. The Agency has authority under TSCA §8(a) to collect information regarding chemical substances in commerce.</w:t>
      </w:r>
      <w:r w:rsidRPr="0057780D" w:rsidR="00EC5DCF">
        <w:t xml:space="preserve"> The </w:t>
      </w:r>
      <w:r w:rsidRPr="0057780D">
        <w:t xml:space="preserve">reporting of information associated with </w:t>
      </w:r>
      <w:r w:rsidRPr="0057780D" w:rsidR="004B0139">
        <w:t xml:space="preserve">these </w:t>
      </w:r>
      <w:r w:rsidRPr="0057780D">
        <w:t xml:space="preserve">nanoscale materials will provide EPA with data needed to determine appropriate action(s) under TSCA to reduce any risk to human health or the environment. </w:t>
      </w:r>
    </w:p>
    <w:p w:rsidRPr="0057780D" w:rsidR="0065500B" w:rsidP="0065500B" w:rsidRDefault="0065500B" w14:paraId="22F58653" w14:textId="77777777"/>
    <w:p w:rsidRPr="0057780D" w:rsidR="0065500B" w:rsidP="0065500B" w:rsidRDefault="0065500B" w14:paraId="402EE94E" w14:textId="77777777">
      <w:r w:rsidRPr="0057780D">
        <w:t>Recordkeeping and reporting requirements are necessary to ensure effective implementation.</w:t>
      </w:r>
    </w:p>
    <w:p w:rsidRPr="0057780D" w:rsidR="0065500B" w:rsidP="0065500B" w:rsidRDefault="0065500B" w14:paraId="62B9364B" w14:textId="77777777"/>
    <w:p w:rsidRPr="0057780D" w:rsidR="004B0139" w:rsidP="000878EB" w:rsidRDefault="0065500B" w14:paraId="2C23C81F" w14:textId="3BBE4F2E">
      <w:pPr>
        <w:pStyle w:val="Heading2"/>
        <w:numPr>
          <w:ilvl w:val="1"/>
          <w:numId w:val="1"/>
        </w:numPr>
        <w:tabs>
          <w:tab w:val="left" w:pos="1080"/>
        </w:tabs>
        <w:autoSpaceDE w:val="0"/>
        <w:autoSpaceDN w:val="0"/>
        <w:adjustRightInd w:val="0"/>
      </w:pPr>
      <w:bookmarkStart w:name="_Toc433886705" w:id="12"/>
      <w:r w:rsidRPr="0057780D">
        <w:t>Uses, Users, and Purpose of the Information Collection</w:t>
      </w:r>
      <w:bookmarkEnd w:id="12"/>
    </w:p>
    <w:p w:rsidRPr="0057780D" w:rsidR="00DC1FA7" w:rsidP="004B0139" w:rsidRDefault="004B0139" w14:paraId="180C97F2" w14:textId="53A86758">
      <w:pPr>
        <w:autoSpaceDE w:val="0"/>
        <w:autoSpaceDN w:val="0"/>
        <w:adjustRightInd w:val="0"/>
      </w:pPr>
      <w:r w:rsidRPr="0057780D">
        <w:t xml:space="preserve">The information collected will provide important baseline information  </w:t>
      </w:r>
      <w:r w:rsidRPr="0057780D" w:rsidR="00DC1FA7">
        <w:t>on health and environmental effects, exposures, risks, management practices, and data needs that will assist EPA and others in properly assessing and managing risks related to nanoscale materials.</w:t>
      </w:r>
    </w:p>
    <w:p w:rsidRPr="0057780D" w:rsidR="00DC1FA7" w:rsidP="00DC1FA7" w:rsidRDefault="00DC1FA7" w14:paraId="362DE233" w14:textId="77777777">
      <w:pPr>
        <w:pStyle w:val="ListParagraph"/>
        <w:autoSpaceDE w:val="0"/>
        <w:autoSpaceDN w:val="0"/>
        <w:adjustRightInd w:val="0"/>
        <w:ind w:left="360"/>
      </w:pPr>
    </w:p>
    <w:p w:rsidRPr="0057780D" w:rsidR="00DC1FA7" w:rsidP="004B0139" w:rsidRDefault="00DC1FA7" w14:paraId="194B9CB7" w14:textId="524D5BF6">
      <w:pPr>
        <w:autoSpaceDE w:val="0"/>
        <w:autoSpaceDN w:val="0"/>
        <w:adjustRightInd w:val="0"/>
      </w:pPr>
      <w:r w:rsidRPr="0057780D">
        <w:lastRenderedPageBreak/>
        <w:t>Non-confidential portions of this information will also be made available to help the public understand how nanoscale materials are being used.  Information collected through this rule will be used by EPA scientists to assist in determining how and whether certain nanoscale materials may present risks to human health and the environment. If the hazard, exposure, and risk information submitted by participants indicate that potential unreasonable risks may exist, the data will be used by EPA and the manufacturer to determine the appropriate action necessary to avoid or mitigate the risks. Furthermore, such information could be used for risk management, hazard communication and right-to-know purposes, and product labels. EPA may also use the information to identify nanoscale materials that may not warrant future concerns or actions</w:t>
      </w:r>
      <w:r w:rsidRPr="0057780D" w:rsidR="004B0139">
        <w:t xml:space="preserve"> </w:t>
      </w:r>
      <w:r w:rsidRPr="0057780D">
        <w:t xml:space="preserve">or should otherwise be treated as a lower priority for further consideration. </w:t>
      </w:r>
    </w:p>
    <w:p w:rsidRPr="0057780D" w:rsidR="00DC1FA7" w:rsidP="00DC1FA7" w:rsidRDefault="00DC1FA7" w14:paraId="04C7D853" w14:textId="77777777">
      <w:pPr>
        <w:pStyle w:val="ListParagraph"/>
        <w:autoSpaceDE w:val="0"/>
        <w:autoSpaceDN w:val="0"/>
        <w:adjustRightInd w:val="0"/>
        <w:ind w:left="360"/>
      </w:pPr>
    </w:p>
    <w:p w:rsidRPr="0057780D" w:rsidR="00DC1FA7" w:rsidP="004B0139" w:rsidRDefault="00DC1FA7" w14:paraId="01C29257" w14:textId="77777777">
      <w:pPr>
        <w:autoSpaceDE w:val="0"/>
        <w:autoSpaceDN w:val="0"/>
        <w:adjustRightInd w:val="0"/>
      </w:pPr>
      <w:r w:rsidRPr="0057780D">
        <w:t xml:space="preserve">The information may also be used by other Federal agencies. Non-confidential portions of this information may be used by the public, academics, states, local and tribal government, as well as foreign governments and international organizations. </w:t>
      </w:r>
    </w:p>
    <w:p w:rsidRPr="0057780D" w:rsidR="0065500B" w:rsidP="0065500B" w:rsidRDefault="0065500B" w14:paraId="3F011ACB" w14:textId="77777777">
      <w:pPr>
        <w:pStyle w:val="ListParagraph"/>
        <w:ind w:left="360"/>
      </w:pPr>
    </w:p>
    <w:p w:rsidRPr="0057780D" w:rsidR="0065500B" w:rsidP="0065500B" w:rsidRDefault="0065500B" w14:paraId="5152BEFC" w14:textId="77777777">
      <w:pPr>
        <w:pStyle w:val="Heading2"/>
        <w:numPr>
          <w:ilvl w:val="0"/>
          <w:numId w:val="1"/>
        </w:numPr>
        <w:tabs>
          <w:tab w:val="left" w:pos="1080"/>
        </w:tabs>
      </w:pPr>
      <w:bookmarkStart w:name="_Toc433886706" w:id="13"/>
      <w:r w:rsidRPr="0057780D">
        <w:t>NON-DUPLICATION, CONSULTATIONS, AND OTHER COLLECTION CRITERIA</w:t>
      </w:r>
      <w:bookmarkEnd w:id="13"/>
    </w:p>
    <w:p w:rsidRPr="0057780D" w:rsidR="002A114B" w:rsidP="000878EB" w:rsidRDefault="0065500B" w14:paraId="26A50DEB" w14:textId="11534E59">
      <w:pPr>
        <w:pStyle w:val="Heading2"/>
        <w:numPr>
          <w:ilvl w:val="1"/>
          <w:numId w:val="1"/>
        </w:numPr>
        <w:tabs>
          <w:tab w:val="left" w:pos="1080"/>
        </w:tabs>
      </w:pPr>
      <w:bookmarkStart w:name="_Toc433886707" w:id="14"/>
      <w:r w:rsidRPr="0057780D">
        <w:t>Non-Duplication</w:t>
      </w:r>
      <w:bookmarkEnd w:id="14"/>
    </w:p>
    <w:p w:rsidRPr="0057780D" w:rsidR="002A114B" w:rsidP="002A114B" w:rsidRDefault="002A114B" w14:paraId="2513BB74" w14:textId="580D773B">
      <w:pPr>
        <w:spacing w:after="240"/>
      </w:pPr>
      <w:r w:rsidRPr="0057780D">
        <w:t xml:space="preserve">Section 8(a)(5) of TSCA states, “the Administrator shall, to the extent feasible… not require reporting which is unnecessary or duplicative.”  </w:t>
      </w:r>
      <w:r w:rsidRPr="0057780D">
        <w:rPr>
          <w:rFonts w:eastAsia="MS Mincho"/>
          <w:lang w:eastAsia="ja-JP"/>
        </w:rPr>
        <w:t xml:space="preserve">The rule indicates that any person </w:t>
      </w:r>
      <w:r w:rsidRPr="0057780D">
        <w:t xml:space="preserve">who submitted a TSCA new chemical notice on or after January 1, 2005 under 40 CFR part 720 or 723 for a nanoscale material subject that would be subject to the rule does not need to submit a report for the nanoscale material previously submitted.   </w:t>
      </w:r>
    </w:p>
    <w:p w:rsidRPr="0057780D" w:rsidR="008C6208" w:rsidP="008C6208" w:rsidRDefault="008C6208" w14:paraId="0721E5CE" w14:textId="1C30A8BF">
      <w:r w:rsidRPr="0057780D">
        <w:rPr>
          <w:b/>
          <w:bCs/>
        </w:rPr>
        <w:t xml:space="preserve">     3(b).    Public Notice and Consultations</w:t>
      </w:r>
    </w:p>
    <w:p w:rsidRPr="0057780D" w:rsidR="008C6208" w:rsidP="008C6208" w:rsidRDefault="008C6208" w14:paraId="3A79B35A" w14:textId="77777777"/>
    <w:p w:rsidRPr="0057780D" w:rsidR="00E313CA" w:rsidP="008C6208" w:rsidRDefault="008C6208" w14:paraId="45E17BB0" w14:textId="5E6AC676">
      <w:pPr>
        <w:numPr>
          <w:ilvl w:val="12"/>
          <w:numId w:val="0"/>
        </w:numPr>
        <w:rPr>
          <w:szCs w:val="24"/>
        </w:rPr>
      </w:pPr>
      <w:r w:rsidRPr="0057780D">
        <w:rPr>
          <w:lang w:val="en-CA"/>
        </w:rPr>
        <w:t>I</w:t>
      </w:r>
      <w:r w:rsidRPr="0057780D">
        <w:t xml:space="preserve">n </w:t>
      </w:r>
      <w:r w:rsidRPr="0057780D" w:rsidR="00B022C7">
        <w:t>renewing this ICR</w:t>
      </w:r>
      <w:r w:rsidRPr="0057780D">
        <w:t>, EPA provid</w:t>
      </w:r>
      <w:r w:rsidRPr="0057780D" w:rsidR="00F91D97">
        <w:t>ed notice in the Federal Register of January 28, 2020 (85 FR 4982; FRL-10003-00) of</w:t>
      </w:r>
      <w:r w:rsidRPr="0057780D">
        <w:t xml:space="preserve"> </w:t>
      </w:r>
      <w:r w:rsidRPr="0057780D" w:rsidR="00F91D97">
        <w:t xml:space="preserve">a </w:t>
      </w:r>
      <w:r w:rsidRPr="0057780D">
        <w:t>60-day public notice and comment period</w:t>
      </w:r>
      <w:r w:rsidRPr="0057780D" w:rsidR="00F91D97">
        <w:t xml:space="preserve">.  </w:t>
      </w:r>
      <w:r w:rsidRPr="0057780D">
        <w:rPr>
          <w:szCs w:val="24"/>
        </w:rPr>
        <w:t>I</w:t>
      </w:r>
      <w:r w:rsidRPr="0057780D">
        <w:t>n addition to the public notice and comment period, EPA consult</w:t>
      </w:r>
      <w:r w:rsidRPr="0057780D" w:rsidR="00F91D97">
        <w:t>ed</w:t>
      </w:r>
      <w:r w:rsidRPr="0057780D">
        <w:t xml:space="preserve"> with potential ICR respondents and data users</w:t>
      </w:r>
      <w:r w:rsidRPr="0057780D" w:rsidR="00F91D97">
        <w:t xml:space="preserve"> </w:t>
      </w:r>
      <w:r w:rsidRPr="0057780D">
        <w:t>according to OMB regulations, at 5 CFR 1320.8(d)(1)</w:t>
      </w:r>
      <w:r w:rsidRPr="0057780D">
        <w:rPr>
          <w:szCs w:val="24"/>
        </w:rPr>
        <w:t>.</w:t>
      </w:r>
      <w:r w:rsidRPr="0057780D" w:rsidR="0016754A">
        <w:rPr>
          <w:szCs w:val="24"/>
        </w:rPr>
        <w:t xml:space="preserve">  EPA </w:t>
      </w:r>
      <w:r w:rsidRPr="0057780D" w:rsidR="00E313CA">
        <w:rPr>
          <w:szCs w:val="24"/>
        </w:rPr>
        <w:t xml:space="preserve">contacted the following </w:t>
      </w:r>
      <w:r w:rsidRPr="0057780D" w:rsidR="0016754A">
        <w:rPr>
          <w:szCs w:val="24"/>
        </w:rPr>
        <w:t>stakeholders who had already submitted notifications under this rule or had commented on the rule and ICR when they were proposed</w:t>
      </w:r>
      <w:r w:rsidRPr="0057780D" w:rsidR="00E313CA">
        <w:rPr>
          <w:szCs w:val="24"/>
        </w:rPr>
        <w:t>:</w:t>
      </w:r>
    </w:p>
    <w:p w:rsidRPr="0057780D" w:rsidR="00E313CA" w:rsidP="00E313CA" w:rsidRDefault="00E313CA" w14:paraId="3579B254" w14:textId="18BB0381">
      <w:pPr>
        <w:pStyle w:val="NoSpacing"/>
      </w:pPr>
    </w:p>
    <w:p w:rsidRPr="0057780D" w:rsidR="00E313CA" w:rsidP="00E313CA" w:rsidRDefault="00E313CA" w14:paraId="33DC5BF5" w14:textId="6A690D9D">
      <w:pPr>
        <w:pStyle w:val="BodyTextIndent"/>
        <w:ind w:left="0" w:firstLine="360"/>
        <w:rPr>
          <w:rFonts w:eastAsia="Calibri"/>
        </w:rPr>
      </w:pPr>
      <w:r w:rsidRPr="0057780D">
        <w:rPr>
          <w:rFonts w:eastAsia="Calibri"/>
        </w:rPr>
        <w:t>Mike Walls, American Chemistry Council, Inc.</w:t>
      </w:r>
    </w:p>
    <w:p w:rsidRPr="0057780D" w:rsidR="00E313CA" w:rsidP="00E313CA" w:rsidRDefault="00E313CA" w14:paraId="77634EFE" w14:textId="77777777">
      <w:pPr>
        <w:pStyle w:val="BodyTextIndent"/>
        <w:ind w:left="0" w:firstLine="360"/>
        <w:rPr>
          <w:rFonts w:eastAsia="Calibri"/>
        </w:rPr>
      </w:pPr>
      <w:r w:rsidRPr="0057780D">
        <w:rPr>
          <w:rFonts w:eastAsia="Calibri"/>
        </w:rPr>
        <w:t xml:space="preserve">Melissa </w:t>
      </w:r>
      <w:proofErr w:type="spellStart"/>
      <w:r w:rsidRPr="0057780D">
        <w:rPr>
          <w:rFonts w:eastAsia="Calibri"/>
        </w:rPr>
        <w:t>Hockstad</w:t>
      </w:r>
      <w:proofErr w:type="spellEnd"/>
      <w:r w:rsidRPr="0057780D">
        <w:rPr>
          <w:rFonts w:eastAsia="Calibri"/>
        </w:rPr>
        <w:t>, American Cleaning Institute</w:t>
      </w:r>
    </w:p>
    <w:p w:rsidRPr="0057780D" w:rsidR="00E313CA" w:rsidP="00E313CA" w:rsidRDefault="00E313CA" w14:paraId="23DDDAE2" w14:textId="2097B765">
      <w:pPr>
        <w:pStyle w:val="BodyTextIndent"/>
        <w:ind w:left="0" w:firstLine="360"/>
        <w:rPr>
          <w:rFonts w:eastAsia="Calibri"/>
        </w:rPr>
      </w:pPr>
      <w:r w:rsidRPr="0057780D">
        <w:rPr>
          <w:rFonts w:eastAsia="Calibri"/>
        </w:rPr>
        <w:t>Tim A. Brown, Esq., Consumer Specialty Products Association</w:t>
      </w:r>
    </w:p>
    <w:p w:rsidRPr="0057780D" w:rsidR="00E313CA" w:rsidP="00E313CA" w:rsidRDefault="00E313CA" w14:paraId="477FEDFE" w14:textId="37DA540B">
      <w:pPr>
        <w:pStyle w:val="BodyTextIndent"/>
        <w:rPr>
          <w:rFonts w:eastAsia="Calibri"/>
        </w:rPr>
      </w:pPr>
      <w:r w:rsidRPr="0057780D">
        <w:rPr>
          <w:rFonts w:eastAsia="Calibri"/>
          <w:lang w:val="es-419"/>
        </w:rPr>
        <w:t xml:space="preserve">William </w:t>
      </w:r>
      <w:proofErr w:type="spellStart"/>
      <w:r w:rsidRPr="0057780D">
        <w:rPr>
          <w:rFonts w:eastAsia="Calibri"/>
          <w:lang w:val="es-419"/>
        </w:rPr>
        <w:t>Carteaux</w:t>
      </w:r>
      <w:proofErr w:type="spellEnd"/>
      <w:r w:rsidRPr="0057780D">
        <w:rPr>
          <w:rFonts w:eastAsia="Calibri"/>
          <w:lang w:val="es-419"/>
        </w:rPr>
        <w:t xml:space="preserve">, </w:t>
      </w:r>
      <w:r w:rsidRPr="0057780D">
        <w:rPr>
          <w:rFonts w:eastAsia="Calibri"/>
        </w:rPr>
        <w:t>Society of the Plastics Industry, Inc.</w:t>
      </w:r>
    </w:p>
    <w:p w:rsidRPr="0057780D" w:rsidR="00E313CA" w:rsidP="00E313CA" w:rsidRDefault="00E313CA" w14:paraId="3B270E41" w14:textId="03475188">
      <w:pPr>
        <w:pStyle w:val="BodyTextIndent"/>
        <w:ind w:left="720" w:hanging="360"/>
        <w:rPr>
          <w:rFonts w:eastAsia="Calibri"/>
        </w:rPr>
      </w:pPr>
      <w:r w:rsidRPr="0057780D">
        <w:rPr>
          <w:rFonts w:eastAsia="Calibri"/>
        </w:rPr>
        <w:t xml:space="preserve">Bill </w:t>
      </w:r>
      <w:proofErr w:type="spellStart"/>
      <w:r w:rsidRPr="0057780D">
        <w:rPr>
          <w:rFonts w:eastAsia="Calibri"/>
        </w:rPr>
        <w:t>Allmond</w:t>
      </w:r>
      <w:proofErr w:type="spellEnd"/>
      <w:r w:rsidRPr="0057780D">
        <w:rPr>
          <w:rFonts w:eastAsia="Calibri"/>
        </w:rPr>
        <w:t>, Society of Chemical Manufacturers and Affiliates Formerly the Synthetic Organic Chemical Manufacturers Association. (SOCMA)</w:t>
      </w:r>
    </w:p>
    <w:p w:rsidRPr="0057780D" w:rsidR="00E313CA" w:rsidP="00E313CA" w:rsidRDefault="00E313CA" w14:paraId="7E4BA688" w14:textId="42A9A8DE">
      <w:pPr>
        <w:pStyle w:val="BodyTextIndent"/>
        <w:ind w:left="0" w:firstLine="360"/>
        <w:rPr>
          <w:color w:val="000000"/>
        </w:rPr>
      </w:pPr>
      <w:r w:rsidRPr="0057780D">
        <w:rPr>
          <w:color w:val="000000"/>
        </w:rPr>
        <w:t xml:space="preserve">Vincent Caprio, Nano Business </w:t>
      </w:r>
      <w:proofErr w:type="spellStart"/>
      <w:r w:rsidRPr="0057780D">
        <w:rPr>
          <w:color w:val="000000"/>
        </w:rPr>
        <w:t>Commericalization</w:t>
      </w:r>
      <w:proofErr w:type="spellEnd"/>
      <w:r w:rsidRPr="0057780D">
        <w:rPr>
          <w:color w:val="000000"/>
        </w:rPr>
        <w:t xml:space="preserve"> Association</w:t>
      </w:r>
    </w:p>
    <w:p w:rsidRPr="0057780D" w:rsidR="00E313CA" w:rsidP="00E313CA" w:rsidRDefault="00E313CA" w14:paraId="1DD48F0B" w14:textId="45FE3F26">
      <w:pPr>
        <w:pStyle w:val="BodyTextIndent"/>
        <w:ind w:left="0" w:firstLine="360"/>
        <w:rPr>
          <w:color w:val="000000"/>
        </w:rPr>
      </w:pPr>
      <w:r w:rsidRPr="0057780D">
        <w:rPr>
          <w:color w:val="000000"/>
        </w:rPr>
        <w:t>Jake Vandevort, Titanium Dioxide Stewardship Council</w:t>
      </w:r>
    </w:p>
    <w:p w:rsidRPr="0057780D" w:rsidR="00E313CA" w:rsidP="00E313CA" w:rsidRDefault="00E313CA" w14:paraId="0FFDEBE1" w14:textId="77777777">
      <w:pPr>
        <w:pStyle w:val="BodyTextIndent"/>
        <w:ind w:left="0" w:firstLine="360"/>
        <w:rPr>
          <w:color w:val="000000"/>
        </w:rPr>
      </w:pPr>
      <w:r w:rsidRPr="0057780D">
        <w:rPr>
          <w:color w:val="000000"/>
        </w:rPr>
        <w:t xml:space="preserve">Julia </w:t>
      </w:r>
      <w:proofErr w:type="spellStart"/>
      <w:r w:rsidRPr="0057780D">
        <w:rPr>
          <w:color w:val="000000"/>
        </w:rPr>
        <w:t>Rege</w:t>
      </w:r>
      <w:proofErr w:type="spellEnd"/>
      <w:r w:rsidRPr="0057780D">
        <w:rPr>
          <w:color w:val="000000"/>
        </w:rPr>
        <w:t xml:space="preserve">, Association of Global Automakers, Inc. </w:t>
      </w:r>
    </w:p>
    <w:p w:rsidRPr="0057780D" w:rsidR="00E313CA" w:rsidP="00E313CA" w:rsidRDefault="00E313CA" w14:paraId="0A2DDB2A" w14:textId="577DCBBD">
      <w:pPr>
        <w:pStyle w:val="BodyTextIndent"/>
        <w:ind w:left="0" w:firstLine="360"/>
        <w:rPr>
          <w:color w:val="000000"/>
        </w:rPr>
      </w:pPr>
      <w:r w:rsidRPr="0057780D">
        <w:rPr>
          <w:color w:val="000000"/>
        </w:rPr>
        <w:lastRenderedPageBreak/>
        <w:t xml:space="preserve">Sanjay </w:t>
      </w:r>
      <w:proofErr w:type="spellStart"/>
      <w:r w:rsidRPr="0057780D">
        <w:rPr>
          <w:color w:val="000000"/>
        </w:rPr>
        <w:t>Baliga</w:t>
      </w:r>
      <w:proofErr w:type="spellEnd"/>
      <w:r w:rsidRPr="0057780D">
        <w:rPr>
          <w:color w:val="000000"/>
        </w:rPr>
        <w:t>, SEMI</w:t>
      </w:r>
    </w:p>
    <w:p w:rsidRPr="0057780D" w:rsidR="008C6208" w:rsidP="008C6208" w:rsidRDefault="007E6F70" w14:paraId="3ECEDAFF" w14:textId="7C08DD4D">
      <w:pPr>
        <w:numPr>
          <w:ilvl w:val="12"/>
          <w:numId w:val="0"/>
        </w:numPr>
        <w:rPr>
          <w:szCs w:val="24"/>
        </w:rPr>
      </w:pPr>
      <w:r w:rsidRPr="0057780D">
        <w:rPr>
          <w:szCs w:val="24"/>
        </w:rPr>
        <w:t xml:space="preserve">EPA contacted these stakeholders via email on January 30, 2020 seeking comments on additional specific questions about the ICR and supporting documents. </w:t>
      </w:r>
      <w:r w:rsidRPr="0057780D" w:rsidR="00F57B46">
        <w:rPr>
          <w:szCs w:val="24"/>
        </w:rPr>
        <w:t xml:space="preserve">EPA received no comments regarding any of the supporting documents for the ICR including this supporting statement. </w:t>
      </w:r>
    </w:p>
    <w:p w:rsidRPr="0057780D" w:rsidR="008C6208" w:rsidP="008C6208" w:rsidRDefault="008C6208" w14:paraId="17A3EF59" w14:textId="77777777">
      <w:pPr>
        <w:pStyle w:val="NoSpacing"/>
      </w:pPr>
    </w:p>
    <w:p w:rsidRPr="0057780D" w:rsidR="000B028E" w:rsidP="000B028E" w:rsidRDefault="000B028E" w14:paraId="26929693" w14:textId="04B4DE23">
      <w:pPr>
        <w:pStyle w:val="Heading2"/>
        <w:tabs>
          <w:tab w:val="left" w:pos="1080"/>
        </w:tabs>
        <w:ind w:left="360"/>
      </w:pPr>
      <w:r w:rsidRPr="0057780D">
        <w:t>3(</w:t>
      </w:r>
      <w:r w:rsidRPr="0057780D" w:rsidR="008C6208">
        <w:t>c</w:t>
      </w:r>
      <w:r w:rsidRPr="0057780D">
        <w:t>). Small Entity Flexibility</w:t>
      </w:r>
    </w:p>
    <w:p w:rsidRPr="0057780D" w:rsidR="004E2616" w:rsidP="004E2616" w:rsidRDefault="004E2616" w14:paraId="63020234" w14:textId="7D8249CB">
      <w:r w:rsidRPr="0057780D">
        <w:t>The r</w:t>
      </w:r>
      <w:r w:rsidRPr="0057780D" w:rsidR="00EC5DCF">
        <w:t>egulation</w:t>
      </w:r>
      <w:r w:rsidRPr="0057780D">
        <w:t xml:space="preserve"> exempts some small manufacturers and processors.  However, as described in the </w:t>
      </w:r>
      <w:r w:rsidRPr="0057780D" w:rsidR="00EC5DCF">
        <w:t>regulation</w:t>
      </w:r>
      <w:r w:rsidRPr="0057780D">
        <w:t xml:space="preserve"> some small manufacturers and processors would be required to report and keep records. All respondents to TSCA section 8(a) chemical-specific rules, including small businesses, are granted flexibility in their reporting methods.</w:t>
      </w:r>
    </w:p>
    <w:p w:rsidRPr="0057780D" w:rsidR="000B028E" w:rsidP="000B028E" w:rsidRDefault="000B028E" w14:paraId="5C46B040" w14:textId="3D2FA281">
      <w:pPr>
        <w:tabs>
          <w:tab w:val="left" w:pos="1080"/>
        </w:tabs>
      </w:pPr>
    </w:p>
    <w:p w:rsidRPr="0057780D" w:rsidR="000B028E" w:rsidP="00E602D8" w:rsidRDefault="00E602D8" w14:paraId="1EE47F36" w14:textId="77C37214">
      <w:pPr>
        <w:pStyle w:val="Heading2"/>
        <w:tabs>
          <w:tab w:val="left" w:pos="1080"/>
        </w:tabs>
        <w:ind w:left="360"/>
      </w:pPr>
      <w:r w:rsidRPr="0057780D">
        <w:t>3(</w:t>
      </w:r>
      <w:r w:rsidRPr="0057780D" w:rsidR="008C6208">
        <w:t>d</w:t>
      </w:r>
      <w:r w:rsidRPr="0057780D">
        <w:t xml:space="preserve">). </w:t>
      </w:r>
      <w:r w:rsidRPr="0057780D" w:rsidR="000B028E">
        <w:t>General PRA Related Guidelines</w:t>
      </w:r>
    </w:p>
    <w:p w:rsidRPr="0057780D" w:rsidR="000B028E" w:rsidP="000B028E" w:rsidRDefault="005644AE" w14:paraId="3EF10D0A" w14:textId="5F7D0408">
      <w:pPr>
        <w:numPr>
          <w:ilvl w:val="12"/>
          <w:numId w:val="0"/>
        </w:numPr>
      </w:pPr>
      <w:r w:rsidRPr="0057780D">
        <w:t>This information collection activity is necessary to implement the statutory requirements of section 8(a) of TSCA and is consistent with the requirements of 5 CFR 1320.</w:t>
      </w:r>
      <w:r w:rsidRPr="0057780D" w:rsidR="00E35BD4">
        <w:t>5(d)(2)</w:t>
      </w:r>
      <w:r w:rsidRPr="0057780D" w:rsidR="000B028E">
        <w:t>. Firms are required to maintain records for three years</w:t>
      </w:r>
      <w:r w:rsidRPr="0057780D" w:rsidR="00370E19">
        <w:t xml:space="preserve">. </w:t>
      </w:r>
      <w:r w:rsidRPr="0057780D" w:rsidR="00EC5DCF">
        <w:t>EPA</w:t>
      </w:r>
      <w:r w:rsidRPr="0057780D" w:rsidR="00370E19">
        <w:t xml:space="preserve"> requires reporting only once for manufacturers and processors f</w:t>
      </w:r>
      <w:r w:rsidRPr="0057780D" w:rsidR="00370E19">
        <w:rPr>
          <w:bCs/>
        </w:rPr>
        <w:t>or new discrete nanoscale materials before they are manufactured or processed</w:t>
      </w:r>
      <w:r w:rsidRPr="0057780D" w:rsidR="00EC4DDD">
        <w:rPr>
          <w:bCs/>
        </w:rPr>
        <w:t>.</w:t>
      </w:r>
    </w:p>
    <w:p w:rsidRPr="0057780D" w:rsidR="000B028E" w:rsidP="000B028E" w:rsidRDefault="000B028E" w14:paraId="24480A90" w14:textId="5FC9E5DA">
      <w:pPr>
        <w:numPr>
          <w:ilvl w:val="12"/>
          <w:numId w:val="0"/>
        </w:numPr>
      </w:pPr>
    </w:p>
    <w:p w:rsidRPr="0057780D" w:rsidR="002A114B" w:rsidP="002A114B" w:rsidRDefault="002A114B" w14:paraId="38D85576" w14:textId="38921AAD">
      <w:r w:rsidRPr="0057780D">
        <w:rPr>
          <w:lang w:val="en-CA"/>
        </w:rPr>
        <w:fldChar w:fldCharType="begin"/>
      </w:r>
      <w:r w:rsidRPr="0057780D">
        <w:rPr>
          <w:lang w:val="en-CA"/>
        </w:rPr>
        <w:instrText xml:space="preserve"> SEQ CHAPTER \h \r 1</w:instrText>
      </w:r>
      <w:r w:rsidRPr="0057780D">
        <w:rPr>
          <w:lang w:val="en-CA"/>
        </w:rPr>
        <w:fldChar w:fldCharType="end"/>
      </w:r>
      <w:r w:rsidRPr="0057780D" w:rsidR="00E602D8">
        <w:t xml:space="preserve">     </w:t>
      </w:r>
      <w:r w:rsidRPr="0057780D">
        <w:rPr>
          <w:b/>
          <w:bCs/>
        </w:rPr>
        <w:t>3(</w:t>
      </w:r>
      <w:r w:rsidRPr="0057780D" w:rsidR="008C6208">
        <w:rPr>
          <w:b/>
          <w:bCs/>
        </w:rPr>
        <w:t>e</w:t>
      </w:r>
      <w:r w:rsidRPr="0057780D">
        <w:rPr>
          <w:b/>
          <w:bCs/>
        </w:rPr>
        <w:t>)</w:t>
      </w:r>
      <w:r w:rsidRPr="0057780D" w:rsidR="008C6208">
        <w:rPr>
          <w:b/>
          <w:bCs/>
        </w:rPr>
        <w:t xml:space="preserve">. </w:t>
      </w:r>
      <w:r w:rsidRPr="0057780D" w:rsidR="00E602D8">
        <w:rPr>
          <w:b/>
          <w:bCs/>
        </w:rPr>
        <w:t xml:space="preserve"> </w:t>
      </w:r>
      <w:r w:rsidRPr="0057780D">
        <w:rPr>
          <w:b/>
          <w:bCs/>
        </w:rPr>
        <w:t>Effects of Less Frequent Collection</w:t>
      </w:r>
    </w:p>
    <w:p w:rsidRPr="0057780D" w:rsidR="002A114B" w:rsidP="002A114B" w:rsidRDefault="002A114B" w14:paraId="5E536B6E" w14:textId="77777777"/>
    <w:p w:rsidRPr="0057780D" w:rsidR="002A114B" w:rsidP="005644AE" w:rsidRDefault="002A114B" w14:paraId="344E06C7" w14:textId="2E9BD9E1">
      <w:r w:rsidRPr="0057780D">
        <w:tab/>
      </w:r>
      <w:r w:rsidRPr="0057780D" w:rsidR="00EC5DCF">
        <w:t>EPA</w:t>
      </w:r>
      <w:r w:rsidRPr="0057780D">
        <w:t xml:space="preserve"> requires reporting only once </w:t>
      </w:r>
      <w:r w:rsidRPr="0057780D" w:rsidR="004E2616">
        <w:t>for manufacturers and processors f</w:t>
      </w:r>
      <w:r w:rsidRPr="0057780D">
        <w:rPr>
          <w:bCs/>
        </w:rPr>
        <w:t>or new discrete nanoscale materials before they are manufactured or processed</w:t>
      </w:r>
      <w:r w:rsidRPr="0057780D">
        <w:t xml:space="preserve">.  </w:t>
      </w:r>
    </w:p>
    <w:p w:rsidRPr="0057780D" w:rsidR="002A114B" w:rsidP="002A114B" w:rsidRDefault="002A114B" w14:paraId="3066CAA0" w14:textId="77777777"/>
    <w:p w:rsidRPr="0057780D" w:rsidR="002A114B" w:rsidP="002A114B" w:rsidRDefault="000E4EA4" w14:paraId="727816CB" w14:textId="5F6D0FFC">
      <w:r w:rsidRPr="0057780D">
        <w:t xml:space="preserve">     </w:t>
      </w:r>
      <w:r w:rsidRPr="0057780D" w:rsidR="002A114B">
        <w:rPr>
          <w:b/>
          <w:bCs/>
        </w:rPr>
        <w:t>3(</w:t>
      </w:r>
      <w:r w:rsidRPr="0057780D" w:rsidR="005644AE">
        <w:rPr>
          <w:b/>
          <w:bCs/>
        </w:rPr>
        <w:t>f</w:t>
      </w:r>
      <w:r w:rsidRPr="0057780D" w:rsidR="002A114B">
        <w:rPr>
          <w:b/>
          <w:bCs/>
        </w:rPr>
        <w:t>)</w:t>
      </w:r>
      <w:r w:rsidRPr="0057780D" w:rsidR="008C6208">
        <w:rPr>
          <w:b/>
          <w:bCs/>
        </w:rPr>
        <w:t xml:space="preserve">. </w:t>
      </w:r>
      <w:r w:rsidRPr="0057780D">
        <w:rPr>
          <w:b/>
          <w:bCs/>
        </w:rPr>
        <w:t xml:space="preserve">  </w:t>
      </w:r>
      <w:r w:rsidRPr="0057780D" w:rsidR="002A114B">
        <w:rPr>
          <w:b/>
          <w:bCs/>
        </w:rPr>
        <w:t>Confidentiality</w:t>
      </w:r>
    </w:p>
    <w:p w:rsidRPr="0057780D" w:rsidR="002A114B" w:rsidP="002A114B" w:rsidRDefault="002A114B" w14:paraId="040F4C35" w14:textId="77777777"/>
    <w:p w:rsidRPr="0057780D" w:rsidR="002A114B" w:rsidP="002A114B" w:rsidRDefault="002A114B" w14:paraId="59EB3471" w14:textId="77777777">
      <w:r w:rsidRPr="0057780D">
        <w:tab/>
        <w:t>Submitters may designate information as confidential, trade secret or proprietary.  EPA has implemented procedures to protect any confidential, trade secret or proprietary information from disclosure.  These procedures comply with EPA’s confidentiality regulation, 40 CFR Part 2, Subpart B.</w:t>
      </w:r>
    </w:p>
    <w:p w:rsidRPr="0057780D" w:rsidR="002A114B" w:rsidP="002A114B" w:rsidRDefault="002A114B" w14:paraId="2F47ACD1" w14:textId="77777777"/>
    <w:p w:rsidRPr="0057780D" w:rsidR="002A114B" w:rsidP="002A114B" w:rsidRDefault="000E4EA4" w14:paraId="6BBD98A0" w14:textId="26AD9C05">
      <w:r w:rsidRPr="0057780D">
        <w:t xml:space="preserve">      </w:t>
      </w:r>
      <w:r w:rsidRPr="0057780D" w:rsidR="002A114B">
        <w:rPr>
          <w:b/>
          <w:bCs/>
        </w:rPr>
        <w:t>3(</w:t>
      </w:r>
      <w:r w:rsidRPr="0057780D" w:rsidR="005644AE">
        <w:rPr>
          <w:b/>
          <w:bCs/>
        </w:rPr>
        <w:t>g</w:t>
      </w:r>
      <w:r w:rsidRPr="0057780D" w:rsidR="002A114B">
        <w:rPr>
          <w:b/>
          <w:bCs/>
        </w:rPr>
        <w:t>)</w:t>
      </w:r>
      <w:r w:rsidRPr="0057780D" w:rsidR="008C6208">
        <w:rPr>
          <w:b/>
          <w:bCs/>
        </w:rPr>
        <w:t>.</w:t>
      </w:r>
      <w:r w:rsidRPr="0057780D">
        <w:rPr>
          <w:b/>
          <w:bCs/>
        </w:rPr>
        <w:t xml:space="preserve">  </w:t>
      </w:r>
      <w:r w:rsidRPr="0057780D" w:rsidR="002A114B">
        <w:rPr>
          <w:b/>
          <w:bCs/>
        </w:rPr>
        <w:t>Sensitive Questions</w:t>
      </w:r>
    </w:p>
    <w:p w:rsidRPr="0057780D" w:rsidR="002A114B" w:rsidP="002A114B" w:rsidRDefault="002A114B" w14:paraId="639535FF" w14:textId="77777777"/>
    <w:p w:rsidRPr="0057780D" w:rsidR="002A114B" w:rsidP="002A114B" w:rsidRDefault="002A114B" w14:paraId="6E456BD9" w14:textId="77777777">
      <w:r w:rsidRPr="0057780D">
        <w:tab/>
        <w:t>This section is not applicable.  TSCA section 8(a) reporting rules do not include any questions of a sensitive nature.</w:t>
      </w:r>
    </w:p>
    <w:p w:rsidRPr="0057780D" w:rsidR="002A114B" w:rsidP="002A114B" w:rsidRDefault="002A114B" w14:paraId="78475977" w14:textId="77777777"/>
    <w:p w:rsidRPr="0057780D" w:rsidR="0065500B" w:rsidP="00A85939" w:rsidRDefault="0065500B" w14:paraId="687E24C4" w14:textId="647B255A">
      <w:pPr>
        <w:pStyle w:val="Heading1"/>
        <w:numPr>
          <w:ilvl w:val="0"/>
          <w:numId w:val="1"/>
        </w:numPr>
        <w:rPr>
          <w:sz w:val="24"/>
          <w:szCs w:val="24"/>
        </w:rPr>
      </w:pPr>
      <w:bookmarkStart w:name="_Toc433886714" w:id="15"/>
      <w:r w:rsidRPr="0057780D">
        <w:t xml:space="preserve">AGENCY ACTIVITIES, COLLECTION METHODOLOGY, AND </w:t>
      </w:r>
      <w:r w:rsidRPr="0057780D" w:rsidR="00A85939">
        <w:t xml:space="preserve"> </w:t>
      </w:r>
      <w:r w:rsidRPr="0057780D">
        <w:t>INFORMATION MANAGEMENT</w:t>
      </w:r>
      <w:bookmarkEnd w:id="15"/>
      <w:r w:rsidRPr="0057780D" w:rsidR="00A85939">
        <w:t xml:space="preserve"> </w:t>
      </w:r>
    </w:p>
    <w:p w:rsidRPr="0057780D" w:rsidR="0065500B" w:rsidP="0065500B" w:rsidRDefault="0065500B" w14:paraId="09CDB81B" w14:textId="77777777"/>
    <w:p w:rsidRPr="0057780D" w:rsidR="00DC1FA7" w:rsidP="00DC1FA7" w:rsidRDefault="00A85939" w14:paraId="25C9A545" w14:textId="3767117A">
      <w:pPr>
        <w:rPr>
          <w:rFonts w:ascii="Times New Roman" w:hAnsi="Times New Roman"/>
        </w:rPr>
      </w:pPr>
      <w:r w:rsidRPr="0057780D">
        <w:rPr>
          <w:b/>
          <w:bCs/>
        </w:rPr>
        <w:t>4</w:t>
      </w:r>
      <w:r w:rsidRPr="0057780D" w:rsidR="00DC1FA7">
        <w:rPr>
          <w:b/>
          <w:bCs/>
        </w:rPr>
        <w:t>(a)</w:t>
      </w:r>
      <w:r w:rsidRPr="0057780D" w:rsidR="009669BD">
        <w:rPr>
          <w:b/>
          <w:bCs/>
        </w:rPr>
        <w:t>.</w:t>
      </w:r>
      <w:r w:rsidRPr="0057780D" w:rsidR="00DC1FA7">
        <w:rPr>
          <w:b/>
          <w:bCs/>
        </w:rPr>
        <w:tab/>
        <w:t>Agency Activities</w:t>
      </w:r>
    </w:p>
    <w:p w:rsidRPr="0057780D" w:rsidR="00DC1FA7" w:rsidP="00DC1FA7" w:rsidRDefault="00DC1FA7" w14:paraId="43D619AA" w14:textId="77777777"/>
    <w:p w:rsidRPr="0057780D" w:rsidR="00DC1FA7" w:rsidP="00DC1FA7" w:rsidRDefault="00DC1FA7" w14:paraId="07A3612F" w14:textId="77777777">
      <w:pPr>
        <w:autoSpaceDE w:val="0"/>
        <w:autoSpaceDN w:val="0"/>
        <w:adjustRightInd w:val="0"/>
        <w:ind w:firstLine="720"/>
        <w:rPr>
          <w:rFonts w:eastAsia="MS Mincho"/>
          <w:lang w:eastAsia="ja-JP"/>
        </w:rPr>
      </w:pPr>
      <w:r w:rsidRPr="0057780D">
        <w:rPr>
          <w:rFonts w:eastAsia="MS Mincho"/>
          <w:lang w:eastAsia="ja-JP"/>
        </w:rPr>
        <w:t>EPA will perform the following activities:</w:t>
      </w:r>
    </w:p>
    <w:p w:rsidRPr="0057780D" w:rsidR="00DC1FA7" w:rsidP="00DC1FA7" w:rsidRDefault="00DC1FA7" w14:paraId="21D3F40F" w14:textId="77777777">
      <w:pPr>
        <w:autoSpaceDE w:val="0"/>
        <w:autoSpaceDN w:val="0"/>
        <w:adjustRightInd w:val="0"/>
        <w:ind w:left="720" w:firstLine="720"/>
        <w:rPr>
          <w:rFonts w:eastAsia="MS Mincho"/>
          <w:lang w:eastAsia="ja-JP"/>
        </w:rPr>
      </w:pPr>
      <w:r w:rsidRPr="0057780D">
        <w:rPr>
          <w:rFonts w:eastAsia="MS Mincho"/>
          <w:lang w:eastAsia="ja-JP"/>
        </w:rPr>
        <w:t>- review the information submitted;</w:t>
      </w:r>
    </w:p>
    <w:p w:rsidRPr="0057780D" w:rsidR="00DC1FA7" w:rsidP="00370E19" w:rsidRDefault="00DC1FA7" w14:paraId="41ADCA84" w14:textId="304D09B6">
      <w:pPr>
        <w:autoSpaceDE w:val="0"/>
        <w:autoSpaceDN w:val="0"/>
        <w:adjustRightInd w:val="0"/>
        <w:ind w:left="1440"/>
        <w:rPr>
          <w:rFonts w:eastAsia="MS Mincho"/>
          <w:lang w:eastAsia="ja-JP"/>
        </w:rPr>
      </w:pPr>
      <w:r w:rsidRPr="0057780D">
        <w:rPr>
          <w:rFonts w:eastAsia="MS Mincho"/>
          <w:lang w:eastAsia="ja-JP"/>
        </w:rPr>
        <w:lastRenderedPageBreak/>
        <w:t>- analyze submissions for confidentiality and provide appropriate protection for  confidential data;</w:t>
      </w:r>
    </w:p>
    <w:p w:rsidRPr="0057780D" w:rsidR="00DC1FA7" w:rsidP="00DC1FA7" w:rsidRDefault="00DC1FA7" w14:paraId="433EF914" w14:textId="77777777">
      <w:pPr>
        <w:autoSpaceDE w:val="0"/>
        <w:autoSpaceDN w:val="0"/>
        <w:adjustRightInd w:val="0"/>
        <w:ind w:left="720" w:firstLine="720"/>
        <w:rPr>
          <w:rFonts w:eastAsia="MS Mincho"/>
          <w:lang w:eastAsia="ja-JP"/>
        </w:rPr>
      </w:pPr>
      <w:r w:rsidRPr="0057780D">
        <w:rPr>
          <w:rFonts w:eastAsia="MS Mincho"/>
          <w:lang w:eastAsia="ja-JP"/>
        </w:rPr>
        <w:t>- file and store submissions;</w:t>
      </w:r>
    </w:p>
    <w:p w:rsidRPr="0057780D" w:rsidR="00DC1FA7" w:rsidP="00DC1FA7" w:rsidRDefault="00DC1FA7" w14:paraId="5A3B3FE5" w14:textId="61B15B7C">
      <w:pPr>
        <w:autoSpaceDE w:val="0"/>
        <w:autoSpaceDN w:val="0"/>
        <w:adjustRightInd w:val="0"/>
        <w:ind w:left="1440"/>
        <w:rPr>
          <w:rFonts w:eastAsia="MS Mincho"/>
          <w:lang w:eastAsia="ja-JP"/>
        </w:rPr>
      </w:pPr>
      <w:r w:rsidRPr="0057780D">
        <w:rPr>
          <w:rFonts w:eastAsia="MS Mincho"/>
          <w:lang w:eastAsia="ja-JP"/>
        </w:rPr>
        <w:t>- use the data to inform the assessment and management of any risks from nanoscale materials; and</w:t>
      </w:r>
    </w:p>
    <w:p w:rsidRPr="0057780D" w:rsidR="00DC1FA7" w:rsidP="00370E19" w:rsidRDefault="00370E19" w14:paraId="2E0F1992" w14:textId="7B153422">
      <w:pPr>
        <w:rPr>
          <w:rFonts w:eastAsia="Times New Roman"/>
        </w:rPr>
      </w:pPr>
      <w:r w:rsidRPr="0057780D">
        <w:rPr>
          <w:rFonts w:eastAsia="MS Mincho"/>
          <w:lang w:eastAsia="ja-JP"/>
        </w:rPr>
        <w:t xml:space="preserve">           </w:t>
      </w:r>
      <w:r w:rsidRPr="0057780D">
        <w:rPr>
          <w:rFonts w:eastAsia="MS Mincho"/>
          <w:lang w:eastAsia="ja-JP"/>
        </w:rPr>
        <w:tab/>
      </w:r>
      <w:r w:rsidRPr="0057780D" w:rsidR="00DC1FA7">
        <w:rPr>
          <w:rFonts w:eastAsia="MS Mincho"/>
          <w:lang w:eastAsia="ja-JP"/>
        </w:rPr>
        <w:t>- provide an aggregated report of the information submitted.</w:t>
      </w:r>
    </w:p>
    <w:p w:rsidRPr="0057780D" w:rsidR="00DC1FA7" w:rsidP="00DC1FA7" w:rsidRDefault="00DC1FA7" w14:paraId="1454C6AA" w14:textId="77777777"/>
    <w:p w:rsidRPr="0057780D" w:rsidR="00DC1FA7" w:rsidP="00DC1FA7" w:rsidRDefault="004E2616" w14:paraId="13562C52" w14:textId="08164F3D">
      <w:r w:rsidRPr="0057780D">
        <w:rPr>
          <w:b/>
          <w:bCs/>
        </w:rPr>
        <w:t>4</w:t>
      </w:r>
      <w:r w:rsidRPr="0057780D" w:rsidR="00DC1FA7">
        <w:rPr>
          <w:b/>
          <w:bCs/>
        </w:rPr>
        <w:t>(b)</w:t>
      </w:r>
      <w:r w:rsidRPr="0057780D" w:rsidR="009669BD">
        <w:rPr>
          <w:b/>
          <w:bCs/>
        </w:rPr>
        <w:t>.</w:t>
      </w:r>
      <w:r w:rsidRPr="0057780D" w:rsidR="00DC1FA7">
        <w:rPr>
          <w:b/>
          <w:bCs/>
        </w:rPr>
        <w:tab/>
        <w:t>Collection Methodology and Management</w:t>
      </w:r>
    </w:p>
    <w:p w:rsidRPr="0057780D" w:rsidR="00DC1FA7" w:rsidP="00DC1FA7" w:rsidRDefault="00DC1FA7" w14:paraId="6BEF00FB" w14:textId="77777777"/>
    <w:p w:rsidRPr="0057780D" w:rsidR="00DC1FA7" w:rsidP="00DC1FA7" w:rsidRDefault="00DC1FA7" w14:paraId="4B058A0E" w14:textId="77777777">
      <w:r w:rsidRPr="0057780D">
        <w:tab/>
        <w:t>An improved information technology to minimize burden of a TSCA section 8(a) chemical-specific rule has not been found.  EPA has not been able to identify a more efficient, less expensive, or more flexible means of obtaining the required information than the one currently being used.  To the extent information is not CBI, all information collected is made available to the public through the public docket office.  EPA is requiring firms to submit this information on one standard reporting form.  TSCA section 8(a) chemical-specific rules typically require one-time reporting.  As future data needs arise, EPA will consider the use of other types of reporting methods.  EPA believes the flexibility already allowed in the reporting structure significantly eases burden.</w:t>
      </w:r>
    </w:p>
    <w:p w:rsidRPr="0057780D" w:rsidR="00DC1FA7" w:rsidP="00DC1FA7" w:rsidRDefault="00DC1FA7" w14:paraId="2E8E1214" w14:textId="77777777"/>
    <w:p w:rsidRPr="0057780D" w:rsidR="00DC1FA7" w:rsidP="00DC1FA7" w:rsidRDefault="004E2616" w14:paraId="752B71F8" w14:textId="5AEA8970">
      <w:r w:rsidRPr="0057780D">
        <w:t>4</w:t>
      </w:r>
      <w:r w:rsidRPr="0057780D" w:rsidR="00DC1FA7">
        <w:rPr>
          <w:b/>
          <w:bCs/>
        </w:rPr>
        <w:t>(</w:t>
      </w:r>
      <w:r w:rsidRPr="0057780D">
        <w:rPr>
          <w:b/>
          <w:bCs/>
        </w:rPr>
        <w:t>c</w:t>
      </w:r>
      <w:r w:rsidRPr="0057780D" w:rsidR="00DC1FA7">
        <w:rPr>
          <w:b/>
          <w:bCs/>
        </w:rPr>
        <w:t>)</w:t>
      </w:r>
      <w:r w:rsidRPr="0057780D" w:rsidR="009669BD">
        <w:rPr>
          <w:b/>
          <w:bCs/>
        </w:rPr>
        <w:t>.</w:t>
      </w:r>
      <w:r w:rsidRPr="0057780D" w:rsidR="00DC1FA7">
        <w:rPr>
          <w:b/>
          <w:bCs/>
        </w:rPr>
        <w:tab/>
        <w:t>Collection Schedule</w:t>
      </w:r>
    </w:p>
    <w:p w:rsidRPr="0057780D" w:rsidR="00DC1FA7" w:rsidP="00DC1FA7" w:rsidRDefault="00DC1FA7" w14:paraId="1EC01D86" w14:textId="77777777">
      <w:pPr>
        <w:ind w:firstLine="720"/>
      </w:pPr>
    </w:p>
    <w:p w:rsidRPr="0057780D" w:rsidR="00DC1FA7" w:rsidP="00DC1FA7" w:rsidRDefault="00DC1FA7" w14:paraId="4B395CD8" w14:textId="272C135D">
      <w:pPr>
        <w:ind w:firstLine="720"/>
      </w:pPr>
      <w:r w:rsidRPr="0057780D">
        <w:t xml:space="preserve">This is a one-time collection of information.  Respondents </w:t>
      </w:r>
      <w:r w:rsidRPr="0057780D">
        <w:rPr>
          <w:bCs/>
        </w:rPr>
        <w:t xml:space="preserve">will normally report </w:t>
      </w:r>
      <w:r w:rsidRPr="0057780D">
        <w:t xml:space="preserve">135 days before </w:t>
      </w:r>
      <w:r w:rsidRPr="0057780D">
        <w:rPr>
          <w:bCs/>
        </w:rPr>
        <w:t>new discrete forms of reportable nanoscale materials are intended to be manufactured or processed</w:t>
      </w:r>
      <w:r w:rsidRPr="0057780D" w:rsidR="004E2616">
        <w:rPr>
          <w:bCs/>
        </w:rPr>
        <w:t xml:space="preserve"> but no later than 30 days after forming that intent</w:t>
      </w:r>
      <w:r w:rsidRPr="0057780D">
        <w:t xml:space="preserve">.  </w:t>
      </w:r>
      <w:r w:rsidRPr="0057780D" w:rsidR="004E2616">
        <w:t xml:space="preserve"> </w:t>
      </w:r>
    </w:p>
    <w:p w:rsidRPr="0057780D" w:rsidR="004E2616" w:rsidP="004E2616" w:rsidRDefault="004E2616" w14:paraId="60EF9A5E" w14:textId="77777777">
      <w:pPr>
        <w:pStyle w:val="NoSpacing"/>
      </w:pPr>
    </w:p>
    <w:p w:rsidRPr="0057780D" w:rsidR="00EE6B0F" w:rsidP="00A85939" w:rsidRDefault="00EE6B0F" w14:paraId="7CD2B0DF" w14:textId="77777777">
      <w:pPr>
        <w:pStyle w:val="Heading1"/>
        <w:numPr>
          <w:ilvl w:val="0"/>
          <w:numId w:val="1"/>
        </w:numPr>
      </w:pPr>
      <w:bookmarkStart w:name="_Toc495667094" w:id="16"/>
      <w:r w:rsidRPr="0057780D">
        <w:t>The RESPONDENTS AND INFORMATION COLLECTION (IC) ACTIVITIES</w:t>
      </w:r>
      <w:bookmarkEnd w:id="16"/>
    </w:p>
    <w:p w:rsidRPr="0057780D" w:rsidR="00EE6B0F" w:rsidP="00EE6B0F" w:rsidRDefault="00EE6B0F" w14:paraId="39D849D5" w14:textId="77777777">
      <w:r w:rsidRPr="0057780D">
        <w:t xml:space="preserve">For each respondent category, this section of the ICR describes the respondents, the information collection activities and related estimates for burden and costs associated with those activities. </w:t>
      </w:r>
    </w:p>
    <w:p w:rsidRPr="0057780D" w:rsidR="00EE6B0F" w:rsidP="00EE6B0F" w:rsidRDefault="00EE6B0F" w14:paraId="39953CBB" w14:textId="77777777">
      <w:pPr>
        <w:pStyle w:val="NoSpacing"/>
        <w:rPr>
          <w:lang w:bidi="en-US"/>
        </w:rPr>
      </w:pPr>
    </w:p>
    <w:p w:rsidRPr="0057780D" w:rsidR="00EE6B0F" w:rsidP="00A85939" w:rsidRDefault="00EE6B0F" w14:paraId="2D47AF4C" w14:textId="166B250A">
      <w:pPr>
        <w:pStyle w:val="Heading2"/>
        <w:numPr>
          <w:ilvl w:val="1"/>
          <w:numId w:val="1"/>
        </w:numPr>
        <w:tabs>
          <w:tab w:val="left" w:pos="1080"/>
        </w:tabs>
      </w:pPr>
      <w:bookmarkStart w:name="_Toc495667095" w:id="17"/>
      <w:r w:rsidRPr="0057780D">
        <w:t>Methodology for Estimating Respondent Burden and Costs</w:t>
      </w:r>
      <w:bookmarkEnd w:id="17"/>
    </w:p>
    <w:p w:rsidRPr="0057780D" w:rsidR="00E3616B" w:rsidP="00E3616B" w:rsidRDefault="00E3616B" w14:paraId="0658919C" w14:textId="77777777">
      <w:pPr>
        <w:pStyle w:val="NoSpacing"/>
      </w:pPr>
    </w:p>
    <w:p w:rsidRPr="0057780D" w:rsidR="00E3616B" w:rsidP="00EE6B0F" w:rsidRDefault="00E3616B" w14:paraId="34209E3C" w14:textId="1FC7D850">
      <w:pPr>
        <w:pStyle w:val="NoSpacing"/>
      </w:pPr>
      <w:r w:rsidRPr="0057780D">
        <w:t xml:space="preserve">This information collection request (ICR) </w:t>
      </w:r>
      <w:r w:rsidRPr="0057780D" w:rsidR="00EE6B0F">
        <w:t>specif</w:t>
      </w:r>
      <w:r w:rsidRPr="0057780D">
        <w:t>ies</w:t>
      </w:r>
      <w:r w:rsidRPr="0057780D" w:rsidR="00EE6B0F">
        <w:t xml:space="preserve"> the </w:t>
      </w:r>
      <w:r w:rsidRPr="0057780D">
        <w:t>reporting and recordkeeping requirements for persons who manufacture or process chemical substances as nanoscale materials and is related to a final rule issued under the authority of Section 8(a) of the Toxic Substances Control Act (TSCA).</w:t>
      </w:r>
    </w:p>
    <w:p w:rsidRPr="0057780D" w:rsidR="00E3616B" w:rsidP="00EE6B0F" w:rsidRDefault="00E3616B" w14:paraId="3E45C2BA" w14:textId="77777777">
      <w:pPr>
        <w:pStyle w:val="NoSpacing"/>
      </w:pPr>
    </w:p>
    <w:p w:rsidRPr="0057780D" w:rsidR="00EE6B0F" w:rsidP="00EE6B0F" w:rsidRDefault="00EE6B0F" w14:paraId="2DFB0000" w14:textId="77777777">
      <w:pPr>
        <w:pStyle w:val="NoSpacing"/>
      </w:pPr>
      <w:r w:rsidRPr="0057780D">
        <w:t xml:space="preserve">The North American Industrial Classification System (NAICS) codes associated with industries most likely affected by the paperwork requirements are described below: </w:t>
      </w:r>
    </w:p>
    <w:p w:rsidRPr="0057780D" w:rsidR="00EE6B0F" w:rsidP="00EE6B0F" w:rsidRDefault="00EE6B0F" w14:paraId="113BBFB1" w14:textId="77777777">
      <w:pPr>
        <w:pStyle w:val="NoSpacing"/>
      </w:pPr>
    </w:p>
    <w:p w:rsidRPr="0057780D" w:rsidR="005C04DB" w:rsidP="00EE6B0F" w:rsidRDefault="005C04DB" w14:paraId="3C35ABEA" w14:textId="151994DC">
      <w:pPr>
        <w:pStyle w:val="NoSpacing"/>
      </w:pPr>
      <w:r w:rsidRPr="0057780D">
        <w:t>325</w:t>
      </w:r>
      <w:r w:rsidRPr="0057780D">
        <w:tab/>
      </w:r>
      <w:r w:rsidRPr="0057780D">
        <w:tab/>
        <w:t>Chemical Manufacturers and Processors</w:t>
      </w:r>
    </w:p>
    <w:p w:rsidRPr="0057780D" w:rsidR="00755132" w:rsidP="00EE6B0F" w:rsidRDefault="00755132" w14:paraId="11706A61" w14:textId="44294826">
      <w:pPr>
        <w:pStyle w:val="NoSpacing"/>
      </w:pPr>
      <w:r w:rsidRPr="0057780D">
        <w:t>325130</w:t>
      </w:r>
      <w:r w:rsidRPr="0057780D">
        <w:tab/>
      </w:r>
      <w:r w:rsidRPr="0057780D">
        <w:rPr>
          <w:rFonts w:hint="eastAsia"/>
        </w:rPr>
        <w:t>Synthetic Dye and Pigment Manufacturing</w:t>
      </w:r>
    </w:p>
    <w:p w:rsidRPr="0057780D" w:rsidR="005C04DB" w:rsidP="00EE6B0F" w:rsidRDefault="005C04DB" w14:paraId="7210F5D7" w14:textId="5D5480F1">
      <w:pPr>
        <w:pStyle w:val="NoSpacing"/>
      </w:pPr>
      <w:r w:rsidRPr="0057780D">
        <w:t>324110</w:t>
      </w:r>
      <w:r w:rsidRPr="0057780D">
        <w:tab/>
        <w:t>Petroleum Refineries</w:t>
      </w:r>
    </w:p>
    <w:p w:rsidRPr="0057780D" w:rsidR="00755132" w:rsidP="00EE6B0F" w:rsidRDefault="00755132" w14:paraId="0DE37991" w14:textId="620C5398">
      <w:pPr>
        <w:pStyle w:val="NoSpacing"/>
      </w:pPr>
      <w:r w:rsidRPr="0057780D">
        <w:t>325180</w:t>
      </w:r>
      <w:r w:rsidRPr="0057780D">
        <w:tab/>
      </w:r>
      <w:r w:rsidRPr="0057780D">
        <w:rPr>
          <w:rFonts w:hint="eastAsia"/>
        </w:rPr>
        <w:t>Other Basic Inorganic Chemical Manufacturing</w:t>
      </w:r>
    </w:p>
    <w:p w:rsidRPr="0057780D" w:rsidR="00755132" w:rsidP="00EE6B0F" w:rsidRDefault="00755132" w14:paraId="0DEFC98F" w14:textId="0E179B12">
      <w:pPr>
        <w:pStyle w:val="NoSpacing"/>
      </w:pPr>
      <w:r w:rsidRPr="0057780D">
        <w:lastRenderedPageBreak/>
        <w:t>331221</w:t>
      </w:r>
      <w:r w:rsidRPr="0057780D">
        <w:tab/>
      </w:r>
      <w:r w:rsidRPr="0057780D">
        <w:rPr>
          <w:rFonts w:hint="eastAsia"/>
        </w:rPr>
        <w:t>Rolled Steel Shape Manufacturing</w:t>
      </w:r>
    </w:p>
    <w:p w:rsidRPr="0057780D" w:rsidR="00755132" w:rsidP="00EE6B0F" w:rsidRDefault="00755132" w14:paraId="3AA4CB7E" w14:textId="26DC12D5">
      <w:pPr>
        <w:pStyle w:val="NoSpacing"/>
      </w:pPr>
      <w:r w:rsidRPr="0057780D">
        <w:t>334413</w:t>
      </w:r>
      <w:r w:rsidRPr="0057780D">
        <w:tab/>
      </w:r>
      <w:r w:rsidRPr="0057780D">
        <w:rPr>
          <w:rFonts w:hint="eastAsia"/>
        </w:rPr>
        <w:t>Semiconductor and Related Device Manufacturing</w:t>
      </w:r>
    </w:p>
    <w:p w:rsidRPr="0057780D" w:rsidR="00755132" w:rsidP="00EE6B0F" w:rsidRDefault="00755132" w14:paraId="63CB3896" w14:textId="3316297B">
      <w:pPr>
        <w:pStyle w:val="NoSpacing"/>
      </w:pPr>
      <w:r w:rsidRPr="0057780D">
        <w:t>335991</w:t>
      </w:r>
      <w:r w:rsidRPr="0057780D">
        <w:tab/>
      </w:r>
      <w:r w:rsidRPr="0057780D">
        <w:rPr>
          <w:rFonts w:hint="eastAsia"/>
        </w:rPr>
        <w:t>Carbon and Graphite Product Manufacturing</w:t>
      </w:r>
    </w:p>
    <w:p w:rsidRPr="0057780D" w:rsidR="00755132" w:rsidP="00EE6B0F" w:rsidRDefault="00755132" w14:paraId="7442359D" w14:textId="2AE3821E">
      <w:pPr>
        <w:pStyle w:val="NoSpacing"/>
      </w:pPr>
      <w:r w:rsidRPr="0057780D">
        <w:t>423220</w:t>
      </w:r>
      <w:r w:rsidRPr="0057780D">
        <w:tab/>
      </w:r>
      <w:r w:rsidRPr="0057780D">
        <w:rPr>
          <w:rFonts w:hint="eastAsia"/>
        </w:rPr>
        <w:t>Home Furnishing Merchant Wholesalers</w:t>
      </w:r>
    </w:p>
    <w:p w:rsidRPr="0057780D" w:rsidR="00755132" w:rsidP="00EE6B0F" w:rsidRDefault="00755132" w14:paraId="750395A8" w14:textId="516B5523">
      <w:pPr>
        <w:pStyle w:val="NoSpacing"/>
      </w:pPr>
      <w:r w:rsidRPr="0057780D">
        <w:t>423330</w:t>
      </w:r>
      <w:r w:rsidRPr="0057780D">
        <w:tab/>
      </w:r>
      <w:r w:rsidRPr="0057780D">
        <w:rPr>
          <w:rFonts w:hint="eastAsia"/>
        </w:rPr>
        <w:t>Roofing, Sliding, and Insulation Material Merchant Wholesalers</w:t>
      </w:r>
    </w:p>
    <w:p w:rsidRPr="0057780D" w:rsidR="005C04DB" w:rsidP="00EE6B0F" w:rsidRDefault="00755132" w14:paraId="0FB41E0A" w14:textId="5CA61E52">
      <w:pPr>
        <w:pStyle w:val="NoSpacing"/>
      </w:pPr>
      <w:r w:rsidRPr="0057780D">
        <w:t>423510</w:t>
      </w:r>
      <w:r w:rsidRPr="0057780D">
        <w:tab/>
      </w:r>
      <w:r w:rsidRPr="0057780D">
        <w:rPr>
          <w:rFonts w:hint="eastAsia"/>
        </w:rPr>
        <w:t>Metal Service Centers and Other Metal Merchant Wholesalers</w:t>
      </w:r>
    </w:p>
    <w:p w:rsidRPr="0057780D" w:rsidR="00EE6B0F" w:rsidP="00EE6B0F" w:rsidRDefault="00EE6B0F" w14:paraId="0BF10C86" w14:textId="77777777">
      <w:pPr>
        <w:pStyle w:val="NoSpacing"/>
      </w:pPr>
    </w:p>
    <w:p w:rsidRPr="0057780D" w:rsidR="00EE6B0F" w:rsidP="00A85939" w:rsidRDefault="005644AE" w14:paraId="397A2E92" w14:textId="718D53AA">
      <w:pPr>
        <w:pStyle w:val="Heading2"/>
        <w:numPr>
          <w:ilvl w:val="1"/>
          <w:numId w:val="1"/>
        </w:numPr>
        <w:tabs>
          <w:tab w:val="left" w:pos="1080"/>
        </w:tabs>
        <w:rPr>
          <w:lang w:bidi="en-US"/>
        </w:rPr>
      </w:pPr>
      <w:bookmarkStart w:name="_Toc495667096" w:id="18"/>
      <w:bookmarkEnd w:id="18"/>
      <w:r w:rsidRPr="0057780D">
        <w:rPr>
          <w:lang w:bidi="en-US"/>
        </w:rPr>
        <w:t>Burden and Cost Estimates</w:t>
      </w:r>
    </w:p>
    <w:p w:rsidRPr="0057780D" w:rsidR="0050756C" w:rsidP="0050756C" w:rsidRDefault="00EE6B0F" w14:paraId="1A0D4D28" w14:textId="77777777">
      <w:pPr>
        <w:pStyle w:val="Heading2"/>
        <w:tabs>
          <w:tab w:val="left" w:pos="1080"/>
        </w:tabs>
        <w:ind w:left="360"/>
        <w:rPr>
          <w:szCs w:val="24"/>
          <w:u w:val="single"/>
        </w:rPr>
      </w:pPr>
      <w:bookmarkStart w:name="_Toc494361017" w:id="19"/>
      <w:bookmarkStart w:name="_Toc495667097" w:id="20"/>
      <w:r w:rsidRPr="0057780D">
        <w:rPr>
          <w:szCs w:val="24"/>
        </w:rPr>
        <w:t xml:space="preserve">IC #1: </w:t>
      </w:r>
      <w:bookmarkEnd w:id="19"/>
      <w:bookmarkEnd w:id="20"/>
      <w:r w:rsidRPr="0057780D" w:rsidR="0050756C">
        <w:rPr>
          <w:rFonts w:eastAsia="Times New Roman" w:cs="Arial"/>
          <w:szCs w:val="24"/>
        </w:rPr>
        <w:t>Manufacturer Form Completion, CBI Substantiation, Form Submission and Recordkeeping</w:t>
      </w:r>
      <w:r w:rsidRPr="0057780D" w:rsidR="0050756C">
        <w:rPr>
          <w:szCs w:val="24"/>
          <w:u w:val="single"/>
        </w:rPr>
        <w:t xml:space="preserve"> </w:t>
      </w:r>
    </w:p>
    <w:p w:rsidRPr="0057780D" w:rsidR="0050756C" w:rsidP="0050756C" w:rsidRDefault="0050756C" w14:paraId="29BE5657" w14:textId="2CFDA770">
      <w:pPr>
        <w:pStyle w:val="Heading2"/>
        <w:tabs>
          <w:tab w:val="left" w:pos="1080"/>
        </w:tabs>
        <w:rPr>
          <w:b w:val="0"/>
          <w:bCs w:val="0"/>
          <w:u w:val="single"/>
        </w:rPr>
      </w:pPr>
      <w:r w:rsidRPr="0057780D">
        <w:rPr>
          <w:b w:val="0"/>
          <w:bCs w:val="0"/>
          <w:u w:val="single"/>
        </w:rPr>
        <w:t>Respondent NAICS Codes</w:t>
      </w:r>
    </w:p>
    <w:p w:rsidRPr="0057780D" w:rsidR="00755132" w:rsidP="00755132" w:rsidRDefault="00755132" w14:paraId="5AA60B3B" w14:textId="77777777">
      <w:pPr>
        <w:pStyle w:val="NoSpacing"/>
      </w:pPr>
      <w:r w:rsidRPr="0057780D">
        <w:t>325</w:t>
      </w:r>
      <w:r w:rsidRPr="0057780D">
        <w:tab/>
      </w:r>
      <w:r w:rsidRPr="0057780D">
        <w:tab/>
        <w:t>Chemical Manufacturers and Processors</w:t>
      </w:r>
    </w:p>
    <w:p w:rsidRPr="0057780D" w:rsidR="00755132" w:rsidP="00755132" w:rsidRDefault="00755132" w14:paraId="2F09AE40" w14:textId="77777777">
      <w:pPr>
        <w:pStyle w:val="NoSpacing"/>
      </w:pPr>
      <w:r w:rsidRPr="0057780D">
        <w:t>325130</w:t>
      </w:r>
      <w:r w:rsidRPr="0057780D">
        <w:tab/>
      </w:r>
      <w:r w:rsidRPr="0057780D">
        <w:rPr>
          <w:rFonts w:hint="eastAsia"/>
        </w:rPr>
        <w:t>Synthetic Dye and Pigment Manufacturing</w:t>
      </w:r>
    </w:p>
    <w:p w:rsidRPr="0057780D" w:rsidR="00755132" w:rsidP="00755132" w:rsidRDefault="00755132" w14:paraId="216EA298" w14:textId="77777777">
      <w:pPr>
        <w:pStyle w:val="NoSpacing"/>
      </w:pPr>
      <w:r w:rsidRPr="0057780D">
        <w:t>324110</w:t>
      </w:r>
      <w:r w:rsidRPr="0057780D">
        <w:tab/>
        <w:t>Petroleum Refineries</w:t>
      </w:r>
    </w:p>
    <w:p w:rsidRPr="0057780D" w:rsidR="00755132" w:rsidP="00755132" w:rsidRDefault="00755132" w14:paraId="2C6076CA" w14:textId="77777777">
      <w:pPr>
        <w:pStyle w:val="NoSpacing"/>
      </w:pPr>
      <w:r w:rsidRPr="0057780D">
        <w:t>325180</w:t>
      </w:r>
      <w:r w:rsidRPr="0057780D">
        <w:tab/>
      </w:r>
      <w:r w:rsidRPr="0057780D">
        <w:rPr>
          <w:rFonts w:hint="eastAsia"/>
        </w:rPr>
        <w:t>Other Basic Inorganic Chemical Manufacturing</w:t>
      </w:r>
    </w:p>
    <w:p w:rsidRPr="0057780D" w:rsidR="00755132" w:rsidP="00755132" w:rsidRDefault="00755132" w14:paraId="0BB9E77F" w14:textId="77777777">
      <w:pPr>
        <w:pStyle w:val="NoSpacing"/>
      </w:pPr>
      <w:r w:rsidRPr="0057780D">
        <w:t>331221</w:t>
      </w:r>
      <w:r w:rsidRPr="0057780D">
        <w:tab/>
      </w:r>
      <w:r w:rsidRPr="0057780D">
        <w:rPr>
          <w:rFonts w:hint="eastAsia"/>
        </w:rPr>
        <w:t>Rolled Steel Shape Manufacturing</w:t>
      </w:r>
    </w:p>
    <w:p w:rsidRPr="0057780D" w:rsidR="00755132" w:rsidP="00755132" w:rsidRDefault="00755132" w14:paraId="75F2AAE1" w14:textId="77777777">
      <w:pPr>
        <w:pStyle w:val="NoSpacing"/>
      </w:pPr>
      <w:r w:rsidRPr="0057780D">
        <w:t>334413</w:t>
      </w:r>
      <w:r w:rsidRPr="0057780D">
        <w:tab/>
      </w:r>
      <w:r w:rsidRPr="0057780D">
        <w:rPr>
          <w:rFonts w:hint="eastAsia"/>
        </w:rPr>
        <w:t>Semiconductor and Related Device Manufacturing</w:t>
      </w:r>
    </w:p>
    <w:p w:rsidRPr="0057780D" w:rsidR="00755132" w:rsidP="00755132" w:rsidRDefault="00755132" w14:paraId="79927F55" w14:textId="77777777">
      <w:pPr>
        <w:pStyle w:val="NoSpacing"/>
      </w:pPr>
      <w:r w:rsidRPr="0057780D">
        <w:t>335991</w:t>
      </w:r>
      <w:r w:rsidRPr="0057780D">
        <w:tab/>
      </w:r>
      <w:r w:rsidRPr="0057780D">
        <w:rPr>
          <w:rFonts w:hint="eastAsia"/>
        </w:rPr>
        <w:t>Carbon and Graphite Product Manufacturing</w:t>
      </w:r>
    </w:p>
    <w:p w:rsidRPr="0057780D" w:rsidR="00755132" w:rsidP="00755132" w:rsidRDefault="00755132" w14:paraId="042BDAFD" w14:textId="77777777">
      <w:pPr>
        <w:pStyle w:val="NoSpacing"/>
      </w:pPr>
      <w:r w:rsidRPr="0057780D">
        <w:t>423220</w:t>
      </w:r>
      <w:r w:rsidRPr="0057780D">
        <w:tab/>
      </w:r>
      <w:r w:rsidRPr="0057780D">
        <w:rPr>
          <w:rFonts w:hint="eastAsia"/>
        </w:rPr>
        <w:t>Home Furnishing Merchant Wholesalers</w:t>
      </w:r>
    </w:p>
    <w:p w:rsidRPr="0057780D" w:rsidR="00755132" w:rsidP="00755132" w:rsidRDefault="00755132" w14:paraId="217CE02C" w14:textId="77777777">
      <w:pPr>
        <w:pStyle w:val="NoSpacing"/>
      </w:pPr>
      <w:r w:rsidRPr="0057780D">
        <w:t>423330</w:t>
      </w:r>
      <w:r w:rsidRPr="0057780D">
        <w:tab/>
      </w:r>
      <w:r w:rsidRPr="0057780D">
        <w:rPr>
          <w:rFonts w:hint="eastAsia"/>
        </w:rPr>
        <w:t>Roofing, Sliding, and Insulation Material Merchant Wholesalers</w:t>
      </w:r>
    </w:p>
    <w:p w:rsidRPr="0057780D" w:rsidR="00755132" w:rsidP="00755132" w:rsidRDefault="00755132" w14:paraId="4EB0BDAB" w14:textId="77777777">
      <w:pPr>
        <w:pStyle w:val="NoSpacing"/>
      </w:pPr>
      <w:r w:rsidRPr="0057780D">
        <w:t>423510</w:t>
      </w:r>
      <w:r w:rsidRPr="0057780D">
        <w:tab/>
      </w:r>
      <w:r w:rsidRPr="0057780D">
        <w:rPr>
          <w:rFonts w:hint="eastAsia"/>
        </w:rPr>
        <w:t>Metal Service Centers and Other Metal Merchant Wholesalers</w:t>
      </w:r>
    </w:p>
    <w:p w:rsidRPr="0057780D" w:rsidR="00DF1750" w:rsidP="0050756C" w:rsidRDefault="00DF1750" w14:paraId="7598B9CD" w14:textId="77777777">
      <w:pPr>
        <w:rPr>
          <w:u w:val="single"/>
        </w:rPr>
      </w:pPr>
    </w:p>
    <w:p w:rsidRPr="0057780D" w:rsidR="0050756C" w:rsidP="0050756C" w:rsidRDefault="0050756C" w14:paraId="515FD337" w14:textId="6BE61AA2">
      <w:pPr>
        <w:rPr>
          <w:u w:val="single"/>
        </w:rPr>
      </w:pPr>
      <w:r w:rsidRPr="0057780D">
        <w:rPr>
          <w:u w:val="single"/>
        </w:rPr>
        <w:t>Information Collection Activities</w:t>
      </w:r>
    </w:p>
    <w:p w:rsidRPr="0057780D" w:rsidR="0050756C" w:rsidP="0050756C" w:rsidRDefault="0050756C" w14:paraId="6436B35B" w14:textId="77777777">
      <w:pPr>
        <w:pStyle w:val="NoSpacing"/>
      </w:pPr>
    </w:p>
    <w:p w:rsidRPr="0057780D" w:rsidR="0050756C" w:rsidP="0050756C" w:rsidRDefault="000B62B5" w14:paraId="160E85CB" w14:textId="5BF47CB5">
      <w:pPr>
        <w:pStyle w:val="NoSpacing"/>
      </w:pPr>
      <w:r w:rsidRPr="0057780D">
        <w:t>M</w:t>
      </w:r>
      <w:r w:rsidRPr="0057780D" w:rsidR="0050756C">
        <w:t>anufacture</w:t>
      </w:r>
      <w:r w:rsidRPr="0057780D">
        <w:t>r</w:t>
      </w:r>
      <w:r w:rsidRPr="0057780D" w:rsidR="0050756C">
        <w:t xml:space="preserve">s will complete four procedural tasks: form completion, CBI claim substantiation, form submission and recordkeeping. </w:t>
      </w:r>
      <w:r w:rsidRPr="0057780D" w:rsidR="00DA7873">
        <w:t xml:space="preserve">EPA estimates a total of 165 nanomaterial manufacturers will respond each year. </w:t>
      </w:r>
      <w:r w:rsidRPr="0057780D" w:rsidR="0050756C">
        <w:t xml:space="preserve">It is expected that the same </w:t>
      </w:r>
      <w:r w:rsidRPr="0057780D" w:rsidR="00666EDA">
        <w:t xml:space="preserve">165 </w:t>
      </w:r>
      <w:r w:rsidRPr="0057780D" w:rsidR="0050756C">
        <w:t xml:space="preserve">manufactures will submit 0.52 reports per year on average. All </w:t>
      </w:r>
      <w:r w:rsidRPr="0057780D" w:rsidR="003B3C59">
        <w:t xml:space="preserve">of the following </w:t>
      </w:r>
      <w:r w:rsidRPr="0057780D" w:rsidR="0050756C">
        <w:t>estimates of burden</w:t>
      </w:r>
      <w:r w:rsidRPr="0057780D" w:rsidR="00652A87">
        <w:t xml:space="preserve"> hours</w:t>
      </w:r>
      <w:r w:rsidRPr="0057780D" w:rsidR="0050756C">
        <w:t xml:space="preserve"> </w:t>
      </w:r>
      <w:r w:rsidRPr="0057780D" w:rsidR="003B3C59">
        <w:t>take into account</w:t>
      </w:r>
      <w:r w:rsidRPr="0057780D" w:rsidR="0050756C">
        <w:t xml:space="preserve"> the expectation </w:t>
      </w:r>
      <w:r w:rsidRPr="0057780D" w:rsidR="00480142">
        <w:t>that each manufacturer will submit</w:t>
      </w:r>
      <w:r w:rsidRPr="0057780D" w:rsidR="0050756C">
        <w:t xml:space="preserve"> 0.52 reports</w:t>
      </w:r>
      <w:r w:rsidRPr="0057780D" w:rsidR="00480142">
        <w:t xml:space="preserve"> per year</w:t>
      </w:r>
      <w:r w:rsidRPr="0057780D" w:rsidR="0050756C">
        <w:t>.</w:t>
      </w:r>
    </w:p>
    <w:p w:rsidRPr="0057780D" w:rsidR="0050756C" w:rsidP="0050756C" w:rsidRDefault="0050756C" w14:paraId="27E7EA3D" w14:textId="77777777">
      <w:pPr>
        <w:pStyle w:val="NoSpacing"/>
      </w:pPr>
    </w:p>
    <w:p w:rsidRPr="0057780D" w:rsidR="0050756C" w:rsidP="0050756C" w:rsidRDefault="0050756C" w14:paraId="3E3CD387" w14:textId="361D21C6">
      <w:pPr>
        <w:pStyle w:val="NoSpacing"/>
      </w:pPr>
      <w:r w:rsidRPr="0057780D">
        <w:t>Form completion involves the time and cost for providing the information listed above. It</w:t>
      </w:r>
      <w:r w:rsidRPr="0057780D" w:rsidR="0051242F">
        <w:t xml:space="preserve"> is estimated that </w:t>
      </w:r>
      <w:r w:rsidRPr="0057780D" w:rsidR="00DA7873">
        <w:t>it will</w:t>
      </w:r>
      <w:r w:rsidRPr="0057780D" w:rsidR="00480142">
        <w:t xml:space="preserve"> take manufactures a</w:t>
      </w:r>
      <w:r w:rsidRPr="0057780D" w:rsidR="0051242F">
        <w:t xml:space="preserve">pproximately 71 hours per year </w:t>
      </w:r>
      <w:r w:rsidRPr="0057780D" w:rsidR="00DA7873">
        <w:t>for form completion</w:t>
      </w:r>
      <w:r w:rsidRPr="0057780D" w:rsidR="0051242F">
        <w:t xml:space="preserve">. </w:t>
      </w:r>
      <w:r w:rsidRPr="0057780D">
        <w:t xml:space="preserve">If a manufacturer claims certain data elements as CBI, they must substantiate the claim by providing certain information to support the need to keep information confidential. It is estimated </w:t>
      </w:r>
      <w:r w:rsidRPr="0057780D" w:rsidR="00DA7873">
        <w:t>that it will take</w:t>
      </w:r>
      <w:r w:rsidRPr="0057780D" w:rsidR="00652A87">
        <w:t xml:space="preserve"> a manufacturer </w:t>
      </w:r>
      <w:r w:rsidRPr="0057780D" w:rsidR="0051242F">
        <w:t xml:space="preserve">approximately </w:t>
      </w:r>
      <w:r w:rsidRPr="0057780D" w:rsidR="00320771">
        <w:t>0.78</w:t>
      </w:r>
      <w:r w:rsidRPr="0057780D">
        <w:t xml:space="preserve"> hours</w:t>
      </w:r>
      <w:r w:rsidRPr="0057780D" w:rsidR="003F2E41">
        <w:t xml:space="preserve"> per year</w:t>
      </w:r>
      <w:r w:rsidRPr="0057780D">
        <w:t xml:space="preserve"> to substantiate a CBI claim. Form submission involves the time to electronically submit the report to EPA via CDX, EPA’s electronic system for environmental data exchange. </w:t>
      </w:r>
      <w:r w:rsidRPr="0057780D" w:rsidR="0051242F">
        <w:t>Because the same manufacturers are expected to report each year, i</w:t>
      </w:r>
      <w:r w:rsidRPr="0057780D">
        <w:t>t is estimated to take 0.17 hours</w:t>
      </w:r>
      <w:r w:rsidRPr="0057780D" w:rsidR="003F2E41">
        <w:t xml:space="preserve"> per year</w:t>
      </w:r>
      <w:r w:rsidRPr="0057780D">
        <w:t xml:space="preserve"> </w:t>
      </w:r>
      <w:r w:rsidRPr="0057780D" w:rsidR="0051242F">
        <w:t xml:space="preserve">to electronically submit </w:t>
      </w:r>
      <w:r w:rsidRPr="0057780D" w:rsidR="003B3C59">
        <w:t>the</w:t>
      </w:r>
      <w:r w:rsidRPr="0057780D" w:rsidR="0051242F">
        <w:t xml:space="preserve"> report</w:t>
      </w:r>
      <w:r w:rsidRPr="0057780D">
        <w:t xml:space="preserve">. Recordkeeping involves the time taken to maintain records of the reported information. It is estimated to take </w:t>
      </w:r>
      <w:r w:rsidRPr="0057780D" w:rsidR="003B0CEA">
        <w:t xml:space="preserve">approximately a half </w:t>
      </w:r>
      <w:r w:rsidRPr="0057780D">
        <w:t xml:space="preserve">hour </w:t>
      </w:r>
      <w:r w:rsidRPr="0057780D" w:rsidR="003F2E41">
        <w:t xml:space="preserve">per year </w:t>
      </w:r>
      <w:r w:rsidRPr="0057780D">
        <w:t xml:space="preserve">for a </w:t>
      </w:r>
      <w:r w:rsidRPr="0057780D" w:rsidR="00480142">
        <w:t>manufacturer</w:t>
      </w:r>
      <w:r w:rsidRPr="0057780D">
        <w:t xml:space="preserve"> to maintain its records of the information reported.</w:t>
      </w:r>
    </w:p>
    <w:p w:rsidRPr="0057780D" w:rsidR="0050756C" w:rsidP="0050756C" w:rsidRDefault="0050756C" w14:paraId="6237E459" w14:textId="77777777">
      <w:pPr>
        <w:pStyle w:val="NoSpacing"/>
      </w:pPr>
    </w:p>
    <w:p w:rsidRPr="0057780D" w:rsidR="005644AE" w:rsidP="00961683" w:rsidRDefault="00391425" w14:paraId="18D4D553" w14:textId="75F05C91">
      <w:pPr>
        <w:pStyle w:val="NoSpacing"/>
      </w:pPr>
      <w:r w:rsidRPr="0057780D">
        <w:lastRenderedPageBreak/>
        <w:t>T</w:t>
      </w:r>
      <w:r w:rsidRPr="0057780D" w:rsidR="0050756C">
        <w:t>he total burden is estimated to be</w:t>
      </w:r>
      <w:r w:rsidRPr="0057780D" w:rsidR="003B3C59">
        <w:t xml:space="preserve"> approximately</w:t>
      </w:r>
      <w:r w:rsidRPr="0057780D" w:rsidR="0050756C">
        <w:t xml:space="preserve"> </w:t>
      </w:r>
      <w:r w:rsidRPr="0057780D" w:rsidR="003B3C59">
        <w:t>73</w:t>
      </w:r>
      <w:r w:rsidRPr="0057780D" w:rsidR="0050756C">
        <w:t xml:space="preserve"> hours</w:t>
      </w:r>
      <w:r w:rsidRPr="0057780D" w:rsidR="003F2E41">
        <w:t xml:space="preserve"> per year</w:t>
      </w:r>
      <w:r w:rsidRPr="0057780D">
        <w:t xml:space="preserve"> per manufacturer</w:t>
      </w:r>
      <w:r w:rsidRPr="0057780D" w:rsidR="0050756C">
        <w:t xml:space="preserve">. There are no material costs associated with this </w:t>
      </w:r>
      <w:r w:rsidRPr="0057780D" w:rsidR="000B62B5">
        <w:t>collection</w:t>
      </w:r>
      <w:r w:rsidRPr="0057780D" w:rsidR="0050756C">
        <w:t>.</w:t>
      </w:r>
      <w:r w:rsidRPr="0057780D" w:rsidR="00472EA0">
        <w:t xml:space="preserve"> </w:t>
      </w:r>
    </w:p>
    <w:p w:rsidRPr="0057780D" w:rsidR="005644AE" w:rsidP="005644AE" w:rsidRDefault="005644AE" w14:paraId="3BB4F090" w14:textId="77777777">
      <w:pPr>
        <w:pStyle w:val="NoSpacing"/>
      </w:pPr>
      <w:r w:rsidRPr="0057780D">
        <w:br w:type="page"/>
      </w:r>
    </w:p>
    <w:p w:rsidRPr="0057780D" w:rsidR="00961683" w:rsidP="00961683" w:rsidRDefault="00961683" w14:paraId="120599AF" w14:textId="05780B75">
      <w:pPr>
        <w:pStyle w:val="NoSpacing"/>
      </w:pPr>
    </w:p>
    <w:tbl>
      <w:tblPr>
        <w:tblW w:w="9890" w:type="dxa"/>
        <w:tblLook w:val="04A0" w:firstRow="1" w:lastRow="0" w:firstColumn="1" w:lastColumn="0" w:noHBand="0" w:noVBand="1"/>
      </w:tblPr>
      <w:tblGrid>
        <w:gridCol w:w="4510"/>
        <w:gridCol w:w="1610"/>
        <w:gridCol w:w="1338"/>
        <w:gridCol w:w="997"/>
        <w:gridCol w:w="1435"/>
      </w:tblGrid>
      <w:tr w:rsidRPr="0057780D" w:rsidR="00961683" w:rsidTr="002C2A45" w14:paraId="324FF524" w14:textId="77777777">
        <w:trPr>
          <w:trHeight w:val="315"/>
        </w:trPr>
        <w:tc>
          <w:tcPr>
            <w:tcW w:w="9890" w:type="dxa"/>
            <w:gridSpan w:val="5"/>
            <w:tcBorders>
              <w:top w:val="single" w:color="auto" w:sz="8" w:space="0"/>
              <w:left w:val="single" w:color="auto" w:sz="8" w:space="0"/>
              <w:bottom w:val="nil"/>
              <w:right w:val="single" w:color="000000" w:sz="8" w:space="0"/>
            </w:tcBorders>
            <w:shd w:val="clear" w:color="000000" w:fill="BFBFBF"/>
            <w:vAlign w:val="center"/>
            <w:hideMark/>
          </w:tcPr>
          <w:p w:rsidRPr="0057780D" w:rsidR="00961683" w:rsidP="0065500B" w:rsidRDefault="00961683" w14:paraId="7BE599F3" w14:textId="77777777">
            <w:pPr>
              <w:jc w:val="center"/>
              <w:rPr>
                <w:rFonts w:eastAsia="Times New Roman" w:cs="Arial"/>
                <w:b/>
                <w:bCs/>
                <w:sz w:val="22"/>
              </w:rPr>
            </w:pPr>
            <w:r w:rsidRPr="0057780D">
              <w:rPr>
                <w:rFonts w:eastAsia="Times New Roman" w:cs="Arial"/>
                <w:b/>
                <w:bCs/>
                <w:sz w:val="22"/>
              </w:rPr>
              <w:t>IC#1. Manufacturer Form Completion, CBI Substantiation, Form Submission and Recordkeeping</w:t>
            </w:r>
          </w:p>
        </w:tc>
      </w:tr>
      <w:tr w:rsidRPr="0057780D" w:rsidR="00961683" w:rsidTr="002C2A45" w14:paraId="7814BE67" w14:textId="77777777">
        <w:trPr>
          <w:trHeight w:val="315"/>
        </w:trPr>
        <w:tc>
          <w:tcPr>
            <w:tcW w:w="9890" w:type="dxa"/>
            <w:gridSpan w:val="5"/>
            <w:tcBorders>
              <w:top w:val="nil"/>
              <w:left w:val="single" w:color="auto" w:sz="8" w:space="0"/>
              <w:bottom w:val="single" w:color="auto" w:sz="8" w:space="0"/>
              <w:right w:val="single" w:color="000000" w:sz="8" w:space="0"/>
            </w:tcBorders>
            <w:shd w:val="clear" w:color="000000" w:fill="BFBFBF"/>
            <w:vAlign w:val="center"/>
            <w:hideMark/>
          </w:tcPr>
          <w:p w:rsidRPr="0057780D" w:rsidR="00961683" w:rsidP="0065500B" w:rsidRDefault="00961683" w14:paraId="407C3547" w14:textId="77B60881">
            <w:pPr>
              <w:jc w:val="center"/>
              <w:rPr>
                <w:rFonts w:eastAsia="Times New Roman" w:cs="Arial"/>
                <w:b/>
                <w:bCs/>
                <w:sz w:val="22"/>
              </w:rPr>
            </w:pPr>
            <w:r w:rsidRPr="0057780D">
              <w:rPr>
                <w:rFonts w:eastAsia="Times New Roman" w:cs="Arial"/>
                <w:b/>
                <w:bCs/>
                <w:sz w:val="22"/>
              </w:rPr>
              <w:t>Citation: 40 CFR 7</w:t>
            </w:r>
            <w:r w:rsidRPr="0057780D" w:rsidR="00E40350">
              <w:rPr>
                <w:rFonts w:eastAsia="Times New Roman" w:cs="Arial"/>
                <w:b/>
                <w:bCs/>
                <w:sz w:val="22"/>
              </w:rPr>
              <w:t>04.20</w:t>
            </w:r>
          </w:p>
        </w:tc>
      </w:tr>
      <w:tr w:rsidRPr="0057780D" w:rsidR="00F32115" w:rsidTr="002C2A45" w14:paraId="44AF0AD5" w14:textId="77777777">
        <w:trPr>
          <w:trHeight w:val="315"/>
        </w:trPr>
        <w:tc>
          <w:tcPr>
            <w:tcW w:w="4580" w:type="dxa"/>
            <w:tcBorders>
              <w:top w:val="nil"/>
              <w:left w:val="single" w:color="auto" w:sz="8" w:space="0"/>
              <w:bottom w:val="single" w:color="auto" w:sz="8" w:space="0"/>
              <w:right w:val="single" w:color="auto" w:sz="8" w:space="0"/>
            </w:tcBorders>
            <w:shd w:val="clear" w:color="000000" w:fill="BFBFBF"/>
            <w:vAlign w:val="center"/>
            <w:hideMark/>
          </w:tcPr>
          <w:p w:rsidRPr="0057780D" w:rsidR="00F32115" w:rsidP="0065500B" w:rsidRDefault="00F32115" w14:paraId="08E6967A" w14:textId="499D7D02">
            <w:pPr>
              <w:rPr>
                <w:rFonts w:eastAsia="Times New Roman" w:cs="Arial"/>
                <w:b/>
                <w:bCs/>
                <w:sz w:val="18"/>
                <w:szCs w:val="18"/>
              </w:rPr>
            </w:pPr>
            <w:r w:rsidRPr="0057780D">
              <w:rPr>
                <w:rFonts w:eastAsia="Times New Roman" w:cs="Arial"/>
                <w:b/>
                <w:bCs/>
                <w:sz w:val="18"/>
                <w:szCs w:val="18"/>
              </w:rPr>
              <w:t>Data Element</w:t>
            </w:r>
          </w:p>
        </w:tc>
        <w:tc>
          <w:tcPr>
            <w:tcW w:w="1620" w:type="dxa"/>
            <w:tcBorders>
              <w:top w:val="nil"/>
              <w:left w:val="nil"/>
              <w:bottom w:val="single" w:color="auto" w:sz="8" w:space="0"/>
              <w:right w:val="single" w:color="auto" w:sz="8" w:space="0"/>
            </w:tcBorders>
            <w:shd w:val="clear" w:color="000000" w:fill="BFBFBF"/>
            <w:vAlign w:val="center"/>
            <w:hideMark/>
          </w:tcPr>
          <w:p w:rsidRPr="0057780D" w:rsidR="00F32115" w:rsidP="0065500B" w:rsidRDefault="00F32115" w14:paraId="11277408" w14:textId="41D80C37">
            <w:pPr>
              <w:rPr>
                <w:rFonts w:eastAsia="Times New Roman" w:cs="Arial"/>
                <w:b/>
                <w:bCs/>
                <w:sz w:val="18"/>
                <w:szCs w:val="18"/>
              </w:rPr>
            </w:pPr>
            <w:r w:rsidRPr="0057780D">
              <w:rPr>
                <w:rFonts w:eastAsia="Times New Roman" w:cs="Arial"/>
                <w:b/>
                <w:bCs/>
                <w:sz w:val="18"/>
                <w:szCs w:val="18"/>
              </w:rPr>
              <w:t>3-year Total Responses</w:t>
            </w:r>
          </w:p>
        </w:tc>
        <w:tc>
          <w:tcPr>
            <w:tcW w:w="1350" w:type="dxa"/>
            <w:tcBorders>
              <w:top w:val="nil"/>
              <w:left w:val="nil"/>
              <w:bottom w:val="single" w:color="auto" w:sz="8" w:space="0"/>
              <w:right w:val="single" w:color="auto" w:sz="8" w:space="0"/>
            </w:tcBorders>
            <w:shd w:val="clear" w:color="000000" w:fill="BFBFBF"/>
            <w:vAlign w:val="center"/>
            <w:hideMark/>
          </w:tcPr>
          <w:p w:rsidRPr="0057780D" w:rsidR="00F32115" w:rsidP="0065500B" w:rsidRDefault="00F32115" w14:paraId="319B02BE" w14:textId="064D4ED5">
            <w:pPr>
              <w:rPr>
                <w:rFonts w:eastAsia="Times New Roman" w:cs="Arial"/>
                <w:b/>
                <w:bCs/>
                <w:sz w:val="18"/>
                <w:szCs w:val="18"/>
              </w:rPr>
            </w:pPr>
            <w:r w:rsidRPr="0057780D">
              <w:rPr>
                <w:rFonts w:eastAsia="Times New Roman" w:cs="Arial"/>
                <w:b/>
                <w:bCs/>
                <w:sz w:val="18"/>
                <w:szCs w:val="18"/>
              </w:rPr>
              <w:t>3-year Total Burden (hours)</w:t>
            </w:r>
          </w:p>
        </w:tc>
        <w:tc>
          <w:tcPr>
            <w:tcW w:w="900" w:type="dxa"/>
            <w:tcBorders>
              <w:top w:val="nil"/>
              <w:left w:val="nil"/>
              <w:bottom w:val="single" w:color="auto" w:sz="8" w:space="0"/>
              <w:right w:val="single" w:color="auto" w:sz="8" w:space="0"/>
            </w:tcBorders>
            <w:shd w:val="clear" w:color="000000" w:fill="BFBFBF"/>
            <w:vAlign w:val="center"/>
            <w:hideMark/>
          </w:tcPr>
          <w:p w:rsidRPr="0057780D" w:rsidR="00F32115" w:rsidP="0065500B" w:rsidRDefault="00F32115" w14:paraId="22C4F077" w14:textId="77777777">
            <w:pPr>
              <w:rPr>
                <w:rFonts w:eastAsia="Times New Roman" w:cs="Arial"/>
                <w:b/>
                <w:bCs/>
                <w:sz w:val="18"/>
                <w:szCs w:val="18"/>
              </w:rPr>
            </w:pPr>
            <w:r w:rsidRPr="0057780D">
              <w:rPr>
                <w:rFonts w:eastAsia="Times New Roman" w:cs="Arial"/>
                <w:b/>
                <w:bCs/>
                <w:sz w:val="18"/>
                <w:szCs w:val="18"/>
              </w:rPr>
              <w:t>Materials</w:t>
            </w:r>
          </w:p>
        </w:tc>
        <w:tc>
          <w:tcPr>
            <w:tcW w:w="1440" w:type="dxa"/>
            <w:tcBorders>
              <w:top w:val="nil"/>
              <w:left w:val="nil"/>
              <w:bottom w:val="single" w:color="auto" w:sz="8" w:space="0"/>
              <w:right w:val="single" w:color="auto" w:sz="8" w:space="0"/>
            </w:tcBorders>
            <w:shd w:val="clear" w:color="000000" w:fill="BFBFBF"/>
            <w:vAlign w:val="center"/>
            <w:hideMark/>
          </w:tcPr>
          <w:p w:rsidRPr="0057780D" w:rsidR="00F32115" w:rsidP="0065500B" w:rsidRDefault="00F32115" w14:paraId="7849DCF8" w14:textId="7F5075C6">
            <w:pPr>
              <w:rPr>
                <w:rFonts w:eastAsia="Times New Roman" w:cs="Arial"/>
                <w:b/>
                <w:bCs/>
                <w:sz w:val="18"/>
                <w:szCs w:val="18"/>
              </w:rPr>
            </w:pPr>
            <w:r w:rsidRPr="0057780D">
              <w:rPr>
                <w:rFonts w:eastAsia="Times New Roman" w:cs="Arial"/>
                <w:b/>
                <w:bCs/>
                <w:sz w:val="18"/>
                <w:szCs w:val="18"/>
              </w:rPr>
              <w:t xml:space="preserve">Total Cost ($) </w:t>
            </w:r>
          </w:p>
        </w:tc>
      </w:tr>
      <w:tr w:rsidRPr="0057780D" w:rsidR="00F32115" w:rsidTr="002C2A45" w14:paraId="005B074B" w14:textId="77777777">
        <w:trPr>
          <w:trHeight w:val="315"/>
        </w:trPr>
        <w:tc>
          <w:tcPr>
            <w:tcW w:w="458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65500B" w:rsidRDefault="00F32115" w14:paraId="0979EEA6" w14:textId="7500354D">
            <w:pPr>
              <w:rPr>
                <w:rFonts w:eastAsia="Times New Roman" w:cs="Arial"/>
                <w:sz w:val="18"/>
                <w:szCs w:val="18"/>
              </w:rPr>
            </w:pPr>
            <w:r w:rsidRPr="0057780D">
              <w:rPr>
                <w:rFonts w:eastAsia="Times New Roman" w:cs="Arial"/>
                <w:sz w:val="20"/>
                <w:szCs w:val="20"/>
              </w:rPr>
              <w:t>Form Completion</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25C4FB05" w14:textId="654654A4">
            <w:pPr>
              <w:jc w:val="right"/>
              <w:rPr>
                <w:rFonts w:eastAsia="Times New Roman" w:cs="Arial"/>
                <w:sz w:val="18"/>
                <w:szCs w:val="18"/>
              </w:rPr>
            </w:pPr>
            <w:r w:rsidRPr="0057780D">
              <w:rPr>
                <w:rFonts w:eastAsia="Times New Roman" w:cs="Arial"/>
                <w:sz w:val="18"/>
                <w:szCs w:val="18"/>
              </w:rPr>
              <w:t>257.4</w:t>
            </w:r>
          </w:p>
        </w:tc>
        <w:tc>
          <w:tcPr>
            <w:tcW w:w="135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10DEC8CF" w14:textId="62F064B2">
            <w:pPr>
              <w:jc w:val="right"/>
              <w:rPr>
                <w:rFonts w:eastAsia="Times New Roman" w:cs="Arial"/>
                <w:sz w:val="18"/>
                <w:szCs w:val="18"/>
              </w:rPr>
            </w:pPr>
            <w:r w:rsidRPr="0057780D">
              <w:rPr>
                <w:rFonts w:eastAsia="Times New Roman" w:cs="Arial"/>
                <w:sz w:val="18"/>
                <w:szCs w:val="18"/>
              </w:rPr>
              <w:t>35,161</w:t>
            </w:r>
          </w:p>
        </w:tc>
        <w:tc>
          <w:tcPr>
            <w:tcW w:w="900" w:type="dxa"/>
            <w:tcBorders>
              <w:top w:val="nil"/>
              <w:left w:val="nil"/>
              <w:bottom w:val="single" w:color="auto" w:sz="8" w:space="0"/>
              <w:right w:val="single" w:color="auto" w:sz="8" w:space="0"/>
            </w:tcBorders>
            <w:shd w:val="clear" w:color="auto" w:fill="auto"/>
            <w:vAlign w:val="center"/>
            <w:hideMark/>
          </w:tcPr>
          <w:p w:rsidRPr="0057780D" w:rsidR="00F32115" w:rsidP="0065500B" w:rsidRDefault="00F32115" w14:paraId="4DCA6672"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68C8F48F" w14:textId="29EC9A51">
            <w:pPr>
              <w:jc w:val="right"/>
              <w:rPr>
                <w:rFonts w:eastAsia="Times New Roman" w:cs="Arial"/>
                <w:sz w:val="18"/>
                <w:szCs w:val="18"/>
              </w:rPr>
            </w:pPr>
            <w:r w:rsidRPr="0057780D">
              <w:rPr>
                <w:rFonts w:eastAsia="Times New Roman" w:cs="Arial"/>
                <w:sz w:val="18"/>
                <w:szCs w:val="18"/>
              </w:rPr>
              <w:t>$2,686,999</w:t>
            </w:r>
          </w:p>
        </w:tc>
      </w:tr>
      <w:tr w:rsidRPr="0057780D" w:rsidR="00F32115" w:rsidTr="002C2A45" w14:paraId="4343489A" w14:textId="77777777">
        <w:trPr>
          <w:trHeight w:val="525"/>
        </w:trPr>
        <w:tc>
          <w:tcPr>
            <w:tcW w:w="458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65500B" w:rsidRDefault="00F32115" w14:paraId="31F39E5A" w14:textId="30487BBF">
            <w:pPr>
              <w:rPr>
                <w:rFonts w:eastAsia="Times New Roman" w:cs="Arial"/>
                <w:sz w:val="18"/>
                <w:szCs w:val="18"/>
              </w:rPr>
            </w:pPr>
            <w:r w:rsidRPr="0057780D">
              <w:rPr>
                <w:rFonts w:eastAsia="Times New Roman" w:cs="Arial"/>
                <w:sz w:val="20"/>
                <w:szCs w:val="20"/>
              </w:rPr>
              <w:t>CBI Substantiation</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6A0EAF58" w14:textId="5B9EC2AC">
            <w:pPr>
              <w:jc w:val="right"/>
              <w:rPr>
                <w:rFonts w:eastAsia="Times New Roman" w:cs="Arial"/>
                <w:sz w:val="18"/>
                <w:szCs w:val="18"/>
              </w:rPr>
            </w:pPr>
            <w:r w:rsidRPr="0057780D">
              <w:rPr>
                <w:rFonts w:eastAsia="Times New Roman" w:cs="Arial"/>
                <w:sz w:val="18"/>
                <w:szCs w:val="18"/>
              </w:rPr>
              <w:t>257.4</w:t>
            </w:r>
          </w:p>
        </w:tc>
        <w:tc>
          <w:tcPr>
            <w:tcW w:w="135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5069BC34" w14:textId="1CCF8312">
            <w:pPr>
              <w:jc w:val="right"/>
              <w:rPr>
                <w:rFonts w:eastAsia="Times New Roman" w:cs="Arial"/>
                <w:sz w:val="18"/>
                <w:szCs w:val="18"/>
              </w:rPr>
            </w:pPr>
            <w:r w:rsidRPr="0057780D">
              <w:rPr>
                <w:rFonts w:eastAsia="Times New Roman" w:cs="Arial"/>
                <w:sz w:val="18"/>
                <w:szCs w:val="18"/>
              </w:rPr>
              <w:t>386</w:t>
            </w:r>
          </w:p>
        </w:tc>
        <w:tc>
          <w:tcPr>
            <w:tcW w:w="900" w:type="dxa"/>
            <w:tcBorders>
              <w:top w:val="nil"/>
              <w:left w:val="nil"/>
              <w:bottom w:val="single" w:color="auto" w:sz="8" w:space="0"/>
              <w:right w:val="single" w:color="auto" w:sz="8" w:space="0"/>
            </w:tcBorders>
            <w:shd w:val="clear" w:color="auto" w:fill="auto"/>
            <w:vAlign w:val="center"/>
            <w:hideMark/>
          </w:tcPr>
          <w:p w:rsidRPr="0057780D" w:rsidR="00F32115" w:rsidP="0065500B" w:rsidRDefault="00F32115" w14:paraId="0365ECB0"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7835CE96" w14:textId="3C419595">
            <w:pPr>
              <w:jc w:val="right"/>
              <w:rPr>
                <w:rFonts w:eastAsia="Times New Roman" w:cs="Arial"/>
                <w:sz w:val="18"/>
                <w:szCs w:val="18"/>
              </w:rPr>
            </w:pPr>
            <w:r w:rsidRPr="0057780D">
              <w:rPr>
                <w:rFonts w:eastAsia="Times New Roman" w:cs="Arial"/>
                <w:sz w:val="18"/>
                <w:szCs w:val="18"/>
              </w:rPr>
              <w:t>$38,322</w:t>
            </w:r>
          </w:p>
        </w:tc>
      </w:tr>
      <w:tr w:rsidRPr="0057780D" w:rsidR="00F32115" w:rsidTr="002C2A45" w14:paraId="6F11547D" w14:textId="77777777">
        <w:trPr>
          <w:trHeight w:val="525"/>
        </w:trPr>
        <w:tc>
          <w:tcPr>
            <w:tcW w:w="458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65500B" w:rsidRDefault="00F32115" w14:paraId="015E8651" w14:textId="4EE3DC87">
            <w:pPr>
              <w:rPr>
                <w:rFonts w:eastAsia="Times New Roman" w:cs="Arial"/>
                <w:color w:val="A8D08D" w:themeColor="accent6" w:themeTint="99"/>
                <w:sz w:val="18"/>
                <w:szCs w:val="18"/>
              </w:rPr>
            </w:pPr>
            <w:r w:rsidRPr="0057780D">
              <w:rPr>
                <w:rFonts w:eastAsia="Times New Roman" w:cs="Arial"/>
                <w:sz w:val="20"/>
                <w:szCs w:val="20"/>
              </w:rPr>
              <w:t>Form Submission (Electronic Reporting)</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22537312" w14:textId="27E29AE6">
            <w:pPr>
              <w:jc w:val="right"/>
              <w:rPr>
                <w:rFonts w:eastAsia="Times New Roman" w:cs="Arial"/>
                <w:sz w:val="18"/>
                <w:szCs w:val="18"/>
              </w:rPr>
            </w:pPr>
            <w:r w:rsidRPr="0057780D">
              <w:rPr>
                <w:rFonts w:eastAsia="Times New Roman" w:cs="Arial"/>
                <w:sz w:val="18"/>
                <w:szCs w:val="18"/>
              </w:rPr>
              <w:t>495</w:t>
            </w:r>
          </w:p>
        </w:tc>
        <w:tc>
          <w:tcPr>
            <w:tcW w:w="135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7672425E" w14:textId="198725AA">
            <w:pPr>
              <w:jc w:val="right"/>
              <w:rPr>
                <w:rFonts w:eastAsia="Times New Roman" w:cs="Arial"/>
                <w:sz w:val="18"/>
                <w:szCs w:val="18"/>
              </w:rPr>
            </w:pPr>
            <w:r w:rsidRPr="0057780D">
              <w:rPr>
                <w:rFonts w:eastAsia="Times New Roman" w:cs="Arial"/>
                <w:sz w:val="18"/>
                <w:szCs w:val="18"/>
              </w:rPr>
              <w:t>84.15</w:t>
            </w:r>
          </w:p>
        </w:tc>
        <w:tc>
          <w:tcPr>
            <w:tcW w:w="900" w:type="dxa"/>
            <w:tcBorders>
              <w:top w:val="nil"/>
              <w:left w:val="nil"/>
              <w:bottom w:val="single" w:color="auto" w:sz="8" w:space="0"/>
              <w:right w:val="single" w:color="auto" w:sz="8" w:space="0"/>
            </w:tcBorders>
            <w:shd w:val="clear" w:color="auto" w:fill="auto"/>
            <w:vAlign w:val="center"/>
            <w:hideMark/>
          </w:tcPr>
          <w:p w:rsidRPr="0057780D" w:rsidR="00F32115" w:rsidP="0065500B" w:rsidRDefault="00F32115" w14:paraId="18690AC5"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10CEF81E" w14:textId="306F9BFF">
            <w:pPr>
              <w:jc w:val="right"/>
              <w:rPr>
                <w:rFonts w:eastAsia="Times New Roman" w:cs="Arial"/>
                <w:sz w:val="18"/>
                <w:szCs w:val="18"/>
              </w:rPr>
            </w:pPr>
            <w:r w:rsidRPr="0057780D">
              <w:rPr>
                <w:rFonts w:eastAsia="Times New Roman" w:cs="Arial"/>
                <w:sz w:val="18"/>
                <w:szCs w:val="18"/>
              </w:rPr>
              <w:t>$6,574</w:t>
            </w:r>
          </w:p>
        </w:tc>
      </w:tr>
      <w:tr w:rsidRPr="0057780D" w:rsidR="00F32115" w:rsidTr="002C2A45" w14:paraId="39F95ACF" w14:textId="77777777">
        <w:trPr>
          <w:trHeight w:val="525"/>
        </w:trPr>
        <w:tc>
          <w:tcPr>
            <w:tcW w:w="458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65500B" w:rsidRDefault="00F32115" w14:paraId="5312A990" w14:textId="5894260F">
            <w:pPr>
              <w:rPr>
                <w:rFonts w:eastAsia="Times New Roman" w:cs="Arial"/>
                <w:sz w:val="18"/>
                <w:szCs w:val="18"/>
              </w:rPr>
            </w:pPr>
            <w:r w:rsidRPr="0057780D">
              <w:rPr>
                <w:rFonts w:eastAsia="Times New Roman" w:cs="Arial"/>
                <w:sz w:val="20"/>
                <w:szCs w:val="20"/>
              </w:rPr>
              <w:t>Recordkeeping</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0DFFDAB9" w14:textId="1703D0DA">
            <w:pPr>
              <w:jc w:val="right"/>
              <w:rPr>
                <w:rFonts w:eastAsia="Times New Roman" w:cs="Arial"/>
                <w:sz w:val="18"/>
                <w:szCs w:val="18"/>
              </w:rPr>
            </w:pPr>
            <w:r w:rsidRPr="0057780D">
              <w:rPr>
                <w:rFonts w:eastAsia="Times New Roman" w:cs="Arial"/>
                <w:sz w:val="18"/>
                <w:szCs w:val="18"/>
              </w:rPr>
              <w:t>257.4</w:t>
            </w:r>
          </w:p>
        </w:tc>
        <w:tc>
          <w:tcPr>
            <w:tcW w:w="135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2B76A3C8" w14:textId="14B05AD3">
            <w:pPr>
              <w:jc w:val="right"/>
              <w:rPr>
                <w:rFonts w:eastAsia="Times New Roman" w:cs="Arial"/>
                <w:sz w:val="18"/>
                <w:szCs w:val="18"/>
              </w:rPr>
            </w:pPr>
            <w:r w:rsidRPr="0057780D">
              <w:rPr>
                <w:rFonts w:eastAsia="Times New Roman" w:cs="Arial"/>
                <w:sz w:val="18"/>
                <w:szCs w:val="18"/>
              </w:rPr>
              <w:t>257</w:t>
            </w:r>
          </w:p>
        </w:tc>
        <w:tc>
          <w:tcPr>
            <w:tcW w:w="900" w:type="dxa"/>
            <w:tcBorders>
              <w:top w:val="nil"/>
              <w:left w:val="nil"/>
              <w:bottom w:val="single" w:color="auto" w:sz="8" w:space="0"/>
              <w:right w:val="single" w:color="auto" w:sz="8" w:space="0"/>
            </w:tcBorders>
            <w:shd w:val="clear" w:color="auto" w:fill="auto"/>
            <w:vAlign w:val="center"/>
            <w:hideMark/>
          </w:tcPr>
          <w:p w:rsidRPr="0057780D" w:rsidR="00F32115" w:rsidP="0065500B" w:rsidRDefault="00F32115" w14:paraId="0175E875"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65500B" w:rsidRDefault="00F32115" w14:paraId="236377D8" w14:textId="10915A0D">
            <w:pPr>
              <w:jc w:val="right"/>
              <w:rPr>
                <w:rFonts w:eastAsia="Times New Roman" w:cs="Arial"/>
                <w:sz w:val="18"/>
                <w:szCs w:val="18"/>
              </w:rPr>
            </w:pPr>
            <w:r w:rsidRPr="0057780D">
              <w:rPr>
                <w:rFonts w:eastAsia="Times New Roman" w:cs="Arial"/>
                <w:sz w:val="18"/>
                <w:szCs w:val="18"/>
              </w:rPr>
              <w:t>$14,134</w:t>
            </w:r>
          </w:p>
        </w:tc>
      </w:tr>
      <w:tr w:rsidRPr="0057780D" w:rsidR="00990014" w:rsidTr="002C2A45" w14:paraId="69238DFA" w14:textId="77777777">
        <w:trPr>
          <w:trHeight w:val="270"/>
        </w:trPr>
        <w:tc>
          <w:tcPr>
            <w:tcW w:w="6200" w:type="dxa"/>
            <w:gridSpan w:val="2"/>
            <w:tcBorders>
              <w:top w:val="single" w:color="auto" w:sz="8" w:space="0"/>
              <w:left w:val="single" w:color="auto" w:sz="8" w:space="0"/>
              <w:bottom w:val="single" w:color="auto" w:sz="4" w:space="0"/>
              <w:right w:val="single" w:color="auto" w:sz="8" w:space="0"/>
            </w:tcBorders>
            <w:shd w:val="clear" w:color="auto" w:fill="auto"/>
            <w:vAlign w:val="center"/>
            <w:hideMark/>
          </w:tcPr>
          <w:p w:rsidRPr="0057780D" w:rsidR="00961683" w:rsidP="0065500B" w:rsidRDefault="00F32115" w14:paraId="2E1D852A" w14:textId="0F8A85AF">
            <w:pPr>
              <w:jc w:val="right"/>
              <w:rPr>
                <w:rFonts w:eastAsia="Times New Roman" w:cs="Arial"/>
                <w:b/>
                <w:bCs/>
                <w:i/>
                <w:iCs/>
                <w:sz w:val="20"/>
                <w:szCs w:val="20"/>
              </w:rPr>
            </w:pPr>
            <w:r w:rsidRPr="0057780D">
              <w:rPr>
                <w:rFonts w:eastAsia="Times New Roman" w:cs="Arial"/>
                <w:b/>
                <w:bCs/>
                <w:i/>
                <w:iCs/>
                <w:sz w:val="20"/>
                <w:szCs w:val="20"/>
              </w:rPr>
              <w:t>3-Year</w:t>
            </w:r>
            <w:r w:rsidRPr="0057780D" w:rsidR="00CB68F4">
              <w:rPr>
                <w:rFonts w:eastAsia="Times New Roman" w:cs="Arial"/>
                <w:b/>
                <w:bCs/>
                <w:i/>
                <w:iCs/>
                <w:sz w:val="20"/>
                <w:szCs w:val="20"/>
              </w:rPr>
              <w:t xml:space="preserve"> Grand </w:t>
            </w:r>
            <w:r w:rsidRPr="0057780D" w:rsidR="00961683">
              <w:rPr>
                <w:rFonts w:eastAsia="Times New Roman" w:cs="Arial"/>
                <w:b/>
                <w:bCs/>
                <w:i/>
                <w:iCs/>
                <w:sz w:val="20"/>
                <w:szCs w:val="20"/>
              </w:rPr>
              <w:t>Total</w:t>
            </w:r>
            <w:r w:rsidRPr="0057780D" w:rsidR="00894EAD">
              <w:rPr>
                <w:rFonts w:eastAsia="Times New Roman" w:cs="Arial"/>
                <w:b/>
                <w:bCs/>
                <w:i/>
                <w:iCs/>
                <w:sz w:val="20"/>
                <w:szCs w:val="20"/>
              </w:rPr>
              <w:t xml:space="preserve"> </w:t>
            </w:r>
          </w:p>
        </w:tc>
        <w:tc>
          <w:tcPr>
            <w:tcW w:w="1350" w:type="dxa"/>
            <w:tcBorders>
              <w:top w:val="nil"/>
              <w:left w:val="nil"/>
              <w:bottom w:val="single" w:color="auto" w:sz="4" w:space="0"/>
              <w:right w:val="single" w:color="auto" w:sz="8" w:space="0"/>
            </w:tcBorders>
            <w:shd w:val="clear" w:color="auto" w:fill="auto"/>
            <w:vAlign w:val="center"/>
          </w:tcPr>
          <w:p w:rsidRPr="0057780D" w:rsidR="00961683" w:rsidP="0065500B" w:rsidRDefault="009370CB" w14:paraId="3D8A62D7" w14:textId="13ACDB56">
            <w:pPr>
              <w:jc w:val="right"/>
              <w:rPr>
                <w:rFonts w:eastAsia="Times New Roman" w:cs="Arial"/>
                <w:b/>
                <w:bCs/>
                <w:i/>
                <w:iCs/>
                <w:sz w:val="20"/>
                <w:szCs w:val="20"/>
              </w:rPr>
            </w:pPr>
            <w:r w:rsidRPr="0057780D">
              <w:rPr>
                <w:rFonts w:eastAsia="Times New Roman" w:cs="Arial"/>
                <w:b/>
                <w:bCs/>
                <w:i/>
                <w:iCs/>
                <w:sz w:val="20"/>
                <w:szCs w:val="20"/>
              </w:rPr>
              <w:t>35,</w:t>
            </w:r>
            <w:r w:rsidRPr="0057780D" w:rsidR="0069792E">
              <w:rPr>
                <w:rFonts w:eastAsia="Times New Roman" w:cs="Arial"/>
                <w:b/>
                <w:bCs/>
                <w:i/>
                <w:iCs/>
                <w:sz w:val="20"/>
                <w:szCs w:val="20"/>
              </w:rPr>
              <w:t>888</w:t>
            </w:r>
          </w:p>
        </w:tc>
        <w:tc>
          <w:tcPr>
            <w:tcW w:w="900" w:type="dxa"/>
            <w:tcBorders>
              <w:top w:val="nil"/>
              <w:left w:val="nil"/>
              <w:bottom w:val="single" w:color="auto" w:sz="4" w:space="0"/>
              <w:right w:val="single" w:color="auto" w:sz="8" w:space="0"/>
            </w:tcBorders>
            <w:shd w:val="clear" w:color="auto" w:fill="auto"/>
            <w:vAlign w:val="center"/>
          </w:tcPr>
          <w:p w:rsidRPr="0057780D" w:rsidR="00961683" w:rsidP="0065500B" w:rsidRDefault="00961683" w14:paraId="00FEAFFF" w14:textId="2FDE37CF">
            <w:pPr>
              <w:rPr>
                <w:rFonts w:eastAsia="Times New Roman" w:cs="Arial"/>
                <w:b/>
                <w:bCs/>
                <w:i/>
                <w:iCs/>
                <w:sz w:val="20"/>
                <w:szCs w:val="20"/>
              </w:rPr>
            </w:pPr>
          </w:p>
        </w:tc>
        <w:tc>
          <w:tcPr>
            <w:tcW w:w="1440" w:type="dxa"/>
            <w:tcBorders>
              <w:top w:val="nil"/>
              <w:left w:val="nil"/>
              <w:right w:val="single" w:color="auto" w:sz="8" w:space="0"/>
            </w:tcBorders>
            <w:shd w:val="clear" w:color="auto" w:fill="auto"/>
            <w:vAlign w:val="center"/>
          </w:tcPr>
          <w:p w:rsidRPr="0057780D" w:rsidR="00961683" w:rsidP="0065500B" w:rsidRDefault="00825963" w14:paraId="45B26D9A" w14:textId="4DCB9658">
            <w:pPr>
              <w:jc w:val="right"/>
              <w:rPr>
                <w:rFonts w:eastAsia="Times New Roman" w:cs="Arial"/>
                <w:b/>
                <w:bCs/>
                <w:i/>
                <w:iCs/>
                <w:sz w:val="20"/>
                <w:szCs w:val="20"/>
              </w:rPr>
            </w:pPr>
            <w:r w:rsidRPr="0057780D">
              <w:rPr>
                <w:rFonts w:eastAsia="Times New Roman" w:cs="Arial"/>
                <w:b/>
                <w:bCs/>
                <w:i/>
                <w:iCs/>
                <w:sz w:val="20"/>
                <w:szCs w:val="20"/>
              </w:rPr>
              <w:t>$2,7</w:t>
            </w:r>
            <w:r w:rsidRPr="0057780D" w:rsidR="0097782E">
              <w:rPr>
                <w:rFonts w:eastAsia="Times New Roman" w:cs="Arial"/>
                <w:b/>
                <w:bCs/>
                <w:i/>
                <w:iCs/>
                <w:sz w:val="20"/>
                <w:szCs w:val="20"/>
              </w:rPr>
              <w:t>46,028</w:t>
            </w:r>
          </w:p>
        </w:tc>
      </w:tr>
      <w:tr w:rsidRPr="0057780D" w:rsidR="00F32115" w:rsidTr="002C2A45" w14:paraId="0F281288" w14:textId="77777777">
        <w:trPr>
          <w:trHeight w:val="270"/>
        </w:trPr>
        <w:tc>
          <w:tcPr>
            <w:tcW w:w="6200" w:type="dxa"/>
            <w:gridSpan w:val="2"/>
            <w:tcBorders>
              <w:top w:val="single" w:color="auto" w:sz="8" w:space="0"/>
              <w:left w:val="single" w:color="auto" w:sz="8" w:space="0"/>
              <w:bottom w:val="single" w:color="auto" w:sz="4" w:space="0"/>
              <w:right w:val="single" w:color="auto" w:sz="8" w:space="0"/>
            </w:tcBorders>
            <w:shd w:val="clear" w:color="auto" w:fill="auto"/>
            <w:vAlign w:val="center"/>
          </w:tcPr>
          <w:p w:rsidRPr="0057780D" w:rsidR="00F32115" w:rsidP="0065500B" w:rsidRDefault="00F32115" w14:paraId="23DC4FAF" w14:textId="145E1ED5">
            <w:pPr>
              <w:jc w:val="right"/>
              <w:rPr>
                <w:rFonts w:eastAsia="Times New Roman" w:cs="Arial"/>
                <w:b/>
                <w:bCs/>
                <w:i/>
                <w:iCs/>
                <w:sz w:val="20"/>
                <w:szCs w:val="20"/>
              </w:rPr>
            </w:pPr>
            <w:r w:rsidRPr="0057780D">
              <w:rPr>
                <w:rFonts w:eastAsia="Times New Roman" w:cs="Arial"/>
                <w:b/>
                <w:bCs/>
                <w:i/>
                <w:iCs/>
                <w:sz w:val="20"/>
                <w:szCs w:val="20"/>
              </w:rPr>
              <w:t>Annual Total</w:t>
            </w:r>
          </w:p>
        </w:tc>
        <w:tc>
          <w:tcPr>
            <w:tcW w:w="1350" w:type="dxa"/>
            <w:tcBorders>
              <w:top w:val="nil"/>
              <w:left w:val="nil"/>
              <w:bottom w:val="single" w:color="auto" w:sz="4" w:space="0"/>
              <w:right w:val="single" w:color="auto" w:sz="8" w:space="0"/>
            </w:tcBorders>
            <w:shd w:val="clear" w:color="auto" w:fill="auto"/>
            <w:vAlign w:val="center"/>
          </w:tcPr>
          <w:p w:rsidRPr="0057780D" w:rsidR="00F32115" w:rsidP="0065500B" w:rsidRDefault="00F32115" w14:paraId="55E9BD1F" w14:textId="07C7050C">
            <w:pPr>
              <w:jc w:val="right"/>
              <w:rPr>
                <w:rFonts w:eastAsia="Times New Roman" w:cs="Arial"/>
                <w:b/>
                <w:bCs/>
                <w:i/>
                <w:iCs/>
                <w:sz w:val="20"/>
                <w:szCs w:val="20"/>
              </w:rPr>
            </w:pPr>
            <w:r w:rsidRPr="0057780D">
              <w:rPr>
                <w:rFonts w:eastAsia="Times New Roman" w:cs="Arial"/>
                <w:b/>
                <w:bCs/>
                <w:i/>
                <w:iCs/>
                <w:sz w:val="20"/>
                <w:szCs w:val="20"/>
              </w:rPr>
              <w:t>11,963</w:t>
            </w:r>
          </w:p>
        </w:tc>
        <w:tc>
          <w:tcPr>
            <w:tcW w:w="900" w:type="dxa"/>
            <w:tcBorders>
              <w:top w:val="nil"/>
              <w:left w:val="nil"/>
              <w:bottom w:val="single" w:color="auto" w:sz="4" w:space="0"/>
              <w:right w:val="single" w:color="auto" w:sz="8" w:space="0"/>
            </w:tcBorders>
            <w:shd w:val="clear" w:color="auto" w:fill="auto"/>
            <w:vAlign w:val="center"/>
          </w:tcPr>
          <w:p w:rsidRPr="0057780D" w:rsidR="00F32115" w:rsidP="0065500B" w:rsidRDefault="00F32115" w14:paraId="03093238" w14:textId="77777777">
            <w:pPr>
              <w:rPr>
                <w:rFonts w:eastAsia="Times New Roman" w:cs="Arial"/>
                <w:b/>
                <w:bCs/>
                <w:i/>
                <w:iCs/>
                <w:sz w:val="20"/>
                <w:szCs w:val="20"/>
              </w:rPr>
            </w:pPr>
          </w:p>
        </w:tc>
        <w:tc>
          <w:tcPr>
            <w:tcW w:w="1440" w:type="dxa"/>
            <w:tcBorders>
              <w:top w:val="nil"/>
              <w:left w:val="nil"/>
              <w:right w:val="single" w:color="auto" w:sz="8" w:space="0"/>
            </w:tcBorders>
            <w:shd w:val="clear" w:color="auto" w:fill="auto"/>
            <w:vAlign w:val="center"/>
          </w:tcPr>
          <w:p w:rsidRPr="0057780D" w:rsidR="00F32115" w:rsidP="0065500B" w:rsidRDefault="00F32115" w14:paraId="12D84DA9" w14:textId="7070C78E">
            <w:pPr>
              <w:jc w:val="right"/>
              <w:rPr>
                <w:rFonts w:eastAsia="Times New Roman" w:cs="Arial"/>
                <w:b/>
                <w:bCs/>
                <w:i/>
                <w:iCs/>
                <w:sz w:val="20"/>
                <w:szCs w:val="20"/>
              </w:rPr>
            </w:pPr>
            <w:r w:rsidRPr="0057780D">
              <w:rPr>
                <w:rFonts w:eastAsia="Times New Roman" w:cs="Arial"/>
                <w:b/>
                <w:bCs/>
                <w:i/>
                <w:iCs/>
                <w:sz w:val="20"/>
                <w:szCs w:val="20"/>
              </w:rPr>
              <w:t>$915,343</w:t>
            </w:r>
          </w:p>
        </w:tc>
      </w:tr>
      <w:tr w:rsidRPr="0057780D" w:rsidR="00B02FBF" w:rsidTr="002C2A45" w14:paraId="27475F20" w14:textId="77777777">
        <w:trPr>
          <w:trHeight w:val="620"/>
        </w:trPr>
        <w:tc>
          <w:tcPr>
            <w:tcW w:w="9890" w:type="dxa"/>
            <w:gridSpan w:val="5"/>
            <w:tcBorders>
              <w:top w:val="single" w:color="auto" w:sz="4" w:space="0"/>
            </w:tcBorders>
            <w:shd w:val="clear" w:color="auto" w:fill="auto"/>
            <w:vAlign w:val="center"/>
          </w:tcPr>
          <w:p w:rsidRPr="0057780D" w:rsidR="00B02FBF" w:rsidP="00B02FBF" w:rsidRDefault="00DF1C64" w14:paraId="54C7D825" w14:textId="15A6FD0E">
            <w:pPr>
              <w:rPr>
                <w:rFonts w:eastAsia="Times New Roman" w:cs="Arial"/>
                <w:bCs/>
                <w:sz w:val="16"/>
                <w:szCs w:val="18"/>
              </w:rPr>
            </w:pPr>
            <w:r w:rsidRPr="0057780D">
              <w:rPr>
                <w:rFonts w:eastAsia="Times New Roman" w:cs="Arial"/>
                <w:bCs/>
                <w:sz w:val="16"/>
                <w:szCs w:val="18"/>
              </w:rPr>
              <w:t>Total responses, b</w:t>
            </w:r>
            <w:r w:rsidRPr="0057780D" w:rsidR="009370CB">
              <w:rPr>
                <w:rFonts w:eastAsia="Times New Roman" w:cs="Arial"/>
                <w:bCs/>
                <w:sz w:val="16"/>
                <w:szCs w:val="18"/>
              </w:rPr>
              <w:t>urden and cost estimates are</w:t>
            </w:r>
            <w:r w:rsidRPr="0057780D" w:rsidR="00B02FBF">
              <w:rPr>
                <w:rFonts w:eastAsia="Times New Roman" w:cs="Arial"/>
                <w:bCs/>
                <w:sz w:val="16"/>
                <w:szCs w:val="18"/>
              </w:rPr>
              <w:t xml:space="preserve"> based on the expectation that 165 manufactures </w:t>
            </w:r>
            <w:r w:rsidRPr="0057780D" w:rsidR="009370CB">
              <w:rPr>
                <w:rFonts w:eastAsia="Times New Roman" w:cs="Arial"/>
                <w:bCs/>
                <w:sz w:val="16"/>
                <w:szCs w:val="18"/>
              </w:rPr>
              <w:t>will submit 0.52 responses each year over the three-year period</w:t>
            </w:r>
            <w:r w:rsidRPr="0057780D" w:rsidR="00B02FBF">
              <w:rPr>
                <w:rFonts w:eastAsia="Times New Roman" w:cs="Arial"/>
                <w:bCs/>
                <w:sz w:val="16"/>
                <w:szCs w:val="18"/>
              </w:rPr>
              <w:t>.</w:t>
            </w:r>
          </w:p>
          <w:p w:rsidRPr="0057780D" w:rsidR="00B02FBF" w:rsidP="00B02FBF" w:rsidRDefault="00B02FBF" w14:paraId="1F9A324D" w14:textId="77777777">
            <w:pPr>
              <w:rPr>
                <w:rFonts w:eastAsia="Times New Roman" w:cs="Arial"/>
                <w:bCs/>
                <w:sz w:val="16"/>
                <w:szCs w:val="18"/>
              </w:rPr>
            </w:pPr>
            <w:r w:rsidRPr="0057780D">
              <w:rPr>
                <w:rFonts w:eastAsia="Times New Roman" w:cs="Arial"/>
                <w:bCs/>
                <w:sz w:val="16"/>
                <w:szCs w:val="18"/>
              </w:rPr>
              <w:t>Values may not sum due to rounding.</w:t>
            </w:r>
          </w:p>
          <w:p w:rsidRPr="0057780D" w:rsidR="00B02FBF" w:rsidP="0065500B" w:rsidRDefault="00B02FBF" w14:paraId="72FE77D0" w14:textId="77777777">
            <w:pPr>
              <w:jc w:val="right"/>
              <w:rPr>
                <w:rFonts w:eastAsia="Times New Roman" w:cs="Arial"/>
                <w:b/>
                <w:bCs/>
                <w:i/>
                <w:iCs/>
                <w:sz w:val="18"/>
                <w:szCs w:val="18"/>
              </w:rPr>
            </w:pPr>
          </w:p>
        </w:tc>
      </w:tr>
    </w:tbl>
    <w:p w:rsidRPr="0057780D" w:rsidR="00EE6B0F" w:rsidP="00DF1750" w:rsidRDefault="00EE6B0F" w14:paraId="57D93B88" w14:textId="77777777"/>
    <w:p w:rsidRPr="0057780D" w:rsidR="0050756C" w:rsidP="0050756C" w:rsidRDefault="00EE6B0F" w14:paraId="7A1FD4A5" w14:textId="77777777">
      <w:pPr>
        <w:pStyle w:val="Heading2"/>
        <w:tabs>
          <w:tab w:val="left" w:pos="1080"/>
        </w:tabs>
        <w:ind w:left="360"/>
        <w:rPr>
          <w:szCs w:val="24"/>
          <w:u w:val="single"/>
        </w:rPr>
      </w:pPr>
      <w:bookmarkStart w:name="_Toc494361018" w:id="21"/>
      <w:bookmarkStart w:name="_Toc495667098" w:id="22"/>
      <w:r w:rsidRPr="0057780D">
        <w:t xml:space="preserve">IC #2: </w:t>
      </w:r>
      <w:bookmarkEnd w:id="21"/>
      <w:bookmarkEnd w:id="22"/>
      <w:r w:rsidRPr="0057780D" w:rsidR="0050756C">
        <w:t xml:space="preserve">Processor </w:t>
      </w:r>
      <w:r w:rsidRPr="0057780D" w:rsidR="0050756C">
        <w:rPr>
          <w:rFonts w:eastAsia="Times New Roman" w:cs="Arial"/>
          <w:szCs w:val="24"/>
        </w:rPr>
        <w:t>Form Completion, CBI Substantiation, Form Submission and Recordkeeping</w:t>
      </w:r>
      <w:r w:rsidRPr="0057780D" w:rsidR="0050756C">
        <w:rPr>
          <w:szCs w:val="24"/>
          <w:u w:val="single"/>
        </w:rPr>
        <w:t xml:space="preserve"> </w:t>
      </w:r>
    </w:p>
    <w:p w:rsidRPr="0057780D" w:rsidR="0050756C" w:rsidP="0050756C" w:rsidRDefault="0050756C" w14:paraId="3B9A9A96" w14:textId="3529340D"/>
    <w:p w:rsidRPr="0057780D" w:rsidR="0050756C" w:rsidP="0050756C" w:rsidRDefault="0050756C" w14:paraId="1377994B" w14:textId="77777777">
      <w:r w:rsidRPr="0057780D">
        <w:rPr>
          <w:u w:val="single"/>
        </w:rPr>
        <w:t>Respondent NAICS Codes</w:t>
      </w:r>
    </w:p>
    <w:p w:rsidRPr="0057780D" w:rsidR="0050756C" w:rsidP="0050756C" w:rsidRDefault="0050756C" w14:paraId="6E4091C8" w14:textId="77777777">
      <w:pPr>
        <w:pStyle w:val="NoSpacing"/>
      </w:pPr>
    </w:p>
    <w:p w:rsidRPr="0057780D" w:rsidR="009E1BA2" w:rsidP="009E1BA2" w:rsidRDefault="009E1BA2" w14:paraId="17DABB60" w14:textId="77777777">
      <w:pPr>
        <w:pStyle w:val="NoSpacing"/>
      </w:pPr>
      <w:r w:rsidRPr="0057780D">
        <w:t>325</w:t>
      </w:r>
      <w:r w:rsidRPr="0057780D">
        <w:tab/>
      </w:r>
      <w:r w:rsidRPr="0057780D">
        <w:tab/>
        <w:t>Chemical Manufacturers and Processors</w:t>
      </w:r>
    </w:p>
    <w:p w:rsidRPr="0057780D" w:rsidR="009E1BA2" w:rsidP="009E1BA2" w:rsidRDefault="009E1BA2" w14:paraId="3D530C3F" w14:textId="77777777">
      <w:pPr>
        <w:pStyle w:val="NoSpacing"/>
      </w:pPr>
      <w:r w:rsidRPr="0057780D">
        <w:t>325130</w:t>
      </w:r>
      <w:r w:rsidRPr="0057780D">
        <w:tab/>
      </w:r>
      <w:r w:rsidRPr="0057780D">
        <w:rPr>
          <w:rFonts w:hint="eastAsia"/>
        </w:rPr>
        <w:t>Synthetic Dye and Pigment Manufacturing</w:t>
      </w:r>
    </w:p>
    <w:p w:rsidRPr="0057780D" w:rsidR="009E1BA2" w:rsidP="009E1BA2" w:rsidRDefault="009E1BA2" w14:paraId="36099378" w14:textId="77777777">
      <w:pPr>
        <w:pStyle w:val="NoSpacing"/>
      </w:pPr>
      <w:r w:rsidRPr="0057780D">
        <w:t>324110</w:t>
      </w:r>
      <w:r w:rsidRPr="0057780D">
        <w:tab/>
        <w:t>Petroleum Refineries</w:t>
      </w:r>
    </w:p>
    <w:p w:rsidRPr="0057780D" w:rsidR="009E1BA2" w:rsidP="009E1BA2" w:rsidRDefault="009E1BA2" w14:paraId="286B407B" w14:textId="77777777">
      <w:pPr>
        <w:pStyle w:val="NoSpacing"/>
      </w:pPr>
      <w:r w:rsidRPr="0057780D">
        <w:t>325180</w:t>
      </w:r>
      <w:r w:rsidRPr="0057780D">
        <w:tab/>
      </w:r>
      <w:r w:rsidRPr="0057780D">
        <w:rPr>
          <w:rFonts w:hint="eastAsia"/>
        </w:rPr>
        <w:t>Other Basic Inorganic Chemical Manufacturing</w:t>
      </w:r>
    </w:p>
    <w:p w:rsidRPr="0057780D" w:rsidR="009E1BA2" w:rsidP="009E1BA2" w:rsidRDefault="009E1BA2" w14:paraId="35957903" w14:textId="77777777">
      <w:pPr>
        <w:pStyle w:val="NoSpacing"/>
      </w:pPr>
      <w:r w:rsidRPr="0057780D">
        <w:t>331221</w:t>
      </w:r>
      <w:r w:rsidRPr="0057780D">
        <w:tab/>
      </w:r>
      <w:r w:rsidRPr="0057780D">
        <w:rPr>
          <w:rFonts w:hint="eastAsia"/>
        </w:rPr>
        <w:t>Rolled Steel Shape Manufacturing</w:t>
      </w:r>
    </w:p>
    <w:p w:rsidRPr="0057780D" w:rsidR="009E1BA2" w:rsidP="009E1BA2" w:rsidRDefault="009E1BA2" w14:paraId="4250491F" w14:textId="77777777">
      <w:pPr>
        <w:pStyle w:val="NoSpacing"/>
      </w:pPr>
      <w:r w:rsidRPr="0057780D">
        <w:t>334413</w:t>
      </w:r>
      <w:r w:rsidRPr="0057780D">
        <w:tab/>
      </w:r>
      <w:r w:rsidRPr="0057780D">
        <w:rPr>
          <w:rFonts w:hint="eastAsia"/>
        </w:rPr>
        <w:t>Semiconductor and Related Device Manufacturing</w:t>
      </w:r>
    </w:p>
    <w:p w:rsidRPr="0057780D" w:rsidR="009E1BA2" w:rsidP="009E1BA2" w:rsidRDefault="009E1BA2" w14:paraId="1D120CB8" w14:textId="77777777">
      <w:pPr>
        <w:pStyle w:val="NoSpacing"/>
      </w:pPr>
      <w:r w:rsidRPr="0057780D">
        <w:t>335991</w:t>
      </w:r>
      <w:r w:rsidRPr="0057780D">
        <w:tab/>
      </w:r>
      <w:r w:rsidRPr="0057780D">
        <w:rPr>
          <w:rFonts w:hint="eastAsia"/>
        </w:rPr>
        <w:t>Carbon and Graphite Product Manufacturing</w:t>
      </w:r>
    </w:p>
    <w:p w:rsidRPr="0057780D" w:rsidR="009E1BA2" w:rsidP="009E1BA2" w:rsidRDefault="009E1BA2" w14:paraId="587EBC3E" w14:textId="77777777">
      <w:pPr>
        <w:pStyle w:val="NoSpacing"/>
      </w:pPr>
      <w:r w:rsidRPr="0057780D">
        <w:t>423220</w:t>
      </w:r>
      <w:r w:rsidRPr="0057780D">
        <w:tab/>
      </w:r>
      <w:r w:rsidRPr="0057780D">
        <w:rPr>
          <w:rFonts w:hint="eastAsia"/>
        </w:rPr>
        <w:t>Home Furnishing Merchant Wholesalers</w:t>
      </w:r>
    </w:p>
    <w:p w:rsidRPr="0057780D" w:rsidR="009E1BA2" w:rsidP="009E1BA2" w:rsidRDefault="009E1BA2" w14:paraId="110888B8" w14:textId="77777777">
      <w:pPr>
        <w:pStyle w:val="NoSpacing"/>
      </w:pPr>
      <w:r w:rsidRPr="0057780D">
        <w:t>423330</w:t>
      </w:r>
      <w:r w:rsidRPr="0057780D">
        <w:tab/>
      </w:r>
      <w:r w:rsidRPr="0057780D">
        <w:rPr>
          <w:rFonts w:hint="eastAsia"/>
        </w:rPr>
        <w:t>Roofing, Sliding, and Insulation Material Merchant Wholesalers</w:t>
      </w:r>
    </w:p>
    <w:p w:rsidRPr="0057780D" w:rsidR="009E1BA2" w:rsidP="009E1BA2" w:rsidRDefault="009E1BA2" w14:paraId="0F71A76E" w14:textId="77777777">
      <w:pPr>
        <w:pStyle w:val="NoSpacing"/>
      </w:pPr>
      <w:r w:rsidRPr="0057780D">
        <w:t>423510</w:t>
      </w:r>
      <w:r w:rsidRPr="0057780D">
        <w:tab/>
      </w:r>
      <w:r w:rsidRPr="0057780D">
        <w:rPr>
          <w:rFonts w:hint="eastAsia"/>
        </w:rPr>
        <w:t>Metal Service Centers and Other Metal Merchant Wholesalers</w:t>
      </w:r>
    </w:p>
    <w:p w:rsidRPr="0057780D" w:rsidR="0050756C" w:rsidP="0050756C" w:rsidRDefault="0050756C" w14:paraId="4586B899" w14:textId="77777777">
      <w:pPr>
        <w:rPr>
          <w:u w:val="single"/>
        </w:rPr>
      </w:pPr>
    </w:p>
    <w:p w:rsidRPr="0057780D" w:rsidR="0050756C" w:rsidP="0050756C" w:rsidRDefault="0050756C" w14:paraId="5C64B0BA" w14:textId="77777777">
      <w:pPr>
        <w:rPr>
          <w:u w:val="single"/>
        </w:rPr>
      </w:pPr>
      <w:r w:rsidRPr="0057780D">
        <w:rPr>
          <w:u w:val="single"/>
        </w:rPr>
        <w:t>Information Collection Activities</w:t>
      </w:r>
    </w:p>
    <w:p w:rsidRPr="0057780D" w:rsidR="0050756C" w:rsidP="0050756C" w:rsidRDefault="0050756C" w14:paraId="1DDCC609" w14:textId="77777777">
      <w:pPr>
        <w:pStyle w:val="NoSpacing"/>
      </w:pPr>
    </w:p>
    <w:p w:rsidRPr="0057780D" w:rsidR="0050756C" w:rsidP="0050756C" w:rsidRDefault="0050756C" w14:paraId="39A6016A" w14:textId="07AE5FAE">
      <w:pPr>
        <w:pStyle w:val="NoSpacing"/>
      </w:pPr>
      <w:r w:rsidRPr="0057780D">
        <w:t xml:space="preserve">Based on the rule requirements, processors will complete five procedural tasks: rule familiarization, form completion, CBI claim substantiation, form submission and recordkeeping. </w:t>
      </w:r>
    </w:p>
    <w:p w:rsidRPr="0057780D" w:rsidR="0050756C" w:rsidP="0050756C" w:rsidRDefault="0050756C" w14:paraId="3091178D" w14:textId="77777777">
      <w:pPr>
        <w:pStyle w:val="NoSpacing"/>
      </w:pPr>
    </w:p>
    <w:p w:rsidRPr="0057780D" w:rsidR="0050756C" w:rsidP="0050756C" w:rsidRDefault="0050756C" w14:paraId="4941401C" w14:textId="1FAB8010">
      <w:pPr>
        <w:pStyle w:val="NoSpacing"/>
      </w:pPr>
      <w:r w:rsidRPr="0057780D">
        <w:t xml:space="preserve">It is expected that </w:t>
      </w:r>
      <w:r w:rsidRPr="0057780D" w:rsidR="00666EDA">
        <w:t xml:space="preserve">199 </w:t>
      </w:r>
      <w:r w:rsidRPr="0057780D">
        <w:t xml:space="preserve">new processors will submit one report each year and, therefore, </w:t>
      </w:r>
      <w:r w:rsidRPr="0057780D" w:rsidR="00480142">
        <w:t xml:space="preserve">engage in </w:t>
      </w:r>
      <w:r w:rsidRPr="0057780D">
        <w:t xml:space="preserve">rule familiarization.  Rule familiarization involves the time and cost required for processors to review the rule and set up procedures for meeting the requirements. </w:t>
      </w:r>
      <w:r w:rsidRPr="0057780D">
        <w:lastRenderedPageBreak/>
        <w:t xml:space="preserve">EPA estimates that the one-time burden related to learning the rule and setting up compliance procedures is 0.82 hours. </w:t>
      </w:r>
    </w:p>
    <w:p w:rsidRPr="0057780D" w:rsidR="0050756C" w:rsidP="0050756C" w:rsidRDefault="0050756C" w14:paraId="67453B60" w14:textId="77777777">
      <w:pPr>
        <w:pStyle w:val="NoSpacing"/>
      </w:pPr>
    </w:p>
    <w:p w:rsidRPr="0057780D" w:rsidR="0050756C" w:rsidP="0050756C" w:rsidRDefault="0050756C" w14:paraId="6603BD78" w14:textId="35EF213D">
      <w:pPr>
        <w:pStyle w:val="NoSpacing"/>
      </w:pPr>
      <w:r w:rsidRPr="0057780D">
        <w:t>Form completion involves the time and cost for providing the information listed above. It is estimated to take 136.</w:t>
      </w:r>
      <w:r w:rsidRPr="0057780D" w:rsidR="00D436D6">
        <w:t>6</w:t>
      </w:r>
      <w:r w:rsidRPr="0057780D">
        <w:t xml:space="preserve"> hours</w:t>
      </w:r>
      <w:r w:rsidRPr="0057780D" w:rsidR="003F2E41">
        <w:t xml:space="preserve"> per year</w:t>
      </w:r>
      <w:r w:rsidRPr="0057780D">
        <w:t xml:space="preserve"> to complete the form. If a processor claims certain data elements as CBI, </w:t>
      </w:r>
      <w:r w:rsidRPr="0057780D" w:rsidR="00D436D6">
        <w:t>it</w:t>
      </w:r>
      <w:r w:rsidRPr="0057780D">
        <w:t xml:space="preserve"> must substantiate the claim by providing certain information to support the need to keep information confidential. It is estimated to take </w:t>
      </w:r>
      <w:r w:rsidRPr="0057780D" w:rsidR="00320771">
        <w:t>1.5</w:t>
      </w:r>
      <w:r w:rsidRPr="0057780D">
        <w:t xml:space="preserve"> hours</w:t>
      </w:r>
      <w:r w:rsidRPr="0057780D" w:rsidR="00480142">
        <w:t xml:space="preserve"> per year </w:t>
      </w:r>
      <w:r w:rsidRPr="0057780D" w:rsidR="00DC0E0F">
        <w:t xml:space="preserve">for a processor </w:t>
      </w:r>
      <w:r w:rsidRPr="0057780D">
        <w:t xml:space="preserve">to substantiate a CBI claim. Form submission involves the time to electronically submit the report to EPA via CDX, EPA’s electronic system for environmental data exchange. </w:t>
      </w:r>
      <w:r w:rsidRPr="0057780D" w:rsidR="00FC3C91">
        <w:t xml:space="preserve">Because it is expected that </w:t>
      </w:r>
      <w:r w:rsidRPr="0057780D" w:rsidR="007C53E9">
        <w:t>new processors will submit the form each year, i</w:t>
      </w:r>
      <w:r w:rsidRPr="0057780D">
        <w:t xml:space="preserve">t is estimated to take 1.42 hours </w:t>
      </w:r>
      <w:r w:rsidRPr="0057780D" w:rsidR="003F2E41">
        <w:t>per year</w:t>
      </w:r>
      <w:r w:rsidRPr="0057780D" w:rsidR="00DC0E0F">
        <w:t xml:space="preserve"> for a processor</w:t>
      </w:r>
      <w:r w:rsidRPr="0057780D" w:rsidR="003F2E41">
        <w:t xml:space="preserve"> </w:t>
      </w:r>
      <w:r w:rsidRPr="0057780D">
        <w:t xml:space="preserve">to </w:t>
      </w:r>
      <w:r w:rsidRPr="0057780D" w:rsidR="007C53E9">
        <w:t xml:space="preserve">register and </w:t>
      </w:r>
      <w:r w:rsidRPr="0057780D">
        <w:t xml:space="preserve">submit the form. Recordkeeping involves the time taken to maintain records of the reported information. It is estimated to take one hour </w:t>
      </w:r>
      <w:r w:rsidRPr="0057780D" w:rsidR="00480142">
        <w:t xml:space="preserve">per year for a processor </w:t>
      </w:r>
      <w:r w:rsidRPr="0057780D">
        <w:t>to maintain it</w:t>
      </w:r>
      <w:r w:rsidRPr="0057780D" w:rsidR="00480142">
        <w:t>s</w:t>
      </w:r>
      <w:r w:rsidRPr="0057780D">
        <w:t xml:space="preserve"> records of the information reported.</w:t>
      </w:r>
    </w:p>
    <w:p w:rsidRPr="0057780D" w:rsidR="0050756C" w:rsidP="0050756C" w:rsidRDefault="0050756C" w14:paraId="38889E81" w14:textId="77777777">
      <w:pPr>
        <w:pStyle w:val="NoSpacing"/>
      </w:pPr>
    </w:p>
    <w:p w:rsidRPr="0057780D" w:rsidR="0050756C" w:rsidP="0050756C" w:rsidRDefault="00391425" w14:paraId="6C3582A4" w14:textId="03B71338">
      <w:pPr>
        <w:pStyle w:val="NoSpacing"/>
      </w:pPr>
      <w:r w:rsidRPr="0057780D">
        <w:t>T</w:t>
      </w:r>
      <w:r w:rsidRPr="0057780D" w:rsidR="0050756C">
        <w:t xml:space="preserve">he total burden is estimated to be </w:t>
      </w:r>
      <w:r w:rsidRPr="0057780D" w:rsidR="00846242">
        <w:t>141</w:t>
      </w:r>
      <w:r w:rsidRPr="0057780D" w:rsidR="0050756C">
        <w:t xml:space="preserve"> hours</w:t>
      </w:r>
      <w:r w:rsidRPr="0057780D" w:rsidR="003F2E41">
        <w:t xml:space="preserve"> per year</w:t>
      </w:r>
      <w:r w:rsidRPr="0057780D">
        <w:t xml:space="preserve"> per processor</w:t>
      </w:r>
      <w:r w:rsidRPr="0057780D" w:rsidR="0050756C">
        <w:t xml:space="preserve">. There are no material costs associated with this </w:t>
      </w:r>
      <w:r w:rsidRPr="0057780D" w:rsidR="000B62B5">
        <w:t>collection</w:t>
      </w:r>
      <w:r w:rsidRPr="0057780D" w:rsidR="0050756C">
        <w:t>.</w:t>
      </w:r>
    </w:p>
    <w:p w:rsidRPr="0057780D" w:rsidR="0050756C" w:rsidP="0050756C" w:rsidRDefault="0050756C" w14:paraId="34ED221F" w14:textId="35B22A2D">
      <w:pPr>
        <w:ind w:left="360"/>
        <w:rPr>
          <w:color w:val="FF33CC"/>
        </w:rPr>
      </w:pPr>
    </w:p>
    <w:p w:rsidRPr="0057780D" w:rsidR="00952A04" w:rsidP="00952A04" w:rsidRDefault="00952A04" w14:paraId="0F08C2F6" w14:textId="77777777">
      <w:pPr>
        <w:pStyle w:val="NoSpacing"/>
      </w:pPr>
    </w:p>
    <w:tbl>
      <w:tblPr>
        <w:tblW w:w="9710" w:type="dxa"/>
        <w:tblLook w:val="04A0" w:firstRow="1" w:lastRow="0" w:firstColumn="1" w:lastColumn="0" w:noHBand="0" w:noVBand="1"/>
      </w:tblPr>
      <w:tblGrid>
        <w:gridCol w:w="3950"/>
        <w:gridCol w:w="1620"/>
        <w:gridCol w:w="1620"/>
        <w:gridCol w:w="1080"/>
        <w:gridCol w:w="1440"/>
      </w:tblGrid>
      <w:tr w:rsidRPr="0057780D" w:rsidR="00D4324B" w:rsidTr="002C2A45" w14:paraId="7BACEA83" w14:textId="77777777">
        <w:trPr>
          <w:trHeight w:val="315"/>
        </w:trPr>
        <w:tc>
          <w:tcPr>
            <w:tcW w:w="9710" w:type="dxa"/>
            <w:gridSpan w:val="5"/>
            <w:tcBorders>
              <w:top w:val="single" w:color="auto" w:sz="8" w:space="0"/>
              <w:left w:val="single" w:color="auto" w:sz="8" w:space="0"/>
              <w:bottom w:val="nil"/>
              <w:right w:val="single" w:color="000000" w:sz="8" w:space="0"/>
            </w:tcBorders>
            <w:shd w:val="clear" w:color="000000" w:fill="BFBFBF"/>
            <w:vAlign w:val="center"/>
            <w:hideMark/>
          </w:tcPr>
          <w:p w:rsidRPr="0057780D" w:rsidR="00D4324B" w:rsidP="0065500B" w:rsidRDefault="00D4324B" w14:paraId="2A28D62B" w14:textId="01FE6277">
            <w:pPr>
              <w:jc w:val="center"/>
              <w:rPr>
                <w:rFonts w:eastAsia="Times New Roman" w:cs="Arial"/>
                <w:b/>
                <w:bCs/>
                <w:sz w:val="22"/>
              </w:rPr>
            </w:pPr>
            <w:r w:rsidRPr="0057780D">
              <w:rPr>
                <w:rFonts w:eastAsia="Times New Roman" w:cs="Arial"/>
                <w:b/>
                <w:bCs/>
                <w:sz w:val="22"/>
              </w:rPr>
              <w:t>IC#2. Processor Form Completion, CBI Substantiation, Form Submission and Recordkeeping</w:t>
            </w:r>
          </w:p>
        </w:tc>
      </w:tr>
      <w:tr w:rsidRPr="0057780D" w:rsidR="00D4324B" w:rsidTr="002C2A45" w14:paraId="261E43C1" w14:textId="77777777">
        <w:trPr>
          <w:trHeight w:val="315"/>
        </w:trPr>
        <w:tc>
          <w:tcPr>
            <w:tcW w:w="9710" w:type="dxa"/>
            <w:gridSpan w:val="5"/>
            <w:tcBorders>
              <w:top w:val="nil"/>
              <w:left w:val="single" w:color="auto" w:sz="8" w:space="0"/>
              <w:bottom w:val="single" w:color="auto" w:sz="8" w:space="0"/>
              <w:right w:val="single" w:color="000000" w:sz="8" w:space="0"/>
            </w:tcBorders>
            <w:shd w:val="clear" w:color="000000" w:fill="BFBFBF"/>
            <w:vAlign w:val="center"/>
            <w:hideMark/>
          </w:tcPr>
          <w:p w:rsidRPr="0057780D" w:rsidR="00D4324B" w:rsidP="0065500B" w:rsidRDefault="00D4324B" w14:paraId="33AD9AF4" w14:textId="69913FCE">
            <w:pPr>
              <w:jc w:val="center"/>
              <w:rPr>
                <w:rFonts w:eastAsia="Times New Roman" w:cs="Arial"/>
                <w:b/>
                <w:bCs/>
                <w:sz w:val="22"/>
              </w:rPr>
            </w:pPr>
            <w:r w:rsidRPr="0057780D">
              <w:rPr>
                <w:rFonts w:eastAsia="Times New Roman" w:cs="Arial"/>
                <w:b/>
                <w:bCs/>
                <w:sz w:val="22"/>
              </w:rPr>
              <w:t>Citation: 40 CFR 7</w:t>
            </w:r>
            <w:r w:rsidRPr="0057780D" w:rsidR="00E40350">
              <w:rPr>
                <w:rFonts w:eastAsia="Times New Roman" w:cs="Arial"/>
                <w:b/>
                <w:bCs/>
                <w:sz w:val="22"/>
              </w:rPr>
              <w:t>04.20</w:t>
            </w:r>
          </w:p>
        </w:tc>
      </w:tr>
      <w:tr w:rsidRPr="0057780D" w:rsidR="00F32115" w:rsidTr="002C2A45" w14:paraId="112FF772" w14:textId="77777777">
        <w:trPr>
          <w:trHeight w:val="315"/>
        </w:trPr>
        <w:tc>
          <w:tcPr>
            <w:tcW w:w="3950" w:type="dxa"/>
            <w:tcBorders>
              <w:top w:val="nil"/>
              <w:left w:val="single" w:color="auto" w:sz="8" w:space="0"/>
              <w:bottom w:val="single" w:color="auto" w:sz="8" w:space="0"/>
              <w:right w:val="single" w:color="auto" w:sz="8" w:space="0"/>
            </w:tcBorders>
            <w:shd w:val="clear" w:color="000000" w:fill="BFBFBF"/>
            <w:vAlign w:val="center"/>
            <w:hideMark/>
          </w:tcPr>
          <w:p w:rsidRPr="0057780D" w:rsidR="00F32115" w:rsidP="00DF2895" w:rsidRDefault="00F32115" w14:paraId="6DF27887" w14:textId="672E9FA0">
            <w:pPr>
              <w:rPr>
                <w:rFonts w:eastAsia="Times New Roman" w:cs="Arial"/>
                <w:b/>
                <w:bCs/>
                <w:sz w:val="18"/>
                <w:szCs w:val="18"/>
              </w:rPr>
            </w:pPr>
            <w:r w:rsidRPr="0057780D">
              <w:rPr>
                <w:rFonts w:eastAsia="Times New Roman" w:cs="Arial"/>
                <w:b/>
                <w:bCs/>
                <w:sz w:val="18"/>
                <w:szCs w:val="18"/>
              </w:rPr>
              <w:t>Data Element</w:t>
            </w:r>
          </w:p>
        </w:tc>
        <w:tc>
          <w:tcPr>
            <w:tcW w:w="1620" w:type="dxa"/>
            <w:tcBorders>
              <w:top w:val="nil"/>
              <w:left w:val="nil"/>
              <w:bottom w:val="single" w:color="auto" w:sz="8" w:space="0"/>
              <w:right w:val="single" w:color="auto" w:sz="8" w:space="0"/>
            </w:tcBorders>
            <w:shd w:val="clear" w:color="000000" w:fill="BFBFBF"/>
            <w:vAlign w:val="center"/>
            <w:hideMark/>
          </w:tcPr>
          <w:p w:rsidRPr="0057780D" w:rsidR="00F32115" w:rsidP="00DF2895" w:rsidRDefault="00F32115" w14:paraId="0A06BF2B" w14:textId="4811CC4F">
            <w:pPr>
              <w:rPr>
                <w:rFonts w:eastAsia="Times New Roman" w:cs="Arial"/>
                <w:b/>
                <w:bCs/>
                <w:sz w:val="18"/>
                <w:szCs w:val="18"/>
              </w:rPr>
            </w:pPr>
            <w:r w:rsidRPr="0057780D">
              <w:rPr>
                <w:rFonts w:eastAsia="Times New Roman" w:cs="Arial"/>
                <w:b/>
                <w:bCs/>
                <w:sz w:val="18"/>
                <w:szCs w:val="18"/>
              </w:rPr>
              <w:t>3-Year Total Responses</w:t>
            </w:r>
          </w:p>
        </w:tc>
        <w:tc>
          <w:tcPr>
            <w:tcW w:w="1620" w:type="dxa"/>
            <w:tcBorders>
              <w:top w:val="nil"/>
              <w:left w:val="nil"/>
              <w:bottom w:val="single" w:color="auto" w:sz="8" w:space="0"/>
              <w:right w:val="single" w:color="auto" w:sz="8" w:space="0"/>
            </w:tcBorders>
            <w:shd w:val="clear" w:color="000000" w:fill="BFBFBF"/>
            <w:vAlign w:val="center"/>
            <w:hideMark/>
          </w:tcPr>
          <w:p w:rsidRPr="0057780D" w:rsidR="00F32115" w:rsidP="00DF2895" w:rsidRDefault="00F32115" w14:paraId="3FE08C4B" w14:textId="186B3EC6">
            <w:pPr>
              <w:rPr>
                <w:rFonts w:eastAsia="Times New Roman" w:cs="Arial"/>
                <w:b/>
                <w:bCs/>
                <w:sz w:val="18"/>
                <w:szCs w:val="18"/>
              </w:rPr>
            </w:pPr>
            <w:r w:rsidRPr="0057780D">
              <w:rPr>
                <w:rFonts w:eastAsia="Times New Roman" w:cs="Arial"/>
                <w:b/>
                <w:bCs/>
                <w:sz w:val="18"/>
                <w:szCs w:val="18"/>
              </w:rPr>
              <w:t>3-Year Total Burden (hours)</w:t>
            </w:r>
          </w:p>
        </w:tc>
        <w:tc>
          <w:tcPr>
            <w:tcW w:w="1080" w:type="dxa"/>
            <w:tcBorders>
              <w:top w:val="nil"/>
              <w:left w:val="nil"/>
              <w:bottom w:val="single" w:color="auto" w:sz="8" w:space="0"/>
              <w:right w:val="single" w:color="auto" w:sz="8" w:space="0"/>
            </w:tcBorders>
            <w:shd w:val="clear" w:color="000000" w:fill="BFBFBF"/>
            <w:vAlign w:val="center"/>
            <w:hideMark/>
          </w:tcPr>
          <w:p w:rsidRPr="0057780D" w:rsidR="00F32115" w:rsidP="00DF2895" w:rsidRDefault="00F32115" w14:paraId="2472F183" w14:textId="1E2DABBD">
            <w:pPr>
              <w:rPr>
                <w:rFonts w:eastAsia="Times New Roman" w:cs="Arial"/>
                <w:b/>
                <w:bCs/>
                <w:sz w:val="18"/>
                <w:szCs w:val="18"/>
              </w:rPr>
            </w:pPr>
            <w:r w:rsidRPr="0057780D">
              <w:rPr>
                <w:rFonts w:eastAsia="Times New Roman" w:cs="Arial"/>
                <w:b/>
                <w:bCs/>
                <w:sz w:val="18"/>
                <w:szCs w:val="18"/>
              </w:rPr>
              <w:t>Materials</w:t>
            </w:r>
          </w:p>
        </w:tc>
        <w:tc>
          <w:tcPr>
            <w:tcW w:w="1440" w:type="dxa"/>
            <w:tcBorders>
              <w:top w:val="nil"/>
              <w:left w:val="nil"/>
              <w:bottom w:val="single" w:color="auto" w:sz="8" w:space="0"/>
              <w:right w:val="single" w:color="auto" w:sz="8" w:space="0"/>
            </w:tcBorders>
            <w:shd w:val="clear" w:color="000000" w:fill="BFBFBF"/>
            <w:vAlign w:val="center"/>
            <w:hideMark/>
          </w:tcPr>
          <w:p w:rsidRPr="0057780D" w:rsidR="00F32115" w:rsidP="00DF2895" w:rsidRDefault="00F32115" w14:paraId="68A80761" w14:textId="36EF5D5E">
            <w:pPr>
              <w:rPr>
                <w:rFonts w:eastAsia="Times New Roman" w:cs="Arial"/>
                <w:b/>
                <w:bCs/>
                <w:sz w:val="18"/>
                <w:szCs w:val="18"/>
              </w:rPr>
            </w:pPr>
            <w:r w:rsidRPr="0057780D">
              <w:rPr>
                <w:rFonts w:eastAsia="Times New Roman" w:cs="Arial"/>
                <w:b/>
                <w:bCs/>
                <w:sz w:val="18"/>
                <w:szCs w:val="18"/>
              </w:rPr>
              <w:t xml:space="preserve">Total Cost ($) </w:t>
            </w:r>
          </w:p>
        </w:tc>
      </w:tr>
      <w:tr w:rsidRPr="0057780D" w:rsidR="00F32115" w:rsidTr="002C2A45" w14:paraId="7F3FFF2B" w14:textId="77777777">
        <w:trPr>
          <w:trHeight w:val="315"/>
        </w:trPr>
        <w:tc>
          <w:tcPr>
            <w:tcW w:w="395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D4324B" w:rsidRDefault="00F32115" w14:paraId="1488F2EA" w14:textId="07DEB48B">
            <w:pPr>
              <w:rPr>
                <w:rFonts w:eastAsia="Times New Roman" w:cs="Arial"/>
                <w:sz w:val="18"/>
                <w:szCs w:val="18"/>
              </w:rPr>
            </w:pPr>
            <w:r w:rsidRPr="0057780D">
              <w:rPr>
                <w:rFonts w:eastAsia="Times New Roman" w:cs="Arial"/>
                <w:sz w:val="20"/>
                <w:szCs w:val="20"/>
              </w:rPr>
              <w:t>Rule Familiarization</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4324B" w:rsidRDefault="00F32115" w14:paraId="64DBAB7C" w14:textId="223DF7E4">
            <w:pPr>
              <w:jc w:val="right"/>
              <w:rPr>
                <w:rFonts w:eastAsia="Times New Roman" w:cs="Arial"/>
                <w:sz w:val="18"/>
                <w:szCs w:val="18"/>
              </w:rPr>
            </w:pPr>
            <w:r w:rsidRPr="0057780D">
              <w:rPr>
                <w:rFonts w:eastAsia="Times New Roman" w:cs="Arial"/>
                <w:sz w:val="18"/>
                <w:szCs w:val="18"/>
              </w:rPr>
              <w:t>597</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4324B" w:rsidRDefault="00F32115" w14:paraId="5A4EA1E4" w14:textId="4C485A3A">
            <w:pPr>
              <w:jc w:val="right"/>
              <w:rPr>
                <w:rFonts w:eastAsia="Times New Roman" w:cs="Arial"/>
                <w:sz w:val="18"/>
                <w:szCs w:val="18"/>
              </w:rPr>
            </w:pPr>
            <w:r w:rsidRPr="0057780D">
              <w:rPr>
                <w:rFonts w:eastAsia="Times New Roman" w:cs="Arial"/>
                <w:sz w:val="18"/>
                <w:szCs w:val="18"/>
              </w:rPr>
              <w:t xml:space="preserve">490 </w:t>
            </w:r>
          </w:p>
        </w:tc>
        <w:tc>
          <w:tcPr>
            <w:tcW w:w="1080" w:type="dxa"/>
            <w:tcBorders>
              <w:top w:val="nil"/>
              <w:left w:val="nil"/>
              <w:bottom w:val="single" w:color="auto" w:sz="8" w:space="0"/>
              <w:right w:val="single" w:color="auto" w:sz="8" w:space="0"/>
            </w:tcBorders>
            <w:shd w:val="clear" w:color="auto" w:fill="auto"/>
            <w:vAlign w:val="center"/>
            <w:hideMark/>
          </w:tcPr>
          <w:p w:rsidRPr="0057780D" w:rsidR="00F32115" w:rsidP="00D4324B" w:rsidRDefault="00F32115" w14:paraId="15A58C9C"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D4324B" w:rsidRDefault="00F32115" w14:paraId="0B0FFBEA" w14:textId="79537741">
            <w:pPr>
              <w:jc w:val="right"/>
              <w:rPr>
                <w:rFonts w:eastAsia="Times New Roman" w:cs="Arial"/>
                <w:sz w:val="18"/>
                <w:szCs w:val="18"/>
              </w:rPr>
            </w:pPr>
            <w:r w:rsidRPr="0057780D">
              <w:rPr>
                <w:rFonts w:eastAsia="Times New Roman" w:cs="Arial"/>
                <w:sz w:val="18"/>
                <w:szCs w:val="18"/>
              </w:rPr>
              <w:t>$37,641</w:t>
            </w:r>
          </w:p>
        </w:tc>
      </w:tr>
      <w:tr w:rsidRPr="0057780D" w:rsidR="00F32115" w:rsidTr="002C2A45" w14:paraId="6EAC5064" w14:textId="77777777">
        <w:trPr>
          <w:trHeight w:val="315"/>
        </w:trPr>
        <w:tc>
          <w:tcPr>
            <w:tcW w:w="395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DF2895" w:rsidRDefault="00F32115" w14:paraId="3E39CC54" w14:textId="2C315E2C">
            <w:pPr>
              <w:rPr>
                <w:rFonts w:eastAsia="Times New Roman" w:cs="Arial"/>
                <w:sz w:val="18"/>
                <w:szCs w:val="18"/>
              </w:rPr>
            </w:pPr>
            <w:r w:rsidRPr="0057780D">
              <w:rPr>
                <w:rFonts w:eastAsia="Times New Roman" w:cs="Arial"/>
                <w:sz w:val="20"/>
                <w:szCs w:val="20"/>
              </w:rPr>
              <w:t>Form Completion</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4A607C65" w14:textId="20854B35">
            <w:pPr>
              <w:jc w:val="right"/>
              <w:rPr>
                <w:rFonts w:eastAsia="Times New Roman" w:cs="Arial"/>
                <w:sz w:val="18"/>
                <w:szCs w:val="18"/>
              </w:rPr>
            </w:pPr>
            <w:r w:rsidRPr="0057780D">
              <w:rPr>
                <w:rFonts w:eastAsia="Times New Roman" w:cs="Arial"/>
                <w:sz w:val="18"/>
                <w:szCs w:val="18"/>
              </w:rPr>
              <w:t>597</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72910C46" w14:textId="0AAC70E9">
            <w:pPr>
              <w:jc w:val="right"/>
              <w:rPr>
                <w:rFonts w:eastAsia="Times New Roman" w:cs="Arial"/>
                <w:sz w:val="18"/>
                <w:szCs w:val="18"/>
              </w:rPr>
            </w:pPr>
            <w:r w:rsidRPr="0057780D">
              <w:rPr>
                <w:rFonts w:eastAsia="Times New Roman" w:cs="Arial"/>
                <w:sz w:val="18"/>
                <w:szCs w:val="18"/>
              </w:rPr>
              <w:t>81,550</w:t>
            </w:r>
          </w:p>
        </w:tc>
        <w:tc>
          <w:tcPr>
            <w:tcW w:w="1080" w:type="dxa"/>
            <w:tcBorders>
              <w:top w:val="nil"/>
              <w:left w:val="nil"/>
              <w:bottom w:val="single" w:color="auto" w:sz="8" w:space="0"/>
              <w:right w:val="single" w:color="auto" w:sz="8" w:space="0"/>
            </w:tcBorders>
            <w:shd w:val="clear" w:color="auto" w:fill="auto"/>
            <w:vAlign w:val="center"/>
            <w:hideMark/>
          </w:tcPr>
          <w:p w:rsidRPr="0057780D" w:rsidR="00F32115" w:rsidP="00DF2895" w:rsidRDefault="00F32115" w14:paraId="4190D49D"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6C395630" w14:textId="31D647E9">
            <w:pPr>
              <w:jc w:val="right"/>
              <w:rPr>
                <w:rFonts w:eastAsia="Times New Roman" w:cs="Arial"/>
                <w:sz w:val="18"/>
                <w:szCs w:val="18"/>
              </w:rPr>
            </w:pPr>
            <w:r w:rsidRPr="0057780D">
              <w:rPr>
                <w:rFonts w:eastAsia="Times New Roman" w:cs="Arial"/>
                <w:sz w:val="18"/>
                <w:szCs w:val="18"/>
              </w:rPr>
              <w:t>$6,232,083</w:t>
            </w:r>
          </w:p>
        </w:tc>
      </w:tr>
      <w:tr w:rsidRPr="0057780D" w:rsidR="00F32115" w:rsidTr="002C2A45" w14:paraId="34900824" w14:textId="77777777">
        <w:trPr>
          <w:trHeight w:val="525"/>
        </w:trPr>
        <w:tc>
          <w:tcPr>
            <w:tcW w:w="395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DF2895" w:rsidRDefault="00F32115" w14:paraId="68538C0C" w14:textId="35C89459">
            <w:pPr>
              <w:rPr>
                <w:rFonts w:eastAsia="Times New Roman" w:cs="Arial"/>
                <w:sz w:val="18"/>
                <w:szCs w:val="18"/>
              </w:rPr>
            </w:pPr>
            <w:r w:rsidRPr="0057780D">
              <w:rPr>
                <w:rFonts w:eastAsia="Times New Roman" w:cs="Arial"/>
                <w:sz w:val="20"/>
                <w:szCs w:val="20"/>
              </w:rPr>
              <w:t>CBI Substantiation</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683098E6" w14:textId="1B7505A5">
            <w:pPr>
              <w:jc w:val="right"/>
              <w:rPr>
                <w:rFonts w:eastAsia="Times New Roman" w:cs="Arial"/>
                <w:sz w:val="18"/>
                <w:szCs w:val="18"/>
              </w:rPr>
            </w:pPr>
            <w:r w:rsidRPr="0057780D">
              <w:rPr>
                <w:rFonts w:eastAsia="Times New Roman" w:cs="Arial"/>
                <w:sz w:val="18"/>
                <w:szCs w:val="18"/>
              </w:rPr>
              <w:t>597</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2B66A904" w14:textId="14745205">
            <w:pPr>
              <w:jc w:val="right"/>
              <w:rPr>
                <w:rFonts w:eastAsia="Times New Roman" w:cs="Arial"/>
                <w:sz w:val="18"/>
                <w:szCs w:val="18"/>
              </w:rPr>
            </w:pPr>
            <w:r w:rsidRPr="0057780D">
              <w:rPr>
                <w:rFonts w:eastAsia="Times New Roman" w:cs="Arial"/>
                <w:sz w:val="18"/>
                <w:szCs w:val="18"/>
              </w:rPr>
              <w:t xml:space="preserve">896 </w:t>
            </w:r>
          </w:p>
        </w:tc>
        <w:tc>
          <w:tcPr>
            <w:tcW w:w="1080" w:type="dxa"/>
            <w:tcBorders>
              <w:top w:val="nil"/>
              <w:left w:val="nil"/>
              <w:bottom w:val="single" w:color="auto" w:sz="8" w:space="0"/>
              <w:right w:val="single" w:color="auto" w:sz="8" w:space="0"/>
            </w:tcBorders>
            <w:shd w:val="clear" w:color="auto" w:fill="auto"/>
            <w:vAlign w:val="center"/>
            <w:hideMark/>
          </w:tcPr>
          <w:p w:rsidRPr="0057780D" w:rsidR="00F32115" w:rsidP="00DF2895" w:rsidRDefault="00F32115" w14:paraId="1C6EC2CA"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60338C08" w14:textId="6C95752D">
            <w:pPr>
              <w:jc w:val="right"/>
              <w:rPr>
                <w:rFonts w:eastAsia="Times New Roman" w:cs="Arial"/>
                <w:sz w:val="18"/>
                <w:szCs w:val="18"/>
              </w:rPr>
            </w:pPr>
            <w:r w:rsidRPr="0057780D">
              <w:rPr>
                <w:rFonts w:eastAsia="Times New Roman" w:cs="Arial"/>
                <w:sz w:val="18"/>
                <w:szCs w:val="18"/>
              </w:rPr>
              <w:t>$88,881</w:t>
            </w:r>
          </w:p>
        </w:tc>
      </w:tr>
      <w:tr w:rsidRPr="0057780D" w:rsidR="00F32115" w:rsidTr="002C2A45" w14:paraId="404610A3" w14:textId="77777777">
        <w:trPr>
          <w:trHeight w:val="525"/>
        </w:trPr>
        <w:tc>
          <w:tcPr>
            <w:tcW w:w="395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DF2895" w:rsidRDefault="00F32115" w14:paraId="38679E07" w14:textId="65D40495">
            <w:pPr>
              <w:rPr>
                <w:rFonts w:eastAsia="Times New Roman" w:cs="Arial"/>
                <w:sz w:val="18"/>
                <w:szCs w:val="18"/>
              </w:rPr>
            </w:pPr>
            <w:r w:rsidRPr="0057780D">
              <w:rPr>
                <w:rFonts w:eastAsia="Times New Roman" w:cs="Arial"/>
                <w:sz w:val="20"/>
                <w:szCs w:val="20"/>
              </w:rPr>
              <w:t>Form Submission (Electronic Reporting)</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7A264449" w14:textId="62F457C2">
            <w:pPr>
              <w:jc w:val="right"/>
              <w:rPr>
                <w:rFonts w:eastAsia="Times New Roman" w:cs="Arial"/>
                <w:sz w:val="18"/>
                <w:szCs w:val="18"/>
              </w:rPr>
            </w:pPr>
            <w:r w:rsidRPr="0057780D">
              <w:rPr>
                <w:rFonts w:eastAsia="Times New Roman" w:cs="Arial"/>
                <w:sz w:val="18"/>
                <w:szCs w:val="18"/>
              </w:rPr>
              <w:t>597</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2916AB3E" w14:textId="2A8E4B2E">
            <w:pPr>
              <w:jc w:val="right"/>
              <w:rPr>
                <w:rFonts w:eastAsia="Times New Roman" w:cs="Arial"/>
                <w:sz w:val="18"/>
                <w:szCs w:val="18"/>
              </w:rPr>
            </w:pPr>
            <w:r w:rsidRPr="0057780D">
              <w:rPr>
                <w:rFonts w:eastAsia="Times New Roman" w:cs="Arial"/>
                <w:sz w:val="18"/>
                <w:szCs w:val="18"/>
              </w:rPr>
              <w:t xml:space="preserve">848 </w:t>
            </w:r>
          </w:p>
        </w:tc>
        <w:tc>
          <w:tcPr>
            <w:tcW w:w="1080" w:type="dxa"/>
            <w:tcBorders>
              <w:top w:val="nil"/>
              <w:left w:val="nil"/>
              <w:bottom w:val="single" w:color="auto" w:sz="8" w:space="0"/>
              <w:right w:val="single" w:color="auto" w:sz="8" w:space="0"/>
            </w:tcBorders>
            <w:shd w:val="clear" w:color="auto" w:fill="auto"/>
            <w:vAlign w:val="center"/>
            <w:hideMark/>
          </w:tcPr>
          <w:p w:rsidRPr="0057780D" w:rsidR="00F32115" w:rsidP="00DF2895" w:rsidRDefault="00F32115" w14:paraId="65B433C7"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4D33335B" w14:textId="1D59D4A0">
            <w:pPr>
              <w:jc w:val="right"/>
              <w:rPr>
                <w:rFonts w:eastAsia="Times New Roman" w:cs="Arial"/>
                <w:sz w:val="18"/>
                <w:szCs w:val="18"/>
              </w:rPr>
            </w:pPr>
            <w:r w:rsidRPr="0057780D">
              <w:rPr>
                <w:rFonts w:eastAsia="Times New Roman" w:cs="Arial"/>
                <w:sz w:val="18"/>
                <w:szCs w:val="18"/>
              </w:rPr>
              <w:t>$65,222</w:t>
            </w:r>
          </w:p>
        </w:tc>
      </w:tr>
      <w:tr w:rsidRPr="0057780D" w:rsidR="00F32115" w:rsidTr="002C2A45" w14:paraId="4A91B817" w14:textId="77777777">
        <w:trPr>
          <w:trHeight w:val="525"/>
        </w:trPr>
        <w:tc>
          <w:tcPr>
            <w:tcW w:w="3950" w:type="dxa"/>
            <w:tcBorders>
              <w:top w:val="nil"/>
              <w:left w:val="single" w:color="auto" w:sz="8" w:space="0"/>
              <w:bottom w:val="single" w:color="auto" w:sz="8" w:space="0"/>
              <w:right w:val="single" w:color="auto" w:sz="8" w:space="0"/>
            </w:tcBorders>
            <w:shd w:val="clear" w:color="auto" w:fill="auto"/>
            <w:vAlign w:val="center"/>
            <w:hideMark/>
          </w:tcPr>
          <w:p w:rsidRPr="0057780D" w:rsidR="00F32115" w:rsidP="00DF2895" w:rsidRDefault="00F32115" w14:paraId="1F0ABBE0" w14:textId="524ADC95">
            <w:pPr>
              <w:rPr>
                <w:rFonts w:eastAsia="Times New Roman" w:cs="Arial"/>
                <w:sz w:val="18"/>
                <w:szCs w:val="18"/>
              </w:rPr>
            </w:pPr>
            <w:r w:rsidRPr="0057780D">
              <w:rPr>
                <w:rFonts w:eastAsia="Times New Roman" w:cs="Arial"/>
                <w:sz w:val="20"/>
                <w:szCs w:val="20"/>
              </w:rPr>
              <w:t>Recordkeeping</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79D6418F" w14:textId="1833367D">
            <w:pPr>
              <w:jc w:val="right"/>
              <w:rPr>
                <w:rFonts w:eastAsia="Times New Roman" w:cs="Arial"/>
                <w:sz w:val="18"/>
                <w:szCs w:val="18"/>
              </w:rPr>
            </w:pPr>
            <w:r w:rsidRPr="0057780D">
              <w:rPr>
                <w:rFonts w:eastAsia="Times New Roman" w:cs="Arial"/>
                <w:sz w:val="18"/>
                <w:szCs w:val="18"/>
              </w:rPr>
              <w:t>597</w:t>
            </w:r>
          </w:p>
        </w:tc>
        <w:tc>
          <w:tcPr>
            <w:tcW w:w="162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2B9E0C34" w14:textId="2FE6E054">
            <w:pPr>
              <w:jc w:val="right"/>
              <w:rPr>
                <w:rFonts w:eastAsia="Times New Roman" w:cs="Arial"/>
                <w:sz w:val="18"/>
                <w:szCs w:val="18"/>
              </w:rPr>
            </w:pPr>
            <w:r w:rsidRPr="0057780D">
              <w:rPr>
                <w:rFonts w:eastAsia="Times New Roman" w:cs="Arial"/>
                <w:sz w:val="18"/>
                <w:szCs w:val="18"/>
              </w:rPr>
              <w:t xml:space="preserve">597 </w:t>
            </w:r>
          </w:p>
        </w:tc>
        <w:tc>
          <w:tcPr>
            <w:tcW w:w="1080" w:type="dxa"/>
            <w:tcBorders>
              <w:top w:val="nil"/>
              <w:left w:val="nil"/>
              <w:bottom w:val="single" w:color="auto" w:sz="8" w:space="0"/>
              <w:right w:val="single" w:color="auto" w:sz="8" w:space="0"/>
            </w:tcBorders>
            <w:shd w:val="clear" w:color="auto" w:fill="auto"/>
            <w:vAlign w:val="center"/>
            <w:hideMark/>
          </w:tcPr>
          <w:p w:rsidRPr="0057780D" w:rsidR="00F32115" w:rsidP="00DF2895" w:rsidRDefault="00F32115" w14:paraId="6946E71A" w14:textId="77777777">
            <w:pPr>
              <w:rPr>
                <w:rFonts w:eastAsia="Times New Roman" w:cs="Arial"/>
                <w:sz w:val="18"/>
                <w:szCs w:val="18"/>
              </w:rPr>
            </w:pPr>
            <w:r w:rsidRPr="0057780D">
              <w:rPr>
                <w:rFonts w:eastAsia="Times New Roman" w:cs="Arial"/>
                <w:sz w:val="18"/>
                <w:szCs w:val="18"/>
              </w:rPr>
              <w:t>N/A</w:t>
            </w:r>
          </w:p>
        </w:tc>
        <w:tc>
          <w:tcPr>
            <w:tcW w:w="1440" w:type="dxa"/>
            <w:tcBorders>
              <w:top w:val="nil"/>
              <w:left w:val="nil"/>
              <w:bottom w:val="single" w:color="auto" w:sz="8" w:space="0"/>
              <w:right w:val="single" w:color="auto" w:sz="8" w:space="0"/>
            </w:tcBorders>
            <w:shd w:val="clear" w:color="auto" w:fill="auto"/>
            <w:vAlign w:val="center"/>
          </w:tcPr>
          <w:p w:rsidRPr="0057780D" w:rsidR="00F32115" w:rsidP="00DF2895" w:rsidRDefault="00F32115" w14:paraId="76FF32BD" w14:textId="5120673E">
            <w:pPr>
              <w:jc w:val="right"/>
              <w:rPr>
                <w:rFonts w:eastAsia="Times New Roman" w:cs="Arial"/>
                <w:sz w:val="18"/>
                <w:szCs w:val="18"/>
              </w:rPr>
            </w:pPr>
            <w:r w:rsidRPr="0057780D">
              <w:rPr>
                <w:rFonts w:eastAsia="Times New Roman" w:cs="Arial"/>
                <w:sz w:val="18"/>
                <w:szCs w:val="18"/>
              </w:rPr>
              <w:t>$32,781</w:t>
            </w:r>
          </w:p>
          <w:p w:rsidRPr="0057780D" w:rsidR="00F32115" w:rsidP="00DF2895" w:rsidRDefault="00F32115" w14:paraId="601CC3D5" w14:textId="53B768A3">
            <w:pPr>
              <w:jc w:val="right"/>
              <w:rPr>
                <w:rFonts w:eastAsia="Times New Roman" w:cs="Arial"/>
                <w:sz w:val="18"/>
                <w:szCs w:val="18"/>
              </w:rPr>
            </w:pPr>
          </w:p>
        </w:tc>
      </w:tr>
      <w:tr w:rsidRPr="0057780D" w:rsidR="00DF2895" w:rsidTr="002C2A45" w14:paraId="6F8BEE0B" w14:textId="77777777">
        <w:trPr>
          <w:trHeight w:val="270"/>
        </w:trPr>
        <w:tc>
          <w:tcPr>
            <w:tcW w:w="5570" w:type="dxa"/>
            <w:gridSpan w:val="2"/>
            <w:tcBorders>
              <w:top w:val="single" w:color="auto" w:sz="8" w:space="0"/>
              <w:left w:val="single" w:color="auto" w:sz="8" w:space="0"/>
              <w:bottom w:val="single" w:color="auto" w:sz="4" w:space="0"/>
              <w:right w:val="single" w:color="auto" w:sz="8" w:space="0"/>
            </w:tcBorders>
            <w:shd w:val="clear" w:color="auto" w:fill="auto"/>
            <w:vAlign w:val="center"/>
            <w:hideMark/>
          </w:tcPr>
          <w:p w:rsidRPr="0057780D" w:rsidR="00DF2895" w:rsidP="00DF2895" w:rsidRDefault="00F32115" w14:paraId="535031E8" w14:textId="2533FECF">
            <w:pPr>
              <w:jc w:val="right"/>
              <w:rPr>
                <w:rFonts w:eastAsia="Times New Roman" w:cs="Arial"/>
                <w:b/>
                <w:bCs/>
                <w:i/>
                <w:iCs/>
                <w:sz w:val="18"/>
                <w:szCs w:val="18"/>
              </w:rPr>
            </w:pPr>
            <w:r w:rsidRPr="0057780D">
              <w:rPr>
                <w:rFonts w:eastAsia="Times New Roman" w:cs="Arial"/>
                <w:b/>
                <w:bCs/>
                <w:i/>
                <w:iCs/>
                <w:sz w:val="20"/>
                <w:szCs w:val="20"/>
              </w:rPr>
              <w:t xml:space="preserve">3-Year </w:t>
            </w:r>
            <w:r w:rsidRPr="0057780D" w:rsidR="00DF2895">
              <w:rPr>
                <w:rFonts w:eastAsia="Times New Roman" w:cs="Arial"/>
                <w:b/>
                <w:bCs/>
                <w:i/>
                <w:iCs/>
                <w:sz w:val="20"/>
                <w:szCs w:val="20"/>
              </w:rPr>
              <w:t>Grand Total</w:t>
            </w:r>
          </w:p>
        </w:tc>
        <w:tc>
          <w:tcPr>
            <w:tcW w:w="1620" w:type="dxa"/>
            <w:tcBorders>
              <w:top w:val="nil"/>
              <w:left w:val="nil"/>
              <w:bottom w:val="single" w:color="auto" w:sz="4" w:space="0"/>
              <w:right w:val="single" w:color="auto" w:sz="8" w:space="0"/>
            </w:tcBorders>
            <w:shd w:val="clear" w:color="auto" w:fill="auto"/>
            <w:vAlign w:val="center"/>
          </w:tcPr>
          <w:p w:rsidRPr="0057780D" w:rsidR="00DF2895" w:rsidP="00DF2895" w:rsidRDefault="00DF2895" w14:paraId="46976C2B" w14:textId="4738CE55">
            <w:pPr>
              <w:jc w:val="right"/>
              <w:rPr>
                <w:rFonts w:eastAsia="Times New Roman" w:cs="Arial"/>
                <w:b/>
                <w:bCs/>
                <w:i/>
                <w:iCs/>
                <w:sz w:val="18"/>
                <w:szCs w:val="18"/>
              </w:rPr>
            </w:pPr>
            <w:r w:rsidRPr="0057780D">
              <w:rPr>
                <w:rFonts w:eastAsia="Times New Roman" w:cs="Arial"/>
                <w:b/>
                <w:bCs/>
                <w:i/>
                <w:iCs/>
                <w:sz w:val="20"/>
                <w:szCs w:val="18"/>
              </w:rPr>
              <w:t xml:space="preserve">84,380 </w:t>
            </w:r>
          </w:p>
        </w:tc>
        <w:tc>
          <w:tcPr>
            <w:tcW w:w="1080" w:type="dxa"/>
            <w:tcBorders>
              <w:top w:val="nil"/>
              <w:left w:val="nil"/>
              <w:bottom w:val="single" w:color="auto" w:sz="4" w:space="0"/>
              <w:right w:val="single" w:color="auto" w:sz="8" w:space="0"/>
            </w:tcBorders>
            <w:shd w:val="clear" w:color="auto" w:fill="auto"/>
            <w:vAlign w:val="center"/>
          </w:tcPr>
          <w:p w:rsidRPr="0057780D" w:rsidR="00DF2895" w:rsidP="00DF2895" w:rsidRDefault="00DF2895" w14:paraId="3A1D9420" w14:textId="4CA15FFD">
            <w:pPr>
              <w:rPr>
                <w:rFonts w:eastAsia="Times New Roman" w:cs="Arial"/>
                <w:b/>
                <w:bCs/>
                <w:i/>
                <w:iCs/>
                <w:sz w:val="18"/>
                <w:szCs w:val="18"/>
              </w:rPr>
            </w:pPr>
          </w:p>
        </w:tc>
        <w:tc>
          <w:tcPr>
            <w:tcW w:w="1440" w:type="dxa"/>
            <w:tcBorders>
              <w:top w:val="nil"/>
              <w:left w:val="nil"/>
              <w:bottom w:val="single" w:color="auto" w:sz="4" w:space="0"/>
              <w:right w:val="single" w:color="auto" w:sz="8" w:space="0"/>
            </w:tcBorders>
            <w:shd w:val="clear" w:color="auto" w:fill="auto"/>
            <w:vAlign w:val="center"/>
          </w:tcPr>
          <w:p w:rsidRPr="0057780D" w:rsidR="00DF2895" w:rsidP="00DF2895" w:rsidRDefault="00DF2895" w14:paraId="1BC855AF" w14:textId="7087BF46">
            <w:pPr>
              <w:jc w:val="right"/>
              <w:rPr>
                <w:rFonts w:eastAsia="Times New Roman" w:cs="Arial"/>
                <w:b/>
                <w:bCs/>
                <w:i/>
                <w:iCs/>
                <w:sz w:val="20"/>
                <w:szCs w:val="18"/>
              </w:rPr>
            </w:pPr>
            <w:r w:rsidRPr="0057780D">
              <w:rPr>
                <w:rFonts w:eastAsia="Times New Roman" w:cs="Arial"/>
                <w:b/>
                <w:bCs/>
                <w:i/>
                <w:iCs/>
                <w:sz w:val="20"/>
                <w:szCs w:val="18"/>
              </w:rPr>
              <w:t>$6,</w:t>
            </w:r>
            <w:r w:rsidRPr="0057780D" w:rsidR="00DA2135">
              <w:rPr>
                <w:rFonts w:eastAsia="Times New Roman" w:cs="Arial"/>
                <w:b/>
                <w:bCs/>
                <w:i/>
                <w:iCs/>
                <w:sz w:val="20"/>
                <w:szCs w:val="18"/>
              </w:rPr>
              <w:t>456,609</w:t>
            </w:r>
          </w:p>
        </w:tc>
      </w:tr>
      <w:tr w:rsidRPr="0057780D" w:rsidR="00F32115" w:rsidTr="002C2A45" w14:paraId="5D5E4FD8" w14:textId="77777777">
        <w:trPr>
          <w:trHeight w:val="270"/>
        </w:trPr>
        <w:tc>
          <w:tcPr>
            <w:tcW w:w="5570" w:type="dxa"/>
            <w:gridSpan w:val="2"/>
            <w:tcBorders>
              <w:top w:val="single" w:color="auto" w:sz="8" w:space="0"/>
              <w:left w:val="single" w:color="auto" w:sz="8" w:space="0"/>
              <w:bottom w:val="single" w:color="auto" w:sz="4" w:space="0"/>
              <w:right w:val="single" w:color="auto" w:sz="8" w:space="0"/>
            </w:tcBorders>
            <w:shd w:val="clear" w:color="auto" w:fill="auto"/>
            <w:vAlign w:val="center"/>
          </w:tcPr>
          <w:p w:rsidRPr="0057780D" w:rsidR="00F32115" w:rsidP="00DF2895" w:rsidRDefault="00F32115" w14:paraId="314BFBA4" w14:textId="1410E812">
            <w:pPr>
              <w:jc w:val="right"/>
              <w:rPr>
                <w:rFonts w:eastAsia="Times New Roman" w:cs="Arial"/>
                <w:b/>
                <w:bCs/>
                <w:i/>
                <w:iCs/>
                <w:sz w:val="20"/>
                <w:szCs w:val="20"/>
              </w:rPr>
            </w:pPr>
            <w:r w:rsidRPr="0057780D">
              <w:rPr>
                <w:rFonts w:eastAsia="Times New Roman" w:cs="Arial"/>
                <w:b/>
                <w:bCs/>
                <w:i/>
                <w:iCs/>
                <w:sz w:val="20"/>
                <w:szCs w:val="20"/>
              </w:rPr>
              <w:t>Annual Total</w:t>
            </w:r>
          </w:p>
        </w:tc>
        <w:tc>
          <w:tcPr>
            <w:tcW w:w="1620" w:type="dxa"/>
            <w:tcBorders>
              <w:top w:val="nil"/>
              <w:left w:val="nil"/>
              <w:bottom w:val="single" w:color="auto" w:sz="4" w:space="0"/>
              <w:right w:val="single" w:color="auto" w:sz="8" w:space="0"/>
            </w:tcBorders>
            <w:shd w:val="clear" w:color="auto" w:fill="auto"/>
            <w:vAlign w:val="center"/>
          </w:tcPr>
          <w:p w:rsidRPr="0057780D" w:rsidR="00F32115" w:rsidP="00DF2895" w:rsidRDefault="00FE0FE7" w14:paraId="4B0195D3" w14:textId="33FD1A10">
            <w:pPr>
              <w:jc w:val="right"/>
              <w:rPr>
                <w:rFonts w:eastAsia="Times New Roman" w:cs="Arial"/>
                <w:b/>
                <w:bCs/>
                <w:i/>
                <w:iCs/>
                <w:sz w:val="20"/>
                <w:szCs w:val="18"/>
              </w:rPr>
            </w:pPr>
            <w:r w:rsidRPr="0057780D">
              <w:rPr>
                <w:rFonts w:eastAsia="Times New Roman" w:cs="Arial"/>
                <w:b/>
                <w:bCs/>
                <w:i/>
                <w:iCs/>
                <w:sz w:val="20"/>
                <w:szCs w:val="18"/>
              </w:rPr>
              <w:t>28,127</w:t>
            </w:r>
          </w:p>
        </w:tc>
        <w:tc>
          <w:tcPr>
            <w:tcW w:w="1080" w:type="dxa"/>
            <w:tcBorders>
              <w:top w:val="nil"/>
              <w:left w:val="nil"/>
              <w:bottom w:val="single" w:color="auto" w:sz="4" w:space="0"/>
              <w:right w:val="single" w:color="auto" w:sz="8" w:space="0"/>
            </w:tcBorders>
            <w:shd w:val="clear" w:color="auto" w:fill="auto"/>
            <w:vAlign w:val="center"/>
          </w:tcPr>
          <w:p w:rsidRPr="0057780D" w:rsidR="00F32115" w:rsidP="00DF2895" w:rsidRDefault="00F32115" w14:paraId="16DD91ED" w14:textId="77777777">
            <w:pPr>
              <w:rPr>
                <w:rFonts w:eastAsia="Times New Roman" w:cs="Arial"/>
                <w:b/>
                <w:bCs/>
                <w:i/>
                <w:iCs/>
                <w:sz w:val="18"/>
                <w:szCs w:val="18"/>
              </w:rPr>
            </w:pPr>
          </w:p>
        </w:tc>
        <w:tc>
          <w:tcPr>
            <w:tcW w:w="1440" w:type="dxa"/>
            <w:tcBorders>
              <w:top w:val="nil"/>
              <w:left w:val="nil"/>
              <w:bottom w:val="single" w:color="auto" w:sz="4" w:space="0"/>
              <w:right w:val="single" w:color="auto" w:sz="8" w:space="0"/>
            </w:tcBorders>
            <w:shd w:val="clear" w:color="auto" w:fill="auto"/>
            <w:vAlign w:val="center"/>
          </w:tcPr>
          <w:p w:rsidRPr="0057780D" w:rsidR="00F32115" w:rsidP="00DF2895" w:rsidRDefault="00FE0FE7" w14:paraId="4D33F582" w14:textId="7F9F2960">
            <w:pPr>
              <w:jc w:val="right"/>
              <w:rPr>
                <w:rFonts w:eastAsia="Times New Roman" w:cs="Arial"/>
                <w:b/>
                <w:bCs/>
                <w:i/>
                <w:iCs/>
                <w:sz w:val="20"/>
                <w:szCs w:val="18"/>
              </w:rPr>
            </w:pPr>
            <w:r w:rsidRPr="0057780D">
              <w:rPr>
                <w:rFonts w:eastAsia="Times New Roman" w:cs="Arial"/>
                <w:b/>
                <w:bCs/>
                <w:i/>
                <w:iCs/>
                <w:sz w:val="20"/>
                <w:szCs w:val="18"/>
              </w:rPr>
              <w:t>$2,152,203</w:t>
            </w:r>
          </w:p>
        </w:tc>
      </w:tr>
      <w:tr w:rsidRPr="0057780D" w:rsidR="00DF2895" w:rsidTr="002C2A45" w14:paraId="33166EA0" w14:textId="77777777">
        <w:trPr>
          <w:trHeight w:val="521"/>
        </w:trPr>
        <w:tc>
          <w:tcPr>
            <w:tcW w:w="9710" w:type="dxa"/>
            <w:gridSpan w:val="5"/>
            <w:tcBorders>
              <w:top w:val="single" w:color="auto" w:sz="4" w:space="0"/>
            </w:tcBorders>
            <w:shd w:val="clear" w:color="auto" w:fill="auto"/>
            <w:vAlign w:val="center"/>
          </w:tcPr>
          <w:p w:rsidRPr="0057780D" w:rsidR="00DF2895" w:rsidP="00DF2895" w:rsidRDefault="00DF1C64" w14:paraId="39A0D9BB" w14:textId="5AC565E1">
            <w:pPr>
              <w:rPr>
                <w:rFonts w:eastAsia="Times New Roman" w:cs="Arial"/>
                <w:bCs/>
                <w:sz w:val="16"/>
                <w:szCs w:val="18"/>
              </w:rPr>
            </w:pPr>
            <w:r w:rsidRPr="0057780D">
              <w:rPr>
                <w:rFonts w:eastAsia="Times New Roman" w:cs="Arial"/>
                <w:bCs/>
                <w:sz w:val="16"/>
                <w:szCs w:val="18"/>
              </w:rPr>
              <w:t xml:space="preserve">Total responses, burden and cost estimates are based on the expectation </w:t>
            </w:r>
            <w:r w:rsidRPr="0057780D" w:rsidR="00DF2895">
              <w:rPr>
                <w:rFonts w:eastAsia="Times New Roman" w:cs="Arial"/>
                <w:bCs/>
                <w:sz w:val="16"/>
                <w:szCs w:val="18"/>
              </w:rPr>
              <w:t xml:space="preserve">that 199 processors will </w:t>
            </w:r>
            <w:r w:rsidRPr="0057780D">
              <w:rPr>
                <w:rFonts w:eastAsia="Times New Roman" w:cs="Arial"/>
                <w:bCs/>
                <w:sz w:val="16"/>
                <w:szCs w:val="18"/>
              </w:rPr>
              <w:t xml:space="preserve">submit one </w:t>
            </w:r>
            <w:r w:rsidRPr="0057780D" w:rsidR="00DF2895">
              <w:rPr>
                <w:rFonts w:eastAsia="Times New Roman" w:cs="Arial"/>
                <w:bCs/>
                <w:sz w:val="16"/>
                <w:szCs w:val="18"/>
              </w:rPr>
              <w:t>respon</w:t>
            </w:r>
            <w:r w:rsidRPr="0057780D">
              <w:rPr>
                <w:rFonts w:eastAsia="Times New Roman" w:cs="Arial"/>
                <w:bCs/>
                <w:sz w:val="16"/>
                <w:szCs w:val="18"/>
              </w:rPr>
              <w:t>se</w:t>
            </w:r>
            <w:r w:rsidRPr="0057780D" w:rsidR="00DF2895">
              <w:rPr>
                <w:rFonts w:eastAsia="Times New Roman" w:cs="Arial"/>
                <w:bCs/>
                <w:sz w:val="16"/>
                <w:szCs w:val="18"/>
              </w:rPr>
              <w:t xml:space="preserve"> </w:t>
            </w:r>
            <w:r w:rsidRPr="0057780D">
              <w:rPr>
                <w:rFonts w:eastAsia="Times New Roman" w:cs="Arial"/>
                <w:bCs/>
                <w:sz w:val="16"/>
                <w:szCs w:val="18"/>
              </w:rPr>
              <w:t>each year over the three-year period</w:t>
            </w:r>
            <w:r w:rsidRPr="0057780D" w:rsidR="00DF2895">
              <w:rPr>
                <w:rFonts w:eastAsia="Times New Roman" w:cs="Arial"/>
                <w:bCs/>
                <w:sz w:val="16"/>
                <w:szCs w:val="18"/>
              </w:rPr>
              <w:t>.</w:t>
            </w:r>
          </w:p>
          <w:p w:rsidRPr="0057780D" w:rsidR="00DF2895" w:rsidP="00DF2895" w:rsidRDefault="00DF2895" w14:paraId="2AE1CA30" w14:textId="18D64738">
            <w:pPr>
              <w:rPr>
                <w:rFonts w:cs="Arial"/>
                <w:b/>
                <w:color w:val="000000"/>
                <w:sz w:val="16"/>
                <w:szCs w:val="18"/>
              </w:rPr>
            </w:pPr>
            <w:r w:rsidRPr="0057780D">
              <w:rPr>
                <w:rFonts w:eastAsia="Times New Roman" w:cs="Arial"/>
                <w:bCs/>
                <w:sz w:val="16"/>
                <w:szCs w:val="18"/>
              </w:rPr>
              <w:t>Values may not sum due to rounding.</w:t>
            </w:r>
          </w:p>
        </w:tc>
      </w:tr>
    </w:tbl>
    <w:p w:rsidRPr="0057780D" w:rsidR="00FE0FE7" w:rsidP="00EE6B0F" w:rsidRDefault="00FE0FE7" w14:paraId="5E558B57" w14:textId="3A3BB9C4">
      <w:pPr>
        <w:pStyle w:val="NoSpacing"/>
      </w:pPr>
    </w:p>
    <w:p w:rsidR="002C2A45" w:rsidRDefault="002C2A45" w14:paraId="20526461" w14:textId="07C83BDD">
      <w:pPr>
        <w:spacing w:after="160" w:line="259" w:lineRule="auto"/>
      </w:pPr>
      <w:r>
        <w:br w:type="page"/>
      </w:r>
    </w:p>
    <w:p w:rsidRPr="0057780D" w:rsidR="00FE0FE7" w:rsidP="00FE0FE7" w:rsidRDefault="00FE0FE7" w14:paraId="27AD525F" w14:textId="77777777">
      <w:pPr>
        <w:pStyle w:val="NoSpacing"/>
      </w:pPr>
    </w:p>
    <w:p w:rsidRPr="0057780D" w:rsidR="00552EB6" w:rsidP="00A85939" w:rsidRDefault="005644AE" w14:paraId="2CC7FAC6" w14:textId="346EFEBA">
      <w:pPr>
        <w:pStyle w:val="Heading1"/>
        <w:numPr>
          <w:ilvl w:val="0"/>
          <w:numId w:val="1"/>
        </w:numPr>
      </w:pPr>
      <w:bookmarkStart w:name="_Toc495667100" w:id="23"/>
      <w:r w:rsidRPr="0057780D">
        <w:t xml:space="preserve">ESTIMATING BURDEN AND COST OF THIS COLLECTION </w:t>
      </w:r>
      <w:bookmarkEnd w:id="23"/>
    </w:p>
    <w:p w:rsidRPr="0057780D" w:rsidR="005644AE" w:rsidP="005644AE" w:rsidRDefault="005644AE" w14:paraId="105BABA0" w14:textId="531113A3">
      <w:pPr>
        <w:pStyle w:val="Heading2"/>
        <w:numPr>
          <w:ilvl w:val="1"/>
          <w:numId w:val="1"/>
        </w:numPr>
        <w:tabs>
          <w:tab w:val="left" w:pos="1080"/>
        </w:tabs>
        <w:rPr>
          <w:lang w:bidi="en-US"/>
        </w:rPr>
      </w:pPr>
      <w:bookmarkStart w:name="_Toc494361019" w:id="24"/>
      <w:bookmarkStart w:name="_Toc495667099" w:id="25"/>
      <w:r w:rsidRPr="0057780D">
        <w:t xml:space="preserve">Total Estimated Respondent </w:t>
      </w:r>
      <w:r w:rsidRPr="0057780D" w:rsidR="00FE0FE7">
        <w:t xml:space="preserve">Annual </w:t>
      </w:r>
      <w:r w:rsidRPr="0057780D">
        <w:t>Burden and Costs</w:t>
      </w:r>
      <w:bookmarkEnd w:id="24"/>
      <w:bookmarkEnd w:id="25"/>
    </w:p>
    <w:tbl>
      <w:tblPr>
        <w:tblW w:w="6830" w:type="dxa"/>
        <w:jc w:val="center"/>
        <w:tblLook w:val="04A0" w:firstRow="1" w:lastRow="0" w:firstColumn="1" w:lastColumn="0" w:noHBand="0" w:noVBand="1"/>
      </w:tblPr>
      <w:tblGrid>
        <w:gridCol w:w="2867"/>
        <w:gridCol w:w="1327"/>
        <w:gridCol w:w="1419"/>
        <w:gridCol w:w="1217"/>
      </w:tblGrid>
      <w:tr w:rsidRPr="0057780D" w:rsidR="005644AE" w:rsidTr="00AC5D42" w14:paraId="03967F09" w14:textId="77777777">
        <w:trPr>
          <w:trHeight w:val="315"/>
          <w:jc w:val="center"/>
        </w:trPr>
        <w:tc>
          <w:tcPr>
            <w:tcW w:w="6830" w:type="dxa"/>
            <w:gridSpan w:val="4"/>
            <w:tcBorders>
              <w:top w:val="single" w:color="auto" w:sz="8" w:space="0"/>
              <w:left w:val="single" w:color="auto" w:sz="8" w:space="0"/>
              <w:bottom w:val="single" w:color="auto" w:sz="8" w:space="0"/>
              <w:right w:val="single" w:color="000000" w:sz="8" w:space="0"/>
            </w:tcBorders>
            <w:shd w:val="clear" w:color="000000" w:fill="BFBFBF"/>
            <w:vAlign w:val="center"/>
            <w:hideMark/>
          </w:tcPr>
          <w:p w:rsidRPr="0057780D" w:rsidR="005644AE" w:rsidP="00217E76" w:rsidRDefault="005644AE" w14:paraId="27D3CE1A" w14:textId="77777777">
            <w:pPr>
              <w:jc w:val="center"/>
              <w:rPr>
                <w:rFonts w:eastAsia="Times New Roman" w:cs="Arial"/>
                <w:b/>
                <w:bCs/>
                <w:sz w:val="22"/>
              </w:rPr>
            </w:pPr>
            <w:r w:rsidRPr="0057780D">
              <w:rPr>
                <w:rFonts w:eastAsia="Times New Roman" w:cs="Arial"/>
                <w:b/>
                <w:bCs/>
                <w:sz w:val="22"/>
              </w:rPr>
              <w:t>IC Summary Table</w:t>
            </w:r>
          </w:p>
        </w:tc>
      </w:tr>
      <w:tr w:rsidRPr="0057780D" w:rsidR="00FE0FE7" w:rsidTr="00AC5D42" w14:paraId="47602660" w14:textId="77777777">
        <w:trPr>
          <w:trHeight w:val="315"/>
          <w:jc w:val="center"/>
        </w:trPr>
        <w:tc>
          <w:tcPr>
            <w:tcW w:w="3480" w:type="dxa"/>
            <w:tcBorders>
              <w:top w:val="nil"/>
              <w:left w:val="single" w:color="auto" w:sz="8" w:space="0"/>
              <w:bottom w:val="single" w:color="auto" w:sz="8" w:space="0"/>
              <w:right w:val="single" w:color="auto" w:sz="8" w:space="0"/>
            </w:tcBorders>
            <w:shd w:val="clear" w:color="000000" w:fill="BFBFBF"/>
            <w:vAlign w:val="center"/>
            <w:hideMark/>
          </w:tcPr>
          <w:p w:rsidRPr="0057780D" w:rsidR="005644AE" w:rsidP="00217E76" w:rsidRDefault="005644AE" w14:paraId="3F94299A" w14:textId="77777777">
            <w:pPr>
              <w:rPr>
                <w:rFonts w:eastAsia="Times New Roman" w:cs="Arial"/>
                <w:b/>
                <w:bCs/>
                <w:sz w:val="18"/>
                <w:szCs w:val="18"/>
              </w:rPr>
            </w:pPr>
            <w:bookmarkStart w:name="_Hlk21439980" w:id="26"/>
            <w:r w:rsidRPr="0057780D">
              <w:rPr>
                <w:rFonts w:eastAsia="Times New Roman" w:cs="Arial"/>
                <w:b/>
                <w:bCs/>
                <w:sz w:val="18"/>
                <w:szCs w:val="18"/>
              </w:rPr>
              <w:t>IC Category</w:t>
            </w:r>
          </w:p>
        </w:tc>
        <w:tc>
          <w:tcPr>
            <w:tcW w:w="1400" w:type="dxa"/>
            <w:tcBorders>
              <w:top w:val="nil"/>
              <w:left w:val="nil"/>
              <w:bottom w:val="single" w:color="auto" w:sz="8" w:space="0"/>
              <w:right w:val="single" w:color="auto" w:sz="8" w:space="0"/>
            </w:tcBorders>
            <w:shd w:val="clear" w:color="000000" w:fill="BFBFBF"/>
            <w:vAlign w:val="center"/>
            <w:hideMark/>
          </w:tcPr>
          <w:p w:rsidRPr="0057780D" w:rsidR="005644AE" w:rsidP="00217E76" w:rsidRDefault="00FE0FE7" w14:paraId="320CCEAA" w14:textId="16C900DF">
            <w:pPr>
              <w:rPr>
                <w:rFonts w:eastAsia="Times New Roman" w:cs="Arial"/>
                <w:b/>
                <w:bCs/>
                <w:sz w:val="18"/>
                <w:szCs w:val="18"/>
              </w:rPr>
            </w:pPr>
            <w:r w:rsidRPr="0057780D">
              <w:rPr>
                <w:rFonts w:eastAsia="Times New Roman" w:cs="Arial"/>
                <w:b/>
                <w:bCs/>
                <w:sz w:val="18"/>
                <w:szCs w:val="18"/>
              </w:rPr>
              <w:t xml:space="preserve">Annual number of </w:t>
            </w:r>
            <w:r w:rsidRPr="0057780D" w:rsidR="005644AE">
              <w:rPr>
                <w:rFonts w:eastAsia="Times New Roman" w:cs="Arial"/>
                <w:b/>
                <w:bCs/>
                <w:sz w:val="18"/>
                <w:szCs w:val="18"/>
              </w:rPr>
              <w:t>Responses</w:t>
            </w:r>
          </w:p>
        </w:tc>
        <w:tc>
          <w:tcPr>
            <w:tcW w:w="1700" w:type="dxa"/>
            <w:tcBorders>
              <w:top w:val="nil"/>
              <w:left w:val="nil"/>
              <w:bottom w:val="single" w:color="auto" w:sz="8" w:space="0"/>
              <w:right w:val="single" w:color="auto" w:sz="8" w:space="0"/>
            </w:tcBorders>
            <w:shd w:val="clear" w:color="000000" w:fill="BFBFBF"/>
            <w:vAlign w:val="center"/>
            <w:hideMark/>
          </w:tcPr>
          <w:p w:rsidRPr="0057780D" w:rsidR="005644AE" w:rsidP="00217E76" w:rsidRDefault="00FE0FE7" w14:paraId="306121CE" w14:textId="65C1FE70">
            <w:pPr>
              <w:rPr>
                <w:rFonts w:eastAsia="Times New Roman" w:cs="Arial"/>
                <w:b/>
                <w:bCs/>
                <w:sz w:val="18"/>
                <w:szCs w:val="18"/>
              </w:rPr>
            </w:pPr>
            <w:r w:rsidRPr="0057780D">
              <w:rPr>
                <w:rFonts w:eastAsia="Times New Roman" w:cs="Arial"/>
                <w:b/>
                <w:bCs/>
                <w:sz w:val="18"/>
                <w:szCs w:val="18"/>
              </w:rPr>
              <w:t xml:space="preserve">Annual </w:t>
            </w:r>
            <w:r w:rsidRPr="0057780D" w:rsidR="005644AE">
              <w:rPr>
                <w:rFonts w:eastAsia="Times New Roman" w:cs="Arial"/>
                <w:b/>
                <w:bCs/>
                <w:sz w:val="18"/>
                <w:szCs w:val="18"/>
              </w:rPr>
              <w:t>Burden (hours)</w:t>
            </w:r>
          </w:p>
        </w:tc>
        <w:tc>
          <w:tcPr>
            <w:tcW w:w="250" w:type="dxa"/>
            <w:tcBorders>
              <w:top w:val="nil"/>
              <w:left w:val="nil"/>
              <w:bottom w:val="single" w:color="auto" w:sz="8" w:space="0"/>
              <w:right w:val="single" w:color="auto" w:sz="8" w:space="0"/>
            </w:tcBorders>
            <w:shd w:val="clear" w:color="000000" w:fill="BFBFBF"/>
            <w:vAlign w:val="center"/>
            <w:hideMark/>
          </w:tcPr>
          <w:p w:rsidRPr="0057780D" w:rsidR="005644AE" w:rsidP="00217E76" w:rsidRDefault="00FE0FE7" w14:paraId="195AB1B5" w14:textId="5EBEC3CF">
            <w:pPr>
              <w:rPr>
                <w:rFonts w:eastAsia="Times New Roman" w:cs="Arial"/>
                <w:b/>
                <w:bCs/>
                <w:sz w:val="18"/>
                <w:szCs w:val="18"/>
              </w:rPr>
            </w:pPr>
            <w:r w:rsidRPr="0057780D">
              <w:rPr>
                <w:rFonts w:eastAsia="Times New Roman" w:cs="Arial"/>
                <w:b/>
                <w:bCs/>
                <w:sz w:val="18"/>
                <w:szCs w:val="18"/>
              </w:rPr>
              <w:t xml:space="preserve">Annual </w:t>
            </w:r>
            <w:r w:rsidRPr="0057780D" w:rsidR="005644AE">
              <w:rPr>
                <w:rFonts w:eastAsia="Times New Roman" w:cs="Arial"/>
                <w:b/>
                <w:bCs/>
                <w:sz w:val="18"/>
                <w:szCs w:val="18"/>
              </w:rPr>
              <w:t>Cost ($)</w:t>
            </w:r>
          </w:p>
        </w:tc>
      </w:tr>
      <w:tr w:rsidRPr="0057780D" w:rsidR="00FE0FE7" w:rsidTr="00AC5D42" w14:paraId="1CE08DF5" w14:textId="77777777">
        <w:trPr>
          <w:trHeight w:val="315"/>
          <w:jc w:val="center"/>
        </w:trPr>
        <w:tc>
          <w:tcPr>
            <w:tcW w:w="3480" w:type="dxa"/>
            <w:tcBorders>
              <w:top w:val="nil"/>
              <w:left w:val="single" w:color="auto" w:sz="8" w:space="0"/>
              <w:bottom w:val="single" w:color="auto" w:sz="8" w:space="0"/>
              <w:right w:val="single" w:color="auto" w:sz="8" w:space="0"/>
            </w:tcBorders>
            <w:shd w:val="clear" w:color="auto" w:fill="auto"/>
            <w:vAlign w:val="center"/>
            <w:hideMark/>
          </w:tcPr>
          <w:p w:rsidRPr="0057780D" w:rsidR="005644AE" w:rsidP="00217E76" w:rsidRDefault="005644AE" w14:paraId="4EACFE80" w14:textId="77777777">
            <w:pPr>
              <w:rPr>
                <w:rFonts w:eastAsia="Times New Roman" w:cs="Arial"/>
                <w:sz w:val="22"/>
              </w:rPr>
            </w:pPr>
            <w:r w:rsidRPr="0057780D">
              <w:rPr>
                <w:rFonts w:eastAsia="Times New Roman" w:cs="Arial"/>
                <w:sz w:val="22"/>
              </w:rPr>
              <w:t>IC 1: Manufacturers</w:t>
            </w:r>
          </w:p>
        </w:tc>
        <w:tc>
          <w:tcPr>
            <w:tcW w:w="1400" w:type="dxa"/>
            <w:tcBorders>
              <w:top w:val="nil"/>
              <w:left w:val="nil"/>
              <w:bottom w:val="single" w:color="auto" w:sz="8" w:space="0"/>
              <w:right w:val="single" w:color="auto" w:sz="8" w:space="0"/>
            </w:tcBorders>
            <w:shd w:val="clear" w:color="auto" w:fill="auto"/>
            <w:vAlign w:val="center"/>
            <w:hideMark/>
          </w:tcPr>
          <w:p w:rsidRPr="0057780D" w:rsidR="005644AE" w:rsidP="00217E76" w:rsidRDefault="00FE0FE7" w14:paraId="5DAC553B" w14:textId="6B5E8FA8">
            <w:pPr>
              <w:jc w:val="right"/>
              <w:rPr>
                <w:rFonts w:eastAsia="Times New Roman" w:cs="Arial"/>
                <w:sz w:val="20"/>
                <w:szCs w:val="18"/>
              </w:rPr>
            </w:pPr>
            <w:r w:rsidRPr="0057780D">
              <w:rPr>
                <w:rFonts w:eastAsia="Times New Roman" w:cs="Arial"/>
                <w:sz w:val="20"/>
                <w:szCs w:val="18"/>
              </w:rPr>
              <w:t>86</w:t>
            </w:r>
          </w:p>
        </w:tc>
        <w:tc>
          <w:tcPr>
            <w:tcW w:w="1700" w:type="dxa"/>
            <w:tcBorders>
              <w:top w:val="nil"/>
              <w:left w:val="nil"/>
              <w:bottom w:val="single" w:color="auto" w:sz="8" w:space="0"/>
              <w:right w:val="single" w:color="auto" w:sz="8" w:space="0"/>
            </w:tcBorders>
            <w:shd w:val="clear" w:color="auto" w:fill="auto"/>
            <w:vAlign w:val="center"/>
          </w:tcPr>
          <w:p w:rsidRPr="0057780D" w:rsidR="005644AE" w:rsidP="00217E76" w:rsidRDefault="00FE0FE7" w14:paraId="374EA561" w14:textId="67931292">
            <w:pPr>
              <w:jc w:val="right"/>
              <w:rPr>
                <w:rFonts w:eastAsia="Times New Roman" w:cs="Arial"/>
                <w:sz w:val="20"/>
                <w:szCs w:val="20"/>
              </w:rPr>
            </w:pPr>
            <w:r w:rsidRPr="0057780D">
              <w:rPr>
                <w:rFonts w:eastAsia="Times New Roman" w:cs="Arial"/>
                <w:bCs/>
                <w:iCs/>
                <w:sz w:val="20"/>
                <w:szCs w:val="20"/>
              </w:rPr>
              <w:t>11,963</w:t>
            </w:r>
            <w:r w:rsidRPr="0057780D" w:rsidR="005644AE">
              <w:rPr>
                <w:rFonts w:eastAsia="Times New Roman" w:cs="Arial"/>
                <w:bCs/>
                <w:iCs/>
                <w:sz w:val="20"/>
                <w:szCs w:val="20"/>
              </w:rPr>
              <w:t xml:space="preserve"> </w:t>
            </w:r>
          </w:p>
        </w:tc>
        <w:tc>
          <w:tcPr>
            <w:tcW w:w="250" w:type="dxa"/>
            <w:tcBorders>
              <w:top w:val="nil"/>
              <w:left w:val="nil"/>
              <w:bottom w:val="single" w:color="auto" w:sz="8" w:space="0"/>
              <w:right w:val="single" w:color="auto" w:sz="8" w:space="0"/>
            </w:tcBorders>
            <w:shd w:val="clear" w:color="auto" w:fill="auto"/>
            <w:vAlign w:val="center"/>
          </w:tcPr>
          <w:p w:rsidRPr="0057780D" w:rsidR="005644AE" w:rsidP="00217E76" w:rsidRDefault="005644AE" w14:paraId="5F2B581F" w14:textId="3D94D085">
            <w:pPr>
              <w:jc w:val="right"/>
              <w:rPr>
                <w:rFonts w:eastAsia="Times New Roman" w:cs="Arial"/>
                <w:sz w:val="20"/>
                <w:szCs w:val="18"/>
              </w:rPr>
            </w:pPr>
            <w:r w:rsidRPr="0057780D">
              <w:rPr>
                <w:sz w:val="20"/>
              </w:rPr>
              <w:t>$</w:t>
            </w:r>
            <w:r w:rsidRPr="0057780D" w:rsidR="00FE0FE7">
              <w:rPr>
                <w:sz w:val="20"/>
              </w:rPr>
              <w:t>915,343</w:t>
            </w:r>
          </w:p>
        </w:tc>
      </w:tr>
      <w:tr w:rsidRPr="0057780D" w:rsidR="00FE0FE7" w:rsidTr="00AC5D42" w14:paraId="1CB2BA32" w14:textId="77777777">
        <w:trPr>
          <w:trHeight w:val="315"/>
          <w:jc w:val="center"/>
        </w:trPr>
        <w:tc>
          <w:tcPr>
            <w:tcW w:w="3480" w:type="dxa"/>
            <w:tcBorders>
              <w:top w:val="nil"/>
              <w:left w:val="single" w:color="auto" w:sz="8" w:space="0"/>
              <w:bottom w:val="single" w:color="auto" w:sz="8" w:space="0"/>
              <w:right w:val="single" w:color="auto" w:sz="8" w:space="0"/>
            </w:tcBorders>
            <w:shd w:val="clear" w:color="auto" w:fill="auto"/>
            <w:vAlign w:val="center"/>
            <w:hideMark/>
          </w:tcPr>
          <w:p w:rsidRPr="0057780D" w:rsidR="005644AE" w:rsidP="00217E76" w:rsidRDefault="005644AE" w14:paraId="6DB2AAAC" w14:textId="77777777">
            <w:pPr>
              <w:rPr>
                <w:rFonts w:eastAsia="Times New Roman" w:cs="Arial"/>
                <w:sz w:val="22"/>
              </w:rPr>
            </w:pPr>
            <w:r w:rsidRPr="0057780D">
              <w:rPr>
                <w:rFonts w:eastAsia="Times New Roman" w:cs="Arial"/>
                <w:sz w:val="22"/>
              </w:rPr>
              <w:t>IC 2: Processors</w:t>
            </w:r>
          </w:p>
        </w:tc>
        <w:tc>
          <w:tcPr>
            <w:tcW w:w="1400" w:type="dxa"/>
            <w:tcBorders>
              <w:top w:val="nil"/>
              <w:left w:val="nil"/>
              <w:bottom w:val="single" w:color="auto" w:sz="8" w:space="0"/>
              <w:right w:val="single" w:color="auto" w:sz="8" w:space="0"/>
            </w:tcBorders>
            <w:shd w:val="clear" w:color="auto" w:fill="auto"/>
            <w:vAlign w:val="center"/>
            <w:hideMark/>
          </w:tcPr>
          <w:p w:rsidRPr="0057780D" w:rsidR="005644AE" w:rsidP="00217E76" w:rsidRDefault="00FE0FE7" w14:paraId="7A4A6AF0" w14:textId="42CF4A29">
            <w:pPr>
              <w:jc w:val="right"/>
              <w:rPr>
                <w:rFonts w:eastAsia="Times New Roman" w:cs="Arial"/>
                <w:sz w:val="20"/>
                <w:szCs w:val="18"/>
              </w:rPr>
            </w:pPr>
            <w:r w:rsidRPr="0057780D">
              <w:rPr>
                <w:rFonts w:eastAsia="Times New Roman" w:cs="Arial"/>
                <w:sz w:val="20"/>
                <w:szCs w:val="18"/>
              </w:rPr>
              <w:t>199</w:t>
            </w:r>
          </w:p>
        </w:tc>
        <w:tc>
          <w:tcPr>
            <w:tcW w:w="1700" w:type="dxa"/>
            <w:tcBorders>
              <w:top w:val="nil"/>
              <w:left w:val="nil"/>
              <w:bottom w:val="single" w:color="auto" w:sz="8" w:space="0"/>
              <w:right w:val="single" w:color="auto" w:sz="8" w:space="0"/>
            </w:tcBorders>
            <w:shd w:val="clear" w:color="auto" w:fill="auto"/>
            <w:vAlign w:val="center"/>
          </w:tcPr>
          <w:p w:rsidRPr="0057780D" w:rsidR="005644AE" w:rsidP="00217E76" w:rsidRDefault="00FE0FE7" w14:paraId="13F56D1B" w14:textId="1760786E">
            <w:pPr>
              <w:jc w:val="right"/>
              <w:rPr>
                <w:rFonts w:eastAsia="Times New Roman" w:cs="Arial"/>
                <w:sz w:val="20"/>
                <w:szCs w:val="20"/>
              </w:rPr>
            </w:pPr>
            <w:r w:rsidRPr="0057780D">
              <w:rPr>
                <w:rFonts w:eastAsia="Times New Roman" w:cs="Arial"/>
                <w:bCs/>
                <w:iCs/>
                <w:sz w:val="20"/>
                <w:szCs w:val="18"/>
              </w:rPr>
              <w:t>28,127</w:t>
            </w:r>
          </w:p>
        </w:tc>
        <w:tc>
          <w:tcPr>
            <w:tcW w:w="250" w:type="dxa"/>
            <w:tcBorders>
              <w:top w:val="nil"/>
              <w:left w:val="nil"/>
              <w:bottom w:val="single" w:color="auto" w:sz="8" w:space="0"/>
              <w:right w:val="single" w:color="auto" w:sz="8" w:space="0"/>
            </w:tcBorders>
            <w:shd w:val="clear" w:color="auto" w:fill="auto"/>
            <w:vAlign w:val="center"/>
          </w:tcPr>
          <w:p w:rsidRPr="0057780D" w:rsidR="005644AE" w:rsidP="00217E76" w:rsidRDefault="005644AE" w14:paraId="49675849" w14:textId="077E3E9A">
            <w:pPr>
              <w:jc w:val="right"/>
              <w:rPr>
                <w:rFonts w:eastAsia="Times New Roman" w:cs="Arial"/>
                <w:sz w:val="20"/>
                <w:szCs w:val="18"/>
              </w:rPr>
            </w:pPr>
            <w:r w:rsidRPr="0057780D">
              <w:rPr>
                <w:sz w:val="20"/>
              </w:rPr>
              <w:t>$</w:t>
            </w:r>
            <w:r w:rsidRPr="0057780D" w:rsidR="00FE0FE7">
              <w:rPr>
                <w:sz w:val="20"/>
              </w:rPr>
              <w:t>2,152,203</w:t>
            </w:r>
          </w:p>
        </w:tc>
      </w:tr>
      <w:tr w:rsidRPr="0057780D" w:rsidR="00FE0FE7" w:rsidTr="00AC5D42" w14:paraId="5892F760" w14:textId="77777777">
        <w:trPr>
          <w:trHeight w:val="315"/>
          <w:jc w:val="center"/>
        </w:trPr>
        <w:tc>
          <w:tcPr>
            <w:tcW w:w="3480" w:type="dxa"/>
            <w:tcBorders>
              <w:top w:val="nil"/>
              <w:left w:val="single" w:color="auto" w:sz="8" w:space="0"/>
              <w:bottom w:val="single" w:color="auto" w:sz="8" w:space="0"/>
              <w:right w:val="nil"/>
            </w:tcBorders>
            <w:shd w:val="clear" w:color="auto" w:fill="auto"/>
            <w:vAlign w:val="center"/>
            <w:hideMark/>
          </w:tcPr>
          <w:p w:rsidRPr="0057780D" w:rsidR="005644AE" w:rsidP="00217E76" w:rsidRDefault="005644AE" w14:paraId="0F9DC332" w14:textId="77777777">
            <w:pPr>
              <w:rPr>
                <w:rFonts w:eastAsia="Times New Roman" w:cs="Arial"/>
                <w:b/>
                <w:bCs/>
                <w:sz w:val="18"/>
                <w:szCs w:val="18"/>
              </w:rPr>
            </w:pPr>
            <w:r w:rsidRPr="0057780D">
              <w:rPr>
                <w:rFonts w:eastAsia="Times New Roman" w:cs="Arial"/>
                <w:b/>
                <w:bCs/>
                <w:sz w:val="20"/>
                <w:szCs w:val="18"/>
              </w:rPr>
              <w:t>Total</w:t>
            </w:r>
          </w:p>
        </w:tc>
        <w:tc>
          <w:tcPr>
            <w:tcW w:w="1400" w:type="dxa"/>
            <w:tcBorders>
              <w:top w:val="nil"/>
              <w:left w:val="single" w:color="auto" w:sz="8" w:space="0"/>
              <w:bottom w:val="single" w:color="auto" w:sz="8" w:space="0"/>
              <w:right w:val="single" w:color="auto" w:sz="8" w:space="0"/>
            </w:tcBorders>
            <w:shd w:val="clear" w:color="auto" w:fill="auto"/>
            <w:vAlign w:val="center"/>
            <w:hideMark/>
          </w:tcPr>
          <w:p w:rsidRPr="0057780D" w:rsidR="005644AE" w:rsidP="00217E76" w:rsidRDefault="00FE0FE7" w14:paraId="3255FD07" w14:textId="4019D10F">
            <w:pPr>
              <w:jc w:val="right"/>
              <w:rPr>
                <w:rFonts w:eastAsia="Times New Roman" w:cs="Arial"/>
                <w:b/>
                <w:bCs/>
                <w:i/>
                <w:sz w:val="20"/>
                <w:szCs w:val="20"/>
              </w:rPr>
            </w:pPr>
            <w:r w:rsidRPr="0057780D">
              <w:rPr>
                <w:rFonts w:eastAsia="Times New Roman" w:cs="Arial"/>
                <w:b/>
                <w:bCs/>
                <w:i/>
                <w:sz w:val="20"/>
                <w:szCs w:val="20"/>
              </w:rPr>
              <w:t>285</w:t>
            </w:r>
          </w:p>
        </w:tc>
        <w:tc>
          <w:tcPr>
            <w:tcW w:w="1700" w:type="dxa"/>
            <w:tcBorders>
              <w:top w:val="nil"/>
              <w:left w:val="nil"/>
              <w:bottom w:val="single" w:color="auto" w:sz="8" w:space="0"/>
              <w:right w:val="single" w:color="auto" w:sz="8" w:space="0"/>
            </w:tcBorders>
            <w:shd w:val="clear" w:color="auto" w:fill="auto"/>
            <w:vAlign w:val="center"/>
          </w:tcPr>
          <w:p w:rsidRPr="0057780D" w:rsidR="005644AE" w:rsidP="00217E76" w:rsidRDefault="00FE0FE7" w14:paraId="27D8C14C" w14:textId="5FB52AA7">
            <w:pPr>
              <w:jc w:val="right"/>
              <w:rPr>
                <w:rFonts w:cs="Arial"/>
                <w:b/>
                <w:i/>
                <w:color w:val="000000"/>
                <w:sz w:val="20"/>
                <w:szCs w:val="20"/>
              </w:rPr>
            </w:pPr>
            <w:r w:rsidRPr="0057780D">
              <w:rPr>
                <w:rFonts w:cs="Arial"/>
                <w:b/>
                <w:i/>
                <w:color w:val="000000"/>
                <w:sz w:val="20"/>
                <w:szCs w:val="20"/>
              </w:rPr>
              <w:t>40,089</w:t>
            </w:r>
          </w:p>
        </w:tc>
        <w:tc>
          <w:tcPr>
            <w:tcW w:w="250" w:type="dxa"/>
            <w:tcBorders>
              <w:top w:val="nil"/>
              <w:left w:val="nil"/>
              <w:bottom w:val="single" w:color="auto" w:sz="8" w:space="0"/>
              <w:right w:val="single" w:color="auto" w:sz="8" w:space="0"/>
            </w:tcBorders>
            <w:shd w:val="clear" w:color="auto" w:fill="auto"/>
            <w:vAlign w:val="center"/>
          </w:tcPr>
          <w:p w:rsidRPr="0057780D" w:rsidR="005644AE" w:rsidP="00217E76" w:rsidRDefault="005644AE" w14:paraId="417C4C96" w14:textId="2CAD225B">
            <w:pPr>
              <w:jc w:val="right"/>
              <w:rPr>
                <w:rFonts w:eastAsia="Times New Roman" w:cs="Arial"/>
                <w:b/>
                <w:bCs/>
                <w:i/>
                <w:sz w:val="20"/>
                <w:szCs w:val="20"/>
              </w:rPr>
            </w:pPr>
            <w:r w:rsidRPr="0057780D">
              <w:rPr>
                <w:b/>
                <w:i/>
                <w:sz w:val="20"/>
              </w:rPr>
              <w:t>$</w:t>
            </w:r>
            <w:r w:rsidRPr="0057780D" w:rsidR="00FE0FE7">
              <w:rPr>
                <w:b/>
                <w:i/>
                <w:sz w:val="20"/>
              </w:rPr>
              <w:t>3,067,546</w:t>
            </w:r>
          </w:p>
        </w:tc>
      </w:tr>
      <w:bookmarkEnd w:id="26"/>
    </w:tbl>
    <w:p w:rsidRPr="0057780D" w:rsidR="005644AE" w:rsidP="005644AE" w:rsidRDefault="005644AE" w14:paraId="1928F266" w14:textId="77777777">
      <w:pPr>
        <w:pStyle w:val="ListParagraph"/>
        <w:ind w:left="0"/>
      </w:pPr>
    </w:p>
    <w:p w:rsidRPr="0057780D" w:rsidR="005644AE" w:rsidP="005644AE" w:rsidRDefault="005644AE" w14:paraId="52E7E255" w14:textId="77777777">
      <w:pPr>
        <w:pStyle w:val="ListParagraph"/>
        <w:ind w:left="0"/>
      </w:pPr>
    </w:p>
    <w:p w:rsidRPr="0057780D" w:rsidR="005644AE" w:rsidP="005644AE" w:rsidRDefault="005644AE" w14:paraId="41B70024" w14:textId="77777777">
      <w:pPr>
        <w:pStyle w:val="Heading2"/>
        <w:tabs>
          <w:tab w:val="left" w:pos="1080"/>
        </w:tabs>
      </w:pPr>
      <w:r w:rsidRPr="0057780D">
        <w:t>6(b) Changes in the Estimates</w:t>
      </w:r>
    </w:p>
    <w:p w:rsidRPr="0057780D" w:rsidR="005644AE" w:rsidP="005644AE" w:rsidRDefault="005644AE" w14:paraId="00599C8F" w14:textId="5E49D632">
      <w:r w:rsidRPr="0057780D">
        <w:t xml:space="preserve">The </w:t>
      </w:r>
      <w:r w:rsidRPr="0057780D" w:rsidR="00FE0FE7">
        <w:t xml:space="preserve">annual </w:t>
      </w:r>
      <w:r w:rsidRPr="0057780D">
        <w:t>burden from the previously approved ICR was</w:t>
      </w:r>
      <w:r w:rsidRPr="0057780D" w:rsidR="000B62B5">
        <w:t>146,855</w:t>
      </w:r>
      <w:r w:rsidRPr="0057780D">
        <w:t xml:space="preserve"> hours. The total </w:t>
      </w:r>
      <w:r w:rsidRPr="0057780D" w:rsidR="00FE0FE7">
        <w:t xml:space="preserve">annual </w:t>
      </w:r>
      <w:r w:rsidRPr="0057780D">
        <w:t xml:space="preserve">burden requested for this ICR is </w:t>
      </w:r>
      <w:r w:rsidRPr="0057780D" w:rsidR="00FE0FE7">
        <w:t>40,089</w:t>
      </w:r>
      <w:r w:rsidRPr="0057780D">
        <w:t xml:space="preserve"> hours, or a decrease of </w:t>
      </w:r>
      <w:r w:rsidRPr="0057780D" w:rsidR="00FE0FE7">
        <w:t>106,766</w:t>
      </w:r>
      <w:r w:rsidRPr="0057780D">
        <w:t xml:space="preserve"> </w:t>
      </w:r>
      <w:r w:rsidRPr="0057780D">
        <w:rPr>
          <w:lang w:val="en-CA"/>
        </w:rPr>
        <w:t>hours from the previous total burden</w:t>
      </w:r>
      <w:r w:rsidRPr="0057780D">
        <w:t>. The difference between the current burden request and the previously approved requests are due to adjustments in EPA’s estimates of the burden. Several adjustments to the estimates were made, including:</w:t>
      </w:r>
    </w:p>
    <w:p w:rsidRPr="0057780D" w:rsidR="005644AE" w:rsidP="005644AE" w:rsidRDefault="005644AE" w14:paraId="08D7DA2B" w14:textId="77777777">
      <w:pPr>
        <w:pStyle w:val="NoSpacing"/>
        <w:numPr>
          <w:ilvl w:val="0"/>
          <w:numId w:val="3"/>
        </w:numPr>
      </w:pPr>
      <w:r w:rsidRPr="0057780D">
        <w:t xml:space="preserve">In the previous ICR period, the rule required an initial one-time reporting on current nanomaterials, while the reporting covered in this period only requires the reporting of new nanomaterials. Therefore, a large portion of the adjustment in estimates stems from the decrease in the number of submissions expected after the initial one-time reporting on current nanomaterials. </w:t>
      </w:r>
    </w:p>
    <w:p w:rsidRPr="0057780D" w:rsidR="005644AE" w:rsidP="005644AE" w:rsidRDefault="005644AE" w14:paraId="5BD955C8" w14:textId="77777777">
      <w:pPr>
        <w:pStyle w:val="NoSpacing"/>
        <w:numPr>
          <w:ilvl w:val="0"/>
          <w:numId w:val="3"/>
        </w:numPr>
      </w:pPr>
      <w:r w:rsidRPr="0057780D">
        <w:t>Burden estimates include a one-time burden that firms incur to become familiar with the rule and its various requirements. In the first year of the rule, the manufacturers that submitted reports incurred the one-time rule familiarization burden. EPA assumes that the same manufacturers will submit reports on new nanomaterials during subsequent years and do not need to familiarize themselves with the rule. Therefore, part of the decrease in burden estimates, relative to the previous ICR period that included the first year of the rule, is due to the same manufacturers submitting reports without incurring the rule familiarization burden.</w:t>
      </w:r>
    </w:p>
    <w:p w:rsidRPr="0057780D" w:rsidR="005644AE" w:rsidP="005644AE" w:rsidRDefault="005644AE" w14:paraId="3BBCC9E6" w14:textId="77777777">
      <w:pPr>
        <w:pStyle w:val="NoSpacing"/>
        <w:ind w:left="360"/>
      </w:pPr>
    </w:p>
    <w:p w:rsidRPr="0057780D" w:rsidR="005644AE" w:rsidP="005644AE" w:rsidRDefault="005644AE" w14:paraId="57B1FA9C" w14:textId="504F3945">
      <w:r w:rsidRPr="0057780D">
        <w:t xml:space="preserve">The total </w:t>
      </w:r>
      <w:r w:rsidRPr="0057780D" w:rsidR="00FE0FE7">
        <w:t>annual</w:t>
      </w:r>
      <w:r w:rsidRPr="0057780D">
        <w:t xml:space="preserve"> cost burden of the previously approved ICR was $33,978,455. The total </w:t>
      </w:r>
      <w:r w:rsidRPr="0057780D" w:rsidR="00FE0FE7">
        <w:t xml:space="preserve">annual </w:t>
      </w:r>
      <w:r w:rsidRPr="0057780D">
        <w:t xml:space="preserve">cost requested for this ICR is </w:t>
      </w:r>
      <w:r w:rsidRPr="0057780D">
        <w:rPr>
          <w:bCs/>
        </w:rPr>
        <w:t>$</w:t>
      </w:r>
      <w:r w:rsidRPr="0057780D" w:rsidR="00FE0FE7">
        <w:rPr>
          <w:bCs/>
        </w:rPr>
        <w:t>3,067,546</w:t>
      </w:r>
      <w:r w:rsidRPr="0057780D">
        <w:t>. The difference of $</w:t>
      </w:r>
      <w:r w:rsidRPr="0057780D" w:rsidR="00FE0FE7">
        <w:t>30,910,909</w:t>
      </w:r>
      <w:r w:rsidRPr="0057780D">
        <w:t xml:space="preserve"> between the current cost burden request and the previously approved requests are due primarily to adjustments in EPA’s estimates of the burden. In addition to the adjustments listed above, the wage rates were revised to reflect 2018 dollars for this information collection request.</w:t>
      </w:r>
    </w:p>
    <w:p w:rsidRPr="0057780D" w:rsidR="005644AE" w:rsidP="005644AE" w:rsidRDefault="005644AE" w14:paraId="011AE897" w14:textId="77777777">
      <w:pPr>
        <w:pStyle w:val="NoSpacing"/>
      </w:pPr>
    </w:p>
    <w:p w:rsidRPr="0057780D" w:rsidR="00552EB6" w:rsidP="00FE0FE7" w:rsidRDefault="005644AE" w14:paraId="17D3E193" w14:textId="72EEC62C">
      <w:pPr>
        <w:pStyle w:val="Heading2"/>
        <w:tabs>
          <w:tab w:val="left" w:pos="1080"/>
        </w:tabs>
      </w:pPr>
      <w:r w:rsidRPr="0057780D">
        <w:lastRenderedPageBreak/>
        <w:t>6(c) PRA Burden Statement</w:t>
      </w:r>
    </w:p>
    <w:p w:rsidRPr="0057780D" w:rsidR="005644AE" w:rsidP="005644AE" w:rsidRDefault="00552EB6" w14:paraId="73D234D8" w14:textId="47DB5E48">
      <w:r w:rsidRPr="0057780D">
        <w:t>The annual public burden for this collection of information, which is approved under OMB Control No</w:t>
      </w:r>
      <w:r w:rsidRPr="0057780D" w:rsidR="004A1F98">
        <w:t>. 2070-0194</w:t>
      </w:r>
      <w:r w:rsidRPr="0057780D">
        <w:t xml:space="preserve">, is estimated to average </w:t>
      </w:r>
      <w:r w:rsidRPr="0057780D" w:rsidR="00B90D9E">
        <w:t xml:space="preserve">approximately </w:t>
      </w:r>
      <w:r w:rsidRPr="0057780D" w:rsidR="00866661">
        <w:t>141</w:t>
      </w:r>
      <w:r w:rsidRPr="0057780D">
        <w:t xml:space="preserve"> hours per re</w:t>
      </w:r>
      <w:r w:rsidRPr="0057780D" w:rsidR="00866661">
        <w:t>sponse</w:t>
      </w:r>
      <w:r w:rsidRPr="0057780D">
        <w:t xml:space="preserve">. </w:t>
      </w:r>
    </w:p>
    <w:p w:rsidRPr="0057780D" w:rsidR="00F6525F" w:rsidP="00F6525F" w:rsidRDefault="00F6525F" w14:paraId="19FE180C" w14:textId="77777777">
      <w:pPr>
        <w:numPr>
          <w:ilvl w:val="12"/>
          <w:numId w:val="0"/>
        </w:numPr>
        <w:spacing w:after="59"/>
        <w:rPr>
          <w:rFonts w:ascii="Calibri" w:hAnsi="Calibri"/>
          <w:szCs w:val="24"/>
        </w:rPr>
      </w:pPr>
      <w:r w:rsidRPr="0057780D">
        <w:rPr>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57780D" w:rsidR="00F6525F" w:rsidP="00F6525F" w:rsidRDefault="00F6525F" w14:paraId="43ED476C" w14:textId="77777777">
      <w:pPr>
        <w:numPr>
          <w:ilvl w:val="12"/>
          <w:numId w:val="0"/>
        </w:numPr>
        <w:spacing w:after="59"/>
        <w:rPr>
          <w:szCs w:val="24"/>
        </w:rPr>
      </w:pPr>
    </w:p>
    <w:p w:rsidRPr="0057780D" w:rsidR="00DE5B5A" w:rsidP="009E4284" w:rsidRDefault="00F6525F" w14:paraId="6ADAFC71" w14:textId="0E31349C">
      <w:pPr>
        <w:numPr>
          <w:ilvl w:val="12"/>
          <w:numId w:val="0"/>
        </w:numPr>
        <w:spacing w:after="59"/>
        <w:rPr>
          <w:szCs w:val="24"/>
        </w:rPr>
      </w:pPr>
      <w:r w:rsidRPr="0057780D">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7780D">
        <w:rPr>
          <w:color w:val="FF0000"/>
          <w:szCs w:val="24"/>
        </w:rPr>
        <w:t>EPA-HQ</w:t>
      </w:r>
      <w:r w:rsidRPr="0057780D" w:rsidR="007946F8">
        <w:t>-</w:t>
      </w:r>
      <w:r w:rsidRPr="0057780D" w:rsidR="007946F8">
        <w:rPr>
          <w:color w:val="FF0000"/>
        </w:rPr>
        <w:t>OPPT-2010-0572</w:t>
      </w:r>
      <w:r w:rsidRPr="0057780D">
        <w:rPr>
          <w:color w:val="0F0F0F"/>
          <w:szCs w:val="24"/>
        </w:rPr>
        <w:t xml:space="preserve">, which is available for online viewing at </w:t>
      </w:r>
      <w:hyperlink w:history="1" r:id="rId14">
        <w:r w:rsidRPr="0057780D">
          <w:rPr>
            <w:rStyle w:val="Hyperlink"/>
            <w:szCs w:val="24"/>
          </w:rPr>
          <w:t>www.regulations.gov</w:t>
        </w:r>
      </w:hyperlink>
      <w:r w:rsidRPr="0057780D">
        <w:rPr>
          <w:color w:val="0F0F0F"/>
          <w:szCs w:val="24"/>
        </w:rPr>
        <w:t xml:space="preserve">,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t>
      </w:r>
      <w:hyperlink w:history="1" r:id="rId15">
        <w:r w:rsidRPr="0057780D">
          <w:rPr>
            <w:rStyle w:val="Hyperlink"/>
            <w:szCs w:val="24"/>
          </w:rPr>
          <w:t>www.regulations.gov</w:t>
        </w:r>
      </w:hyperlink>
      <w:r w:rsidRPr="0057780D">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57780D">
        <w:rPr>
          <w:rFonts w:ascii="Courier New" w:hAnsi="Courier New" w:cs="Courier New"/>
          <w:color w:val="0F0F0F"/>
          <w:szCs w:val="24"/>
        </w:rPr>
        <w:t xml:space="preserve"> </w:t>
      </w:r>
      <w:r w:rsidRPr="0057780D">
        <w:rPr>
          <w:color w:val="0F0F0F"/>
          <w:szCs w:val="24"/>
        </w:rPr>
        <w:t xml:space="preserve">Number </w:t>
      </w:r>
      <w:r w:rsidRPr="0057780D">
        <w:rPr>
          <w:color w:val="FF0000"/>
          <w:szCs w:val="24"/>
        </w:rPr>
        <w:t>EPA-HQ</w:t>
      </w:r>
      <w:r w:rsidRPr="0057780D" w:rsidR="00BC3680">
        <w:rPr>
          <w:color w:val="FF0000"/>
          <w:szCs w:val="24"/>
        </w:rPr>
        <w:t>-OPPT-2010-0572</w:t>
      </w:r>
      <w:r w:rsidRPr="0057780D">
        <w:rPr>
          <w:color w:val="0F0F0F"/>
          <w:szCs w:val="24"/>
        </w:rPr>
        <w:t xml:space="preserve"> and OMB Control Number </w:t>
      </w:r>
      <w:r w:rsidRPr="0057780D" w:rsidR="00BC3680">
        <w:rPr>
          <w:color w:val="FF0000"/>
          <w:szCs w:val="24"/>
        </w:rPr>
        <w:t>2070-0194</w:t>
      </w:r>
      <w:r w:rsidRPr="0057780D">
        <w:rPr>
          <w:color w:val="0F0F0F"/>
          <w:szCs w:val="24"/>
        </w:rPr>
        <w:t xml:space="preserve"> in any correspondence.</w:t>
      </w:r>
    </w:p>
    <w:p w:rsidRPr="0057780D" w:rsidR="00B00C4C" w:rsidP="00DE5B5A" w:rsidRDefault="00B00C4C" w14:paraId="4DE6BF84" w14:textId="77777777">
      <w:pPr>
        <w:pStyle w:val="NoSpacing"/>
      </w:pPr>
    </w:p>
    <w:p w:rsidRPr="0057780D" w:rsidR="00DE5B5A" w:rsidP="005644AE" w:rsidRDefault="00DE5B5A" w14:paraId="518E4A2B" w14:textId="77777777">
      <w:pPr>
        <w:pStyle w:val="NoSpacing"/>
      </w:pPr>
    </w:p>
    <w:p w:rsidRPr="0057780D" w:rsidR="00E40350" w:rsidP="005644AE" w:rsidRDefault="00E40350" w14:paraId="1221127B" w14:textId="624233D5">
      <w:r w:rsidRPr="0057780D">
        <w:br w:type="page"/>
      </w:r>
    </w:p>
    <w:p w:rsidRPr="0057780D" w:rsidR="00EB1F65" w:rsidP="00D47300" w:rsidRDefault="00EB1F65" w14:paraId="399E923B" w14:textId="2CE6A1B6">
      <w:pPr>
        <w:pStyle w:val="NoSpacing"/>
        <w:rPr>
          <w:b/>
        </w:rPr>
      </w:pPr>
      <w:r w:rsidRPr="0057780D">
        <w:rPr>
          <w:b/>
        </w:rPr>
        <w:lastRenderedPageBreak/>
        <w:t xml:space="preserve">ATTACHMENT   </w:t>
      </w:r>
      <w:r w:rsidRPr="0057780D" w:rsidR="005644AE">
        <w:rPr>
          <w:b/>
        </w:rPr>
        <w:t>A</w:t>
      </w:r>
      <w:r w:rsidRPr="0057780D">
        <w:rPr>
          <w:b/>
        </w:rPr>
        <w:t xml:space="preserve">  </w:t>
      </w:r>
    </w:p>
    <w:p w:rsidRPr="0057780D" w:rsidR="00EB1F65" w:rsidP="00D47300" w:rsidRDefault="00EB1F65" w14:paraId="6860D466" w14:textId="77777777">
      <w:pPr>
        <w:pStyle w:val="NoSpacing"/>
      </w:pPr>
    </w:p>
    <w:p w:rsidRPr="0057780D" w:rsidR="00EB1F65" w:rsidP="00EB1F65" w:rsidRDefault="00EB1F65" w14:paraId="51E04A5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szCs w:val="24"/>
        </w:rPr>
      </w:pPr>
      <w:r w:rsidRPr="0057780D">
        <w:rPr>
          <w:rFonts w:ascii="Times New Roman" w:hAnsi="Times New Roman" w:eastAsia="Times New Roman" w:cs="Times New Roman"/>
          <w:b/>
          <w:bCs/>
          <w:szCs w:val="24"/>
        </w:rPr>
        <w:t>Supporting Attachment: Burden Calculation</w:t>
      </w:r>
    </w:p>
    <w:p w:rsidRPr="0057780D" w:rsidR="00EB1F65" w:rsidP="00EB1F65" w:rsidRDefault="00EB1F65" w14:paraId="2491131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szCs w:val="24"/>
        </w:rPr>
      </w:pPr>
    </w:p>
    <w:p w:rsidRPr="0057780D" w:rsidR="00EB1F65" w:rsidP="00EB1F65" w:rsidRDefault="00EB1F65" w14:paraId="6C95721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r w:rsidRPr="0057780D">
        <w:rPr>
          <w:rFonts w:ascii="Times New Roman" w:hAnsi="Times New Roman" w:eastAsia="Times New Roman" w:cs="Times New Roman"/>
          <w:bCs/>
          <w:szCs w:val="24"/>
        </w:rPr>
        <w:t xml:space="preserve">This document serves the purpose of supporting the burden calculations included in the ICR renewal. </w:t>
      </w:r>
      <w:r w:rsidRPr="0057780D">
        <w:rPr>
          <w:rFonts w:ascii="Times New Roman" w:hAnsi="Times New Roman" w:eastAsia="Times New Roman" w:cs="Times New Roman"/>
          <w:szCs w:val="24"/>
        </w:rPr>
        <w:t xml:space="preserve">EPA estimates that a total of 165 nanomaterial manufacturers will submit 0.52 responses per year and 199 nanomaterial processors will submit one response per year in each year of the ICR period, for a total of 285 reports per year and 855 reports over the three-year period. Table 1 shows the yearly number of responses for the various activities for manufacturers and processors, respectively. </w:t>
      </w:r>
    </w:p>
    <w:p w:rsidRPr="0057780D" w:rsidR="00EB1F65" w:rsidP="00EB1F65" w:rsidRDefault="00EB1F65" w14:paraId="3C47441C" w14:textId="77777777">
      <w:pPr>
        <w:keepNext/>
        <w:rPr>
          <w:rFonts w:ascii="Times New Roman" w:hAnsi="Times New Roman" w:eastAsia="Times New Roman" w:cs="Times New Roman"/>
        </w:rPr>
      </w:pPr>
    </w:p>
    <w:p w:rsidRPr="0057780D" w:rsidR="00EB1F65" w:rsidP="00EB1F65" w:rsidRDefault="00EB1F65" w14:paraId="150CB8F8" w14:textId="77777777">
      <w:pPr>
        <w:keepNext/>
        <w:rPr>
          <w:rFonts w:ascii="Times New Roman" w:hAnsi="Times New Roman" w:eastAsia="Times New Roman" w:cs="Times New Roman"/>
          <w:b/>
          <w:szCs w:val="24"/>
        </w:rPr>
      </w:pPr>
      <w:r w:rsidRPr="0057780D">
        <w:rPr>
          <w:rFonts w:ascii="Times New Roman" w:hAnsi="Times New Roman" w:eastAsia="Times New Roman" w:cs="Times New Roman"/>
          <w:b/>
        </w:rPr>
        <w:t xml:space="preserve">Table 1: Annual Number of Responses per Activity </w:t>
      </w:r>
    </w:p>
    <w:tbl>
      <w:tblPr>
        <w:tblW w:w="5131" w:type="pct"/>
        <w:tblLayout w:type="fixed"/>
        <w:tblLook w:val="04A0" w:firstRow="1" w:lastRow="0" w:firstColumn="1" w:lastColumn="0" w:noHBand="0" w:noVBand="1"/>
      </w:tblPr>
      <w:tblGrid>
        <w:gridCol w:w="2478"/>
        <w:gridCol w:w="1319"/>
        <w:gridCol w:w="1445"/>
        <w:gridCol w:w="1449"/>
        <w:gridCol w:w="1449"/>
        <w:gridCol w:w="1445"/>
      </w:tblGrid>
      <w:tr w:rsidRPr="0057780D" w:rsidR="00EB1F65" w:rsidTr="00DE3922" w14:paraId="0A04AA06" w14:textId="77777777">
        <w:trPr>
          <w:trHeight w:val="823"/>
        </w:trPr>
        <w:tc>
          <w:tcPr>
            <w:tcW w:w="1292" w:type="pct"/>
            <w:vMerge w:val="restart"/>
            <w:tcBorders>
              <w:top w:val="single" w:color="auto" w:sz="8" w:space="0"/>
              <w:left w:val="single" w:color="auto" w:sz="8" w:space="0"/>
              <w:right w:val="single" w:color="auto" w:sz="8" w:space="0"/>
            </w:tcBorders>
            <w:shd w:val="clear" w:color="auto" w:fill="F2F2F2"/>
            <w:vAlign w:val="center"/>
          </w:tcPr>
          <w:p w:rsidRPr="0057780D" w:rsidR="00EB1F65" w:rsidP="00DE3922" w:rsidRDefault="00EB1F65" w14:paraId="2420D0E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Activity</w:t>
            </w:r>
          </w:p>
        </w:tc>
        <w:tc>
          <w:tcPr>
            <w:tcW w:w="1442" w:type="pct"/>
            <w:gridSpan w:val="2"/>
            <w:tcBorders>
              <w:top w:val="single" w:color="auto" w:sz="8" w:space="0"/>
              <w:left w:val="nil"/>
              <w:bottom w:val="single" w:color="auto" w:sz="8" w:space="0"/>
              <w:right w:val="single" w:color="auto" w:sz="8" w:space="0"/>
            </w:tcBorders>
            <w:shd w:val="clear" w:color="auto" w:fill="F2F2F2"/>
            <w:vAlign w:val="center"/>
          </w:tcPr>
          <w:p w:rsidRPr="0057780D" w:rsidR="00EB1F65" w:rsidP="00DE3922" w:rsidRDefault="00EB1F65" w14:paraId="19FBA482"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Manufacturers</w:t>
            </w:r>
          </w:p>
        </w:tc>
        <w:tc>
          <w:tcPr>
            <w:tcW w:w="1512" w:type="pct"/>
            <w:gridSpan w:val="2"/>
            <w:tcBorders>
              <w:top w:val="single" w:color="auto" w:sz="8" w:space="0"/>
              <w:left w:val="nil"/>
              <w:bottom w:val="single" w:color="auto" w:sz="8" w:space="0"/>
              <w:right w:val="single" w:color="auto" w:sz="4" w:space="0"/>
            </w:tcBorders>
            <w:shd w:val="clear" w:color="auto" w:fill="F2F2F2"/>
            <w:vAlign w:val="center"/>
          </w:tcPr>
          <w:p w:rsidRPr="0057780D" w:rsidR="00EB1F65" w:rsidP="00DE3922" w:rsidRDefault="00EB1F65" w14:paraId="65E2E099"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Processors</w:t>
            </w:r>
          </w:p>
        </w:tc>
        <w:tc>
          <w:tcPr>
            <w:tcW w:w="754" w:type="pct"/>
            <w:vMerge w:val="restart"/>
            <w:tcBorders>
              <w:top w:val="single" w:color="auto" w:sz="8" w:space="0"/>
              <w:left w:val="single" w:color="auto" w:sz="4" w:space="0"/>
              <w:right w:val="single" w:color="auto" w:sz="8" w:space="0"/>
            </w:tcBorders>
            <w:shd w:val="clear" w:color="auto" w:fill="F2F2F2"/>
            <w:vAlign w:val="center"/>
          </w:tcPr>
          <w:p w:rsidRPr="0057780D" w:rsidR="00EB1F65" w:rsidP="00DE3922" w:rsidRDefault="00EB1F65" w14:paraId="4BCF3176"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Number of Responses</w:t>
            </w:r>
          </w:p>
          <w:p w:rsidRPr="0057780D" w:rsidR="00EB1F65" w:rsidP="00DE3922" w:rsidRDefault="00EB1F65" w14:paraId="66A95A93"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(per year)</w:t>
            </w:r>
          </w:p>
        </w:tc>
      </w:tr>
      <w:tr w:rsidRPr="0057780D" w:rsidR="00EB1F65" w:rsidTr="00DE3922" w14:paraId="4BFE937C" w14:textId="77777777">
        <w:trPr>
          <w:trHeight w:val="823"/>
        </w:trPr>
        <w:tc>
          <w:tcPr>
            <w:tcW w:w="1292" w:type="pct"/>
            <w:vMerge/>
            <w:tcBorders>
              <w:left w:val="single" w:color="auto" w:sz="8" w:space="0"/>
              <w:bottom w:val="single" w:color="auto" w:sz="8" w:space="0"/>
              <w:right w:val="single" w:color="auto" w:sz="8" w:space="0"/>
            </w:tcBorders>
            <w:shd w:val="clear" w:color="auto" w:fill="F2F2F2"/>
            <w:vAlign w:val="center"/>
            <w:hideMark/>
          </w:tcPr>
          <w:p w:rsidRPr="0057780D" w:rsidR="00EB1F65" w:rsidP="00DE3922" w:rsidRDefault="00EB1F65" w14:paraId="6FFB5BE1" w14:textId="77777777">
            <w:pPr>
              <w:jc w:val="center"/>
              <w:rPr>
                <w:rFonts w:ascii="Times New Roman" w:hAnsi="Times New Roman" w:eastAsia="Times New Roman" w:cs="Times New Roman"/>
                <w:b/>
                <w:sz w:val="20"/>
                <w:szCs w:val="24"/>
              </w:rPr>
            </w:pPr>
          </w:p>
        </w:tc>
        <w:tc>
          <w:tcPr>
            <w:tcW w:w="688" w:type="pct"/>
            <w:tcBorders>
              <w:top w:val="single" w:color="auto" w:sz="8" w:space="0"/>
              <w:left w:val="nil"/>
              <w:bottom w:val="single" w:color="auto" w:sz="8" w:space="0"/>
              <w:right w:val="single" w:color="auto" w:sz="8" w:space="0"/>
            </w:tcBorders>
            <w:shd w:val="clear" w:color="auto" w:fill="F2F2F2"/>
            <w:vAlign w:val="center"/>
            <w:hideMark/>
          </w:tcPr>
          <w:p w:rsidRPr="0057780D" w:rsidR="00EB1F65" w:rsidP="00DE3922" w:rsidRDefault="00EB1F65" w14:paraId="1900AD51"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Number of Companies</w:t>
            </w:r>
          </w:p>
        </w:tc>
        <w:tc>
          <w:tcPr>
            <w:tcW w:w="754" w:type="pct"/>
            <w:tcBorders>
              <w:top w:val="single" w:color="auto" w:sz="8" w:space="0"/>
              <w:left w:val="nil"/>
              <w:bottom w:val="single" w:color="auto" w:sz="8" w:space="0"/>
              <w:right w:val="single" w:color="auto" w:sz="8" w:space="0"/>
            </w:tcBorders>
            <w:shd w:val="clear" w:color="auto" w:fill="F2F2F2"/>
            <w:vAlign w:val="center"/>
            <w:hideMark/>
          </w:tcPr>
          <w:p w:rsidRPr="0057780D" w:rsidR="00EB1F65" w:rsidP="00DE3922" w:rsidRDefault="00EB1F65" w14:paraId="4A05C987"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20"/>
              </w:rPr>
              <w:t>Number</w:t>
            </w:r>
            <w:r w:rsidRPr="0057780D">
              <w:rPr>
                <w:rFonts w:ascii="Times New Roman" w:hAnsi="Times New Roman" w:eastAsia="Times New Roman" w:cs="Times New Roman"/>
                <w:b/>
                <w:sz w:val="20"/>
                <w:szCs w:val="24"/>
              </w:rPr>
              <w:t xml:space="preserve"> of Responses/</w:t>
            </w:r>
            <w:r w:rsidRPr="0057780D">
              <w:rPr>
                <w:rFonts w:ascii="Times New Roman" w:hAnsi="Times New Roman" w:eastAsia="Times New Roman" w:cs="Times New Roman"/>
                <w:b/>
                <w:bCs/>
                <w:sz w:val="20"/>
                <w:szCs w:val="20"/>
              </w:rPr>
              <w:t xml:space="preserve"> </w:t>
            </w:r>
            <w:r w:rsidRPr="0057780D">
              <w:rPr>
                <w:rFonts w:ascii="Times New Roman" w:hAnsi="Times New Roman" w:eastAsia="Times New Roman" w:cs="Times New Roman"/>
                <w:b/>
                <w:sz w:val="20"/>
                <w:szCs w:val="24"/>
              </w:rPr>
              <w:t>Respondent</w:t>
            </w:r>
          </w:p>
        </w:tc>
        <w:tc>
          <w:tcPr>
            <w:tcW w:w="756" w:type="pct"/>
            <w:tcBorders>
              <w:top w:val="single" w:color="auto" w:sz="8" w:space="0"/>
              <w:left w:val="nil"/>
              <w:bottom w:val="single" w:color="auto" w:sz="8" w:space="0"/>
              <w:right w:val="single" w:color="auto" w:sz="4" w:space="0"/>
            </w:tcBorders>
            <w:shd w:val="clear" w:color="auto" w:fill="F2F2F2"/>
            <w:vAlign w:val="center"/>
          </w:tcPr>
          <w:p w:rsidRPr="0057780D" w:rsidR="00EB1F65" w:rsidP="00DE3922" w:rsidRDefault="00EB1F65" w14:paraId="5B11165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Number of Companies</w:t>
            </w:r>
          </w:p>
        </w:tc>
        <w:tc>
          <w:tcPr>
            <w:tcW w:w="756" w:type="pct"/>
            <w:tcBorders>
              <w:top w:val="single" w:color="auto" w:sz="8" w:space="0"/>
              <w:left w:val="single" w:color="auto" w:sz="4" w:space="0"/>
              <w:bottom w:val="single" w:color="auto" w:sz="8" w:space="0"/>
              <w:right w:val="single" w:color="auto" w:sz="4" w:space="0"/>
            </w:tcBorders>
            <w:shd w:val="clear" w:color="auto" w:fill="F2F2F2"/>
            <w:vAlign w:val="center"/>
          </w:tcPr>
          <w:p w:rsidRPr="0057780D" w:rsidR="00EB1F65" w:rsidP="00DE3922" w:rsidRDefault="00EB1F65" w14:paraId="3993AADA"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20"/>
              </w:rPr>
              <w:t>Number</w:t>
            </w:r>
            <w:r w:rsidRPr="0057780D">
              <w:rPr>
                <w:rFonts w:ascii="Times New Roman" w:hAnsi="Times New Roman" w:eastAsia="Times New Roman" w:cs="Times New Roman"/>
                <w:b/>
                <w:sz w:val="20"/>
                <w:szCs w:val="24"/>
              </w:rPr>
              <w:t xml:space="preserve"> of Responses/</w:t>
            </w:r>
            <w:r w:rsidRPr="0057780D">
              <w:rPr>
                <w:rFonts w:ascii="Times New Roman" w:hAnsi="Times New Roman" w:eastAsia="Times New Roman" w:cs="Times New Roman"/>
                <w:b/>
                <w:bCs/>
                <w:sz w:val="20"/>
                <w:szCs w:val="20"/>
              </w:rPr>
              <w:t xml:space="preserve"> </w:t>
            </w:r>
            <w:r w:rsidRPr="0057780D">
              <w:rPr>
                <w:rFonts w:ascii="Times New Roman" w:hAnsi="Times New Roman" w:eastAsia="Times New Roman" w:cs="Times New Roman"/>
                <w:b/>
                <w:sz w:val="20"/>
                <w:szCs w:val="24"/>
              </w:rPr>
              <w:t>Respondent</w:t>
            </w:r>
          </w:p>
        </w:tc>
        <w:tc>
          <w:tcPr>
            <w:tcW w:w="754" w:type="pct"/>
            <w:vMerge/>
            <w:tcBorders>
              <w:left w:val="single" w:color="auto" w:sz="4" w:space="0"/>
              <w:bottom w:val="single" w:color="auto" w:sz="8" w:space="0"/>
              <w:right w:val="single" w:color="auto" w:sz="8" w:space="0"/>
            </w:tcBorders>
            <w:shd w:val="clear" w:color="auto" w:fill="F2F2F2"/>
            <w:vAlign w:val="center"/>
            <w:hideMark/>
          </w:tcPr>
          <w:p w:rsidRPr="0057780D" w:rsidR="00EB1F65" w:rsidP="00DE3922" w:rsidRDefault="00EB1F65" w14:paraId="710E4875" w14:textId="77777777">
            <w:pPr>
              <w:jc w:val="center"/>
              <w:rPr>
                <w:rFonts w:ascii="Times New Roman" w:hAnsi="Times New Roman" w:eastAsia="Times New Roman" w:cs="Times New Roman"/>
                <w:b/>
                <w:sz w:val="20"/>
                <w:szCs w:val="24"/>
              </w:rPr>
            </w:pPr>
          </w:p>
        </w:tc>
      </w:tr>
      <w:tr w:rsidRPr="0057780D" w:rsidR="00EB1F65" w:rsidTr="00DE3922" w14:paraId="1FB1862A" w14:textId="77777777">
        <w:trPr>
          <w:trHeight w:val="324"/>
        </w:trPr>
        <w:tc>
          <w:tcPr>
            <w:tcW w:w="129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006CD3F1"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 xml:space="preserve">Rule Familiarization </w:t>
            </w:r>
          </w:p>
        </w:tc>
        <w:tc>
          <w:tcPr>
            <w:tcW w:w="688"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6A0B7A7F"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165</w:t>
            </w:r>
          </w:p>
        </w:tc>
        <w:tc>
          <w:tcPr>
            <w:tcW w:w="754"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556751F2"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p>
        </w:tc>
        <w:tc>
          <w:tcPr>
            <w:tcW w:w="756" w:type="pct"/>
            <w:tcBorders>
              <w:top w:val="nil"/>
              <w:left w:val="nil"/>
              <w:bottom w:val="single" w:color="auto" w:sz="8" w:space="0"/>
              <w:right w:val="single" w:color="auto" w:sz="4" w:space="0"/>
            </w:tcBorders>
            <w:vAlign w:val="center"/>
          </w:tcPr>
          <w:p w:rsidRPr="0057780D" w:rsidR="00EB1F65" w:rsidP="00DE3922" w:rsidRDefault="00EB1F65" w14:paraId="77BFA739"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199</w:t>
            </w:r>
          </w:p>
        </w:tc>
        <w:tc>
          <w:tcPr>
            <w:tcW w:w="756" w:type="pct"/>
            <w:tcBorders>
              <w:top w:val="nil"/>
              <w:left w:val="single" w:color="auto" w:sz="4" w:space="0"/>
              <w:bottom w:val="single" w:color="auto" w:sz="8" w:space="0"/>
              <w:right w:val="single" w:color="auto" w:sz="4" w:space="0"/>
            </w:tcBorders>
            <w:vAlign w:val="center"/>
          </w:tcPr>
          <w:p w:rsidRPr="0057780D" w:rsidR="00EB1F65" w:rsidP="00DE3922" w:rsidRDefault="00EB1F65" w14:paraId="0E7F2EA5"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c>
          <w:tcPr>
            <w:tcW w:w="754" w:type="pct"/>
            <w:tcBorders>
              <w:top w:val="nil"/>
              <w:left w:val="single" w:color="auto" w:sz="4" w:space="0"/>
              <w:bottom w:val="single" w:color="auto" w:sz="8" w:space="0"/>
              <w:right w:val="single" w:color="auto" w:sz="8" w:space="0"/>
            </w:tcBorders>
            <w:shd w:val="clear" w:color="auto" w:fill="auto"/>
            <w:noWrap/>
            <w:vAlign w:val="center"/>
            <w:hideMark/>
          </w:tcPr>
          <w:p w:rsidRPr="0057780D" w:rsidR="00EB1F65" w:rsidP="00DE3922" w:rsidRDefault="00EB1F65" w14:paraId="402D2A03"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199</w:t>
            </w:r>
          </w:p>
        </w:tc>
      </w:tr>
      <w:tr w:rsidRPr="0057780D" w:rsidR="00EB1F65" w:rsidTr="00DE3922" w14:paraId="057250EE" w14:textId="77777777">
        <w:trPr>
          <w:trHeight w:val="324"/>
        </w:trPr>
        <w:tc>
          <w:tcPr>
            <w:tcW w:w="129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7874C143"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Form Completion</w:t>
            </w:r>
            <w:r w:rsidRPr="0057780D">
              <w:rPr>
                <w:rFonts w:ascii="Times New Roman" w:hAnsi="Times New Roman" w:eastAsia="Times New Roman" w:cs="Times New Roman"/>
                <w:bCs/>
                <w:sz w:val="20"/>
                <w:szCs w:val="20"/>
              </w:rPr>
              <w:t xml:space="preserve"> </w:t>
            </w:r>
          </w:p>
        </w:tc>
        <w:tc>
          <w:tcPr>
            <w:tcW w:w="688"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32271689"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165</w:t>
            </w:r>
          </w:p>
        </w:tc>
        <w:tc>
          <w:tcPr>
            <w:tcW w:w="754"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20984E87"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0.52</w:t>
            </w:r>
          </w:p>
        </w:tc>
        <w:tc>
          <w:tcPr>
            <w:tcW w:w="756" w:type="pct"/>
            <w:tcBorders>
              <w:top w:val="nil"/>
              <w:left w:val="single" w:color="auto" w:sz="8" w:space="0"/>
              <w:bottom w:val="single" w:color="000000" w:sz="8" w:space="0"/>
              <w:right w:val="single" w:color="auto" w:sz="8" w:space="0"/>
            </w:tcBorders>
            <w:vAlign w:val="center"/>
          </w:tcPr>
          <w:p w:rsidRPr="0057780D" w:rsidR="00EB1F65" w:rsidP="00DE3922" w:rsidRDefault="00EB1F65" w14:paraId="0E0952D5"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199</w:t>
            </w:r>
          </w:p>
        </w:tc>
        <w:tc>
          <w:tcPr>
            <w:tcW w:w="756" w:type="pct"/>
            <w:tcBorders>
              <w:top w:val="nil"/>
              <w:left w:val="single" w:color="auto" w:sz="8" w:space="0"/>
              <w:bottom w:val="single" w:color="000000" w:sz="8" w:space="0"/>
              <w:right w:val="single" w:color="auto" w:sz="8" w:space="0"/>
            </w:tcBorders>
            <w:vAlign w:val="center"/>
          </w:tcPr>
          <w:p w:rsidRPr="0057780D" w:rsidR="00EB1F65" w:rsidP="00DE3922" w:rsidRDefault="00EB1F65" w14:paraId="16BB7B4A"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c>
          <w:tcPr>
            <w:tcW w:w="754"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31758B6B"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285</w:t>
            </w:r>
          </w:p>
        </w:tc>
      </w:tr>
      <w:tr w:rsidRPr="0057780D" w:rsidR="00EB1F65" w:rsidTr="00DE3922" w14:paraId="5A0B5652" w14:textId="77777777">
        <w:trPr>
          <w:trHeight w:val="324"/>
        </w:trPr>
        <w:tc>
          <w:tcPr>
            <w:tcW w:w="129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0D9771C3"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 xml:space="preserve">CBI Substantiation </w:t>
            </w:r>
          </w:p>
        </w:tc>
        <w:tc>
          <w:tcPr>
            <w:tcW w:w="688"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05F3FB45"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165</w:t>
            </w:r>
          </w:p>
        </w:tc>
        <w:tc>
          <w:tcPr>
            <w:tcW w:w="754"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7BFB26BB"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0.52</w:t>
            </w:r>
          </w:p>
        </w:tc>
        <w:tc>
          <w:tcPr>
            <w:tcW w:w="756" w:type="pct"/>
            <w:tcBorders>
              <w:top w:val="nil"/>
              <w:left w:val="single" w:color="auto" w:sz="8" w:space="0"/>
              <w:bottom w:val="single" w:color="000000" w:sz="8" w:space="0"/>
              <w:right w:val="single" w:color="auto" w:sz="8" w:space="0"/>
            </w:tcBorders>
            <w:vAlign w:val="center"/>
          </w:tcPr>
          <w:p w:rsidRPr="0057780D" w:rsidR="00EB1F65" w:rsidP="00DE3922" w:rsidRDefault="00EB1F65" w14:paraId="6D09DBA0"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199</w:t>
            </w:r>
          </w:p>
        </w:tc>
        <w:tc>
          <w:tcPr>
            <w:tcW w:w="756" w:type="pct"/>
            <w:tcBorders>
              <w:top w:val="nil"/>
              <w:left w:val="single" w:color="auto" w:sz="8" w:space="0"/>
              <w:bottom w:val="single" w:color="000000" w:sz="8" w:space="0"/>
              <w:right w:val="single" w:color="auto" w:sz="8" w:space="0"/>
            </w:tcBorders>
            <w:vAlign w:val="center"/>
          </w:tcPr>
          <w:p w:rsidRPr="0057780D" w:rsidR="00EB1F65" w:rsidP="00DE3922" w:rsidRDefault="00EB1F65" w14:paraId="2E3B8788"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w:t>
            </w:r>
          </w:p>
        </w:tc>
        <w:tc>
          <w:tcPr>
            <w:tcW w:w="754" w:type="pct"/>
            <w:tcBorders>
              <w:top w:val="nil"/>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3CCB305E"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285</w:t>
            </w:r>
          </w:p>
        </w:tc>
      </w:tr>
      <w:tr w:rsidRPr="0057780D" w:rsidR="00EB1F65" w:rsidTr="00DE3922" w14:paraId="73644D48" w14:textId="77777777">
        <w:trPr>
          <w:trHeight w:val="324"/>
        </w:trPr>
        <w:tc>
          <w:tcPr>
            <w:tcW w:w="129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7FFB6F43"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Electronic Submission</w:t>
            </w:r>
            <w:r w:rsidRPr="0057780D">
              <w:rPr>
                <w:rFonts w:ascii="Times New Roman" w:hAnsi="Times New Roman" w:eastAsia="Times New Roman" w:cs="Times New Roman"/>
                <w:bCs/>
                <w:sz w:val="20"/>
                <w:szCs w:val="20"/>
              </w:rPr>
              <w:t xml:space="preserve"> </w:t>
            </w:r>
          </w:p>
        </w:tc>
        <w:tc>
          <w:tcPr>
            <w:tcW w:w="688" w:type="pct"/>
            <w:tcBorders>
              <w:top w:val="nil"/>
              <w:left w:val="single" w:color="auto" w:sz="8" w:space="0"/>
              <w:bottom w:val="nil"/>
              <w:right w:val="single" w:color="auto" w:sz="8" w:space="0"/>
            </w:tcBorders>
            <w:shd w:val="clear" w:color="auto" w:fill="auto"/>
            <w:noWrap/>
            <w:vAlign w:val="center"/>
            <w:hideMark/>
          </w:tcPr>
          <w:p w:rsidRPr="0057780D" w:rsidR="00EB1F65" w:rsidP="00DE3922" w:rsidRDefault="00EB1F65" w14:paraId="6BE8579F"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165</w:t>
            </w:r>
          </w:p>
        </w:tc>
        <w:tc>
          <w:tcPr>
            <w:tcW w:w="754" w:type="pct"/>
            <w:tcBorders>
              <w:top w:val="nil"/>
              <w:left w:val="single" w:color="auto" w:sz="8" w:space="0"/>
              <w:bottom w:val="nil"/>
              <w:right w:val="single" w:color="auto" w:sz="8" w:space="0"/>
            </w:tcBorders>
            <w:shd w:val="clear" w:color="auto" w:fill="auto"/>
            <w:noWrap/>
            <w:vAlign w:val="center"/>
            <w:hideMark/>
          </w:tcPr>
          <w:p w:rsidRPr="0057780D" w:rsidR="00EB1F65" w:rsidP="00DE3922" w:rsidRDefault="00EB1F65" w14:paraId="4B765962"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c>
          <w:tcPr>
            <w:tcW w:w="756" w:type="pct"/>
            <w:tcBorders>
              <w:top w:val="nil"/>
              <w:left w:val="single" w:color="auto" w:sz="8" w:space="0"/>
              <w:bottom w:val="nil"/>
              <w:right w:val="single" w:color="auto" w:sz="8" w:space="0"/>
            </w:tcBorders>
            <w:vAlign w:val="center"/>
          </w:tcPr>
          <w:p w:rsidRPr="0057780D" w:rsidR="00EB1F65" w:rsidP="00DE3922" w:rsidRDefault="00EB1F65" w14:paraId="164FF0BA"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199</w:t>
            </w:r>
          </w:p>
        </w:tc>
        <w:tc>
          <w:tcPr>
            <w:tcW w:w="756" w:type="pct"/>
            <w:tcBorders>
              <w:top w:val="nil"/>
              <w:left w:val="single" w:color="auto" w:sz="8" w:space="0"/>
              <w:bottom w:val="nil"/>
              <w:right w:val="single" w:color="auto" w:sz="8" w:space="0"/>
            </w:tcBorders>
            <w:vAlign w:val="center"/>
          </w:tcPr>
          <w:p w:rsidRPr="0057780D" w:rsidR="00EB1F65" w:rsidP="00DE3922" w:rsidRDefault="00EB1F65" w14:paraId="13D2C72C"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c>
          <w:tcPr>
            <w:tcW w:w="754" w:type="pct"/>
            <w:tcBorders>
              <w:top w:val="nil"/>
              <w:left w:val="single" w:color="auto" w:sz="8" w:space="0"/>
              <w:bottom w:val="nil"/>
              <w:right w:val="single" w:color="auto" w:sz="8" w:space="0"/>
            </w:tcBorders>
            <w:shd w:val="clear" w:color="auto" w:fill="auto"/>
            <w:noWrap/>
            <w:vAlign w:val="center"/>
            <w:hideMark/>
          </w:tcPr>
          <w:p w:rsidRPr="0057780D" w:rsidR="00EB1F65" w:rsidP="00DE3922" w:rsidRDefault="00EB1F65" w14:paraId="182F8DEC"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0"/>
              </w:rPr>
              <w:t>364</w:t>
            </w:r>
          </w:p>
        </w:tc>
      </w:tr>
      <w:tr w:rsidRPr="0057780D" w:rsidR="00EB1F65" w:rsidTr="00DE3922" w14:paraId="52F9E297" w14:textId="77777777">
        <w:trPr>
          <w:trHeight w:val="324"/>
        </w:trPr>
        <w:tc>
          <w:tcPr>
            <w:tcW w:w="129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69F5A5FC"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 xml:space="preserve">Recordkeeping </w:t>
            </w:r>
          </w:p>
        </w:tc>
        <w:tc>
          <w:tcPr>
            <w:tcW w:w="688" w:type="pc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0FEDA4DE"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165</w:t>
            </w:r>
          </w:p>
        </w:tc>
        <w:tc>
          <w:tcPr>
            <w:tcW w:w="754" w:type="pc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2ADA96D7"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0.52</w:t>
            </w:r>
          </w:p>
        </w:tc>
        <w:tc>
          <w:tcPr>
            <w:tcW w:w="756" w:type="pct"/>
            <w:tcBorders>
              <w:top w:val="single" w:color="auto" w:sz="8" w:space="0"/>
              <w:left w:val="single" w:color="auto" w:sz="8" w:space="0"/>
              <w:bottom w:val="single" w:color="000000" w:sz="8" w:space="0"/>
              <w:right w:val="single" w:color="auto" w:sz="8" w:space="0"/>
            </w:tcBorders>
            <w:vAlign w:val="center"/>
          </w:tcPr>
          <w:p w:rsidRPr="0057780D" w:rsidR="00EB1F65" w:rsidP="00DE3922" w:rsidRDefault="00EB1F65" w14:paraId="1ED986CE"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199</w:t>
            </w:r>
          </w:p>
        </w:tc>
        <w:tc>
          <w:tcPr>
            <w:tcW w:w="756" w:type="pct"/>
            <w:tcBorders>
              <w:top w:val="single" w:color="auto" w:sz="8" w:space="0"/>
              <w:left w:val="single" w:color="auto" w:sz="8" w:space="0"/>
              <w:bottom w:val="single" w:color="000000" w:sz="8" w:space="0"/>
              <w:right w:val="single" w:color="auto" w:sz="8" w:space="0"/>
            </w:tcBorders>
            <w:vAlign w:val="center"/>
          </w:tcPr>
          <w:p w:rsidRPr="0057780D" w:rsidR="00EB1F65" w:rsidP="00DE3922" w:rsidRDefault="00EB1F65" w14:paraId="1A15585E"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c>
          <w:tcPr>
            <w:tcW w:w="754" w:type="pc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57780D" w:rsidR="00EB1F65" w:rsidP="00DE3922" w:rsidRDefault="00EB1F65" w14:paraId="3FEBC539"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285</w:t>
            </w:r>
          </w:p>
        </w:tc>
      </w:tr>
    </w:tbl>
    <w:p w:rsidRPr="0057780D" w:rsidR="00EB1F65" w:rsidP="00EB1F65" w:rsidRDefault="00EB1F65" w14:paraId="57768E40" w14:textId="77777777">
      <w:pPr>
        <w:rPr>
          <w:rFonts w:ascii="Times New Roman" w:hAnsi="Times New Roman" w:cs="Times New Roman"/>
        </w:rPr>
      </w:pPr>
      <w:r w:rsidRPr="0057780D">
        <w:rPr>
          <w:rFonts w:ascii="Times New Roman" w:hAnsi="Times New Roman" w:cs="Times New Roman"/>
        </w:rPr>
        <w:t xml:space="preserve">  </w:t>
      </w:r>
    </w:p>
    <w:p w:rsidRPr="0057780D" w:rsidR="00EB1F65" w:rsidP="00EB1F65" w:rsidRDefault="00EB1F65" w14:paraId="7A3C0D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eastAsia="Times New Roman" w:cs="Times New Roman"/>
          <w:szCs w:val="24"/>
        </w:rPr>
      </w:pPr>
      <w:r w:rsidRPr="0057780D">
        <w:rPr>
          <w:rFonts w:ascii="Times New Roman" w:hAnsi="Times New Roman" w:eastAsia="Times New Roman" w:cs="Times New Roman"/>
          <w:b/>
          <w:szCs w:val="24"/>
        </w:rPr>
        <w:t>Estimating Respondent Burden</w:t>
      </w:r>
    </w:p>
    <w:p w:rsidRPr="0057780D" w:rsidR="00EB1F65" w:rsidP="00EB1F65" w:rsidRDefault="00EB1F65" w14:paraId="6CDD2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p>
    <w:p w:rsidRPr="0057780D" w:rsidR="00EB1F65" w:rsidP="00EB1F65" w:rsidRDefault="00EB1F65" w14:paraId="7ABC41B6" w14:textId="45BCB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Table 2 provides a summary of typical respondent burden by </w:t>
      </w:r>
      <w:r w:rsidRPr="0057780D" w:rsidR="00D40639">
        <w:rPr>
          <w:rFonts w:ascii="Times New Roman" w:hAnsi="Times New Roman" w:eastAsia="Times New Roman" w:cs="Times New Roman"/>
          <w:szCs w:val="24"/>
        </w:rPr>
        <w:t>activity</w:t>
      </w:r>
      <w:r w:rsidRPr="0057780D">
        <w:rPr>
          <w:rFonts w:ascii="Times New Roman" w:hAnsi="Times New Roman" w:eastAsia="Times New Roman" w:cs="Times New Roman"/>
          <w:szCs w:val="24"/>
        </w:rPr>
        <w:t xml:space="preserve"> for rule familiarization, completion of a report, CBI claim substantiation, and recordkeeping. Because it is expected that the same manufacturers will report each year, manufacturers do not have to undertake rule familiarization. On the other hand, it is expected that new processors will report each year and, therefore, undertake rule familiarization.  </w:t>
      </w:r>
    </w:p>
    <w:p w:rsidRPr="0057780D" w:rsidR="00EB1F65" w:rsidP="00EB1F65" w:rsidRDefault="00EB1F65" w14:paraId="2331D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b/>
          <w:bCs/>
        </w:rPr>
      </w:pPr>
    </w:p>
    <w:p w:rsidRPr="0057780D" w:rsidR="00EB1F65" w:rsidP="00EB1F65" w:rsidRDefault="00EB1F65" w14:paraId="4A4125AD" w14:textId="77777777">
      <w:pPr>
        <w:keepNext/>
        <w:outlineLvl w:val="0"/>
        <w:rPr>
          <w:rFonts w:ascii="Times New Roman" w:hAnsi="Times New Roman" w:eastAsia="Times New Roman" w:cs="Times New Roman"/>
          <w:b/>
          <w:bCs/>
          <w:sz w:val="20"/>
          <w:szCs w:val="20"/>
        </w:rPr>
      </w:pPr>
      <w:r w:rsidRPr="0057780D">
        <w:rPr>
          <w:rFonts w:ascii="Times New Roman" w:hAnsi="Times New Roman" w:eastAsia="Times New Roman" w:cs="Times New Roman"/>
          <w:b/>
          <w:bCs/>
        </w:rPr>
        <w:t>Table 2: Industry Burden, by Activity for Rule Familiarization, Form Completion, and Recordkeeping</w:t>
      </w:r>
    </w:p>
    <w:tbl>
      <w:tblPr>
        <w:tblW w:w="4846" w:type="pct"/>
        <w:jc w:val="center"/>
        <w:tblLayout w:type="fixed"/>
        <w:tblLook w:val="04A0" w:firstRow="1" w:lastRow="0" w:firstColumn="1" w:lastColumn="0" w:noHBand="0" w:noVBand="1"/>
      </w:tblPr>
      <w:tblGrid>
        <w:gridCol w:w="3032"/>
        <w:gridCol w:w="1204"/>
        <w:gridCol w:w="1204"/>
        <w:gridCol w:w="1300"/>
        <w:gridCol w:w="1108"/>
        <w:gridCol w:w="1204"/>
      </w:tblGrid>
      <w:tr w:rsidRPr="0057780D" w:rsidR="00EB1F65" w:rsidTr="00DE3922" w14:paraId="37C3FC25" w14:textId="77777777">
        <w:trPr>
          <w:trHeight w:val="300"/>
          <w:jc w:val="center"/>
        </w:trPr>
        <w:tc>
          <w:tcPr>
            <w:tcW w:w="1675" w:type="pc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57780D" w:rsidR="00EB1F65" w:rsidP="00DE3922" w:rsidRDefault="00EB1F65" w14:paraId="404F3A4F"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Activity</w:t>
            </w:r>
          </w:p>
        </w:tc>
        <w:tc>
          <w:tcPr>
            <w:tcW w:w="665" w:type="pct"/>
            <w:tcBorders>
              <w:top w:val="single" w:color="auto" w:sz="8" w:space="0"/>
              <w:left w:val="nil"/>
              <w:bottom w:val="single" w:color="auto" w:sz="4" w:space="0"/>
              <w:right w:val="single" w:color="auto" w:sz="8" w:space="0"/>
            </w:tcBorders>
            <w:shd w:val="clear" w:color="auto" w:fill="D9D9D9" w:themeFill="background1" w:themeFillShade="D9"/>
            <w:vAlign w:val="center"/>
            <w:hideMark/>
          </w:tcPr>
          <w:p w:rsidRPr="0057780D" w:rsidR="00EB1F65" w:rsidP="00DE3922" w:rsidRDefault="00EB1F65" w14:paraId="3A7CC815"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Clerical Burden</w:t>
            </w:r>
          </w:p>
          <w:p w:rsidRPr="0057780D" w:rsidR="00EB1F65" w:rsidP="00DE3922" w:rsidRDefault="00EB1F65" w14:paraId="6014B03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16"/>
              </w:rPr>
              <w:t>(hours)</w:t>
            </w:r>
          </w:p>
        </w:tc>
        <w:tc>
          <w:tcPr>
            <w:tcW w:w="665" w:type="pct"/>
            <w:tcBorders>
              <w:top w:val="single" w:color="auto" w:sz="8" w:space="0"/>
              <w:left w:val="nil"/>
              <w:bottom w:val="single" w:color="auto" w:sz="4" w:space="0"/>
              <w:right w:val="single" w:color="auto" w:sz="8" w:space="0"/>
            </w:tcBorders>
            <w:shd w:val="clear" w:color="auto" w:fill="D9D9D9" w:themeFill="background1" w:themeFillShade="D9"/>
            <w:vAlign w:val="center"/>
            <w:hideMark/>
          </w:tcPr>
          <w:p w:rsidRPr="0057780D" w:rsidR="00EB1F65" w:rsidP="00DE3922" w:rsidRDefault="00EB1F65" w14:paraId="14B9C923"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Technical Burden</w:t>
            </w:r>
          </w:p>
          <w:p w:rsidRPr="0057780D" w:rsidR="00EB1F65" w:rsidP="00DE3922" w:rsidRDefault="00EB1F65" w14:paraId="3666074D"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16"/>
              </w:rPr>
              <w:t>(hours)</w:t>
            </w:r>
          </w:p>
        </w:tc>
        <w:tc>
          <w:tcPr>
            <w:tcW w:w="718" w:type="pct"/>
            <w:tcBorders>
              <w:top w:val="single" w:color="auto" w:sz="8" w:space="0"/>
              <w:left w:val="nil"/>
              <w:bottom w:val="single" w:color="auto" w:sz="4" w:space="0"/>
              <w:right w:val="single" w:color="auto" w:sz="8" w:space="0"/>
            </w:tcBorders>
            <w:shd w:val="clear" w:color="auto" w:fill="D9D9D9" w:themeFill="background1" w:themeFillShade="D9"/>
            <w:vAlign w:val="center"/>
            <w:hideMark/>
          </w:tcPr>
          <w:p w:rsidRPr="0057780D" w:rsidR="00EB1F65" w:rsidP="00DE3922" w:rsidRDefault="00EB1F65" w14:paraId="0332E8A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Managerial Burden</w:t>
            </w:r>
          </w:p>
          <w:p w:rsidRPr="0057780D" w:rsidR="00EB1F65" w:rsidP="00DE3922" w:rsidRDefault="00EB1F65" w14:paraId="5314BDD7"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16"/>
              </w:rPr>
              <w:t>(hours)</w:t>
            </w:r>
          </w:p>
        </w:tc>
        <w:tc>
          <w:tcPr>
            <w:tcW w:w="612" w:type="pct"/>
            <w:tcBorders>
              <w:top w:val="single" w:color="auto" w:sz="8" w:space="0"/>
              <w:left w:val="nil"/>
              <w:bottom w:val="single" w:color="auto" w:sz="4" w:space="0"/>
              <w:right w:val="single" w:color="auto" w:sz="8" w:space="0"/>
            </w:tcBorders>
            <w:shd w:val="clear" w:color="auto" w:fill="D9D9D9" w:themeFill="background1" w:themeFillShade="D9"/>
            <w:vAlign w:val="center"/>
            <w:hideMark/>
          </w:tcPr>
          <w:p w:rsidRPr="0057780D" w:rsidR="00EB1F65" w:rsidP="00DE3922" w:rsidRDefault="00EB1F65" w14:paraId="5DC3B327" w14:textId="77777777">
            <w:pPr>
              <w:jc w:val="center"/>
              <w:rPr>
                <w:rFonts w:ascii="Times New Roman" w:hAnsi="Times New Roman" w:eastAsia="Times New Roman" w:cs="Times New Roman"/>
                <w:b/>
                <w:bCs/>
                <w:sz w:val="20"/>
                <w:szCs w:val="16"/>
              </w:rPr>
            </w:pPr>
            <w:r w:rsidRPr="0057780D">
              <w:rPr>
                <w:rFonts w:ascii="Times New Roman" w:hAnsi="Times New Roman" w:eastAsia="Times New Roman" w:cs="Times New Roman"/>
                <w:b/>
                <w:bCs/>
                <w:sz w:val="20"/>
                <w:szCs w:val="16"/>
              </w:rPr>
              <w:t>Attorney Burden</w:t>
            </w:r>
          </w:p>
          <w:p w:rsidRPr="0057780D" w:rsidR="00EB1F65" w:rsidP="00DE3922" w:rsidRDefault="00EB1F65" w14:paraId="37BCCC0A" w14:textId="77777777">
            <w:pPr>
              <w:jc w:val="center"/>
              <w:rPr>
                <w:rFonts w:ascii="Times New Roman" w:hAnsi="Times New Roman" w:eastAsia="Times New Roman" w:cs="Times New Roman"/>
                <w:bCs/>
                <w:sz w:val="20"/>
                <w:szCs w:val="16"/>
              </w:rPr>
            </w:pPr>
            <w:r w:rsidRPr="0057780D">
              <w:rPr>
                <w:rFonts w:ascii="Times New Roman" w:hAnsi="Times New Roman" w:eastAsia="Times New Roman" w:cs="Times New Roman"/>
                <w:b/>
                <w:bCs/>
                <w:sz w:val="20"/>
                <w:szCs w:val="16"/>
              </w:rPr>
              <w:t>(hours)</w:t>
            </w:r>
          </w:p>
        </w:tc>
        <w:tc>
          <w:tcPr>
            <w:tcW w:w="665" w:type="pct"/>
            <w:tcBorders>
              <w:top w:val="single" w:color="auto" w:sz="8" w:space="0"/>
              <w:left w:val="nil"/>
              <w:bottom w:val="single" w:color="auto" w:sz="4" w:space="0"/>
              <w:right w:val="single" w:color="auto" w:sz="8" w:space="0"/>
            </w:tcBorders>
            <w:shd w:val="clear" w:color="auto" w:fill="D9D9D9" w:themeFill="background1" w:themeFillShade="D9"/>
            <w:vAlign w:val="center"/>
            <w:hideMark/>
          </w:tcPr>
          <w:p w:rsidRPr="0057780D" w:rsidR="00EB1F65" w:rsidP="00DE3922" w:rsidRDefault="00EB1F65" w14:paraId="60EC728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 xml:space="preserve">Total Burden </w:t>
            </w:r>
          </w:p>
          <w:p w:rsidRPr="0057780D" w:rsidR="00EB1F65" w:rsidP="00DE3922" w:rsidRDefault="00EB1F65" w14:paraId="69F359A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16"/>
              </w:rPr>
              <w:t>(hours)</w:t>
            </w:r>
          </w:p>
        </w:tc>
      </w:tr>
      <w:tr w:rsidRPr="0057780D" w:rsidR="00EB1F65" w:rsidTr="00DE3922" w14:paraId="08CD422B" w14:textId="77777777">
        <w:trPr>
          <w:trHeight w:val="315"/>
          <w:jc w:val="center"/>
        </w:trPr>
        <w:tc>
          <w:tcPr>
            <w:tcW w:w="1675" w:type="pct"/>
            <w:tcBorders>
              <w:top w:val="nil"/>
              <w:left w:val="single" w:color="auto" w:sz="8" w:space="0"/>
              <w:bottom w:val="single" w:color="auto" w:sz="8" w:space="0"/>
              <w:right w:val="single" w:color="auto" w:sz="8" w:space="0"/>
            </w:tcBorders>
            <w:shd w:val="clear" w:color="auto" w:fill="auto"/>
            <w:noWrap/>
            <w:vAlign w:val="center"/>
            <w:hideMark/>
          </w:tcPr>
          <w:p w:rsidRPr="0057780D" w:rsidR="00EB1F65" w:rsidP="00DE3922" w:rsidRDefault="00EB1F65" w14:paraId="74ACD70D"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Rule Familiarization</w:t>
            </w:r>
          </w:p>
        </w:tc>
        <w:tc>
          <w:tcPr>
            <w:tcW w:w="665"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25C31618"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p>
        </w:tc>
        <w:tc>
          <w:tcPr>
            <w:tcW w:w="665"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483360AC"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0.55</w:t>
            </w:r>
          </w:p>
        </w:tc>
        <w:tc>
          <w:tcPr>
            <w:tcW w:w="718"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76108B09"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0.27</w:t>
            </w:r>
          </w:p>
        </w:tc>
        <w:tc>
          <w:tcPr>
            <w:tcW w:w="612"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73B2CF54"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w:t>
            </w:r>
          </w:p>
        </w:tc>
        <w:tc>
          <w:tcPr>
            <w:tcW w:w="665"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2DC8BB7C"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0.82</w:t>
            </w:r>
          </w:p>
        </w:tc>
      </w:tr>
      <w:tr w:rsidRPr="0057780D" w:rsidR="00EB1F65" w:rsidTr="00DE3922" w14:paraId="4932A0E2" w14:textId="77777777">
        <w:trPr>
          <w:trHeight w:val="360"/>
          <w:jc w:val="center"/>
        </w:trPr>
        <w:tc>
          <w:tcPr>
            <w:tcW w:w="1675"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45700EFD"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Form Completion</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76FBCF8E"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35567E03"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105.</w:t>
            </w:r>
            <w:r w:rsidRPr="0057780D">
              <w:rPr>
                <w:rFonts w:ascii="Times New Roman" w:hAnsi="Times New Roman" w:eastAsia="Times New Roman" w:cs="Times New Roman"/>
                <w:bCs/>
                <w:sz w:val="20"/>
                <w:szCs w:val="16"/>
              </w:rPr>
              <w:t>2</w:t>
            </w:r>
          </w:p>
        </w:tc>
        <w:tc>
          <w:tcPr>
            <w:tcW w:w="718"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522D03A5"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31.</w:t>
            </w:r>
            <w:r w:rsidRPr="0057780D">
              <w:rPr>
                <w:rFonts w:ascii="Times New Roman" w:hAnsi="Times New Roman" w:eastAsia="Times New Roman" w:cs="Times New Roman"/>
                <w:bCs/>
                <w:sz w:val="20"/>
                <w:szCs w:val="16"/>
              </w:rPr>
              <w:t>4</w:t>
            </w:r>
          </w:p>
        </w:tc>
        <w:tc>
          <w:tcPr>
            <w:tcW w:w="612"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23F1A084"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7A7BE0D"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136.</w:t>
            </w:r>
            <w:r w:rsidRPr="0057780D">
              <w:rPr>
                <w:rFonts w:ascii="Times New Roman" w:hAnsi="Times New Roman" w:eastAsia="Times New Roman" w:cs="Times New Roman"/>
                <w:bCs/>
                <w:sz w:val="20"/>
                <w:szCs w:val="16"/>
              </w:rPr>
              <w:t>6</w:t>
            </w:r>
          </w:p>
        </w:tc>
      </w:tr>
      <w:tr w:rsidRPr="0057780D" w:rsidR="00EB1F65" w:rsidTr="00DE3922" w14:paraId="7C7D0B33" w14:textId="77777777">
        <w:trPr>
          <w:trHeight w:val="315"/>
          <w:jc w:val="center"/>
        </w:trPr>
        <w:tc>
          <w:tcPr>
            <w:tcW w:w="1675"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3652E5BA" w14:textId="77777777">
            <w:pPr>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CBI Claim Substantiation</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2543F26E"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3AB821FB"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w:t>
            </w:r>
          </w:p>
        </w:tc>
        <w:tc>
          <w:tcPr>
            <w:tcW w:w="718"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44FC609E"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0.75</w:t>
            </w:r>
          </w:p>
        </w:tc>
        <w:tc>
          <w:tcPr>
            <w:tcW w:w="612"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21135D59"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0.75</w:t>
            </w:r>
          </w:p>
        </w:tc>
        <w:tc>
          <w:tcPr>
            <w:tcW w:w="66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7EF0F1E6"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1.5</w:t>
            </w:r>
          </w:p>
        </w:tc>
      </w:tr>
      <w:tr w:rsidRPr="0057780D" w:rsidR="00EB1F65" w:rsidTr="00DE3922" w14:paraId="00AEF3AA" w14:textId="77777777">
        <w:trPr>
          <w:trHeight w:val="259"/>
          <w:jc w:val="center"/>
        </w:trPr>
        <w:tc>
          <w:tcPr>
            <w:tcW w:w="1675" w:type="pct"/>
            <w:tcBorders>
              <w:top w:val="nil"/>
              <w:left w:val="single" w:color="auto" w:sz="8" w:space="0"/>
              <w:bottom w:val="single" w:color="auto" w:sz="8" w:space="0"/>
              <w:right w:val="single" w:color="auto" w:sz="8" w:space="0"/>
            </w:tcBorders>
            <w:shd w:val="clear" w:color="auto" w:fill="auto"/>
            <w:noWrap/>
            <w:vAlign w:val="center"/>
            <w:hideMark/>
          </w:tcPr>
          <w:p w:rsidRPr="0057780D" w:rsidR="00EB1F65" w:rsidP="00DE3922" w:rsidRDefault="00EB1F65" w14:paraId="64238D19"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Recordkeeping</w:t>
            </w:r>
          </w:p>
        </w:tc>
        <w:tc>
          <w:tcPr>
            <w:tcW w:w="665"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42E8F5BD"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r w:rsidRPr="0057780D">
              <w:rPr>
                <w:rFonts w:ascii="Times New Roman" w:hAnsi="Times New Roman" w:eastAsia="Times New Roman" w:cs="Times New Roman"/>
                <w:bCs/>
                <w:sz w:val="20"/>
                <w:szCs w:val="16"/>
              </w:rPr>
              <w:t>5</w:t>
            </w:r>
          </w:p>
        </w:tc>
        <w:tc>
          <w:tcPr>
            <w:tcW w:w="665"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7E281E96"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r w:rsidRPr="0057780D">
              <w:rPr>
                <w:rFonts w:ascii="Times New Roman" w:hAnsi="Times New Roman" w:eastAsia="Times New Roman" w:cs="Times New Roman"/>
                <w:bCs/>
                <w:sz w:val="20"/>
                <w:szCs w:val="16"/>
              </w:rPr>
              <w:t>5</w:t>
            </w:r>
          </w:p>
        </w:tc>
        <w:tc>
          <w:tcPr>
            <w:tcW w:w="718"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642A52E8"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w:t>
            </w:r>
          </w:p>
        </w:tc>
        <w:tc>
          <w:tcPr>
            <w:tcW w:w="612"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46BB7635" w14:textId="77777777">
            <w:pPr>
              <w:jc w:val="right"/>
              <w:rPr>
                <w:rFonts w:ascii="Times New Roman" w:hAnsi="Times New Roman" w:eastAsia="Times New Roman" w:cs="Times New Roman"/>
                <w:bCs/>
                <w:sz w:val="20"/>
                <w:szCs w:val="16"/>
              </w:rPr>
            </w:pPr>
            <w:r w:rsidRPr="0057780D">
              <w:rPr>
                <w:rFonts w:ascii="Times New Roman" w:hAnsi="Times New Roman" w:eastAsia="Times New Roman" w:cs="Times New Roman"/>
                <w:bCs/>
                <w:sz w:val="20"/>
                <w:szCs w:val="16"/>
              </w:rPr>
              <w:t>0 </w:t>
            </w:r>
          </w:p>
        </w:tc>
        <w:tc>
          <w:tcPr>
            <w:tcW w:w="665"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20B2A69F" w14:textId="77777777">
            <w:pPr>
              <w:jc w:val="right"/>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w:t>
            </w:r>
          </w:p>
        </w:tc>
      </w:tr>
      <w:tr w:rsidRPr="0057780D" w:rsidR="00EB1F65" w:rsidTr="00DE3922" w14:paraId="409274A5" w14:textId="77777777">
        <w:trPr>
          <w:trHeight w:val="315"/>
          <w:jc w:val="center"/>
        </w:trPr>
        <w:tc>
          <w:tcPr>
            <w:tcW w:w="1675" w:type="pct"/>
            <w:tcBorders>
              <w:top w:val="nil"/>
              <w:left w:val="single" w:color="auto" w:sz="8" w:space="0"/>
              <w:bottom w:val="single" w:color="auto" w:sz="8" w:space="0"/>
              <w:right w:val="single" w:color="auto" w:sz="8" w:space="0"/>
            </w:tcBorders>
            <w:shd w:val="clear" w:color="auto" w:fill="auto"/>
            <w:noWrap/>
            <w:vAlign w:val="center"/>
            <w:hideMark/>
          </w:tcPr>
          <w:p w:rsidRPr="0057780D" w:rsidR="00EB1F65" w:rsidP="00DE3922" w:rsidRDefault="00EB1F65" w14:paraId="52C66253" w14:textId="77777777">
            <w:pP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Burden per Report</w:t>
            </w:r>
          </w:p>
        </w:tc>
        <w:tc>
          <w:tcPr>
            <w:tcW w:w="665"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1FB6F262" w14:textId="77777777">
            <w:pPr>
              <w:jc w:val="right"/>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0.</w:t>
            </w:r>
            <w:r w:rsidRPr="0057780D">
              <w:rPr>
                <w:rFonts w:ascii="Times New Roman" w:hAnsi="Times New Roman" w:eastAsia="Times New Roman" w:cs="Times New Roman"/>
                <w:b/>
                <w:bCs/>
                <w:sz w:val="20"/>
                <w:szCs w:val="16"/>
              </w:rPr>
              <w:t>5</w:t>
            </w:r>
          </w:p>
        </w:tc>
        <w:tc>
          <w:tcPr>
            <w:tcW w:w="665"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487D4B94" w14:textId="77777777">
            <w:pPr>
              <w:jc w:val="right"/>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106.25</w:t>
            </w:r>
          </w:p>
        </w:tc>
        <w:tc>
          <w:tcPr>
            <w:tcW w:w="718"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09C94C87" w14:textId="77777777">
            <w:pPr>
              <w:jc w:val="right"/>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32.42</w:t>
            </w:r>
          </w:p>
        </w:tc>
        <w:tc>
          <w:tcPr>
            <w:tcW w:w="612"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0A898FC4" w14:textId="77777777">
            <w:pPr>
              <w:jc w:val="right"/>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16"/>
              </w:rPr>
              <w:t>0.75 </w:t>
            </w:r>
          </w:p>
        </w:tc>
        <w:tc>
          <w:tcPr>
            <w:tcW w:w="665" w:type="pct"/>
            <w:tcBorders>
              <w:top w:val="nil"/>
              <w:left w:val="nil"/>
              <w:bottom w:val="nil"/>
              <w:right w:val="single" w:color="auto" w:sz="8" w:space="0"/>
            </w:tcBorders>
            <w:shd w:val="clear" w:color="auto" w:fill="auto"/>
            <w:noWrap/>
            <w:vAlign w:val="center"/>
            <w:hideMark/>
          </w:tcPr>
          <w:p w:rsidRPr="0057780D" w:rsidR="00EB1F65" w:rsidP="00DE3922" w:rsidRDefault="00EB1F65" w14:paraId="5A5D18EF" w14:textId="77777777">
            <w:pPr>
              <w:jc w:val="right"/>
              <w:rPr>
                <w:rFonts w:ascii="Times New Roman" w:hAnsi="Times New Roman" w:eastAsia="Times New Roman" w:cs="Times New Roman"/>
                <w:b/>
                <w:bCs/>
                <w:sz w:val="20"/>
                <w:szCs w:val="16"/>
              </w:rPr>
            </w:pPr>
            <w:r w:rsidRPr="0057780D">
              <w:rPr>
                <w:rFonts w:ascii="Times New Roman" w:hAnsi="Times New Roman" w:eastAsia="Times New Roman" w:cs="Times New Roman"/>
                <w:b/>
                <w:bCs/>
                <w:sz w:val="20"/>
                <w:szCs w:val="16"/>
              </w:rPr>
              <w:t>140</w:t>
            </w:r>
          </w:p>
        </w:tc>
      </w:tr>
      <w:tr w:rsidRPr="0057780D" w:rsidR="00EB1F65" w:rsidTr="00DE3922" w14:paraId="6C74CC1B" w14:textId="77777777">
        <w:trPr>
          <w:trHeight w:val="133"/>
          <w:jc w:val="center"/>
        </w:trPr>
        <w:tc>
          <w:tcPr>
            <w:tcW w:w="5000" w:type="pct"/>
            <w:gridSpan w:val="6"/>
            <w:tcBorders>
              <w:top w:val="single" w:color="auto" w:sz="8" w:space="0"/>
              <w:bottom w:val="nil"/>
            </w:tcBorders>
            <w:shd w:val="clear" w:color="auto" w:fill="auto"/>
            <w:noWrap/>
          </w:tcPr>
          <w:p w:rsidRPr="0057780D" w:rsidR="00EB1F65" w:rsidP="00DE3922" w:rsidRDefault="00EB1F65" w14:paraId="4D91C664" w14:textId="77777777">
            <w:pPr>
              <w:rPr>
                <w:rFonts w:ascii="Times New Roman" w:hAnsi="Times New Roman" w:eastAsia="Times New Roman" w:cs="Times New Roman"/>
                <w:bCs/>
                <w:sz w:val="20"/>
                <w:szCs w:val="16"/>
              </w:rPr>
            </w:pPr>
            <w:r w:rsidRPr="0057780D">
              <w:rPr>
                <w:rFonts w:ascii="Times New Roman" w:hAnsi="Times New Roman" w:cs="Times New Roman"/>
                <w:sz w:val="18"/>
                <w:szCs w:val="20"/>
              </w:rPr>
              <w:t>Values may not sum due to rounding.</w:t>
            </w:r>
          </w:p>
        </w:tc>
      </w:tr>
    </w:tbl>
    <w:p w:rsidRPr="0057780D" w:rsidR="00EB1F65" w:rsidP="00EB1F65" w:rsidRDefault="00EB1F65" w14:paraId="57C72995" w14:textId="77777777">
      <w:pPr>
        <w:outlineLvl w:val="0"/>
        <w:rPr>
          <w:rFonts w:ascii="Times New Roman" w:hAnsi="Times New Roman" w:eastAsia="Times New Roman" w:cs="Times New Roman"/>
          <w:b/>
          <w:bCs/>
        </w:rPr>
      </w:pPr>
      <w:bookmarkStart w:name="_Hlk21425244" w:id="27"/>
    </w:p>
    <w:p w:rsidRPr="0057780D" w:rsidR="00EB1F65" w:rsidP="00EB1F65" w:rsidRDefault="00EB1F65" w14:paraId="0E932A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p>
    <w:p w:rsidRPr="0057780D" w:rsidR="00EB1F65" w:rsidP="00EB1F65" w:rsidRDefault="00EB1F65" w14:paraId="3EC0D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p>
    <w:p w:rsidRPr="0057780D" w:rsidR="00EB1F65" w:rsidP="00EB1F65" w:rsidRDefault="00EB1F65" w14:paraId="080EE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The burden associated with electronic submission is presented in Table 3. This burden depends on whether a firm is registering for the first time with CDX or has previously registered with CDX. </w:t>
      </w:r>
    </w:p>
    <w:p w:rsidRPr="0057780D" w:rsidR="00EB1F65" w:rsidP="00EB1F65" w:rsidRDefault="00EB1F65" w14:paraId="4016D8E5" w14:textId="77777777">
      <w:pPr>
        <w:outlineLvl w:val="0"/>
        <w:rPr>
          <w:rFonts w:ascii="Times New Roman" w:hAnsi="Times New Roman" w:eastAsia="Times New Roman" w:cs="Times New Roman"/>
          <w:b/>
          <w:bCs/>
        </w:rPr>
      </w:pPr>
    </w:p>
    <w:p w:rsidRPr="0057780D" w:rsidR="00EB1F65" w:rsidP="00EB1F65" w:rsidRDefault="00EB1F65" w14:paraId="478BB0D1" w14:textId="77777777">
      <w:pPr>
        <w:outlineLvl w:val="0"/>
        <w:rPr>
          <w:rFonts w:ascii="Times New Roman" w:hAnsi="Times New Roman" w:eastAsia="Times New Roman" w:cs="Times New Roman"/>
          <w:b/>
          <w:bCs/>
          <w:sz w:val="20"/>
          <w:szCs w:val="20"/>
        </w:rPr>
      </w:pPr>
      <w:r w:rsidRPr="0057780D">
        <w:rPr>
          <w:rFonts w:ascii="Times New Roman" w:hAnsi="Times New Roman" w:eastAsia="Times New Roman" w:cs="Times New Roman"/>
          <w:b/>
          <w:bCs/>
        </w:rPr>
        <w:t>Table 3: Industry Burden, by Activity for Electronic Reporting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18"/>
        <w:gridCol w:w="1217"/>
        <w:gridCol w:w="1219"/>
        <w:gridCol w:w="1217"/>
        <w:gridCol w:w="1219"/>
        <w:gridCol w:w="1560"/>
      </w:tblGrid>
      <w:tr w:rsidRPr="0057780D" w:rsidR="00EB1F65" w:rsidTr="00DE3922" w14:paraId="3AB7FD28" w14:textId="77777777">
        <w:tc>
          <w:tcPr>
            <w:tcW w:w="1560" w:type="pct"/>
            <w:shd w:val="clear" w:color="auto" w:fill="F2F2F2"/>
            <w:vAlign w:val="center"/>
          </w:tcPr>
          <w:bookmarkEnd w:id="27"/>
          <w:p w:rsidRPr="0057780D" w:rsidR="00EB1F65" w:rsidP="00DE3922" w:rsidRDefault="00EB1F65" w14:paraId="550B23C8"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Activity</w:t>
            </w:r>
          </w:p>
        </w:tc>
        <w:tc>
          <w:tcPr>
            <w:tcW w:w="651" w:type="pct"/>
            <w:shd w:val="clear" w:color="auto" w:fill="F2F2F2"/>
            <w:vAlign w:val="center"/>
          </w:tcPr>
          <w:p w:rsidRPr="0057780D" w:rsidR="00EB1F65" w:rsidP="00DE3922" w:rsidRDefault="00EB1F65" w14:paraId="2768920A"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Clerical Burden</w:t>
            </w:r>
          </w:p>
          <w:p w:rsidRPr="0057780D" w:rsidR="00EB1F65" w:rsidP="00DE3922" w:rsidRDefault="00EB1F65" w14:paraId="71B75010"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(hours)</w:t>
            </w:r>
          </w:p>
        </w:tc>
        <w:tc>
          <w:tcPr>
            <w:tcW w:w="652" w:type="pct"/>
            <w:shd w:val="clear" w:color="auto" w:fill="F2F2F2"/>
            <w:vAlign w:val="center"/>
          </w:tcPr>
          <w:p w:rsidRPr="0057780D" w:rsidR="00EB1F65" w:rsidP="00DE3922" w:rsidRDefault="00EB1F65" w14:paraId="20876C20"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Technical Burden</w:t>
            </w:r>
          </w:p>
          <w:p w:rsidRPr="0057780D" w:rsidR="00EB1F65" w:rsidP="00DE3922" w:rsidRDefault="00EB1F65" w14:paraId="064BDA46"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(hours)</w:t>
            </w:r>
          </w:p>
        </w:tc>
        <w:tc>
          <w:tcPr>
            <w:tcW w:w="651" w:type="pct"/>
            <w:shd w:val="clear" w:color="auto" w:fill="F2F2F2"/>
            <w:vAlign w:val="center"/>
          </w:tcPr>
          <w:p w:rsidRPr="0057780D" w:rsidR="00EB1F65" w:rsidP="00DE3922" w:rsidRDefault="00EB1F65" w14:paraId="27017052"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Managerial Burden (hours)</w:t>
            </w:r>
          </w:p>
        </w:tc>
        <w:tc>
          <w:tcPr>
            <w:tcW w:w="652" w:type="pct"/>
            <w:shd w:val="clear" w:color="auto" w:fill="F2F2F2"/>
            <w:vAlign w:val="center"/>
          </w:tcPr>
          <w:p w:rsidRPr="0057780D" w:rsidR="00EB1F65" w:rsidP="00DE3922" w:rsidRDefault="00EB1F65" w14:paraId="7D3EB8CD"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Number of Annual Activities</w:t>
            </w:r>
          </w:p>
        </w:tc>
        <w:tc>
          <w:tcPr>
            <w:tcW w:w="834" w:type="pct"/>
            <w:shd w:val="clear" w:color="auto" w:fill="F2F2F2"/>
            <w:vAlign w:val="center"/>
          </w:tcPr>
          <w:p w:rsidRPr="0057780D" w:rsidR="00EB1F65" w:rsidP="00DE3922" w:rsidRDefault="00EB1F65" w14:paraId="6A448775"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Total Burden</w:t>
            </w:r>
          </w:p>
          <w:p w:rsidRPr="0057780D" w:rsidR="00EB1F65" w:rsidP="00DE3922" w:rsidRDefault="00EB1F65" w14:paraId="620D7E6D" w14:textId="77777777">
            <w:pPr>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(hours)</w:t>
            </w:r>
          </w:p>
        </w:tc>
      </w:tr>
      <w:tr w:rsidRPr="0057780D" w:rsidR="00EB1F65" w:rsidTr="00DE3922" w14:paraId="6D5C8C8C" w14:textId="77777777">
        <w:tc>
          <w:tcPr>
            <w:tcW w:w="5000" w:type="pct"/>
            <w:gridSpan w:val="6"/>
            <w:shd w:val="clear" w:color="auto" w:fill="auto"/>
          </w:tcPr>
          <w:p w:rsidRPr="0057780D" w:rsidR="00EB1F65" w:rsidP="00DE3922" w:rsidRDefault="00EB1F65" w14:paraId="3F77AE0A"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20"/>
              </w:rPr>
              <w:t>First-time registration</w:t>
            </w:r>
          </w:p>
        </w:tc>
      </w:tr>
      <w:tr w:rsidRPr="0057780D" w:rsidR="00EB1F65" w:rsidTr="00DE3922" w14:paraId="5951343C" w14:textId="77777777">
        <w:tc>
          <w:tcPr>
            <w:tcW w:w="1560" w:type="pct"/>
            <w:shd w:val="clear" w:color="auto" w:fill="auto"/>
          </w:tcPr>
          <w:p w:rsidRPr="0057780D" w:rsidR="00EB1F65" w:rsidP="00DE3922" w:rsidRDefault="00EB1F65" w14:paraId="1288CBAD" w14:textId="77777777">
            <w:pPr>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CDX Registration</w:t>
            </w:r>
          </w:p>
        </w:tc>
        <w:tc>
          <w:tcPr>
            <w:tcW w:w="651" w:type="pct"/>
            <w:shd w:val="clear" w:color="auto" w:fill="auto"/>
            <w:vAlign w:val="center"/>
          </w:tcPr>
          <w:p w:rsidRPr="0057780D" w:rsidR="00EB1F65" w:rsidP="00DE3922" w:rsidRDefault="00EB1F65" w14:paraId="24FA6638"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353038ED"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0.67</w:t>
            </w:r>
          </w:p>
        </w:tc>
        <w:tc>
          <w:tcPr>
            <w:tcW w:w="651" w:type="pct"/>
            <w:shd w:val="clear" w:color="auto" w:fill="auto"/>
            <w:vAlign w:val="center"/>
          </w:tcPr>
          <w:p w:rsidRPr="0057780D" w:rsidR="00EB1F65" w:rsidP="00DE3922" w:rsidRDefault="00EB1F65" w14:paraId="1604B9FC"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0.17</w:t>
            </w:r>
          </w:p>
        </w:tc>
        <w:tc>
          <w:tcPr>
            <w:tcW w:w="652" w:type="pct"/>
            <w:shd w:val="clear" w:color="auto" w:fill="auto"/>
            <w:vAlign w:val="center"/>
          </w:tcPr>
          <w:p w:rsidRPr="0057780D" w:rsidR="00EB1F65" w:rsidP="00DE3922" w:rsidRDefault="00EB1F65" w14:paraId="4E5FC2E0"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1.00</w:t>
            </w:r>
          </w:p>
        </w:tc>
        <w:tc>
          <w:tcPr>
            <w:tcW w:w="834" w:type="pct"/>
            <w:shd w:val="clear" w:color="auto" w:fill="auto"/>
            <w:vAlign w:val="center"/>
          </w:tcPr>
          <w:p w:rsidRPr="0057780D" w:rsidR="00EB1F65" w:rsidP="00DE3922" w:rsidRDefault="00EB1F65" w14:paraId="4AC3EC68"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0.84</w:t>
            </w:r>
          </w:p>
        </w:tc>
      </w:tr>
      <w:tr w:rsidRPr="0057780D" w:rsidR="00EB1F65" w:rsidTr="00DE3922" w14:paraId="3899809B" w14:textId="77777777">
        <w:tc>
          <w:tcPr>
            <w:tcW w:w="1560" w:type="pct"/>
            <w:shd w:val="clear" w:color="auto" w:fill="auto"/>
          </w:tcPr>
          <w:p w:rsidRPr="0057780D" w:rsidR="00EB1F65" w:rsidP="00DE3922" w:rsidRDefault="00EB1F65" w14:paraId="1B4DD590" w14:textId="77777777">
            <w:pPr>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Electronic Subscriber Agreement/ Electronic Signature</w:t>
            </w:r>
          </w:p>
        </w:tc>
        <w:tc>
          <w:tcPr>
            <w:tcW w:w="651" w:type="pct"/>
            <w:shd w:val="clear" w:color="auto" w:fill="auto"/>
            <w:vAlign w:val="center"/>
          </w:tcPr>
          <w:p w:rsidRPr="0057780D" w:rsidR="00EB1F65" w:rsidP="00DE3922" w:rsidRDefault="00EB1F65" w14:paraId="1406C125"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622C5506"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1" w:type="pct"/>
            <w:shd w:val="clear" w:color="auto" w:fill="auto"/>
            <w:vAlign w:val="center"/>
          </w:tcPr>
          <w:p w:rsidRPr="0057780D" w:rsidR="00EB1F65" w:rsidP="00DE3922" w:rsidRDefault="00EB1F65" w14:paraId="59C6A3F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0.25</w:t>
            </w:r>
          </w:p>
        </w:tc>
        <w:tc>
          <w:tcPr>
            <w:tcW w:w="652" w:type="pct"/>
            <w:shd w:val="clear" w:color="auto" w:fill="auto"/>
            <w:vAlign w:val="center"/>
          </w:tcPr>
          <w:p w:rsidRPr="0057780D" w:rsidR="00EB1F65" w:rsidP="00DE3922" w:rsidRDefault="00EB1F65" w14:paraId="348C2972"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1.00</w:t>
            </w:r>
          </w:p>
        </w:tc>
        <w:tc>
          <w:tcPr>
            <w:tcW w:w="834" w:type="pct"/>
            <w:shd w:val="clear" w:color="auto" w:fill="auto"/>
            <w:vAlign w:val="center"/>
          </w:tcPr>
          <w:p w:rsidRPr="0057780D" w:rsidR="00EB1F65" w:rsidP="00DE3922" w:rsidRDefault="00EB1F65" w14:paraId="001ECC8A"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0.25</w:t>
            </w:r>
          </w:p>
        </w:tc>
      </w:tr>
      <w:tr w:rsidRPr="0057780D" w:rsidR="00EB1F65" w:rsidTr="00DE3922" w14:paraId="34138967" w14:textId="77777777">
        <w:tc>
          <w:tcPr>
            <w:tcW w:w="1560" w:type="pct"/>
            <w:shd w:val="clear" w:color="auto" w:fill="auto"/>
          </w:tcPr>
          <w:p w:rsidRPr="0057780D" w:rsidR="00EB1F65" w:rsidP="00DE3922" w:rsidRDefault="00EB1F65" w14:paraId="73E7962B" w14:textId="77777777">
            <w:pPr>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Help Desk</w:t>
            </w:r>
          </w:p>
        </w:tc>
        <w:tc>
          <w:tcPr>
            <w:tcW w:w="651" w:type="pct"/>
            <w:shd w:val="clear" w:color="auto" w:fill="auto"/>
            <w:vAlign w:val="center"/>
          </w:tcPr>
          <w:p w:rsidRPr="0057780D" w:rsidR="00EB1F65" w:rsidP="00DE3922" w:rsidRDefault="00EB1F65" w14:paraId="1678F260"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38F6FF0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0.24</w:t>
            </w:r>
          </w:p>
        </w:tc>
        <w:tc>
          <w:tcPr>
            <w:tcW w:w="651" w:type="pct"/>
            <w:shd w:val="clear" w:color="auto" w:fill="auto"/>
            <w:vAlign w:val="center"/>
          </w:tcPr>
          <w:p w:rsidRPr="0057780D" w:rsidR="00EB1F65" w:rsidP="00DE3922" w:rsidRDefault="00EB1F65" w14:paraId="76A190B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0.06</w:t>
            </w:r>
          </w:p>
        </w:tc>
        <w:tc>
          <w:tcPr>
            <w:tcW w:w="652" w:type="pct"/>
            <w:shd w:val="clear" w:color="auto" w:fill="auto"/>
            <w:vAlign w:val="center"/>
          </w:tcPr>
          <w:p w:rsidRPr="0057780D" w:rsidR="00EB1F65" w:rsidP="00DE3922" w:rsidRDefault="00EB1F65" w14:paraId="2F38D382"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1.00</w:t>
            </w:r>
          </w:p>
        </w:tc>
        <w:tc>
          <w:tcPr>
            <w:tcW w:w="834" w:type="pct"/>
            <w:shd w:val="clear" w:color="auto" w:fill="auto"/>
            <w:vAlign w:val="center"/>
          </w:tcPr>
          <w:p w:rsidRPr="0057780D" w:rsidR="00EB1F65" w:rsidP="00DE3922" w:rsidRDefault="00EB1F65" w14:paraId="3216E9C9"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0.30</w:t>
            </w:r>
          </w:p>
        </w:tc>
      </w:tr>
      <w:tr w:rsidRPr="0057780D" w:rsidR="00EB1F65" w:rsidTr="00DE3922" w14:paraId="4B8B9C72" w14:textId="77777777">
        <w:tc>
          <w:tcPr>
            <w:tcW w:w="1560" w:type="pct"/>
            <w:shd w:val="clear" w:color="auto" w:fill="auto"/>
          </w:tcPr>
          <w:p w:rsidRPr="0057780D" w:rsidR="00EB1F65" w:rsidP="00DE3922" w:rsidRDefault="00EB1F65" w14:paraId="6C8B15E6" w14:textId="77777777">
            <w:pPr>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Problem Resolution</w:t>
            </w:r>
          </w:p>
        </w:tc>
        <w:tc>
          <w:tcPr>
            <w:tcW w:w="651" w:type="pct"/>
            <w:shd w:val="clear" w:color="auto" w:fill="auto"/>
            <w:vAlign w:val="center"/>
          </w:tcPr>
          <w:p w:rsidRPr="0057780D" w:rsidR="00EB1F65" w:rsidP="00DE3922" w:rsidRDefault="00EB1F65" w14:paraId="2ED3FE75"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15D5A98B"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1.00</w:t>
            </w:r>
          </w:p>
        </w:tc>
        <w:tc>
          <w:tcPr>
            <w:tcW w:w="651" w:type="pct"/>
            <w:shd w:val="clear" w:color="auto" w:fill="auto"/>
            <w:vAlign w:val="center"/>
          </w:tcPr>
          <w:p w:rsidRPr="0057780D" w:rsidR="00EB1F65" w:rsidP="00DE3922" w:rsidRDefault="00EB1F65" w14:paraId="40D60792"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6DED5037"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c>
          <w:tcPr>
            <w:tcW w:w="834" w:type="pct"/>
            <w:shd w:val="clear" w:color="auto" w:fill="auto"/>
            <w:vAlign w:val="center"/>
          </w:tcPr>
          <w:p w:rsidRPr="0057780D" w:rsidR="00EB1F65" w:rsidP="00DE3922" w:rsidRDefault="00EB1F65" w14:paraId="442B4890"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r>
      <w:tr w:rsidRPr="0057780D" w:rsidR="00EB1F65" w:rsidTr="00DE3922" w14:paraId="0864F366" w14:textId="77777777">
        <w:tc>
          <w:tcPr>
            <w:tcW w:w="4166" w:type="pct"/>
            <w:gridSpan w:val="5"/>
            <w:shd w:val="clear" w:color="auto" w:fill="auto"/>
          </w:tcPr>
          <w:p w:rsidRPr="0057780D" w:rsidR="00EB1F65" w:rsidP="00DE3922" w:rsidRDefault="00EB1F65" w14:paraId="45FD9CFA" w14:textId="77777777">
            <w:pPr>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Total First Time Burden per firm</w:t>
            </w:r>
          </w:p>
        </w:tc>
        <w:tc>
          <w:tcPr>
            <w:tcW w:w="834" w:type="pct"/>
            <w:shd w:val="clear" w:color="auto" w:fill="auto"/>
            <w:vAlign w:val="center"/>
          </w:tcPr>
          <w:p w:rsidRPr="0057780D" w:rsidR="00EB1F65" w:rsidP="00DE3922" w:rsidRDefault="00EB1F65" w14:paraId="2D7BFB50" w14:textId="77777777">
            <w:pPr>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1.42</w:t>
            </w:r>
          </w:p>
        </w:tc>
      </w:tr>
      <w:tr w:rsidRPr="0057780D" w:rsidR="00EB1F65" w:rsidTr="00DE3922" w14:paraId="06EA8F41" w14:textId="77777777">
        <w:tc>
          <w:tcPr>
            <w:tcW w:w="5000" w:type="pct"/>
            <w:gridSpan w:val="6"/>
            <w:shd w:val="clear" w:color="auto" w:fill="auto"/>
          </w:tcPr>
          <w:p w:rsidRPr="0057780D" w:rsidR="00EB1F65" w:rsidP="00DE3922" w:rsidRDefault="00EB1F65" w14:paraId="23DA4089"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20"/>
              </w:rPr>
              <w:t>Subsequent registration</w:t>
            </w:r>
          </w:p>
        </w:tc>
      </w:tr>
      <w:tr w:rsidRPr="0057780D" w:rsidR="00EB1F65" w:rsidTr="00DE3922" w14:paraId="4710F4EA" w14:textId="77777777">
        <w:tc>
          <w:tcPr>
            <w:tcW w:w="1560" w:type="pct"/>
            <w:shd w:val="clear" w:color="auto" w:fill="auto"/>
          </w:tcPr>
          <w:p w:rsidRPr="0057780D" w:rsidR="00EB1F65" w:rsidP="00DE3922" w:rsidRDefault="00EB1F65" w14:paraId="6F866F07"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CDX Registration</w:t>
            </w:r>
          </w:p>
        </w:tc>
        <w:tc>
          <w:tcPr>
            <w:tcW w:w="651" w:type="pct"/>
            <w:shd w:val="clear" w:color="auto" w:fill="auto"/>
            <w:vAlign w:val="center"/>
          </w:tcPr>
          <w:p w:rsidRPr="0057780D" w:rsidR="00EB1F65" w:rsidP="00DE3922" w:rsidRDefault="00EB1F65" w14:paraId="135E4526"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228F81F9"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0.67</w:t>
            </w:r>
          </w:p>
        </w:tc>
        <w:tc>
          <w:tcPr>
            <w:tcW w:w="651" w:type="pct"/>
            <w:shd w:val="clear" w:color="auto" w:fill="auto"/>
            <w:vAlign w:val="center"/>
          </w:tcPr>
          <w:p w:rsidRPr="0057780D" w:rsidR="00EB1F65" w:rsidP="00DE3922" w:rsidRDefault="00EB1F65" w14:paraId="7679E5A6"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0.17</w:t>
            </w:r>
          </w:p>
        </w:tc>
        <w:tc>
          <w:tcPr>
            <w:tcW w:w="652" w:type="pct"/>
            <w:shd w:val="clear" w:color="auto" w:fill="auto"/>
            <w:vAlign w:val="center"/>
          </w:tcPr>
          <w:p w:rsidRPr="0057780D" w:rsidR="00EB1F65" w:rsidP="00DE3922" w:rsidRDefault="00EB1F65" w14:paraId="3D6C1A59"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34" w:type="pct"/>
            <w:shd w:val="clear" w:color="auto" w:fill="auto"/>
            <w:vAlign w:val="center"/>
          </w:tcPr>
          <w:p w:rsidRPr="0057780D" w:rsidR="00EB1F65" w:rsidP="00DE3922" w:rsidRDefault="00EB1F65" w14:paraId="773BAAB6"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0.08</w:t>
            </w:r>
          </w:p>
        </w:tc>
      </w:tr>
      <w:tr w:rsidRPr="0057780D" w:rsidR="00EB1F65" w:rsidTr="00DE3922" w14:paraId="5A9935FD" w14:textId="77777777">
        <w:tc>
          <w:tcPr>
            <w:tcW w:w="1560" w:type="pct"/>
            <w:shd w:val="clear" w:color="auto" w:fill="auto"/>
          </w:tcPr>
          <w:p w:rsidRPr="0057780D" w:rsidR="00EB1F65" w:rsidP="00DE3922" w:rsidRDefault="00EB1F65" w14:paraId="709084F4"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Electronic Subscriber Agreement/Electronic Signature</w:t>
            </w:r>
          </w:p>
        </w:tc>
        <w:tc>
          <w:tcPr>
            <w:tcW w:w="651" w:type="pct"/>
            <w:shd w:val="clear" w:color="auto" w:fill="auto"/>
            <w:vAlign w:val="center"/>
          </w:tcPr>
          <w:p w:rsidRPr="0057780D" w:rsidR="00EB1F65" w:rsidP="00DE3922" w:rsidRDefault="00EB1F65" w14:paraId="73497D92"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656350D5"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1" w:type="pct"/>
            <w:shd w:val="clear" w:color="auto" w:fill="auto"/>
            <w:vAlign w:val="center"/>
          </w:tcPr>
          <w:p w:rsidRPr="0057780D" w:rsidR="00EB1F65" w:rsidP="00DE3922" w:rsidRDefault="00EB1F65" w14:paraId="2E20F2E4"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0.25</w:t>
            </w:r>
          </w:p>
        </w:tc>
        <w:tc>
          <w:tcPr>
            <w:tcW w:w="652" w:type="pct"/>
            <w:shd w:val="clear" w:color="auto" w:fill="auto"/>
            <w:vAlign w:val="center"/>
          </w:tcPr>
          <w:p w:rsidRPr="0057780D" w:rsidR="00EB1F65" w:rsidP="00DE3922" w:rsidRDefault="00EB1F65" w14:paraId="4112E3CE"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34" w:type="pct"/>
            <w:shd w:val="clear" w:color="auto" w:fill="auto"/>
            <w:vAlign w:val="center"/>
          </w:tcPr>
          <w:p w:rsidRPr="0057780D" w:rsidR="00EB1F65" w:rsidP="00DE3922" w:rsidRDefault="00EB1F65" w14:paraId="0CBA1A8C"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r>
      <w:tr w:rsidRPr="0057780D" w:rsidR="00EB1F65" w:rsidTr="00DE3922" w14:paraId="372F751C" w14:textId="77777777">
        <w:tc>
          <w:tcPr>
            <w:tcW w:w="1560" w:type="pct"/>
            <w:shd w:val="clear" w:color="auto" w:fill="auto"/>
          </w:tcPr>
          <w:p w:rsidRPr="0057780D" w:rsidR="00EB1F65" w:rsidP="00DE3922" w:rsidRDefault="00EB1F65" w14:paraId="42B90F8A"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Help Desk</w:t>
            </w:r>
          </w:p>
        </w:tc>
        <w:tc>
          <w:tcPr>
            <w:tcW w:w="651" w:type="pct"/>
            <w:shd w:val="clear" w:color="auto" w:fill="auto"/>
            <w:vAlign w:val="center"/>
          </w:tcPr>
          <w:p w:rsidRPr="0057780D" w:rsidR="00EB1F65" w:rsidP="00DE3922" w:rsidRDefault="00EB1F65" w14:paraId="5095F8CC"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247697E2" w14:textId="77777777">
            <w:pPr>
              <w:tabs>
                <w:tab w:val="center" w:pos="990"/>
              </w:tabs>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0.24</w:t>
            </w:r>
          </w:p>
        </w:tc>
        <w:tc>
          <w:tcPr>
            <w:tcW w:w="651" w:type="pct"/>
            <w:shd w:val="clear" w:color="auto" w:fill="auto"/>
            <w:vAlign w:val="center"/>
          </w:tcPr>
          <w:p w:rsidRPr="0057780D" w:rsidR="00EB1F65" w:rsidP="00DE3922" w:rsidRDefault="00EB1F65" w14:paraId="74AD708C"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0.06</w:t>
            </w:r>
          </w:p>
        </w:tc>
        <w:tc>
          <w:tcPr>
            <w:tcW w:w="652" w:type="pct"/>
            <w:shd w:val="clear" w:color="auto" w:fill="auto"/>
            <w:vAlign w:val="center"/>
          </w:tcPr>
          <w:p w:rsidRPr="0057780D" w:rsidR="00EB1F65" w:rsidP="00DE3922" w:rsidRDefault="00EB1F65" w14:paraId="3CC39495"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34" w:type="pct"/>
            <w:shd w:val="clear" w:color="auto" w:fill="auto"/>
            <w:vAlign w:val="center"/>
          </w:tcPr>
          <w:p w:rsidRPr="0057780D" w:rsidR="00EB1F65" w:rsidP="00DE3922" w:rsidRDefault="00EB1F65" w14:paraId="3627FD5C"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r>
      <w:tr w:rsidRPr="0057780D" w:rsidR="00EB1F65" w:rsidTr="00DE3922" w14:paraId="4FB3A2AA" w14:textId="77777777">
        <w:tc>
          <w:tcPr>
            <w:tcW w:w="1560" w:type="pct"/>
            <w:shd w:val="clear" w:color="auto" w:fill="auto"/>
          </w:tcPr>
          <w:p w:rsidRPr="0057780D" w:rsidR="00EB1F65" w:rsidP="00DE3922" w:rsidRDefault="00EB1F65" w14:paraId="32AC7FF9"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Report Compromised Signature</w:t>
            </w:r>
          </w:p>
        </w:tc>
        <w:tc>
          <w:tcPr>
            <w:tcW w:w="651" w:type="pct"/>
            <w:shd w:val="clear" w:color="auto" w:fill="auto"/>
            <w:vAlign w:val="center"/>
          </w:tcPr>
          <w:p w:rsidRPr="0057780D" w:rsidR="00EB1F65" w:rsidP="00DE3922" w:rsidRDefault="00EB1F65" w14:paraId="1EB65444"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53CB824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1" w:type="pct"/>
            <w:shd w:val="clear" w:color="auto" w:fill="auto"/>
            <w:vAlign w:val="center"/>
          </w:tcPr>
          <w:p w:rsidRPr="0057780D" w:rsidR="00EB1F65" w:rsidP="00DE3922" w:rsidRDefault="00EB1F65" w14:paraId="4150D16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0.40</w:t>
            </w:r>
          </w:p>
        </w:tc>
        <w:tc>
          <w:tcPr>
            <w:tcW w:w="652" w:type="pct"/>
            <w:shd w:val="clear" w:color="auto" w:fill="auto"/>
            <w:vAlign w:val="center"/>
          </w:tcPr>
          <w:p w:rsidRPr="0057780D" w:rsidR="00EB1F65" w:rsidP="00DE3922" w:rsidRDefault="00EB1F65" w14:paraId="547D40F1"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0.01</w:t>
            </w:r>
          </w:p>
        </w:tc>
        <w:tc>
          <w:tcPr>
            <w:tcW w:w="834" w:type="pct"/>
            <w:shd w:val="clear" w:color="auto" w:fill="auto"/>
            <w:vAlign w:val="center"/>
          </w:tcPr>
          <w:p w:rsidRPr="0057780D" w:rsidR="00EB1F65" w:rsidP="00DE3922" w:rsidRDefault="00EB1F65" w14:paraId="64313B0F"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r>
      <w:tr w:rsidRPr="0057780D" w:rsidR="00EB1F65" w:rsidTr="00DE3922" w14:paraId="6D8D6072" w14:textId="77777777">
        <w:tc>
          <w:tcPr>
            <w:tcW w:w="1560" w:type="pct"/>
            <w:shd w:val="clear" w:color="auto" w:fill="auto"/>
          </w:tcPr>
          <w:p w:rsidRPr="0057780D" w:rsidR="00EB1F65" w:rsidP="00DE3922" w:rsidRDefault="00EB1F65" w14:paraId="39742308" w14:textId="77777777">
            <w:pPr>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Problem Resolution</w:t>
            </w:r>
          </w:p>
        </w:tc>
        <w:tc>
          <w:tcPr>
            <w:tcW w:w="651" w:type="pct"/>
            <w:shd w:val="clear" w:color="auto" w:fill="auto"/>
            <w:vAlign w:val="center"/>
          </w:tcPr>
          <w:p w:rsidRPr="0057780D" w:rsidR="00EB1F65" w:rsidP="00DE3922" w:rsidRDefault="00EB1F65" w14:paraId="3770CA7D"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7D14FC6A"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1.00</w:t>
            </w:r>
          </w:p>
        </w:tc>
        <w:tc>
          <w:tcPr>
            <w:tcW w:w="651" w:type="pct"/>
            <w:shd w:val="clear" w:color="auto" w:fill="auto"/>
            <w:vAlign w:val="center"/>
          </w:tcPr>
          <w:p w:rsidRPr="0057780D" w:rsidR="00EB1F65" w:rsidP="00DE3922" w:rsidRDefault="00EB1F65" w14:paraId="29247B00"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52" w:type="pct"/>
            <w:shd w:val="clear" w:color="auto" w:fill="auto"/>
            <w:vAlign w:val="center"/>
          </w:tcPr>
          <w:p w:rsidRPr="0057780D" w:rsidR="00EB1F65" w:rsidP="00DE3922" w:rsidRDefault="00EB1F65" w14:paraId="778F78A7"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c>
          <w:tcPr>
            <w:tcW w:w="834" w:type="pct"/>
            <w:shd w:val="clear" w:color="auto" w:fill="auto"/>
            <w:vAlign w:val="center"/>
          </w:tcPr>
          <w:p w:rsidRPr="0057780D" w:rsidR="00EB1F65" w:rsidP="00DE3922" w:rsidRDefault="00EB1F65" w14:paraId="56148DB6" w14:textId="77777777">
            <w:pPr>
              <w:jc w:val="right"/>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r>
      <w:tr w:rsidRPr="0057780D" w:rsidR="00EB1F65" w:rsidTr="00DE3922" w14:paraId="7F337466" w14:textId="77777777">
        <w:tc>
          <w:tcPr>
            <w:tcW w:w="4166" w:type="pct"/>
            <w:gridSpan w:val="5"/>
            <w:shd w:val="clear" w:color="auto" w:fill="auto"/>
          </w:tcPr>
          <w:p w:rsidRPr="0057780D" w:rsidR="00EB1F65" w:rsidP="00DE3922" w:rsidRDefault="00EB1F65" w14:paraId="63B9F3BE" w14:textId="77777777">
            <w:pPr>
              <w:widowControl w:val="0"/>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Total Subsequent Burden per firm</w:t>
            </w:r>
          </w:p>
        </w:tc>
        <w:tc>
          <w:tcPr>
            <w:tcW w:w="834" w:type="pct"/>
            <w:shd w:val="clear" w:color="auto" w:fill="auto"/>
            <w:vAlign w:val="center"/>
          </w:tcPr>
          <w:p w:rsidRPr="0057780D" w:rsidR="00EB1F65" w:rsidP="00DE3922" w:rsidRDefault="00EB1F65" w14:paraId="6FC8A373" w14:textId="77777777">
            <w:pPr>
              <w:widowControl w:val="0"/>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0.17</w:t>
            </w:r>
          </w:p>
        </w:tc>
      </w:tr>
    </w:tbl>
    <w:p w:rsidRPr="0057780D" w:rsidR="00EB1F65" w:rsidP="00EB1F65" w:rsidRDefault="00EB1F65" w14:paraId="74057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p>
    <w:p w:rsidRPr="0057780D" w:rsidR="00EB1F65" w:rsidP="00EB1F65" w:rsidRDefault="00EB1F65" w14:paraId="10A1B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EPA estimates the total burden for one firm to complete one form to be approximately 141 hours including rule familiarization and electronic reporting. </w:t>
      </w:r>
    </w:p>
    <w:p w:rsidRPr="0057780D" w:rsidR="00EB1F65" w:rsidP="00EB1F65" w:rsidRDefault="00EB1F65" w14:paraId="281D3A15" w14:textId="77777777">
      <w:pPr>
        <w:pStyle w:val="TableTitle"/>
        <w:keepNext w:val="0"/>
        <w:keepLines w:val="0"/>
        <w:widowControl w:val="0"/>
        <w:spacing w:before="0" w:after="0"/>
        <w:outlineLvl w:val="0"/>
        <w:rPr>
          <w:rFonts w:ascii="Times New Roman" w:hAnsi="Times New Roman" w:cs="Times New Roman"/>
          <w:b w:val="0"/>
          <w:color w:val="auto"/>
          <w:sz w:val="24"/>
        </w:rPr>
      </w:pPr>
    </w:p>
    <w:p w:rsidRPr="0057780D" w:rsidR="00EB1F65" w:rsidP="00EB1F65" w:rsidRDefault="00EB1F65" w14:paraId="044A10CC" w14:textId="77777777">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Given the expectation that the same manufacturers will submit 0.52 reports per year, the burden per year per manufacturer is estimated by:</w:t>
      </w:r>
    </w:p>
    <w:p w:rsidRPr="0057780D" w:rsidR="00EB1F65" w:rsidP="00EB1F65" w:rsidRDefault="00EB1F65" w14:paraId="28731B6E"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EB1F65" w:rsidRDefault="00EB1F65" w14:paraId="62F02313" w14:textId="77777777">
      <w:pPr>
        <w:pStyle w:val="TableTitle"/>
        <w:keepNext w:val="0"/>
        <w:keepLines w:val="0"/>
        <w:widowControl w:val="0"/>
        <w:spacing w:before="0" w:after="0"/>
        <w:ind w:left="360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Form Completion, CBI Claim</w:t>
      </w:r>
    </w:p>
    <w:p w:rsidRPr="0057780D" w:rsidR="00EB1F65" w:rsidP="00EB1F65" w:rsidRDefault="00EB1F65" w14:paraId="317E811F" w14:textId="77777777">
      <w:pPr>
        <w:pStyle w:val="TableTitle"/>
        <w:keepNext w:val="0"/>
        <w:keepLines w:val="0"/>
        <w:widowControl w:val="0"/>
        <w:spacing w:before="0" w:after="0"/>
        <w:ind w:left="2880" w:firstLine="72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Substantiation and Recordkeeping         E-Reporting</w:t>
      </w:r>
    </w:p>
    <w:p w:rsidRPr="0057780D" w:rsidR="00EB1F65" w:rsidP="00EB1F65" w:rsidRDefault="00EB1F65" w14:paraId="5D2C4758" w14:textId="77777777">
      <w:pPr>
        <w:pStyle w:val="TableTitle"/>
        <w:keepNext w:val="0"/>
        <w:keepLines w:val="0"/>
        <w:widowControl w:val="0"/>
        <w:spacing w:before="0" w:after="0"/>
        <w:jc w:val="center"/>
        <w:outlineLvl w:val="0"/>
        <w:rPr>
          <w:rFonts w:ascii="Times New Roman" w:hAnsi="Times New Roman" w:cs="Times New Roman"/>
          <w:b w:val="0"/>
          <w:color w:val="auto"/>
          <w:sz w:val="22"/>
        </w:rPr>
      </w:pPr>
      <m:oMath>
        <m:r>
          <m:rPr>
            <m:sty m:val="bi"/>
          </m:rPr>
          <w:rPr>
            <w:rFonts w:ascii="Cambria Math" w:hAnsi="Cambria Math" w:cs="Times New Roman"/>
            <w:color w:val="auto"/>
            <w:sz w:val="22"/>
          </w:rPr>
          <m:t xml:space="preserve">Annual Burden per Manufacturer= 0.52 </m:t>
        </m:r>
        <m:d>
          <m:dPr>
            <m:ctrlPr>
              <w:rPr>
                <w:rFonts w:ascii="Cambria Math" w:hAnsi="Cambria Math" w:cs="Times New Roman"/>
                <w:b w:val="0"/>
                <w:i/>
                <w:color w:val="auto"/>
                <w:sz w:val="22"/>
              </w:rPr>
            </m:ctrlPr>
          </m:dPr>
          <m:e>
            <m:r>
              <m:rPr>
                <m:sty m:val="bi"/>
              </m:rPr>
              <w:rPr>
                <w:rFonts w:ascii="Cambria Math" w:hAnsi="Cambria Math" w:cs="Times New Roman"/>
                <w:color w:val="auto"/>
                <w:sz w:val="22"/>
              </w:rPr>
              <m:t>136.6+1.5+1</m:t>
            </m:r>
          </m:e>
        </m:d>
        <m:r>
          <m:rPr>
            <m:sty m:val="bi"/>
          </m:rPr>
          <w:rPr>
            <w:rFonts w:ascii="Cambria Math" w:hAnsi="Cambria Math" w:cs="Times New Roman"/>
            <w:color w:val="auto"/>
            <w:sz w:val="22"/>
          </w:rPr>
          <m:t xml:space="preserve">      +          0.17       =72.5</m:t>
        </m:r>
      </m:oMath>
      <w:r w:rsidRPr="0057780D">
        <w:rPr>
          <w:rFonts w:ascii="Times New Roman" w:hAnsi="Times New Roman" w:cs="Times New Roman"/>
          <w:b w:val="0"/>
          <w:color w:val="auto"/>
          <w:sz w:val="22"/>
        </w:rPr>
        <w:t>.</w:t>
      </w:r>
    </w:p>
    <w:p w:rsidRPr="0057780D" w:rsidR="00EB1F65" w:rsidP="00EB1F65" w:rsidRDefault="00EB1F65" w14:paraId="06B9E6F2"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EB1F65" w:rsidRDefault="00EB1F65" w14:paraId="24DD7B94" w14:textId="77777777">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Therefore, the total annual burden across all 165 manufacturers is estimated by:</w:t>
      </w:r>
    </w:p>
    <w:p w:rsidRPr="0057780D" w:rsidR="00EB1F65" w:rsidP="00EB1F65" w:rsidRDefault="00EB1F65" w14:paraId="5FDA8FF1"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A0177C" w:rsidRDefault="00EB1F65" w14:paraId="09407DB0" w14:textId="237ADF93">
      <w:pPr>
        <w:pStyle w:val="TableTitle"/>
        <w:keepNext w:val="0"/>
        <w:keepLines w:val="0"/>
        <w:widowControl w:val="0"/>
        <w:spacing w:before="0" w:after="0"/>
        <w:outlineLvl w:val="0"/>
        <w:rPr>
          <w:rFonts w:ascii="Times New Roman" w:hAnsi="Times New Roman" w:cs="Times New Roman"/>
          <w:b w:val="0"/>
          <w:color w:val="auto"/>
          <w:sz w:val="24"/>
        </w:rPr>
      </w:pPr>
      <m:oMathPara>
        <m:oMath>
          <m:r>
            <m:rPr>
              <m:sty m:val="bi"/>
            </m:rPr>
            <w:rPr>
              <w:rFonts w:ascii="Cambria Math" w:hAnsi="Cambria Math" w:cs="Times New Roman"/>
              <w:color w:val="auto"/>
              <w:sz w:val="22"/>
            </w:rPr>
            <m:t>Annual Manufacturer Burden  =165    x    72.5=11,962.83</m:t>
          </m:r>
          <m:r>
            <m:rPr>
              <m:sty m:val="b"/>
            </m:rPr>
            <w:rPr>
              <w:rFonts w:ascii="Cambria Math" w:hAnsi="Cambria Math" w:cs="Times New Roman"/>
              <w:color w:val="auto"/>
              <w:sz w:val="22"/>
            </w:rPr>
            <w:br/>
          </m:r>
        </m:oMath>
      </m:oMathPara>
      <w:r w:rsidRPr="0057780D">
        <w:rPr>
          <w:rFonts w:ascii="Times New Roman" w:hAnsi="Times New Roman" w:cs="Times New Roman"/>
          <w:b w:val="0"/>
          <w:color w:val="auto"/>
          <w:sz w:val="24"/>
        </w:rPr>
        <w:t>Given the expectation that each new processor will submit one report per year, the burden per year per processor is estimated by:</w:t>
      </w:r>
    </w:p>
    <w:p w:rsidRPr="0057780D" w:rsidR="00EB1F65" w:rsidP="00A0177C" w:rsidRDefault="00EB1F65" w14:paraId="0A2270CE" w14:textId="3E6EB9BC">
      <w:pPr>
        <w:pStyle w:val="TableTitle"/>
        <w:keepNext w:val="0"/>
        <w:keepLines w:val="0"/>
        <w:widowControl w:val="0"/>
        <w:spacing w:before="0" w:after="0"/>
        <w:ind w:left="3600" w:firstLine="720"/>
        <w:outlineLvl w:val="0"/>
        <w:rPr>
          <w:rFonts w:ascii="Times New Roman" w:hAnsi="Times New Roman" w:cs="Times New Roman"/>
          <w:b w:val="0"/>
          <w:color w:val="auto"/>
          <w:sz w:val="24"/>
        </w:rPr>
      </w:pPr>
      <w:r w:rsidRPr="0057780D">
        <w:rPr>
          <w:rFonts w:ascii="Times New Roman" w:hAnsi="Times New Roman" w:cs="Times New Roman"/>
          <w:color w:val="auto"/>
          <w:sz w:val="18"/>
        </w:rPr>
        <w:t xml:space="preserve">              Form Completion,</w:t>
      </w:r>
    </w:p>
    <w:p w:rsidRPr="0057780D" w:rsidR="00EB1F65" w:rsidP="00A0177C" w:rsidRDefault="00EB1F65" w14:paraId="664E3439" w14:textId="67A20A1D">
      <w:pPr>
        <w:pStyle w:val="TableTitle"/>
        <w:keepNext w:val="0"/>
        <w:keepLines w:val="0"/>
        <w:widowControl w:val="0"/>
        <w:spacing w:before="0" w:after="0"/>
        <w:ind w:left="2160" w:firstLine="72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Rule </w:t>
      </w:r>
      <w:r w:rsidRPr="0057780D">
        <w:rPr>
          <w:rFonts w:ascii="Times New Roman" w:hAnsi="Times New Roman" w:cs="Times New Roman"/>
          <w:color w:val="auto"/>
          <w:sz w:val="18"/>
        </w:rPr>
        <w:tab/>
        <w:t xml:space="preserve">        CBI Claim Substantiation</w:t>
      </w:r>
    </w:p>
    <w:p w:rsidRPr="0057780D" w:rsidR="00EB1F65" w:rsidP="00A0177C" w:rsidRDefault="00EB1F65" w14:paraId="6136610C" w14:textId="1238BC5E">
      <w:pPr>
        <w:pStyle w:val="TableTitle"/>
        <w:keepNext w:val="0"/>
        <w:keepLines w:val="0"/>
        <w:widowControl w:val="0"/>
        <w:spacing w:before="0" w:after="0"/>
        <w:ind w:left="2880"/>
        <w:outlineLvl w:val="0"/>
        <w:rPr>
          <w:rFonts w:ascii="Times New Roman" w:hAnsi="Times New Roman" w:cs="Times New Roman"/>
          <w:b w:val="0"/>
          <w:color w:val="auto"/>
          <w:sz w:val="22"/>
        </w:rPr>
      </w:pPr>
      <w:r w:rsidRPr="0057780D">
        <w:rPr>
          <w:rFonts w:ascii="Times New Roman" w:hAnsi="Times New Roman" w:cs="Times New Roman"/>
          <w:color w:val="auto"/>
          <w:sz w:val="18"/>
        </w:rPr>
        <w:t xml:space="preserve">             Familiarization      and Recordkeeping                E-Reporting</w:t>
      </w:r>
    </w:p>
    <w:p w:rsidRPr="0057780D" w:rsidR="00EB1F65" w:rsidP="00A0177C" w:rsidRDefault="00EB1F65" w14:paraId="7E35EA3D" w14:textId="3FD98D69">
      <w:pPr>
        <w:pStyle w:val="TableTitle"/>
        <w:keepNext w:val="0"/>
        <w:keepLines w:val="0"/>
        <w:widowControl w:val="0"/>
        <w:spacing w:before="0" w:after="0"/>
        <w:jc w:val="center"/>
        <w:outlineLvl w:val="0"/>
        <w:rPr>
          <w:rFonts w:ascii="Times New Roman" w:hAnsi="Times New Roman" w:cs="Times New Roman"/>
          <w:b w:val="0"/>
          <w:color w:val="auto"/>
          <w:sz w:val="22"/>
        </w:rPr>
      </w:pPr>
      <m:oMath>
        <m:r>
          <m:rPr>
            <m:sty m:val="bi"/>
          </m:rPr>
          <w:rPr>
            <w:rFonts w:ascii="Cambria Math" w:hAnsi="Cambria Math" w:cs="Times New Roman"/>
            <w:color w:val="auto"/>
            <w:sz w:val="22"/>
          </w:rPr>
          <m:t>Annual Burden per Processor= 0.82     +     136.6+1.5+1        +        1.42  =141.34</m:t>
        </m:r>
      </m:oMath>
      <w:r w:rsidRPr="0057780D">
        <w:rPr>
          <w:rFonts w:ascii="Times New Roman" w:hAnsi="Times New Roman" w:cs="Times New Roman"/>
          <w:b w:val="0"/>
          <w:color w:val="auto"/>
          <w:sz w:val="22"/>
        </w:rPr>
        <w:t>.</w:t>
      </w:r>
    </w:p>
    <w:p w:rsidRPr="0057780D" w:rsidR="00EB1F65" w:rsidP="00A0177C" w:rsidRDefault="00EB1F65" w14:paraId="7568210A" w14:textId="1812CB04">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A0177C" w:rsidRDefault="00EB1F65" w14:paraId="36C878A4" w14:textId="24E2CA43">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Therefore, the total annual burden across all 199 processors is estimated by:</w:t>
      </w:r>
    </w:p>
    <w:p w:rsidRPr="0057780D" w:rsidR="00EB1F65" w:rsidP="00A0177C" w:rsidRDefault="00EB1F65" w14:paraId="43C8F6BB" w14:textId="2B7636BF">
      <w:pPr>
        <w:pStyle w:val="TableTitle"/>
        <w:keepNext w:val="0"/>
        <w:keepLines w:val="0"/>
        <w:widowControl w:val="0"/>
        <w:spacing w:before="0" w:after="0"/>
        <w:outlineLvl w:val="0"/>
        <w:rPr>
          <w:rFonts w:ascii="Times New Roman" w:hAnsi="Times New Roman" w:cs="Times New Roman"/>
          <w:b w:val="0"/>
          <w:color w:val="auto"/>
          <w:sz w:val="24"/>
        </w:rPr>
      </w:pPr>
    </w:p>
    <w:p w:rsidRPr="0057780D" w:rsidR="00EB1F65" w:rsidP="00A0177C" w:rsidRDefault="00EB1F65" w14:paraId="0FAE44E5" w14:textId="71C126C1">
      <w:pPr>
        <w:pStyle w:val="TableTitle"/>
        <w:keepNext w:val="0"/>
        <w:keepLines w:val="0"/>
        <w:widowControl w:val="0"/>
        <w:spacing w:before="0" w:after="0"/>
        <w:jc w:val="center"/>
        <w:outlineLvl w:val="0"/>
        <w:rPr>
          <w:rFonts w:ascii="Times New Roman" w:hAnsi="Times New Roman" w:cs="Times New Roman"/>
          <w:b w:val="0"/>
          <w:color w:val="auto"/>
          <w:sz w:val="22"/>
        </w:rPr>
      </w:pPr>
      <m:oMathPara>
        <m:oMath>
          <m:r>
            <m:rPr>
              <m:sty m:val="bi"/>
            </m:rPr>
            <w:rPr>
              <w:rFonts w:ascii="Cambria Math" w:hAnsi="Cambria Math" w:cs="Times New Roman"/>
              <w:color w:val="auto"/>
              <w:sz w:val="22"/>
            </w:rPr>
            <m:t>Annual Processor Burden  =199    x    141.34=28,126.66</m:t>
          </m:r>
        </m:oMath>
      </m:oMathPara>
    </w:p>
    <w:p w:rsidRPr="0057780D" w:rsidR="00EB1F65" w:rsidP="00EB1F65" w:rsidRDefault="00EB1F65" w14:paraId="2B95BA51" w14:textId="77777777">
      <w:pPr>
        <w:pStyle w:val="TableTitle"/>
        <w:keepNext w:val="0"/>
        <w:keepLines w:val="0"/>
        <w:widowControl w:val="0"/>
        <w:spacing w:before="0" w:after="0"/>
        <w:jc w:val="center"/>
        <w:outlineLvl w:val="0"/>
        <w:rPr>
          <w:rFonts w:ascii="Times New Roman" w:hAnsi="Times New Roman" w:cs="Times New Roman"/>
          <w:b w:val="0"/>
          <w:color w:val="auto"/>
          <w:sz w:val="22"/>
        </w:rPr>
      </w:pPr>
    </w:p>
    <w:p w:rsidRPr="0057780D" w:rsidR="00EB1F65" w:rsidP="00EB1F65" w:rsidRDefault="00EB1F65" w14:paraId="778F616B"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EB1F65" w:rsidRDefault="00EB1F65" w14:paraId="52993F41" w14:textId="77777777">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 xml:space="preserve">Table 4 summarizes the annual and total burden over the course of the ICR to manufactures, </w:t>
      </w:r>
      <w:r w:rsidRPr="0057780D">
        <w:rPr>
          <w:rFonts w:ascii="Times New Roman" w:hAnsi="Times New Roman" w:cs="Times New Roman"/>
          <w:b w:val="0"/>
          <w:color w:val="auto"/>
          <w:sz w:val="24"/>
        </w:rPr>
        <w:lastRenderedPageBreak/>
        <w:t>processors and industry as a whole based on the above estimates.</w:t>
      </w:r>
    </w:p>
    <w:p w:rsidRPr="0057780D" w:rsidR="00EB1F65" w:rsidP="00EB1F65" w:rsidRDefault="00EB1F65" w14:paraId="5C1C8457" w14:textId="77777777">
      <w:pPr>
        <w:pStyle w:val="TableTitle"/>
        <w:keepNext w:val="0"/>
        <w:keepLines w:val="0"/>
        <w:widowControl w:val="0"/>
        <w:spacing w:before="0" w:after="0"/>
        <w:outlineLvl w:val="0"/>
        <w:rPr>
          <w:rFonts w:ascii="Times New Roman" w:hAnsi="Times New Roman" w:cs="Times New Roman"/>
          <w:b w:val="0"/>
          <w:color w:val="auto"/>
          <w:sz w:val="24"/>
        </w:rPr>
      </w:pPr>
    </w:p>
    <w:p w:rsidRPr="0057780D" w:rsidR="00EB1F65" w:rsidP="00EB1F65" w:rsidRDefault="00EB1F65" w14:paraId="4D0DF4BE" w14:textId="77777777">
      <w:pPr>
        <w:pStyle w:val="TableTitle"/>
        <w:keepNext w:val="0"/>
        <w:keepLines w:val="0"/>
        <w:widowControl w:val="0"/>
        <w:spacing w:before="0" w:after="0"/>
        <w:outlineLvl w:val="0"/>
        <w:rPr>
          <w:rFonts w:ascii="Times New Roman" w:hAnsi="Times New Roman" w:cs="Times New Roman"/>
          <w:color w:val="auto"/>
          <w:sz w:val="22"/>
        </w:rPr>
      </w:pPr>
      <w:r w:rsidRPr="0057780D">
        <w:rPr>
          <w:rFonts w:ascii="Times New Roman" w:hAnsi="Times New Roman" w:cs="Times New Roman"/>
          <w:color w:val="auto"/>
          <w:sz w:val="22"/>
        </w:rPr>
        <w:t>Table 4: Total Industry Burden</w:t>
      </w:r>
    </w:p>
    <w:tbl>
      <w:tblPr>
        <w:tblStyle w:val="TableGrid"/>
        <w:tblW w:w="6432" w:type="dxa"/>
        <w:tblLook w:val="04A0" w:firstRow="1" w:lastRow="0" w:firstColumn="1" w:lastColumn="0" w:noHBand="0" w:noVBand="1"/>
      </w:tblPr>
      <w:tblGrid>
        <w:gridCol w:w="3216"/>
        <w:gridCol w:w="3216"/>
      </w:tblGrid>
      <w:tr w:rsidRPr="0057780D" w:rsidR="00A0177C" w:rsidTr="00D40639" w14:paraId="226B98AA" w14:textId="77777777">
        <w:trPr>
          <w:trHeight w:val="379"/>
        </w:trPr>
        <w:tc>
          <w:tcPr>
            <w:tcW w:w="3216" w:type="dxa"/>
            <w:shd w:val="clear" w:color="auto" w:fill="D9D9D9" w:themeFill="background1" w:themeFillShade="D9"/>
            <w:vAlign w:val="center"/>
          </w:tcPr>
          <w:p w:rsidRPr="0057780D" w:rsidR="00A0177C" w:rsidP="00DE3922" w:rsidRDefault="00A0177C" w14:paraId="2B72EF85"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IC Category</w:t>
            </w:r>
          </w:p>
        </w:tc>
        <w:tc>
          <w:tcPr>
            <w:tcW w:w="3216" w:type="dxa"/>
            <w:shd w:val="clear" w:color="auto" w:fill="D9D9D9" w:themeFill="background1" w:themeFillShade="D9"/>
            <w:vAlign w:val="center"/>
          </w:tcPr>
          <w:p w:rsidRPr="0057780D" w:rsidR="00A0177C" w:rsidP="00DE3922" w:rsidRDefault="00A0177C" w14:paraId="735B9AA1" w14:textId="77777777">
            <w:pPr>
              <w:pStyle w:val="TableTitle"/>
              <w:keepNext w:val="0"/>
              <w:keepLines w:val="0"/>
              <w:spacing w:before="0" w:after="0"/>
              <w:jc w:val="center"/>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Annual Burden</w:t>
            </w:r>
          </w:p>
          <w:p w:rsidRPr="0057780D" w:rsidR="00A0177C" w:rsidP="00DE3922" w:rsidRDefault="00A0177C" w14:paraId="1C48001C" w14:textId="77777777">
            <w:pPr>
              <w:pStyle w:val="TableTitle"/>
              <w:keepNext w:val="0"/>
              <w:keepLines w:val="0"/>
              <w:spacing w:before="0" w:after="0"/>
              <w:jc w:val="center"/>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(hours)</w:t>
            </w:r>
          </w:p>
        </w:tc>
      </w:tr>
      <w:tr w:rsidRPr="0057780D" w:rsidR="00A0177C" w:rsidTr="00D40639" w14:paraId="5F039027" w14:textId="77777777">
        <w:trPr>
          <w:trHeight w:val="405"/>
        </w:trPr>
        <w:tc>
          <w:tcPr>
            <w:tcW w:w="3216" w:type="dxa"/>
            <w:vAlign w:val="center"/>
          </w:tcPr>
          <w:p w:rsidRPr="0057780D" w:rsidR="00A0177C" w:rsidP="00DE3922" w:rsidRDefault="00A0177C" w14:paraId="14CC74E6"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IC 1: Manufacturers</w:t>
            </w:r>
          </w:p>
        </w:tc>
        <w:tc>
          <w:tcPr>
            <w:tcW w:w="3216" w:type="dxa"/>
            <w:vAlign w:val="center"/>
          </w:tcPr>
          <w:p w:rsidRPr="0057780D" w:rsidR="00A0177C" w:rsidP="00DE3922" w:rsidRDefault="00A0177C" w14:paraId="02AD4572" w14:textId="77777777">
            <w:pPr>
              <w:pStyle w:val="TableTitle"/>
              <w:keepNext w:val="0"/>
              <w:keepLines w:val="0"/>
              <w:spacing w:before="0" w:after="0"/>
              <w:jc w:val="center"/>
              <w:outlineLvl w:val="0"/>
              <w:rPr>
                <w:rFonts w:ascii="Times New Roman" w:hAnsi="Times New Roman" w:cs="Times New Roman"/>
                <w:b w:val="0"/>
                <w:color w:val="auto"/>
                <w:szCs w:val="20"/>
              </w:rPr>
            </w:pPr>
            <w:r w:rsidRPr="0057780D">
              <w:rPr>
                <w:rFonts w:ascii="Times New Roman" w:hAnsi="Times New Roman" w:cs="Times New Roman"/>
                <w:b w:val="0"/>
                <w:color w:val="auto"/>
                <w:szCs w:val="20"/>
              </w:rPr>
              <w:t>11,963</w:t>
            </w:r>
          </w:p>
        </w:tc>
      </w:tr>
      <w:tr w:rsidRPr="0057780D" w:rsidR="00A0177C" w:rsidTr="00D40639" w14:paraId="18425A82" w14:textId="77777777">
        <w:trPr>
          <w:trHeight w:val="379"/>
        </w:trPr>
        <w:tc>
          <w:tcPr>
            <w:tcW w:w="3216" w:type="dxa"/>
            <w:vAlign w:val="center"/>
          </w:tcPr>
          <w:p w:rsidRPr="0057780D" w:rsidR="00A0177C" w:rsidP="00DE3922" w:rsidRDefault="00A0177C" w14:paraId="26BE03CF"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IC 2: Processors</w:t>
            </w:r>
          </w:p>
        </w:tc>
        <w:tc>
          <w:tcPr>
            <w:tcW w:w="3216" w:type="dxa"/>
            <w:vAlign w:val="center"/>
          </w:tcPr>
          <w:p w:rsidRPr="0057780D" w:rsidR="00A0177C" w:rsidP="00DE3922" w:rsidRDefault="00A0177C" w14:paraId="62A4D54B" w14:textId="77777777">
            <w:pPr>
              <w:pStyle w:val="TableTitle"/>
              <w:keepNext w:val="0"/>
              <w:keepLines w:val="0"/>
              <w:spacing w:before="0" w:after="0"/>
              <w:jc w:val="center"/>
              <w:outlineLvl w:val="0"/>
              <w:rPr>
                <w:rFonts w:ascii="Times New Roman" w:hAnsi="Times New Roman" w:cs="Times New Roman"/>
                <w:b w:val="0"/>
                <w:color w:val="auto"/>
                <w:szCs w:val="20"/>
              </w:rPr>
            </w:pPr>
            <w:r w:rsidRPr="0057780D">
              <w:rPr>
                <w:rFonts w:ascii="Times New Roman" w:hAnsi="Times New Roman" w:cs="Times New Roman"/>
                <w:b w:val="0"/>
                <w:color w:val="auto"/>
                <w:szCs w:val="20"/>
              </w:rPr>
              <w:t>28,127</w:t>
            </w:r>
          </w:p>
        </w:tc>
      </w:tr>
      <w:tr w:rsidRPr="0057780D" w:rsidR="00A0177C" w:rsidTr="00D40639" w14:paraId="069D2BCE" w14:textId="77777777">
        <w:trPr>
          <w:trHeight w:val="379"/>
        </w:trPr>
        <w:tc>
          <w:tcPr>
            <w:tcW w:w="3216" w:type="dxa"/>
            <w:vAlign w:val="center"/>
          </w:tcPr>
          <w:p w:rsidRPr="0057780D" w:rsidR="00A0177C" w:rsidP="00DE3922" w:rsidRDefault="00A0177C" w14:paraId="4496F130" w14:textId="77777777">
            <w:pPr>
              <w:pStyle w:val="TableTitle"/>
              <w:keepNext w:val="0"/>
              <w:keepLines w:val="0"/>
              <w:spacing w:before="0" w:after="0"/>
              <w:outlineLvl w:val="0"/>
              <w:rPr>
                <w:rFonts w:ascii="Times New Roman" w:hAnsi="Times New Roman" w:cs="Times New Roman"/>
                <w:color w:val="auto"/>
                <w:sz w:val="22"/>
                <w:szCs w:val="20"/>
              </w:rPr>
            </w:pPr>
            <w:r w:rsidRPr="0057780D">
              <w:rPr>
                <w:rFonts w:ascii="Times New Roman" w:hAnsi="Times New Roman" w:cs="Times New Roman"/>
                <w:color w:val="auto"/>
                <w:sz w:val="22"/>
                <w:szCs w:val="20"/>
              </w:rPr>
              <w:t>Total Industry Burden</w:t>
            </w:r>
          </w:p>
        </w:tc>
        <w:tc>
          <w:tcPr>
            <w:tcW w:w="3216" w:type="dxa"/>
            <w:vAlign w:val="center"/>
          </w:tcPr>
          <w:p w:rsidRPr="0057780D" w:rsidR="00A0177C" w:rsidP="00DE3922" w:rsidRDefault="00A0177C" w14:paraId="6DAF8E9C" w14:textId="77777777">
            <w:pPr>
              <w:pStyle w:val="TableTitle"/>
              <w:keepNext w:val="0"/>
              <w:keepLines w:val="0"/>
              <w:spacing w:before="0" w:after="0"/>
              <w:jc w:val="center"/>
              <w:outlineLvl w:val="0"/>
              <w:rPr>
                <w:rFonts w:ascii="Times New Roman" w:hAnsi="Times New Roman" w:cs="Times New Roman"/>
                <w:color w:val="auto"/>
                <w:sz w:val="22"/>
                <w:szCs w:val="20"/>
              </w:rPr>
            </w:pPr>
            <w:r w:rsidRPr="0057780D">
              <w:rPr>
                <w:rFonts w:ascii="Times New Roman" w:hAnsi="Times New Roman" w:cs="Times New Roman"/>
                <w:color w:val="auto"/>
                <w:sz w:val="22"/>
                <w:szCs w:val="20"/>
              </w:rPr>
              <w:t>40,089 hours</w:t>
            </w:r>
          </w:p>
        </w:tc>
      </w:tr>
    </w:tbl>
    <w:p w:rsidRPr="0057780D" w:rsidR="00EB1F65" w:rsidP="00EB1F65" w:rsidRDefault="00EB1F65" w14:paraId="6F38C84A"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EB1F65" w:rsidRDefault="00EB1F65" w14:paraId="7068B5DE" w14:textId="77777777">
      <w:pPr>
        <w:widowControl w:val="0"/>
        <w:rPr>
          <w:rFonts w:ascii="Times New Roman" w:hAnsi="Times New Roman" w:eastAsia="Times New Roman" w:cs="Times New Roman"/>
          <w:b/>
          <w:szCs w:val="24"/>
        </w:rPr>
      </w:pPr>
      <w:r w:rsidRPr="0057780D">
        <w:rPr>
          <w:rFonts w:ascii="Times New Roman" w:hAnsi="Times New Roman" w:eastAsia="Times New Roman" w:cs="Times New Roman"/>
          <w:b/>
          <w:szCs w:val="24"/>
        </w:rPr>
        <w:t>Estimating Cost</w:t>
      </w:r>
    </w:p>
    <w:p w:rsidRPr="0057780D" w:rsidR="00EB1F65" w:rsidP="00EB1F65" w:rsidRDefault="00EB1F65" w14:paraId="7C15F091" w14:textId="77777777">
      <w:pPr>
        <w:ind w:firstLine="72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Table 5 contains the cost per activity of completing a form for one respondent. Burden hours presented in Table 2 were multiplied by the corresponding loaded wage rate. EPA estimates that the total cost for a new firm to review the rule, complete, and submit one report with record keeping is approximately </w:t>
      </w:r>
      <w:r w:rsidRPr="0057780D">
        <w:rPr>
          <w:rFonts w:ascii="Times New Roman" w:hAnsi="Times New Roman" w:eastAsia="Times New Roman" w:cs="Times New Roman"/>
          <w:bCs/>
          <w:szCs w:val="24"/>
        </w:rPr>
        <w:t>$10,815</w:t>
      </w:r>
      <w:r w:rsidRPr="0057780D">
        <w:rPr>
          <w:rFonts w:ascii="Times New Roman" w:hAnsi="Times New Roman" w:eastAsia="Times New Roman" w:cs="Times New Roman"/>
          <w:szCs w:val="24"/>
        </w:rPr>
        <w:t xml:space="preserve">. Because new processors are estimated to report each year, they will undertake rule familiarization and first-time registration for electronic reporting. Because the same manufacturers are expected to submit reports each year, their cost for submitting one report would be approximately $10,656 when excluding the cost burden associated with rule familiarization and accounting for a lower burden associated with electronic reporting for subsequent submissions. </w:t>
      </w:r>
    </w:p>
    <w:p w:rsidRPr="0057780D" w:rsidR="00EB1F65" w:rsidP="00EB1F65" w:rsidRDefault="00EB1F65" w14:paraId="70BAF2AB" w14:textId="77777777">
      <w:pPr>
        <w:rPr>
          <w:rFonts w:ascii="Times New Roman" w:hAnsi="Times New Roman" w:eastAsia="Times New Roman" w:cs="Times New Roman"/>
        </w:rPr>
      </w:pPr>
    </w:p>
    <w:p w:rsidRPr="0057780D" w:rsidR="00EB1F65" w:rsidP="00EB1F65" w:rsidRDefault="00EB1F65" w14:paraId="4EFC7E09" w14:textId="77777777">
      <w:pPr>
        <w:pStyle w:val="NoSpacing"/>
        <w:rPr>
          <w:rFonts w:ascii="Times New Roman" w:hAnsi="Times New Roman" w:cs="Times New Roman"/>
          <w:b/>
        </w:rPr>
      </w:pPr>
      <w:r w:rsidRPr="0057780D">
        <w:rPr>
          <w:rFonts w:ascii="Times New Roman" w:hAnsi="Times New Roman" w:cs="Times New Roman"/>
          <w:b/>
        </w:rPr>
        <w:t>Table 5: Industry Cost, by Activity (2018$)</w:t>
      </w:r>
    </w:p>
    <w:tbl>
      <w:tblPr>
        <w:tblW w:w="5000" w:type="pct"/>
        <w:tblLook w:val="04A0" w:firstRow="1" w:lastRow="0" w:firstColumn="1" w:lastColumn="0" w:noHBand="0" w:noVBand="1"/>
      </w:tblPr>
      <w:tblGrid>
        <w:gridCol w:w="1952"/>
        <w:gridCol w:w="1470"/>
        <w:gridCol w:w="1472"/>
        <w:gridCol w:w="1472"/>
        <w:gridCol w:w="1472"/>
        <w:gridCol w:w="1502"/>
      </w:tblGrid>
      <w:tr w:rsidRPr="0057780D" w:rsidR="00EB1F65" w:rsidTr="00DE3922" w14:paraId="4E652B48" w14:textId="77777777">
        <w:trPr>
          <w:trHeight w:val="510"/>
        </w:trPr>
        <w:tc>
          <w:tcPr>
            <w:tcW w:w="1045" w:type="pct"/>
            <w:tcBorders>
              <w:top w:val="single" w:color="auto" w:sz="8" w:space="0"/>
              <w:left w:val="single" w:color="auto" w:sz="8" w:space="0"/>
              <w:bottom w:val="single" w:color="000000" w:sz="8" w:space="0"/>
              <w:right w:val="single" w:color="auto" w:sz="8" w:space="0"/>
            </w:tcBorders>
            <w:shd w:val="clear" w:color="auto" w:fill="F2F2F2"/>
            <w:noWrap/>
            <w:vAlign w:val="center"/>
            <w:hideMark/>
          </w:tcPr>
          <w:p w:rsidRPr="0057780D" w:rsidR="00EB1F65" w:rsidP="00DE3922" w:rsidRDefault="00EB1F65" w14:paraId="477BF91C"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Activity</w:t>
            </w:r>
          </w:p>
        </w:tc>
        <w:tc>
          <w:tcPr>
            <w:tcW w:w="787"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57780D" w:rsidR="00EB1F65" w:rsidP="00DE3922" w:rsidRDefault="00EB1F65" w14:paraId="7A1078D7"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Clerical Burden  ($</w:t>
            </w:r>
            <w:r w:rsidRPr="0057780D">
              <w:rPr>
                <w:rFonts w:ascii="Times New Roman" w:hAnsi="Times New Roman" w:cs="Times New Roman"/>
                <w:b/>
                <w:sz w:val="20"/>
              </w:rPr>
              <w:t>34.50</w:t>
            </w:r>
            <w:r w:rsidRPr="0057780D">
              <w:rPr>
                <w:rFonts w:ascii="Times New Roman" w:hAnsi="Times New Roman" w:eastAsia="Times New Roman" w:cs="Times New Roman"/>
                <w:b/>
                <w:sz w:val="20"/>
                <w:szCs w:val="24"/>
              </w:rPr>
              <w:t>/hour)</w:t>
            </w:r>
          </w:p>
        </w:tc>
        <w:tc>
          <w:tcPr>
            <w:tcW w:w="788" w:type="pct"/>
            <w:tcBorders>
              <w:top w:val="single" w:color="auto" w:sz="8" w:space="0"/>
              <w:left w:val="nil"/>
              <w:bottom w:val="single" w:color="auto" w:sz="4" w:space="0"/>
              <w:right w:val="single" w:color="auto" w:sz="8" w:space="0"/>
            </w:tcBorders>
            <w:shd w:val="clear" w:color="auto" w:fill="F2F2F2"/>
            <w:vAlign w:val="center"/>
            <w:hideMark/>
          </w:tcPr>
          <w:p w:rsidRPr="0057780D" w:rsidR="00EB1F65" w:rsidP="00DE3922" w:rsidRDefault="00EB1F65" w14:paraId="64F8CFDB"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Technical Burden</w:t>
            </w:r>
          </w:p>
          <w:p w:rsidRPr="0057780D" w:rsidR="00EB1F65" w:rsidP="00DE3922" w:rsidRDefault="00EB1F65" w14:paraId="384AF939"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20"/>
              </w:rPr>
              <w:t>($</w:t>
            </w:r>
            <w:r w:rsidRPr="0057780D">
              <w:rPr>
                <w:rFonts w:ascii="Times New Roman" w:hAnsi="Times New Roman" w:cs="Times New Roman"/>
                <w:b/>
                <w:sz w:val="20"/>
              </w:rPr>
              <w:t>75.32</w:t>
            </w:r>
            <w:r w:rsidRPr="0057780D">
              <w:rPr>
                <w:rFonts w:ascii="Times New Roman" w:hAnsi="Times New Roman" w:eastAsia="Times New Roman" w:cs="Times New Roman"/>
                <w:b/>
                <w:bCs/>
                <w:sz w:val="20"/>
                <w:szCs w:val="20"/>
              </w:rPr>
              <w:t>/hour)</w:t>
            </w:r>
          </w:p>
        </w:tc>
        <w:tc>
          <w:tcPr>
            <w:tcW w:w="788" w:type="pct"/>
            <w:tcBorders>
              <w:top w:val="single" w:color="auto" w:sz="8" w:space="0"/>
              <w:left w:val="nil"/>
              <w:bottom w:val="single" w:color="auto" w:sz="4" w:space="0"/>
              <w:right w:val="single" w:color="auto" w:sz="8" w:space="0"/>
            </w:tcBorders>
            <w:shd w:val="clear" w:color="auto" w:fill="F2F2F2"/>
            <w:vAlign w:val="center"/>
            <w:hideMark/>
          </w:tcPr>
          <w:p w:rsidRPr="0057780D" w:rsidR="00EB1F65" w:rsidP="00DE3922" w:rsidRDefault="00EB1F65" w14:paraId="2F47D26E"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Managerial Burden</w:t>
            </w:r>
          </w:p>
          <w:p w:rsidRPr="0057780D" w:rsidR="00EB1F65" w:rsidP="00DE3922" w:rsidRDefault="00EB1F65" w14:paraId="71608DD1"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20"/>
              </w:rPr>
              <w:t>($</w:t>
            </w:r>
            <w:r w:rsidRPr="0057780D">
              <w:rPr>
                <w:rFonts w:ascii="Times New Roman" w:hAnsi="Times New Roman" w:cs="Times New Roman"/>
                <w:b/>
                <w:sz w:val="20"/>
              </w:rPr>
              <w:t>80.09</w:t>
            </w:r>
            <w:r w:rsidRPr="0057780D">
              <w:rPr>
                <w:rFonts w:ascii="Times New Roman" w:hAnsi="Times New Roman" w:eastAsia="Times New Roman" w:cs="Times New Roman"/>
                <w:b/>
                <w:bCs/>
                <w:sz w:val="20"/>
                <w:szCs w:val="20"/>
              </w:rPr>
              <w:t>/hour)</w:t>
            </w:r>
          </w:p>
        </w:tc>
        <w:tc>
          <w:tcPr>
            <w:tcW w:w="788" w:type="pct"/>
            <w:tcBorders>
              <w:top w:val="single" w:color="auto" w:sz="8" w:space="0"/>
              <w:left w:val="nil"/>
              <w:bottom w:val="single" w:color="auto" w:sz="4" w:space="0"/>
              <w:right w:val="single" w:color="auto" w:sz="8" w:space="0"/>
            </w:tcBorders>
            <w:shd w:val="clear" w:color="auto" w:fill="F2F2F2"/>
            <w:vAlign w:val="center"/>
            <w:hideMark/>
          </w:tcPr>
          <w:p w:rsidRPr="0057780D" w:rsidR="00EB1F65" w:rsidP="00DE3922" w:rsidRDefault="00EB1F65" w14:paraId="202D6C2F"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Attorney Burden</w:t>
            </w:r>
          </w:p>
          <w:p w:rsidRPr="0057780D" w:rsidR="00EB1F65" w:rsidP="00DE3922" w:rsidRDefault="00EB1F65" w14:paraId="099C183A"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w:t>
            </w:r>
            <w:r w:rsidRPr="0057780D">
              <w:rPr>
                <w:rFonts w:ascii="Times New Roman" w:hAnsi="Times New Roman" w:cs="Times New Roman"/>
                <w:b/>
                <w:sz w:val="20"/>
                <w:szCs w:val="20"/>
              </w:rPr>
              <w:t>118.42</w:t>
            </w:r>
            <w:r w:rsidRPr="0057780D">
              <w:rPr>
                <w:rFonts w:ascii="Times New Roman" w:hAnsi="Times New Roman" w:eastAsia="Times New Roman" w:cs="Times New Roman"/>
                <w:b/>
                <w:bCs/>
                <w:sz w:val="20"/>
                <w:szCs w:val="20"/>
              </w:rPr>
              <w:t>/hour)</w:t>
            </w:r>
          </w:p>
        </w:tc>
        <w:tc>
          <w:tcPr>
            <w:tcW w:w="804" w:type="pct"/>
            <w:tcBorders>
              <w:top w:val="single" w:color="auto" w:sz="8" w:space="0"/>
              <w:left w:val="single" w:color="auto" w:sz="8" w:space="0"/>
              <w:bottom w:val="single" w:color="auto" w:sz="4" w:space="0"/>
              <w:right w:val="single" w:color="auto" w:sz="8" w:space="0"/>
            </w:tcBorders>
            <w:shd w:val="clear" w:color="auto" w:fill="F2F2F2"/>
            <w:vAlign w:val="center"/>
            <w:hideMark/>
          </w:tcPr>
          <w:p w:rsidRPr="0057780D" w:rsidR="00EB1F65" w:rsidP="00DE3922" w:rsidRDefault="00EB1F65" w14:paraId="445A11AE"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Cost</w:t>
            </w:r>
          </w:p>
        </w:tc>
      </w:tr>
      <w:tr w:rsidRPr="0057780D" w:rsidR="00EB1F65" w:rsidTr="00DE3922" w14:paraId="06DAAFCA" w14:textId="77777777">
        <w:trPr>
          <w:trHeight w:val="315"/>
        </w:trPr>
        <w:tc>
          <w:tcPr>
            <w:tcW w:w="1045" w:type="pct"/>
            <w:tcBorders>
              <w:top w:val="nil"/>
              <w:left w:val="single" w:color="auto" w:sz="8" w:space="0"/>
              <w:bottom w:val="single" w:color="auto" w:sz="8" w:space="0"/>
              <w:right w:val="single" w:color="auto" w:sz="8" w:space="0"/>
            </w:tcBorders>
            <w:shd w:val="clear" w:color="auto" w:fill="auto"/>
            <w:noWrap/>
            <w:vAlign w:val="center"/>
            <w:hideMark/>
          </w:tcPr>
          <w:p w:rsidRPr="0057780D" w:rsidR="00EB1F65" w:rsidP="00DE3922" w:rsidRDefault="00EB1F65" w14:paraId="1A3A58A7"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Rule Familiarization</w:t>
            </w:r>
          </w:p>
        </w:tc>
        <w:tc>
          <w:tcPr>
            <w:tcW w:w="787"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4B67BCEF"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$0.00</w:t>
            </w:r>
          </w:p>
        </w:tc>
        <w:tc>
          <w:tcPr>
            <w:tcW w:w="788" w:type="pct"/>
            <w:tcBorders>
              <w:top w:val="single" w:color="auto" w:sz="4" w:space="0"/>
              <w:left w:val="nil"/>
              <w:bottom w:val="single" w:color="auto" w:sz="8" w:space="0"/>
              <w:right w:val="single" w:color="auto" w:sz="8" w:space="0"/>
            </w:tcBorders>
            <w:shd w:val="clear" w:color="auto" w:fill="auto"/>
            <w:vAlign w:val="center"/>
          </w:tcPr>
          <w:p w:rsidRPr="0057780D" w:rsidR="00EB1F65" w:rsidP="00DE3922" w:rsidRDefault="00EB1F65" w14:paraId="65C7F47D"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$41.43</w:t>
            </w:r>
          </w:p>
        </w:tc>
        <w:tc>
          <w:tcPr>
            <w:tcW w:w="788" w:type="pct"/>
            <w:tcBorders>
              <w:top w:val="single" w:color="auto" w:sz="4" w:space="0"/>
              <w:left w:val="nil"/>
              <w:bottom w:val="single" w:color="auto" w:sz="8" w:space="0"/>
              <w:right w:val="single" w:color="auto" w:sz="8" w:space="0"/>
            </w:tcBorders>
            <w:shd w:val="clear" w:color="auto" w:fill="auto"/>
            <w:vAlign w:val="center"/>
          </w:tcPr>
          <w:p w:rsidRPr="0057780D" w:rsidR="00EB1F65" w:rsidP="00DE3922" w:rsidRDefault="00EB1F65" w14:paraId="42FB4D2E"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$21.62</w:t>
            </w:r>
          </w:p>
        </w:tc>
        <w:tc>
          <w:tcPr>
            <w:tcW w:w="788" w:type="pct"/>
            <w:tcBorders>
              <w:top w:val="single" w:color="auto" w:sz="4" w:space="0"/>
              <w:left w:val="nil"/>
              <w:bottom w:val="single" w:color="auto" w:sz="8" w:space="0"/>
              <w:right w:val="single" w:color="auto" w:sz="8" w:space="0"/>
            </w:tcBorders>
            <w:shd w:val="clear" w:color="auto" w:fill="auto"/>
            <w:vAlign w:val="center"/>
          </w:tcPr>
          <w:p w:rsidRPr="0057780D" w:rsidR="00EB1F65" w:rsidP="00DE3922" w:rsidRDefault="00EB1F65" w14:paraId="3DCCBB86"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4"/>
              </w:rPr>
              <w:t>$0.00</w:t>
            </w:r>
          </w:p>
        </w:tc>
        <w:tc>
          <w:tcPr>
            <w:tcW w:w="804" w:type="pct"/>
            <w:tcBorders>
              <w:top w:val="single" w:color="auto" w:sz="4" w:space="0"/>
              <w:left w:val="nil"/>
              <w:bottom w:val="single" w:color="auto" w:sz="8" w:space="0"/>
              <w:right w:val="single" w:color="auto" w:sz="8" w:space="0"/>
            </w:tcBorders>
            <w:shd w:val="clear" w:color="auto" w:fill="auto"/>
            <w:vAlign w:val="center"/>
          </w:tcPr>
          <w:p w:rsidRPr="0057780D" w:rsidR="00EB1F65" w:rsidP="00DE3922" w:rsidRDefault="00EB1F65" w14:paraId="7242C70A"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$63.05</w:t>
            </w:r>
          </w:p>
        </w:tc>
      </w:tr>
      <w:tr w:rsidRPr="0057780D" w:rsidR="00EB1F65" w:rsidTr="00DE3922" w14:paraId="3C898208" w14:textId="77777777">
        <w:trPr>
          <w:trHeight w:val="315"/>
        </w:trPr>
        <w:tc>
          <w:tcPr>
            <w:tcW w:w="1045"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0E969441"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Form Completion</w:t>
            </w:r>
          </w:p>
        </w:tc>
        <w:tc>
          <w:tcPr>
            <w:tcW w:w="787"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41C23A1C"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$0.00</w:t>
            </w:r>
          </w:p>
        </w:tc>
        <w:tc>
          <w:tcPr>
            <w:tcW w:w="788"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533C1C5D"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$7,924</w:t>
            </w:r>
          </w:p>
        </w:tc>
        <w:tc>
          <w:tcPr>
            <w:tcW w:w="788"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4418ED9B"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$2,515</w:t>
            </w:r>
          </w:p>
        </w:tc>
        <w:tc>
          <w:tcPr>
            <w:tcW w:w="788"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B603AA3"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804"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5B64534" w14:textId="77777777">
            <w:pPr>
              <w:jc w:val="center"/>
              <w:rPr>
                <w:rFonts w:ascii="Times New Roman" w:hAnsi="Times New Roman" w:eastAsia="Times New Roman" w:cs="Times New Roman"/>
                <w:sz w:val="20"/>
                <w:szCs w:val="24"/>
              </w:rPr>
            </w:pPr>
            <w:bookmarkStart w:name="_Hlk21441519" w:id="28"/>
            <w:r w:rsidRPr="0057780D">
              <w:rPr>
                <w:rFonts w:ascii="Times New Roman" w:hAnsi="Times New Roman" w:eastAsia="Times New Roman" w:cs="Times New Roman"/>
                <w:sz w:val="20"/>
                <w:szCs w:val="24"/>
              </w:rPr>
              <w:t>$10,</w:t>
            </w:r>
            <w:bookmarkEnd w:id="28"/>
            <w:r w:rsidRPr="0057780D">
              <w:rPr>
                <w:rFonts w:ascii="Times New Roman" w:hAnsi="Times New Roman" w:eastAsia="Times New Roman" w:cs="Times New Roman"/>
                <w:sz w:val="20"/>
                <w:szCs w:val="24"/>
              </w:rPr>
              <w:t>439</w:t>
            </w:r>
          </w:p>
        </w:tc>
      </w:tr>
      <w:tr w:rsidRPr="0057780D" w:rsidR="00EB1F65" w:rsidTr="00DE3922" w14:paraId="4B50F252" w14:textId="77777777">
        <w:trPr>
          <w:trHeight w:val="315"/>
        </w:trPr>
        <w:tc>
          <w:tcPr>
            <w:tcW w:w="1045"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024E31D8" w14:textId="77777777">
            <w:pP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CBI Claim Substantiation</w:t>
            </w:r>
          </w:p>
        </w:tc>
        <w:tc>
          <w:tcPr>
            <w:tcW w:w="787" w:type="pct"/>
            <w:tcBorders>
              <w:top w:val="single" w:color="auto" w:sz="8" w:space="0"/>
              <w:left w:val="nil"/>
              <w:bottom w:val="single" w:color="auto" w:sz="8" w:space="0"/>
              <w:right w:val="single" w:color="auto" w:sz="8" w:space="0"/>
            </w:tcBorders>
            <w:shd w:val="clear" w:color="auto" w:fill="auto"/>
            <w:vAlign w:val="center"/>
            <w:hideMark/>
          </w:tcPr>
          <w:p w:rsidRPr="0057780D" w:rsidR="00EB1F65" w:rsidP="00DE3922" w:rsidRDefault="00EB1F65" w14:paraId="0CDAE325"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88"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4448B459"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4"/>
              </w:rPr>
              <w:t>$0.00</w:t>
            </w:r>
          </w:p>
        </w:tc>
        <w:tc>
          <w:tcPr>
            <w:tcW w:w="788" w:type="pct"/>
            <w:tcBorders>
              <w:top w:val="single" w:color="auto" w:sz="8" w:space="0"/>
              <w:left w:val="single" w:color="auto" w:sz="8" w:space="0"/>
              <w:bottom w:val="single" w:color="auto" w:sz="8" w:space="0"/>
              <w:right w:val="single" w:color="auto" w:sz="8" w:space="0"/>
            </w:tcBorders>
            <w:shd w:val="clear" w:color="auto" w:fill="auto"/>
            <w:vAlign w:val="center"/>
          </w:tcPr>
          <w:p w:rsidRPr="0057780D" w:rsidR="00EB1F65" w:rsidP="00DE3922" w:rsidRDefault="00EB1F65" w14:paraId="343B83C1"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$60.07</w:t>
            </w:r>
          </w:p>
        </w:tc>
        <w:tc>
          <w:tcPr>
            <w:tcW w:w="788" w:type="pct"/>
            <w:tcBorders>
              <w:top w:val="single" w:color="auto" w:sz="8" w:space="0"/>
              <w:left w:val="single" w:color="auto" w:sz="8" w:space="0"/>
              <w:bottom w:val="single" w:color="auto" w:sz="8" w:space="0"/>
              <w:right w:val="single" w:color="auto" w:sz="8" w:space="0"/>
            </w:tcBorders>
            <w:shd w:val="clear" w:color="auto" w:fill="auto"/>
            <w:vAlign w:val="center"/>
          </w:tcPr>
          <w:p w:rsidRPr="0057780D" w:rsidR="00EB1F65" w:rsidP="00DE3922" w:rsidRDefault="00EB1F65" w14:paraId="6A3A4DF7"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$88.82</w:t>
            </w:r>
          </w:p>
        </w:tc>
        <w:tc>
          <w:tcPr>
            <w:tcW w:w="804" w:type="pct"/>
            <w:tcBorders>
              <w:top w:val="single" w:color="auto" w:sz="8" w:space="0"/>
              <w:left w:val="single" w:color="auto" w:sz="8" w:space="0"/>
              <w:bottom w:val="single" w:color="auto" w:sz="8" w:space="0"/>
              <w:right w:val="single" w:color="auto" w:sz="8" w:space="0"/>
            </w:tcBorders>
            <w:shd w:val="clear" w:color="auto" w:fill="auto"/>
            <w:vAlign w:val="center"/>
          </w:tcPr>
          <w:p w:rsidRPr="0057780D" w:rsidR="00EB1F65" w:rsidP="00DE3922" w:rsidRDefault="00EB1F65" w14:paraId="59CDE82D"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$148.88</w:t>
            </w:r>
          </w:p>
        </w:tc>
      </w:tr>
      <w:tr w:rsidRPr="0057780D" w:rsidR="00EB1F65" w:rsidTr="00DE3922" w14:paraId="4033B01B" w14:textId="77777777">
        <w:trPr>
          <w:trHeight w:val="315"/>
        </w:trPr>
        <w:tc>
          <w:tcPr>
            <w:tcW w:w="1045" w:type="pct"/>
            <w:tcBorders>
              <w:top w:val="nil"/>
              <w:left w:val="single" w:color="auto" w:sz="8" w:space="0"/>
              <w:bottom w:val="single" w:color="auto" w:sz="8" w:space="0"/>
              <w:right w:val="single" w:color="auto" w:sz="8" w:space="0"/>
            </w:tcBorders>
            <w:shd w:val="clear" w:color="auto" w:fill="auto"/>
            <w:noWrap/>
            <w:vAlign w:val="center"/>
            <w:hideMark/>
          </w:tcPr>
          <w:p w:rsidRPr="0057780D" w:rsidR="00EB1F65" w:rsidP="00DE3922" w:rsidRDefault="00EB1F65" w14:paraId="7B6D03CF" w14:textId="77777777">
            <w:pP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Recordkeeping</w:t>
            </w:r>
          </w:p>
        </w:tc>
        <w:tc>
          <w:tcPr>
            <w:tcW w:w="787"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20381C1B"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$17.25</w:t>
            </w:r>
          </w:p>
        </w:tc>
        <w:tc>
          <w:tcPr>
            <w:tcW w:w="788"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239AEDAF"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$37.66</w:t>
            </w:r>
          </w:p>
        </w:tc>
        <w:tc>
          <w:tcPr>
            <w:tcW w:w="788"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99D1D0E"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$0.00</w:t>
            </w:r>
          </w:p>
        </w:tc>
        <w:tc>
          <w:tcPr>
            <w:tcW w:w="788"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6B706AB0"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804"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52B9E283"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$54.91</w:t>
            </w:r>
          </w:p>
        </w:tc>
      </w:tr>
      <w:tr w:rsidRPr="0057780D" w:rsidR="00EB1F65" w:rsidTr="00DE3922" w14:paraId="4014DA0E" w14:textId="77777777">
        <w:trPr>
          <w:trHeight w:val="403"/>
        </w:trPr>
        <w:tc>
          <w:tcPr>
            <w:tcW w:w="1045"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19F7C098" w14:textId="77777777">
            <w:pPr>
              <w:rPr>
                <w:rFonts w:ascii="Times New Roman" w:hAnsi="Times New Roman" w:eastAsia="Times New Roman" w:cs="Times New Roman"/>
                <w:b/>
                <w:szCs w:val="24"/>
              </w:rPr>
            </w:pPr>
            <w:r w:rsidRPr="0057780D">
              <w:rPr>
                <w:rFonts w:ascii="Times New Roman" w:hAnsi="Times New Roman" w:eastAsia="Times New Roman" w:cs="Times New Roman"/>
                <w:b/>
                <w:szCs w:val="24"/>
              </w:rPr>
              <w:t>Total Burden per Report</w:t>
            </w:r>
          </w:p>
        </w:tc>
        <w:tc>
          <w:tcPr>
            <w:tcW w:w="787"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50A45751" w14:textId="77777777">
            <w:pPr>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$17.25</w:t>
            </w:r>
          </w:p>
        </w:tc>
        <w:tc>
          <w:tcPr>
            <w:tcW w:w="788"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4BB69EEF" w14:textId="77777777">
            <w:pPr>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$8,003</w:t>
            </w:r>
          </w:p>
        </w:tc>
        <w:tc>
          <w:tcPr>
            <w:tcW w:w="788"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37FC0EDE" w14:textId="77777777">
            <w:pPr>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$2,597</w:t>
            </w:r>
          </w:p>
        </w:tc>
        <w:tc>
          <w:tcPr>
            <w:tcW w:w="788"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5BD31E88" w14:textId="77777777">
            <w:pPr>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$88.82</w:t>
            </w:r>
          </w:p>
        </w:tc>
        <w:tc>
          <w:tcPr>
            <w:tcW w:w="804"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4D4736F9" w14:textId="77777777">
            <w:pPr>
              <w:jc w:val="center"/>
              <w:rPr>
                <w:rFonts w:ascii="Times New Roman" w:hAnsi="Times New Roman" w:eastAsia="Times New Roman" w:cs="Times New Roman"/>
                <w:b/>
                <w:bCs/>
                <w:szCs w:val="20"/>
              </w:rPr>
            </w:pPr>
            <w:bookmarkStart w:name="_Hlk20916298" w:id="29"/>
            <w:r w:rsidRPr="0057780D">
              <w:rPr>
                <w:rFonts w:ascii="Times New Roman" w:hAnsi="Times New Roman" w:eastAsia="Times New Roman" w:cs="Times New Roman"/>
                <w:b/>
                <w:bCs/>
                <w:szCs w:val="20"/>
              </w:rPr>
              <w:t>$10,</w:t>
            </w:r>
            <w:bookmarkEnd w:id="29"/>
            <w:r w:rsidRPr="0057780D">
              <w:rPr>
                <w:rFonts w:ascii="Times New Roman" w:hAnsi="Times New Roman" w:eastAsia="Times New Roman" w:cs="Times New Roman"/>
                <w:b/>
                <w:bCs/>
                <w:szCs w:val="20"/>
              </w:rPr>
              <w:t>706</w:t>
            </w:r>
          </w:p>
        </w:tc>
      </w:tr>
      <w:tr w:rsidRPr="0057780D" w:rsidR="00EB1F65" w:rsidTr="00DE3922" w14:paraId="01E9F4A3" w14:textId="77777777">
        <w:trPr>
          <w:trHeight w:val="300"/>
        </w:trPr>
        <w:tc>
          <w:tcPr>
            <w:tcW w:w="5000" w:type="pct"/>
            <w:gridSpan w:val="6"/>
            <w:tcBorders>
              <w:top w:val="single" w:color="auto" w:sz="8" w:space="0"/>
              <w:left w:val="nil"/>
              <w:bottom w:val="nil"/>
              <w:right w:val="nil"/>
            </w:tcBorders>
            <w:shd w:val="clear" w:color="auto" w:fill="auto"/>
            <w:vAlign w:val="center"/>
            <w:hideMark/>
          </w:tcPr>
          <w:p w:rsidRPr="0057780D" w:rsidR="00EB1F65" w:rsidP="00DE3922" w:rsidRDefault="00EB1F65" w14:paraId="7AFE1EA1" w14:textId="77777777">
            <w:pPr>
              <w:rPr>
                <w:rFonts w:ascii="Times New Roman" w:hAnsi="Times New Roman" w:eastAsia="Times New Roman" w:cs="Times New Roman"/>
                <w:sz w:val="18"/>
                <w:szCs w:val="20"/>
              </w:rPr>
            </w:pPr>
            <w:r w:rsidRPr="0057780D">
              <w:rPr>
                <w:rFonts w:ascii="Times New Roman" w:hAnsi="Times New Roman" w:eastAsia="Times New Roman" w:cs="Times New Roman"/>
                <w:sz w:val="18"/>
                <w:szCs w:val="20"/>
              </w:rPr>
              <w:t>Values may not sum due to rounding.</w:t>
            </w:r>
          </w:p>
        </w:tc>
      </w:tr>
      <w:tr w:rsidRPr="0057780D" w:rsidR="00EB1F65" w:rsidTr="00DE3922" w14:paraId="404F8AF1" w14:textId="77777777">
        <w:trPr>
          <w:trHeight w:val="486"/>
        </w:trPr>
        <w:tc>
          <w:tcPr>
            <w:tcW w:w="5000" w:type="pct"/>
            <w:gridSpan w:val="6"/>
            <w:tcBorders>
              <w:top w:val="nil"/>
              <w:left w:val="nil"/>
              <w:bottom w:val="nil"/>
              <w:right w:val="nil"/>
            </w:tcBorders>
            <w:shd w:val="clear" w:color="auto" w:fill="auto"/>
            <w:vAlign w:val="center"/>
            <w:hideMark/>
          </w:tcPr>
          <w:p w:rsidRPr="0057780D" w:rsidR="00EB1F65" w:rsidP="00DE3922" w:rsidRDefault="00EB1F65" w14:paraId="075AC54B" w14:textId="77777777">
            <w:pPr>
              <w:rPr>
                <w:rFonts w:ascii="Times New Roman" w:hAnsi="Times New Roman" w:eastAsia="Times New Roman" w:cs="Times New Roman"/>
                <w:sz w:val="18"/>
                <w:szCs w:val="24"/>
              </w:rPr>
            </w:pPr>
            <w:r w:rsidRPr="0057780D">
              <w:rPr>
                <w:rFonts w:ascii="Times New Roman" w:hAnsi="Times New Roman" w:eastAsia="Times New Roman" w:cs="Times New Roman"/>
                <w:sz w:val="18"/>
                <w:szCs w:val="24"/>
              </w:rPr>
              <w:t>Estimates for manufacturer totals assume that rule familiarization does not occur. Because there are new processors estimated to report each year, the cost for those entities includes rule familiarization.</w:t>
            </w:r>
          </w:p>
        </w:tc>
      </w:tr>
    </w:tbl>
    <w:p w:rsidRPr="0057780D" w:rsidR="00EB1F65" w:rsidP="00EB1F65" w:rsidRDefault="00EB1F65" w14:paraId="46920EF7" w14:textId="77777777">
      <w:pPr>
        <w:ind w:firstLine="720"/>
        <w:rPr>
          <w:rFonts w:ascii="Times New Roman" w:hAnsi="Times New Roman" w:eastAsia="Times New Roman" w:cs="Times New Roman"/>
          <w:szCs w:val="24"/>
        </w:rPr>
      </w:pPr>
    </w:p>
    <w:p w:rsidRPr="0057780D" w:rsidR="00EB1F65" w:rsidP="00EB1F65" w:rsidRDefault="00EB1F65" w14:paraId="6C54F8F6" w14:textId="77777777">
      <w:pPr>
        <w:ind w:firstLine="72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Electronic reporting costs are presented in Table 6. Because not all firms are expected incur all costs, the number of annual activities per firm may be less than one. Electronic reporting costs for first time registrants are estimated to be $109.25 per firm and subsequent year costs are to be $13.28 per firm. Because the same nanomaterial manufacturers are reporting each year, they are expected to incur a cost of $13.28 per firm per year, while processors, who are new respondents each year, are expected to incur $109.25 per firm each year. More information on the derivation of these costs is found in the </w:t>
      </w:r>
      <w:r w:rsidRPr="0057780D">
        <w:rPr>
          <w:rFonts w:ascii="Times New Roman" w:hAnsi="Times New Roman" w:eastAsia="Times New Roman" w:cs="Times New Roman"/>
          <w:bCs/>
          <w:i/>
          <w:szCs w:val="24"/>
        </w:rPr>
        <w:t>Economic Analysis for the Final TSCA Section 8(a) Reporting Requirements for Certain Chemical Substances as Nanoscale Materials</w:t>
      </w:r>
      <w:r w:rsidRPr="0057780D">
        <w:rPr>
          <w:rFonts w:ascii="Times New Roman" w:hAnsi="Times New Roman" w:eastAsia="Times New Roman" w:cs="Times New Roman"/>
          <w:szCs w:val="24"/>
        </w:rPr>
        <w:t xml:space="preserve"> (EPA, 2016).</w:t>
      </w:r>
    </w:p>
    <w:p w:rsidRPr="0057780D" w:rsidR="00EB1F65" w:rsidP="00EB1F65" w:rsidRDefault="00EB1F65" w14:paraId="12DFF067" w14:textId="77777777">
      <w:pPr>
        <w:keepNext/>
        <w:keepLines/>
        <w:outlineLvl w:val="0"/>
        <w:rPr>
          <w:rFonts w:ascii="Times New Roman" w:hAnsi="Times New Roman" w:eastAsia="Times New Roman" w:cs="Times New Roman"/>
          <w:b/>
          <w:bCs/>
        </w:rPr>
      </w:pPr>
    </w:p>
    <w:p w:rsidRPr="0057780D" w:rsidR="00EB1F65" w:rsidP="00EB1F65" w:rsidRDefault="00EB1F65" w14:paraId="34165CC9" w14:textId="77777777">
      <w:pPr>
        <w:keepNext/>
        <w:keepLines/>
        <w:outlineLvl w:val="0"/>
        <w:rPr>
          <w:rFonts w:ascii="Times New Roman" w:hAnsi="Times New Roman" w:eastAsia="Times New Roman" w:cs="Times New Roman"/>
          <w:b/>
          <w:bCs/>
          <w:sz w:val="20"/>
          <w:szCs w:val="20"/>
        </w:rPr>
      </w:pPr>
      <w:r w:rsidRPr="0057780D">
        <w:rPr>
          <w:rFonts w:ascii="Times New Roman" w:hAnsi="Times New Roman" w:eastAsia="Times New Roman" w:cs="Times New Roman"/>
          <w:b/>
          <w:bCs/>
        </w:rPr>
        <w:t>Table 6: Industry Cost for Electronic Reporting (2018$)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1"/>
        <w:gridCol w:w="1366"/>
        <w:gridCol w:w="1366"/>
        <w:gridCol w:w="1366"/>
        <w:gridCol w:w="1142"/>
        <w:gridCol w:w="1549"/>
      </w:tblGrid>
      <w:tr w:rsidRPr="0057780D" w:rsidR="00EB1F65" w:rsidTr="00DE3922" w14:paraId="0D266B55" w14:textId="77777777">
        <w:tc>
          <w:tcPr>
            <w:tcW w:w="1370" w:type="pct"/>
            <w:shd w:val="clear" w:color="auto" w:fill="F2F2F2"/>
            <w:vAlign w:val="center"/>
          </w:tcPr>
          <w:p w:rsidRPr="0057780D" w:rsidR="00EB1F65" w:rsidP="00DE3922" w:rsidRDefault="00EB1F65" w14:paraId="58F25BCB"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Activity</w:t>
            </w:r>
          </w:p>
        </w:tc>
        <w:tc>
          <w:tcPr>
            <w:tcW w:w="730" w:type="pct"/>
            <w:shd w:val="clear" w:color="auto" w:fill="F2F2F2"/>
            <w:vAlign w:val="center"/>
          </w:tcPr>
          <w:p w:rsidRPr="0057780D" w:rsidR="00EB1F65" w:rsidP="00DE3922" w:rsidRDefault="00EB1F65" w14:paraId="64B84D3D"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bCs/>
                <w:sz w:val="20"/>
                <w:szCs w:val="20"/>
              </w:rPr>
              <w:t>Clerical Cost  ($</w:t>
            </w:r>
            <w:r w:rsidRPr="0057780D">
              <w:rPr>
                <w:rFonts w:ascii="Times New Roman" w:hAnsi="Times New Roman" w:cs="Times New Roman"/>
                <w:b/>
                <w:sz w:val="20"/>
              </w:rPr>
              <w:t>34.50</w:t>
            </w:r>
            <w:r w:rsidRPr="0057780D">
              <w:rPr>
                <w:rFonts w:ascii="Times New Roman" w:hAnsi="Times New Roman" w:eastAsia="Times New Roman" w:cs="Times New Roman"/>
                <w:b/>
                <w:bCs/>
                <w:sz w:val="20"/>
                <w:szCs w:val="20"/>
              </w:rPr>
              <w:t>/hour)</w:t>
            </w:r>
          </w:p>
        </w:tc>
        <w:tc>
          <w:tcPr>
            <w:tcW w:w="730" w:type="pct"/>
            <w:shd w:val="clear" w:color="auto" w:fill="F2F2F2"/>
            <w:vAlign w:val="center"/>
          </w:tcPr>
          <w:p w:rsidRPr="0057780D" w:rsidR="00EB1F65" w:rsidP="00DE3922" w:rsidRDefault="00EB1F65" w14:paraId="0D781CD7" w14:textId="77777777">
            <w:pPr>
              <w:keepNext/>
              <w:keepLines/>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Technical Cost</w:t>
            </w:r>
          </w:p>
          <w:p w:rsidRPr="0057780D" w:rsidR="00EB1F65" w:rsidP="00DE3922" w:rsidRDefault="00EB1F65" w14:paraId="53F72B5D"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bCs/>
                <w:sz w:val="20"/>
                <w:szCs w:val="20"/>
              </w:rPr>
              <w:t>($</w:t>
            </w:r>
            <w:r w:rsidRPr="0057780D">
              <w:rPr>
                <w:rFonts w:ascii="Times New Roman" w:hAnsi="Times New Roman" w:cs="Times New Roman"/>
                <w:b/>
                <w:sz w:val="20"/>
              </w:rPr>
              <w:t>76.32</w:t>
            </w:r>
            <w:r w:rsidRPr="0057780D">
              <w:rPr>
                <w:rFonts w:ascii="Times New Roman" w:hAnsi="Times New Roman" w:eastAsia="Times New Roman" w:cs="Times New Roman"/>
                <w:b/>
                <w:bCs/>
                <w:sz w:val="20"/>
                <w:szCs w:val="20"/>
              </w:rPr>
              <w:t>/hour)</w:t>
            </w:r>
          </w:p>
        </w:tc>
        <w:tc>
          <w:tcPr>
            <w:tcW w:w="730" w:type="pct"/>
            <w:shd w:val="clear" w:color="auto" w:fill="F2F2F2"/>
            <w:vAlign w:val="center"/>
          </w:tcPr>
          <w:p w:rsidRPr="0057780D" w:rsidR="00EB1F65" w:rsidP="00DE3922" w:rsidRDefault="00EB1F65" w14:paraId="4C475EA9" w14:textId="77777777">
            <w:pPr>
              <w:keepNext/>
              <w:keepLines/>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Managerial Cost</w:t>
            </w:r>
          </w:p>
          <w:p w:rsidRPr="0057780D" w:rsidR="00EB1F65" w:rsidP="00DE3922" w:rsidRDefault="00EB1F65" w14:paraId="690744FF"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bCs/>
                <w:sz w:val="20"/>
                <w:szCs w:val="24"/>
              </w:rPr>
              <w:t>(</w:t>
            </w:r>
            <w:r w:rsidRPr="0057780D">
              <w:rPr>
                <w:rFonts w:ascii="Times New Roman" w:hAnsi="Times New Roman" w:eastAsia="Times New Roman" w:cs="Times New Roman"/>
                <w:b/>
                <w:bCs/>
                <w:sz w:val="20"/>
                <w:szCs w:val="20"/>
              </w:rPr>
              <w:t>$</w:t>
            </w:r>
            <w:r w:rsidRPr="0057780D">
              <w:rPr>
                <w:rFonts w:ascii="Times New Roman" w:hAnsi="Times New Roman" w:cs="Times New Roman"/>
                <w:b/>
                <w:sz w:val="20"/>
              </w:rPr>
              <w:t>80.09</w:t>
            </w:r>
            <w:r w:rsidRPr="0057780D">
              <w:rPr>
                <w:rFonts w:ascii="Times New Roman" w:hAnsi="Times New Roman" w:eastAsia="Times New Roman" w:cs="Times New Roman"/>
                <w:b/>
                <w:bCs/>
                <w:sz w:val="20"/>
                <w:szCs w:val="20"/>
              </w:rPr>
              <w:t>/hour</w:t>
            </w:r>
            <w:r w:rsidRPr="0057780D">
              <w:rPr>
                <w:rFonts w:ascii="Times New Roman" w:hAnsi="Times New Roman" w:eastAsia="Times New Roman" w:cs="Times New Roman"/>
                <w:b/>
                <w:bCs/>
                <w:sz w:val="20"/>
                <w:szCs w:val="24"/>
              </w:rPr>
              <w:t>)</w:t>
            </w:r>
          </w:p>
        </w:tc>
        <w:tc>
          <w:tcPr>
            <w:tcW w:w="610" w:type="pct"/>
            <w:shd w:val="clear" w:color="auto" w:fill="F2F2F2"/>
            <w:vAlign w:val="center"/>
          </w:tcPr>
          <w:p w:rsidRPr="0057780D" w:rsidR="00EB1F65" w:rsidP="00DE3922" w:rsidRDefault="00EB1F65" w14:paraId="56EECF0A"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Number of Annual Activities</w:t>
            </w:r>
          </w:p>
        </w:tc>
        <w:tc>
          <w:tcPr>
            <w:tcW w:w="829" w:type="pct"/>
            <w:shd w:val="clear" w:color="auto" w:fill="F2F2F2"/>
            <w:vAlign w:val="center"/>
          </w:tcPr>
          <w:p w:rsidRPr="0057780D" w:rsidR="00EB1F65" w:rsidP="00DE3922" w:rsidRDefault="00EB1F65" w14:paraId="22899BC2" w14:textId="77777777">
            <w:pPr>
              <w:keepNext/>
              <w:keepLines/>
              <w:jc w:val="center"/>
              <w:rPr>
                <w:rFonts w:ascii="Times New Roman" w:hAnsi="Times New Roman" w:eastAsia="Times New Roman" w:cs="Times New Roman"/>
                <w:b/>
                <w:sz w:val="20"/>
                <w:szCs w:val="20"/>
              </w:rPr>
            </w:pPr>
          </w:p>
          <w:p w:rsidRPr="0057780D" w:rsidR="00EB1F65" w:rsidP="00DE3922" w:rsidRDefault="00EB1F65" w14:paraId="14293540"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 w:val="20"/>
                <w:szCs w:val="20"/>
              </w:rPr>
              <w:t>Total Cost</w:t>
            </w:r>
          </w:p>
          <w:p w:rsidRPr="0057780D" w:rsidR="00EB1F65" w:rsidP="00DE3922" w:rsidRDefault="00EB1F65" w14:paraId="0BEC8E94" w14:textId="77777777">
            <w:pPr>
              <w:keepNext/>
              <w:keepLines/>
              <w:jc w:val="center"/>
              <w:rPr>
                <w:rFonts w:ascii="Times New Roman" w:hAnsi="Times New Roman" w:eastAsia="Times New Roman" w:cs="Times New Roman"/>
                <w:b/>
                <w:sz w:val="20"/>
                <w:szCs w:val="20"/>
              </w:rPr>
            </w:pPr>
          </w:p>
        </w:tc>
      </w:tr>
      <w:tr w:rsidRPr="0057780D" w:rsidR="00EB1F65" w:rsidTr="00DE3922" w14:paraId="3E972DF0" w14:textId="77777777">
        <w:tc>
          <w:tcPr>
            <w:tcW w:w="5000" w:type="pct"/>
            <w:gridSpan w:val="6"/>
            <w:shd w:val="clear" w:color="auto" w:fill="auto"/>
            <w:vAlign w:val="center"/>
          </w:tcPr>
          <w:p w:rsidRPr="0057780D" w:rsidR="00EB1F65" w:rsidP="00DE3922" w:rsidRDefault="00EB1F65" w14:paraId="15F04BC3" w14:textId="77777777">
            <w:pPr>
              <w:keepNext/>
              <w:keepLines/>
              <w:jc w:val="center"/>
              <w:rPr>
                <w:rFonts w:ascii="Times New Roman" w:hAnsi="Times New Roman" w:eastAsia="Times New Roman" w:cs="Times New Roman"/>
                <w:b/>
                <w:i/>
                <w:sz w:val="20"/>
                <w:szCs w:val="24"/>
              </w:rPr>
            </w:pPr>
            <w:r w:rsidRPr="0057780D">
              <w:rPr>
                <w:rFonts w:ascii="Times New Roman" w:hAnsi="Times New Roman" w:eastAsia="Times New Roman" w:cs="Times New Roman"/>
                <w:b/>
                <w:i/>
                <w:sz w:val="20"/>
                <w:szCs w:val="24"/>
              </w:rPr>
              <w:t>ELECTRONIC REPORTING</w:t>
            </w:r>
          </w:p>
        </w:tc>
      </w:tr>
      <w:tr w:rsidRPr="0057780D" w:rsidR="00EB1F65" w:rsidTr="00DE3922" w14:paraId="0F8FD6A6" w14:textId="77777777">
        <w:tc>
          <w:tcPr>
            <w:tcW w:w="5000" w:type="pct"/>
            <w:gridSpan w:val="6"/>
            <w:shd w:val="clear" w:color="auto" w:fill="auto"/>
          </w:tcPr>
          <w:p w:rsidRPr="0057780D" w:rsidR="00EB1F65" w:rsidP="00DE3922" w:rsidRDefault="00EB1F65" w14:paraId="48CA2F92" w14:textId="77777777">
            <w:pPr>
              <w:keepNext/>
              <w:keepLines/>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20"/>
              </w:rPr>
              <w:t>First-time registration</w:t>
            </w:r>
          </w:p>
        </w:tc>
      </w:tr>
      <w:tr w:rsidRPr="0057780D" w:rsidR="00EB1F65" w:rsidTr="00DE3922" w14:paraId="48F167BD" w14:textId="77777777">
        <w:tc>
          <w:tcPr>
            <w:tcW w:w="1370" w:type="pct"/>
            <w:shd w:val="clear" w:color="auto" w:fill="auto"/>
          </w:tcPr>
          <w:p w:rsidRPr="0057780D" w:rsidR="00EB1F65" w:rsidP="00DE3922" w:rsidRDefault="00EB1F65" w14:paraId="1C2A5348"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CDX Registration</w:t>
            </w:r>
          </w:p>
        </w:tc>
        <w:tc>
          <w:tcPr>
            <w:tcW w:w="730" w:type="pct"/>
            <w:shd w:val="clear" w:color="auto" w:fill="auto"/>
            <w:vAlign w:val="center"/>
          </w:tcPr>
          <w:p w:rsidRPr="0057780D" w:rsidR="00EB1F65" w:rsidP="00DE3922" w:rsidRDefault="00EB1F65" w14:paraId="1EC9B4BE"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3B27B0B8"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$50.46</w:t>
            </w:r>
          </w:p>
        </w:tc>
        <w:tc>
          <w:tcPr>
            <w:tcW w:w="730" w:type="pct"/>
            <w:shd w:val="clear" w:color="auto" w:fill="auto"/>
            <w:vAlign w:val="center"/>
          </w:tcPr>
          <w:p w:rsidRPr="0057780D" w:rsidR="00EB1F65" w:rsidP="00DE3922" w:rsidRDefault="00EB1F65" w14:paraId="7CB3588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$13.62</w:t>
            </w:r>
          </w:p>
        </w:tc>
        <w:tc>
          <w:tcPr>
            <w:tcW w:w="610" w:type="pct"/>
            <w:shd w:val="clear" w:color="auto" w:fill="auto"/>
            <w:vAlign w:val="center"/>
          </w:tcPr>
          <w:p w:rsidRPr="0057780D" w:rsidR="00EB1F65" w:rsidP="00DE3922" w:rsidRDefault="00EB1F65" w14:paraId="07595E5D"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w:t>
            </w:r>
          </w:p>
        </w:tc>
        <w:tc>
          <w:tcPr>
            <w:tcW w:w="829" w:type="pct"/>
            <w:shd w:val="clear" w:color="auto" w:fill="auto"/>
            <w:vAlign w:val="center"/>
          </w:tcPr>
          <w:p w:rsidRPr="0057780D" w:rsidR="00EB1F65" w:rsidP="00DE3922" w:rsidRDefault="00EB1F65" w14:paraId="0A85C55E"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$64.08</w:t>
            </w:r>
          </w:p>
        </w:tc>
      </w:tr>
      <w:tr w:rsidRPr="0057780D" w:rsidR="00EB1F65" w:rsidTr="00DE3922" w14:paraId="106E11F3" w14:textId="77777777">
        <w:tc>
          <w:tcPr>
            <w:tcW w:w="1370" w:type="pct"/>
            <w:shd w:val="clear" w:color="auto" w:fill="auto"/>
          </w:tcPr>
          <w:p w:rsidRPr="0057780D" w:rsidR="00EB1F65" w:rsidP="00DE3922" w:rsidRDefault="00EB1F65" w14:paraId="7025872A"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Electronic Subscriber Agreement/ Electronic Signature</w:t>
            </w:r>
          </w:p>
        </w:tc>
        <w:tc>
          <w:tcPr>
            <w:tcW w:w="730" w:type="pct"/>
            <w:shd w:val="clear" w:color="auto" w:fill="auto"/>
            <w:vAlign w:val="center"/>
          </w:tcPr>
          <w:p w:rsidRPr="0057780D" w:rsidR="00EB1F65" w:rsidP="00DE3922" w:rsidRDefault="00EB1F65" w14:paraId="6ABF375D"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44BBD436"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74C8E4E5"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$20.02</w:t>
            </w:r>
          </w:p>
        </w:tc>
        <w:tc>
          <w:tcPr>
            <w:tcW w:w="610" w:type="pct"/>
            <w:shd w:val="clear" w:color="auto" w:fill="auto"/>
            <w:vAlign w:val="center"/>
          </w:tcPr>
          <w:p w:rsidRPr="0057780D" w:rsidR="00EB1F65" w:rsidP="00DE3922" w:rsidRDefault="00EB1F65" w14:paraId="5A0217C1"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w:t>
            </w:r>
          </w:p>
        </w:tc>
        <w:tc>
          <w:tcPr>
            <w:tcW w:w="829" w:type="pct"/>
            <w:shd w:val="clear" w:color="auto" w:fill="auto"/>
            <w:vAlign w:val="center"/>
          </w:tcPr>
          <w:p w:rsidRPr="0057780D" w:rsidR="00EB1F65" w:rsidP="00DE3922" w:rsidRDefault="00EB1F65" w14:paraId="1D563CFA"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$20.02</w:t>
            </w:r>
          </w:p>
        </w:tc>
      </w:tr>
      <w:tr w:rsidRPr="0057780D" w:rsidR="00EB1F65" w:rsidTr="00DE3922" w14:paraId="258F1644" w14:textId="77777777">
        <w:tc>
          <w:tcPr>
            <w:tcW w:w="1370" w:type="pct"/>
            <w:shd w:val="clear" w:color="auto" w:fill="auto"/>
          </w:tcPr>
          <w:p w:rsidRPr="0057780D" w:rsidR="00EB1F65" w:rsidP="00DE3922" w:rsidRDefault="00EB1F65" w14:paraId="69B3438F"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Help Desk</w:t>
            </w:r>
          </w:p>
        </w:tc>
        <w:tc>
          <w:tcPr>
            <w:tcW w:w="730" w:type="pct"/>
            <w:shd w:val="clear" w:color="auto" w:fill="auto"/>
            <w:vAlign w:val="center"/>
          </w:tcPr>
          <w:p w:rsidRPr="0057780D" w:rsidR="00EB1F65" w:rsidP="00DE3922" w:rsidRDefault="00EB1F65" w14:paraId="1D33AC34"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626205E7"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$18.08</w:t>
            </w:r>
          </w:p>
        </w:tc>
        <w:tc>
          <w:tcPr>
            <w:tcW w:w="730" w:type="pct"/>
            <w:shd w:val="clear" w:color="auto" w:fill="auto"/>
            <w:vAlign w:val="center"/>
          </w:tcPr>
          <w:p w:rsidRPr="0057780D" w:rsidR="00EB1F65" w:rsidP="00DE3922" w:rsidRDefault="00EB1F65" w14:paraId="658965E7"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$4.81</w:t>
            </w:r>
          </w:p>
        </w:tc>
        <w:tc>
          <w:tcPr>
            <w:tcW w:w="610" w:type="pct"/>
            <w:shd w:val="clear" w:color="auto" w:fill="auto"/>
            <w:vAlign w:val="center"/>
          </w:tcPr>
          <w:p w:rsidRPr="0057780D" w:rsidR="00EB1F65" w:rsidP="00DE3922" w:rsidRDefault="00EB1F65" w14:paraId="631739D7"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w:t>
            </w:r>
          </w:p>
        </w:tc>
        <w:tc>
          <w:tcPr>
            <w:tcW w:w="829" w:type="pct"/>
            <w:shd w:val="clear" w:color="auto" w:fill="auto"/>
            <w:vAlign w:val="center"/>
          </w:tcPr>
          <w:p w:rsidRPr="0057780D" w:rsidR="00EB1F65" w:rsidP="00DE3922" w:rsidRDefault="00EB1F65" w14:paraId="0D12CEAA"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$22.89</w:t>
            </w:r>
          </w:p>
        </w:tc>
      </w:tr>
      <w:tr w:rsidRPr="0057780D" w:rsidR="00EB1F65" w:rsidTr="00DE3922" w14:paraId="4AD95F2A" w14:textId="77777777">
        <w:tc>
          <w:tcPr>
            <w:tcW w:w="1370" w:type="pct"/>
            <w:shd w:val="clear" w:color="auto" w:fill="auto"/>
          </w:tcPr>
          <w:p w:rsidRPr="0057780D" w:rsidR="00EB1F65" w:rsidP="00DE3922" w:rsidRDefault="00EB1F65" w14:paraId="7D56059E"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bCs/>
                <w:sz w:val="20"/>
                <w:szCs w:val="20"/>
              </w:rPr>
              <w:t>Problem Resolution</w:t>
            </w:r>
          </w:p>
        </w:tc>
        <w:tc>
          <w:tcPr>
            <w:tcW w:w="730" w:type="pct"/>
            <w:shd w:val="clear" w:color="auto" w:fill="auto"/>
            <w:vAlign w:val="center"/>
          </w:tcPr>
          <w:p w:rsidRPr="0057780D" w:rsidR="00EB1F65" w:rsidP="00DE3922" w:rsidRDefault="00EB1F65" w14:paraId="68227336"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0CAABF5A"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$75.32</w:t>
            </w:r>
          </w:p>
        </w:tc>
        <w:tc>
          <w:tcPr>
            <w:tcW w:w="730" w:type="pct"/>
            <w:shd w:val="clear" w:color="auto" w:fill="auto"/>
            <w:vAlign w:val="center"/>
          </w:tcPr>
          <w:p w:rsidRPr="0057780D" w:rsidR="00EB1F65" w:rsidP="00DE3922" w:rsidRDefault="00EB1F65" w14:paraId="0D7BA648"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10" w:type="pct"/>
            <w:shd w:val="clear" w:color="auto" w:fill="auto"/>
            <w:vAlign w:val="center"/>
          </w:tcPr>
          <w:p w:rsidRPr="0057780D" w:rsidR="00EB1F65" w:rsidP="00DE3922" w:rsidRDefault="00EB1F65" w14:paraId="5BA6CFAD"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c>
          <w:tcPr>
            <w:tcW w:w="829" w:type="pct"/>
            <w:shd w:val="clear" w:color="auto" w:fill="auto"/>
            <w:vAlign w:val="center"/>
          </w:tcPr>
          <w:p w:rsidRPr="0057780D" w:rsidR="00EB1F65" w:rsidP="00DE3922" w:rsidRDefault="00EB1F65" w14:paraId="297A108B"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$2.26</w:t>
            </w:r>
          </w:p>
        </w:tc>
      </w:tr>
      <w:tr w:rsidRPr="0057780D" w:rsidR="00EB1F65" w:rsidTr="00DE3922" w14:paraId="03FF8EEF" w14:textId="77777777">
        <w:tc>
          <w:tcPr>
            <w:tcW w:w="4171" w:type="pct"/>
            <w:gridSpan w:val="5"/>
            <w:shd w:val="clear" w:color="auto" w:fill="auto"/>
          </w:tcPr>
          <w:p w:rsidRPr="0057780D" w:rsidR="00EB1F65" w:rsidP="00DE3922" w:rsidRDefault="00EB1F65" w14:paraId="1024B0B8" w14:textId="77777777">
            <w:pPr>
              <w:keepNext/>
              <w:keepLines/>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Cs w:val="20"/>
              </w:rPr>
              <w:t>Total First Time Cost per firm</w:t>
            </w:r>
          </w:p>
        </w:tc>
        <w:tc>
          <w:tcPr>
            <w:tcW w:w="829" w:type="pct"/>
            <w:shd w:val="clear" w:color="auto" w:fill="auto"/>
            <w:vAlign w:val="center"/>
          </w:tcPr>
          <w:p w:rsidRPr="0057780D" w:rsidR="00EB1F65" w:rsidP="00DE3922" w:rsidRDefault="00EB1F65" w14:paraId="6A9C29E1"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Cs w:val="20"/>
              </w:rPr>
              <w:t>$109.25</w:t>
            </w:r>
          </w:p>
        </w:tc>
      </w:tr>
      <w:tr w:rsidRPr="0057780D" w:rsidR="00EB1F65" w:rsidTr="00DE3922" w14:paraId="6FC4598A" w14:textId="77777777">
        <w:tc>
          <w:tcPr>
            <w:tcW w:w="5000" w:type="pct"/>
            <w:gridSpan w:val="6"/>
            <w:shd w:val="clear" w:color="auto" w:fill="auto"/>
          </w:tcPr>
          <w:p w:rsidRPr="0057780D" w:rsidR="00EB1F65" w:rsidP="00DE3922" w:rsidRDefault="00EB1F65" w14:paraId="7E1B1367" w14:textId="77777777">
            <w:pPr>
              <w:keepNext/>
              <w:keepLines/>
              <w:rPr>
                <w:rFonts w:ascii="Times New Roman" w:hAnsi="Times New Roman" w:eastAsia="Times New Roman" w:cs="Times New Roman"/>
                <w:sz w:val="20"/>
                <w:szCs w:val="24"/>
              </w:rPr>
            </w:pPr>
            <w:r w:rsidRPr="0057780D">
              <w:rPr>
                <w:rFonts w:ascii="Times New Roman" w:hAnsi="Times New Roman" w:eastAsia="Times New Roman" w:cs="Times New Roman"/>
                <w:b/>
                <w:bCs/>
                <w:sz w:val="20"/>
                <w:szCs w:val="20"/>
              </w:rPr>
              <w:t>Subsequent registration</w:t>
            </w:r>
          </w:p>
        </w:tc>
      </w:tr>
      <w:tr w:rsidRPr="0057780D" w:rsidR="00EB1F65" w:rsidTr="00DE3922" w14:paraId="103974AB" w14:textId="77777777">
        <w:tc>
          <w:tcPr>
            <w:tcW w:w="1370" w:type="pct"/>
            <w:shd w:val="clear" w:color="auto" w:fill="auto"/>
          </w:tcPr>
          <w:p w:rsidRPr="0057780D" w:rsidR="00EB1F65" w:rsidP="00DE3922" w:rsidRDefault="00EB1F65" w14:paraId="5AABFE8A" w14:textId="77777777">
            <w:pPr>
              <w:keepNext/>
              <w:keepLines/>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CDX Registration</w:t>
            </w:r>
          </w:p>
        </w:tc>
        <w:tc>
          <w:tcPr>
            <w:tcW w:w="730" w:type="pct"/>
            <w:shd w:val="clear" w:color="auto" w:fill="auto"/>
            <w:vAlign w:val="center"/>
          </w:tcPr>
          <w:p w:rsidRPr="0057780D" w:rsidR="00EB1F65" w:rsidP="00DE3922" w:rsidRDefault="00EB1F65" w14:paraId="1350D445"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1EEC1045"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$50.46</w:t>
            </w:r>
          </w:p>
        </w:tc>
        <w:tc>
          <w:tcPr>
            <w:tcW w:w="730" w:type="pct"/>
            <w:shd w:val="clear" w:color="auto" w:fill="auto"/>
            <w:vAlign w:val="center"/>
          </w:tcPr>
          <w:p w:rsidRPr="0057780D" w:rsidR="00EB1F65" w:rsidP="00DE3922" w:rsidRDefault="00EB1F65" w14:paraId="6138D931"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$13.62</w:t>
            </w:r>
          </w:p>
        </w:tc>
        <w:tc>
          <w:tcPr>
            <w:tcW w:w="610" w:type="pct"/>
            <w:shd w:val="clear" w:color="auto" w:fill="auto"/>
            <w:vAlign w:val="center"/>
          </w:tcPr>
          <w:p w:rsidRPr="0057780D" w:rsidR="00EB1F65" w:rsidP="00DE3922" w:rsidRDefault="00EB1F65" w14:paraId="5CF11A7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29" w:type="pct"/>
            <w:shd w:val="clear" w:color="auto" w:fill="auto"/>
            <w:vAlign w:val="center"/>
          </w:tcPr>
          <w:p w:rsidRPr="0057780D" w:rsidR="00EB1F65" w:rsidP="00DE3922" w:rsidRDefault="00EB1F65" w14:paraId="289250FB"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$6.41</w:t>
            </w:r>
          </w:p>
        </w:tc>
      </w:tr>
      <w:tr w:rsidRPr="0057780D" w:rsidR="00EB1F65" w:rsidTr="00DE3922" w14:paraId="15C5150A" w14:textId="77777777">
        <w:tc>
          <w:tcPr>
            <w:tcW w:w="1370" w:type="pct"/>
            <w:shd w:val="clear" w:color="auto" w:fill="auto"/>
          </w:tcPr>
          <w:p w:rsidRPr="0057780D" w:rsidR="00EB1F65" w:rsidP="00DE3922" w:rsidRDefault="00EB1F65" w14:paraId="073D828A" w14:textId="77777777">
            <w:pPr>
              <w:keepNext/>
              <w:keepLines/>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Electronic Subscriber Agreement/Electronic Signature</w:t>
            </w:r>
          </w:p>
        </w:tc>
        <w:tc>
          <w:tcPr>
            <w:tcW w:w="730" w:type="pct"/>
            <w:shd w:val="clear" w:color="auto" w:fill="auto"/>
            <w:vAlign w:val="center"/>
          </w:tcPr>
          <w:p w:rsidRPr="0057780D" w:rsidR="00EB1F65" w:rsidP="00DE3922" w:rsidRDefault="00EB1F65" w14:paraId="5DC5A75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02B2CD0B"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2070D732"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$20.02</w:t>
            </w:r>
          </w:p>
        </w:tc>
        <w:tc>
          <w:tcPr>
            <w:tcW w:w="610" w:type="pct"/>
            <w:shd w:val="clear" w:color="auto" w:fill="auto"/>
            <w:vAlign w:val="center"/>
          </w:tcPr>
          <w:p w:rsidRPr="0057780D" w:rsidR="00EB1F65" w:rsidP="00DE3922" w:rsidRDefault="00EB1F65" w14:paraId="23FC557C"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29" w:type="pct"/>
            <w:shd w:val="clear" w:color="auto" w:fill="auto"/>
            <w:vAlign w:val="center"/>
          </w:tcPr>
          <w:p w:rsidRPr="0057780D" w:rsidR="00EB1F65" w:rsidP="00DE3922" w:rsidRDefault="00EB1F65" w14:paraId="226848F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$2.00</w:t>
            </w:r>
          </w:p>
        </w:tc>
      </w:tr>
      <w:tr w:rsidRPr="0057780D" w:rsidR="00EB1F65" w:rsidTr="00DE3922" w14:paraId="1694F4CA" w14:textId="77777777">
        <w:tc>
          <w:tcPr>
            <w:tcW w:w="1370" w:type="pct"/>
            <w:shd w:val="clear" w:color="auto" w:fill="auto"/>
          </w:tcPr>
          <w:p w:rsidRPr="0057780D" w:rsidR="00EB1F65" w:rsidP="00DE3922" w:rsidRDefault="00EB1F65" w14:paraId="44C4CF2A" w14:textId="77777777">
            <w:pPr>
              <w:keepNext/>
              <w:keepLines/>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Help Desk</w:t>
            </w:r>
          </w:p>
        </w:tc>
        <w:tc>
          <w:tcPr>
            <w:tcW w:w="730" w:type="pct"/>
            <w:shd w:val="clear" w:color="auto" w:fill="auto"/>
            <w:vAlign w:val="center"/>
          </w:tcPr>
          <w:p w:rsidRPr="0057780D" w:rsidR="00EB1F65" w:rsidP="00DE3922" w:rsidRDefault="00EB1F65" w14:paraId="4D4C5061"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03B47614" w14:textId="77777777">
            <w:pPr>
              <w:keepNext/>
              <w:keepLines/>
              <w:tabs>
                <w:tab w:val="center" w:pos="990"/>
              </w:tab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$18.08</w:t>
            </w:r>
          </w:p>
        </w:tc>
        <w:tc>
          <w:tcPr>
            <w:tcW w:w="730" w:type="pct"/>
            <w:shd w:val="clear" w:color="auto" w:fill="auto"/>
            <w:vAlign w:val="center"/>
          </w:tcPr>
          <w:p w:rsidRPr="0057780D" w:rsidR="00EB1F65" w:rsidP="00DE3922" w:rsidRDefault="00EB1F65" w14:paraId="3D2292C4"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$4.81</w:t>
            </w:r>
          </w:p>
        </w:tc>
        <w:tc>
          <w:tcPr>
            <w:tcW w:w="610" w:type="pct"/>
            <w:shd w:val="clear" w:color="auto" w:fill="auto"/>
            <w:vAlign w:val="center"/>
          </w:tcPr>
          <w:p w:rsidRPr="0057780D" w:rsidR="00EB1F65" w:rsidP="00DE3922" w:rsidRDefault="00EB1F65" w14:paraId="72653733"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0.10</w:t>
            </w:r>
          </w:p>
        </w:tc>
        <w:tc>
          <w:tcPr>
            <w:tcW w:w="829" w:type="pct"/>
            <w:shd w:val="clear" w:color="auto" w:fill="auto"/>
            <w:vAlign w:val="center"/>
          </w:tcPr>
          <w:p w:rsidRPr="0057780D" w:rsidR="00EB1F65" w:rsidP="00DE3922" w:rsidRDefault="00EB1F65" w14:paraId="3003A31A"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$2.29</w:t>
            </w:r>
          </w:p>
        </w:tc>
      </w:tr>
      <w:tr w:rsidRPr="0057780D" w:rsidR="00EB1F65" w:rsidTr="00DE3922" w14:paraId="2B103D4D" w14:textId="77777777">
        <w:tc>
          <w:tcPr>
            <w:tcW w:w="1370" w:type="pct"/>
            <w:shd w:val="clear" w:color="auto" w:fill="auto"/>
          </w:tcPr>
          <w:p w:rsidRPr="0057780D" w:rsidR="00EB1F65" w:rsidP="00DE3922" w:rsidRDefault="00EB1F65" w14:paraId="6B7FA2C7" w14:textId="77777777">
            <w:pPr>
              <w:keepNext/>
              <w:keepLines/>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Report Compromised Signature</w:t>
            </w:r>
          </w:p>
        </w:tc>
        <w:tc>
          <w:tcPr>
            <w:tcW w:w="730" w:type="pct"/>
            <w:shd w:val="clear" w:color="auto" w:fill="auto"/>
            <w:vAlign w:val="center"/>
          </w:tcPr>
          <w:p w:rsidRPr="0057780D" w:rsidR="00EB1F65" w:rsidP="00DE3922" w:rsidRDefault="00EB1F65" w14:paraId="1A948B61"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4FB3CF0B"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401ACBC9"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$32.04</w:t>
            </w:r>
          </w:p>
        </w:tc>
        <w:tc>
          <w:tcPr>
            <w:tcW w:w="610" w:type="pct"/>
            <w:shd w:val="clear" w:color="auto" w:fill="auto"/>
            <w:vAlign w:val="center"/>
          </w:tcPr>
          <w:p w:rsidRPr="0057780D" w:rsidR="00EB1F65" w:rsidP="00DE3922" w:rsidRDefault="00EB1F65" w14:paraId="5F08C259"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0.01</w:t>
            </w:r>
          </w:p>
        </w:tc>
        <w:tc>
          <w:tcPr>
            <w:tcW w:w="829" w:type="pct"/>
            <w:shd w:val="clear" w:color="auto" w:fill="auto"/>
            <w:vAlign w:val="center"/>
          </w:tcPr>
          <w:p w:rsidRPr="0057780D" w:rsidR="00EB1F65" w:rsidP="00DE3922" w:rsidRDefault="00EB1F65" w14:paraId="6E14B27C"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$0.32</w:t>
            </w:r>
          </w:p>
        </w:tc>
      </w:tr>
      <w:tr w:rsidRPr="0057780D" w:rsidR="00EB1F65" w:rsidTr="00DE3922" w14:paraId="21474DD0" w14:textId="77777777">
        <w:tc>
          <w:tcPr>
            <w:tcW w:w="1370" w:type="pct"/>
            <w:shd w:val="clear" w:color="auto" w:fill="auto"/>
          </w:tcPr>
          <w:p w:rsidRPr="0057780D" w:rsidR="00EB1F65" w:rsidP="00DE3922" w:rsidRDefault="00EB1F65" w14:paraId="290C8F5C" w14:textId="77777777">
            <w:pPr>
              <w:keepNext/>
              <w:keepLines/>
              <w:rPr>
                <w:rFonts w:ascii="Times New Roman" w:hAnsi="Times New Roman" w:eastAsia="Times New Roman" w:cs="Times New Roman"/>
                <w:bCs/>
                <w:sz w:val="20"/>
                <w:szCs w:val="20"/>
              </w:rPr>
            </w:pPr>
            <w:r w:rsidRPr="0057780D">
              <w:rPr>
                <w:rFonts w:ascii="Times New Roman" w:hAnsi="Times New Roman" w:eastAsia="Times New Roman" w:cs="Times New Roman"/>
                <w:bCs/>
                <w:sz w:val="20"/>
                <w:szCs w:val="20"/>
              </w:rPr>
              <w:t>Problem Resolution</w:t>
            </w:r>
          </w:p>
        </w:tc>
        <w:tc>
          <w:tcPr>
            <w:tcW w:w="730" w:type="pct"/>
            <w:shd w:val="clear" w:color="auto" w:fill="auto"/>
            <w:vAlign w:val="center"/>
          </w:tcPr>
          <w:p w:rsidRPr="0057780D" w:rsidR="00EB1F65" w:rsidP="00DE3922" w:rsidRDefault="00EB1F65" w14:paraId="61E494D6"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730" w:type="pct"/>
            <w:shd w:val="clear" w:color="auto" w:fill="auto"/>
            <w:vAlign w:val="center"/>
          </w:tcPr>
          <w:p w:rsidRPr="0057780D" w:rsidR="00EB1F65" w:rsidP="00DE3922" w:rsidRDefault="00EB1F65" w14:paraId="192EBC79"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$75.32</w:t>
            </w:r>
          </w:p>
        </w:tc>
        <w:tc>
          <w:tcPr>
            <w:tcW w:w="730" w:type="pct"/>
            <w:shd w:val="clear" w:color="auto" w:fill="auto"/>
            <w:vAlign w:val="center"/>
          </w:tcPr>
          <w:p w:rsidRPr="0057780D" w:rsidR="00EB1F65" w:rsidP="00DE3922" w:rsidRDefault="00EB1F65" w14:paraId="3101228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$0.00</w:t>
            </w:r>
          </w:p>
        </w:tc>
        <w:tc>
          <w:tcPr>
            <w:tcW w:w="610" w:type="pct"/>
            <w:shd w:val="clear" w:color="auto" w:fill="auto"/>
            <w:vAlign w:val="center"/>
          </w:tcPr>
          <w:p w:rsidRPr="0057780D" w:rsidR="00EB1F65" w:rsidP="00DE3922" w:rsidRDefault="00EB1F65" w14:paraId="13978F0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0.03</w:t>
            </w:r>
          </w:p>
        </w:tc>
        <w:tc>
          <w:tcPr>
            <w:tcW w:w="829" w:type="pct"/>
            <w:shd w:val="clear" w:color="auto" w:fill="auto"/>
            <w:vAlign w:val="center"/>
          </w:tcPr>
          <w:p w:rsidRPr="0057780D" w:rsidR="00EB1F65" w:rsidP="00DE3922" w:rsidRDefault="00EB1F65" w14:paraId="3857F463"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$2.26</w:t>
            </w:r>
          </w:p>
        </w:tc>
      </w:tr>
      <w:tr w:rsidRPr="0057780D" w:rsidR="00EB1F65" w:rsidTr="00DE3922" w14:paraId="68FBBE66" w14:textId="77777777">
        <w:tc>
          <w:tcPr>
            <w:tcW w:w="4171" w:type="pct"/>
            <w:gridSpan w:val="5"/>
            <w:tcBorders>
              <w:bottom w:val="single" w:color="auto" w:sz="4" w:space="0"/>
            </w:tcBorders>
            <w:shd w:val="clear" w:color="auto" w:fill="auto"/>
          </w:tcPr>
          <w:p w:rsidRPr="0057780D" w:rsidR="00EB1F65" w:rsidP="00DE3922" w:rsidRDefault="00EB1F65" w14:paraId="4780E1DB" w14:textId="77777777">
            <w:pPr>
              <w:keepNext/>
              <w:keepLines/>
              <w:jc w:val="right"/>
              <w:rPr>
                <w:rFonts w:ascii="Times New Roman" w:hAnsi="Times New Roman" w:eastAsia="Times New Roman" w:cs="Times New Roman"/>
                <w:b/>
                <w:sz w:val="20"/>
                <w:szCs w:val="20"/>
              </w:rPr>
            </w:pPr>
            <w:r w:rsidRPr="0057780D">
              <w:rPr>
                <w:rFonts w:ascii="Times New Roman" w:hAnsi="Times New Roman" w:eastAsia="Times New Roman" w:cs="Times New Roman"/>
                <w:b/>
                <w:szCs w:val="20"/>
              </w:rPr>
              <w:t>Total Subsequent Cost per firm</w:t>
            </w:r>
          </w:p>
        </w:tc>
        <w:tc>
          <w:tcPr>
            <w:tcW w:w="829" w:type="pct"/>
            <w:tcBorders>
              <w:bottom w:val="single" w:color="auto" w:sz="4" w:space="0"/>
            </w:tcBorders>
            <w:shd w:val="clear" w:color="auto" w:fill="auto"/>
            <w:vAlign w:val="center"/>
          </w:tcPr>
          <w:p w:rsidRPr="0057780D" w:rsidR="00EB1F65" w:rsidP="00DE3922" w:rsidRDefault="00EB1F65" w14:paraId="3665585D" w14:textId="77777777">
            <w:pPr>
              <w:keepNext/>
              <w:keepLines/>
              <w:jc w:val="center"/>
              <w:rPr>
                <w:rFonts w:ascii="Times New Roman" w:hAnsi="Times New Roman" w:eastAsia="Times New Roman" w:cs="Times New Roman"/>
                <w:b/>
                <w:sz w:val="20"/>
                <w:szCs w:val="20"/>
              </w:rPr>
            </w:pPr>
            <w:r w:rsidRPr="0057780D">
              <w:rPr>
                <w:rFonts w:ascii="Times New Roman" w:hAnsi="Times New Roman" w:eastAsia="Times New Roman" w:cs="Times New Roman"/>
                <w:b/>
                <w:szCs w:val="20"/>
              </w:rPr>
              <w:t>$13.28</w:t>
            </w:r>
          </w:p>
        </w:tc>
      </w:tr>
      <w:tr w:rsidRPr="0057780D" w:rsidR="00EB1F65" w:rsidTr="00DE3922" w14:paraId="31FEEA34" w14:textId="77777777">
        <w:tc>
          <w:tcPr>
            <w:tcW w:w="5000" w:type="pct"/>
            <w:gridSpan w:val="6"/>
            <w:tcBorders>
              <w:left w:val="nil"/>
              <w:bottom w:val="nil"/>
              <w:right w:val="nil"/>
            </w:tcBorders>
            <w:shd w:val="clear" w:color="auto" w:fill="auto"/>
          </w:tcPr>
          <w:p w:rsidRPr="0057780D" w:rsidR="00EB1F65" w:rsidP="00DE3922" w:rsidRDefault="00EB1F65" w14:paraId="1CC44E5C" w14:textId="77777777">
            <w:pPr>
              <w:keepNext/>
              <w:keepLines/>
              <w:rPr>
                <w:rFonts w:ascii="Times New Roman" w:hAnsi="Times New Roman" w:eastAsia="Times New Roman" w:cs="Times New Roman"/>
                <w:sz w:val="20"/>
                <w:szCs w:val="24"/>
              </w:rPr>
            </w:pPr>
            <w:r w:rsidRPr="0057780D">
              <w:rPr>
                <w:rFonts w:ascii="Times New Roman" w:hAnsi="Times New Roman" w:eastAsia="Times New Roman" w:cs="Times New Roman"/>
                <w:sz w:val="18"/>
                <w:szCs w:val="20"/>
              </w:rPr>
              <w:t>Values may not sum due to rounding.</w:t>
            </w:r>
          </w:p>
        </w:tc>
      </w:tr>
    </w:tbl>
    <w:p w:rsidRPr="0057780D" w:rsidR="00EB1F65" w:rsidP="00EB1F65" w:rsidRDefault="00EB1F65" w14:paraId="1B6B8B02" w14:textId="77777777">
      <w:pPr>
        <w:keepNext/>
        <w:rPr>
          <w:rFonts w:ascii="Times New Roman" w:hAnsi="Times New Roman" w:eastAsia="Times New Roman" w:cs="Times New Roman"/>
          <w:b/>
          <w:szCs w:val="24"/>
        </w:rPr>
      </w:pPr>
    </w:p>
    <w:p w:rsidRPr="0057780D" w:rsidR="00EB1F65" w:rsidP="00EB1F65" w:rsidRDefault="00EB1F65" w14:paraId="07C09576" w14:textId="77777777">
      <w:pPr>
        <w:rPr>
          <w:rFonts w:ascii="Times New Roman" w:hAnsi="Times New Roman" w:cs="Times New Roman"/>
        </w:rPr>
      </w:pPr>
      <w:r w:rsidRPr="0057780D">
        <w:rPr>
          <w:rFonts w:ascii="Times New Roman" w:hAnsi="Times New Roman" w:cs="Times New Roman"/>
        </w:rPr>
        <w:t>Given the expectation that the same manufacturers will submit 0.52 reports each year, the annual cost per manufacturer is estimated by:</w:t>
      </w:r>
    </w:p>
    <w:p w:rsidRPr="0057780D" w:rsidR="00EB1F65" w:rsidP="00EB1F65" w:rsidRDefault="00EB1F65" w14:paraId="02327928" w14:textId="77777777">
      <w:pPr>
        <w:pStyle w:val="TableTitle"/>
        <w:keepNext w:val="0"/>
        <w:keepLines w:val="0"/>
        <w:widowControl w:val="0"/>
        <w:spacing w:before="0" w:after="0"/>
        <w:ind w:left="360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Form Completion, CBI Claim</w:t>
      </w:r>
    </w:p>
    <w:p w:rsidRPr="0057780D" w:rsidR="00EB1F65" w:rsidP="00EB1F65" w:rsidRDefault="00EB1F65" w14:paraId="655EAA3A" w14:textId="77777777">
      <w:pPr>
        <w:pStyle w:val="TableTitle"/>
        <w:keepNext w:val="0"/>
        <w:keepLines w:val="0"/>
        <w:widowControl w:val="0"/>
        <w:spacing w:before="0" w:after="0"/>
        <w:ind w:left="2880" w:firstLine="72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Substantiation and Recordkeeping      E-Reporting</w:t>
      </w:r>
    </w:p>
    <w:p w:rsidRPr="0057780D" w:rsidR="00EB1F65" w:rsidP="00EB1F65" w:rsidRDefault="00EB1F65" w14:paraId="7BB563D6" w14:textId="77777777">
      <w:pPr>
        <w:jc w:val="center"/>
        <w:rPr>
          <w:rFonts w:ascii="Times New Roman" w:hAnsi="Times New Roman" w:cs="Times New Roman" w:eastAsiaTheme="minorEastAsia"/>
        </w:rPr>
      </w:pPr>
      <m:oMath>
        <m:r>
          <w:rPr>
            <w:rFonts w:ascii="Cambria Math" w:hAnsi="Cambria Math" w:cs="Times New Roman"/>
          </w:rPr>
          <m:t>Annual Cost per Manufacturer=0.52</m:t>
        </m:r>
        <m:d>
          <m:dPr>
            <m:ctrlPr>
              <w:rPr>
                <w:rFonts w:ascii="Cambria Math" w:hAnsi="Cambria Math" w:cs="Times New Roman"/>
                <w:i/>
              </w:rPr>
            </m:ctrlPr>
          </m:dPr>
          <m:e>
            <m:r>
              <w:rPr>
                <w:rFonts w:ascii="Cambria Math" w:hAnsi="Cambria Math" w:cs="Times New Roman"/>
              </w:rPr>
              <m:t>10,439+148.88+54.91</m:t>
            </m:r>
          </m:e>
        </m:d>
        <m:r>
          <w:rPr>
            <w:rFonts w:ascii="Cambria Math" w:hAnsi="Cambria Math" w:cs="Times New Roman"/>
          </w:rPr>
          <m:t>+13.28=$5,547.53</m:t>
        </m:r>
      </m:oMath>
      <w:r w:rsidRPr="0057780D">
        <w:rPr>
          <w:rFonts w:ascii="Times New Roman" w:hAnsi="Times New Roman" w:cs="Times New Roman" w:eastAsiaTheme="minorEastAsia"/>
        </w:rPr>
        <w:t>.</w:t>
      </w:r>
    </w:p>
    <w:p w:rsidRPr="0057780D" w:rsidR="00EB1F65" w:rsidP="00EB1F65" w:rsidRDefault="00EB1F65" w14:paraId="78C407BE" w14:textId="77777777">
      <w:pPr>
        <w:rPr>
          <w:rFonts w:ascii="Times New Roman" w:hAnsi="Times New Roman" w:cs="Times New Roman" w:eastAsiaTheme="minorEastAsia"/>
        </w:rPr>
      </w:pPr>
      <w:r w:rsidRPr="0057780D">
        <w:rPr>
          <w:rFonts w:ascii="Times New Roman" w:hAnsi="Times New Roman" w:cs="Times New Roman" w:eastAsiaTheme="minorEastAsia"/>
        </w:rPr>
        <w:t>Therefore, the annual cost across all 165 manufacturers is estimated by:</w:t>
      </w:r>
    </w:p>
    <w:p w:rsidRPr="0057780D" w:rsidR="00EB1F65" w:rsidP="00EB1F65" w:rsidRDefault="00EB1F65" w14:paraId="1369FFBC" w14:textId="3A763E15">
      <w:pPr>
        <w:rPr>
          <w:rFonts w:ascii="Times New Roman" w:hAnsi="Times New Roman" w:cs="Times New Roman" w:eastAsiaTheme="minorEastAsia"/>
        </w:rPr>
      </w:pPr>
      <m:oMathPara>
        <m:oMath>
          <m:r>
            <w:rPr>
              <w:rFonts w:ascii="Cambria Math" w:hAnsi="Cambria Math" w:cs="Times New Roman"/>
            </w:rPr>
            <m:t>Annual Cost to Manufacturers=165    x    5,547.53=$915,342.6.</m:t>
          </m:r>
        </m:oMath>
      </m:oMathPara>
    </w:p>
    <w:p w:rsidRPr="0057780D" w:rsidR="00EB1F65" w:rsidP="00EB1F65" w:rsidRDefault="00EB1F65" w14:paraId="66BE3E75" w14:textId="77777777">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Given the expectation that each new processor will submit one report per year, the annual cost per processor is estimated by:</w:t>
      </w:r>
    </w:p>
    <w:p w:rsidRPr="0057780D" w:rsidR="00EB1F65" w:rsidP="00EB1F65" w:rsidRDefault="00EB1F65" w14:paraId="2B6EEE1D" w14:textId="77777777">
      <w:pPr>
        <w:pStyle w:val="TableTitle"/>
        <w:keepNext w:val="0"/>
        <w:keepLines w:val="0"/>
        <w:widowControl w:val="0"/>
        <w:spacing w:before="0" w:after="0"/>
        <w:ind w:left="2160" w:firstLine="720"/>
        <w:outlineLvl w:val="0"/>
        <w:rPr>
          <w:rFonts w:ascii="Times New Roman" w:hAnsi="Times New Roman" w:cs="Times New Roman"/>
          <w:color w:val="auto"/>
          <w:sz w:val="18"/>
        </w:rPr>
      </w:pPr>
      <w:r w:rsidRPr="0057780D">
        <w:rPr>
          <w:rFonts w:ascii="Times New Roman" w:hAnsi="Times New Roman" w:cs="Times New Roman"/>
          <w:color w:val="auto"/>
          <w:sz w:val="18"/>
        </w:rPr>
        <w:t xml:space="preserve">  Rule </w:t>
      </w:r>
      <w:r w:rsidRPr="0057780D">
        <w:rPr>
          <w:rFonts w:ascii="Times New Roman" w:hAnsi="Times New Roman" w:cs="Times New Roman"/>
          <w:color w:val="auto"/>
          <w:sz w:val="18"/>
        </w:rPr>
        <w:tab/>
        <w:t xml:space="preserve">               Form Completion, CBI Claim</w:t>
      </w:r>
    </w:p>
    <w:p w:rsidRPr="0057780D" w:rsidR="00EB1F65" w:rsidP="00EB1F65" w:rsidRDefault="00EB1F65" w14:paraId="59B19FAE" w14:textId="77777777">
      <w:pPr>
        <w:pStyle w:val="TableTitle"/>
        <w:keepNext w:val="0"/>
        <w:keepLines w:val="0"/>
        <w:widowControl w:val="0"/>
        <w:spacing w:before="0" w:after="0"/>
        <w:ind w:left="2160"/>
        <w:outlineLvl w:val="0"/>
        <w:rPr>
          <w:rFonts w:ascii="Times New Roman" w:hAnsi="Times New Roman" w:cs="Times New Roman"/>
          <w:b w:val="0"/>
          <w:color w:val="auto"/>
          <w:sz w:val="22"/>
        </w:rPr>
      </w:pPr>
      <w:r w:rsidRPr="0057780D">
        <w:rPr>
          <w:rFonts w:ascii="Times New Roman" w:hAnsi="Times New Roman" w:cs="Times New Roman"/>
          <w:color w:val="auto"/>
          <w:sz w:val="18"/>
        </w:rPr>
        <w:t xml:space="preserve">         Familiarization        Substantiation and Recordkeeping        E-Reporting</w:t>
      </w:r>
    </w:p>
    <w:p w:rsidRPr="0057780D" w:rsidR="00EB1F65" w:rsidP="00EB1F65" w:rsidRDefault="00EB1F65" w14:paraId="0E47CB8D" w14:textId="77777777">
      <w:pPr>
        <w:rPr>
          <w:rFonts w:ascii="Times New Roman" w:hAnsi="Times New Roman" w:cs="Times New Roman" w:eastAsiaTheme="minorEastAsia"/>
        </w:rPr>
      </w:pPr>
      <m:oMath>
        <m:r>
          <w:rPr>
            <w:rFonts w:ascii="Cambria Math" w:hAnsi="Cambria Math" w:cs="Times New Roman"/>
          </w:rPr>
          <m:t>Annual Cost per Processor=63.05     +      10,439+148.88+54.91    +    109.25=$10,815.09</m:t>
        </m:r>
      </m:oMath>
      <w:r w:rsidRPr="0057780D">
        <w:rPr>
          <w:rFonts w:ascii="Times New Roman" w:hAnsi="Times New Roman" w:cs="Times New Roman" w:eastAsiaTheme="minorEastAsia"/>
        </w:rPr>
        <w:t>.</w:t>
      </w:r>
    </w:p>
    <w:p w:rsidRPr="0057780D" w:rsidR="00EB1F65" w:rsidP="00EB1F65" w:rsidRDefault="00EB1F65" w14:paraId="7358A4EE" w14:textId="77777777">
      <w:pPr>
        <w:rPr>
          <w:rFonts w:ascii="Times New Roman" w:hAnsi="Times New Roman" w:cs="Times New Roman" w:eastAsiaTheme="minorEastAsia"/>
        </w:rPr>
      </w:pPr>
      <w:r w:rsidRPr="0057780D">
        <w:rPr>
          <w:rFonts w:ascii="Times New Roman" w:hAnsi="Times New Roman" w:cs="Times New Roman" w:eastAsiaTheme="minorEastAsia"/>
        </w:rPr>
        <w:t>Therefore, the annual cost across all 199 processors is estimated by:</w:t>
      </w:r>
    </w:p>
    <w:p w:rsidRPr="0057780D" w:rsidR="00EB1F65" w:rsidP="00EB1F65" w:rsidRDefault="00EB1F65" w14:paraId="2ABC2DF5" w14:textId="7BB92B25">
      <w:pPr>
        <w:rPr>
          <w:rFonts w:ascii="Times New Roman" w:hAnsi="Times New Roman" w:cs="Times New Roman" w:eastAsiaTheme="minorEastAsia"/>
        </w:rPr>
      </w:pPr>
      <m:oMathPara>
        <m:oMath>
          <m:r>
            <w:rPr>
              <w:rFonts w:ascii="Cambria Math" w:hAnsi="Cambria Math" w:cs="Times New Roman"/>
            </w:rPr>
            <m:t xml:space="preserve">Annual Cost to Processor=199    x  10,815.09=$2,152,203.   </m:t>
          </m:r>
        </m:oMath>
      </m:oMathPara>
    </w:p>
    <w:p w:rsidRPr="0057780D" w:rsidR="00EB1F65" w:rsidP="003B773C" w:rsidRDefault="00EB1F65" w14:paraId="616504BB" w14:textId="65106D3F">
      <w:pPr>
        <w:rPr>
          <w:rFonts w:ascii="Times New Roman" w:hAnsi="Times New Roman" w:cs="Times New Roman" w:eastAsiaTheme="minorEastAsia"/>
        </w:rPr>
      </w:pPr>
      <w:r w:rsidRPr="0057780D">
        <w:rPr>
          <w:rFonts w:ascii="Times New Roman" w:hAnsi="Times New Roman" w:cs="Times New Roman" w:eastAsiaTheme="minorEastAsia"/>
        </w:rPr>
        <w:t>a</w:t>
      </w:r>
    </w:p>
    <w:p w:rsidRPr="0057780D" w:rsidR="00EB1F65" w:rsidP="00EB1F65" w:rsidRDefault="00EB1F65" w14:paraId="7B7367B3" w14:textId="77777777">
      <w:pPr>
        <w:pStyle w:val="TableTitle"/>
        <w:keepNext w:val="0"/>
        <w:keepLines w:val="0"/>
        <w:widowControl w:val="0"/>
        <w:spacing w:before="0" w:after="0"/>
        <w:outlineLvl w:val="0"/>
        <w:rPr>
          <w:rFonts w:ascii="Times New Roman" w:hAnsi="Times New Roman" w:cs="Times New Roman"/>
          <w:b w:val="0"/>
          <w:color w:val="auto"/>
          <w:sz w:val="24"/>
        </w:rPr>
      </w:pPr>
    </w:p>
    <w:p w:rsidRPr="0057780D" w:rsidR="00EB1F65" w:rsidP="00EB1F65" w:rsidRDefault="00EB1F65" w14:paraId="155E4234" w14:textId="77777777">
      <w:pPr>
        <w:pStyle w:val="TableTitle"/>
        <w:keepNext w:val="0"/>
        <w:keepLines w:val="0"/>
        <w:widowControl w:val="0"/>
        <w:spacing w:before="0" w:after="0"/>
        <w:outlineLvl w:val="0"/>
        <w:rPr>
          <w:rFonts w:ascii="Times New Roman" w:hAnsi="Times New Roman" w:cs="Times New Roman"/>
          <w:b w:val="0"/>
          <w:color w:val="auto"/>
          <w:sz w:val="24"/>
        </w:rPr>
      </w:pPr>
      <w:r w:rsidRPr="0057780D">
        <w:rPr>
          <w:rFonts w:ascii="Times New Roman" w:hAnsi="Times New Roman" w:cs="Times New Roman"/>
          <w:b w:val="0"/>
          <w:color w:val="auto"/>
          <w:sz w:val="24"/>
        </w:rPr>
        <w:t>Table 7 summarizes the annual and total cost over the course of the ICR to manufactures, processors and industry as a whole based on the above estimates.</w:t>
      </w:r>
    </w:p>
    <w:p w:rsidRPr="0057780D" w:rsidR="00EB1F65" w:rsidP="00EB1F65" w:rsidRDefault="00EB1F65" w14:paraId="5C1E8840" w14:textId="77777777">
      <w:pPr>
        <w:pStyle w:val="TableTitle"/>
        <w:keepNext w:val="0"/>
        <w:keepLines w:val="0"/>
        <w:widowControl w:val="0"/>
        <w:spacing w:before="0" w:after="0"/>
        <w:outlineLvl w:val="0"/>
        <w:rPr>
          <w:rFonts w:ascii="Times New Roman" w:hAnsi="Times New Roman" w:cs="Times New Roman"/>
          <w:color w:val="auto"/>
          <w:sz w:val="22"/>
        </w:rPr>
      </w:pPr>
    </w:p>
    <w:p w:rsidRPr="0057780D" w:rsidR="00EB1F65" w:rsidP="00EB1F65" w:rsidRDefault="00EB1F65" w14:paraId="1A5DE468" w14:textId="77777777">
      <w:pPr>
        <w:pStyle w:val="TableTitle"/>
        <w:keepNext w:val="0"/>
        <w:keepLines w:val="0"/>
        <w:widowControl w:val="0"/>
        <w:spacing w:before="0" w:after="0"/>
        <w:outlineLvl w:val="0"/>
        <w:rPr>
          <w:rFonts w:ascii="Times New Roman" w:hAnsi="Times New Roman" w:cs="Times New Roman"/>
          <w:color w:val="auto"/>
          <w:sz w:val="22"/>
        </w:rPr>
      </w:pPr>
      <w:r w:rsidRPr="0057780D">
        <w:rPr>
          <w:rFonts w:ascii="Times New Roman" w:hAnsi="Times New Roman" w:cs="Times New Roman"/>
          <w:color w:val="auto"/>
          <w:sz w:val="22"/>
        </w:rPr>
        <w:t>Table 7: Total Industry Cost (2018$)</w:t>
      </w:r>
    </w:p>
    <w:tbl>
      <w:tblPr>
        <w:tblStyle w:val="TableGrid"/>
        <w:tblW w:w="6432" w:type="dxa"/>
        <w:tblLook w:val="04A0" w:firstRow="1" w:lastRow="0" w:firstColumn="1" w:lastColumn="0" w:noHBand="0" w:noVBand="1"/>
      </w:tblPr>
      <w:tblGrid>
        <w:gridCol w:w="3216"/>
        <w:gridCol w:w="3216"/>
      </w:tblGrid>
      <w:tr w:rsidRPr="0057780D" w:rsidR="00E60DA6" w:rsidTr="0057780D" w14:paraId="2889D432" w14:textId="77777777">
        <w:trPr>
          <w:trHeight w:val="356"/>
        </w:trPr>
        <w:tc>
          <w:tcPr>
            <w:tcW w:w="3216" w:type="dxa"/>
            <w:shd w:val="clear" w:color="auto" w:fill="BFBFBF" w:themeFill="background1" w:themeFillShade="BF"/>
            <w:vAlign w:val="center"/>
          </w:tcPr>
          <w:p w:rsidRPr="0057780D" w:rsidR="00E60DA6" w:rsidP="00DE3922" w:rsidRDefault="00E60DA6" w14:paraId="1F102580"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IC Category</w:t>
            </w:r>
          </w:p>
        </w:tc>
        <w:tc>
          <w:tcPr>
            <w:tcW w:w="3216" w:type="dxa"/>
            <w:shd w:val="clear" w:color="auto" w:fill="BFBFBF" w:themeFill="background1" w:themeFillShade="BF"/>
            <w:vAlign w:val="center"/>
          </w:tcPr>
          <w:p w:rsidRPr="0057780D" w:rsidR="00E60DA6" w:rsidP="00DE3922" w:rsidRDefault="00E60DA6" w14:paraId="497B706C" w14:textId="77777777">
            <w:pPr>
              <w:pStyle w:val="TableTitle"/>
              <w:keepNext w:val="0"/>
              <w:keepLines w:val="0"/>
              <w:spacing w:before="0" w:after="0"/>
              <w:jc w:val="center"/>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Annual Cost</w:t>
            </w:r>
          </w:p>
        </w:tc>
      </w:tr>
      <w:tr w:rsidRPr="0057780D" w:rsidR="00E60DA6" w:rsidTr="0057780D" w14:paraId="53063F5C" w14:textId="77777777">
        <w:trPr>
          <w:trHeight w:val="381"/>
        </w:trPr>
        <w:tc>
          <w:tcPr>
            <w:tcW w:w="3216" w:type="dxa"/>
            <w:vAlign w:val="center"/>
          </w:tcPr>
          <w:p w:rsidRPr="0057780D" w:rsidR="00E60DA6" w:rsidP="00DE3922" w:rsidRDefault="00E60DA6" w14:paraId="4A9E4A2B"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t>IC 1: Manufacturers</w:t>
            </w:r>
          </w:p>
        </w:tc>
        <w:tc>
          <w:tcPr>
            <w:tcW w:w="3216" w:type="dxa"/>
            <w:vAlign w:val="center"/>
          </w:tcPr>
          <w:p w:rsidRPr="0057780D" w:rsidR="00E60DA6" w:rsidP="00DE3922" w:rsidRDefault="00E60DA6" w14:paraId="359042D1" w14:textId="77777777">
            <w:pPr>
              <w:pStyle w:val="TableTitle"/>
              <w:keepNext w:val="0"/>
              <w:keepLines w:val="0"/>
              <w:spacing w:before="0" w:after="0"/>
              <w:jc w:val="center"/>
              <w:outlineLvl w:val="0"/>
              <w:rPr>
                <w:rFonts w:ascii="Times New Roman" w:hAnsi="Times New Roman" w:cs="Times New Roman"/>
                <w:b w:val="0"/>
                <w:color w:val="auto"/>
                <w:szCs w:val="20"/>
              </w:rPr>
            </w:pPr>
            <w:r w:rsidRPr="0057780D">
              <w:rPr>
                <w:rFonts w:ascii="Times New Roman" w:hAnsi="Times New Roman" w:cs="Times New Roman"/>
                <w:b w:val="0"/>
                <w:color w:val="auto"/>
                <w:szCs w:val="20"/>
              </w:rPr>
              <w:t>$915,343</w:t>
            </w:r>
          </w:p>
        </w:tc>
      </w:tr>
      <w:tr w:rsidRPr="0057780D" w:rsidR="00E60DA6" w:rsidTr="0057780D" w14:paraId="3ED7E532" w14:textId="77777777">
        <w:trPr>
          <w:trHeight w:val="356"/>
        </w:trPr>
        <w:tc>
          <w:tcPr>
            <w:tcW w:w="3216" w:type="dxa"/>
            <w:vAlign w:val="center"/>
          </w:tcPr>
          <w:p w:rsidRPr="0057780D" w:rsidR="00E60DA6" w:rsidP="00DE3922" w:rsidRDefault="00E60DA6" w14:paraId="31B998D8" w14:textId="77777777">
            <w:pPr>
              <w:pStyle w:val="TableTitle"/>
              <w:keepNext w:val="0"/>
              <w:keepLines w:val="0"/>
              <w:spacing w:before="0" w:after="0"/>
              <w:outlineLvl w:val="0"/>
              <w:rPr>
                <w:rFonts w:ascii="Times New Roman" w:hAnsi="Times New Roman" w:cs="Times New Roman"/>
                <w:b w:val="0"/>
                <w:color w:val="auto"/>
                <w:sz w:val="22"/>
              </w:rPr>
            </w:pPr>
            <w:r w:rsidRPr="0057780D">
              <w:rPr>
                <w:rFonts w:ascii="Times New Roman" w:hAnsi="Times New Roman" w:cs="Times New Roman"/>
                <w:b w:val="0"/>
                <w:color w:val="auto"/>
                <w:sz w:val="22"/>
              </w:rPr>
              <w:lastRenderedPageBreak/>
              <w:t>IC 2: Processors</w:t>
            </w:r>
          </w:p>
        </w:tc>
        <w:tc>
          <w:tcPr>
            <w:tcW w:w="3216" w:type="dxa"/>
            <w:vAlign w:val="center"/>
          </w:tcPr>
          <w:p w:rsidRPr="0057780D" w:rsidR="00E60DA6" w:rsidP="00DE3922" w:rsidRDefault="00E60DA6" w14:paraId="382969F1" w14:textId="77777777">
            <w:pPr>
              <w:pStyle w:val="TableTitle"/>
              <w:keepNext w:val="0"/>
              <w:keepLines w:val="0"/>
              <w:spacing w:before="0" w:after="0"/>
              <w:jc w:val="center"/>
              <w:outlineLvl w:val="0"/>
              <w:rPr>
                <w:rFonts w:ascii="Times New Roman" w:hAnsi="Times New Roman" w:cs="Times New Roman"/>
                <w:b w:val="0"/>
                <w:color w:val="auto"/>
                <w:szCs w:val="20"/>
              </w:rPr>
            </w:pPr>
            <w:r w:rsidRPr="0057780D">
              <w:rPr>
                <w:rFonts w:ascii="Times New Roman" w:hAnsi="Times New Roman" w:cs="Times New Roman"/>
                <w:b w:val="0"/>
                <w:color w:val="auto"/>
                <w:szCs w:val="20"/>
              </w:rPr>
              <w:t>$2,152,203</w:t>
            </w:r>
          </w:p>
        </w:tc>
      </w:tr>
      <w:tr w:rsidRPr="0057780D" w:rsidR="00E60DA6" w:rsidTr="0057780D" w14:paraId="424C2293" w14:textId="77777777">
        <w:trPr>
          <w:trHeight w:val="356"/>
        </w:trPr>
        <w:tc>
          <w:tcPr>
            <w:tcW w:w="3216" w:type="dxa"/>
            <w:vAlign w:val="center"/>
          </w:tcPr>
          <w:p w:rsidRPr="0057780D" w:rsidR="00E60DA6" w:rsidP="00DE3922" w:rsidRDefault="00E60DA6" w14:paraId="7B8083E8" w14:textId="77777777">
            <w:pPr>
              <w:pStyle w:val="TableTitle"/>
              <w:keepNext w:val="0"/>
              <w:keepLines w:val="0"/>
              <w:spacing w:before="0" w:after="0"/>
              <w:outlineLvl w:val="0"/>
              <w:rPr>
                <w:rFonts w:ascii="Times New Roman" w:hAnsi="Times New Roman" w:cs="Times New Roman"/>
                <w:color w:val="auto"/>
                <w:sz w:val="22"/>
                <w:szCs w:val="20"/>
              </w:rPr>
            </w:pPr>
            <w:r w:rsidRPr="0057780D">
              <w:rPr>
                <w:rFonts w:ascii="Times New Roman" w:hAnsi="Times New Roman" w:cs="Times New Roman"/>
                <w:color w:val="auto"/>
                <w:sz w:val="22"/>
                <w:szCs w:val="20"/>
              </w:rPr>
              <w:t>Total Industry Burden</w:t>
            </w:r>
          </w:p>
        </w:tc>
        <w:tc>
          <w:tcPr>
            <w:tcW w:w="3216" w:type="dxa"/>
            <w:vAlign w:val="center"/>
          </w:tcPr>
          <w:p w:rsidRPr="0057780D" w:rsidR="00E60DA6" w:rsidP="00DE3922" w:rsidRDefault="00E60DA6" w14:paraId="0C5145D5" w14:textId="77777777">
            <w:pPr>
              <w:pStyle w:val="TableTitle"/>
              <w:keepNext w:val="0"/>
              <w:keepLines w:val="0"/>
              <w:spacing w:before="0" w:after="0"/>
              <w:jc w:val="center"/>
              <w:outlineLvl w:val="0"/>
              <w:rPr>
                <w:rFonts w:ascii="Times New Roman" w:hAnsi="Times New Roman" w:cs="Times New Roman"/>
                <w:color w:val="auto"/>
                <w:sz w:val="22"/>
                <w:szCs w:val="20"/>
              </w:rPr>
            </w:pPr>
            <w:r w:rsidRPr="0057780D">
              <w:rPr>
                <w:rFonts w:ascii="Times New Roman" w:hAnsi="Times New Roman" w:cs="Times New Roman"/>
                <w:color w:val="auto"/>
                <w:sz w:val="22"/>
                <w:szCs w:val="20"/>
              </w:rPr>
              <w:t>$3,067,546</w:t>
            </w:r>
          </w:p>
        </w:tc>
      </w:tr>
    </w:tbl>
    <w:p w:rsidRPr="0057780D" w:rsidR="00EB1F65" w:rsidP="00EB1F65" w:rsidRDefault="00EB1F65" w14:paraId="7FF4DD93" w14:textId="77777777">
      <w:pPr>
        <w:pStyle w:val="TableTitle"/>
        <w:keepNext w:val="0"/>
        <w:keepLines w:val="0"/>
        <w:widowControl w:val="0"/>
        <w:spacing w:before="0" w:after="0"/>
        <w:outlineLvl w:val="0"/>
        <w:rPr>
          <w:rFonts w:ascii="Times New Roman" w:hAnsi="Times New Roman" w:cs="Times New Roman"/>
          <w:b w:val="0"/>
          <w:color w:val="auto"/>
          <w:sz w:val="22"/>
        </w:rPr>
      </w:pPr>
    </w:p>
    <w:p w:rsidRPr="0057780D" w:rsidR="00EB1F65" w:rsidP="00EB1F65" w:rsidRDefault="00EB1F65" w14:paraId="6FE55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eastAsia="Times New Roman" w:cs="Times New Roman"/>
          <w:b/>
          <w:szCs w:val="24"/>
        </w:rPr>
      </w:pPr>
      <w:bookmarkStart w:name="_Ref333500705" w:id="30"/>
      <w:r w:rsidRPr="0057780D">
        <w:rPr>
          <w:rFonts w:ascii="Times New Roman" w:hAnsi="Times New Roman" w:eastAsia="Times New Roman" w:cs="Times New Roman"/>
          <w:b/>
          <w:szCs w:val="24"/>
        </w:rPr>
        <w:t>Estimating Agency Burden and Cost</w:t>
      </w:r>
    </w:p>
    <w:p w:rsidRPr="0057780D" w:rsidR="00EB1F65" w:rsidP="00EB1F65" w:rsidRDefault="00EB1F65" w14:paraId="4B4F3C42" w14:textId="77777777">
      <w:pPr>
        <w:ind w:firstLine="72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2018 (OPM, 2018). Wages are presented in terms of GS-level and step. A federal GS-13, Step 5 employee will conduct the collection and administrative activities under the rule. A federal GS-14, Step 5 will assist with the review of the CBI claim substantiations. Unloaded wage rates for 2018 for both of these employees are presented in Table 8. Following the methodology outlined in </w:t>
      </w:r>
      <w:r w:rsidRPr="0057780D">
        <w:rPr>
          <w:rFonts w:ascii="Times New Roman" w:hAnsi="Times New Roman" w:eastAsia="Times New Roman" w:cs="Times New Roman"/>
          <w:i/>
          <w:iCs/>
          <w:szCs w:val="24"/>
        </w:rPr>
        <w:t>Instructions for Preparing Information Collection Requests (ICRs)</w:t>
      </w:r>
      <w:r w:rsidRPr="0057780D">
        <w:rPr>
          <w:rFonts w:ascii="Times New Roman" w:hAnsi="Times New Roman" w:eastAsia="Times New Roman" w:cs="Times New Roman"/>
          <w:szCs w:val="24"/>
        </w:rPr>
        <w:t xml:space="preserve"> (EPA, 1992), EPA added 60 percent to the wage rate to account for fringe benefits and overhead costs. Table 8 derives the loaded wage rates for Agency staff at the GS-13 Step 5 and GS-14 Step 4 levels.</w:t>
      </w:r>
    </w:p>
    <w:p w:rsidRPr="0057780D" w:rsidR="00EB1F65" w:rsidP="00EB1F65" w:rsidRDefault="00EB1F65" w14:paraId="39C79B80" w14:textId="77777777">
      <w:pPr>
        <w:rPr>
          <w:rFonts w:ascii="Times New Roman" w:hAnsi="Times New Roman" w:eastAsia="Times New Roman" w:cs="Times New Roman"/>
          <w:szCs w:val="24"/>
        </w:rPr>
      </w:pPr>
    </w:p>
    <w:p w:rsidRPr="0057780D" w:rsidR="00EB1F65" w:rsidP="00EB1F65" w:rsidRDefault="00EB1F65" w14:paraId="39A54A14" w14:textId="77777777">
      <w:pPr>
        <w:keepNext/>
        <w:keepLines/>
        <w:outlineLvl w:val="0"/>
        <w:rPr>
          <w:rFonts w:ascii="Times New Roman" w:hAnsi="Times New Roman" w:eastAsia="Times New Roman" w:cs="Times New Roman"/>
          <w:b/>
        </w:rPr>
      </w:pPr>
      <w:r w:rsidRPr="0057780D">
        <w:rPr>
          <w:rFonts w:ascii="Times New Roman" w:hAnsi="Times New Roman" w:eastAsia="Times New Roman" w:cs="Times New Roman"/>
          <w:b/>
        </w:rPr>
        <w:t>Table 8: Derivation of Loaded Agency Wage Rates (2018$)</w:t>
      </w:r>
    </w:p>
    <w:tbl>
      <w:tblPr>
        <w:tblW w:w="5074" w:type="pct"/>
        <w:tblLook w:val="04A0" w:firstRow="1" w:lastRow="0" w:firstColumn="1" w:lastColumn="0" w:noHBand="0" w:noVBand="1"/>
      </w:tblPr>
      <w:tblGrid>
        <w:gridCol w:w="1624"/>
        <w:gridCol w:w="1223"/>
        <w:gridCol w:w="1213"/>
        <w:gridCol w:w="1353"/>
        <w:gridCol w:w="1353"/>
        <w:gridCol w:w="1355"/>
        <w:gridCol w:w="1357"/>
      </w:tblGrid>
      <w:tr w:rsidRPr="0057780D" w:rsidR="00EB1F65" w:rsidTr="00F062F1" w14:paraId="62FBF0BF" w14:textId="77777777">
        <w:trPr>
          <w:trHeight w:val="570"/>
        </w:trPr>
        <w:tc>
          <w:tcPr>
            <w:tcW w:w="856" w:type="pct"/>
            <w:tcBorders>
              <w:top w:val="single" w:color="auto" w:sz="8" w:space="0"/>
              <w:left w:val="single" w:color="auto" w:sz="8" w:space="0"/>
              <w:bottom w:val="single" w:color="auto" w:sz="8" w:space="0"/>
              <w:right w:val="single" w:color="auto" w:sz="8" w:space="0"/>
            </w:tcBorders>
            <w:shd w:val="clear" w:color="auto" w:fill="F2F2F2"/>
            <w:vAlign w:val="center"/>
            <w:hideMark/>
          </w:tcPr>
          <w:p w:rsidRPr="0057780D" w:rsidR="00EB1F65" w:rsidP="00DE3922" w:rsidRDefault="00EB1F65" w14:paraId="1517AD2C"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Labor Category</w:t>
            </w:r>
          </w:p>
        </w:tc>
        <w:tc>
          <w:tcPr>
            <w:tcW w:w="645"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57780D" w:rsidR="00EB1F65" w:rsidP="00DE3922" w:rsidRDefault="00EB1F65" w14:paraId="485B2489"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Pay Grade</w:t>
            </w:r>
          </w:p>
        </w:tc>
        <w:tc>
          <w:tcPr>
            <w:tcW w:w="640"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57780D" w:rsidR="00EB1F65" w:rsidP="00DE3922" w:rsidRDefault="00EB1F65" w14:paraId="6B957468"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Annual Salary</w:t>
            </w:r>
          </w:p>
        </w:tc>
        <w:tc>
          <w:tcPr>
            <w:tcW w:w="714" w:type="pct"/>
            <w:tcBorders>
              <w:top w:val="single" w:color="auto" w:sz="8" w:space="0"/>
              <w:left w:val="nil"/>
              <w:bottom w:val="single" w:color="auto" w:sz="4" w:space="0"/>
              <w:right w:val="single" w:color="auto" w:sz="8" w:space="0"/>
            </w:tcBorders>
            <w:shd w:val="clear" w:color="auto" w:fill="F2F2F2"/>
            <w:vAlign w:val="center"/>
            <w:hideMark/>
          </w:tcPr>
          <w:p w:rsidRPr="0057780D" w:rsidR="00EB1F65" w:rsidP="00DE3922" w:rsidRDefault="00EB1F65" w14:paraId="5F9FB569"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Overhead and Fringe Benefits</w:t>
            </w:r>
          </w:p>
          <w:p w:rsidRPr="0057780D" w:rsidR="00EB1F65" w:rsidP="00DE3922" w:rsidRDefault="00EB1F65" w14:paraId="0CFF7243"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bCs/>
                <w:sz w:val="20"/>
                <w:szCs w:val="20"/>
              </w:rPr>
              <w:t>(% of wages</w:t>
            </w:r>
            <w:r w:rsidRPr="0057780D">
              <w:rPr>
                <w:rFonts w:ascii="Times New Roman" w:hAnsi="Times New Roman" w:eastAsia="Times New Roman" w:cs="Times New Roman"/>
                <w:b/>
                <w:sz w:val="20"/>
                <w:szCs w:val="24"/>
              </w:rPr>
              <w:t xml:space="preserve"> </w:t>
            </w:r>
          </w:p>
        </w:tc>
        <w:tc>
          <w:tcPr>
            <w:tcW w:w="714" w:type="pct"/>
            <w:tcBorders>
              <w:top w:val="single" w:color="auto" w:sz="8" w:space="0"/>
              <w:left w:val="single" w:color="auto" w:sz="8" w:space="0"/>
              <w:bottom w:val="single" w:color="auto" w:sz="4" w:space="0"/>
              <w:right w:val="single" w:color="auto" w:sz="8" w:space="0"/>
            </w:tcBorders>
            <w:shd w:val="clear" w:color="auto" w:fill="F2F2F2"/>
            <w:vAlign w:val="center"/>
            <w:hideMark/>
          </w:tcPr>
          <w:p w:rsidRPr="0057780D" w:rsidR="00EB1F65" w:rsidP="00DE3922" w:rsidRDefault="00EB1F65" w14:paraId="3ECF2425"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 xml:space="preserve">Overhead and Fringe Benefit Cost </w:t>
            </w:r>
          </w:p>
        </w:tc>
        <w:tc>
          <w:tcPr>
            <w:tcW w:w="715" w:type="pct"/>
            <w:tcBorders>
              <w:top w:val="single" w:color="auto" w:sz="8" w:space="0"/>
              <w:left w:val="single" w:color="auto" w:sz="8" w:space="0"/>
              <w:bottom w:val="single" w:color="000000" w:sz="8" w:space="0"/>
              <w:right w:val="single" w:color="auto" w:sz="8" w:space="0"/>
            </w:tcBorders>
            <w:shd w:val="clear" w:color="auto" w:fill="F2F2F2"/>
            <w:vAlign w:val="center"/>
            <w:hideMark/>
          </w:tcPr>
          <w:p w:rsidRPr="0057780D" w:rsidR="00EB1F65" w:rsidP="00DE3922" w:rsidRDefault="00EB1F65" w14:paraId="2BAA74F0"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 xml:space="preserve">Total </w:t>
            </w:r>
          </w:p>
        </w:tc>
        <w:tc>
          <w:tcPr>
            <w:tcW w:w="717" w:type="pct"/>
            <w:tcBorders>
              <w:top w:val="single" w:color="auto" w:sz="8" w:space="0"/>
              <w:left w:val="single" w:color="auto" w:sz="8" w:space="0"/>
              <w:bottom w:val="single" w:color="auto" w:sz="4" w:space="0"/>
              <w:right w:val="single" w:color="auto" w:sz="8" w:space="0"/>
            </w:tcBorders>
            <w:shd w:val="clear" w:color="auto" w:fill="F2F2F2"/>
            <w:vAlign w:val="center"/>
          </w:tcPr>
          <w:p w:rsidRPr="0057780D" w:rsidR="00EB1F65" w:rsidP="00DE3922" w:rsidRDefault="00EB1F65" w14:paraId="4554D854"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Hourly Rate</w:t>
            </w:r>
          </w:p>
        </w:tc>
      </w:tr>
      <w:tr w:rsidRPr="0057780D" w:rsidR="00EB1F65" w:rsidTr="00F062F1" w14:paraId="6678E3CF" w14:textId="77777777">
        <w:trPr>
          <w:trHeight w:val="774"/>
        </w:trPr>
        <w:tc>
          <w:tcPr>
            <w:tcW w:w="856"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764FAE3E"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Technical Labor</w:t>
            </w:r>
          </w:p>
        </w:tc>
        <w:tc>
          <w:tcPr>
            <w:tcW w:w="64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69DC7F13"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GS 13 Step 5</w:t>
            </w:r>
          </w:p>
        </w:tc>
        <w:tc>
          <w:tcPr>
            <w:tcW w:w="640"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4B03F429"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$109,900</w:t>
            </w:r>
          </w:p>
        </w:tc>
        <w:tc>
          <w:tcPr>
            <w:tcW w:w="714" w:type="pct"/>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71BAB730"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60%</w:t>
            </w:r>
          </w:p>
        </w:tc>
        <w:tc>
          <w:tcPr>
            <w:tcW w:w="714" w:type="pct"/>
            <w:tcBorders>
              <w:top w:val="single" w:color="auto" w:sz="4" w:space="0"/>
              <w:left w:val="nil"/>
              <w:bottom w:val="single" w:color="auto" w:sz="8" w:space="0"/>
              <w:right w:val="single" w:color="auto" w:sz="8" w:space="0"/>
            </w:tcBorders>
            <w:shd w:val="clear" w:color="auto" w:fill="auto"/>
            <w:vAlign w:val="center"/>
          </w:tcPr>
          <w:p w:rsidRPr="0057780D" w:rsidR="00EB1F65" w:rsidP="00DE3922" w:rsidRDefault="00EB1F65" w14:paraId="231294AA" w14:textId="77777777">
            <w:pPr>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$65,940</w:t>
            </w:r>
          </w:p>
        </w:tc>
        <w:tc>
          <w:tcPr>
            <w:tcW w:w="715" w:type="pct"/>
            <w:tcBorders>
              <w:top w:val="nil"/>
              <w:left w:val="nil"/>
              <w:bottom w:val="single" w:color="auto" w:sz="8" w:space="0"/>
              <w:right w:val="single" w:color="auto" w:sz="8" w:space="0"/>
            </w:tcBorders>
            <w:shd w:val="clear" w:color="auto" w:fill="auto"/>
            <w:vAlign w:val="center"/>
          </w:tcPr>
          <w:p w:rsidRPr="0057780D" w:rsidR="00EB1F65" w:rsidP="00DE3922" w:rsidRDefault="00EB1F65" w14:paraId="1ADE0AB6"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$175,840</w:t>
            </w:r>
          </w:p>
        </w:tc>
        <w:tc>
          <w:tcPr>
            <w:tcW w:w="717" w:type="pct"/>
            <w:tcBorders>
              <w:top w:val="single" w:color="auto" w:sz="4" w:space="0"/>
              <w:left w:val="nil"/>
              <w:bottom w:val="single" w:color="auto" w:sz="8" w:space="0"/>
              <w:right w:val="single" w:color="auto" w:sz="8" w:space="0"/>
            </w:tcBorders>
            <w:vAlign w:val="center"/>
          </w:tcPr>
          <w:p w:rsidRPr="0057780D" w:rsidR="00EB1F65" w:rsidP="00DE3922" w:rsidRDefault="00EB1F65" w14:paraId="534DB07F" w14:textId="77777777">
            <w:pPr>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$84.54</w:t>
            </w:r>
          </w:p>
        </w:tc>
      </w:tr>
      <w:tr w:rsidRPr="0057780D" w:rsidR="00EB1F65" w:rsidTr="00DE3922" w14:paraId="3D7C4668" w14:textId="77777777">
        <w:trPr>
          <w:trHeight w:val="774"/>
        </w:trPr>
        <w:tc>
          <w:tcPr>
            <w:tcW w:w="856" w:type="pct"/>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46C856B6"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Attorney Labor</w:t>
            </w:r>
          </w:p>
        </w:tc>
        <w:tc>
          <w:tcPr>
            <w:tcW w:w="645" w:type="pct"/>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EB36E25"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GS 14 Step 5</w:t>
            </w:r>
          </w:p>
        </w:tc>
        <w:tc>
          <w:tcPr>
            <w:tcW w:w="640"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149535BF"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$129,869</w:t>
            </w:r>
          </w:p>
        </w:tc>
        <w:tc>
          <w:tcPr>
            <w:tcW w:w="714" w:type="pct"/>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3B3B8B9F"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60%</w:t>
            </w:r>
          </w:p>
        </w:tc>
        <w:tc>
          <w:tcPr>
            <w:tcW w:w="714"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7668252E" w14:textId="77777777">
            <w:pPr>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$77,181</w:t>
            </w:r>
          </w:p>
        </w:tc>
        <w:tc>
          <w:tcPr>
            <w:tcW w:w="715" w:type="pct"/>
            <w:tcBorders>
              <w:top w:val="nil"/>
              <w:left w:val="nil"/>
              <w:bottom w:val="single" w:color="auto" w:sz="8" w:space="0"/>
              <w:right w:val="single" w:color="auto" w:sz="8" w:space="0"/>
            </w:tcBorders>
            <w:shd w:val="clear" w:color="auto" w:fill="auto"/>
            <w:noWrap/>
            <w:vAlign w:val="center"/>
          </w:tcPr>
          <w:p w:rsidRPr="0057780D" w:rsidR="00EB1F65" w:rsidP="00DE3922" w:rsidRDefault="00EB1F65" w14:paraId="14674E6C"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$207,050</w:t>
            </w:r>
          </w:p>
        </w:tc>
        <w:tc>
          <w:tcPr>
            <w:tcW w:w="717" w:type="pct"/>
            <w:tcBorders>
              <w:top w:val="nil"/>
              <w:left w:val="nil"/>
              <w:bottom w:val="single" w:color="auto" w:sz="8" w:space="0"/>
              <w:right w:val="single" w:color="auto" w:sz="8" w:space="0"/>
            </w:tcBorders>
            <w:vAlign w:val="center"/>
          </w:tcPr>
          <w:p w:rsidRPr="0057780D" w:rsidR="00EB1F65" w:rsidP="00DE3922" w:rsidRDefault="00EB1F65" w14:paraId="5A3850B0" w14:textId="77777777">
            <w:pPr>
              <w:jc w:val="center"/>
              <w:rPr>
                <w:rFonts w:ascii="Times New Roman" w:hAnsi="Times New Roman" w:eastAsia="Times New Roman" w:cs="Times New Roman"/>
                <w:b/>
                <w:bCs/>
                <w:sz w:val="20"/>
                <w:szCs w:val="20"/>
              </w:rPr>
            </w:pPr>
            <w:r w:rsidRPr="0057780D">
              <w:rPr>
                <w:rFonts w:ascii="Times New Roman" w:hAnsi="Times New Roman" w:eastAsia="Times New Roman" w:cs="Times New Roman"/>
                <w:b/>
                <w:bCs/>
                <w:sz w:val="20"/>
                <w:szCs w:val="20"/>
              </w:rPr>
              <w:t>$99.54</w:t>
            </w:r>
          </w:p>
        </w:tc>
      </w:tr>
      <w:tr w:rsidRPr="0057780D" w:rsidR="00EB1F65" w:rsidTr="00DE3922" w14:paraId="6AFAC80A" w14:textId="77777777">
        <w:trPr>
          <w:trHeight w:val="394"/>
        </w:trPr>
        <w:tc>
          <w:tcPr>
            <w:tcW w:w="5000" w:type="pct"/>
            <w:gridSpan w:val="7"/>
            <w:tcBorders>
              <w:top w:val="single" w:color="auto" w:sz="8" w:space="0"/>
              <w:left w:val="nil"/>
              <w:bottom w:val="nil"/>
              <w:right w:val="nil"/>
            </w:tcBorders>
            <w:shd w:val="clear" w:color="auto" w:fill="auto"/>
            <w:vAlign w:val="bottom"/>
            <w:hideMark/>
          </w:tcPr>
          <w:p w:rsidRPr="0057780D" w:rsidR="00EB1F65" w:rsidP="00DE3922" w:rsidRDefault="00EB1F65" w14:paraId="63A5CEC8" w14:textId="77777777">
            <w:pP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 xml:space="preserve">Source: </w:t>
            </w:r>
            <w:r w:rsidRPr="0057780D">
              <w:rPr>
                <w:rFonts w:ascii="Times New Roman" w:hAnsi="Times New Roman" w:eastAsia="Times New Roman" w:cs="Times New Roman"/>
                <w:sz w:val="20"/>
                <w:szCs w:val="24"/>
              </w:rPr>
              <w:t xml:space="preserve">The unloaded Federal salary for 2018 is from the Office of Personnel Management salary table for Washington-Baltimore-Northern Virginia (OPM, 2018). </w:t>
            </w:r>
          </w:p>
        </w:tc>
      </w:tr>
    </w:tbl>
    <w:p w:rsidRPr="0057780D" w:rsidR="00EB1F65" w:rsidP="00EB1F65" w:rsidRDefault="00EB1F65" w14:paraId="6E95BF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imes New Roman" w:hAnsi="Times New Roman" w:eastAsia="Times New Roman" w:cs="Times New Roman"/>
          <w:szCs w:val="24"/>
        </w:rPr>
      </w:pPr>
      <w:r w:rsidRPr="0057780D">
        <w:rPr>
          <w:rFonts w:ascii="Times New Roman" w:hAnsi="Times New Roman" w:eastAsia="Times New Roman" w:cs="Times New Roman"/>
          <w:szCs w:val="24"/>
        </w:rPr>
        <w:lastRenderedPageBreak/>
        <w:t>Table 9 provides the total annual cost and burden of Agency activities based on the loaded wages derived in Table 8. The annual burden to the Agency is estimated to be 1,818 hours and the total burden to the Agency over the three-year period of the ICR is estimated to be 5,454 hours. The annual cost ot the Agency is estimated to be $160,200 and the total cost to the Agency over the three-year period is estimated to be $480,600.</w:t>
      </w:r>
    </w:p>
    <w:p w:rsidRPr="0057780D" w:rsidR="00EB1F65" w:rsidP="00EB1F65" w:rsidRDefault="00EB1F65" w14:paraId="01E5835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 </w:t>
      </w:r>
    </w:p>
    <w:p w:rsidRPr="0057780D" w:rsidR="00EB1F65" w:rsidP="00EB1F65" w:rsidRDefault="00EB1F65" w14:paraId="5CEB8FC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imes New Roman" w:hAnsi="Times New Roman" w:eastAsia="Times New Roman" w:cs="Times New Roman"/>
          <w:b/>
          <w:szCs w:val="24"/>
        </w:rPr>
      </w:pPr>
      <w:r w:rsidRPr="0057780D">
        <w:rPr>
          <w:rFonts w:ascii="Times New Roman" w:hAnsi="Times New Roman" w:eastAsia="Times New Roman" w:cs="Times New Roman"/>
          <w:b/>
          <w:szCs w:val="24"/>
        </w:rPr>
        <w:t xml:space="preserve">Table </w:t>
      </w:r>
      <w:r w:rsidRPr="0057780D">
        <w:rPr>
          <w:rFonts w:ascii="Times New Roman" w:hAnsi="Times New Roman" w:eastAsia="Times New Roman" w:cs="Times New Roman"/>
          <w:b/>
        </w:rPr>
        <w:t>9</w:t>
      </w:r>
      <w:r w:rsidRPr="0057780D">
        <w:rPr>
          <w:rFonts w:ascii="Times New Roman" w:hAnsi="Times New Roman" w:eastAsia="Times New Roman" w:cs="Times New Roman"/>
          <w:b/>
          <w:szCs w:val="24"/>
        </w:rPr>
        <w:t>: Total Annual Cost and Burden</w:t>
      </w:r>
      <w:bookmarkEnd w:id="30"/>
      <w:r w:rsidRPr="0057780D">
        <w:rPr>
          <w:rFonts w:ascii="Times New Roman" w:hAnsi="Times New Roman" w:eastAsia="Times New Roman" w:cs="Times New Roman"/>
          <w:b/>
          <w:szCs w:val="24"/>
        </w:rPr>
        <w:t xml:space="preserve"> of Agency Activities (2018$)</w:t>
      </w:r>
    </w:p>
    <w:tbl>
      <w:tblPr>
        <w:tblW w:w="9337" w:type="dxa"/>
        <w:tblInd w:w="93" w:type="dxa"/>
        <w:tblLook w:val="04A0" w:firstRow="1" w:lastRow="0" w:firstColumn="1" w:lastColumn="0" w:noHBand="0" w:noVBand="1"/>
      </w:tblPr>
      <w:tblGrid>
        <w:gridCol w:w="2069"/>
        <w:gridCol w:w="1465"/>
        <w:gridCol w:w="1275"/>
        <w:gridCol w:w="1327"/>
        <w:gridCol w:w="1369"/>
        <w:gridCol w:w="1832"/>
      </w:tblGrid>
      <w:tr w:rsidRPr="0057780D" w:rsidR="00EB1F65" w:rsidTr="00DE3922" w14:paraId="50C7A2E6" w14:textId="77777777">
        <w:trPr>
          <w:trHeight w:val="469"/>
        </w:trPr>
        <w:tc>
          <w:tcPr>
            <w:tcW w:w="2069" w:type="dxa"/>
            <w:tcBorders>
              <w:top w:val="single" w:color="auto" w:sz="8" w:space="0"/>
              <w:left w:val="single" w:color="auto" w:sz="8" w:space="0"/>
              <w:bottom w:val="single" w:color="000000" w:sz="8" w:space="0"/>
              <w:right w:val="single" w:color="auto" w:sz="8" w:space="0"/>
            </w:tcBorders>
            <w:shd w:val="clear" w:color="000000" w:fill="F2F2F2"/>
            <w:vAlign w:val="center"/>
            <w:hideMark/>
          </w:tcPr>
          <w:p w:rsidRPr="0057780D" w:rsidR="00EB1F65" w:rsidP="00DE3922" w:rsidRDefault="00EB1F65" w14:paraId="53F74E23"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Activity</w:t>
            </w:r>
          </w:p>
        </w:tc>
        <w:tc>
          <w:tcPr>
            <w:tcW w:w="1465" w:type="dxa"/>
            <w:tcBorders>
              <w:top w:val="single" w:color="auto" w:sz="8" w:space="0"/>
              <w:left w:val="single" w:color="auto" w:sz="8" w:space="0"/>
              <w:bottom w:val="single" w:color="000000" w:sz="8" w:space="0"/>
              <w:right w:val="single" w:color="auto" w:sz="8" w:space="0"/>
            </w:tcBorders>
            <w:shd w:val="clear" w:color="000000" w:fill="F2F2F2"/>
            <w:vAlign w:val="center"/>
            <w:hideMark/>
          </w:tcPr>
          <w:p w:rsidRPr="0057780D" w:rsidR="00EB1F65" w:rsidP="00DE3922" w:rsidRDefault="00EB1F65" w14:paraId="517D6FD4"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Staff</w:t>
            </w:r>
          </w:p>
        </w:tc>
        <w:tc>
          <w:tcPr>
            <w:tcW w:w="1275" w:type="dxa"/>
            <w:tcBorders>
              <w:top w:val="single" w:color="auto" w:sz="8" w:space="0"/>
              <w:left w:val="nil"/>
              <w:bottom w:val="single" w:color="auto" w:sz="4" w:space="0"/>
              <w:right w:val="single" w:color="auto" w:sz="8" w:space="0"/>
            </w:tcBorders>
            <w:shd w:val="clear" w:color="000000" w:fill="F2F2F2"/>
            <w:vAlign w:val="center"/>
            <w:hideMark/>
          </w:tcPr>
          <w:p w:rsidRPr="0057780D" w:rsidR="00EB1F65" w:rsidP="00DE3922" w:rsidRDefault="00EB1F65" w14:paraId="5437ED0F"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Burden per Activity</w:t>
            </w:r>
          </w:p>
          <w:p w:rsidRPr="0057780D" w:rsidR="00EB1F65" w:rsidP="00DE3922" w:rsidRDefault="00EB1F65" w14:paraId="008E3883"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(hours)</w:t>
            </w:r>
          </w:p>
        </w:tc>
        <w:tc>
          <w:tcPr>
            <w:tcW w:w="1327" w:type="dxa"/>
            <w:tcBorders>
              <w:top w:val="single" w:color="auto" w:sz="8" w:space="0"/>
              <w:left w:val="single" w:color="auto" w:sz="8" w:space="0"/>
              <w:bottom w:val="single" w:color="auto" w:sz="4" w:space="0"/>
              <w:right w:val="single" w:color="auto" w:sz="8" w:space="0"/>
            </w:tcBorders>
            <w:shd w:val="clear" w:color="000000" w:fill="F2F2F2"/>
            <w:vAlign w:val="center"/>
            <w:hideMark/>
          </w:tcPr>
          <w:p w:rsidRPr="0057780D" w:rsidR="00EB1F65" w:rsidP="00DE3922" w:rsidRDefault="00EB1F65" w14:paraId="6B1AA7D1"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Total Number of Units</w:t>
            </w:r>
          </w:p>
        </w:tc>
        <w:tc>
          <w:tcPr>
            <w:tcW w:w="1369" w:type="dxa"/>
            <w:tcBorders>
              <w:top w:val="single" w:color="auto" w:sz="8" w:space="0"/>
              <w:left w:val="single" w:color="auto" w:sz="8" w:space="0"/>
              <w:bottom w:val="single" w:color="000000" w:sz="8" w:space="0"/>
              <w:right w:val="single" w:color="auto" w:sz="8" w:space="0"/>
            </w:tcBorders>
            <w:shd w:val="clear" w:color="000000" w:fill="F2F2F2"/>
            <w:vAlign w:val="center"/>
            <w:hideMark/>
          </w:tcPr>
          <w:p w:rsidRPr="0057780D" w:rsidR="00EB1F65" w:rsidP="00DE3922" w:rsidRDefault="00EB1F65" w14:paraId="78A4FFE6"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Annual Burden (hours)</w:t>
            </w:r>
          </w:p>
        </w:tc>
        <w:tc>
          <w:tcPr>
            <w:tcW w:w="1832" w:type="dxa"/>
            <w:tcBorders>
              <w:top w:val="single" w:color="auto" w:sz="8" w:space="0"/>
              <w:left w:val="single" w:color="auto" w:sz="8" w:space="0"/>
              <w:bottom w:val="single" w:color="000000" w:sz="8" w:space="0"/>
              <w:right w:val="single" w:color="auto" w:sz="8" w:space="0"/>
            </w:tcBorders>
            <w:shd w:val="clear" w:color="000000" w:fill="F2F2F2"/>
            <w:vAlign w:val="center"/>
            <w:hideMark/>
          </w:tcPr>
          <w:p w:rsidRPr="0057780D" w:rsidR="00EB1F65" w:rsidP="00DE3922" w:rsidRDefault="00EB1F65" w14:paraId="6CFA1369" w14:textId="77777777">
            <w:pPr>
              <w:keepNext/>
              <w:keepLines/>
              <w:jc w:val="center"/>
              <w:rPr>
                <w:rFonts w:ascii="Times New Roman" w:hAnsi="Times New Roman" w:eastAsia="Times New Roman" w:cs="Times New Roman"/>
                <w:b/>
                <w:sz w:val="20"/>
                <w:szCs w:val="24"/>
              </w:rPr>
            </w:pPr>
            <w:r w:rsidRPr="0057780D">
              <w:rPr>
                <w:rFonts w:ascii="Times New Roman" w:hAnsi="Times New Roman" w:eastAsia="Times New Roman" w:cs="Times New Roman"/>
                <w:b/>
                <w:sz w:val="20"/>
                <w:szCs w:val="24"/>
              </w:rPr>
              <w:t>Annual Cost (Thousands)</w:t>
            </w:r>
          </w:p>
        </w:tc>
      </w:tr>
      <w:tr w:rsidRPr="0057780D" w:rsidR="00EB1F65" w:rsidTr="00DE3922" w14:paraId="773EE19B" w14:textId="77777777">
        <w:trPr>
          <w:trHeight w:val="321"/>
        </w:trPr>
        <w:tc>
          <w:tcPr>
            <w:tcW w:w="2069" w:type="dxa"/>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15C11FDC" w14:textId="77777777">
            <w:pPr>
              <w:keepNext/>
              <w:keepLines/>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Industry/Public Assistance</w:t>
            </w:r>
          </w:p>
        </w:tc>
        <w:tc>
          <w:tcPr>
            <w:tcW w:w="1465" w:type="dxa"/>
            <w:vMerge w:val="restart"/>
            <w:tcBorders>
              <w:top w:val="nil"/>
              <w:left w:val="single" w:color="auto" w:sz="8" w:space="0"/>
              <w:right w:val="single" w:color="auto" w:sz="8" w:space="0"/>
            </w:tcBorders>
            <w:shd w:val="clear" w:color="auto" w:fill="auto"/>
            <w:vAlign w:val="center"/>
            <w:hideMark/>
          </w:tcPr>
          <w:p w:rsidRPr="0057780D" w:rsidR="00EB1F65" w:rsidP="00DE3922" w:rsidRDefault="00EB1F65" w14:paraId="2CEFE748"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EPA Employee</w:t>
            </w:r>
            <w:r w:rsidRPr="0057780D">
              <w:rPr>
                <w:rFonts w:ascii="Times New Roman" w:hAnsi="Times New Roman" w:eastAsia="Times New Roman" w:cs="Times New Roman"/>
                <w:sz w:val="20"/>
                <w:szCs w:val="20"/>
              </w:rPr>
              <w:t xml:space="preserve"> </w:t>
            </w:r>
            <w:r w:rsidRPr="0057780D">
              <w:rPr>
                <w:rFonts w:ascii="Times New Roman" w:hAnsi="Times New Roman" w:eastAsia="Times New Roman" w:cs="Times New Roman"/>
                <w:sz w:val="20"/>
                <w:szCs w:val="24"/>
              </w:rPr>
              <w:t>(GS</w:t>
            </w:r>
            <w:r w:rsidRPr="0057780D">
              <w:rPr>
                <w:rFonts w:ascii="Times New Roman" w:hAnsi="Times New Roman" w:eastAsia="Times New Roman" w:cs="Times New Roman"/>
                <w:sz w:val="20"/>
                <w:szCs w:val="20"/>
              </w:rPr>
              <w:t xml:space="preserve"> </w:t>
            </w:r>
            <w:r w:rsidRPr="0057780D">
              <w:rPr>
                <w:rFonts w:ascii="Times New Roman" w:hAnsi="Times New Roman" w:eastAsia="Times New Roman" w:cs="Times New Roman"/>
                <w:sz w:val="20"/>
                <w:szCs w:val="24"/>
              </w:rPr>
              <w:t>13 Step 5/</w:t>
            </w:r>
          </w:p>
          <w:p w:rsidRPr="0057780D" w:rsidR="00EB1F65" w:rsidP="00DE3922" w:rsidRDefault="00EB1F65" w14:paraId="0A887D04"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$84.54/hour)</w:t>
            </w:r>
          </w:p>
        </w:tc>
        <w:tc>
          <w:tcPr>
            <w:tcW w:w="1275" w:type="dxa"/>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3130BD59"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1.25</w:t>
            </w:r>
          </w:p>
        </w:tc>
        <w:tc>
          <w:tcPr>
            <w:tcW w:w="1327" w:type="dxa"/>
            <w:tcBorders>
              <w:top w:val="single" w:color="auto" w:sz="4" w:space="0"/>
              <w:left w:val="nil"/>
              <w:bottom w:val="single" w:color="auto" w:sz="8" w:space="0"/>
              <w:right w:val="single" w:color="auto" w:sz="8" w:space="0"/>
            </w:tcBorders>
            <w:shd w:val="clear" w:color="auto" w:fill="auto"/>
            <w:vAlign w:val="center"/>
            <w:hideMark/>
          </w:tcPr>
          <w:p w:rsidRPr="0057780D" w:rsidR="00EB1F65" w:rsidP="00DE3922" w:rsidRDefault="00EB1F65" w14:paraId="35DCD055"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285</w:t>
            </w:r>
          </w:p>
        </w:tc>
        <w:tc>
          <w:tcPr>
            <w:tcW w:w="1369" w:type="dxa"/>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73310DEA"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356</w:t>
            </w:r>
          </w:p>
        </w:tc>
        <w:tc>
          <w:tcPr>
            <w:tcW w:w="1832" w:type="dxa"/>
            <w:tcBorders>
              <w:top w:val="nil"/>
              <w:left w:val="nil"/>
              <w:bottom w:val="single" w:color="auto" w:sz="8" w:space="0"/>
              <w:right w:val="single" w:color="auto" w:sz="8" w:space="0"/>
            </w:tcBorders>
            <w:shd w:val="clear" w:color="auto" w:fill="auto"/>
            <w:vAlign w:val="center"/>
          </w:tcPr>
          <w:p w:rsidRPr="0057780D" w:rsidR="00EB1F65" w:rsidP="00DE3922" w:rsidRDefault="00EB1F65" w14:paraId="3BEFBD53"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$30,100</w:t>
            </w:r>
          </w:p>
        </w:tc>
      </w:tr>
      <w:tr w:rsidRPr="0057780D" w:rsidR="00EB1F65" w:rsidTr="00DE3922" w14:paraId="46AE4DE5" w14:textId="77777777">
        <w:trPr>
          <w:trHeight w:val="747"/>
        </w:trPr>
        <w:tc>
          <w:tcPr>
            <w:tcW w:w="2069" w:type="dxa"/>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4261E9F3" w14:textId="77777777">
            <w:pPr>
              <w:keepNext/>
              <w:keepLines/>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Data Processing and System Support Personnel</w:t>
            </w:r>
          </w:p>
        </w:tc>
        <w:tc>
          <w:tcPr>
            <w:tcW w:w="1465" w:type="dxa"/>
            <w:vMerge/>
            <w:tcBorders>
              <w:left w:val="single" w:color="auto" w:sz="8" w:space="0"/>
              <w:right w:val="single" w:color="auto" w:sz="8" w:space="0"/>
            </w:tcBorders>
            <w:vAlign w:val="center"/>
            <w:hideMark/>
          </w:tcPr>
          <w:p w:rsidRPr="0057780D" w:rsidR="00EB1F65" w:rsidP="00DE3922" w:rsidRDefault="00EB1F65" w14:paraId="4158E5D2" w14:textId="77777777">
            <w:pPr>
              <w:keepNext/>
              <w:keepLines/>
              <w:rPr>
                <w:rFonts w:ascii="Times New Roman" w:hAnsi="Times New Roman" w:eastAsia="Times New Roman" w:cs="Times New Roman"/>
                <w:sz w:val="20"/>
                <w:szCs w:val="24"/>
              </w:rPr>
            </w:pPr>
          </w:p>
        </w:tc>
        <w:tc>
          <w:tcPr>
            <w:tcW w:w="1275" w:type="dxa"/>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A757B44"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3.13</w:t>
            </w:r>
          </w:p>
        </w:tc>
        <w:tc>
          <w:tcPr>
            <w:tcW w:w="1327" w:type="dxa"/>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5806883D"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285</w:t>
            </w:r>
          </w:p>
        </w:tc>
        <w:tc>
          <w:tcPr>
            <w:tcW w:w="1369" w:type="dxa"/>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0DA57045"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892</w:t>
            </w:r>
          </w:p>
        </w:tc>
        <w:tc>
          <w:tcPr>
            <w:tcW w:w="1832" w:type="dxa"/>
            <w:tcBorders>
              <w:top w:val="nil"/>
              <w:left w:val="nil"/>
              <w:bottom w:val="single" w:color="auto" w:sz="8" w:space="0"/>
              <w:right w:val="single" w:color="auto" w:sz="8" w:space="0"/>
            </w:tcBorders>
            <w:shd w:val="clear" w:color="auto" w:fill="auto"/>
            <w:vAlign w:val="center"/>
          </w:tcPr>
          <w:p w:rsidRPr="0057780D" w:rsidR="00EB1F65" w:rsidP="00DE3922" w:rsidRDefault="00EB1F65" w14:paraId="1ED0ADF5" w14:textId="77777777">
            <w:pPr>
              <w:keepNext/>
              <w:keepLines/>
              <w:jc w:val="center"/>
              <w:rPr>
                <w:rFonts w:ascii="Times New Roman" w:hAnsi="Times New Roman" w:eastAsia="Times New Roman" w:cs="Times New Roman"/>
                <w:sz w:val="20"/>
                <w:szCs w:val="24"/>
              </w:rPr>
            </w:pPr>
            <w:r w:rsidRPr="0057780D">
              <w:rPr>
                <w:rFonts w:ascii="Times New Roman" w:hAnsi="Times New Roman" w:eastAsia="Times New Roman" w:cs="Times New Roman"/>
                <w:sz w:val="20"/>
                <w:szCs w:val="24"/>
              </w:rPr>
              <w:t>$75,400</w:t>
            </w:r>
          </w:p>
        </w:tc>
      </w:tr>
      <w:tr w:rsidRPr="0057780D" w:rsidR="00EB1F65" w:rsidTr="00DE3922" w14:paraId="1F118FCF" w14:textId="77777777">
        <w:trPr>
          <w:trHeight w:val="747"/>
        </w:trPr>
        <w:tc>
          <w:tcPr>
            <w:tcW w:w="2069" w:type="dxa"/>
            <w:tcBorders>
              <w:top w:val="nil"/>
              <w:left w:val="single" w:color="auto" w:sz="8" w:space="0"/>
              <w:bottom w:val="single" w:color="auto" w:sz="8" w:space="0"/>
              <w:right w:val="single" w:color="auto" w:sz="8" w:space="0"/>
            </w:tcBorders>
            <w:shd w:val="clear" w:color="auto" w:fill="auto"/>
            <w:vAlign w:val="center"/>
            <w:hideMark/>
          </w:tcPr>
          <w:p w:rsidRPr="0057780D" w:rsidR="00EB1F65" w:rsidP="00DE3922" w:rsidRDefault="00EB1F65" w14:paraId="27EF2562"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Review of CBI Claim Substantiations</w:t>
            </w:r>
          </w:p>
        </w:tc>
        <w:tc>
          <w:tcPr>
            <w:tcW w:w="1465" w:type="dxa"/>
            <w:vMerge/>
            <w:tcBorders>
              <w:left w:val="single" w:color="auto" w:sz="8" w:space="0"/>
              <w:bottom w:val="single" w:color="auto" w:sz="8" w:space="0"/>
              <w:right w:val="single" w:color="auto" w:sz="8" w:space="0"/>
            </w:tcBorders>
            <w:vAlign w:val="center"/>
            <w:hideMark/>
          </w:tcPr>
          <w:p w:rsidRPr="0057780D" w:rsidR="00EB1F65" w:rsidP="00DE3922" w:rsidRDefault="00EB1F65" w14:paraId="1C79D641" w14:textId="77777777">
            <w:pPr>
              <w:keepNext/>
              <w:keepLines/>
              <w:rPr>
                <w:rFonts w:ascii="Times New Roman" w:hAnsi="Times New Roman" w:eastAsia="Times New Roman" w:cs="Times New Roman"/>
                <w:sz w:val="20"/>
                <w:szCs w:val="20"/>
              </w:rPr>
            </w:pPr>
          </w:p>
        </w:tc>
        <w:tc>
          <w:tcPr>
            <w:tcW w:w="1275" w:type="dxa"/>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091D3131"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0.5</w:t>
            </w:r>
          </w:p>
        </w:tc>
        <w:tc>
          <w:tcPr>
            <w:tcW w:w="1327" w:type="dxa"/>
            <w:tcBorders>
              <w:top w:val="nil"/>
              <w:left w:val="nil"/>
              <w:bottom w:val="single" w:color="auto" w:sz="8" w:space="0"/>
              <w:right w:val="single" w:color="auto" w:sz="8" w:space="0"/>
            </w:tcBorders>
            <w:shd w:val="clear" w:color="auto" w:fill="auto"/>
            <w:vAlign w:val="center"/>
            <w:hideMark/>
          </w:tcPr>
          <w:p w:rsidRPr="0057780D" w:rsidR="00EB1F65" w:rsidP="00DE3922" w:rsidRDefault="00EB1F65" w14:paraId="3FF4D368"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285</w:t>
            </w:r>
          </w:p>
        </w:tc>
        <w:tc>
          <w:tcPr>
            <w:tcW w:w="1369" w:type="dxa"/>
            <w:tcBorders>
              <w:top w:val="nil"/>
              <w:left w:val="nil"/>
              <w:bottom w:val="single" w:color="auto" w:sz="8" w:space="0"/>
              <w:right w:val="single" w:color="auto" w:sz="8" w:space="0"/>
            </w:tcBorders>
            <w:shd w:val="clear" w:color="auto" w:fill="auto"/>
            <w:noWrap/>
            <w:vAlign w:val="center"/>
            <w:hideMark/>
          </w:tcPr>
          <w:p w:rsidRPr="0057780D" w:rsidR="00EB1F65" w:rsidP="00DE3922" w:rsidRDefault="00EB1F65" w14:paraId="2E5F15DF"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143</w:t>
            </w:r>
          </w:p>
        </w:tc>
        <w:tc>
          <w:tcPr>
            <w:tcW w:w="1832" w:type="dxa"/>
            <w:tcBorders>
              <w:top w:val="nil"/>
              <w:left w:val="nil"/>
              <w:bottom w:val="single" w:color="auto" w:sz="8" w:space="0"/>
              <w:right w:val="single" w:color="auto" w:sz="8" w:space="0"/>
            </w:tcBorders>
            <w:shd w:val="clear" w:color="auto" w:fill="auto"/>
            <w:vAlign w:val="center"/>
          </w:tcPr>
          <w:p w:rsidRPr="0057780D" w:rsidR="00EB1F65" w:rsidP="00DE3922" w:rsidRDefault="00EB1F65" w14:paraId="10D6E4BB"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$12,100</w:t>
            </w:r>
          </w:p>
        </w:tc>
      </w:tr>
      <w:tr w:rsidRPr="0057780D" w:rsidR="00EB1F65" w:rsidTr="00DE3922" w14:paraId="7BE947E5" w14:textId="77777777">
        <w:trPr>
          <w:trHeight w:val="1348"/>
        </w:trPr>
        <w:tc>
          <w:tcPr>
            <w:tcW w:w="2069" w:type="dxa"/>
            <w:tcBorders>
              <w:top w:val="nil"/>
              <w:left w:val="single" w:color="auto" w:sz="8" w:space="0"/>
              <w:bottom w:val="single" w:color="auto" w:sz="4" w:space="0"/>
              <w:right w:val="single" w:color="auto" w:sz="8" w:space="0"/>
            </w:tcBorders>
            <w:shd w:val="clear" w:color="auto" w:fill="auto"/>
            <w:vAlign w:val="center"/>
            <w:hideMark/>
          </w:tcPr>
          <w:p w:rsidRPr="0057780D" w:rsidR="00EB1F65" w:rsidP="00DE3922" w:rsidRDefault="00EB1F65" w14:paraId="7FC6C2AD" w14:textId="77777777">
            <w:pPr>
              <w:keepNext/>
              <w:keepLines/>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Review of CBI Claim Substantiations</w:t>
            </w:r>
          </w:p>
        </w:tc>
        <w:tc>
          <w:tcPr>
            <w:tcW w:w="1465" w:type="dxa"/>
            <w:tcBorders>
              <w:top w:val="nil"/>
              <w:left w:val="nil"/>
              <w:bottom w:val="single" w:color="auto" w:sz="4" w:space="0"/>
              <w:right w:val="single" w:color="auto" w:sz="8" w:space="0"/>
            </w:tcBorders>
            <w:shd w:val="clear" w:color="auto" w:fill="auto"/>
            <w:vAlign w:val="center"/>
            <w:hideMark/>
          </w:tcPr>
          <w:p w:rsidRPr="0057780D" w:rsidR="00EB1F65" w:rsidP="00DE3922" w:rsidRDefault="00EB1F65" w14:paraId="072755D2"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EPA Employee (GS 14 Step 5/</w:t>
            </w:r>
          </w:p>
          <w:p w:rsidRPr="0057780D" w:rsidR="00EB1F65" w:rsidP="00DE3922" w:rsidRDefault="00EB1F65" w14:paraId="0B140D38"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$99.54/hour)</w:t>
            </w:r>
          </w:p>
        </w:tc>
        <w:tc>
          <w:tcPr>
            <w:tcW w:w="1275" w:type="dxa"/>
            <w:tcBorders>
              <w:top w:val="nil"/>
              <w:left w:val="nil"/>
              <w:bottom w:val="single" w:color="auto" w:sz="4" w:space="0"/>
              <w:right w:val="single" w:color="auto" w:sz="8" w:space="0"/>
            </w:tcBorders>
            <w:shd w:val="clear" w:color="auto" w:fill="auto"/>
            <w:vAlign w:val="center"/>
            <w:hideMark/>
          </w:tcPr>
          <w:p w:rsidRPr="0057780D" w:rsidR="00EB1F65" w:rsidP="00DE3922" w:rsidRDefault="00EB1F65" w14:paraId="1B4BCC1A"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1.5</w:t>
            </w:r>
          </w:p>
        </w:tc>
        <w:tc>
          <w:tcPr>
            <w:tcW w:w="1327" w:type="dxa"/>
            <w:tcBorders>
              <w:top w:val="nil"/>
              <w:left w:val="nil"/>
              <w:bottom w:val="single" w:color="auto" w:sz="4" w:space="0"/>
              <w:right w:val="single" w:color="auto" w:sz="8" w:space="0"/>
            </w:tcBorders>
            <w:shd w:val="clear" w:color="auto" w:fill="auto"/>
            <w:vAlign w:val="center"/>
            <w:hideMark/>
          </w:tcPr>
          <w:p w:rsidRPr="0057780D" w:rsidR="00EB1F65" w:rsidP="00DE3922" w:rsidRDefault="00EB1F65" w14:paraId="45E1C21C"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285</w:t>
            </w:r>
          </w:p>
        </w:tc>
        <w:tc>
          <w:tcPr>
            <w:tcW w:w="1369" w:type="dxa"/>
            <w:tcBorders>
              <w:top w:val="nil"/>
              <w:left w:val="nil"/>
              <w:bottom w:val="single" w:color="auto" w:sz="4" w:space="0"/>
              <w:right w:val="single" w:color="auto" w:sz="8" w:space="0"/>
            </w:tcBorders>
            <w:shd w:val="clear" w:color="auto" w:fill="auto"/>
            <w:noWrap/>
            <w:vAlign w:val="center"/>
            <w:hideMark/>
          </w:tcPr>
          <w:p w:rsidRPr="0057780D" w:rsidR="00EB1F65" w:rsidP="00DE3922" w:rsidRDefault="00EB1F65" w14:paraId="00E07CA6"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428</w:t>
            </w:r>
          </w:p>
        </w:tc>
        <w:tc>
          <w:tcPr>
            <w:tcW w:w="1832" w:type="dxa"/>
            <w:tcBorders>
              <w:top w:val="nil"/>
              <w:left w:val="nil"/>
              <w:bottom w:val="single" w:color="auto" w:sz="4" w:space="0"/>
              <w:right w:val="single" w:color="auto" w:sz="8" w:space="0"/>
            </w:tcBorders>
            <w:shd w:val="clear" w:color="auto" w:fill="auto"/>
            <w:vAlign w:val="center"/>
          </w:tcPr>
          <w:p w:rsidRPr="0057780D" w:rsidR="00EB1F65" w:rsidP="00DE3922" w:rsidRDefault="00EB1F65" w14:paraId="3F1AA2EE" w14:textId="77777777">
            <w:pPr>
              <w:keepNext/>
              <w:keepLines/>
              <w:jc w:val="center"/>
              <w:rPr>
                <w:rFonts w:ascii="Times New Roman" w:hAnsi="Times New Roman" w:eastAsia="Times New Roman" w:cs="Times New Roman"/>
                <w:sz w:val="20"/>
                <w:szCs w:val="20"/>
              </w:rPr>
            </w:pPr>
            <w:r w:rsidRPr="0057780D">
              <w:rPr>
                <w:rFonts w:ascii="Times New Roman" w:hAnsi="Times New Roman" w:eastAsia="Times New Roman" w:cs="Times New Roman"/>
                <w:sz w:val="20"/>
                <w:szCs w:val="20"/>
              </w:rPr>
              <w:t>$42,600</w:t>
            </w:r>
          </w:p>
        </w:tc>
      </w:tr>
      <w:tr w:rsidRPr="0057780D" w:rsidR="00EB1F65" w:rsidTr="00DE3922" w14:paraId="11ABAA68" w14:textId="77777777">
        <w:trPr>
          <w:trHeight w:val="359"/>
        </w:trPr>
        <w:tc>
          <w:tcPr>
            <w:tcW w:w="6136" w:type="dxa"/>
            <w:gridSpan w:val="4"/>
            <w:tcBorders>
              <w:top w:val="single" w:color="auto" w:sz="4" w:space="0"/>
              <w:left w:val="single" w:color="auto" w:sz="8" w:space="0"/>
              <w:bottom w:val="single" w:color="auto" w:sz="4" w:space="0"/>
              <w:right w:val="single" w:color="auto" w:sz="8" w:space="0"/>
            </w:tcBorders>
            <w:shd w:val="clear" w:color="auto" w:fill="auto"/>
            <w:vAlign w:val="center"/>
          </w:tcPr>
          <w:p w:rsidRPr="0057780D" w:rsidR="00EB1F65" w:rsidP="00DE3922" w:rsidRDefault="00EB1F65" w14:paraId="3F7813C7" w14:textId="77777777">
            <w:pPr>
              <w:keepNext/>
              <w:keepLines/>
              <w:jc w:val="right"/>
              <w:rPr>
                <w:rFonts w:ascii="Times New Roman" w:hAnsi="Times New Roman" w:eastAsia="Times New Roman" w:cs="Times New Roman"/>
                <w:szCs w:val="20"/>
              </w:rPr>
            </w:pPr>
            <w:r w:rsidRPr="0057780D">
              <w:rPr>
                <w:rFonts w:ascii="Times New Roman" w:hAnsi="Times New Roman" w:eastAsia="Times New Roman" w:cs="Times New Roman"/>
                <w:szCs w:val="24"/>
              </w:rPr>
              <w:t>Annual Cost and Burden</w:t>
            </w:r>
          </w:p>
        </w:tc>
        <w:tc>
          <w:tcPr>
            <w:tcW w:w="1369" w:type="dxa"/>
            <w:tcBorders>
              <w:top w:val="single" w:color="auto" w:sz="4" w:space="0"/>
              <w:left w:val="nil"/>
              <w:bottom w:val="single" w:color="auto" w:sz="4" w:space="0"/>
              <w:right w:val="single" w:color="auto" w:sz="8" w:space="0"/>
            </w:tcBorders>
            <w:shd w:val="clear" w:color="auto" w:fill="auto"/>
            <w:noWrap/>
            <w:vAlign w:val="center"/>
          </w:tcPr>
          <w:p w:rsidRPr="0057780D" w:rsidR="00EB1F65" w:rsidP="00DE3922" w:rsidRDefault="00EB1F65" w14:paraId="7C9B8F3B" w14:textId="77777777">
            <w:pPr>
              <w:keepNext/>
              <w:keepLines/>
              <w:jc w:val="center"/>
              <w:rPr>
                <w:rFonts w:ascii="Times New Roman" w:hAnsi="Times New Roman" w:eastAsia="Times New Roman" w:cs="Times New Roman"/>
                <w:szCs w:val="20"/>
              </w:rPr>
            </w:pPr>
            <w:r w:rsidRPr="0057780D">
              <w:rPr>
                <w:rFonts w:ascii="Times New Roman" w:hAnsi="Times New Roman" w:eastAsia="Times New Roman" w:cs="Times New Roman"/>
                <w:szCs w:val="24"/>
              </w:rPr>
              <w:t>1,</w:t>
            </w:r>
            <w:r w:rsidRPr="0057780D">
              <w:rPr>
                <w:rFonts w:ascii="Times New Roman" w:hAnsi="Times New Roman" w:eastAsia="Times New Roman" w:cs="Times New Roman"/>
                <w:bCs/>
                <w:szCs w:val="20"/>
              </w:rPr>
              <w:t>818 hours</w:t>
            </w:r>
          </w:p>
        </w:tc>
        <w:tc>
          <w:tcPr>
            <w:tcW w:w="1832" w:type="dxa"/>
            <w:tcBorders>
              <w:top w:val="single" w:color="auto" w:sz="4" w:space="0"/>
              <w:left w:val="nil"/>
              <w:bottom w:val="single" w:color="auto" w:sz="4" w:space="0"/>
              <w:right w:val="single" w:color="auto" w:sz="8" w:space="0"/>
            </w:tcBorders>
            <w:shd w:val="clear" w:color="auto" w:fill="auto"/>
            <w:vAlign w:val="center"/>
          </w:tcPr>
          <w:p w:rsidRPr="0057780D" w:rsidR="00EB1F65" w:rsidP="00DE3922" w:rsidRDefault="00EB1F65" w14:paraId="76D2D7BF" w14:textId="77777777">
            <w:pPr>
              <w:keepNext/>
              <w:keepLines/>
              <w:jc w:val="center"/>
              <w:rPr>
                <w:rFonts w:ascii="Times New Roman" w:hAnsi="Times New Roman" w:eastAsia="Times New Roman" w:cs="Times New Roman"/>
                <w:szCs w:val="20"/>
              </w:rPr>
            </w:pPr>
            <w:r w:rsidRPr="0057780D">
              <w:rPr>
                <w:rFonts w:ascii="Times New Roman" w:hAnsi="Times New Roman" w:eastAsia="Times New Roman" w:cs="Times New Roman"/>
                <w:szCs w:val="24"/>
              </w:rPr>
              <w:t>$160,200</w:t>
            </w:r>
          </w:p>
        </w:tc>
      </w:tr>
      <w:tr w:rsidRPr="0057780D" w:rsidR="00EB1F65" w:rsidTr="00DE3922" w14:paraId="5791147A" w14:textId="77777777">
        <w:trPr>
          <w:trHeight w:val="359"/>
        </w:trPr>
        <w:tc>
          <w:tcPr>
            <w:tcW w:w="6136" w:type="dxa"/>
            <w:gridSpan w:val="4"/>
            <w:tcBorders>
              <w:top w:val="single" w:color="auto" w:sz="4" w:space="0"/>
              <w:left w:val="single" w:color="auto" w:sz="8" w:space="0"/>
              <w:bottom w:val="single" w:color="auto" w:sz="4" w:space="0"/>
              <w:right w:val="single" w:color="auto" w:sz="8" w:space="0"/>
            </w:tcBorders>
            <w:shd w:val="clear" w:color="auto" w:fill="auto"/>
            <w:vAlign w:val="center"/>
          </w:tcPr>
          <w:p w:rsidRPr="0057780D" w:rsidR="00EB1F65" w:rsidP="00DE3922" w:rsidRDefault="00EB1F65" w14:paraId="01B5208A" w14:textId="77777777">
            <w:pPr>
              <w:keepNext/>
              <w:keepLines/>
              <w:jc w:val="right"/>
              <w:rPr>
                <w:rFonts w:ascii="Times New Roman" w:hAnsi="Times New Roman" w:eastAsia="Times New Roman" w:cs="Times New Roman"/>
                <w:b/>
                <w:szCs w:val="24"/>
              </w:rPr>
            </w:pPr>
            <w:r w:rsidRPr="0057780D">
              <w:rPr>
                <w:rFonts w:ascii="Times New Roman" w:hAnsi="Times New Roman" w:eastAsia="Times New Roman" w:cs="Times New Roman"/>
                <w:b/>
                <w:szCs w:val="24"/>
              </w:rPr>
              <w:t>Total Cost and Burden Over 3-Year ICR Period</w:t>
            </w:r>
          </w:p>
        </w:tc>
        <w:tc>
          <w:tcPr>
            <w:tcW w:w="1369" w:type="dxa"/>
            <w:tcBorders>
              <w:top w:val="single" w:color="auto" w:sz="4" w:space="0"/>
              <w:left w:val="nil"/>
              <w:bottom w:val="single" w:color="auto" w:sz="4" w:space="0"/>
              <w:right w:val="single" w:color="auto" w:sz="8" w:space="0"/>
            </w:tcBorders>
            <w:shd w:val="clear" w:color="auto" w:fill="auto"/>
            <w:noWrap/>
            <w:vAlign w:val="center"/>
          </w:tcPr>
          <w:p w:rsidRPr="0057780D" w:rsidR="00EB1F65" w:rsidP="00DE3922" w:rsidRDefault="00EB1F65" w14:paraId="1CAE0FEC" w14:textId="77777777">
            <w:pPr>
              <w:keepNext/>
              <w:keepLines/>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5,454 hours</w:t>
            </w:r>
          </w:p>
        </w:tc>
        <w:tc>
          <w:tcPr>
            <w:tcW w:w="1832" w:type="dxa"/>
            <w:tcBorders>
              <w:top w:val="single" w:color="auto" w:sz="4" w:space="0"/>
              <w:left w:val="nil"/>
              <w:right w:val="single" w:color="auto" w:sz="8" w:space="0"/>
            </w:tcBorders>
            <w:shd w:val="clear" w:color="auto" w:fill="auto"/>
            <w:vAlign w:val="center"/>
          </w:tcPr>
          <w:p w:rsidRPr="0057780D" w:rsidR="00EB1F65" w:rsidP="00DE3922" w:rsidRDefault="00EB1F65" w14:paraId="5CA596A5" w14:textId="77777777">
            <w:pPr>
              <w:keepNext/>
              <w:keepLines/>
              <w:jc w:val="center"/>
              <w:rPr>
                <w:rFonts w:ascii="Times New Roman" w:hAnsi="Times New Roman" w:eastAsia="Times New Roman" w:cs="Times New Roman"/>
                <w:b/>
                <w:szCs w:val="24"/>
              </w:rPr>
            </w:pPr>
            <w:r w:rsidRPr="0057780D">
              <w:rPr>
                <w:rFonts w:ascii="Times New Roman" w:hAnsi="Times New Roman" w:eastAsia="Times New Roman" w:cs="Times New Roman"/>
                <w:b/>
                <w:szCs w:val="24"/>
              </w:rPr>
              <w:t>$480,600</w:t>
            </w:r>
          </w:p>
        </w:tc>
      </w:tr>
      <w:tr w:rsidRPr="0057780D" w:rsidR="00EB1F65" w:rsidTr="00DE3922" w14:paraId="5EFB0EF8" w14:textId="77777777">
        <w:trPr>
          <w:trHeight w:val="359"/>
        </w:trPr>
        <w:tc>
          <w:tcPr>
            <w:tcW w:w="9337" w:type="dxa"/>
            <w:gridSpan w:val="6"/>
            <w:tcBorders>
              <w:top w:val="single" w:color="auto" w:sz="4" w:space="0"/>
            </w:tcBorders>
            <w:shd w:val="clear" w:color="auto" w:fill="auto"/>
          </w:tcPr>
          <w:p w:rsidRPr="0057780D" w:rsidR="00EB1F65" w:rsidP="00DE3922" w:rsidRDefault="00EB1F65" w14:paraId="73CB72AB" w14:textId="77777777">
            <w:pPr>
              <w:keepNext/>
              <w:keepLines/>
              <w:rPr>
                <w:rFonts w:ascii="Times New Roman" w:hAnsi="Times New Roman" w:eastAsia="Times New Roman" w:cs="Times New Roman"/>
                <w:b/>
                <w:szCs w:val="24"/>
              </w:rPr>
            </w:pPr>
            <w:r w:rsidRPr="0057780D">
              <w:rPr>
                <w:rFonts w:ascii="Times New Roman" w:hAnsi="Times New Roman" w:cs="Times New Roman"/>
                <w:sz w:val="18"/>
                <w:szCs w:val="20"/>
              </w:rPr>
              <w:t>Values may not sum due to rounding.</w:t>
            </w:r>
          </w:p>
        </w:tc>
      </w:tr>
    </w:tbl>
    <w:p w:rsidRPr="0057780D" w:rsidR="00EB1F65" w:rsidP="00EB1F65" w:rsidRDefault="00EB1F65" w14:paraId="607A1BE1" w14:textId="77777777">
      <w:pPr>
        <w:rPr>
          <w:rFonts w:ascii="Times New Roman" w:hAnsi="Times New Roman" w:cs="Times New Roman"/>
        </w:rPr>
      </w:pPr>
    </w:p>
    <w:p w:rsidRPr="0057780D" w:rsidR="00EB1F65" w:rsidP="00EB1F65" w:rsidRDefault="00EB1F65" w14:paraId="478C7422" w14:textId="77777777">
      <w:pPr>
        <w:rPr>
          <w:rFonts w:ascii="Times New Roman" w:hAnsi="Times New Roman" w:cs="Times New Roman"/>
          <w:b/>
          <w:szCs w:val="24"/>
        </w:rPr>
      </w:pPr>
      <w:r w:rsidRPr="0057780D">
        <w:rPr>
          <w:rFonts w:ascii="Times New Roman" w:hAnsi="Times New Roman" w:cs="Times New Roman"/>
          <w:b/>
          <w:szCs w:val="24"/>
        </w:rPr>
        <w:t>References</w:t>
      </w:r>
    </w:p>
    <w:p w:rsidRPr="0057780D" w:rsidR="00EB1F65" w:rsidP="00EB1F65" w:rsidRDefault="00EB1F65" w14:paraId="72501DAE" w14:textId="77777777">
      <w:pPr>
        <w:spacing w:after="180" w:line="264" w:lineRule="auto"/>
        <w:ind w:left="720" w:hanging="720"/>
        <w:rPr>
          <w:rFonts w:ascii="Times New Roman" w:hAnsi="Times New Roman" w:eastAsia="Times New Roman" w:cs="Times New Roman"/>
          <w:sz w:val="20"/>
          <w:szCs w:val="20"/>
        </w:rPr>
      </w:pPr>
      <w:r w:rsidRPr="0057780D">
        <w:rPr>
          <w:rFonts w:ascii="Times New Roman" w:hAnsi="Times New Roman" w:eastAsia="Times New Roman" w:cs="Times New Roman"/>
          <w:noProof/>
          <w:szCs w:val="24"/>
        </w:rPr>
        <w:t xml:space="preserve">U.S. Office of Personnel Management. (2018). </w:t>
      </w:r>
      <w:r w:rsidRPr="0057780D">
        <w:rPr>
          <w:rFonts w:ascii="Times New Roman" w:hAnsi="Times New Roman" w:eastAsia="Times New Roman" w:cs="Times New Roman"/>
          <w:i/>
          <w:iCs/>
          <w:noProof/>
          <w:szCs w:val="24"/>
        </w:rPr>
        <w:t>Salary Table 2018-</w:t>
      </w:r>
      <w:r w:rsidRPr="0057780D">
        <w:rPr>
          <w:rFonts w:ascii="Times New Roman" w:hAnsi="Times New Roman" w:eastAsia="Times New Roman" w:cs="Times New Roman"/>
          <w:szCs w:val="24"/>
        </w:rPr>
        <w:t xml:space="preserve"> </w:t>
      </w:r>
      <w:r w:rsidRPr="0057780D">
        <w:rPr>
          <w:rFonts w:ascii="Times New Roman" w:hAnsi="Times New Roman" w:eastAsia="Times New Roman" w:cs="Times New Roman"/>
          <w:i/>
          <w:szCs w:val="24"/>
        </w:rPr>
        <w:t>DCB, Washington-Baltimore-Northern Virginia, DC-MD-PA-VA-WV</w:t>
      </w:r>
      <w:r w:rsidRPr="0057780D">
        <w:rPr>
          <w:rFonts w:ascii="Times New Roman" w:hAnsi="Times New Roman" w:eastAsia="Times New Roman" w:cs="Times New Roman"/>
          <w:szCs w:val="24"/>
        </w:rPr>
        <w:t xml:space="preserve">. </w:t>
      </w:r>
      <w:r w:rsidRPr="0057780D">
        <w:rPr>
          <w:rFonts w:ascii="Times New Roman" w:hAnsi="Times New Roman" w:eastAsia="Times New Roman" w:cs="Times New Roman"/>
          <w:noProof/>
          <w:szCs w:val="24"/>
        </w:rPr>
        <w:t>Retrieved September 18, 2019 from Pay &amp; Leave: Salaries &amp; Wages:</w:t>
      </w:r>
      <w:r w:rsidRPr="0057780D">
        <w:t xml:space="preserve"> </w:t>
      </w:r>
      <w:hyperlink w:history="1" r:id="rId16">
        <w:r w:rsidRPr="0057780D">
          <w:rPr>
            <w:rStyle w:val="Hyperlink"/>
          </w:rPr>
          <w:t>https://www.opm.gov/policy-data-oversight/pay-leave/salaries-wages/salary-tables/pdf/2018/DCB.pdf</w:t>
        </w:r>
      </w:hyperlink>
      <w:r w:rsidRPr="0057780D">
        <w:rPr>
          <w:rFonts w:ascii="Times New Roman" w:hAnsi="Times New Roman" w:eastAsia="Times New Roman" w:cs="Times New Roman"/>
          <w:noProof/>
          <w:szCs w:val="24"/>
        </w:rPr>
        <w:t>.</w:t>
      </w:r>
      <w:r w:rsidRPr="0057780D">
        <w:rPr>
          <w:rFonts w:ascii="Times New Roman" w:hAnsi="Times New Roman" w:eastAsia="Times New Roman" w:cs="Times New Roman"/>
          <w:sz w:val="20"/>
          <w:szCs w:val="20"/>
        </w:rPr>
        <w:t xml:space="preserve"> </w:t>
      </w:r>
    </w:p>
    <w:p w:rsidRPr="0057780D" w:rsidR="00EB1F65" w:rsidP="00EB1F65" w:rsidRDefault="00EB1F65" w14:paraId="068F9A8B" w14:textId="77777777">
      <w:pPr>
        <w:autoSpaceDE w:val="0"/>
        <w:autoSpaceDN w:val="0"/>
        <w:adjustRightInd w:val="0"/>
        <w:ind w:left="720" w:hanging="720"/>
        <w:rPr>
          <w:rFonts w:ascii="Times New Roman" w:hAnsi="Times New Roman" w:eastAsia="Times New Roman" w:cs="Times New Roman"/>
          <w:color w:val="222222"/>
          <w:szCs w:val="24"/>
          <w:shd w:val="clear" w:color="auto" w:fill="FFFFFF"/>
        </w:rPr>
      </w:pPr>
      <w:r w:rsidRPr="0057780D">
        <w:rPr>
          <w:rFonts w:ascii="Times New Roman" w:hAnsi="Times New Roman" w:cs="Times New Roman" w:eastAsiaTheme="minorEastAsia"/>
        </w:rPr>
        <w:t xml:space="preserve">U.S. </w:t>
      </w:r>
      <w:r w:rsidRPr="0057780D">
        <w:rPr>
          <w:rFonts w:ascii="Times New Roman" w:hAnsi="Times New Roman" w:eastAsia="Times New Roman" w:cs="Times New Roman"/>
          <w:color w:val="222222"/>
          <w:szCs w:val="24"/>
          <w:shd w:val="clear" w:color="auto" w:fill="FFFFFF"/>
        </w:rPr>
        <w:t xml:space="preserve">EPA, (2009). </w:t>
      </w:r>
      <w:r w:rsidRPr="0057780D">
        <w:rPr>
          <w:rFonts w:ascii="Times New Roman" w:hAnsi="Times New Roman" w:eastAsia="Times New Roman" w:cs="Times New Roman"/>
          <w:i/>
          <w:iCs/>
          <w:color w:val="222222"/>
          <w:szCs w:val="24"/>
          <w:shd w:val="clear" w:color="auto" w:fill="FFFFFF"/>
        </w:rPr>
        <w:t>ICR Handbook EPA’s Guide to Writing Information Collection Requests under the Paperwork Reduction Act of 1995. </w:t>
      </w:r>
      <w:r w:rsidRPr="0057780D">
        <w:rPr>
          <w:rFonts w:ascii="Times New Roman" w:hAnsi="Times New Roman" w:eastAsia="Times New Roman" w:cs="Times New Roman"/>
          <w:color w:val="222222"/>
          <w:szCs w:val="24"/>
          <w:shd w:val="clear" w:color="auto" w:fill="FFFFFF"/>
        </w:rPr>
        <w:t>Revised 10/2009 Washington, D.C.: U.S. EPA, Office of Environmental Information.</w:t>
      </w:r>
    </w:p>
    <w:p w:rsidRPr="0057780D" w:rsidR="00EB1F65" w:rsidP="00EB1F65" w:rsidRDefault="00EB1F65" w14:paraId="4E288390" w14:textId="77777777">
      <w:pPr>
        <w:spacing w:after="180" w:line="264" w:lineRule="auto"/>
        <w:ind w:left="720" w:hanging="720"/>
        <w:rPr>
          <w:rFonts w:ascii="Times New Roman" w:hAnsi="Times New Roman" w:eastAsia="Times New Roman" w:cs="Times New Roman"/>
          <w:sz w:val="20"/>
          <w:szCs w:val="20"/>
        </w:rPr>
      </w:pPr>
    </w:p>
    <w:p w:rsidRPr="0057780D" w:rsidR="00EB1F65" w:rsidP="00EB1F65" w:rsidRDefault="00EB1F65" w14:paraId="034C0694" w14:textId="77777777">
      <w:pPr>
        <w:spacing w:after="180" w:line="264" w:lineRule="auto"/>
        <w:ind w:left="720" w:hanging="720"/>
        <w:rPr>
          <w:rFonts w:ascii="Times New Roman" w:hAnsi="Times New Roman" w:cs="Times New Roman" w:eastAsiaTheme="minorEastAsia"/>
        </w:rPr>
      </w:pPr>
    </w:p>
    <w:p w:rsidRPr="0057780D" w:rsidR="00EB1F65" w:rsidP="00EB1F65" w:rsidRDefault="00EB1F65" w14:paraId="16A51863" w14:textId="77777777">
      <w:pPr>
        <w:rPr>
          <w:rFonts w:ascii="Times New Roman" w:hAnsi="Times New Roman" w:cs="Times New Roman"/>
          <w:b/>
          <w:szCs w:val="24"/>
        </w:rPr>
      </w:pPr>
    </w:p>
    <w:p w:rsidRPr="0057780D" w:rsidR="00E40350" w:rsidRDefault="00E40350" w14:paraId="0D45AECF" w14:textId="77777777">
      <w:pPr>
        <w:spacing w:after="160" w:line="259" w:lineRule="auto"/>
        <w:rPr>
          <w:b/>
        </w:rPr>
      </w:pPr>
      <w:r w:rsidRPr="0057780D">
        <w:rPr>
          <w:b/>
        </w:rPr>
        <w:br w:type="page"/>
      </w:r>
    </w:p>
    <w:p w:rsidRPr="0057780D" w:rsidR="00EB1F65" w:rsidP="00D47300" w:rsidRDefault="00EB1F65" w14:paraId="28DD7080" w14:textId="01C8BEA0">
      <w:pPr>
        <w:pStyle w:val="NoSpacing"/>
        <w:rPr>
          <w:b/>
        </w:rPr>
      </w:pPr>
      <w:r w:rsidRPr="0057780D">
        <w:rPr>
          <w:b/>
        </w:rPr>
        <w:lastRenderedPageBreak/>
        <w:t>ATTACHMENT B</w:t>
      </w:r>
    </w:p>
    <w:p w:rsidRPr="0057780D" w:rsidR="00EB1F65" w:rsidP="00D47300" w:rsidRDefault="00EB1F65" w14:paraId="719CE3D5" w14:textId="2ADD662E">
      <w:pPr>
        <w:pStyle w:val="NoSpacing"/>
        <w:rPr>
          <w:b/>
        </w:rPr>
      </w:pPr>
    </w:p>
    <w:p w:rsidRPr="0057780D" w:rsidR="00EB1F65" w:rsidP="00EB1F65" w:rsidRDefault="00EB1F65" w14:paraId="12D0AF7D" w14:textId="77777777">
      <w:pPr>
        <w:widowControl w:val="0"/>
        <w:rPr>
          <w:rFonts w:ascii="Times New Roman" w:hAnsi="Times New Roman" w:eastAsia="Times New Roman" w:cs="Times New Roman"/>
          <w:b/>
          <w:szCs w:val="24"/>
          <w:u w:val="single"/>
        </w:rPr>
      </w:pPr>
      <w:r w:rsidRPr="0057780D">
        <w:rPr>
          <w:rFonts w:ascii="Times New Roman" w:hAnsi="Times New Roman" w:eastAsia="Times New Roman" w:cs="Times New Roman"/>
          <w:b/>
          <w:szCs w:val="24"/>
          <w:u w:val="single"/>
        </w:rPr>
        <w:t>WAGE RATE CALCULATIONS</w:t>
      </w:r>
    </w:p>
    <w:p w:rsidRPr="0057780D" w:rsidR="00EB1F65" w:rsidP="00EB1F65" w:rsidRDefault="00EB1F65" w14:paraId="6AE90422" w14:textId="77777777">
      <w:pPr>
        <w:widowControl w:val="0"/>
        <w:rPr>
          <w:rFonts w:ascii="Times New Roman" w:hAnsi="Times New Roman" w:eastAsia="Times New Roman" w:cs="Times New Roman"/>
          <w:b/>
          <w:szCs w:val="24"/>
          <w:u w:val="single"/>
        </w:rPr>
      </w:pPr>
    </w:p>
    <w:p w:rsidRPr="0057780D" w:rsidR="00EB1F65" w:rsidP="00EB1F65" w:rsidRDefault="00EB1F65" w14:paraId="08506F43" w14:textId="77777777">
      <w:pPr>
        <w:widowControl w:val="0"/>
        <w:ind w:firstLine="72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To estimate costs, EPA multiplies burden estimates by standard wage rates for managerial, technical, and clerical levels developed from information published by the Bureau of Labor Statistics (BLS) and a method outlined in the document </w:t>
      </w:r>
      <w:r w:rsidRPr="0057780D">
        <w:rPr>
          <w:rFonts w:ascii="Times New Roman" w:hAnsi="Times New Roman" w:eastAsia="Times New Roman" w:cs="Times New Roman"/>
          <w:i/>
          <w:szCs w:val="24"/>
        </w:rPr>
        <w:t>Wage Rates for Economic Analyses of the Toxics Release Inventory Program</w:t>
      </w:r>
      <w:r w:rsidRPr="0057780D">
        <w:rPr>
          <w:rFonts w:ascii="Times New Roman" w:hAnsi="Times New Roman" w:eastAsia="Times New Roman" w:cs="Times New Roman"/>
          <w:szCs w:val="24"/>
        </w:rPr>
        <w:t xml:space="preserve"> (EPA, 2002b). Wage data for these three occupational categories was gathered for manufacturing industries from </w:t>
      </w:r>
      <w:r w:rsidRPr="0057780D">
        <w:rPr>
          <w:rFonts w:ascii="Times New Roman" w:hAnsi="Times New Roman" w:eastAsia="Times New Roman" w:cs="Times New Roman"/>
          <w:i/>
          <w:szCs w:val="24"/>
        </w:rPr>
        <w:t xml:space="preserve">Employer Costs for Employee Compensation Supplemental Tables: </w:t>
      </w:r>
      <w:r w:rsidRPr="0057780D">
        <w:rPr>
          <w:rFonts w:ascii="Times New Roman" w:hAnsi="Times New Roman" w:eastAsia="Times New Roman" w:cs="Times New Roman"/>
          <w:i/>
          <w:iCs/>
          <w:color w:val="000000"/>
          <w:szCs w:val="24"/>
        </w:rPr>
        <w:t>December 2006 – March 2019</w:t>
      </w:r>
      <w:r w:rsidRPr="0057780D">
        <w:rPr>
          <w:rFonts w:ascii="Times New Roman" w:hAnsi="Times New Roman" w:eastAsia="Times New Roman" w:cs="Times New Roman"/>
          <w:i/>
          <w:szCs w:val="24"/>
        </w:rPr>
        <w:t xml:space="preserve"> </w:t>
      </w:r>
      <w:r w:rsidRPr="0057780D">
        <w:rPr>
          <w:rFonts w:ascii="Times New Roman" w:hAnsi="Times New Roman" w:eastAsia="Times New Roman" w:cs="Times New Roman"/>
          <w:szCs w:val="24"/>
        </w:rPr>
        <w:t xml:space="preserve">(U.S. BLS, 2019). Additionally, wage rates for the attorney level were gathered from the </w:t>
      </w:r>
      <w:r w:rsidRPr="0057780D">
        <w:rPr>
          <w:rFonts w:ascii="Times New Roman" w:hAnsi="Times New Roman" w:eastAsia="Times New Roman" w:cs="Times New Roman"/>
          <w:i/>
          <w:szCs w:val="24"/>
        </w:rPr>
        <w:t>BLS Occupational Employment Statistics (OES) May 2018 National Industry-Specific Occupational Employment and Wage Estimates</w:t>
      </w:r>
      <w:r w:rsidRPr="0057780D">
        <w:rPr>
          <w:rFonts w:ascii="Times New Roman" w:hAnsi="Times New Roman" w:eastAsia="Times New Roman" w:cs="Times New Roman"/>
          <w:szCs w:val="24"/>
        </w:rPr>
        <w:t xml:space="preserve"> (U.S. BLS, 2018).</w:t>
      </w:r>
    </w:p>
    <w:p w:rsidRPr="0057780D" w:rsidR="00EB1F65" w:rsidP="00EB1F65" w:rsidRDefault="00EB1F65" w14:paraId="10C907D4" w14:textId="77777777">
      <w:pPr>
        <w:widowControl w:val="0"/>
        <w:ind w:firstLine="720"/>
        <w:rPr>
          <w:rFonts w:ascii="Times New Roman" w:hAnsi="Times New Roman" w:eastAsia="Times New Roman" w:cs="Times New Roman"/>
          <w:szCs w:val="24"/>
        </w:rPr>
      </w:pPr>
      <w:r w:rsidRPr="0057780D">
        <w:rPr>
          <w:rFonts w:ascii="Times New Roman" w:hAnsi="Times New Roman" w:eastAsia="Times New Roman" w:cs="Times New Roman"/>
          <w:szCs w:val="24"/>
        </w:rPr>
        <w:t xml:space="preserve">The cost of fringe benefits, such as health insurance and vacation, is taken for each labor category from the same ECEC series. Following the methodology outlined in (U.S. EPA, 2002), fringe benefits are calculated as a percentage of total wages for each category. Since the fringe benefits for attorney were not available from the BLS report, EPA applied the managerial fringe benefit to wage ratio to this wage as well. EPA added 17 percent to the wages in each category to account for overhead, based on information provided by the chemical industry and chemical industry trade associations in the </w:t>
      </w:r>
      <w:r w:rsidRPr="0057780D">
        <w:rPr>
          <w:rFonts w:ascii="Times New Roman" w:hAnsi="Times New Roman" w:eastAsia="Times New Roman" w:cs="Times New Roman"/>
          <w:i/>
          <w:szCs w:val="24"/>
        </w:rPr>
        <w:t xml:space="preserve">Revised Economic Analysis for the Amended Inventory Update Rule: Final Report </w:t>
      </w:r>
      <w:r w:rsidRPr="0057780D">
        <w:rPr>
          <w:rFonts w:ascii="Times New Roman" w:hAnsi="Times New Roman" w:eastAsia="Times New Roman" w:cs="Times New Roman"/>
          <w:szCs w:val="24"/>
        </w:rPr>
        <w:t xml:space="preserve">(EPA, 2002a) and </w:t>
      </w:r>
      <w:r w:rsidRPr="0057780D">
        <w:rPr>
          <w:rFonts w:ascii="Times New Roman" w:hAnsi="Times New Roman" w:eastAsia="Times New Roman" w:cs="Times New Roman"/>
          <w:i/>
        </w:rPr>
        <w:t>Wage Rates for Economic Analyses of the Toxics Release Inventory Program</w:t>
      </w:r>
      <w:r w:rsidRPr="0057780D">
        <w:rPr>
          <w:rFonts w:ascii="Times New Roman" w:hAnsi="Times New Roman" w:eastAsia="Times New Roman" w:cs="Times New Roman"/>
        </w:rPr>
        <w:t xml:space="preserve"> (Rice, 2002)</w:t>
      </w:r>
      <w:r w:rsidRPr="0057780D">
        <w:rPr>
          <w:rFonts w:ascii="Times New Roman" w:hAnsi="Times New Roman" w:eastAsia="Times New Roman" w:cs="Times New Roman"/>
          <w:szCs w:val="24"/>
        </w:rPr>
        <w:t xml:space="preserve">. The wages for each of the four categories were then multiplied by benefits and overhead factors to estimate loaded, annual salaries in year 2018 dollars. Table 1 contains the loaded wage rates for the attorney, managerial, technical and clerical occupation categories. </w:t>
      </w:r>
    </w:p>
    <w:p w:rsidRPr="0057780D" w:rsidR="00E40350" w:rsidP="00EB1F65" w:rsidRDefault="00E40350" w14:paraId="3A30290E" w14:textId="77777777">
      <w:pPr>
        <w:pStyle w:val="TableTitle"/>
        <w:keepNext w:val="0"/>
        <w:keepLines w:val="0"/>
        <w:widowControl w:val="0"/>
        <w:spacing w:before="0" w:after="0"/>
        <w:outlineLvl w:val="0"/>
        <w:rPr>
          <w:rFonts w:ascii="Times New Roman" w:hAnsi="Times New Roman" w:cs="Times New Roman"/>
          <w:color w:val="auto"/>
          <w:sz w:val="22"/>
        </w:rPr>
      </w:pPr>
    </w:p>
    <w:p w:rsidRPr="0057780D" w:rsidR="00E40350" w:rsidP="00E40350" w:rsidRDefault="00E40350" w14:paraId="53503205" w14:textId="77777777">
      <w:pPr>
        <w:pStyle w:val="TableTitle"/>
        <w:keepNext w:val="0"/>
        <w:keepLines w:val="0"/>
        <w:widowControl w:val="0"/>
        <w:spacing w:before="0" w:after="0"/>
        <w:outlineLvl w:val="0"/>
        <w:rPr>
          <w:rFonts w:ascii="Times New Roman" w:hAnsi="Times New Roman" w:cs="Times New Roman"/>
          <w:color w:val="auto"/>
          <w:sz w:val="22"/>
        </w:rPr>
      </w:pPr>
      <w:r w:rsidRPr="0057780D">
        <w:rPr>
          <w:rFonts w:ascii="Times New Roman" w:hAnsi="Times New Roman" w:cs="Times New Roman"/>
          <w:color w:val="auto"/>
          <w:sz w:val="22"/>
        </w:rPr>
        <w:t>Table 1: Derivation of Loaded Wage Rates for the Private Manufacturing Sector in 2018$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92"/>
        <w:gridCol w:w="1305"/>
        <w:gridCol w:w="1278"/>
        <w:gridCol w:w="1409"/>
        <w:gridCol w:w="1268"/>
        <w:gridCol w:w="1465"/>
        <w:gridCol w:w="1433"/>
      </w:tblGrid>
      <w:tr w:rsidRPr="0057780D" w:rsidR="00E40350" w:rsidTr="000878EB" w14:paraId="2832AD13" w14:textId="77777777">
        <w:trPr>
          <w:cantSplit/>
          <w:trHeight w:val="650"/>
        </w:trPr>
        <w:tc>
          <w:tcPr>
            <w:tcW w:w="629" w:type="pct"/>
            <w:vMerge w:val="restart"/>
            <w:tcBorders>
              <w:top w:val="single" w:color="auto" w:sz="4" w:space="0"/>
              <w:left w:val="single" w:color="auto" w:sz="4" w:space="0"/>
              <w:bottom w:val="single" w:color="auto" w:sz="4" w:space="0"/>
            </w:tcBorders>
            <w:shd w:val="clear" w:color="auto" w:fill="D9D9D9" w:themeFill="background1" w:themeFillShade="D9"/>
            <w:vAlign w:val="center"/>
          </w:tcPr>
          <w:p w:rsidRPr="0057780D" w:rsidR="00E40350" w:rsidP="000878EB" w:rsidRDefault="00E40350" w14:paraId="469BBCFD" w14:textId="77777777">
            <w:pPr>
              <w:keepNext/>
              <w:jc w:val="center"/>
              <w:rPr>
                <w:rFonts w:ascii="Times New Roman" w:hAnsi="Times New Roman" w:cs="Times New Roman"/>
                <w:sz w:val="20"/>
              </w:rPr>
            </w:pPr>
            <w:r w:rsidRPr="0057780D">
              <w:rPr>
                <w:rFonts w:ascii="Times New Roman" w:hAnsi="Times New Roman" w:cs="Times New Roman"/>
                <w:sz w:val="20"/>
              </w:rPr>
              <w:t>Labor Category</w:t>
            </w:r>
          </w:p>
        </w:tc>
        <w:tc>
          <w:tcPr>
            <w:tcW w:w="702"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5FAE0136" w14:textId="77777777">
            <w:pPr>
              <w:keepNext/>
              <w:jc w:val="center"/>
              <w:rPr>
                <w:rFonts w:ascii="Times New Roman" w:hAnsi="Times New Roman" w:cs="Times New Roman"/>
                <w:color w:val="000000"/>
                <w:sz w:val="20"/>
              </w:rPr>
            </w:pPr>
          </w:p>
          <w:p w:rsidRPr="0057780D" w:rsidR="00E40350" w:rsidP="000878EB" w:rsidRDefault="00E40350" w14:paraId="31716383" w14:textId="77777777">
            <w:pPr>
              <w:keepNext/>
              <w:jc w:val="center"/>
              <w:rPr>
                <w:rFonts w:ascii="Times New Roman" w:hAnsi="Times New Roman" w:cs="Times New Roman"/>
                <w:sz w:val="20"/>
              </w:rPr>
            </w:pPr>
            <w:r w:rsidRPr="0057780D">
              <w:rPr>
                <w:rFonts w:ascii="Times New Roman" w:hAnsi="Times New Roman" w:cs="Times New Roman"/>
                <w:color w:val="000000"/>
                <w:sz w:val="20"/>
              </w:rPr>
              <w:t>Wage</w:t>
            </w:r>
          </w:p>
        </w:tc>
        <w:tc>
          <w:tcPr>
            <w:tcW w:w="687"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66036BD5" w14:textId="77777777">
            <w:pPr>
              <w:keepNext/>
              <w:jc w:val="center"/>
              <w:rPr>
                <w:rFonts w:ascii="Times New Roman" w:hAnsi="Times New Roman" w:cs="Times New Roman"/>
                <w:sz w:val="20"/>
              </w:rPr>
            </w:pPr>
            <w:r w:rsidRPr="0057780D">
              <w:rPr>
                <w:rFonts w:ascii="Times New Roman" w:hAnsi="Times New Roman" w:cs="Times New Roman"/>
                <w:color w:val="000000"/>
                <w:sz w:val="20"/>
              </w:rPr>
              <w:t>Fringe Benefits</w:t>
            </w:r>
          </w:p>
        </w:tc>
        <w:tc>
          <w:tcPr>
            <w:tcW w:w="757"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2C4CC304" w14:textId="77777777">
            <w:pPr>
              <w:keepNext/>
              <w:jc w:val="center"/>
              <w:rPr>
                <w:rFonts w:ascii="Times New Roman" w:hAnsi="Times New Roman" w:cs="Times New Roman"/>
                <w:sz w:val="20"/>
              </w:rPr>
            </w:pPr>
            <w:r w:rsidRPr="0057780D">
              <w:rPr>
                <w:rFonts w:ascii="Times New Roman" w:hAnsi="Times New Roman" w:cs="Times New Roman"/>
                <w:color w:val="000000"/>
                <w:sz w:val="20"/>
              </w:rPr>
              <w:t>Fringes as % of Wage</w:t>
            </w:r>
          </w:p>
        </w:tc>
        <w:tc>
          <w:tcPr>
            <w:tcW w:w="682"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17E234DE" w14:textId="77777777">
            <w:pPr>
              <w:keepNext/>
              <w:jc w:val="center"/>
              <w:rPr>
                <w:rFonts w:ascii="Times New Roman" w:hAnsi="Times New Roman" w:cs="Times New Roman"/>
                <w:sz w:val="20"/>
              </w:rPr>
            </w:pPr>
            <w:r w:rsidRPr="0057780D">
              <w:rPr>
                <w:rFonts w:ascii="Times New Roman" w:hAnsi="Times New Roman" w:cs="Times New Roman"/>
                <w:color w:val="000000"/>
                <w:sz w:val="20"/>
              </w:rPr>
              <w:t>Overhead % of Wage</w:t>
            </w:r>
            <w:r w:rsidRPr="0057780D">
              <w:rPr>
                <w:rFonts w:ascii="Times New Roman" w:hAnsi="Times New Roman" w:cs="Times New Roman"/>
                <w:color w:val="000000"/>
                <w:sz w:val="20"/>
                <w:vertAlign w:val="superscript"/>
              </w:rPr>
              <w:t>3</w:t>
            </w:r>
          </w:p>
        </w:tc>
        <w:tc>
          <w:tcPr>
            <w:tcW w:w="773"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5C12D5E7" w14:textId="77777777">
            <w:pPr>
              <w:keepNext/>
              <w:jc w:val="center"/>
              <w:rPr>
                <w:rFonts w:ascii="Times New Roman" w:hAnsi="Times New Roman" w:cs="Times New Roman"/>
                <w:sz w:val="20"/>
              </w:rPr>
            </w:pPr>
            <w:r w:rsidRPr="0057780D">
              <w:rPr>
                <w:rFonts w:ascii="Times New Roman" w:hAnsi="Times New Roman" w:cs="Times New Roman"/>
                <w:color w:val="000000"/>
                <w:sz w:val="20"/>
              </w:rPr>
              <w:t>Fringe + Overhead Factor</w:t>
            </w:r>
          </w:p>
        </w:tc>
        <w:tc>
          <w:tcPr>
            <w:tcW w:w="770" w:type="pct"/>
            <w:tcBorders>
              <w:top w:val="single" w:color="auto" w:sz="4" w:space="0"/>
              <w:bottom w:val="single" w:color="auto" w:sz="4" w:space="0"/>
              <w:right w:val="single" w:color="auto" w:sz="4" w:space="0"/>
            </w:tcBorders>
            <w:shd w:val="clear" w:color="auto" w:fill="D9D9D9" w:themeFill="background1" w:themeFillShade="D9"/>
            <w:vAlign w:val="center"/>
          </w:tcPr>
          <w:p w:rsidRPr="0057780D" w:rsidR="00E40350" w:rsidP="000878EB" w:rsidRDefault="00E40350" w14:paraId="59A4F408" w14:textId="77777777">
            <w:pPr>
              <w:keepNext/>
              <w:jc w:val="center"/>
              <w:rPr>
                <w:rFonts w:ascii="Times New Roman" w:hAnsi="Times New Roman" w:cs="Times New Roman"/>
                <w:sz w:val="20"/>
              </w:rPr>
            </w:pPr>
            <w:r w:rsidRPr="0057780D">
              <w:rPr>
                <w:rFonts w:ascii="Times New Roman" w:hAnsi="Times New Roman" w:cs="Times New Roman"/>
                <w:color w:val="000000"/>
                <w:sz w:val="20"/>
              </w:rPr>
              <w:t>Loaded Wages</w:t>
            </w:r>
          </w:p>
        </w:tc>
      </w:tr>
      <w:tr w:rsidRPr="0057780D" w:rsidR="00E40350" w:rsidTr="000878EB" w14:paraId="52F28257" w14:textId="77777777">
        <w:trPr>
          <w:cantSplit/>
          <w:trHeight w:val="242"/>
        </w:trPr>
        <w:tc>
          <w:tcPr>
            <w:tcW w:w="629" w:type="pct"/>
            <w:vMerge/>
            <w:tcBorders>
              <w:top w:val="single" w:color="auto" w:sz="4" w:space="0"/>
              <w:left w:val="single" w:color="auto" w:sz="4" w:space="0"/>
              <w:bottom w:val="single" w:color="auto" w:sz="4" w:space="0"/>
            </w:tcBorders>
            <w:shd w:val="clear" w:color="auto" w:fill="D9D9D9" w:themeFill="background1" w:themeFillShade="D9"/>
            <w:vAlign w:val="center"/>
          </w:tcPr>
          <w:p w:rsidRPr="0057780D" w:rsidR="00E40350" w:rsidP="000878EB" w:rsidRDefault="00E40350" w14:paraId="3B268765" w14:textId="77777777">
            <w:pPr>
              <w:keepNext/>
              <w:jc w:val="center"/>
              <w:rPr>
                <w:rFonts w:ascii="Times New Roman" w:hAnsi="Times New Roman" w:cs="Times New Roman"/>
                <w:sz w:val="20"/>
              </w:rPr>
            </w:pPr>
          </w:p>
        </w:tc>
        <w:tc>
          <w:tcPr>
            <w:tcW w:w="702"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50251132"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(a)</w:t>
            </w:r>
          </w:p>
        </w:tc>
        <w:tc>
          <w:tcPr>
            <w:tcW w:w="687"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39118D65"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(b)</w:t>
            </w:r>
          </w:p>
        </w:tc>
        <w:tc>
          <w:tcPr>
            <w:tcW w:w="757"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716A3A8C"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(c) = (b)/(a)</w:t>
            </w:r>
          </w:p>
        </w:tc>
        <w:tc>
          <w:tcPr>
            <w:tcW w:w="682"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13550B6B"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(d)</w:t>
            </w:r>
          </w:p>
        </w:tc>
        <w:tc>
          <w:tcPr>
            <w:tcW w:w="773" w:type="pct"/>
            <w:tcBorders>
              <w:top w:val="single" w:color="auto" w:sz="4" w:space="0"/>
              <w:bottom w:val="single" w:color="auto" w:sz="4" w:space="0"/>
            </w:tcBorders>
            <w:shd w:val="clear" w:color="auto" w:fill="D9D9D9" w:themeFill="background1" w:themeFillShade="D9"/>
            <w:vAlign w:val="center"/>
          </w:tcPr>
          <w:p w:rsidRPr="0057780D" w:rsidR="00E40350" w:rsidP="000878EB" w:rsidRDefault="00E40350" w14:paraId="40A3B368"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(e)=(1)+(c)+(d)</w:t>
            </w:r>
          </w:p>
        </w:tc>
        <w:tc>
          <w:tcPr>
            <w:tcW w:w="770" w:type="pct"/>
            <w:tcBorders>
              <w:top w:val="single" w:color="auto" w:sz="4" w:space="0"/>
              <w:bottom w:val="single" w:color="auto" w:sz="4" w:space="0"/>
              <w:right w:val="single" w:color="auto" w:sz="4" w:space="0"/>
            </w:tcBorders>
            <w:shd w:val="clear" w:color="auto" w:fill="D9D9D9" w:themeFill="background1" w:themeFillShade="D9"/>
            <w:vAlign w:val="center"/>
          </w:tcPr>
          <w:p w:rsidRPr="0057780D" w:rsidR="00E40350" w:rsidP="000878EB" w:rsidRDefault="00E40350" w14:paraId="632664B6" w14:textId="77777777">
            <w:pPr>
              <w:keepNext/>
              <w:jc w:val="center"/>
              <w:rPr>
                <w:rFonts w:ascii="Times New Roman" w:hAnsi="Times New Roman" w:cs="Times New Roman"/>
                <w:color w:val="000000"/>
                <w:sz w:val="20"/>
              </w:rPr>
            </w:pPr>
            <w:r w:rsidRPr="0057780D">
              <w:rPr>
                <w:rFonts w:ascii="Times New Roman" w:hAnsi="Times New Roman" w:cs="Times New Roman"/>
                <w:color w:val="000000"/>
                <w:sz w:val="20"/>
              </w:rPr>
              <w:t>(f) = (a) x (e)</w:t>
            </w:r>
          </w:p>
        </w:tc>
      </w:tr>
      <w:tr w:rsidRPr="0057780D" w:rsidR="00E40350" w:rsidTr="000878EB" w14:paraId="6B35C2B0" w14:textId="77777777">
        <w:trPr>
          <w:cantSplit/>
          <w:trHeight w:val="242"/>
        </w:trPr>
        <w:tc>
          <w:tcPr>
            <w:tcW w:w="629" w:type="pct"/>
            <w:tcBorders>
              <w:top w:val="single" w:color="auto" w:sz="4" w:space="0"/>
              <w:left w:val="single" w:color="auto" w:sz="4" w:space="0"/>
            </w:tcBorders>
            <w:vAlign w:val="center"/>
          </w:tcPr>
          <w:p w:rsidRPr="0057780D" w:rsidR="00E40350" w:rsidP="000878EB" w:rsidRDefault="00E40350" w14:paraId="3C7F36D9" w14:textId="77777777">
            <w:pPr>
              <w:keepNext/>
              <w:rPr>
                <w:rFonts w:ascii="Times New Roman" w:hAnsi="Times New Roman" w:cs="Times New Roman"/>
                <w:sz w:val="20"/>
              </w:rPr>
            </w:pPr>
            <w:r w:rsidRPr="0057780D">
              <w:rPr>
                <w:rFonts w:ascii="Times New Roman" w:hAnsi="Times New Roman" w:cs="Times New Roman"/>
                <w:bCs/>
                <w:color w:val="000000"/>
                <w:sz w:val="20"/>
                <w:szCs w:val="20"/>
              </w:rPr>
              <w:t>Attorney</w:t>
            </w:r>
            <w:r w:rsidRPr="0057780D">
              <w:rPr>
                <w:rFonts w:ascii="Times New Roman" w:hAnsi="Times New Roman" w:cs="Times New Roman"/>
                <w:bCs/>
                <w:color w:val="000000"/>
                <w:sz w:val="20"/>
                <w:szCs w:val="20"/>
                <w:vertAlign w:val="superscript"/>
              </w:rPr>
              <w:t>1</w:t>
            </w:r>
          </w:p>
        </w:tc>
        <w:tc>
          <w:tcPr>
            <w:tcW w:w="702" w:type="pct"/>
            <w:tcBorders>
              <w:top w:val="single" w:color="auto" w:sz="4" w:space="0"/>
            </w:tcBorders>
            <w:vAlign w:val="center"/>
          </w:tcPr>
          <w:p w:rsidRPr="0057780D" w:rsidR="00E40350" w:rsidP="000878EB" w:rsidRDefault="00E40350" w14:paraId="7767E43E" w14:textId="77777777">
            <w:pPr>
              <w:keepNext/>
              <w:jc w:val="center"/>
              <w:rPr>
                <w:rFonts w:ascii="Times New Roman" w:hAnsi="Times New Roman" w:cs="Times New Roman"/>
                <w:sz w:val="20"/>
                <w:szCs w:val="20"/>
              </w:rPr>
            </w:pPr>
            <w:r w:rsidRPr="0057780D">
              <w:rPr>
                <w:rFonts w:ascii="Times New Roman" w:hAnsi="Times New Roman" w:cs="Times New Roman"/>
                <w:sz w:val="20"/>
                <w:szCs w:val="20"/>
              </w:rPr>
              <w:t>$72.21</w:t>
            </w:r>
          </w:p>
        </w:tc>
        <w:tc>
          <w:tcPr>
            <w:tcW w:w="687" w:type="pct"/>
            <w:tcBorders>
              <w:top w:val="single" w:color="auto" w:sz="4" w:space="0"/>
            </w:tcBorders>
            <w:vAlign w:val="center"/>
          </w:tcPr>
          <w:p w:rsidRPr="0057780D" w:rsidR="00E40350" w:rsidP="000878EB" w:rsidRDefault="00E40350" w14:paraId="67AC0E50" w14:textId="77777777">
            <w:pPr>
              <w:keepNext/>
              <w:jc w:val="center"/>
              <w:rPr>
                <w:rFonts w:ascii="Times New Roman" w:hAnsi="Times New Roman" w:cs="Times New Roman"/>
                <w:sz w:val="20"/>
                <w:szCs w:val="20"/>
              </w:rPr>
            </w:pPr>
            <w:r w:rsidRPr="0057780D">
              <w:rPr>
                <w:rFonts w:ascii="Times New Roman" w:hAnsi="Times New Roman" w:cs="Times New Roman"/>
                <w:sz w:val="20"/>
                <w:szCs w:val="20"/>
              </w:rPr>
              <w:t>$33.94</w:t>
            </w:r>
          </w:p>
        </w:tc>
        <w:tc>
          <w:tcPr>
            <w:tcW w:w="757" w:type="pct"/>
            <w:tcBorders>
              <w:top w:val="single" w:color="auto" w:sz="4" w:space="0"/>
            </w:tcBorders>
            <w:vAlign w:val="center"/>
          </w:tcPr>
          <w:p w:rsidRPr="0057780D" w:rsidR="00E40350" w:rsidP="000878EB" w:rsidRDefault="00E40350" w14:paraId="4EAE1390" w14:textId="77777777">
            <w:pPr>
              <w:keepNext/>
              <w:jc w:val="center"/>
              <w:rPr>
                <w:rFonts w:ascii="Times New Roman" w:hAnsi="Times New Roman" w:cs="Times New Roman"/>
                <w:sz w:val="20"/>
                <w:szCs w:val="20"/>
              </w:rPr>
            </w:pPr>
            <w:r w:rsidRPr="0057780D">
              <w:rPr>
                <w:rFonts w:ascii="Times New Roman" w:hAnsi="Times New Roman" w:cs="Times New Roman"/>
                <w:sz w:val="20"/>
                <w:szCs w:val="20"/>
              </w:rPr>
              <w:t>47%</w:t>
            </w:r>
          </w:p>
        </w:tc>
        <w:tc>
          <w:tcPr>
            <w:tcW w:w="682" w:type="pct"/>
            <w:tcBorders>
              <w:top w:val="single" w:color="auto" w:sz="4" w:space="0"/>
            </w:tcBorders>
            <w:vAlign w:val="center"/>
          </w:tcPr>
          <w:p w:rsidRPr="0057780D" w:rsidR="00E40350" w:rsidP="000878EB" w:rsidRDefault="00E40350" w14:paraId="073168DD" w14:textId="77777777">
            <w:pPr>
              <w:keepNext/>
              <w:jc w:val="center"/>
              <w:rPr>
                <w:rFonts w:ascii="Times New Roman" w:hAnsi="Times New Roman" w:cs="Times New Roman"/>
                <w:sz w:val="20"/>
                <w:szCs w:val="20"/>
              </w:rPr>
            </w:pPr>
            <w:r w:rsidRPr="0057780D">
              <w:rPr>
                <w:rFonts w:ascii="Times New Roman" w:hAnsi="Times New Roman" w:cs="Times New Roman"/>
                <w:bCs/>
                <w:color w:val="000000"/>
                <w:sz w:val="20"/>
                <w:szCs w:val="20"/>
              </w:rPr>
              <w:t>17%</w:t>
            </w:r>
          </w:p>
        </w:tc>
        <w:tc>
          <w:tcPr>
            <w:tcW w:w="773" w:type="pct"/>
            <w:tcBorders>
              <w:top w:val="single" w:color="auto" w:sz="4" w:space="0"/>
            </w:tcBorders>
            <w:vAlign w:val="center"/>
          </w:tcPr>
          <w:p w:rsidRPr="0057780D" w:rsidR="00E40350" w:rsidP="000878EB" w:rsidRDefault="00E40350" w14:paraId="0D9088D5" w14:textId="77777777">
            <w:pPr>
              <w:keepNext/>
              <w:jc w:val="center"/>
              <w:rPr>
                <w:rFonts w:ascii="Times New Roman" w:hAnsi="Times New Roman" w:cs="Times New Roman"/>
                <w:sz w:val="20"/>
                <w:szCs w:val="20"/>
              </w:rPr>
            </w:pPr>
            <w:r w:rsidRPr="0057780D">
              <w:rPr>
                <w:rFonts w:ascii="Times New Roman" w:hAnsi="Times New Roman" w:cs="Times New Roman"/>
                <w:sz w:val="20"/>
                <w:szCs w:val="20"/>
              </w:rPr>
              <w:t>1.64</w:t>
            </w:r>
          </w:p>
        </w:tc>
        <w:tc>
          <w:tcPr>
            <w:tcW w:w="770" w:type="pct"/>
            <w:tcBorders>
              <w:top w:val="single" w:color="auto" w:sz="4" w:space="0"/>
              <w:right w:val="single" w:color="auto" w:sz="4" w:space="0"/>
            </w:tcBorders>
            <w:vAlign w:val="center"/>
          </w:tcPr>
          <w:p w:rsidRPr="0057780D" w:rsidR="00E40350" w:rsidP="000878EB" w:rsidRDefault="00E40350" w14:paraId="7CDDFCBC" w14:textId="77777777">
            <w:pPr>
              <w:keepNext/>
              <w:jc w:val="center"/>
              <w:rPr>
                <w:rFonts w:ascii="Times New Roman" w:hAnsi="Times New Roman" w:cs="Times New Roman"/>
                <w:sz w:val="20"/>
                <w:szCs w:val="20"/>
              </w:rPr>
            </w:pPr>
            <w:r w:rsidRPr="0057780D">
              <w:rPr>
                <w:rFonts w:ascii="Times New Roman" w:hAnsi="Times New Roman" w:cs="Times New Roman"/>
                <w:sz w:val="20"/>
                <w:szCs w:val="20"/>
              </w:rPr>
              <w:t>$118.42</w:t>
            </w:r>
          </w:p>
        </w:tc>
      </w:tr>
      <w:tr w:rsidRPr="0057780D" w:rsidR="00E40350" w:rsidTr="000878EB" w14:paraId="0A812E61" w14:textId="77777777">
        <w:trPr>
          <w:cantSplit/>
          <w:trHeight w:val="242"/>
        </w:trPr>
        <w:tc>
          <w:tcPr>
            <w:tcW w:w="629" w:type="pct"/>
            <w:tcBorders>
              <w:top w:val="single" w:color="auto" w:sz="4" w:space="0"/>
              <w:left w:val="single" w:color="auto" w:sz="4" w:space="0"/>
            </w:tcBorders>
            <w:vAlign w:val="center"/>
          </w:tcPr>
          <w:p w:rsidRPr="0057780D" w:rsidR="00E40350" w:rsidP="000878EB" w:rsidRDefault="00E40350" w14:paraId="087AC6AA" w14:textId="77777777">
            <w:pPr>
              <w:keepNext/>
              <w:rPr>
                <w:rFonts w:ascii="Times New Roman" w:hAnsi="Times New Roman" w:cs="Times New Roman"/>
                <w:sz w:val="20"/>
              </w:rPr>
            </w:pPr>
            <w:r w:rsidRPr="0057780D">
              <w:rPr>
                <w:rFonts w:ascii="Times New Roman" w:hAnsi="Times New Roman" w:cs="Times New Roman"/>
                <w:sz w:val="20"/>
              </w:rPr>
              <w:t>Managerial</w:t>
            </w:r>
            <w:r w:rsidRPr="0057780D">
              <w:rPr>
                <w:rFonts w:ascii="Times New Roman" w:hAnsi="Times New Roman" w:cs="Times New Roman"/>
                <w:color w:val="000000"/>
                <w:sz w:val="20"/>
                <w:vertAlign w:val="superscript"/>
              </w:rPr>
              <w:t>2</w:t>
            </w:r>
          </w:p>
        </w:tc>
        <w:tc>
          <w:tcPr>
            <w:tcW w:w="702" w:type="pct"/>
            <w:tcBorders>
              <w:top w:val="single" w:color="auto" w:sz="4" w:space="0"/>
            </w:tcBorders>
            <w:vAlign w:val="center"/>
          </w:tcPr>
          <w:p w:rsidRPr="0057780D" w:rsidR="00E40350" w:rsidP="000878EB" w:rsidRDefault="00E40350" w14:paraId="69240A73" w14:textId="77777777">
            <w:pPr>
              <w:keepNext/>
              <w:jc w:val="center"/>
              <w:rPr>
                <w:rFonts w:ascii="Times New Roman" w:hAnsi="Times New Roman" w:cs="Times New Roman"/>
                <w:sz w:val="20"/>
              </w:rPr>
            </w:pPr>
            <w:r w:rsidRPr="0057780D">
              <w:rPr>
                <w:rFonts w:ascii="Times New Roman" w:hAnsi="Times New Roman" w:cs="Times New Roman"/>
                <w:sz w:val="20"/>
              </w:rPr>
              <w:t>$48.73</w:t>
            </w:r>
          </w:p>
        </w:tc>
        <w:tc>
          <w:tcPr>
            <w:tcW w:w="687" w:type="pct"/>
            <w:tcBorders>
              <w:top w:val="single" w:color="auto" w:sz="4" w:space="0"/>
            </w:tcBorders>
            <w:vAlign w:val="center"/>
          </w:tcPr>
          <w:p w:rsidRPr="0057780D" w:rsidR="00E40350" w:rsidP="000878EB" w:rsidRDefault="00E40350" w14:paraId="26B1BB71" w14:textId="77777777">
            <w:pPr>
              <w:keepNext/>
              <w:jc w:val="center"/>
              <w:rPr>
                <w:rFonts w:ascii="Times New Roman" w:hAnsi="Times New Roman" w:cs="Times New Roman"/>
                <w:sz w:val="20"/>
              </w:rPr>
            </w:pPr>
            <w:r w:rsidRPr="0057780D">
              <w:rPr>
                <w:rFonts w:ascii="Times New Roman" w:hAnsi="Times New Roman" w:cs="Times New Roman"/>
                <w:sz w:val="20"/>
              </w:rPr>
              <w:t>$23.08</w:t>
            </w:r>
          </w:p>
        </w:tc>
        <w:tc>
          <w:tcPr>
            <w:tcW w:w="757" w:type="pct"/>
            <w:tcBorders>
              <w:top w:val="single" w:color="auto" w:sz="4" w:space="0"/>
            </w:tcBorders>
            <w:vAlign w:val="center"/>
          </w:tcPr>
          <w:p w:rsidRPr="0057780D" w:rsidR="00E40350" w:rsidP="000878EB" w:rsidRDefault="00E40350" w14:paraId="0B70937A" w14:textId="77777777">
            <w:pPr>
              <w:keepNext/>
              <w:jc w:val="center"/>
              <w:rPr>
                <w:rFonts w:ascii="Times New Roman" w:hAnsi="Times New Roman" w:cs="Times New Roman"/>
                <w:sz w:val="20"/>
              </w:rPr>
            </w:pPr>
            <w:r w:rsidRPr="0057780D">
              <w:rPr>
                <w:rFonts w:ascii="Times New Roman" w:hAnsi="Times New Roman" w:cs="Times New Roman"/>
                <w:sz w:val="20"/>
              </w:rPr>
              <w:t>47%</w:t>
            </w:r>
          </w:p>
        </w:tc>
        <w:tc>
          <w:tcPr>
            <w:tcW w:w="682" w:type="pct"/>
            <w:tcBorders>
              <w:top w:val="single" w:color="auto" w:sz="4" w:space="0"/>
            </w:tcBorders>
            <w:vAlign w:val="center"/>
          </w:tcPr>
          <w:p w:rsidRPr="0057780D" w:rsidR="00E40350" w:rsidP="000878EB" w:rsidRDefault="00E40350" w14:paraId="78D67659" w14:textId="77777777">
            <w:pPr>
              <w:keepNext/>
              <w:jc w:val="center"/>
              <w:rPr>
                <w:rFonts w:ascii="Times New Roman" w:hAnsi="Times New Roman" w:cs="Times New Roman"/>
                <w:sz w:val="20"/>
              </w:rPr>
            </w:pPr>
            <w:r w:rsidRPr="0057780D">
              <w:rPr>
                <w:rFonts w:ascii="Times New Roman" w:hAnsi="Times New Roman" w:cs="Times New Roman"/>
                <w:sz w:val="20"/>
              </w:rPr>
              <w:t>17%</w:t>
            </w:r>
          </w:p>
        </w:tc>
        <w:tc>
          <w:tcPr>
            <w:tcW w:w="773" w:type="pct"/>
            <w:tcBorders>
              <w:top w:val="single" w:color="auto" w:sz="4" w:space="0"/>
            </w:tcBorders>
            <w:vAlign w:val="center"/>
          </w:tcPr>
          <w:p w:rsidRPr="0057780D" w:rsidR="00E40350" w:rsidP="000878EB" w:rsidRDefault="00E40350" w14:paraId="56873C07" w14:textId="77777777">
            <w:pPr>
              <w:keepNext/>
              <w:jc w:val="center"/>
              <w:rPr>
                <w:rFonts w:ascii="Times New Roman" w:hAnsi="Times New Roman" w:cs="Times New Roman"/>
                <w:sz w:val="20"/>
              </w:rPr>
            </w:pPr>
            <w:r w:rsidRPr="0057780D">
              <w:rPr>
                <w:rFonts w:ascii="Times New Roman" w:hAnsi="Times New Roman" w:cs="Times New Roman"/>
                <w:sz w:val="20"/>
              </w:rPr>
              <w:t>1.64</w:t>
            </w:r>
          </w:p>
        </w:tc>
        <w:tc>
          <w:tcPr>
            <w:tcW w:w="770" w:type="pct"/>
            <w:tcBorders>
              <w:top w:val="single" w:color="auto" w:sz="4" w:space="0"/>
              <w:right w:val="single" w:color="auto" w:sz="4" w:space="0"/>
            </w:tcBorders>
            <w:vAlign w:val="center"/>
          </w:tcPr>
          <w:p w:rsidRPr="0057780D" w:rsidR="00E40350" w:rsidP="000878EB" w:rsidRDefault="00E40350" w14:paraId="1D16B096" w14:textId="77777777">
            <w:pPr>
              <w:keepNext/>
              <w:jc w:val="center"/>
              <w:rPr>
                <w:rFonts w:ascii="Times New Roman" w:hAnsi="Times New Roman" w:cs="Times New Roman"/>
                <w:sz w:val="20"/>
              </w:rPr>
            </w:pPr>
            <w:r w:rsidRPr="0057780D">
              <w:rPr>
                <w:rFonts w:ascii="Times New Roman" w:hAnsi="Times New Roman" w:cs="Times New Roman"/>
                <w:sz w:val="20"/>
              </w:rPr>
              <w:t>$80.09</w:t>
            </w:r>
          </w:p>
        </w:tc>
      </w:tr>
      <w:tr w:rsidRPr="0057780D" w:rsidR="00E40350" w:rsidTr="000878EB" w14:paraId="4BD94A7C" w14:textId="77777777">
        <w:trPr>
          <w:cantSplit/>
          <w:trHeight w:val="170"/>
        </w:trPr>
        <w:tc>
          <w:tcPr>
            <w:tcW w:w="629" w:type="pct"/>
            <w:tcBorders>
              <w:left w:val="single" w:color="auto" w:sz="4" w:space="0"/>
            </w:tcBorders>
            <w:vAlign w:val="center"/>
          </w:tcPr>
          <w:p w:rsidRPr="0057780D" w:rsidR="00E40350" w:rsidP="000878EB" w:rsidRDefault="00E40350" w14:paraId="18DD0872" w14:textId="77777777">
            <w:pPr>
              <w:keepNext/>
              <w:rPr>
                <w:rFonts w:ascii="Times New Roman" w:hAnsi="Times New Roman" w:cs="Times New Roman"/>
                <w:sz w:val="20"/>
              </w:rPr>
            </w:pPr>
            <w:r w:rsidRPr="0057780D">
              <w:rPr>
                <w:rFonts w:ascii="Times New Roman" w:hAnsi="Times New Roman" w:cs="Times New Roman"/>
                <w:sz w:val="20"/>
              </w:rPr>
              <w:t>Technical</w:t>
            </w:r>
            <w:r w:rsidRPr="0057780D">
              <w:rPr>
                <w:rFonts w:ascii="Times New Roman" w:hAnsi="Times New Roman" w:cs="Times New Roman"/>
                <w:sz w:val="20"/>
                <w:vertAlign w:val="superscript"/>
              </w:rPr>
              <w:t>2</w:t>
            </w:r>
          </w:p>
        </w:tc>
        <w:tc>
          <w:tcPr>
            <w:tcW w:w="702" w:type="pct"/>
            <w:vAlign w:val="center"/>
          </w:tcPr>
          <w:p w:rsidRPr="0057780D" w:rsidR="00E40350" w:rsidP="000878EB" w:rsidRDefault="00E40350" w14:paraId="7299C2A5" w14:textId="77777777">
            <w:pPr>
              <w:keepNext/>
              <w:jc w:val="center"/>
              <w:rPr>
                <w:rFonts w:ascii="Times New Roman" w:hAnsi="Times New Roman" w:cs="Times New Roman"/>
                <w:sz w:val="20"/>
              </w:rPr>
            </w:pPr>
            <w:r w:rsidRPr="0057780D">
              <w:rPr>
                <w:rFonts w:ascii="Times New Roman" w:hAnsi="Times New Roman" w:cs="Times New Roman"/>
                <w:sz w:val="20"/>
              </w:rPr>
              <w:t>$44.35</w:t>
            </w:r>
          </w:p>
        </w:tc>
        <w:tc>
          <w:tcPr>
            <w:tcW w:w="687" w:type="pct"/>
            <w:vAlign w:val="center"/>
          </w:tcPr>
          <w:p w:rsidRPr="0057780D" w:rsidR="00E40350" w:rsidP="000878EB" w:rsidRDefault="00E40350" w14:paraId="0FCD2DDA" w14:textId="77777777">
            <w:pPr>
              <w:keepNext/>
              <w:jc w:val="center"/>
              <w:rPr>
                <w:rFonts w:ascii="Times New Roman" w:hAnsi="Times New Roman" w:cs="Times New Roman"/>
                <w:sz w:val="20"/>
              </w:rPr>
            </w:pPr>
            <w:r w:rsidRPr="0057780D">
              <w:rPr>
                <w:rFonts w:ascii="Times New Roman" w:hAnsi="Times New Roman" w:cs="Times New Roman"/>
                <w:sz w:val="20"/>
              </w:rPr>
              <w:t>$24.43</w:t>
            </w:r>
          </w:p>
        </w:tc>
        <w:tc>
          <w:tcPr>
            <w:tcW w:w="757" w:type="pct"/>
            <w:vAlign w:val="center"/>
          </w:tcPr>
          <w:p w:rsidRPr="0057780D" w:rsidR="00E40350" w:rsidP="000878EB" w:rsidRDefault="00E40350" w14:paraId="4D64CC0D" w14:textId="77777777">
            <w:pPr>
              <w:keepNext/>
              <w:jc w:val="center"/>
              <w:rPr>
                <w:rFonts w:ascii="Times New Roman" w:hAnsi="Times New Roman" w:cs="Times New Roman"/>
                <w:sz w:val="20"/>
              </w:rPr>
            </w:pPr>
            <w:r w:rsidRPr="0057780D">
              <w:rPr>
                <w:rFonts w:ascii="Times New Roman" w:hAnsi="Times New Roman" w:cs="Times New Roman"/>
                <w:sz w:val="20"/>
              </w:rPr>
              <w:t>55%</w:t>
            </w:r>
          </w:p>
        </w:tc>
        <w:tc>
          <w:tcPr>
            <w:tcW w:w="682" w:type="pct"/>
            <w:vAlign w:val="center"/>
          </w:tcPr>
          <w:p w:rsidRPr="0057780D" w:rsidR="00E40350" w:rsidP="000878EB" w:rsidRDefault="00E40350" w14:paraId="2EF4EFFB" w14:textId="77777777">
            <w:pPr>
              <w:keepNext/>
              <w:jc w:val="center"/>
              <w:rPr>
                <w:rFonts w:ascii="Times New Roman" w:hAnsi="Times New Roman" w:cs="Times New Roman"/>
                <w:sz w:val="20"/>
              </w:rPr>
            </w:pPr>
            <w:r w:rsidRPr="0057780D">
              <w:rPr>
                <w:rFonts w:ascii="Times New Roman" w:hAnsi="Times New Roman" w:cs="Times New Roman"/>
                <w:sz w:val="20"/>
              </w:rPr>
              <w:t>17%</w:t>
            </w:r>
          </w:p>
        </w:tc>
        <w:tc>
          <w:tcPr>
            <w:tcW w:w="773" w:type="pct"/>
            <w:vAlign w:val="center"/>
          </w:tcPr>
          <w:p w:rsidRPr="0057780D" w:rsidR="00E40350" w:rsidP="000878EB" w:rsidRDefault="00E40350" w14:paraId="05A7412F" w14:textId="77777777">
            <w:pPr>
              <w:keepNext/>
              <w:jc w:val="center"/>
              <w:rPr>
                <w:rFonts w:ascii="Times New Roman" w:hAnsi="Times New Roman" w:cs="Times New Roman"/>
                <w:sz w:val="20"/>
              </w:rPr>
            </w:pPr>
            <w:r w:rsidRPr="0057780D">
              <w:rPr>
                <w:rFonts w:ascii="Times New Roman" w:hAnsi="Times New Roman" w:cs="Times New Roman"/>
                <w:sz w:val="20"/>
              </w:rPr>
              <w:t>1.72</w:t>
            </w:r>
          </w:p>
        </w:tc>
        <w:tc>
          <w:tcPr>
            <w:tcW w:w="770" w:type="pct"/>
            <w:tcBorders>
              <w:right w:val="single" w:color="auto" w:sz="4" w:space="0"/>
            </w:tcBorders>
            <w:vAlign w:val="center"/>
          </w:tcPr>
          <w:p w:rsidRPr="0057780D" w:rsidR="00E40350" w:rsidP="000878EB" w:rsidRDefault="00E40350" w14:paraId="7C7C691C" w14:textId="77777777">
            <w:pPr>
              <w:keepNext/>
              <w:jc w:val="center"/>
              <w:rPr>
                <w:rFonts w:ascii="Times New Roman" w:hAnsi="Times New Roman" w:cs="Times New Roman"/>
                <w:sz w:val="20"/>
              </w:rPr>
            </w:pPr>
            <w:r w:rsidRPr="0057780D">
              <w:rPr>
                <w:rFonts w:ascii="Times New Roman" w:hAnsi="Times New Roman" w:cs="Times New Roman"/>
                <w:sz w:val="20"/>
              </w:rPr>
              <w:t>$75.32</w:t>
            </w:r>
          </w:p>
        </w:tc>
      </w:tr>
      <w:tr w:rsidRPr="0057780D" w:rsidR="00E40350" w:rsidTr="000878EB" w14:paraId="7078FF7E" w14:textId="77777777">
        <w:trPr>
          <w:cantSplit/>
          <w:trHeight w:val="230"/>
        </w:trPr>
        <w:tc>
          <w:tcPr>
            <w:tcW w:w="629" w:type="pct"/>
            <w:tcBorders>
              <w:left w:val="single" w:color="auto" w:sz="4" w:space="0"/>
              <w:bottom w:val="single" w:color="auto" w:sz="4" w:space="0"/>
            </w:tcBorders>
            <w:vAlign w:val="center"/>
          </w:tcPr>
          <w:p w:rsidRPr="0057780D" w:rsidR="00E40350" w:rsidP="000878EB" w:rsidRDefault="00E40350" w14:paraId="6A0B65DD" w14:textId="77777777">
            <w:pPr>
              <w:keepNext/>
              <w:rPr>
                <w:rFonts w:ascii="Times New Roman" w:hAnsi="Times New Roman" w:cs="Times New Roman"/>
                <w:sz w:val="20"/>
              </w:rPr>
            </w:pPr>
            <w:r w:rsidRPr="0057780D">
              <w:rPr>
                <w:rFonts w:ascii="Times New Roman" w:hAnsi="Times New Roman" w:cs="Times New Roman"/>
                <w:sz w:val="20"/>
              </w:rPr>
              <w:t>Clerical</w:t>
            </w:r>
            <w:r w:rsidRPr="0057780D">
              <w:rPr>
                <w:rFonts w:ascii="Times New Roman" w:hAnsi="Times New Roman" w:cs="Times New Roman"/>
                <w:sz w:val="20"/>
                <w:vertAlign w:val="superscript"/>
              </w:rPr>
              <w:t>2</w:t>
            </w:r>
          </w:p>
        </w:tc>
        <w:tc>
          <w:tcPr>
            <w:tcW w:w="702" w:type="pct"/>
            <w:tcBorders>
              <w:bottom w:val="single" w:color="auto" w:sz="4" w:space="0"/>
            </w:tcBorders>
            <w:vAlign w:val="center"/>
          </w:tcPr>
          <w:p w:rsidRPr="0057780D" w:rsidR="00E40350" w:rsidP="000878EB" w:rsidRDefault="00E40350" w14:paraId="524FC1ED" w14:textId="77777777">
            <w:pPr>
              <w:keepNext/>
              <w:jc w:val="center"/>
              <w:rPr>
                <w:rFonts w:ascii="Times New Roman" w:hAnsi="Times New Roman" w:cs="Times New Roman"/>
                <w:sz w:val="20"/>
              </w:rPr>
            </w:pPr>
            <w:r w:rsidRPr="0057780D">
              <w:rPr>
                <w:rFonts w:ascii="Times New Roman" w:hAnsi="Times New Roman" w:cs="Times New Roman"/>
                <w:sz w:val="20"/>
              </w:rPr>
              <w:t>$20.77</w:t>
            </w:r>
          </w:p>
        </w:tc>
        <w:tc>
          <w:tcPr>
            <w:tcW w:w="687" w:type="pct"/>
            <w:tcBorders>
              <w:bottom w:val="single" w:color="auto" w:sz="4" w:space="0"/>
            </w:tcBorders>
            <w:vAlign w:val="center"/>
          </w:tcPr>
          <w:p w:rsidRPr="0057780D" w:rsidR="00E40350" w:rsidP="000878EB" w:rsidRDefault="00E40350" w14:paraId="58CF777D" w14:textId="77777777">
            <w:pPr>
              <w:keepNext/>
              <w:jc w:val="center"/>
              <w:rPr>
                <w:rFonts w:ascii="Times New Roman" w:hAnsi="Times New Roman" w:cs="Times New Roman"/>
                <w:sz w:val="20"/>
              </w:rPr>
            </w:pPr>
            <w:r w:rsidRPr="0057780D">
              <w:rPr>
                <w:rFonts w:ascii="Times New Roman" w:hAnsi="Times New Roman" w:cs="Times New Roman"/>
                <w:sz w:val="20"/>
              </w:rPr>
              <w:t>$20.77</w:t>
            </w:r>
          </w:p>
        </w:tc>
        <w:tc>
          <w:tcPr>
            <w:tcW w:w="757" w:type="pct"/>
            <w:tcBorders>
              <w:bottom w:val="single" w:color="auto" w:sz="4" w:space="0"/>
            </w:tcBorders>
            <w:vAlign w:val="center"/>
          </w:tcPr>
          <w:p w:rsidRPr="0057780D" w:rsidR="00E40350" w:rsidP="000878EB" w:rsidRDefault="00E40350" w14:paraId="2A27E0CF" w14:textId="77777777">
            <w:pPr>
              <w:keepNext/>
              <w:jc w:val="center"/>
              <w:rPr>
                <w:rFonts w:ascii="Times New Roman" w:hAnsi="Times New Roman" w:cs="Times New Roman"/>
                <w:sz w:val="20"/>
              </w:rPr>
            </w:pPr>
            <w:r w:rsidRPr="0057780D">
              <w:rPr>
                <w:rFonts w:ascii="Times New Roman" w:hAnsi="Times New Roman" w:cs="Times New Roman"/>
                <w:sz w:val="20"/>
              </w:rPr>
              <w:t>49%</w:t>
            </w:r>
          </w:p>
        </w:tc>
        <w:tc>
          <w:tcPr>
            <w:tcW w:w="682" w:type="pct"/>
            <w:tcBorders>
              <w:bottom w:val="single" w:color="auto" w:sz="4" w:space="0"/>
            </w:tcBorders>
            <w:vAlign w:val="center"/>
          </w:tcPr>
          <w:p w:rsidRPr="0057780D" w:rsidR="00E40350" w:rsidP="000878EB" w:rsidRDefault="00E40350" w14:paraId="56E83C57" w14:textId="77777777">
            <w:pPr>
              <w:keepNext/>
              <w:jc w:val="center"/>
              <w:rPr>
                <w:rFonts w:ascii="Times New Roman" w:hAnsi="Times New Roman" w:cs="Times New Roman"/>
                <w:sz w:val="20"/>
              </w:rPr>
            </w:pPr>
            <w:r w:rsidRPr="0057780D">
              <w:rPr>
                <w:rFonts w:ascii="Times New Roman" w:hAnsi="Times New Roman" w:cs="Times New Roman"/>
                <w:sz w:val="20"/>
              </w:rPr>
              <w:t>17%</w:t>
            </w:r>
          </w:p>
        </w:tc>
        <w:tc>
          <w:tcPr>
            <w:tcW w:w="773" w:type="pct"/>
            <w:tcBorders>
              <w:bottom w:val="single" w:color="auto" w:sz="4" w:space="0"/>
            </w:tcBorders>
            <w:vAlign w:val="center"/>
          </w:tcPr>
          <w:p w:rsidRPr="0057780D" w:rsidR="00E40350" w:rsidP="000878EB" w:rsidRDefault="00E40350" w14:paraId="265FB8F6" w14:textId="77777777">
            <w:pPr>
              <w:keepNext/>
              <w:jc w:val="center"/>
              <w:rPr>
                <w:rFonts w:ascii="Times New Roman" w:hAnsi="Times New Roman" w:cs="Times New Roman"/>
                <w:sz w:val="20"/>
              </w:rPr>
            </w:pPr>
            <w:r w:rsidRPr="0057780D">
              <w:rPr>
                <w:rFonts w:ascii="Times New Roman" w:hAnsi="Times New Roman" w:cs="Times New Roman"/>
                <w:sz w:val="20"/>
              </w:rPr>
              <w:t>1.66</w:t>
            </w:r>
          </w:p>
        </w:tc>
        <w:tc>
          <w:tcPr>
            <w:tcW w:w="770" w:type="pct"/>
            <w:tcBorders>
              <w:bottom w:val="single" w:color="auto" w:sz="4" w:space="0"/>
              <w:right w:val="single" w:color="auto" w:sz="4" w:space="0"/>
            </w:tcBorders>
            <w:vAlign w:val="center"/>
          </w:tcPr>
          <w:p w:rsidRPr="0057780D" w:rsidR="00E40350" w:rsidP="000878EB" w:rsidRDefault="00E40350" w14:paraId="414789A9" w14:textId="77777777">
            <w:pPr>
              <w:keepNext/>
              <w:jc w:val="center"/>
              <w:rPr>
                <w:rFonts w:ascii="Times New Roman" w:hAnsi="Times New Roman" w:cs="Times New Roman"/>
                <w:sz w:val="20"/>
              </w:rPr>
            </w:pPr>
            <w:r w:rsidRPr="0057780D">
              <w:rPr>
                <w:rFonts w:ascii="Times New Roman" w:hAnsi="Times New Roman" w:cs="Times New Roman"/>
                <w:sz w:val="20"/>
              </w:rPr>
              <w:t>$34.50</w:t>
            </w:r>
          </w:p>
        </w:tc>
      </w:tr>
      <w:tr w:rsidRPr="0057780D" w:rsidR="00E40350" w:rsidTr="000878EB" w14:paraId="25866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214"/>
        </w:trPr>
        <w:tc>
          <w:tcPr>
            <w:tcW w:w="5000" w:type="pct"/>
            <w:gridSpan w:val="7"/>
            <w:tcBorders>
              <w:top w:val="single" w:color="auto" w:sz="4" w:space="0"/>
            </w:tcBorders>
          </w:tcPr>
          <w:p w:rsidRPr="0057780D" w:rsidR="00E40350" w:rsidP="000878EB" w:rsidRDefault="00E40350" w14:paraId="6CEE8293" w14:textId="77777777">
            <w:pPr>
              <w:keepNext/>
              <w:autoSpaceDE w:val="0"/>
              <w:autoSpaceDN w:val="0"/>
              <w:adjustRightInd w:val="0"/>
              <w:rPr>
                <w:rFonts w:ascii="Times New Roman" w:hAnsi="Times New Roman" w:cs="Times New Roman"/>
                <w:sz w:val="20"/>
                <w:szCs w:val="20"/>
              </w:rPr>
            </w:pPr>
            <w:r w:rsidRPr="0057780D">
              <w:rPr>
                <w:rFonts w:ascii="Times New Roman" w:hAnsi="Times New Roman" w:cs="Times New Roman"/>
                <w:b/>
                <w:bCs/>
                <w:sz w:val="20"/>
                <w:szCs w:val="20"/>
              </w:rPr>
              <w:t xml:space="preserve">Sources: </w:t>
            </w:r>
            <w:r w:rsidRPr="0057780D">
              <w:rPr>
                <w:rFonts w:ascii="Times New Roman" w:hAnsi="Times New Roman" w:cs="Times New Roman"/>
                <w:bCs/>
                <w:sz w:val="20"/>
                <w:szCs w:val="20"/>
                <w:vertAlign w:val="superscript"/>
              </w:rPr>
              <w:t>1</w:t>
            </w:r>
            <w:r w:rsidRPr="0057780D">
              <w:rPr>
                <w:rFonts w:ascii="Times New Roman" w:hAnsi="Times New Roman" w:cs="Times New Roman"/>
                <w:sz w:val="20"/>
                <w:szCs w:val="20"/>
                <w:vertAlign w:val="superscript"/>
              </w:rPr>
              <w:t xml:space="preserve"> </w:t>
            </w:r>
            <w:r w:rsidRPr="0057780D">
              <w:rPr>
                <w:rFonts w:ascii="Times New Roman" w:hAnsi="Times New Roman" w:cs="Times New Roman"/>
                <w:sz w:val="20"/>
                <w:szCs w:val="20"/>
              </w:rPr>
              <w:t xml:space="preserve"> Bureau of Labor Statistics Occupational Employment Statistics (OES) May 2018 National Industry-Specific Occupational Employment and Wage Estimates (U.S. BLS, 2018) </w:t>
            </w:r>
          </w:p>
          <w:p w:rsidRPr="0057780D" w:rsidR="00E40350" w:rsidP="000878EB" w:rsidRDefault="00E40350" w14:paraId="151440B5" w14:textId="77777777">
            <w:pPr>
              <w:keepNext/>
              <w:rPr>
                <w:rFonts w:ascii="Times New Roman" w:hAnsi="Times New Roman" w:cs="Times New Roman"/>
                <w:sz w:val="20"/>
              </w:rPr>
            </w:pPr>
            <w:r w:rsidRPr="0057780D">
              <w:rPr>
                <w:rFonts w:ascii="Times New Roman" w:hAnsi="Times New Roman" w:cs="Times New Roman"/>
                <w:sz w:val="20"/>
                <w:vertAlign w:val="superscript"/>
              </w:rPr>
              <w:t>2</w:t>
            </w:r>
            <w:r w:rsidRPr="0057780D">
              <w:rPr>
                <w:rFonts w:ascii="Times New Roman" w:hAnsi="Times New Roman" w:cs="Times New Roman"/>
                <w:sz w:val="20"/>
              </w:rPr>
              <w:t>Employer Costs for Employee Compensation Supplementary Tables: December 2006 – March 2019 (U.S. BLS, 2019).</w:t>
            </w:r>
          </w:p>
          <w:p w:rsidRPr="0057780D" w:rsidR="00E40350" w:rsidP="000878EB" w:rsidRDefault="00E40350" w14:paraId="45032A9B" w14:textId="77777777">
            <w:pPr>
              <w:keepNext/>
              <w:rPr>
                <w:rFonts w:ascii="Times New Roman" w:hAnsi="Times New Roman" w:cs="Times New Roman"/>
                <w:sz w:val="20"/>
                <w:szCs w:val="20"/>
              </w:rPr>
            </w:pPr>
            <w:r w:rsidRPr="0057780D">
              <w:rPr>
                <w:rFonts w:ascii="Times New Roman" w:hAnsi="Times New Roman" w:cs="Times New Roman"/>
                <w:sz w:val="20"/>
                <w:szCs w:val="20"/>
                <w:vertAlign w:val="superscript"/>
              </w:rPr>
              <w:t>3</w:t>
            </w:r>
            <w:r w:rsidRPr="0057780D">
              <w:rPr>
                <w:rFonts w:ascii="Times New Roman" w:hAnsi="Times New Roman" w:cs="Times New Roman"/>
                <w:sz w:val="20"/>
                <w:szCs w:val="20"/>
              </w:rPr>
              <w:t xml:space="preserve">An overhead rate of 17 percent was estimated based on information provided </w:t>
            </w:r>
            <w:r w:rsidRPr="0057780D">
              <w:rPr>
                <w:rFonts w:ascii="Times New Roman" w:hAnsi="Times New Roman" w:eastAsia="Times New Roman" w:cs="Times New Roman"/>
                <w:sz w:val="20"/>
                <w:szCs w:val="20"/>
              </w:rPr>
              <w:t xml:space="preserve">by the chemical industry and chemical industry trade associations in the </w:t>
            </w:r>
            <w:r w:rsidRPr="0057780D">
              <w:rPr>
                <w:rFonts w:ascii="Times New Roman" w:hAnsi="Times New Roman" w:eastAsia="Times New Roman" w:cs="Times New Roman"/>
                <w:i/>
                <w:sz w:val="20"/>
                <w:szCs w:val="20"/>
              </w:rPr>
              <w:t xml:space="preserve">Revised Economic Analysis for the Amended Inventory Update Rule: Final Report </w:t>
            </w:r>
            <w:r w:rsidRPr="0057780D">
              <w:rPr>
                <w:rFonts w:ascii="Times New Roman" w:hAnsi="Times New Roman" w:eastAsia="Times New Roman" w:cs="Times New Roman"/>
                <w:sz w:val="20"/>
                <w:szCs w:val="20"/>
              </w:rPr>
              <w:t>(U.S. EPA, 2002)</w:t>
            </w:r>
            <w:r w:rsidRPr="0057780D">
              <w:rPr>
                <w:rFonts w:ascii="Times New Roman" w:hAnsi="Times New Roman" w:eastAsia="Times New Roman" w:cs="Times New Roman"/>
                <w:i/>
                <w:sz w:val="20"/>
                <w:szCs w:val="20"/>
              </w:rPr>
              <w:t xml:space="preserve"> </w:t>
            </w:r>
            <w:r w:rsidRPr="0057780D">
              <w:rPr>
                <w:rFonts w:ascii="Times New Roman" w:hAnsi="Times New Roman" w:eastAsia="Times New Roman" w:cs="Times New Roman"/>
                <w:sz w:val="20"/>
                <w:szCs w:val="20"/>
              </w:rPr>
              <w:t xml:space="preserve">and </w:t>
            </w:r>
            <w:r w:rsidRPr="0057780D">
              <w:rPr>
                <w:rFonts w:ascii="Times New Roman" w:hAnsi="Times New Roman" w:cs="Times New Roman"/>
                <w:i/>
                <w:sz w:val="20"/>
                <w:szCs w:val="20"/>
              </w:rPr>
              <w:t>Wage Rates for Economic Analyses of the Toxics Release Inventory Program</w:t>
            </w:r>
            <w:r w:rsidRPr="0057780D">
              <w:rPr>
                <w:rFonts w:ascii="Times New Roman" w:hAnsi="Times New Roman" w:cs="Times New Roman"/>
                <w:sz w:val="20"/>
                <w:szCs w:val="20"/>
              </w:rPr>
              <w:t>. (Rice, 2002)</w:t>
            </w:r>
          </w:p>
        </w:tc>
      </w:tr>
    </w:tbl>
    <w:p w:rsidRPr="0057780D" w:rsidR="00E40350" w:rsidP="00EB1F65" w:rsidRDefault="00E40350" w14:paraId="401527FD" w14:textId="77777777">
      <w:pPr>
        <w:pStyle w:val="TableTitle"/>
        <w:keepNext w:val="0"/>
        <w:keepLines w:val="0"/>
        <w:widowControl w:val="0"/>
        <w:spacing w:before="0" w:after="0"/>
        <w:outlineLvl w:val="0"/>
        <w:rPr>
          <w:rFonts w:ascii="Times New Roman" w:hAnsi="Times New Roman" w:cs="Times New Roman"/>
          <w:color w:val="auto"/>
          <w:sz w:val="22"/>
        </w:rPr>
      </w:pPr>
    </w:p>
    <w:p w:rsidRPr="0057780D" w:rsidR="00E40350" w:rsidP="00EB1F65" w:rsidRDefault="00E40350" w14:paraId="0ED5F7B3" w14:textId="77777777">
      <w:pPr>
        <w:pStyle w:val="TableTitle"/>
        <w:keepNext w:val="0"/>
        <w:keepLines w:val="0"/>
        <w:widowControl w:val="0"/>
        <w:spacing w:before="0" w:after="0"/>
        <w:outlineLvl w:val="0"/>
        <w:rPr>
          <w:rFonts w:ascii="Times New Roman" w:hAnsi="Times New Roman" w:cs="Times New Roman"/>
          <w:color w:val="auto"/>
          <w:sz w:val="22"/>
        </w:rPr>
      </w:pPr>
    </w:p>
    <w:p w:rsidRPr="0057780D" w:rsidR="00E40350" w:rsidP="00EB1F65" w:rsidRDefault="00E40350" w14:paraId="3C63876A" w14:textId="77777777">
      <w:pPr>
        <w:pStyle w:val="TableTitle"/>
        <w:keepNext w:val="0"/>
        <w:keepLines w:val="0"/>
        <w:widowControl w:val="0"/>
        <w:spacing w:before="0" w:after="0"/>
        <w:outlineLvl w:val="0"/>
        <w:rPr>
          <w:rFonts w:ascii="Times New Roman" w:hAnsi="Times New Roman" w:cs="Times New Roman"/>
          <w:color w:val="auto"/>
          <w:sz w:val="22"/>
        </w:rPr>
      </w:pPr>
    </w:p>
    <w:p w:rsidRPr="0057780D" w:rsidR="00EB1F65" w:rsidP="00EB1F65" w:rsidRDefault="00EB1F65" w14:paraId="11DFABFD" w14:textId="77777777">
      <w:pPr>
        <w:keepNext/>
        <w:rPr>
          <w:rFonts w:ascii="Times New Roman" w:hAnsi="Times New Roman" w:eastAsia="Times New Roman" w:cs="Times New Roman"/>
          <w:b/>
        </w:rPr>
      </w:pPr>
      <w:r w:rsidRPr="0057780D">
        <w:rPr>
          <w:rFonts w:ascii="Times New Roman" w:hAnsi="Times New Roman" w:eastAsia="Times New Roman" w:cs="Times New Roman"/>
          <w:b/>
        </w:rPr>
        <w:lastRenderedPageBreak/>
        <w:t>References</w:t>
      </w:r>
    </w:p>
    <w:p w:rsidRPr="0057780D" w:rsidR="00EB1F65" w:rsidP="00EB1F65" w:rsidRDefault="00EB1F65" w14:paraId="4CD5C0A6" w14:textId="77777777">
      <w:pPr>
        <w:keepNext/>
        <w:rPr>
          <w:rFonts w:ascii="Times New Roman" w:hAnsi="Times New Roman" w:eastAsia="Times New Roman" w:cs="Times New Roman"/>
          <w:b/>
        </w:rPr>
      </w:pPr>
    </w:p>
    <w:p w:rsidRPr="0057780D" w:rsidR="00EB1F65" w:rsidP="00EB1F65" w:rsidRDefault="00EB1F65" w14:paraId="3F4C704A" w14:textId="77777777">
      <w:pPr>
        <w:rPr>
          <w:rFonts w:ascii="Times New Roman" w:hAnsi="Times New Roman" w:cs="Times New Roman" w:eastAsiaTheme="minorEastAsia"/>
        </w:rPr>
      </w:pPr>
      <w:r w:rsidRPr="0057780D">
        <w:rPr>
          <w:rFonts w:ascii="Times New Roman" w:hAnsi="Times New Roman" w:cs="Times New Roman" w:eastAsiaTheme="minorEastAsia"/>
        </w:rPr>
        <w:t xml:space="preserve">Rice, C. (2002). </w:t>
      </w:r>
      <w:r w:rsidRPr="0057780D">
        <w:rPr>
          <w:rFonts w:ascii="Times New Roman" w:hAnsi="Times New Roman" w:cs="Times New Roman" w:eastAsiaTheme="minorEastAsia"/>
          <w:i/>
          <w:iCs/>
        </w:rPr>
        <w:t>Wage Rates for Economic Analysis of the Toxic Release Inventory Program.</w:t>
      </w:r>
      <w:r w:rsidRPr="0057780D">
        <w:rPr>
          <w:rFonts w:ascii="Times New Roman" w:hAnsi="Times New Roman" w:cs="Times New Roman" w:eastAsiaTheme="minorEastAsia"/>
        </w:rPr>
        <w:t xml:space="preserve"> </w:t>
      </w:r>
      <w:r w:rsidRPr="0057780D">
        <w:rPr>
          <w:rFonts w:ascii="Times New Roman" w:hAnsi="Times New Roman" w:cs="Times New Roman" w:eastAsiaTheme="minorEastAsia"/>
        </w:rPr>
        <w:tab/>
        <w:t xml:space="preserve">Washington, D.C.: U.S. EPA, Office of Pollution Prevention and Toxics, Economics and </w:t>
      </w:r>
      <w:r w:rsidRPr="0057780D">
        <w:rPr>
          <w:rFonts w:ascii="Times New Roman" w:hAnsi="Times New Roman" w:cs="Times New Roman" w:eastAsiaTheme="minorEastAsia"/>
        </w:rPr>
        <w:tab/>
        <w:t>Policy Analysis Branch.</w:t>
      </w:r>
    </w:p>
    <w:p w:rsidRPr="0057780D" w:rsidR="00EB1F65" w:rsidP="00EB1F65" w:rsidRDefault="00EB1F65" w14:paraId="727CB014" w14:textId="77777777">
      <w:r w:rsidRPr="0057780D">
        <w:rPr>
          <w:rFonts w:ascii="Times New Roman" w:hAnsi="Times New Roman" w:cs="Times New Roman" w:eastAsiaTheme="minorEastAsia"/>
        </w:rPr>
        <w:t xml:space="preserve">U.S. Bureau of Labor Statistics. (2018). </w:t>
      </w:r>
      <w:r w:rsidRPr="0057780D">
        <w:rPr>
          <w:rFonts w:ascii="Times New Roman" w:hAnsi="Times New Roman" w:cs="Times New Roman" w:eastAsiaTheme="minorEastAsia"/>
          <w:i/>
        </w:rPr>
        <w:t xml:space="preserve">May 2018 National Industry-Specific Occupational </w:t>
      </w:r>
      <w:r w:rsidRPr="0057780D">
        <w:rPr>
          <w:rFonts w:ascii="Times New Roman" w:hAnsi="Times New Roman" w:cs="Times New Roman" w:eastAsiaTheme="minorEastAsia"/>
          <w:i/>
        </w:rPr>
        <w:tab/>
        <w:t xml:space="preserve">Employment and Wage Estimates. </w:t>
      </w:r>
      <w:r w:rsidRPr="0057780D">
        <w:rPr>
          <w:rFonts w:ascii="Times New Roman" w:hAnsi="Times New Roman" w:cs="Times New Roman" w:eastAsiaTheme="minorEastAsia"/>
        </w:rPr>
        <w:t xml:space="preserve">Retrieved September 18, 2019 from </w:t>
      </w:r>
      <w:r w:rsidRPr="0057780D">
        <w:rPr>
          <w:rFonts w:ascii="Times New Roman" w:hAnsi="Times New Roman" w:cs="Times New Roman" w:eastAsiaTheme="minorEastAsia"/>
        </w:rPr>
        <w:tab/>
      </w:r>
      <w:hyperlink w:history="1" w:anchor="23-0000" r:id="rId17">
        <w:r w:rsidRPr="0057780D">
          <w:rPr>
            <w:rStyle w:val="Hyperlink"/>
          </w:rPr>
          <w:t>https://www.bls.gov/oes/current/naics4_541100.htm#23-0000</w:t>
        </w:r>
      </w:hyperlink>
      <w:r w:rsidRPr="0057780D">
        <w:t>.</w:t>
      </w:r>
    </w:p>
    <w:p w:rsidRPr="0057780D" w:rsidR="00EB1F65" w:rsidP="00EB1F65" w:rsidRDefault="00EB1F65" w14:paraId="347BF05E" w14:textId="77777777">
      <w:pPr>
        <w:pStyle w:val="BodyTextIndent2"/>
        <w:spacing w:line="240" w:lineRule="auto"/>
        <w:ind w:left="720" w:hanging="720"/>
      </w:pPr>
      <w:r w:rsidRPr="0057780D">
        <w:t xml:space="preserve">U.S. Bureau of Labor Statistics (2019). </w:t>
      </w:r>
      <w:r w:rsidRPr="0057780D">
        <w:rPr>
          <w:i/>
        </w:rPr>
        <w:t>Employer Costs for Employee Compensation (ECEC) Supplemental Tables: December 2006 to March 2019</w:t>
      </w:r>
      <w:r w:rsidRPr="0057780D">
        <w:t xml:space="preserve">, US Bureau of Labor Statistics, September 17, 2019. </w:t>
      </w:r>
    </w:p>
    <w:p w:rsidRPr="0057780D" w:rsidR="00EB1F65" w:rsidP="00EB1F65" w:rsidRDefault="00EB1F65" w14:paraId="11C11ECB" w14:textId="77777777">
      <w:pPr>
        <w:ind w:left="720" w:hanging="720"/>
        <w:rPr>
          <w:rFonts w:ascii="Times New Roman" w:hAnsi="Times New Roman" w:eastAsia="Times New Roman" w:cs="Times New Roman"/>
          <w:noProof/>
          <w:szCs w:val="24"/>
        </w:rPr>
      </w:pPr>
      <w:r w:rsidRPr="0057780D">
        <w:rPr>
          <w:rFonts w:ascii="Times New Roman" w:hAnsi="Times New Roman" w:eastAsia="Times New Roman" w:cs="Times New Roman"/>
          <w:noProof/>
          <w:szCs w:val="24"/>
        </w:rPr>
        <w:t xml:space="preserve">U.S. EPA. (2002). </w:t>
      </w:r>
      <w:r w:rsidRPr="0057780D">
        <w:rPr>
          <w:rFonts w:ascii="Times New Roman" w:hAnsi="Times New Roman" w:eastAsia="Times New Roman" w:cs="Times New Roman"/>
          <w:i/>
          <w:noProof/>
          <w:szCs w:val="24"/>
        </w:rPr>
        <w:t xml:space="preserve">Revised </w:t>
      </w:r>
      <w:r w:rsidRPr="0057780D">
        <w:rPr>
          <w:rFonts w:ascii="Times New Roman" w:hAnsi="Times New Roman" w:eastAsia="Times New Roman" w:cs="Times New Roman"/>
          <w:i/>
          <w:iCs/>
          <w:noProof/>
          <w:szCs w:val="24"/>
        </w:rPr>
        <w:t>Economic Analysis for the Amended Inventory Update Rule: Final Report (EPA-HQ-OPPT-2002-0054-0279).</w:t>
      </w:r>
      <w:r w:rsidRPr="0057780D">
        <w:rPr>
          <w:rFonts w:ascii="Times New Roman" w:hAnsi="Times New Roman" w:eastAsia="Times New Roman" w:cs="Times New Roman"/>
          <w:noProof/>
          <w:szCs w:val="24"/>
        </w:rPr>
        <w:t xml:space="preserve"> Washington, D.C.: Office of Pollution Prevention and Toxics, Economics and Policy Analysis Branch.</w:t>
      </w:r>
    </w:p>
    <w:p w:rsidRPr="0057780D" w:rsidR="00EB1F65" w:rsidP="00EB1F65" w:rsidRDefault="00EB1F65" w14:paraId="38C700A7" w14:textId="77777777">
      <w:pPr>
        <w:autoSpaceDE w:val="0"/>
        <w:autoSpaceDN w:val="0"/>
        <w:adjustRightInd w:val="0"/>
        <w:ind w:left="720" w:hanging="720"/>
        <w:rPr>
          <w:rFonts w:ascii="Times New Roman" w:hAnsi="Times New Roman" w:eastAsia="Times New Roman" w:cs="Times New Roman"/>
          <w:szCs w:val="24"/>
        </w:rPr>
      </w:pPr>
      <w:r w:rsidRPr="0057780D">
        <w:rPr>
          <w:rFonts w:ascii="Times New Roman" w:hAnsi="Times New Roman" w:eastAsia="Times New Roman" w:cs="Times New Roman"/>
          <w:color w:val="222222"/>
          <w:szCs w:val="24"/>
          <w:shd w:val="clear" w:color="auto" w:fill="FFFFFF"/>
        </w:rPr>
        <w:t xml:space="preserve">U.S. EPA, (2009a). </w:t>
      </w:r>
      <w:r w:rsidRPr="0057780D">
        <w:rPr>
          <w:rFonts w:ascii="Times New Roman" w:hAnsi="Times New Roman" w:eastAsia="Times New Roman" w:cs="Times New Roman"/>
          <w:i/>
          <w:iCs/>
          <w:color w:val="222222"/>
          <w:szCs w:val="24"/>
          <w:shd w:val="clear" w:color="auto" w:fill="FFFFFF"/>
        </w:rPr>
        <w:t>ICR Handbook EPA’s Guide to Writing Information Collection Requests under the Paperwork Reduction Act of 1995. </w:t>
      </w:r>
      <w:r w:rsidRPr="0057780D">
        <w:rPr>
          <w:rFonts w:ascii="Times New Roman" w:hAnsi="Times New Roman" w:eastAsia="Times New Roman" w:cs="Times New Roman"/>
          <w:color w:val="222222"/>
          <w:szCs w:val="24"/>
          <w:shd w:val="clear" w:color="auto" w:fill="FFFFFF"/>
        </w:rPr>
        <w:t>Revised 10/2009 Washington, D.C.: U.S. EPA, Office of Environmental Information.</w:t>
      </w:r>
    </w:p>
    <w:p w:rsidRPr="0057780D" w:rsidR="00EB1F65" w:rsidP="00EB1F65" w:rsidRDefault="00EB1F65" w14:paraId="4570D545" w14:textId="77777777">
      <w:pPr>
        <w:autoSpaceDE w:val="0"/>
        <w:autoSpaceDN w:val="0"/>
        <w:adjustRightInd w:val="0"/>
        <w:ind w:left="720" w:hanging="720"/>
        <w:rPr>
          <w:rFonts w:ascii="Times New Roman" w:hAnsi="Times New Roman" w:eastAsia="Times New Roman" w:cs="Times New Roman"/>
          <w:szCs w:val="24"/>
        </w:rPr>
      </w:pPr>
    </w:p>
    <w:p w:rsidRPr="0057780D" w:rsidR="00EB1F65" w:rsidP="00EB1F65" w:rsidRDefault="00EB1F65" w14:paraId="14B2804D" w14:textId="77777777">
      <w:pPr>
        <w:rPr>
          <w:rFonts w:ascii="Times New Roman" w:hAnsi="Times New Roman" w:cs="Times New Roman" w:eastAsiaTheme="minorEastAsia"/>
        </w:rPr>
      </w:pPr>
      <w:r w:rsidRPr="0057780D">
        <w:rPr>
          <w:rFonts w:ascii="Times New Roman" w:hAnsi="Times New Roman" w:cs="Times New Roman" w:eastAsiaTheme="minorEastAsia"/>
        </w:rPr>
        <w:t xml:space="preserve">U.S. EPA. (2019). Economic Analysis for the Proposed Rule: Procedures for Review of CBI </w:t>
      </w:r>
      <w:r w:rsidRPr="0057780D">
        <w:rPr>
          <w:rFonts w:ascii="Times New Roman" w:hAnsi="Times New Roman" w:cs="Times New Roman" w:eastAsiaTheme="minorEastAsia"/>
        </w:rPr>
        <w:tab/>
        <w:t>Claims</w:t>
      </w:r>
      <w:r w:rsidRPr="0057780D">
        <w:rPr>
          <w:rFonts w:ascii="Times New Roman" w:hAnsi="Times New Roman" w:cs="Times New Roman" w:eastAsiaTheme="minorEastAsia"/>
        </w:rPr>
        <w:tab/>
        <w:t>for the Identity of Chemicals on the TSCA Inventory (April 2, 2019).</w:t>
      </w:r>
    </w:p>
    <w:p w:rsidRPr="00BF4ADB" w:rsidR="00EB1F65" w:rsidP="00EB1F65" w:rsidRDefault="00EB1F65" w14:paraId="1EF0C159" w14:textId="77777777">
      <w:pPr>
        <w:spacing w:after="180" w:line="264" w:lineRule="auto"/>
        <w:ind w:left="720" w:hanging="720"/>
        <w:rPr>
          <w:rFonts w:ascii="Times New Roman" w:hAnsi="Times New Roman" w:cs="Times New Roman" w:eastAsiaTheme="minorEastAsia"/>
        </w:rPr>
      </w:pPr>
      <w:bookmarkStart w:name="_Hlk22021724" w:id="31"/>
      <w:r w:rsidRPr="0057780D">
        <w:rPr>
          <w:rFonts w:ascii="Times New Roman" w:hAnsi="Times New Roman" w:eastAsia="Times New Roman" w:cs="Times New Roman"/>
          <w:noProof/>
          <w:szCs w:val="24"/>
        </w:rPr>
        <w:t xml:space="preserve">U.S. Office of Personnel Management. (2018). </w:t>
      </w:r>
      <w:r w:rsidRPr="0057780D">
        <w:rPr>
          <w:rFonts w:ascii="Times New Roman" w:hAnsi="Times New Roman" w:eastAsia="Times New Roman" w:cs="Times New Roman"/>
          <w:i/>
          <w:iCs/>
          <w:noProof/>
          <w:szCs w:val="24"/>
        </w:rPr>
        <w:t>Salary Table 2018-</w:t>
      </w:r>
      <w:r w:rsidRPr="0057780D">
        <w:rPr>
          <w:rFonts w:ascii="Times New Roman" w:hAnsi="Times New Roman" w:eastAsia="Times New Roman" w:cs="Times New Roman"/>
          <w:szCs w:val="24"/>
        </w:rPr>
        <w:t xml:space="preserve"> </w:t>
      </w:r>
      <w:r w:rsidRPr="0057780D">
        <w:rPr>
          <w:rFonts w:ascii="Times New Roman" w:hAnsi="Times New Roman" w:eastAsia="Times New Roman" w:cs="Times New Roman"/>
          <w:i/>
          <w:szCs w:val="24"/>
        </w:rPr>
        <w:t>DCB, Washington-Baltimore-Northern Virginia, DC-MD-PA-VA-WV</w:t>
      </w:r>
      <w:r w:rsidRPr="0057780D">
        <w:rPr>
          <w:rFonts w:ascii="Times New Roman" w:hAnsi="Times New Roman" w:eastAsia="Times New Roman" w:cs="Times New Roman"/>
          <w:szCs w:val="24"/>
        </w:rPr>
        <w:t xml:space="preserve">. </w:t>
      </w:r>
      <w:r w:rsidRPr="0057780D">
        <w:rPr>
          <w:rFonts w:ascii="Times New Roman" w:hAnsi="Times New Roman" w:eastAsia="Times New Roman" w:cs="Times New Roman"/>
          <w:noProof/>
          <w:szCs w:val="24"/>
        </w:rPr>
        <w:t>Retrieved September 18, 2019 from Pay &amp; Leave: Salaries &amp; Wages:</w:t>
      </w:r>
      <w:r w:rsidRPr="0057780D">
        <w:t xml:space="preserve"> </w:t>
      </w:r>
      <w:hyperlink w:history="1" r:id="rId18">
        <w:r w:rsidRPr="0057780D">
          <w:rPr>
            <w:rStyle w:val="Hyperlink"/>
          </w:rPr>
          <w:t>https://www.opm.gov/policy-data-oversight/pay-leave/salaries-wages/salary-tables/pdf/2018/DCB.pdf</w:t>
        </w:r>
      </w:hyperlink>
      <w:r w:rsidRPr="0057780D">
        <w:rPr>
          <w:rFonts w:ascii="Times New Roman" w:hAnsi="Times New Roman" w:eastAsia="Times New Roman" w:cs="Times New Roman"/>
          <w:noProof/>
          <w:szCs w:val="24"/>
        </w:rPr>
        <w:t>.</w:t>
      </w:r>
      <w:r w:rsidRPr="0019236E">
        <w:rPr>
          <w:rFonts w:ascii="Times New Roman" w:hAnsi="Times New Roman" w:eastAsia="Times New Roman" w:cs="Times New Roman"/>
          <w:sz w:val="20"/>
          <w:szCs w:val="20"/>
        </w:rPr>
        <w:t xml:space="preserve"> </w:t>
      </w:r>
    </w:p>
    <w:bookmarkEnd w:id="31"/>
    <w:p w:rsidRPr="00FE0D14" w:rsidR="00EB1F65" w:rsidP="00EB1F65" w:rsidRDefault="00EB1F65" w14:paraId="15362FBA" w14:textId="77777777">
      <w:pPr>
        <w:keepNext/>
        <w:rPr>
          <w:rFonts w:ascii="Times New Roman" w:hAnsi="Times New Roman" w:eastAsia="Times New Roman" w:cs="Times New Roman"/>
          <w:b/>
        </w:rPr>
      </w:pPr>
    </w:p>
    <w:p w:rsidRPr="00EB1F65" w:rsidR="00EB1F65" w:rsidP="00D47300" w:rsidRDefault="00EB1F65" w14:paraId="0AA5B9AC" w14:textId="77777777">
      <w:pPr>
        <w:pStyle w:val="NoSpacing"/>
        <w:rPr>
          <w:b/>
        </w:rPr>
      </w:pPr>
      <w:bookmarkStart w:name="_GoBack" w:id="32"/>
      <w:bookmarkEnd w:id="32"/>
    </w:p>
    <w:sectPr w:rsidRPr="00EB1F65" w:rsidR="00EB1F6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41A5F" w14:textId="77777777" w:rsidR="00B855B7" w:rsidRDefault="00B855B7" w:rsidP="0065500B">
      <w:r>
        <w:separator/>
      </w:r>
    </w:p>
  </w:endnote>
  <w:endnote w:type="continuationSeparator" w:id="0">
    <w:p w14:paraId="755D8EF0" w14:textId="77777777" w:rsidR="00B855B7" w:rsidRDefault="00B855B7" w:rsidP="0065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407755"/>
      <w:docPartObj>
        <w:docPartGallery w:val="Page Numbers (Bottom of Page)"/>
        <w:docPartUnique/>
      </w:docPartObj>
    </w:sdtPr>
    <w:sdtContent>
      <w:sdt>
        <w:sdtPr>
          <w:id w:val="-1769616900"/>
          <w:docPartObj>
            <w:docPartGallery w:val="Page Numbers (Top of Page)"/>
            <w:docPartUnique/>
          </w:docPartObj>
        </w:sdtPr>
        <w:sdtContent>
          <w:p w14:paraId="0CD6491C" w14:textId="3046012B" w:rsidR="009714A6" w:rsidRDefault="009714A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46B0EB" w14:textId="77777777" w:rsidR="009714A6" w:rsidRDefault="00971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8DFA1" w14:textId="77777777" w:rsidR="00B855B7" w:rsidRDefault="00B855B7" w:rsidP="0065500B">
      <w:r>
        <w:separator/>
      </w:r>
    </w:p>
  </w:footnote>
  <w:footnote w:type="continuationSeparator" w:id="0">
    <w:p w14:paraId="11149DDD" w14:textId="77777777" w:rsidR="00B855B7" w:rsidRDefault="00B855B7" w:rsidP="0065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11428"/>
    <w:multiLevelType w:val="multilevel"/>
    <w:tmpl w:val="3E56C2B2"/>
    <w:lvl w:ilvl="0">
      <w:start w:val="1"/>
      <w:numFmt w:val="decimal"/>
      <w:lvlText w:val="%1."/>
      <w:lvlJc w:val="left"/>
      <w:pPr>
        <w:ind w:left="360" w:hanging="360"/>
      </w:pPr>
      <w:rPr>
        <w:rFonts w:ascii="Arial" w:eastAsiaTheme="majorEastAsia" w:hAnsi="Arial" w:cstheme="majorBidi"/>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914B8"/>
    <w:multiLevelType w:val="hybridMultilevel"/>
    <w:tmpl w:val="F2FE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F6AF2"/>
    <w:multiLevelType w:val="multilevel"/>
    <w:tmpl w:val="0558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B75BE"/>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B00C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7"/>
  </w:num>
  <w:num w:numId="3">
    <w:abstractNumId w:val="10"/>
  </w:num>
  <w:num w:numId="4">
    <w:abstractNumId w:val="11"/>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num>
  <w:num w:numId="7">
    <w:abstractNumId w:val="16"/>
  </w:num>
  <w:num w:numId="8">
    <w:abstractNumId w:val="18"/>
  </w:num>
  <w:num w:numId="9">
    <w:abstractNumId w:val="13"/>
  </w:num>
  <w:num w:numId="10">
    <w:abstractNumId w:val="20"/>
  </w:num>
  <w:num w:numId="11">
    <w:abstractNumId w:val="12"/>
  </w:num>
  <w:num w:numId="12">
    <w:abstractNumId w:val="21"/>
  </w:num>
  <w:num w:numId="13">
    <w:abstractNumId w:val="6"/>
  </w:num>
  <w:num w:numId="14">
    <w:abstractNumId w:val="5"/>
  </w:num>
  <w:num w:numId="15">
    <w:abstractNumId w:val="3"/>
  </w:num>
  <w:num w:numId="16">
    <w:abstractNumId w:val="7"/>
  </w:num>
  <w:num w:numId="17">
    <w:abstractNumId w:val="19"/>
  </w:num>
  <w:num w:numId="18">
    <w:abstractNumId w:val="9"/>
  </w:num>
  <w:num w:numId="19">
    <w:abstractNumId w:val="14"/>
  </w:num>
  <w:num w:numId="20">
    <w:abstractNumId w:val="8"/>
  </w:num>
  <w:num w:numId="21">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0F"/>
    <w:rsid w:val="00023724"/>
    <w:rsid w:val="00046906"/>
    <w:rsid w:val="00066B7C"/>
    <w:rsid w:val="00066F05"/>
    <w:rsid w:val="00076C74"/>
    <w:rsid w:val="00077052"/>
    <w:rsid w:val="000878EB"/>
    <w:rsid w:val="00095614"/>
    <w:rsid w:val="00097A38"/>
    <w:rsid w:val="000B028E"/>
    <w:rsid w:val="000B62B5"/>
    <w:rsid w:val="000E4EA4"/>
    <w:rsid w:val="001005D1"/>
    <w:rsid w:val="001023DD"/>
    <w:rsid w:val="00144C5F"/>
    <w:rsid w:val="001671E8"/>
    <w:rsid w:val="0016754A"/>
    <w:rsid w:val="00172625"/>
    <w:rsid w:val="001738C4"/>
    <w:rsid w:val="0017604A"/>
    <w:rsid w:val="001835EA"/>
    <w:rsid w:val="0018473A"/>
    <w:rsid w:val="00186302"/>
    <w:rsid w:val="00186C6D"/>
    <w:rsid w:val="00196A6C"/>
    <w:rsid w:val="001A0AAA"/>
    <w:rsid w:val="001A5729"/>
    <w:rsid w:val="001B12F0"/>
    <w:rsid w:val="001B2C80"/>
    <w:rsid w:val="001C14DA"/>
    <w:rsid w:val="001D6D58"/>
    <w:rsid w:val="001E49FF"/>
    <w:rsid w:val="0021028F"/>
    <w:rsid w:val="00214116"/>
    <w:rsid w:val="00217E76"/>
    <w:rsid w:val="002228ED"/>
    <w:rsid w:val="002336DF"/>
    <w:rsid w:val="00264D58"/>
    <w:rsid w:val="00272FF2"/>
    <w:rsid w:val="0027625A"/>
    <w:rsid w:val="00286F64"/>
    <w:rsid w:val="0029254A"/>
    <w:rsid w:val="00296CA9"/>
    <w:rsid w:val="002A114B"/>
    <w:rsid w:val="002A2B79"/>
    <w:rsid w:val="002A64EF"/>
    <w:rsid w:val="002C2A45"/>
    <w:rsid w:val="002E53E0"/>
    <w:rsid w:val="002F10C7"/>
    <w:rsid w:val="002F7FA7"/>
    <w:rsid w:val="00306A20"/>
    <w:rsid w:val="00317E9B"/>
    <w:rsid w:val="00320771"/>
    <w:rsid w:val="0033001B"/>
    <w:rsid w:val="00335F50"/>
    <w:rsid w:val="003376FB"/>
    <w:rsid w:val="00351B67"/>
    <w:rsid w:val="00366546"/>
    <w:rsid w:val="00370E19"/>
    <w:rsid w:val="003822AB"/>
    <w:rsid w:val="00391425"/>
    <w:rsid w:val="003958F7"/>
    <w:rsid w:val="003B0CEA"/>
    <w:rsid w:val="003B3C59"/>
    <w:rsid w:val="003B773C"/>
    <w:rsid w:val="003D2502"/>
    <w:rsid w:val="003E4359"/>
    <w:rsid w:val="003F2E41"/>
    <w:rsid w:val="003F3501"/>
    <w:rsid w:val="00404BAA"/>
    <w:rsid w:val="00426DA6"/>
    <w:rsid w:val="004345BD"/>
    <w:rsid w:val="00455529"/>
    <w:rsid w:val="00462CE4"/>
    <w:rsid w:val="00464036"/>
    <w:rsid w:val="00465AA4"/>
    <w:rsid w:val="00472EA0"/>
    <w:rsid w:val="00480142"/>
    <w:rsid w:val="0048186A"/>
    <w:rsid w:val="00482578"/>
    <w:rsid w:val="004A1F98"/>
    <w:rsid w:val="004B0139"/>
    <w:rsid w:val="004B6BEF"/>
    <w:rsid w:val="004C0999"/>
    <w:rsid w:val="004E2616"/>
    <w:rsid w:val="004E2C3F"/>
    <w:rsid w:val="004E324E"/>
    <w:rsid w:val="0050756C"/>
    <w:rsid w:val="0051242F"/>
    <w:rsid w:val="00525B80"/>
    <w:rsid w:val="00525E39"/>
    <w:rsid w:val="00533836"/>
    <w:rsid w:val="0053425A"/>
    <w:rsid w:val="00542E15"/>
    <w:rsid w:val="00552EB6"/>
    <w:rsid w:val="00556F11"/>
    <w:rsid w:val="00557A88"/>
    <w:rsid w:val="005644AE"/>
    <w:rsid w:val="005738AD"/>
    <w:rsid w:val="0057780D"/>
    <w:rsid w:val="00581940"/>
    <w:rsid w:val="005854A8"/>
    <w:rsid w:val="005A00FB"/>
    <w:rsid w:val="005C04DB"/>
    <w:rsid w:val="005C3094"/>
    <w:rsid w:val="005C3D7A"/>
    <w:rsid w:val="005E6E00"/>
    <w:rsid w:val="005F13EF"/>
    <w:rsid w:val="005F1D16"/>
    <w:rsid w:val="005F21A3"/>
    <w:rsid w:val="00603543"/>
    <w:rsid w:val="00610884"/>
    <w:rsid w:val="0061599F"/>
    <w:rsid w:val="00636AA0"/>
    <w:rsid w:val="00651581"/>
    <w:rsid w:val="00652A87"/>
    <w:rsid w:val="0065500B"/>
    <w:rsid w:val="00657EFD"/>
    <w:rsid w:val="006619B5"/>
    <w:rsid w:val="00661BA6"/>
    <w:rsid w:val="00666EDA"/>
    <w:rsid w:val="006677BC"/>
    <w:rsid w:val="00667C51"/>
    <w:rsid w:val="00683BE5"/>
    <w:rsid w:val="0069792E"/>
    <w:rsid w:val="007160F6"/>
    <w:rsid w:val="007269F1"/>
    <w:rsid w:val="007436FE"/>
    <w:rsid w:val="00752BDA"/>
    <w:rsid w:val="00755132"/>
    <w:rsid w:val="00771E9E"/>
    <w:rsid w:val="00780174"/>
    <w:rsid w:val="007819AD"/>
    <w:rsid w:val="00783C1C"/>
    <w:rsid w:val="007946F8"/>
    <w:rsid w:val="00795A51"/>
    <w:rsid w:val="007A11B2"/>
    <w:rsid w:val="007A7C2C"/>
    <w:rsid w:val="007C53E9"/>
    <w:rsid w:val="007D34BE"/>
    <w:rsid w:val="007D4D3B"/>
    <w:rsid w:val="007E3EEE"/>
    <w:rsid w:val="007E48B7"/>
    <w:rsid w:val="007E6F70"/>
    <w:rsid w:val="00806EAC"/>
    <w:rsid w:val="00816AB9"/>
    <w:rsid w:val="00825963"/>
    <w:rsid w:val="00831577"/>
    <w:rsid w:val="00845844"/>
    <w:rsid w:val="00846242"/>
    <w:rsid w:val="00851DDB"/>
    <w:rsid w:val="0085404B"/>
    <w:rsid w:val="00866661"/>
    <w:rsid w:val="00871865"/>
    <w:rsid w:val="0087232F"/>
    <w:rsid w:val="00894EAD"/>
    <w:rsid w:val="008C14A0"/>
    <w:rsid w:val="008C6208"/>
    <w:rsid w:val="008C7B36"/>
    <w:rsid w:val="008E69AB"/>
    <w:rsid w:val="00914C37"/>
    <w:rsid w:val="009164F6"/>
    <w:rsid w:val="009370CB"/>
    <w:rsid w:val="00952A04"/>
    <w:rsid w:val="00960DB9"/>
    <w:rsid w:val="00961683"/>
    <w:rsid w:val="00963CEF"/>
    <w:rsid w:val="009669BD"/>
    <w:rsid w:val="009714A6"/>
    <w:rsid w:val="0097782E"/>
    <w:rsid w:val="00990014"/>
    <w:rsid w:val="009C776E"/>
    <w:rsid w:val="009E1BA2"/>
    <w:rsid w:val="009E4284"/>
    <w:rsid w:val="009E65BA"/>
    <w:rsid w:val="00A0177C"/>
    <w:rsid w:val="00A10445"/>
    <w:rsid w:val="00A23B03"/>
    <w:rsid w:val="00A25614"/>
    <w:rsid w:val="00A529FD"/>
    <w:rsid w:val="00A5316D"/>
    <w:rsid w:val="00A5514F"/>
    <w:rsid w:val="00A721E2"/>
    <w:rsid w:val="00A72DC0"/>
    <w:rsid w:val="00A82607"/>
    <w:rsid w:val="00A85939"/>
    <w:rsid w:val="00A93F9A"/>
    <w:rsid w:val="00A97CC2"/>
    <w:rsid w:val="00AC0708"/>
    <w:rsid w:val="00AC5D42"/>
    <w:rsid w:val="00AF13A4"/>
    <w:rsid w:val="00AF415F"/>
    <w:rsid w:val="00B00C4C"/>
    <w:rsid w:val="00B022C7"/>
    <w:rsid w:val="00B02FBF"/>
    <w:rsid w:val="00B11972"/>
    <w:rsid w:val="00B575FA"/>
    <w:rsid w:val="00B71E18"/>
    <w:rsid w:val="00B800B9"/>
    <w:rsid w:val="00B803BE"/>
    <w:rsid w:val="00B855B7"/>
    <w:rsid w:val="00B870D5"/>
    <w:rsid w:val="00B90D9E"/>
    <w:rsid w:val="00BB102A"/>
    <w:rsid w:val="00BC3680"/>
    <w:rsid w:val="00BC5BEE"/>
    <w:rsid w:val="00BC7281"/>
    <w:rsid w:val="00BD31BA"/>
    <w:rsid w:val="00BE7739"/>
    <w:rsid w:val="00BF7BDF"/>
    <w:rsid w:val="00C05583"/>
    <w:rsid w:val="00C105E6"/>
    <w:rsid w:val="00C52648"/>
    <w:rsid w:val="00C723B3"/>
    <w:rsid w:val="00C74D7A"/>
    <w:rsid w:val="00C75347"/>
    <w:rsid w:val="00C820B2"/>
    <w:rsid w:val="00C849B1"/>
    <w:rsid w:val="00CA10FC"/>
    <w:rsid w:val="00CB68F4"/>
    <w:rsid w:val="00CB73EA"/>
    <w:rsid w:val="00CC18D3"/>
    <w:rsid w:val="00CC6CF0"/>
    <w:rsid w:val="00CE4B39"/>
    <w:rsid w:val="00CE5120"/>
    <w:rsid w:val="00D01CA7"/>
    <w:rsid w:val="00D043F1"/>
    <w:rsid w:val="00D374EB"/>
    <w:rsid w:val="00D40639"/>
    <w:rsid w:val="00D4324B"/>
    <w:rsid w:val="00D436D6"/>
    <w:rsid w:val="00D47300"/>
    <w:rsid w:val="00D539E5"/>
    <w:rsid w:val="00D541BA"/>
    <w:rsid w:val="00D67C90"/>
    <w:rsid w:val="00D75533"/>
    <w:rsid w:val="00DA0CEC"/>
    <w:rsid w:val="00DA2135"/>
    <w:rsid w:val="00DA33FC"/>
    <w:rsid w:val="00DA75BD"/>
    <w:rsid w:val="00DA7873"/>
    <w:rsid w:val="00DB3BAA"/>
    <w:rsid w:val="00DC0E0F"/>
    <w:rsid w:val="00DC1FA7"/>
    <w:rsid w:val="00DD10A9"/>
    <w:rsid w:val="00DE3922"/>
    <w:rsid w:val="00DE5B5A"/>
    <w:rsid w:val="00DF1750"/>
    <w:rsid w:val="00DF1C64"/>
    <w:rsid w:val="00DF2895"/>
    <w:rsid w:val="00E12FEF"/>
    <w:rsid w:val="00E215E2"/>
    <w:rsid w:val="00E313CA"/>
    <w:rsid w:val="00E353E0"/>
    <w:rsid w:val="00E35BD4"/>
    <w:rsid w:val="00E3616B"/>
    <w:rsid w:val="00E40350"/>
    <w:rsid w:val="00E602D8"/>
    <w:rsid w:val="00E60DA6"/>
    <w:rsid w:val="00E95D32"/>
    <w:rsid w:val="00E97721"/>
    <w:rsid w:val="00EA1A80"/>
    <w:rsid w:val="00EB1122"/>
    <w:rsid w:val="00EB1F65"/>
    <w:rsid w:val="00EB5A10"/>
    <w:rsid w:val="00EC237D"/>
    <w:rsid w:val="00EC4DDD"/>
    <w:rsid w:val="00EC5DCF"/>
    <w:rsid w:val="00EE6B0F"/>
    <w:rsid w:val="00EE7665"/>
    <w:rsid w:val="00F02B8C"/>
    <w:rsid w:val="00F062F1"/>
    <w:rsid w:val="00F32115"/>
    <w:rsid w:val="00F32B00"/>
    <w:rsid w:val="00F36749"/>
    <w:rsid w:val="00F53053"/>
    <w:rsid w:val="00F57B46"/>
    <w:rsid w:val="00F63AEE"/>
    <w:rsid w:val="00F6525F"/>
    <w:rsid w:val="00F7161D"/>
    <w:rsid w:val="00F77030"/>
    <w:rsid w:val="00F91D97"/>
    <w:rsid w:val="00FA30B0"/>
    <w:rsid w:val="00FA36F6"/>
    <w:rsid w:val="00FC0917"/>
    <w:rsid w:val="00FC3C91"/>
    <w:rsid w:val="00FD451D"/>
    <w:rsid w:val="00FD5AE5"/>
    <w:rsid w:val="00FE0FE7"/>
    <w:rsid w:val="00FE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02AA"/>
  <w15:chartTrackingRefBased/>
  <w15:docId w15:val="{336736CA-C1B5-4256-A7DC-112B3CF1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E6B0F"/>
    <w:pPr>
      <w:spacing w:after="0" w:line="240" w:lineRule="auto"/>
    </w:pPr>
    <w:rPr>
      <w:rFonts w:ascii="Arial" w:hAnsi="Arial"/>
      <w:sz w:val="24"/>
    </w:rPr>
  </w:style>
  <w:style w:type="paragraph" w:styleId="Heading1">
    <w:name w:val="heading 1"/>
    <w:basedOn w:val="Normal"/>
    <w:next w:val="Normal"/>
    <w:link w:val="Heading1Char"/>
    <w:uiPriority w:val="9"/>
    <w:qFormat/>
    <w:rsid w:val="00EE6B0F"/>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E6B0F"/>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5500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00B"/>
    <w:pPr>
      <w:keepNext/>
      <w:keepLines/>
      <w:spacing w:before="200"/>
      <w:ind w:left="864" w:hanging="864"/>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next w:val="Normal"/>
    <w:link w:val="Heading5Char"/>
    <w:uiPriority w:val="9"/>
    <w:semiHidden/>
    <w:unhideWhenUsed/>
    <w:qFormat/>
    <w:rsid w:val="0065500B"/>
    <w:pPr>
      <w:keepNext/>
      <w:keepLines/>
      <w:spacing w:before="200"/>
      <w:ind w:left="1008" w:hanging="1008"/>
      <w:outlineLvl w:val="4"/>
    </w:pPr>
    <w:rPr>
      <w:rFonts w:asciiTheme="majorHAnsi" w:eastAsiaTheme="majorEastAsia" w:hAnsiTheme="majorHAnsi" w:cstheme="majorBidi"/>
      <w:color w:val="1F3763" w:themeColor="accent1" w:themeShade="7F"/>
      <w:lang w:bidi="en-US"/>
    </w:rPr>
  </w:style>
  <w:style w:type="paragraph" w:styleId="Heading6">
    <w:name w:val="heading 6"/>
    <w:basedOn w:val="Normal"/>
    <w:next w:val="Normal"/>
    <w:link w:val="Heading6Char"/>
    <w:uiPriority w:val="9"/>
    <w:semiHidden/>
    <w:unhideWhenUsed/>
    <w:qFormat/>
    <w:rsid w:val="0065500B"/>
    <w:pPr>
      <w:keepNext/>
      <w:keepLines/>
      <w:spacing w:before="200"/>
      <w:ind w:left="1152" w:hanging="1152"/>
      <w:outlineLvl w:val="5"/>
    </w:pPr>
    <w:rPr>
      <w:rFonts w:asciiTheme="majorHAnsi" w:eastAsiaTheme="majorEastAsia" w:hAnsiTheme="majorHAnsi" w:cstheme="majorBidi"/>
      <w:i/>
      <w:iCs/>
      <w:color w:val="1F3763" w:themeColor="accent1" w:themeShade="7F"/>
      <w:lang w:bidi="en-US"/>
    </w:rPr>
  </w:style>
  <w:style w:type="paragraph" w:styleId="Heading7">
    <w:name w:val="heading 7"/>
    <w:basedOn w:val="Normal"/>
    <w:next w:val="Normal"/>
    <w:link w:val="Heading7Char"/>
    <w:uiPriority w:val="9"/>
    <w:semiHidden/>
    <w:unhideWhenUsed/>
    <w:qFormat/>
    <w:rsid w:val="0065500B"/>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65500B"/>
    <w:pPr>
      <w:keepNext/>
      <w:keepLines/>
      <w:spacing w:before="200"/>
      <w:ind w:left="1440" w:hanging="1440"/>
      <w:outlineLvl w:val="7"/>
    </w:pPr>
    <w:rPr>
      <w:rFonts w:asciiTheme="majorHAnsi" w:eastAsiaTheme="majorEastAsia" w:hAnsiTheme="majorHAnsi" w:cstheme="majorBidi"/>
      <w:color w:val="4472C4" w:themeColor="accent1"/>
      <w:sz w:val="20"/>
      <w:szCs w:val="20"/>
      <w:lang w:bidi="en-US"/>
    </w:rPr>
  </w:style>
  <w:style w:type="paragraph" w:styleId="Heading9">
    <w:name w:val="heading 9"/>
    <w:basedOn w:val="Normal"/>
    <w:next w:val="Normal"/>
    <w:link w:val="Heading9Char"/>
    <w:uiPriority w:val="9"/>
    <w:semiHidden/>
    <w:unhideWhenUsed/>
    <w:qFormat/>
    <w:rsid w:val="0065500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B0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E6B0F"/>
    <w:rPr>
      <w:rFonts w:ascii="Arial" w:eastAsiaTheme="majorEastAsia" w:hAnsi="Arial" w:cstheme="majorBidi"/>
      <w:b/>
      <w:bCs/>
      <w:sz w:val="24"/>
      <w:szCs w:val="26"/>
    </w:rPr>
  </w:style>
  <w:style w:type="paragraph" w:styleId="NoSpacing">
    <w:name w:val="No Spacing"/>
    <w:uiPriority w:val="1"/>
    <w:qFormat/>
    <w:rsid w:val="00EE6B0F"/>
    <w:pPr>
      <w:spacing w:after="0" w:line="240" w:lineRule="auto"/>
    </w:pPr>
    <w:rPr>
      <w:rFonts w:ascii="Arial" w:hAnsi="Arial"/>
      <w:sz w:val="24"/>
    </w:rPr>
  </w:style>
  <w:style w:type="paragraph" w:styleId="ListParagraph">
    <w:name w:val="List Paragraph"/>
    <w:basedOn w:val="Normal"/>
    <w:uiPriority w:val="34"/>
    <w:qFormat/>
    <w:rsid w:val="00EE6B0F"/>
    <w:pPr>
      <w:ind w:left="720"/>
      <w:contextualSpacing/>
    </w:pPr>
    <w:rPr>
      <w:rFonts w:eastAsiaTheme="minorEastAsia"/>
      <w:lang w:bidi="en-US"/>
    </w:rPr>
  </w:style>
  <w:style w:type="character" w:styleId="CommentReference">
    <w:name w:val="annotation reference"/>
    <w:basedOn w:val="DefaultParagraphFont"/>
    <w:semiHidden/>
    <w:unhideWhenUsed/>
    <w:rsid w:val="005C04DB"/>
    <w:rPr>
      <w:sz w:val="16"/>
      <w:szCs w:val="16"/>
    </w:rPr>
  </w:style>
  <w:style w:type="paragraph" w:styleId="CommentText">
    <w:name w:val="annotation text"/>
    <w:basedOn w:val="Normal"/>
    <w:link w:val="CommentTextChar"/>
    <w:semiHidden/>
    <w:unhideWhenUsed/>
    <w:rsid w:val="005C04DB"/>
    <w:rPr>
      <w:sz w:val="20"/>
      <w:szCs w:val="20"/>
    </w:rPr>
  </w:style>
  <w:style w:type="character" w:customStyle="1" w:styleId="CommentTextChar">
    <w:name w:val="Comment Text Char"/>
    <w:basedOn w:val="DefaultParagraphFont"/>
    <w:link w:val="CommentText"/>
    <w:semiHidden/>
    <w:rsid w:val="005C04DB"/>
    <w:rPr>
      <w:rFonts w:ascii="Arial" w:hAnsi="Arial"/>
      <w:sz w:val="20"/>
      <w:szCs w:val="20"/>
    </w:rPr>
  </w:style>
  <w:style w:type="paragraph" w:styleId="CommentSubject">
    <w:name w:val="annotation subject"/>
    <w:basedOn w:val="CommentText"/>
    <w:next w:val="CommentText"/>
    <w:link w:val="CommentSubjectChar"/>
    <w:semiHidden/>
    <w:unhideWhenUsed/>
    <w:rsid w:val="005C04DB"/>
    <w:rPr>
      <w:b/>
      <w:bCs/>
    </w:rPr>
  </w:style>
  <w:style w:type="character" w:customStyle="1" w:styleId="CommentSubjectChar">
    <w:name w:val="Comment Subject Char"/>
    <w:basedOn w:val="CommentTextChar"/>
    <w:link w:val="CommentSubject"/>
    <w:semiHidden/>
    <w:rsid w:val="005C04DB"/>
    <w:rPr>
      <w:rFonts w:ascii="Arial" w:hAnsi="Arial"/>
      <w:b/>
      <w:bCs/>
      <w:sz w:val="20"/>
      <w:szCs w:val="20"/>
    </w:rPr>
  </w:style>
  <w:style w:type="paragraph" w:styleId="BalloonText">
    <w:name w:val="Balloon Text"/>
    <w:basedOn w:val="Normal"/>
    <w:link w:val="BalloonTextChar"/>
    <w:semiHidden/>
    <w:unhideWhenUsed/>
    <w:rsid w:val="005C0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DB"/>
    <w:rPr>
      <w:rFonts w:ascii="Segoe UI" w:hAnsi="Segoe UI" w:cs="Segoe UI"/>
      <w:sz w:val="18"/>
      <w:szCs w:val="18"/>
    </w:rPr>
  </w:style>
  <w:style w:type="character" w:styleId="Hyperlink">
    <w:name w:val="Hyperlink"/>
    <w:uiPriority w:val="99"/>
    <w:rsid w:val="00552EB6"/>
    <w:rPr>
      <w:color w:val="0000FF"/>
      <w:u w:val="single"/>
    </w:rPr>
  </w:style>
  <w:style w:type="paragraph" w:styleId="Revision">
    <w:name w:val="Revision"/>
    <w:hidden/>
    <w:uiPriority w:val="71"/>
    <w:rsid w:val="007269F1"/>
    <w:pPr>
      <w:spacing w:after="0" w:line="240" w:lineRule="auto"/>
    </w:pPr>
    <w:rPr>
      <w:rFonts w:ascii="Arial" w:hAnsi="Arial"/>
      <w:sz w:val="24"/>
    </w:rPr>
  </w:style>
  <w:style w:type="character" w:customStyle="1" w:styleId="Heading3Char">
    <w:name w:val="Heading 3 Char"/>
    <w:basedOn w:val="DefaultParagraphFont"/>
    <w:link w:val="Heading3"/>
    <w:uiPriority w:val="9"/>
    <w:rsid w:val="0065500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00B"/>
    <w:rPr>
      <w:rFonts w:asciiTheme="majorHAnsi" w:eastAsiaTheme="majorEastAsia" w:hAnsiTheme="majorHAnsi" w:cstheme="majorBidi"/>
      <w:b/>
      <w:bCs/>
      <w:i/>
      <w:iCs/>
      <w:color w:val="4472C4" w:themeColor="accent1"/>
      <w:sz w:val="24"/>
      <w:lang w:bidi="en-US"/>
    </w:rPr>
  </w:style>
  <w:style w:type="character" w:customStyle="1" w:styleId="Heading5Char">
    <w:name w:val="Heading 5 Char"/>
    <w:basedOn w:val="DefaultParagraphFont"/>
    <w:link w:val="Heading5"/>
    <w:uiPriority w:val="9"/>
    <w:semiHidden/>
    <w:rsid w:val="0065500B"/>
    <w:rPr>
      <w:rFonts w:asciiTheme="majorHAnsi" w:eastAsiaTheme="majorEastAsia" w:hAnsiTheme="majorHAnsi" w:cstheme="majorBidi"/>
      <w:color w:val="1F3763" w:themeColor="accent1" w:themeShade="7F"/>
      <w:sz w:val="24"/>
      <w:lang w:bidi="en-US"/>
    </w:rPr>
  </w:style>
  <w:style w:type="character" w:customStyle="1" w:styleId="Heading6Char">
    <w:name w:val="Heading 6 Char"/>
    <w:basedOn w:val="DefaultParagraphFont"/>
    <w:link w:val="Heading6"/>
    <w:uiPriority w:val="9"/>
    <w:semiHidden/>
    <w:rsid w:val="0065500B"/>
    <w:rPr>
      <w:rFonts w:asciiTheme="majorHAnsi" w:eastAsiaTheme="majorEastAsia" w:hAnsiTheme="majorHAnsi" w:cstheme="majorBidi"/>
      <w:i/>
      <w:iCs/>
      <w:color w:val="1F3763" w:themeColor="accent1" w:themeShade="7F"/>
      <w:sz w:val="24"/>
      <w:lang w:bidi="en-US"/>
    </w:rPr>
  </w:style>
  <w:style w:type="character" w:customStyle="1" w:styleId="Heading7Char">
    <w:name w:val="Heading 7 Char"/>
    <w:basedOn w:val="DefaultParagraphFont"/>
    <w:link w:val="Heading7"/>
    <w:uiPriority w:val="9"/>
    <w:semiHidden/>
    <w:rsid w:val="0065500B"/>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65500B"/>
    <w:rPr>
      <w:rFonts w:asciiTheme="majorHAnsi" w:eastAsiaTheme="majorEastAsia" w:hAnsiTheme="majorHAnsi" w:cstheme="majorBidi"/>
      <w:color w:val="4472C4" w:themeColor="accent1"/>
      <w:sz w:val="20"/>
      <w:szCs w:val="20"/>
      <w:lang w:bidi="en-US"/>
    </w:rPr>
  </w:style>
  <w:style w:type="character" w:customStyle="1" w:styleId="Heading9Char">
    <w:name w:val="Heading 9 Char"/>
    <w:basedOn w:val="DefaultParagraphFont"/>
    <w:link w:val="Heading9"/>
    <w:uiPriority w:val="9"/>
    <w:semiHidden/>
    <w:rsid w:val="0065500B"/>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nhideWhenUsed/>
    <w:rsid w:val="0065500B"/>
    <w:pPr>
      <w:tabs>
        <w:tab w:val="center" w:pos="4680"/>
        <w:tab w:val="right" w:pos="9360"/>
      </w:tabs>
    </w:pPr>
  </w:style>
  <w:style w:type="character" w:customStyle="1" w:styleId="HeaderChar">
    <w:name w:val="Header Char"/>
    <w:basedOn w:val="DefaultParagraphFont"/>
    <w:link w:val="Header"/>
    <w:rsid w:val="0065500B"/>
    <w:rPr>
      <w:rFonts w:ascii="Arial" w:hAnsi="Arial"/>
      <w:sz w:val="24"/>
    </w:rPr>
  </w:style>
  <w:style w:type="paragraph" w:styleId="Footer">
    <w:name w:val="footer"/>
    <w:basedOn w:val="Normal"/>
    <w:link w:val="FooterChar"/>
    <w:uiPriority w:val="99"/>
    <w:unhideWhenUsed/>
    <w:rsid w:val="0065500B"/>
    <w:pPr>
      <w:tabs>
        <w:tab w:val="center" w:pos="4680"/>
        <w:tab w:val="right" w:pos="9360"/>
      </w:tabs>
    </w:pPr>
  </w:style>
  <w:style w:type="character" w:customStyle="1" w:styleId="FooterChar">
    <w:name w:val="Footer Char"/>
    <w:basedOn w:val="DefaultParagraphFont"/>
    <w:link w:val="Footer"/>
    <w:uiPriority w:val="99"/>
    <w:rsid w:val="0065500B"/>
    <w:rPr>
      <w:rFonts w:ascii="Arial" w:hAnsi="Arial"/>
      <w:sz w:val="24"/>
    </w:rPr>
  </w:style>
  <w:style w:type="paragraph" w:customStyle="1" w:styleId="Level1">
    <w:name w:val="Level 1"/>
    <w:basedOn w:val="Normal"/>
    <w:rsid w:val="0065500B"/>
    <w:pPr>
      <w:numPr>
        <w:numId w:val="5"/>
      </w:numPr>
      <w:ind w:left="720" w:hanging="720"/>
      <w:outlineLvl w:val="0"/>
    </w:pPr>
    <w:rPr>
      <w:rFonts w:eastAsiaTheme="minorEastAsia"/>
      <w:lang w:bidi="en-US"/>
    </w:rPr>
  </w:style>
  <w:style w:type="character" w:styleId="FootnoteReference">
    <w:name w:val="footnote reference"/>
    <w:rsid w:val="0065500B"/>
  </w:style>
  <w:style w:type="character" w:customStyle="1" w:styleId="Hypertext">
    <w:name w:val="Hypertext"/>
    <w:rsid w:val="0065500B"/>
    <w:rPr>
      <w:color w:val="0000FF"/>
      <w:u w:val="single"/>
    </w:rPr>
  </w:style>
  <w:style w:type="character" w:styleId="PageNumber">
    <w:name w:val="page number"/>
    <w:basedOn w:val="DefaultParagraphFont"/>
    <w:rsid w:val="0065500B"/>
  </w:style>
  <w:style w:type="paragraph" w:styleId="ListBullet2">
    <w:name w:val="List Bullet 2"/>
    <w:basedOn w:val="Normal"/>
    <w:rsid w:val="0065500B"/>
    <w:pPr>
      <w:numPr>
        <w:numId w:val="6"/>
      </w:numPr>
    </w:pPr>
    <w:rPr>
      <w:rFonts w:ascii="Times New Roman" w:eastAsiaTheme="minorEastAsia" w:hAnsi="Times New Roman"/>
      <w:sz w:val="20"/>
      <w:szCs w:val="20"/>
      <w:lang w:bidi="en-US"/>
    </w:rPr>
  </w:style>
  <w:style w:type="paragraph" w:styleId="BodyText">
    <w:name w:val="Body Text"/>
    <w:basedOn w:val="Normal"/>
    <w:link w:val="BodyTextChar"/>
    <w:rsid w:val="0065500B"/>
    <w:pPr>
      <w:spacing w:after="120"/>
    </w:pPr>
    <w:rPr>
      <w:rFonts w:eastAsiaTheme="minorEastAsia"/>
      <w:lang w:bidi="en-US"/>
    </w:rPr>
  </w:style>
  <w:style w:type="character" w:customStyle="1" w:styleId="BodyTextChar">
    <w:name w:val="Body Text Char"/>
    <w:basedOn w:val="DefaultParagraphFont"/>
    <w:link w:val="BodyText"/>
    <w:rsid w:val="0065500B"/>
    <w:rPr>
      <w:rFonts w:ascii="Arial" w:eastAsiaTheme="minorEastAsia" w:hAnsi="Arial"/>
      <w:sz w:val="24"/>
      <w:lang w:bidi="en-US"/>
    </w:rPr>
  </w:style>
  <w:style w:type="paragraph" w:styleId="BodyTextFirstIndent">
    <w:name w:val="Body Text First Indent"/>
    <w:basedOn w:val="BodyText"/>
    <w:link w:val="BodyTextFirstIndentChar"/>
    <w:rsid w:val="0065500B"/>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65500B"/>
    <w:rPr>
      <w:rFonts w:ascii="Times New Roman" w:eastAsiaTheme="minorEastAsia" w:hAnsi="Times New Roman"/>
      <w:sz w:val="24"/>
      <w:szCs w:val="20"/>
      <w:lang w:bidi="en-US"/>
    </w:rPr>
  </w:style>
  <w:style w:type="paragraph" w:styleId="FootnoteText">
    <w:name w:val="footnote text"/>
    <w:basedOn w:val="Normal"/>
    <w:link w:val="FootnoteTextChar"/>
    <w:semiHidden/>
    <w:rsid w:val="0065500B"/>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65500B"/>
    <w:rPr>
      <w:rFonts w:ascii="Times New Roman" w:eastAsiaTheme="minorEastAsia" w:hAnsi="Times New Roman"/>
      <w:sz w:val="20"/>
      <w:szCs w:val="20"/>
      <w:lang w:bidi="en-US"/>
    </w:rPr>
  </w:style>
  <w:style w:type="paragraph" w:styleId="HTMLPreformatted">
    <w:name w:val="HTML Preformatted"/>
    <w:basedOn w:val="Normal"/>
    <w:link w:val="HTMLPreformattedChar"/>
    <w:rsid w:val="006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65500B"/>
    <w:rPr>
      <w:rFonts w:ascii="Courier New" w:eastAsiaTheme="minorEastAsia" w:hAnsi="Courier New" w:cs="Courier New"/>
      <w:color w:val="000000"/>
      <w:sz w:val="20"/>
      <w:szCs w:val="20"/>
      <w:lang w:bidi="en-US"/>
    </w:rPr>
  </w:style>
  <w:style w:type="character" w:styleId="FollowedHyperlink">
    <w:name w:val="FollowedHyperlink"/>
    <w:rsid w:val="0065500B"/>
    <w:rPr>
      <w:color w:val="800080"/>
      <w:u w:val="single"/>
    </w:rPr>
  </w:style>
  <w:style w:type="paragraph" w:styleId="EndnoteText">
    <w:name w:val="endnote text"/>
    <w:basedOn w:val="Normal"/>
    <w:link w:val="EndnoteTextChar"/>
    <w:semiHidden/>
    <w:rsid w:val="0065500B"/>
    <w:rPr>
      <w:rFonts w:eastAsiaTheme="minorEastAsia"/>
      <w:sz w:val="20"/>
      <w:szCs w:val="20"/>
      <w:lang w:bidi="en-US"/>
    </w:rPr>
  </w:style>
  <w:style w:type="character" w:customStyle="1" w:styleId="EndnoteTextChar">
    <w:name w:val="Endnote Text Char"/>
    <w:basedOn w:val="DefaultParagraphFont"/>
    <w:link w:val="EndnoteText"/>
    <w:semiHidden/>
    <w:rsid w:val="0065500B"/>
    <w:rPr>
      <w:rFonts w:ascii="Arial" w:eastAsiaTheme="minorEastAsia" w:hAnsi="Arial"/>
      <w:sz w:val="20"/>
      <w:szCs w:val="20"/>
      <w:lang w:bidi="en-US"/>
    </w:rPr>
  </w:style>
  <w:style w:type="character" w:styleId="EndnoteReference">
    <w:name w:val="endnote reference"/>
    <w:semiHidden/>
    <w:rsid w:val="0065500B"/>
    <w:rPr>
      <w:vertAlign w:val="superscript"/>
    </w:rPr>
  </w:style>
  <w:style w:type="paragraph" w:styleId="List2">
    <w:name w:val="List 2"/>
    <w:basedOn w:val="Normal"/>
    <w:link w:val="List2Char"/>
    <w:rsid w:val="0065500B"/>
    <w:pPr>
      <w:ind w:left="720" w:hanging="360"/>
    </w:pPr>
    <w:rPr>
      <w:rFonts w:ascii="Times New Roman" w:eastAsiaTheme="minorEastAsia" w:hAnsi="Times New Roman"/>
      <w:sz w:val="20"/>
      <w:szCs w:val="20"/>
      <w:lang w:bidi="en-US"/>
    </w:rPr>
  </w:style>
  <w:style w:type="character" w:customStyle="1" w:styleId="List2Char">
    <w:name w:val="List 2 Char"/>
    <w:link w:val="List2"/>
    <w:rsid w:val="0065500B"/>
    <w:rPr>
      <w:rFonts w:ascii="Times New Roman" w:eastAsiaTheme="minorEastAsia" w:hAnsi="Times New Roman"/>
      <w:sz w:val="20"/>
      <w:szCs w:val="20"/>
      <w:lang w:bidi="en-US"/>
    </w:rPr>
  </w:style>
  <w:style w:type="character" w:styleId="Strong">
    <w:name w:val="Strong"/>
    <w:basedOn w:val="DefaultParagraphFont"/>
    <w:uiPriority w:val="22"/>
    <w:qFormat/>
    <w:rsid w:val="0065500B"/>
    <w:rPr>
      <w:b/>
      <w:bCs/>
    </w:rPr>
  </w:style>
  <w:style w:type="numbering" w:customStyle="1" w:styleId="NoList1">
    <w:name w:val="No List1"/>
    <w:next w:val="NoList"/>
    <w:semiHidden/>
    <w:rsid w:val="0065500B"/>
  </w:style>
  <w:style w:type="table" w:styleId="TableGrid">
    <w:name w:val="Table Grid"/>
    <w:basedOn w:val="TableNormal"/>
    <w:uiPriority w:val="39"/>
    <w:rsid w:val="0065500B"/>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5500B"/>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500B"/>
    <w:pPr>
      <w:autoSpaceDE w:val="0"/>
      <w:autoSpaceDN w:val="0"/>
      <w:adjustRightInd w:val="0"/>
      <w:spacing w:after="200" w:line="276" w:lineRule="auto"/>
    </w:pPr>
    <w:rPr>
      <w:rFonts w:eastAsiaTheme="minorEastAsia"/>
      <w:color w:val="000000"/>
      <w:lang w:bidi="en-US"/>
    </w:rPr>
  </w:style>
  <w:style w:type="paragraph" w:customStyle="1" w:styleId="CM34">
    <w:name w:val="CM34"/>
    <w:basedOn w:val="Default"/>
    <w:next w:val="Default"/>
    <w:uiPriority w:val="99"/>
    <w:rsid w:val="0065500B"/>
    <w:pPr>
      <w:widowControl w:val="0"/>
      <w:spacing w:after="278"/>
    </w:pPr>
    <w:rPr>
      <w:rFonts w:ascii="Arial" w:hAnsi="Arial"/>
      <w:color w:val="auto"/>
    </w:rPr>
  </w:style>
  <w:style w:type="paragraph" w:customStyle="1" w:styleId="CM33">
    <w:name w:val="CM33"/>
    <w:basedOn w:val="Default"/>
    <w:next w:val="Default"/>
    <w:uiPriority w:val="99"/>
    <w:rsid w:val="0065500B"/>
    <w:pPr>
      <w:widowControl w:val="0"/>
      <w:spacing w:after="110"/>
    </w:pPr>
    <w:rPr>
      <w:rFonts w:ascii="Arial" w:hAnsi="Arial"/>
      <w:color w:val="auto"/>
    </w:rPr>
  </w:style>
  <w:style w:type="paragraph" w:styleId="Caption">
    <w:name w:val="caption"/>
    <w:basedOn w:val="Normal"/>
    <w:next w:val="Normal"/>
    <w:uiPriority w:val="35"/>
    <w:semiHidden/>
    <w:unhideWhenUsed/>
    <w:qFormat/>
    <w:rsid w:val="0065500B"/>
    <w:rPr>
      <w:rFonts w:eastAsiaTheme="minorEastAsia"/>
      <w:b/>
      <w:bCs/>
      <w:color w:val="4472C4" w:themeColor="accent1"/>
      <w:sz w:val="18"/>
      <w:szCs w:val="18"/>
      <w:lang w:bidi="en-US"/>
    </w:rPr>
  </w:style>
  <w:style w:type="paragraph" w:styleId="Title">
    <w:name w:val="Title"/>
    <w:basedOn w:val="Normal"/>
    <w:next w:val="Normal"/>
    <w:link w:val="TitleChar"/>
    <w:uiPriority w:val="10"/>
    <w:qFormat/>
    <w:rsid w:val="0065500B"/>
    <w:pPr>
      <w:pBdr>
        <w:bottom w:val="single" w:sz="8" w:space="4" w:color="4472C4" w:themeColor="accent1"/>
      </w:pBdr>
      <w:spacing w:after="240"/>
      <w:contextualSpacing/>
    </w:pPr>
    <w:rPr>
      <w:rFonts w:eastAsiaTheme="majorEastAsia" w:cstheme="majorBidi"/>
      <w:color w:val="323E4F" w:themeColor="text2" w:themeShade="BF"/>
      <w:spacing w:val="5"/>
      <w:kern w:val="28"/>
      <w:sz w:val="32"/>
      <w:szCs w:val="52"/>
      <w:lang w:bidi="en-US"/>
    </w:rPr>
  </w:style>
  <w:style w:type="character" w:customStyle="1" w:styleId="TitleChar">
    <w:name w:val="Title Char"/>
    <w:basedOn w:val="DefaultParagraphFont"/>
    <w:link w:val="Title"/>
    <w:uiPriority w:val="10"/>
    <w:rsid w:val="0065500B"/>
    <w:rPr>
      <w:rFonts w:ascii="Arial" w:eastAsiaTheme="majorEastAsia" w:hAnsi="Arial" w:cstheme="majorBidi"/>
      <w:color w:val="323E4F" w:themeColor="text2" w:themeShade="BF"/>
      <w:spacing w:val="5"/>
      <w:kern w:val="28"/>
      <w:sz w:val="32"/>
      <w:szCs w:val="52"/>
      <w:lang w:bidi="en-US"/>
    </w:rPr>
  </w:style>
  <w:style w:type="paragraph" w:styleId="Subtitle">
    <w:name w:val="Subtitle"/>
    <w:basedOn w:val="Normal"/>
    <w:next w:val="Normal"/>
    <w:link w:val="SubtitleChar"/>
    <w:uiPriority w:val="11"/>
    <w:qFormat/>
    <w:rsid w:val="0065500B"/>
    <w:pPr>
      <w:numPr>
        <w:ilvl w:val="1"/>
      </w:numPr>
    </w:pPr>
    <w:rPr>
      <w:rFonts w:asciiTheme="majorHAnsi" w:eastAsiaTheme="majorEastAsia" w:hAnsiTheme="majorHAnsi" w:cstheme="majorBidi"/>
      <w:i/>
      <w:iCs/>
      <w:color w:val="4472C4" w:themeColor="accent1"/>
      <w:spacing w:val="15"/>
      <w:szCs w:val="24"/>
      <w:lang w:bidi="en-US"/>
    </w:rPr>
  </w:style>
  <w:style w:type="character" w:customStyle="1" w:styleId="SubtitleChar">
    <w:name w:val="Subtitle Char"/>
    <w:basedOn w:val="DefaultParagraphFont"/>
    <w:link w:val="Subtitle"/>
    <w:uiPriority w:val="11"/>
    <w:rsid w:val="0065500B"/>
    <w:rPr>
      <w:rFonts w:asciiTheme="majorHAnsi" w:eastAsiaTheme="majorEastAsia" w:hAnsiTheme="majorHAnsi" w:cstheme="majorBidi"/>
      <w:i/>
      <w:iCs/>
      <w:color w:val="4472C4" w:themeColor="accent1"/>
      <w:spacing w:val="15"/>
      <w:sz w:val="24"/>
      <w:szCs w:val="24"/>
      <w:lang w:bidi="en-US"/>
    </w:rPr>
  </w:style>
  <w:style w:type="character" w:styleId="Emphasis">
    <w:name w:val="Emphasis"/>
    <w:basedOn w:val="DefaultParagraphFont"/>
    <w:uiPriority w:val="20"/>
    <w:qFormat/>
    <w:rsid w:val="0065500B"/>
    <w:rPr>
      <w:i/>
      <w:iCs/>
    </w:rPr>
  </w:style>
  <w:style w:type="paragraph" w:styleId="Quote">
    <w:name w:val="Quote"/>
    <w:basedOn w:val="Normal"/>
    <w:next w:val="Normal"/>
    <w:link w:val="QuoteChar"/>
    <w:uiPriority w:val="29"/>
    <w:qFormat/>
    <w:rsid w:val="0065500B"/>
    <w:rPr>
      <w:rFonts w:eastAsiaTheme="minorEastAsia"/>
      <w:i/>
      <w:iCs/>
      <w:color w:val="000000" w:themeColor="text1"/>
      <w:lang w:bidi="en-US"/>
    </w:rPr>
  </w:style>
  <w:style w:type="character" w:customStyle="1" w:styleId="QuoteChar">
    <w:name w:val="Quote Char"/>
    <w:basedOn w:val="DefaultParagraphFont"/>
    <w:link w:val="Quote"/>
    <w:uiPriority w:val="29"/>
    <w:rsid w:val="0065500B"/>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65500B"/>
    <w:pPr>
      <w:pBdr>
        <w:bottom w:val="single" w:sz="4" w:space="4" w:color="4472C4" w:themeColor="accent1"/>
      </w:pBdr>
      <w:spacing w:before="200" w:after="280"/>
      <w:ind w:left="936" w:right="936"/>
    </w:pPr>
    <w:rPr>
      <w:rFonts w:eastAsiaTheme="minorEastAsia"/>
      <w:b/>
      <w:bCs/>
      <w:i/>
      <w:iCs/>
      <w:color w:val="4472C4" w:themeColor="accent1"/>
      <w:lang w:bidi="en-US"/>
    </w:rPr>
  </w:style>
  <w:style w:type="character" w:customStyle="1" w:styleId="IntenseQuoteChar">
    <w:name w:val="Intense Quote Char"/>
    <w:basedOn w:val="DefaultParagraphFont"/>
    <w:link w:val="IntenseQuote"/>
    <w:uiPriority w:val="30"/>
    <w:rsid w:val="0065500B"/>
    <w:rPr>
      <w:rFonts w:ascii="Arial" w:eastAsiaTheme="minorEastAsia" w:hAnsi="Arial"/>
      <w:b/>
      <w:bCs/>
      <w:i/>
      <w:iCs/>
      <w:color w:val="4472C4" w:themeColor="accent1"/>
      <w:sz w:val="24"/>
      <w:lang w:bidi="en-US"/>
    </w:rPr>
  </w:style>
  <w:style w:type="character" w:styleId="SubtleEmphasis">
    <w:name w:val="Subtle Emphasis"/>
    <w:basedOn w:val="DefaultParagraphFont"/>
    <w:uiPriority w:val="19"/>
    <w:qFormat/>
    <w:rsid w:val="0065500B"/>
    <w:rPr>
      <w:i/>
      <w:iCs/>
      <w:color w:val="808080" w:themeColor="text1" w:themeTint="7F"/>
    </w:rPr>
  </w:style>
  <w:style w:type="character" w:styleId="IntenseEmphasis">
    <w:name w:val="Intense Emphasis"/>
    <w:basedOn w:val="DefaultParagraphFont"/>
    <w:uiPriority w:val="21"/>
    <w:qFormat/>
    <w:rsid w:val="0065500B"/>
    <w:rPr>
      <w:b/>
      <w:bCs/>
      <w:i/>
      <w:iCs/>
      <w:color w:val="4472C4" w:themeColor="accent1"/>
    </w:rPr>
  </w:style>
  <w:style w:type="character" w:styleId="SubtleReference">
    <w:name w:val="Subtle Reference"/>
    <w:basedOn w:val="DefaultParagraphFont"/>
    <w:uiPriority w:val="31"/>
    <w:qFormat/>
    <w:rsid w:val="0065500B"/>
    <w:rPr>
      <w:smallCaps/>
      <w:color w:val="ED7D31" w:themeColor="accent2"/>
      <w:u w:val="single"/>
    </w:rPr>
  </w:style>
  <w:style w:type="character" w:styleId="IntenseReference">
    <w:name w:val="Intense Reference"/>
    <w:basedOn w:val="DefaultParagraphFont"/>
    <w:uiPriority w:val="32"/>
    <w:qFormat/>
    <w:rsid w:val="0065500B"/>
    <w:rPr>
      <w:b/>
      <w:bCs/>
      <w:smallCaps/>
      <w:color w:val="ED7D31" w:themeColor="accent2"/>
      <w:spacing w:val="5"/>
      <w:u w:val="single"/>
    </w:rPr>
  </w:style>
  <w:style w:type="character" w:styleId="BookTitle">
    <w:name w:val="Book Title"/>
    <w:basedOn w:val="DefaultParagraphFont"/>
    <w:uiPriority w:val="33"/>
    <w:qFormat/>
    <w:rsid w:val="0065500B"/>
    <w:rPr>
      <w:b/>
      <w:bCs/>
      <w:smallCaps/>
      <w:spacing w:val="5"/>
    </w:rPr>
  </w:style>
  <w:style w:type="paragraph" w:styleId="TOCHeading">
    <w:name w:val="TOC Heading"/>
    <w:basedOn w:val="Heading1"/>
    <w:next w:val="Normal"/>
    <w:uiPriority w:val="39"/>
    <w:semiHidden/>
    <w:unhideWhenUsed/>
    <w:qFormat/>
    <w:rsid w:val="0065500B"/>
    <w:pPr>
      <w:spacing w:after="0"/>
      <w:ind w:left="432" w:hanging="432"/>
      <w:outlineLvl w:val="9"/>
    </w:pPr>
    <w:rPr>
      <w:sz w:val="32"/>
      <w:lang w:bidi="en-US"/>
    </w:rPr>
  </w:style>
  <w:style w:type="paragraph" w:styleId="NormalWeb">
    <w:name w:val="Normal (Web)"/>
    <w:basedOn w:val="Normal"/>
    <w:uiPriority w:val="99"/>
    <w:semiHidden/>
    <w:unhideWhenUsed/>
    <w:rsid w:val="0065500B"/>
    <w:rPr>
      <w:rFonts w:ascii="Times New Roman" w:hAnsi="Times New Roman" w:cs="Times New Roman"/>
      <w:szCs w:val="24"/>
    </w:rPr>
  </w:style>
  <w:style w:type="paragraph" w:customStyle="1" w:styleId="GPOAGENCY">
    <w:name w:val="GPO AGENCY"/>
    <w:basedOn w:val="Normal"/>
    <w:link w:val="GPOAGENCYChar"/>
    <w:rsid w:val="0065500B"/>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65500B"/>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65500B"/>
    <w:pPr>
      <w:spacing w:after="100"/>
    </w:pPr>
  </w:style>
  <w:style w:type="paragraph" w:styleId="TOC2">
    <w:name w:val="toc 2"/>
    <w:basedOn w:val="Normal"/>
    <w:next w:val="Normal"/>
    <w:autoRedefine/>
    <w:uiPriority w:val="39"/>
    <w:unhideWhenUsed/>
    <w:rsid w:val="0065500B"/>
    <w:pPr>
      <w:spacing w:after="100"/>
      <w:ind w:left="240"/>
    </w:pPr>
  </w:style>
  <w:style w:type="paragraph" w:styleId="TOC3">
    <w:name w:val="toc 3"/>
    <w:basedOn w:val="Normal"/>
    <w:next w:val="Normal"/>
    <w:autoRedefine/>
    <w:uiPriority w:val="39"/>
    <w:unhideWhenUsed/>
    <w:rsid w:val="0065500B"/>
    <w:pPr>
      <w:spacing w:after="100"/>
      <w:ind w:left="480"/>
    </w:pPr>
  </w:style>
  <w:style w:type="character" w:styleId="PlaceholderText">
    <w:name w:val="Placeholder Text"/>
    <w:basedOn w:val="DefaultParagraphFont"/>
    <w:uiPriority w:val="99"/>
    <w:semiHidden/>
    <w:rsid w:val="0065500B"/>
    <w:rPr>
      <w:color w:val="808080"/>
    </w:rPr>
  </w:style>
  <w:style w:type="paragraph" w:customStyle="1" w:styleId="a">
    <w:name w:val=""/>
    <w:rsid w:val="0065500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TableTitle">
    <w:name w:val="Table Title"/>
    <w:basedOn w:val="Normal"/>
    <w:link w:val="TableTitleChar"/>
    <w:rsid w:val="00EB1F65"/>
    <w:pPr>
      <w:keepNext/>
      <w:keepLines/>
      <w:spacing w:before="240" w:after="40"/>
    </w:pPr>
    <w:rPr>
      <w:rFonts w:eastAsia="Times New Roman" w:cs="Arial"/>
      <w:b/>
      <w:color w:val="003366"/>
      <w:sz w:val="20"/>
    </w:rPr>
  </w:style>
  <w:style w:type="character" w:customStyle="1" w:styleId="TableTitleChar">
    <w:name w:val="Table Title Char"/>
    <w:link w:val="TableTitle"/>
    <w:rsid w:val="00EB1F65"/>
    <w:rPr>
      <w:rFonts w:ascii="Arial" w:eastAsia="Times New Roman" w:hAnsi="Arial" w:cs="Arial"/>
      <w:b/>
      <w:color w:val="003366"/>
      <w:sz w:val="20"/>
    </w:rPr>
  </w:style>
  <w:style w:type="paragraph" w:styleId="BodyTextIndent2">
    <w:name w:val="Body Text Indent 2"/>
    <w:basedOn w:val="Normal"/>
    <w:link w:val="BodyTextIndent2Char"/>
    <w:uiPriority w:val="99"/>
    <w:semiHidden/>
    <w:unhideWhenUsed/>
    <w:rsid w:val="00EB1F65"/>
    <w:pPr>
      <w:spacing w:after="120" w:line="480" w:lineRule="auto"/>
      <w:ind w:left="360"/>
    </w:pPr>
  </w:style>
  <w:style w:type="character" w:customStyle="1" w:styleId="BodyTextIndent2Char">
    <w:name w:val="Body Text Indent 2 Char"/>
    <w:basedOn w:val="DefaultParagraphFont"/>
    <w:link w:val="BodyTextIndent2"/>
    <w:uiPriority w:val="99"/>
    <w:semiHidden/>
    <w:rsid w:val="00EB1F65"/>
    <w:rPr>
      <w:rFonts w:ascii="Arial" w:hAnsi="Arial"/>
      <w:sz w:val="24"/>
    </w:rPr>
  </w:style>
  <w:style w:type="paragraph" w:styleId="BodyTextIndent">
    <w:name w:val="Body Text Indent"/>
    <w:basedOn w:val="Normal"/>
    <w:link w:val="BodyTextIndentChar"/>
    <w:uiPriority w:val="99"/>
    <w:unhideWhenUsed/>
    <w:rsid w:val="00E313CA"/>
    <w:pPr>
      <w:spacing w:after="120"/>
      <w:ind w:left="360"/>
    </w:pPr>
  </w:style>
  <w:style w:type="character" w:customStyle="1" w:styleId="BodyTextIndentChar">
    <w:name w:val="Body Text Indent Char"/>
    <w:basedOn w:val="DefaultParagraphFont"/>
    <w:link w:val="BodyTextIndent"/>
    <w:uiPriority w:val="99"/>
    <w:rsid w:val="00E313CA"/>
    <w:rPr>
      <w:rFonts w:ascii="Arial" w:hAnsi="Arial"/>
      <w:sz w:val="24"/>
    </w:rPr>
  </w:style>
  <w:style w:type="character" w:styleId="UnresolvedMention">
    <w:name w:val="Unresolved Mention"/>
    <w:basedOn w:val="DefaultParagraphFont"/>
    <w:uiPriority w:val="99"/>
    <w:semiHidden/>
    <w:unhideWhenUsed/>
    <w:rsid w:val="00A82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160">
      <w:bodyDiv w:val="1"/>
      <w:marLeft w:val="0"/>
      <w:marRight w:val="0"/>
      <w:marTop w:val="0"/>
      <w:marBottom w:val="0"/>
      <w:divBdr>
        <w:top w:val="none" w:sz="0" w:space="0" w:color="auto"/>
        <w:left w:val="none" w:sz="0" w:space="0" w:color="auto"/>
        <w:bottom w:val="none" w:sz="0" w:space="0" w:color="auto"/>
        <w:right w:val="none" w:sz="0" w:space="0" w:color="auto"/>
      </w:divBdr>
    </w:div>
    <w:div w:id="93400820">
      <w:bodyDiv w:val="1"/>
      <w:marLeft w:val="0"/>
      <w:marRight w:val="0"/>
      <w:marTop w:val="0"/>
      <w:marBottom w:val="0"/>
      <w:divBdr>
        <w:top w:val="none" w:sz="0" w:space="0" w:color="auto"/>
        <w:left w:val="none" w:sz="0" w:space="0" w:color="auto"/>
        <w:bottom w:val="none" w:sz="0" w:space="0" w:color="auto"/>
        <w:right w:val="none" w:sz="0" w:space="0" w:color="auto"/>
      </w:divBdr>
    </w:div>
    <w:div w:id="198014046">
      <w:bodyDiv w:val="1"/>
      <w:marLeft w:val="0"/>
      <w:marRight w:val="0"/>
      <w:marTop w:val="0"/>
      <w:marBottom w:val="0"/>
      <w:divBdr>
        <w:top w:val="none" w:sz="0" w:space="0" w:color="auto"/>
        <w:left w:val="none" w:sz="0" w:space="0" w:color="auto"/>
        <w:bottom w:val="none" w:sz="0" w:space="0" w:color="auto"/>
        <w:right w:val="none" w:sz="0" w:space="0" w:color="auto"/>
      </w:divBdr>
    </w:div>
    <w:div w:id="347414722">
      <w:bodyDiv w:val="1"/>
      <w:marLeft w:val="0"/>
      <w:marRight w:val="0"/>
      <w:marTop w:val="0"/>
      <w:marBottom w:val="0"/>
      <w:divBdr>
        <w:top w:val="none" w:sz="0" w:space="0" w:color="auto"/>
        <w:left w:val="none" w:sz="0" w:space="0" w:color="auto"/>
        <w:bottom w:val="none" w:sz="0" w:space="0" w:color="auto"/>
        <w:right w:val="none" w:sz="0" w:space="0" w:color="auto"/>
      </w:divBdr>
    </w:div>
    <w:div w:id="453405162">
      <w:bodyDiv w:val="1"/>
      <w:marLeft w:val="0"/>
      <w:marRight w:val="0"/>
      <w:marTop w:val="0"/>
      <w:marBottom w:val="0"/>
      <w:divBdr>
        <w:top w:val="none" w:sz="0" w:space="0" w:color="auto"/>
        <w:left w:val="none" w:sz="0" w:space="0" w:color="auto"/>
        <w:bottom w:val="none" w:sz="0" w:space="0" w:color="auto"/>
        <w:right w:val="none" w:sz="0" w:space="0" w:color="auto"/>
      </w:divBdr>
    </w:div>
    <w:div w:id="458650762">
      <w:bodyDiv w:val="1"/>
      <w:marLeft w:val="0"/>
      <w:marRight w:val="0"/>
      <w:marTop w:val="0"/>
      <w:marBottom w:val="0"/>
      <w:divBdr>
        <w:top w:val="none" w:sz="0" w:space="0" w:color="auto"/>
        <w:left w:val="none" w:sz="0" w:space="0" w:color="auto"/>
        <w:bottom w:val="none" w:sz="0" w:space="0" w:color="auto"/>
        <w:right w:val="none" w:sz="0" w:space="0" w:color="auto"/>
      </w:divBdr>
    </w:div>
    <w:div w:id="494146787">
      <w:bodyDiv w:val="1"/>
      <w:marLeft w:val="0"/>
      <w:marRight w:val="0"/>
      <w:marTop w:val="0"/>
      <w:marBottom w:val="0"/>
      <w:divBdr>
        <w:top w:val="none" w:sz="0" w:space="0" w:color="auto"/>
        <w:left w:val="none" w:sz="0" w:space="0" w:color="auto"/>
        <w:bottom w:val="none" w:sz="0" w:space="0" w:color="auto"/>
        <w:right w:val="none" w:sz="0" w:space="0" w:color="auto"/>
      </w:divBdr>
    </w:div>
    <w:div w:id="660277002">
      <w:bodyDiv w:val="1"/>
      <w:marLeft w:val="0"/>
      <w:marRight w:val="0"/>
      <w:marTop w:val="0"/>
      <w:marBottom w:val="0"/>
      <w:divBdr>
        <w:top w:val="none" w:sz="0" w:space="0" w:color="auto"/>
        <w:left w:val="none" w:sz="0" w:space="0" w:color="auto"/>
        <w:bottom w:val="none" w:sz="0" w:space="0" w:color="auto"/>
        <w:right w:val="none" w:sz="0" w:space="0" w:color="auto"/>
      </w:divBdr>
    </w:div>
    <w:div w:id="668338317">
      <w:bodyDiv w:val="1"/>
      <w:marLeft w:val="0"/>
      <w:marRight w:val="0"/>
      <w:marTop w:val="0"/>
      <w:marBottom w:val="0"/>
      <w:divBdr>
        <w:top w:val="none" w:sz="0" w:space="0" w:color="auto"/>
        <w:left w:val="none" w:sz="0" w:space="0" w:color="auto"/>
        <w:bottom w:val="none" w:sz="0" w:space="0" w:color="auto"/>
        <w:right w:val="none" w:sz="0" w:space="0" w:color="auto"/>
      </w:divBdr>
    </w:div>
    <w:div w:id="679938481">
      <w:bodyDiv w:val="1"/>
      <w:marLeft w:val="0"/>
      <w:marRight w:val="0"/>
      <w:marTop w:val="0"/>
      <w:marBottom w:val="0"/>
      <w:divBdr>
        <w:top w:val="none" w:sz="0" w:space="0" w:color="auto"/>
        <w:left w:val="none" w:sz="0" w:space="0" w:color="auto"/>
        <w:bottom w:val="none" w:sz="0" w:space="0" w:color="auto"/>
        <w:right w:val="none" w:sz="0" w:space="0" w:color="auto"/>
      </w:divBdr>
      <w:divsChild>
        <w:div w:id="2050839262">
          <w:marLeft w:val="0"/>
          <w:marRight w:val="0"/>
          <w:marTop w:val="0"/>
          <w:marBottom w:val="0"/>
          <w:divBdr>
            <w:top w:val="none" w:sz="0" w:space="0" w:color="auto"/>
            <w:left w:val="none" w:sz="0" w:space="0" w:color="auto"/>
            <w:bottom w:val="none" w:sz="0" w:space="0" w:color="auto"/>
            <w:right w:val="none" w:sz="0" w:space="0" w:color="auto"/>
          </w:divBdr>
        </w:div>
      </w:divsChild>
    </w:div>
    <w:div w:id="787161032">
      <w:bodyDiv w:val="1"/>
      <w:marLeft w:val="0"/>
      <w:marRight w:val="0"/>
      <w:marTop w:val="0"/>
      <w:marBottom w:val="0"/>
      <w:divBdr>
        <w:top w:val="none" w:sz="0" w:space="0" w:color="auto"/>
        <w:left w:val="none" w:sz="0" w:space="0" w:color="auto"/>
        <w:bottom w:val="none" w:sz="0" w:space="0" w:color="auto"/>
        <w:right w:val="none" w:sz="0" w:space="0" w:color="auto"/>
      </w:divBdr>
      <w:divsChild>
        <w:div w:id="293292272">
          <w:marLeft w:val="0"/>
          <w:marRight w:val="0"/>
          <w:marTop w:val="0"/>
          <w:marBottom w:val="0"/>
          <w:divBdr>
            <w:top w:val="none" w:sz="0" w:space="0" w:color="auto"/>
            <w:left w:val="none" w:sz="0" w:space="0" w:color="auto"/>
            <w:bottom w:val="none" w:sz="0" w:space="0" w:color="auto"/>
            <w:right w:val="none" w:sz="0" w:space="0" w:color="auto"/>
          </w:divBdr>
          <w:divsChild>
            <w:div w:id="499585289">
              <w:marLeft w:val="0"/>
              <w:marRight w:val="0"/>
              <w:marTop w:val="0"/>
              <w:marBottom w:val="0"/>
              <w:divBdr>
                <w:top w:val="none" w:sz="0" w:space="0" w:color="auto"/>
                <w:left w:val="none" w:sz="0" w:space="0" w:color="auto"/>
                <w:bottom w:val="none" w:sz="0" w:space="0" w:color="auto"/>
                <w:right w:val="none" w:sz="0" w:space="0" w:color="auto"/>
              </w:divBdr>
              <w:divsChild>
                <w:div w:id="203373496">
                  <w:marLeft w:val="0"/>
                  <w:marRight w:val="0"/>
                  <w:marTop w:val="0"/>
                  <w:marBottom w:val="0"/>
                  <w:divBdr>
                    <w:top w:val="none" w:sz="0" w:space="0" w:color="auto"/>
                    <w:left w:val="none" w:sz="0" w:space="0" w:color="auto"/>
                    <w:bottom w:val="none" w:sz="0" w:space="0" w:color="auto"/>
                    <w:right w:val="none" w:sz="0" w:space="0" w:color="auto"/>
                  </w:divBdr>
                  <w:divsChild>
                    <w:div w:id="1928810198">
                      <w:marLeft w:val="0"/>
                      <w:marRight w:val="0"/>
                      <w:marTop w:val="0"/>
                      <w:marBottom w:val="0"/>
                      <w:divBdr>
                        <w:top w:val="none" w:sz="0" w:space="0" w:color="auto"/>
                        <w:left w:val="none" w:sz="0" w:space="0" w:color="auto"/>
                        <w:bottom w:val="none" w:sz="0" w:space="0" w:color="auto"/>
                        <w:right w:val="none" w:sz="0" w:space="0" w:color="auto"/>
                      </w:divBdr>
                      <w:divsChild>
                        <w:div w:id="1156990600">
                          <w:marLeft w:val="0"/>
                          <w:marRight w:val="0"/>
                          <w:marTop w:val="0"/>
                          <w:marBottom w:val="0"/>
                          <w:divBdr>
                            <w:top w:val="none" w:sz="0" w:space="0" w:color="auto"/>
                            <w:left w:val="none" w:sz="0" w:space="0" w:color="auto"/>
                            <w:bottom w:val="none" w:sz="0" w:space="0" w:color="auto"/>
                            <w:right w:val="none" w:sz="0" w:space="0" w:color="auto"/>
                          </w:divBdr>
                          <w:divsChild>
                            <w:div w:id="1609658144">
                              <w:marLeft w:val="0"/>
                              <w:marRight w:val="0"/>
                              <w:marTop w:val="0"/>
                              <w:marBottom w:val="0"/>
                              <w:divBdr>
                                <w:top w:val="none" w:sz="0" w:space="0" w:color="auto"/>
                                <w:left w:val="none" w:sz="0" w:space="0" w:color="auto"/>
                                <w:bottom w:val="none" w:sz="0" w:space="0" w:color="auto"/>
                                <w:right w:val="none" w:sz="0" w:space="0" w:color="auto"/>
                              </w:divBdr>
                              <w:divsChild>
                                <w:div w:id="500389439">
                                  <w:marLeft w:val="0"/>
                                  <w:marRight w:val="0"/>
                                  <w:marTop w:val="0"/>
                                  <w:marBottom w:val="0"/>
                                  <w:divBdr>
                                    <w:top w:val="none" w:sz="0" w:space="0" w:color="auto"/>
                                    <w:left w:val="none" w:sz="0" w:space="0" w:color="auto"/>
                                    <w:bottom w:val="none" w:sz="0" w:space="0" w:color="auto"/>
                                    <w:right w:val="none" w:sz="0" w:space="0" w:color="auto"/>
                                  </w:divBdr>
                                  <w:divsChild>
                                    <w:div w:id="1834640372">
                                      <w:marLeft w:val="0"/>
                                      <w:marRight w:val="0"/>
                                      <w:marTop w:val="0"/>
                                      <w:marBottom w:val="0"/>
                                      <w:divBdr>
                                        <w:top w:val="none" w:sz="0" w:space="0" w:color="auto"/>
                                        <w:left w:val="none" w:sz="0" w:space="0" w:color="auto"/>
                                        <w:bottom w:val="none" w:sz="0" w:space="0" w:color="auto"/>
                                        <w:right w:val="none" w:sz="0" w:space="0" w:color="auto"/>
                                      </w:divBdr>
                                      <w:divsChild>
                                        <w:div w:id="1718314965">
                                          <w:marLeft w:val="0"/>
                                          <w:marRight w:val="0"/>
                                          <w:marTop w:val="0"/>
                                          <w:marBottom w:val="0"/>
                                          <w:divBdr>
                                            <w:top w:val="none" w:sz="0" w:space="0" w:color="auto"/>
                                            <w:left w:val="none" w:sz="0" w:space="0" w:color="auto"/>
                                            <w:bottom w:val="none" w:sz="0" w:space="0" w:color="auto"/>
                                            <w:right w:val="none" w:sz="0" w:space="0" w:color="auto"/>
                                          </w:divBdr>
                                          <w:divsChild>
                                            <w:div w:id="14795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343132">
      <w:bodyDiv w:val="1"/>
      <w:marLeft w:val="0"/>
      <w:marRight w:val="0"/>
      <w:marTop w:val="0"/>
      <w:marBottom w:val="0"/>
      <w:divBdr>
        <w:top w:val="none" w:sz="0" w:space="0" w:color="auto"/>
        <w:left w:val="none" w:sz="0" w:space="0" w:color="auto"/>
        <w:bottom w:val="none" w:sz="0" w:space="0" w:color="auto"/>
        <w:right w:val="none" w:sz="0" w:space="0" w:color="auto"/>
      </w:divBdr>
    </w:div>
    <w:div w:id="893010272">
      <w:bodyDiv w:val="1"/>
      <w:marLeft w:val="0"/>
      <w:marRight w:val="0"/>
      <w:marTop w:val="0"/>
      <w:marBottom w:val="0"/>
      <w:divBdr>
        <w:top w:val="none" w:sz="0" w:space="0" w:color="auto"/>
        <w:left w:val="none" w:sz="0" w:space="0" w:color="auto"/>
        <w:bottom w:val="none" w:sz="0" w:space="0" w:color="auto"/>
        <w:right w:val="none" w:sz="0" w:space="0" w:color="auto"/>
      </w:divBdr>
    </w:div>
    <w:div w:id="1150366986">
      <w:bodyDiv w:val="1"/>
      <w:marLeft w:val="0"/>
      <w:marRight w:val="0"/>
      <w:marTop w:val="0"/>
      <w:marBottom w:val="0"/>
      <w:divBdr>
        <w:top w:val="none" w:sz="0" w:space="0" w:color="auto"/>
        <w:left w:val="none" w:sz="0" w:space="0" w:color="auto"/>
        <w:bottom w:val="none" w:sz="0" w:space="0" w:color="auto"/>
        <w:right w:val="none" w:sz="0" w:space="0" w:color="auto"/>
      </w:divBdr>
      <w:divsChild>
        <w:div w:id="2100131590">
          <w:marLeft w:val="0"/>
          <w:marRight w:val="0"/>
          <w:marTop w:val="0"/>
          <w:marBottom w:val="0"/>
          <w:divBdr>
            <w:top w:val="none" w:sz="0" w:space="0" w:color="auto"/>
            <w:left w:val="none" w:sz="0" w:space="0" w:color="auto"/>
            <w:bottom w:val="none" w:sz="0" w:space="0" w:color="auto"/>
            <w:right w:val="none" w:sz="0" w:space="0" w:color="auto"/>
          </w:divBdr>
        </w:div>
      </w:divsChild>
    </w:div>
    <w:div w:id="1244954425">
      <w:bodyDiv w:val="1"/>
      <w:marLeft w:val="0"/>
      <w:marRight w:val="0"/>
      <w:marTop w:val="0"/>
      <w:marBottom w:val="0"/>
      <w:divBdr>
        <w:top w:val="none" w:sz="0" w:space="0" w:color="auto"/>
        <w:left w:val="none" w:sz="0" w:space="0" w:color="auto"/>
        <w:bottom w:val="none" w:sz="0" w:space="0" w:color="auto"/>
        <w:right w:val="none" w:sz="0" w:space="0" w:color="auto"/>
      </w:divBdr>
    </w:div>
    <w:div w:id="1269267528">
      <w:bodyDiv w:val="1"/>
      <w:marLeft w:val="0"/>
      <w:marRight w:val="0"/>
      <w:marTop w:val="0"/>
      <w:marBottom w:val="0"/>
      <w:divBdr>
        <w:top w:val="none" w:sz="0" w:space="0" w:color="auto"/>
        <w:left w:val="none" w:sz="0" w:space="0" w:color="auto"/>
        <w:bottom w:val="none" w:sz="0" w:space="0" w:color="auto"/>
        <w:right w:val="none" w:sz="0" w:space="0" w:color="auto"/>
      </w:divBdr>
    </w:div>
    <w:div w:id="1274937979">
      <w:bodyDiv w:val="1"/>
      <w:marLeft w:val="0"/>
      <w:marRight w:val="0"/>
      <w:marTop w:val="0"/>
      <w:marBottom w:val="0"/>
      <w:divBdr>
        <w:top w:val="none" w:sz="0" w:space="0" w:color="auto"/>
        <w:left w:val="none" w:sz="0" w:space="0" w:color="auto"/>
        <w:bottom w:val="none" w:sz="0" w:space="0" w:color="auto"/>
        <w:right w:val="none" w:sz="0" w:space="0" w:color="auto"/>
      </w:divBdr>
    </w:div>
    <w:div w:id="1327588859">
      <w:bodyDiv w:val="1"/>
      <w:marLeft w:val="0"/>
      <w:marRight w:val="0"/>
      <w:marTop w:val="0"/>
      <w:marBottom w:val="0"/>
      <w:divBdr>
        <w:top w:val="none" w:sz="0" w:space="0" w:color="auto"/>
        <w:left w:val="none" w:sz="0" w:space="0" w:color="auto"/>
        <w:bottom w:val="none" w:sz="0" w:space="0" w:color="auto"/>
        <w:right w:val="none" w:sz="0" w:space="0" w:color="auto"/>
      </w:divBdr>
    </w:div>
    <w:div w:id="1328555960">
      <w:bodyDiv w:val="1"/>
      <w:marLeft w:val="0"/>
      <w:marRight w:val="0"/>
      <w:marTop w:val="0"/>
      <w:marBottom w:val="0"/>
      <w:divBdr>
        <w:top w:val="none" w:sz="0" w:space="0" w:color="auto"/>
        <w:left w:val="none" w:sz="0" w:space="0" w:color="auto"/>
        <w:bottom w:val="none" w:sz="0" w:space="0" w:color="auto"/>
        <w:right w:val="none" w:sz="0" w:space="0" w:color="auto"/>
      </w:divBdr>
    </w:div>
    <w:div w:id="1340501878">
      <w:bodyDiv w:val="1"/>
      <w:marLeft w:val="0"/>
      <w:marRight w:val="0"/>
      <w:marTop w:val="0"/>
      <w:marBottom w:val="0"/>
      <w:divBdr>
        <w:top w:val="none" w:sz="0" w:space="0" w:color="auto"/>
        <w:left w:val="none" w:sz="0" w:space="0" w:color="auto"/>
        <w:bottom w:val="none" w:sz="0" w:space="0" w:color="auto"/>
        <w:right w:val="none" w:sz="0" w:space="0" w:color="auto"/>
      </w:divBdr>
    </w:div>
    <w:div w:id="1414745133">
      <w:bodyDiv w:val="1"/>
      <w:marLeft w:val="0"/>
      <w:marRight w:val="0"/>
      <w:marTop w:val="0"/>
      <w:marBottom w:val="0"/>
      <w:divBdr>
        <w:top w:val="none" w:sz="0" w:space="0" w:color="auto"/>
        <w:left w:val="none" w:sz="0" w:space="0" w:color="auto"/>
        <w:bottom w:val="none" w:sz="0" w:space="0" w:color="auto"/>
        <w:right w:val="none" w:sz="0" w:space="0" w:color="auto"/>
      </w:divBdr>
      <w:divsChild>
        <w:div w:id="1839955602">
          <w:marLeft w:val="0"/>
          <w:marRight w:val="0"/>
          <w:marTop w:val="0"/>
          <w:marBottom w:val="0"/>
          <w:divBdr>
            <w:top w:val="none" w:sz="0" w:space="0" w:color="auto"/>
            <w:left w:val="none" w:sz="0" w:space="0" w:color="auto"/>
            <w:bottom w:val="none" w:sz="0" w:space="0" w:color="auto"/>
            <w:right w:val="none" w:sz="0" w:space="0" w:color="auto"/>
          </w:divBdr>
        </w:div>
      </w:divsChild>
    </w:div>
    <w:div w:id="195567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hyperlink" Target="https://www.opm.gov/policy-data-oversight/pay-leave/salaries-wages/salary-tables/pdf/2018/DCB.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cfr.gov/cgi-bin/retrieveECFR?gp=1&amp;SID=67b7f8b06cce47cf338b3b52057016a4&amp;ty=HTML&amp;h=L&amp;n=5y3.0.2.3.9&amp;r=PART" TargetMode="External"/><Relationship Id="rId17" Type="http://schemas.openxmlformats.org/officeDocument/2006/relationships/hyperlink" Target="https://www.bls.gov/oes/current/naics4_541100.htm"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8/DC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dockets" TargetMode="Externa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2020-07-23T23:41:27+00:00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CA077AC-1369-401A-B4F6-62769866160C}">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54FC4002-78B6-46B8-BC6E-2A1FB30B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1FEEC-C54E-4EC1-A9C6-4E5D4392AD20}">
  <ds:schemaRefs>
    <ds:schemaRef ds:uri="http://schemas.microsoft.com/sharepoint/v3/contenttype/forms"/>
  </ds:schemaRefs>
</ds:datastoreItem>
</file>

<file path=customXml/itemProps4.xml><?xml version="1.0" encoding="utf-8"?>
<ds:datastoreItem xmlns:ds="http://schemas.openxmlformats.org/officeDocument/2006/customXml" ds:itemID="{D588386D-EEA6-4CED-8E2C-B3CF56D8B4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6983</Words>
  <Characters>39806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Leszczyszyn, Natalia</dc:creator>
  <cp:keywords/>
  <dc:description/>
  <cp:lastModifiedBy>Eric Schultz</cp:lastModifiedBy>
  <cp:revision>2</cp:revision>
  <cp:lastPrinted>2019-11-07T15:33:00Z</cp:lastPrinted>
  <dcterms:created xsi:type="dcterms:W3CDTF">2020-08-24T11:29:00Z</dcterms:created>
  <dcterms:modified xsi:type="dcterms:W3CDTF">2020-08-24T11:29:00Z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