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2F54" w:rsidR="00576A65" w:rsidRDefault="00522F54" w14:paraId="0002D046" w14:textId="5C1BFBC0">
      <w:pPr>
        <w:rPr>
          <w:rFonts w:ascii="Times New Roman" w:hAnsi="Times New Roman" w:cs="Times New Roman"/>
          <w:b/>
          <w:bCs/>
          <w:sz w:val="24"/>
          <w:szCs w:val="24"/>
        </w:rPr>
      </w:pPr>
      <w:bookmarkStart w:name="_GoBack" w:id="0"/>
      <w:bookmarkEnd w:id="0"/>
      <w:r w:rsidRPr="00522F54">
        <w:rPr>
          <w:rFonts w:ascii="Times New Roman" w:hAnsi="Times New Roman" w:cs="Times New Roman"/>
          <w:b/>
          <w:bCs/>
          <w:sz w:val="24"/>
          <w:szCs w:val="24"/>
        </w:rPr>
        <w:t>Response</w:t>
      </w:r>
      <w:r w:rsidR="00BA64B0">
        <w:rPr>
          <w:rFonts w:ascii="Times New Roman" w:hAnsi="Times New Roman" w:cs="Times New Roman"/>
          <w:b/>
          <w:bCs/>
          <w:sz w:val="24"/>
          <w:szCs w:val="24"/>
        </w:rPr>
        <w:t>s</w:t>
      </w:r>
      <w:r w:rsidRPr="00522F54">
        <w:rPr>
          <w:rFonts w:ascii="Times New Roman" w:hAnsi="Times New Roman" w:cs="Times New Roman"/>
          <w:b/>
          <w:bCs/>
          <w:sz w:val="24"/>
          <w:szCs w:val="24"/>
        </w:rPr>
        <w:t xml:space="preserve"> to Comments Received on Proposed Renewal of the Information Collection Request (ICR) for </w:t>
      </w:r>
      <w:r w:rsidR="00BA64B0">
        <w:rPr>
          <w:rFonts w:ascii="Times New Roman" w:hAnsi="Times New Roman" w:cs="Times New Roman"/>
          <w:b/>
          <w:bCs/>
          <w:sz w:val="24"/>
          <w:szCs w:val="24"/>
        </w:rPr>
        <w:t xml:space="preserve">the </w:t>
      </w:r>
      <w:r w:rsidRPr="00522F54">
        <w:rPr>
          <w:rFonts w:ascii="Times New Roman" w:hAnsi="Times New Roman" w:cs="Times New Roman"/>
          <w:b/>
          <w:bCs/>
          <w:sz w:val="24"/>
          <w:szCs w:val="24"/>
        </w:rPr>
        <w:t>Toxic Substances Control Act (TSCA) Section 12(b) Export Notifications</w:t>
      </w:r>
    </w:p>
    <w:p w:rsidRPr="003B231E" w:rsidR="005169CA" w:rsidP="00576A65" w:rsidRDefault="005169CA" w14:paraId="51EC0272" w14:textId="77777777">
      <w:pPr>
        <w:spacing w:after="0" w:line="240" w:lineRule="auto"/>
        <w:rPr>
          <w:rFonts w:ascii="Times New Roman" w:hAnsi="Times New Roman" w:cs="Times New Roman"/>
          <w:b/>
          <w:sz w:val="24"/>
          <w:szCs w:val="24"/>
          <w:u w:val="single"/>
        </w:rPr>
      </w:pPr>
      <w:r w:rsidRPr="003B231E">
        <w:rPr>
          <w:rFonts w:ascii="Times New Roman" w:hAnsi="Times New Roman" w:cs="Times New Roman"/>
          <w:b/>
          <w:sz w:val="24"/>
          <w:szCs w:val="24"/>
          <w:u w:val="single"/>
        </w:rPr>
        <w:t>Background</w:t>
      </w:r>
    </w:p>
    <w:p w:rsidRPr="003B231E" w:rsidR="005169CA" w:rsidP="00576A65" w:rsidRDefault="005169CA" w14:paraId="6626B5C4" w14:textId="77777777">
      <w:pPr>
        <w:spacing w:after="0" w:line="240" w:lineRule="auto"/>
        <w:rPr>
          <w:rFonts w:ascii="Times New Roman" w:hAnsi="Times New Roman" w:cs="Times New Roman"/>
          <w:sz w:val="24"/>
          <w:szCs w:val="24"/>
        </w:rPr>
      </w:pPr>
    </w:p>
    <w:p w:rsidRPr="003B231E" w:rsidR="005169CA" w:rsidP="00576A65" w:rsidRDefault="005169CA" w14:paraId="7617FEAF" w14:textId="0A83ED80">
      <w:pPr>
        <w:spacing w:after="0" w:line="240" w:lineRule="auto"/>
        <w:rPr>
          <w:rFonts w:ascii="Times New Roman" w:hAnsi="Times New Roman" w:cs="Times New Roman"/>
          <w:sz w:val="24"/>
          <w:szCs w:val="24"/>
        </w:rPr>
      </w:pPr>
      <w:r w:rsidRPr="003B231E">
        <w:rPr>
          <w:rFonts w:ascii="Times New Roman" w:hAnsi="Times New Roman" w:cs="Times New Roman"/>
          <w:sz w:val="24"/>
          <w:szCs w:val="24"/>
        </w:rPr>
        <w:t xml:space="preserve">On </w:t>
      </w:r>
      <w:r w:rsidR="009B6622">
        <w:rPr>
          <w:rFonts w:ascii="Times New Roman" w:hAnsi="Times New Roman" w:cs="Times New Roman"/>
          <w:sz w:val="24"/>
          <w:szCs w:val="24"/>
        </w:rPr>
        <w:t>March</w:t>
      </w:r>
      <w:r w:rsidRPr="003B231E">
        <w:rPr>
          <w:rFonts w:ascii="Times New Roman" w:hAnsi="Times New Roman" w:cs="Times New Roman"/>
          <w:sz w:val="24"/>
          <w:szCs w:val="24"/>
        </w:rPr>
        <w:t xml:space="preserve"> </w:t>
      </w:r>
      <w:r w:rsidR="009B6622">
        <w:rPr>
          <w:rFonts w:ascii="Times New Roman" w:hAnsi="Times New Roman" w:cs="Times New Roman"/>
          <w:sz w:val="24"/>
          <w:szCs w:val="24"/>
        </w:rPr>
        <w:t>12</w:t>
      </w:r>
      <w:r w:rsidRPr="003B231E">
        <w:rPr>
          <w:rFonts w:ascii="Times New Roman" w:hAnsi="Times New Roman" w:cs="Times New Roman"/>
          <w:sz w:val="24"/>
          <w:szCs w:val="24"/>
        </w:rPr>
        <w:t>, 20</w:t>
      </w:r>
      <w:r w:rsidR="009B6622">
        <w:rPr>
          <w:rFonts w:ascii="Times New Roman" w:hAnsi="Times New Roman" w:cs="Times New Roman"/>
          <w:sz w:val="24"/>
          <w:szCs w:val="24"/>
        </w:rPr>
        <w:t>20</w:t>
      </w:r>
      <w:r w:rsidRPr="003B231E">
        <w:rPr>
          <w:rFonts w:ascii="Times New Roman" w:hAnsi="Times New Roman" w:cs="Times New Roman"/>
          <w:sz w:val="24"/>
          <w:szCs w:val="24"/>
        </w:rPr>
        <w:t xml:space="preserve"> (</w:t>
      </w:r>
      <w:r w:rsidRPr="008165C1">
        <w:rPr>
          <w:rFonts w:ascii="Times New Roman" w:hAnsi="Times New Roman" w:cs="Times New Roman"/>
          <w:sz w:val="24"/>
          <w:szCs w:val="24"/>
        </w:rPr>
        <w:t>8</w:t>
      </w:r>
      <w:r w:rsidRPr="008165C1" w:rsidR="008165C1">
        <w:rPr>
          <w:rFonts w:ascii="Times New Roman" w:hAnsi="Times New Roman" w:cs="Times New Roman"/>
          <w:sz w:val="24"/>
          <w:szCs w:val="24"/>
        </w:rPr>
        <w:t>5</w:t>
      </w:r>
      <w:r w:rsidRPr="008165C1">
        <w:rPr>
          <w:rFonts w:ascii="Times New Roman" w:hAnsi="Times New Roman" w:cs="Times New Roman"/>
          <w:sz w:val="24"/>
          <w:szCs w:val="24"/>
        </w:rPr>
        <w:t xml:space="preserve"> FR </w:t>
      </w:r>
      <w:r w:rsidRPr="008165C1" w:rsidR="008165C1">
        <w:rPr>
          <w:rFonts w:ascii="Times New Roman" w:hAnsi="Times New Roman" w:cs="Times New Roman"/>
          <w:sz w:val="24"/>
          <w:szCs w:val="24"/>
        </w:rPr>
        <w:t>14478</w:t>
      </w:r>
      <w:r w:rsidRPr="003B231E">
        <w:rPr>
          <w:rFonts w:ascii="Times New Roman" w:hAnsi="Times New Roman" w:cs="Times New Roman"/>
          <w:sz w:val="24"/>
          <w:szCs w:val="24"/>
        </w:rPr>
        <w:t xml:space="preserve">), the U.S. Environmental Protection Agency </w:t>
      </w:r>
      <w:r w:rsidR="00CF770D">
        <w:rPr>
          <w:rFonts w:ascii="Times New Roman" w:hAnsi="Times New Roman" w:cs="Times New Roman"/>
          <w:sz w:val="24"/>
          <w:szCs w:val="24"/>
        </w:rPr>
        <w:t xml:space="preserve">(EPA) </w:t>
      </w:r>
      <w:r w:rsidRPr="003B231E">
        <w:rPr>
          <w:rFonts w:ascii="Times New Roman" w:hAnsi="Times New Roman" w:cs="Times New Roman"/>
          <w:sz w:val="24"/>
          <w:szCs w:val="24"/>
        </w:rPr>
        <w:t xml:space="preserve">published a notice in the Federal Register </w:t>
      </w:r>
      <w:r w:rsidR="00CF770D">
        <w:rPr>
          <w:rFonts w:ascii="Times New Roman" w:hAnsi="Times New Roman" w:cs="Times New Roman"/>
          <w:sz w:val="24"/>
          <w:szCs w:val="24"/>
        </w:rPr>
        <w:t xml:space="preserve">and sent consultation emails to nine recipients </w:t>
      </w:r>
      <w:r w:rsidRPr="003B231E">
        <w:rPr>
          <w:rFonts w:ascii="Times New Roman" w:hAnsi="Times New Roman" w:cs="Times New Roman"/>
          <w:sz w:val="24"/>
          <w:szCs w:val="24"/>
        </w:rPr>
        <w:t xml:space="preserve">announcing that it was planning to submit an Information Collection Request (ICR) </w:t>
      </w:r>
      <w:r w:rsidRPr="003B231E" w:rsidR="003B231E">
        <w:rPr>
          <w:rFonts w:ascii="Times New Roman" w:hAnsi="Times New Roman" w:cs="Times New Roman"/>
          <w:sz w:val="24"/>
          <w:szCs w:val="24"/>
        </w:rPr>
        <w:t xml:space="preserve">to the Office of Management and Budget (OMB) for </w:t>
      </w:r>
      <w:r w:rsidR="00601969">
        <w:rPr>
          <w:rFonts w:ascii="Times New Roman" w:hAnsi="Times New Roman" w:cs="Times New Roman"/>
          <w:sz w:val="24"/>
          <w:szCs w:val="24"/>
        </w:rPr>
        <w:t>renewal</w:t>
      </w:r>
      <w:r w:rsidRPr="003B231E" w:rsidR="00601969">
        <w:rPr>
          <w:rFonts w:ascii="Times New Roman" w:hAnsi="Times New Roman" w:cs="Times New Roman"/>
          <w:sz w:val="24"/>
          <w:szCs w:val="24"/>
        </w:rPr>
        <w:t xml:space="preserve"> </w:t>
      </w:r>
      <w:r w:rsidRPr="003B231E" w:rsidR="003B231E">
        <w:rPr>
          <w:rFonts w:ascii="Times New Roman" w:hAnsi="Times New Roman" w:cs="Times New Roman"/>
          <w:sz w:val="24"/>
          <w:szCs w:val="24"/>
        </w:rPr>
        <w:t>of</w:t>
      </w:r>
      <w:r w:rsidRPr="003B231E">
        <w:rPr>
          <w:rFonts w:ascii="Times New Roman" w:hAnsi="Times New Roman" w:cs="Times New Roman"/>
          <w:sz w:val="24"/>
          <w:szCs w:val="24"/>
        </w:rPr>
        <w:t xml:space="preserve"> the collection of </w:t>
      </w:r>
      <w:r w:rsidR="005C49EF">
        <w:rPr>
          <w:rFonts w:ascii="Times New Roman" w:hAnsi="Times New Roman" w:cs="Times New Roman"/>
          <w:sz w:val="24"/>
          <w:szCs w:val="24"/>
        </w:rPr>
        <w:t xml:space="preserve">information </w:t>
      </w:r>
      <w:r w:rsidR="009B6622">
        <w:rPr>
          <w:rFonts w:ascii="Times New Roman" w:hAnsi="Times New Roman" w:cs="Times New Roman"/>
          <w:sz w:val="24"/>
          <w:szCs w:val="24"/>
        </w:rPr>
        <w:t>under TSCA</w:t>
      </w:r>
      <w:r w:rsidR="005C49EF">
        <w:rPr>
          <w:rFonts w:ascii="Times New Roman" w:hAnsi="Times New Roman" w:cs="Times New Roman"/>
          <w:sz w:val="24"/>
          <w:szCs w:val="24"/>
        </w:rPr>
        <w:t xml:space="preserve"> </w:t>
      </w:r>
      <w:r w:rsidR="009B6622">
        <w:rPr>
          <w:rFonts w:ascii="Times New Roman" w:hAnsi="Times New Roman" w:cs="Times New Roman"/>
          <w:sz w:val="24"/>
          <w:szCs w:val="24"/>
        </w:rPr>
        <w:t>section 12(b)</w:t>
      </w:r>
      <w:r w:rsidRPr="003B231E">
        <w:rPr>
          <w:rFonts w:ascii="Times New Roman" w:hAnsi="Times New Roman" w:cs="Times New Roman"/>
          <w:sz w:val="24"/>
          <w:szCs w:val="24"/>
        </w:rPr>
        <w:t>.</w:t>
      </w:r>
      <w:r w:rsidRPr="003B231E" w:rsidR="003B231E">
        <w:rPr>
          <w:rFonts w:ascii="Times New Roman" w:hAnsi="Times New Roman" w:cs="Times New Roman"/>
          <w:sz w:val="24"/>
          <w:szCs w:val="24"/>
        </w:rPr>
        <w:t xml:space="preserve"> The public comment period closed on </w:t>
      </w:r>
      <w:r w:rsidR="009B6622">
        <w:rPr>
          <w:rFonts w:ascii="Times New Roman" w:hAnsi="Times New Roman" w:cs="Times New Roman"/>
          <w:sz w:val="24"/>
          <w:szCs w:val="24"/>
        </w:rPr>
        <w:t>May</w:t>
      </w:r>
      <w:r w:rsidRPr="003B231E" w:rsidR="003B231E">
        <w:rPr>
          <w:rFonts w:ascii="Times New Roman" w:hAnsi="Times New Roman" w:cs="Times New Roman"/>
          <w:sz w:val="24"/>
          <w:szCs w:val="24"/>
        </w:rPr>
        <w:t xml:space="preserve"> </w:t>
      </w:r>
      <w:r w:rsidR="009B6622">
        <w:rPr>
          <w:rFonts w:ascii="Times New Roman" w:hAnsi="Times New Roman" w:cs="Times New Roman"/>
          <w:sz w:val="24"/>
          <w:szCs w:val="24"/>
        </w:rPr>
        <w:t>11</w:t>
      </w:r>
      <w:r w:rsidRPr="003B231E" w:rsidR="003B231E">
        <w:rPr>
          <w:rFonts w:ascii="Times New Roman" w:hAnsi="Times New Roman" w:cs="Times New Roman"/>
          <w:sz w:val="24"/>
          <w:szCs w:val="24"/>
        </w:rPr>
        <w:t>, 20</w:t>
      </w:r>
      <w:r w:rsidR="009B6622">
        <w:rPr>
          <w:rFonts w:ascii="Times New Roman" w:hAnsi="Times New Roman" w:cs="Times New Roman"/>
          <w:sz w:val="24"/>
          <w:szCs w:val="24"/>
        </w:rPr>
        <w:t>20</w:t>
      </w:r>
      <w:r w:rsidRPr="003B231E" w:rsidR="003B231E">
        <w:rPr>
          <w:rFonts w:ascii="Times New Roman" w:hAnsi="Times New Roman" w:cs="Times New Roman"/>
          <w:sz w:val="24"/>
          <w:szCs w:val="24"/>
        </w:rPr>
        <w:t>. The Agency received comment</w:t>
      </w:r>
      <w:r w:rsidR="004A6958">
        <w:rPr>
          <w:rFonts w:ascii="Times New Roman" w:hAnsi="Times New Roman" w:cs="Times New Roman"/>
          <w:sz w:val="24"/>
          <w:szCs w:val="24"/>
        </w:rPr>
        <w:t>s</w:t>
      </w:r>
      <w:r w:rsidR="009B6622">
        <w:rPr>
          <w:rFonts w:ascii="Times New Roman" w:hAnsi="Times New Roman" w:cs="Times New Roman"/>
          <w:sz w:val="24"/>
          <w:szCs w:val="24"/>
        </w:rPr>
        <w:t xml:space="preserve"> from the American Petroleum Institute (API) in response to </w:t>
      </w:r>
      <w:r w:rsidR="00CF770D">
        <w:rPr>
          <w:rFonts w:ascii="Times New Roman" w:hAnsi="Times New Roman" w:cs="Times New Roman"/>
          <w:sz w:val="24"/>
          <w:szCs w:val="24"/>
        </w:rPr>
        <w:t xml:space="preserve">this notice. </w:t>
      </w:r>
    </w:p>
    <w:p w:rsidR="005169CA" w:rsidP="00576A65" w:rsidRDefault="005169CA" w14:paraId="119281A7" w14:textId="77777777">
      <w:pPr>
        <w:spacing w:after="0" w:line="240" w:lineRule="auto"/>
        <w:rPr>
          <w:rFonts w:ascii="Times New Roman" w:hAnsi="Times New Roman" w:cs="Times New Roman"/>
          <w:sz w:val="24"/>
          <w:szCs w:val="24"/>
        </w:rPr>
      </w:pPr>
    </w:p>
    <w:p w:rsidRPr="008F48DF" w:rsidR="005169CA" w:rsidP="00576A65" w:rsidRDefault="008F48DF" w14:paraId="3C84A3BB" w14:textId="1CB22D41">
      <w:pPr>
        <w:spacing w:after="0" w:line="240" w:lineRule="auto"/>
        <w:rPr>
          <w:rFonts w:ascii="Times New Roman" w:hAnsi="Times New Roman" w:cs="Times New Roman"/>
          <w:b/>
          <w:sz w:val="24"/>
          <w:szCs w:val="24"/>
          <w:u w:val="single"/>
        </w:rPr>
      </w:pPr>
      <w:r w:rsidRPr="008F48DF">
        <w:rPr>
          <w:rFonts w:ascii="Times New Roman" w:hAnsi="Times New Roman" w:cs="Times New Roman"/>
          <w:b/>
          <w:sz w:val="24"/>
          <w:szCs w:val="24"/>
          <w:u w:val="single"/>
        </w:rPr>
        <w:t>Public Comment</w:t>
      </w:r>
      <w:r w:rsidR="005A3F1A">
        <w:rPr>
          <w:rFonts w:ascii="Times New Roman" w:hAnsi="Times New Roman" w:cs="Times New Roman"/>
          <w:b/>
          <w:sz w:val="24"/>
          <w:szCs w:val="24"/>
          <w:u w:val="single"/>
        </w:rPr>
        <w:t>s</w:t>
      </w:r>
      <w:r w:rsidR="003C72EE">
        <w:rPr>
          <w:rFonts w:ascii="Times New Roman" w:hAnsi="Times New Roman" w:cs="Times New Roman"/>
          <w:b/>
          <w:sz w:val="24"/>
          <w:szCs w:val="24"/>
          <w:u w:val="single"/>
        </w:rPr>
        <w:t xml:space="preserve"> and EPA Responses</w:t>
      </w:r>
    </w:p>
    <w:p w:rsidR="008F48DF" w:rsidP="00576A65" w:rsidRDefault="008F48DF" w14:paraId="478A2263" w14:textId="77777777">
      <w:pPr>
        <w:spacing w:after="0" w:line="240" w:lineRule="auto"/>
        <w:rPr>
          <w:rFonts w:ascii="Times New Roman" w:hAnsi="Times New Roman" w:cs="Times New Roman"/>
          <w:sz w:val="24"/>
          <w:szCs w:val="24"/>
        </w:rPr>
      </w:pPr>
    </w:p>
    <w:p w:rsidR="00EC11D5" w:rsidP="00576A65" w:rsidRDefault="007B06D5" w14:paraId="2E002A59" w14:textId="28A09F56">
      <w:pPr>
        <w:spacing w:after="0" w:line="240" w:lineRule="auto"/>
        <w:rPr>
          <w:rFonts w:ascii="Times New Roman" w:hAnsi="Times New Roman" w:cs="Times New Roman"/>
          <w:sz w:val="24"/>
          <w:szCs w:val="24"/>
        </w:rPr>
      </w:pPr>
      <w:r w:rsidRPr="007B06D5">
        <w:rPr>
          <w:rFonts w:ascii="Times New Roman" w:hAnsi="Times New Roman" w:cs="Times New Roman"/>
          <w:i/>
          <w:iCs/>
          <w:sz w:val="24"/>
          <w:szCs w:val="24"/>
        </w:rPr>
        <w:t>Comment 1</w:t>
      </w:r>
      <w:r w:rsidRPr="007B06D5">
        <w:rPr>
          <w:rFonts w:ascii="Times New Roman" w:hAnsi="Times New Roman" w:cs="Times New Roman"/>
          <w:sz w:val="24"/>
          <w:szCs w:val="24"/>
        </w:rPr>
        <w:t xml:space="preserve">: </w:t>
      </w:r>
      <w:r w:rsidR="002A7F4D">
        <w:rPr>
          <w:rFonts w:ascii="Times New Roman" w:hAnsi="Times New Roman" w:cs="Times New Roman"/>
          <w:sz w:val="24"/>
          <w:szCs w:val="24"/>
        </w:rPr>
        <w:t>A</w:t>
      </w:r>
      <w:r w:rsidR="00EC11D5">
        <w:rPr>
          <w:rFonts w:ascii="Times New Roman" w:hAnsi="Times New Roman" w:cs="Times New Roman"/>
          <w:sz w:val="24"/>
          <w:szCs w:val="24"/>
        </w:rPr>
        <w:t>PI</w:t>
      </w:r>
      <w:r w:rsidR="006E61D7">
        <w:rPr>
          <w:rFonts w:ascii="Times New Roman" w:hAnsi="Times New Roman" w:cs="Times New Roman"/>
          <w:sz w:val="24"/>
          <w:szCs w:val="24"/>
        </w:rPr>
        <w:t xml:space="preserve"> comment</w:t>
      </w:r>
      <w:r w:rsidR="0073355F">
        <w:rPr>
          <w:rFonts w:ascii="Times New Roman" w:hAnsi="Times New Roman" w:cs="Times New Roman"/>
          <w:sz w:val="24"/>
          <w:szCs w:val="24"/>
        </w:rPr>
        <w:t>ed</w:t>
      </w:r>
      <w:r w:rsidR="00B44C32">
        <w:rPr>
          <w:rFonts w:ascii="Times New Roman" w:hAnsi="Times New Roman" w:cs="Times New Roman"/>
          <w:sz w:val="24"/>
          <w:szCs w:val="24"/>
        </w:rPr>
        <w:t xml:space="preserve"> that</w:t>
      </w:r>
      <w:r w:rsidR="00241A41">
        <w:rPr>
          <w:rFonts w:ascii="Times New Roman" w:hAnsi="Times New Roman" w:cs="Times New Roman"/>
          <w:sz w:val="24"/>
          <w:szCs w:val="24"/>
        </w:rPr>
        <w:t xml:space="preserve"> </w:t>
      </w:r>
      <w:r w:rsidR="007C4655">
        <w:rPr>
          <w:rFonts w:ascii="Times New Roman" w:hAnsi="Times New Roman" w:cs="Times New Roman"/>
          <w:sz w:val="24"/>
          <w:szCs w:val="24"/>
        </w:rPr>
        <w:t xml:space="preserve">the </w:t>
      </w:r>
      <w:r w:rsidR="00EC11D5">
        <w:rPr>
          <w:rFonts w:ascii="Times New Roman" w:hAnsi="Times New Roman" w:cs="Times New Roman"/>
          <w:sz w:val="24"/>
          <w:szCs w:val="24"/>
        </w:rPr>
        <w:t>information collect</w:t>
      </w:r>
      <w:r w:rsidR="00FB4276">
        <w:rPr>
          <w:rFonts w:ascii="Times New Roman" w:hAnsi="Times New Roman" w:cs="Times New Roman"/>
          <w:sz w:val="24"/>
          <w:szCs w:val="24"/>
        </w:rPr>
        <w:t>ion</w:t>
      </w:r>
      <w:r w:rsidR="00EC11D5">
        <w:rPr>
          <w:rFonts w:ascii="Times New Roman" w:hAnsi="Times New Roman" w:cs="Times New Roman"/>
          <w:sz w:val="24"/>
          <w:szCs w:val="24"/>
        </w:rPr>
        <w:t xml:space="preserve"> under the TSCA section 12(b) export notification requirement</w:t>
      </w:r>
      <w:r w:rsidR="00A15C2F">
        <w:rPr>
          <w:rFonts w:ascii="Times New Roman" w:hAnsi="Times New Roman" w:cs="Times New Roman"/>
          <w:sz w:val="24"/>
          <w:szCs w:val="24"/>
        </w:rPr>
        <w:t xml:space="preserve"> is an outdated paperwork requirement and the information provided to EPA in a notice from an exporter is available to foreign governments on the Internet, including EPA’s databases. </w:t>
      </w:r>
      <w:r w:rsidR="00CF770D">
        <w:rPr>
          <w:rFonts w:ascii="Times New Roman" w:hAnsi="Times New Roman" w:cs="Times New Roman"/>
          <w:sz w:val="24"/>
          <w:szCs w:val="24"/>
        </w:rPr>
        <w:t>API</w:t>
      </w:r>
      <w:r w:rsidR="00A15C2F">
        <w:rPr>
          <w:rFonts w:ascii="Times New Roman" w:hAnsi="Times New Roman" w:cs="Times New Roman"/>
          <w:sz w:val="24"/>
          <w:szCs w:val="24"/>
        </w:rPr>
        <w:t xml:space="preserve"> </w:t>
      </w:r>
      <w:r w:rsidR="008165C1">
        <w:rPr>
          <w:rFonts w:ascii="Times New Roman" w:hAnsi="Times New Roman" w:cs="Times New Roman"/>
          <w:sz w:val="24"/>
          <w:szCs w:val="24"/>
        </w:rPr>
        <w:t>commented</w:t>
      </w:r>
      <w:r w:rsidR="00A15C2F">
        <w:rPr>
          <w:rFonts w:ascii="Times New Roman" w:hAnsi="Times New Roman" w:cs="Times New Roman"/>
          <w:sz w:val="24"/>
          <w:szCs w:val="24"/>
        </w:rPr>
        <w:t xml:space="preserve"> that even if notification could be useful to the foreign country, there is no benefit in multiple companies providing export notifications to EPA for each chemical shipment to a </w:t>
      </w:r>
      <w:proofErr w:type="gramStart"/>
      <w:r w:rsidR="00A15C2F">
        <w:rPr>
          <w:rFonts w:ascii="Times New Roman" w:hAnsi="Times New Roman" w:cs="Times New Roman"/>
          <w:sz w:val="24"/>
          <w:szCs w:val="24"/>
        </w:rPr>
        <w:t>particular country</w:t>
      </w:r>
      <w:proofErr w:type="gramEnd"/>
      <w:r w:rsidR="00A15C2F">
        <w:rPr>
          <w:rFonts w:ascii="Times New Roman" w:hAnsi="Times New Roman" w:cs="Times New Roman"/>
          <w:sz w:val="24"/>
          <w:szCs w:val="24"/>
        </w:rPr>
        <w:t xml:space="preserve"> on an ongoing and repetitive basis.</w:t>
      </w:r>
    </w:p>
    <w:p w:rsidR="00A15C2F" w:rsidP="00576A65" w:rsidRDefault="00A15C2F" w14:paraId="0C5D78EE" w14:textId="3FDB5ECC">
      <w:pPr>
        <w:spacing w:after="0" w:line="240" w:lineRule="auto"/>
        <w:rPr>
          <w:rFonts w:ascii="Times New Roman" w:hAnsi="Times New Roman" w:cs="Times New Roman"/>
          <w:sz w:val="24"/>
          <w:szCs w:val="24"/>
        </w:rPr>
      </w:pPr>
    </w:p>
    <w:p w:rsidR="007B06D5" w:rsidP="007B06D5" w:rsidRDefault="007B06D5" w14:paraId="141B59FD" w14:textId="77777777">
      <w:pPr>
        <w:spacing w:after="0" w:line="240" w:lineRule="auto"/>
        <w:rPr>
          <w:rFonts w:ascii="Times New Roman" w:hAnsi="Times New Roman" w:cs="Times New Roman"/>
          <w:sz w:val="24"/>
          <w:szCs w:val="24"/>
        </w:rPr>
      </w:pPr>
      <w:r w:rsidRPr="007B06D5">
        <w:rPr>
          <w:rFonts w:ascii="Times New Roman" w:hAnsi="Times New Roman" w:cs="Times New Roman"/>
          <w:i/>
          <w:sz w:val="24"/>
          <w:szCs w:val="24"/>
        </w:rPr>
        <w:t>Response</w:t>
      </w:r>
      <w:r>
        <w:rPr>
          <w:rFonts w:ascii="Times New Roman" w:hAnsi="Times New Roman" w:cs="Times New Roman"/>
          <w:iCs/>
          <w:sz w:val="24"/>
          <w:szCs w:val="24"/>
        </w:rPr>
        <w:t xml:space="preserve">: </w:t>
      </w:r>
      <w:r>
        <w:rPr>
          <w:rFonts w:ascii="Times New Roman" w:hAnsi="Times New Roman" w:cs="Times New Roman"/>
          <w:sz w:val="24"/>
          <w:szCs w:val="24"/>
        </w:rPr>
        <w:t>TSCA section 12(b), 15 U.S.C. 2611(b), requires that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]f any person exports or intends to export to a foreign country a chemical substance or mixture for which information is required under section 4 or 5(b) [of TSCA]” or “for which an order has been issued under section 5 or a rule has been proposed or promulgated under section 5 or 6, or with respect to which an action is pending, or relief has been granted under section 5 or 7,” then such person must submit notification to EPA of such export or intent to export. TSCA was enacted in 1976 and significantly amended by </w:t>
      </w:r>
      <w:r w:rsidRPr="00A15C2F">
        <w:rPr>
          <w:rFonts w:ascii="Times New Roman" w:hAnsi="Times New Roman" w:cs="Times New Roman"/>
          <w:sz w:val="24"/>
          <w:szCs w:val="24"/>
        </w:rPr>
        <w:t>the Frank R. Lautenberg Chemical Safety for the 21st Century Act</w:t>
      </w:r>
      <w:r>
        <w:rPr>
          <w:rFonts w:ascii="Times New Roman" w:hAnsi="Times New Roman" w:cs="Times New Roman"/>
          <w:sz w:val="24"/>
          <w:szCs w:val="24"/>
        </w:rPr>
        <w:t xml:space="preserve"> on June 22, 2016. However, the export notification process under TSCA section 12(b) was not repealed or altered to indicate that the statutory requirements under section 12(b) should be ended or changed. Therefore, EPA is statutorily obligated to continue requiring export notifications from each exporter, as applicable.</w:t>
      </w:r>
    </w:p>
    <w:p w:rsidR="007B06D5" w:rsidP="00576A65" w:rsidRDefault="007B06D5" w14:paraId="60DDC3F9" w14:textId="78580A36">
      <w:pPr>
        <w:spacing w:after="0" w:line="240" w:lineRule="auto"/>
        <w:rPr>
          <w:rFonts w:ascii="Times New Roman" w:hAnsi="Times New Roman" w:cs="Times New Roman"/>
          <w:iCs/>
          <w:sz w:val="24"/>
          <w:szCs w:val="24"/>
        </w:rPr>
      </w:pPr>
    </w:p>
    <w:p w:rsidR="00FB4276" w:rsidP="00576A65" w:rsidRDefault="007B06D5" w14:paraId="5DD07D6B" w14:textId="45E163CE">
      <w:pPr>
        <w:spacing w:after="0" w:line="240" w:lineRule="auto"/>
        <w:rPr>
          <w:rFonts w:ascii="Times New Roman" w:hAnsi="Times New Roman" w:cs="Times New Roman"/>
          <w:sz w:val="24"/>
          <w:szCs w:val="24"/>
        </w:rPr>
      </w:pPr>
      <w:r w:rsidRPr="007B06D5">
        <w:rPr>
          <w:rFonts w:ascii="Times New Roman" w:hAnsi="Times New Roman" w:cs="Times New Roman"/>
          <w:i/>
          <w:sz w:val="24"/>
          <w:szCs w:val="24"/>
        </w:rPr>
        <w:t>Comment 2</w:t>
      </w:r>
      <w:r>
        <w:rPr>
          <w:rFonts w:ascii="Times New Roman" w:hAnsi="Times New Roman" w:cs="Times New Roman"/>
          <w:iCs/>
          <w:sz w:val="24"/>
          <w:szCs w:val="24"/>
        </w:rPr>
        <w:t xml:space="preserve">: </w:t>
      </w:r>
      <w:r w:rsidR="00CF770D">
        <w:rPr>
          <w:rFonts w:ascii="Times New Roman" w:hAnsi="Times New Roman" w:cs="Times New Roman"/>
          <w:iCs/>
          <w:sz w:val="24"/>
          <w:szCs w:val="24"/>
        </w:rPr>
        <w:t>API</w:t>
      </w:r>
      <w:r w:rsidR="00FB4276">
        <w:rPr>
          <w:rFonts w:ascii="Times New Roman" w:hAnsi="Times New Roman" w:cs="Times New Roman"/>
          <w:iCs/>
          <w:sz w:val="24"/>
          <w:szCs w:val="24"/>
        </w:rPr>
        <w:t xml:space="preserve"> also </w:t>
      </w:r>
      <w:r w:rsidR="008165C1">
        <w:rPr>
          <w:rFonts w:ascii="Times New Roman" w:hAnsi="Times New Roman" w:cs="Times New Roman"/>
          <w:iCs/>
          <w:sz w:val="24"/>
          <w:szCs w:val="24"/>
        </w:rPr>
        <w:t>commented</w:t>
      </w:r>
      <w:r w:rsidR="00FB4276">
        <w:rPr>
          <w:rFonts w:ascii="Times New Roman" w:hAnsi="Times New Roman" w:cs="Times New Roman"/>
          <w:iCs/>
          <w:sz w:val="24"/>
          <w:szCs w:val="24"/>
        </w:rPr>
        <w:t xml:space="preserve"> that the current TSCA section 12(b) export notification regulations are burdensome on businesses because the exporter must develop and maintain compliance systems to track exports, continually track TSCA section 4, 5, 6 and [7] actions that trigger 12(b) requirements, determine whether chemical exports are subject to those actions and 12(b) requirements, determine if annual or one-time notification is required, and submit notifications to EPA </w:t>
      </w:r>
      <w:r w:rsidRPr="0073355F" w:rsidR="00FB4276">
        <w:rPr>
          <w:rFonts w:ascii="Times New Roman" w:hAnsi="Times New Roman" w:cs="Times New Roman"/>
          <w:iCs/>
          <w:sz w:val="24"/>
          <w:szCs w:val="24"/>
        </w:rPr>
        <w:t>within seven days of forming the</w:t>
      </w:r>
      <w:r w:rsidR="00FB4276">
        <w:rPr>
          <w:rFonts w:ascii="Times New Roman" w:hAnsi="Times New Roman" w:cs="Times New Roman"/>
          <w:iCs/>
          <w:sz w:val="24"/>
          <w:szCs w:val="24"/>
        </w:rPr>
        <w:t xml:space="preserve"> </w:t>
      </w:r>
      <w:r w:rsidRPr="0073355F" w:rsidR="00FB4276">
        <w:rPr>
          <w:rFonts w:ascii="Times New Roman" w:hAnsi="Times New Roman" w:cs="Times New Roman"/>
          <w:iCs/>
          <w:sz w:val="24"/>
          <w:szCs w:val="24"/>
        </w:rPr>
        <w:t>intent to export or on the date of export, whichever is earlier.</w:t>
      </w:r>
      <w:r w:rsidR="00FB4276">
        <w:rPr>
          <w:rFonts w:ascii="Times New Roman" w:hAnsi="Times New Roman" w:cs="Times New Roman"/>
          <w:iCs/>
          <w:sz w:val="24"/>
          <w:szCs w:val="24"/>
        </w:rPr>
        <w:t xml:space="preserve"> </w:t>
      </w:r>
      <w:r w:rsidR="00CF770D">
        <w:rPr>
          <w:rFonts w:ascii="Times New Roman" w:hAnsi="Times New Roman" w:cs="Times New Roman"/>
          <w:iCs/>
          <w:sz w:val="24"/>
          <w:szCs w:val="24"/>
        </w:rPr>
        <w:t>API</w:t>
      </w:r>
      <w:r w:rsidR="00FB4276">
        <w:rPr>
          <w:rFonts w:ascii="Times New Roman" w:hAnsi="Times New Roman" w:cs="Times New Roman"/>
          <w:iCs/>
          <w:sz w:val="24"/>
          <w:szCs w:val="24"/>
        </w:rPr>
        <w:t xml:space="preserve"> also </w:t>
      </w:r>
      <w:r w:rsidR="008165C1">
        <w:rPr>
          <w:rFonts w:ascii="Times New Roman" w:hAnsi="Times New Roman" w:cs="Times New Roman"/>
          <w:iCs/>
          <w:sz w:val="24"/>
          <w:szCs w:val="24"/>
        </w:rPr>
        <w:t>commented</w:t>
      </w:r>
      <w:r w:rsidR="00FB4276">
        <w:rPr>
          <w:rFonts w:ascii="Times New Roman" w:hAnsi="Times New Roman" w:cs="Times New Roman"/>
          <w:iCs/>
          <w:sz w:val="24"/>
          <w:szCs w:val="24"/>
        </w:rPr>
        <w:t xml:space="preserve"> that implementation of the TSCA export notification program at EPA involves a complex process for routing notices and maintaining hundreds of thousands of records</w:t>
      </w:r>
      <w:r w:rsidR="008165C1">
        <w:rPr>
          <w:rFonts w:ascii="Times New Roman" w:hAnsi="Times New Roman" w:cs="Times New Roman"/>
          <w:iCs/>
          <w:sz w:val="24"/>
          <w:szCs w:val="24"/>
        </w:rPr>
        <w:t>,</w:t>
      </w:r>
      <w:r w:rsidR="00FB4276">
        <w:rPr>
          <w:rFonts w:ascii="Times New Roman" w:hAnsi="Times New Roman" w:cs="Times New Roman"/>
          <w:iCs/>
          <w:sz w:val="24"/>
          <w:szCs w:val="24"/>
        </w:rPr>
        <w:t xml:space="preserve"> a process th</w:t>
      </w:r>
      <w:r w:rsidR="00B43A3D">
        <w:rPr>
          <w:rFonts w:ascii="Times New Roman" w:hAnsi="Times New Roman" w:cs="Times New Roman"/>
          <w:iCs/>
          <w:sz w:val="24"/>
          <w:szCs w:val="24"/>
        </w:rPr>
        <w:t>e commenter claims</w:t>
      </w:r>
      <w:r w:rsidR="00FB4276">
        <w:rPr>
          <w:rFonts w:ascii="Times New Roman" w:hAnsi="Times New Roman" w:cs="Times New Roman"/>
          <w:iCs/>
          <w:sz w:val="24"/>
          <w:szCs w:val="24"/>
        </w:rPr>
        <w:t xml:space="preserve"> is not necessary to carry out the proper performance of EPA functions.</w:t>
      </w:r>
    </w:p>
    <w:p w:rsidR="00FB4276" w:rsidP="00576A65" w:rsidRDefault="00FB4276" w14:paraId="251E2817" w14:textId="7F297DA8">
      <w:pPr>
        <w:spacing w:after="0" w:line="240" w:lineRule="auto"/>
        <w:rPr>
          <w:rFonts w:ascii="Times New Roman" w:hAnsi="Times New Roman" w:cs="Times New Roman"/>
          <w:i/>
          <w:iCs/>
          <w:sz w:val="24"/>
          <w:szCs w:val="24"/>
        </w:rPr>
      </w:pPr>
      <w:bookmarkStart w:name="_Hlk40175060" w:id="1"/>
    </w:p>
    <w:p w:rsidR="00E856E5" w:rsidP="00CF770D" w:rsidRDefault="00E856E5" w14:paraId="150FCE14" w14:textId="3987749A">
      <w:pPr>
        <w:spacing w:after="0" w:line="240" w:lineRule="auto"/>
        <w:rPr>
          <w:rFonts w:ascii="Times New Roman" w:hAnsi="Times New Roman" w:cs="Times New Roman"/>
          <w:iCs/>
          <w:sz w:val="24"/>
          <w:szCs w:val="24"/>
        </w:rPr>
      </w:pPr>
      <w:r w:rsidRPr="00E856E5">
        <w:rPr>
          <w:rFonts w:ascii="Times New Roman" w:hAnsi="Times New Roman" w:cs="Times New Roman"/>
          <w:i/>
          <w:sz w:val="24"/>
          <w:szCs w:val="24"/>
        </w:rPr>
        <w:t>Response</w:t>
      </w:r>
      <w:r>
        <w:rPr>
          <w:rFonts w:ascii="Times New Roman" w:hAnsi="Times New Roman" w:cs="Times New Roman"/>
          <w:iCs/>
          <w:sz w:val="24"/>
          <w:szCs w:val="24"/>
        </w:rPr>
        <w:t xml:space="preserve">: </w:t>
      </w:r>
      <w:r>
        <w:rPr>
          <w:rFonts w:ascii="Times New Roman" w:hAnsi="Times New Roman" w:cs="Times New Roman"/>
          <w:sz w:val="24"/>
          <w:szCs w:val="24"/>
        </w:rPr>
        <w:t xml:space="preserve">TSCA section 12(b) export notification requirements are triggered by underlying regulatory actions under TSCA. Persons exporting particular chemical substances or mixtures </w:t>
      </w:r>
      <w:r>
        <w:rPr>
          <w:rFonts w:ascii="Times New Roman" w:hAnsi="Times New Roman" w:cs="Times New Roman"/>
          <w:sz w:val="24"/>
          <w:szCs w:val="24"/>
        </w:rPr>
        <w:lastRenderedPageBreak/>
        <w:t xml:space="preserve">that are subject to applicable underlying TSCA regulatory actions should have an awareness of those regulatory actions as they relate to the export of a chemical substance or mixture covered by such action, including 12(b) export notice requirements, which are also generally included in the particular TSCA triggering action. </w:t>
      </w:r>
      <w:r w:rsidR="00941D03">
        <w:rPr>
          <w:rFonts w:ascii="Times New Roman" w:hAnsi="Times New Roman" w:cs="Times New Roman"/>
          <w:sz w:val="24"/>
          <w:szCs w:val="24"/>
        </w:rPr>
        <w:t>To assist the regulated community</w:t>
      </w:r>
      <w:r>
        <w:rPr>
          <w:rFonts w:ascii="Times New Roman" w:hAnsi="Times New Roman" w:cs="Times New Roman"/>
          <w:sz w:val="24"/>
          <w:szCs w:val="24"/>
        </w:rPr>
        <w:t xml:space="preserve">, EPA maintains a list of chemical substances and mixtures subject to applicable TSCA triggering actions and updates it regularly to aid exporters in making relevant compliance determinations. Furthermore, as indicated by the commenter, EPA has reduced the frequency of submitting notices for each exporter since the TSCA section 12(b) regulations were first promulgated in 1980. For example, the current regulations require a notice only for the first export or intended export by an exporter to a </w:t>
      </w:r>
      <w:proofErr w:type="gramStart"/>
      <w:r>
        <w:rPr>
          <w:rFonts w:ascii="Times New Roman" w:hAnsi="Times New Roman" w:cs="Times New Roman"/>
          <w:sz w:val="24"/>
          <w:szCs w:val="24"/>
        </w:rPr>
        <w:t>particular country</w:t>
      </w:r>
      <w:proofErr w:type="gramEnd"/>
      <w:r>
        <w:rPr>
          <w:rFonts w:ascii="Times New Roman" w:hAnsi="Times New Roman" w:cs="Times New Roman"/>
          <w:sz w:val="24"/>
          <w:szCs w:val="24"/>
        </w:rPr>
        <w:t xml:space="preserve"> for some underlying actions and for the first export or intended export by an exporter to a particular country in a calendar year for other triggering actions. Under this ICR renewal, EPA is also requesting OMB approval to make available the option of submitting export notices electronically in lieu of paper-based submissions, further reducing exporters’ and EPA’s burden hours associated with TSCA section 12(b) requirements, </w:t>
      </w:r>
      <w:r w:rsidRPr="00F73913">
        <w:rPr>
          <w:rFonts w:ascii="Times New Roman" w:hAnsi="Times New Roman" w:cs="Times New Roman"/>
          <w:sz w:val="24"/>
          <w:szCs w:val="24"/>
        </w:rPr>
        <w:t>as indicated in the ICR supporting statement</w:t>
      </w:r>
      <w:r>
        <w:rPr>
          <w:rFonts w:ascii="Times New Roman" w:hAnsi="Times New Roman" w:cs="Times New Roman"/>
          <w:sz w:val="24"/>
          <w:szCs w:val="24"/>
        </w:rPr>
        <w:t>.</w:t>
      </w:r>
    </w:p>
    <w:p w:rsidR="00E856E5" w:rsidP="00CF770D" w:rsidRDefault="00E856E5" w14:paraId="2DE10F01" w14:textId="77777777">
      <w:pPr>
        <w:spacing w:after="0" w:line="240" w:lineRule="auto"/>
        <w:rPr>
          <w:rFonts w:ascii="Times New Roman" w:hAnsi="Times New Roman" w:cs="Times New Roman"/>
          <w:iCs/>
          <w:sz w:val="24"/>
          <w:szCs w:val="24"/>
        </w:rPr>
      </w:pPr>
    </w:p>
    <w:p w:rsidR="00CF770D" w:rsidP="00CF770D" w:rsidRDefault="00E856E5" w14:paraId="4E8C615B" w14:textId="513B0EF5">
      <w:pPr>
        <w:spacing w:after="0" w:line="240" w:lineRule="auto"/>
        <w:rPr>
          <w:rFonts w:ascii="Times New Roman" w:hAnsi="Times New Roman" w:cs="Times New Roman"/>
          <w:iCs/>
          <w:sz w:val="24"/>
          <w:szCs w:val="24"/>
        </w:rPr>
      </w:pPr>
      <w:r w:rsidRPr="00E856E5">
        <w:rPr>
          <w:rFonts w:ascii="Times New Roman" w:hAnsi="Times New Roman" w:cs="Times New Roman"/>
          <w:i/>
          <w:sz w:val="24"/>
          <w:szCs w:val="24"/>
        </w:rPr>
        <w:t>Comment 3</w:t>
      </w:r>
      <w:r>
        <w:rPr>
          <w:rFonts w:ascii="Times New Roman" w:hAnsi="Times New Roman" w:cs="Times New Roman"/>
          <w:iCs/>
          <w:sz w:val="24"/>
          <w:szCs w:val="24"/>
        </w:rPr>
        <w:t xml:space="preserve">: </w:t>
      </w:r>
      <w:r w:rsidR="00CF770D">
        <w:rPr>
          <w:rFonts w:ascii="Times New Roman" w:hAnsi="Times New Roman" w:cs="Times New Roman"/>
          <w:iCs/>
          <w:sz w:val="24"/>
          <w:szCs w:val="24"/>
        </w:rPr>
        <w:t>API also suggested that EPA rely on information collected under the TSCA Chemical Data Reporting (CDR) rule to serve as notice of export in lieu of collecting information under the current TSCA section 12(b) regulations because API c</w:t>
      </w:r>
      <w:r w:rsidR="008165C1">
        <w:rPr>
          <w:rFonts w:ascii="Times New Roman" w:hAnsi="Times New Roman" w:cs="Times New Roman"/>
          <w:iCs/>
          <w:sz w:val="24"/>
          <w:szCs w:val="24"/>
        </w:rPr>
        <w:t>ommented that</w:t>
      </w:r>
      <w:r w:rsidR="00CF770D">
        <w:rPr>
          <w:rFonts w:ascii="Times New Roman" w:hAnsi="Times New Roman" w:cs="Times New Roman"/>
          <w:iCs/>
          <w:sz w:val="24"/>
          <w:szCs w:val="24"/>
        </w:rPr>
        <w:t xml:space="preserve"> export information collected under the CDR rule provides EPA with sufficient information for the Agency to notify foreign governments to fulfill its statutory obligations</w:t>
      </w:r>
      <w:r>
        <w:rPr>
          <w:rFonts w:ascii="Times New Roman" w:hAnsi="Times New Roman" w:cs="Times New Roman"/>
          <w:iCs/>
          <w:sz w:val="24"/>
          <w:szCs w:val="24"/>
        </w:rPr>
        <w:t xml:space="preserve"> and that the CDR rule would not need to be adjusted in any way to serve that purpose</w:t>
      </w:r>
      <w:r w:rsidR="00CF770D">
        <w:rPr>
          <w:rFonts w:ascii="Times New Roman" w:hAnsi="Times New Roman" w:cs="Times New Roman"/>
          <w:iCs/>
          <w:sz w:val="24"/>
          <w:szCs w:val="24"/>
        </w:rPr>
        <w:t>.</w:t>
      </w:r>
    </w:p>
    <w:p w:rsidR="00E73235" w:rsidP="00CF770D" w:rsidRDefault="00E73235" w14:paraId="20C2A8D5" w14:textId="66D3B4DD">
      <w:pPr>
        <w:spacing w:after="0" w:line="240" w:lineRule="auto"/>
        <w:rPr>
          <w:rFonts w:ascii="Times New Roman" w:hAnsi="Times New Roman" w:cs="Times New Roman"/>
          <w:iCs/>
          <w:sz w:val="24"/>
          <w:szCs w:val="24"/>
        </w:rPr>
      </w:pPr>
    </w:p>
    <w:p w:rsidR="00E856E5" w:rsidP="00E856E5" w:rsidRDefault="00E856E5" w14:paraId="06479383" w14:textId="717E5BB3">
      <w:pPr>
        <w:spacing w:after="0" w:line="240" w:lineRule="auto"/>
        <w:rPr>
          <w:rFonts w:ascii="Times New Roman" w:hAnsi="Times New Roman" w:cs="Times New Roman"/>
          <w:iCs/>
          <w:sz w:val="24"/>
          <w:szCs w:val="24"/>
        </w:rPr>
      </w:pPr>
      <w:r w:rsidRPr="00E856E5">
        <w:rPr>
          <w:rFonts w:ascii="Times New Roman" w:hAnsi="Times New Roman" w:cs="Times New Roman"/>
          <w:i/>
          <w:sz w:val="24"/>
          <w:szCs w:val="24"/>
        </w:rPr>
        <w:t>Response</w:t>
      </w:r>
      <w:r>
        <w:rPr>
          <w:rFonts w:ascii="Times New Roman" w:hAnsi="Times New Roman" w:cs="Times New Roman"/>
          <w:iCs/>
          <w:sz w:val="24"/>
          <w:szCs w:val="24"/>
        </w:rPr>
        <w:t xml:space="preserve">: The CDR rule, pursuant to the information collection authority under TSCA section 8 and codified at 40 CFR part 711, does not provide EPA with the relevant and necessary information to fulfill the exporter’s or the Agency’s statutory obligations under TSCA section 12(b). The CDR rule retroactively collects production volume and certain related information from manufacturers (including, statutorily, importers); the only export-related information collected is the volume of a chemical that is directly exported from the manufacturing site. The CDR rule does not collect export information from all potential exporters covered by TSCA section 12(b) and the CDR rule does not collect information about what foreign countries receive the exports, and therefore there is no way for EPA to notify the foreign country accordingly. Also, information about exports under the CDR rule relate to past export volumes. For example, under the current CDR regulations, manufacturers meeting production volume thresholds are required to submit information in 2020 </w:t>
      </w:r>
      <w:r w:rsidRPr="002A4187">
        <w:rPr>
          <w:rFonts w:ascii="Times New Roman" w:hAnsi="Times New Roman" w:cs="Times New Roman"/>
          <w:iCs/>
          <w:sz w:val="24"/>
          <w:szCs w:val="24"/>
        </w:rPr>
        <w:t xml:space="preserve">on their production during the 2016-2019 </w:t>
      </w:r>
      <w:r>
        <w:rPr>
          <w:rFonts w:ascii="Times New Roman" w:hAnsi="Times New Roman" w:cs="Times New Roman"/>
          <w:iCs/>
          <w:sz w:val="24"/>
          <w:szCs w:val="24"/>
        </w:rPr>
        <w:t xml:space="preserve">calendar </w:t>
      </w:r>
      <w:r w:rsidRPr="002A4187">
        <w:rPr>
          <w:rFonts w:ascii="Times New Roman" w:hAnsi="Times New Roman" w:cs="Times New Roman"/>
          <w:iCs/>
          <w:sz w:val="24"/>
          <w:szCs w:val="24"/>
        </w:rPr>
        <w:t>years.</w:t>
      </w:r>
      <w:r>
        <w:rPr>
          <w:rFonts w:ascii="Times New Roman" w:hAnsi="Times New Roman" w:cs="Times New Roman"/>
          <w:iCs/>
          <w:sz w:val="24"/>
          <w:szCs w:val="24"/>
        </w:rPr>
        <w:t xml:space="preserve"> This means</w:t>
      </w:r>
      <w:r w:rsidR="00396CEF">
        <w:rPr>
          <w:rFonts w:ascii="Times New Roman" w:hAnsi="Times New Roman" w:cs="Times New Roman"/>
          <w:iCs/>
          <w:sz w:val="24"/>
          <w:szCs w:val="24"/>
        </w:rPr>
        <w:t xml:space="preserve"> if we relied only on CDR</w:t>
      </w:r>
      <w:r>
        <w:rPr>
          <w:rFonts w:ascii="Times New Roman" w:hAnsi="Times New Roman" w:cs="Times New Roman"/>
          <w:iCs/>
          <w:sz w:val="24"/>
          <w:szCs w:val="24"/>
        </w:rPr>
        <w:t xml:space="preserve"> th</w:t>
      </w:r>
      <w:r w:rsidR="004D5D46">
        <w:rPr>
          <w:rFonts w:ascii="Times New Roman" w:hAnsi="Times New Roman" w:cs="Times New Roman"/>
          <w:iCs/>
          <w:sz w:val="24"/>
          <w:szCs w:val="24"/>
        </w:rPr>
        <w:t>en</w:t>
      </w:r>
      <w:r>
        <w:rPr>
          <w:rFonts w:ascii="Times New Roman" w:hAnsi="Times New Roman" w:cs="Times New Roman"/>
          <w:iCs/>
          <w:sz w:val="24"/>
          <w:szCs w:val="24"/>
        </w:rPr>
        <w:t xml:space="preserve"> EPA may not receive notice about export volumes until a few years after export occurred. </w:t>
      </w:r>
    </w:p>
    <w:p w:rsidR="00E856E5" w:rsidP="00CF770D" w:rsidRDefault="00E856E5" w14:paraId="3A32FE51" w14:textId="77777777">
      <w:pPr>
        <w:spacing w:after="0" w:line="240" w:lineRule="auto"/>
        <w:rPr>
          <w:rFonts w:ascii="Times New Roman" w:hAnsi="Times New Roman" w:cs="Times New Roman"/>
          <w:iCs/>
          <w:sz w:val="24"/>
          <w:szCs w:val="24"/>
        </w:rPr>
      </w:pPr>
    </w:p>
    <w:p w:rsidR="00E73235" w:rsidP="00CF770D" w:rsidRDefault="00633C09" w14:paraId="62CE790B" w14:textId="57E18F4A">
      <w:pPr>
        <w:spacing w:after="0" w:line="240" w:lineRule="auto"/>
        <w:rPr>
          <w:rFonts w:ascii="Times New Roman" w:hAnsi="Times New Roman" w:cs="Times New Roman"/>
          <w:iCs/>
          <w:sz w:val="24"/>
          <w:szCs w:val="24"/>
        </w:rPr>
      </w:pPr>
      <w:r w:rsidRPr="00633C09">
        <w:rPr>
          <w:rFonts w:ascii="Times New Roman" w:hAnsi="Times New Roman" w:cs="Times New Roman"/>
          <w:i/>
          <w:sz w:val="24"/>
          <w:szCs w:val="24"/>
        </w:rPr>
        <w:t>Comment 4</w:t>
      </w:r>
      <w:r>
        <w:rPr>
          <w:rFonts w:ascii="Times New Roman" w:hAnsi="Times New Roman" w:cs="Times New Roman"/>
          <w:iCs/>
          <w:sz w:val="24"/>
          <w:szCs w:val="24"/>
        </w:rPr>
        <w:t xml:space="preserve">: </w:t>
      </w:r>
      <w:r w:rsidR="00E73235">
        <w:rPr>
          <w:rFonts w:ascii="Times New Roman" w:hAnsi="Times New Roman" w:cs="Times New Roman"/>
          <w:iCs/>
          <w:sz w:val="24"/>
          <w:szCs w:val="24"/>
        </w:rPr>
        <w:t xml:space="preserve">API </w:t>
      </w:r>
      <w:r w:rsidR="008165C1">
        <w:rPr>
          <w:rFonts w:ascii="Times New Roman" w:hAnsi="Times New Roman" w:cs="Times New Roman"/>
          <w:iCs/>
          <w:sz w:val="24"/>
          <w:szCs w:val="24"/>
        </w:rPr>
        <w:t>also commented</w:t>
      </w:r>
      <w:r w:rsidR="00E73235">
        <w:rPr>
          <w:rFonts w:ascii="Times New Roman" w:hAnsi="Times New Roman" w:cs="Times New Roman"/>
          <w:iCs/>
          <w:sz w:val="24"/>
          <w:szCs w:val="24"/>
        </w:rPr>
        <w:t xml:space="preserve"> that if the export notification requirements continue, then to reduce burden,</w:t>
      </w:r>
      <w:r w:rsidR="003F1FA8">
        <w:rPr>
          <w:rFonts w:ascii="Times New Roman" w:hAnsi="Times New Roman" w:cs="Times New Roman"/>
          <w:iCs/>
          <w:sz w:val="24"/>
          <w:szCs w:val="24"/>
        </w:rPr>
        <w:t xml:space="preserve"> EPA should either establish an annual submission deadline covering exports that occurred in the previous year or allow at least up to 30 days from the date of export to submit export notifications. </w:t>
      </w:r>
    </w:p>
    <w:p w:rsidR="00633C09" w:rsidP="00CF770D" w:rsidRDefault="00633C09" w14:paraId="0342EEE4" w14:textId="39D34E9C">
      <w:pPr>
        <w:spacing w:after="0" w:line="240" w:lineRule="auto"/>
        <w:rPr>
          <w:rFonts w:ascii="Times New Roman" w:hAnsi="Times New Roman" w:cs="Times New Roman"/>
          <w:iCs/>
          <w:sz w:val="24"/>
          <w:szCs w:val="24"/>
        </w:rPr>
      </w:pPr>
    </w:p>
    <w:p w:rsidRPr="00633C09" w:rsidR="004F1E47" w:rsidP="00576A65" w:rsidRDefault="00633C09" w14:paraId="2A10ECE6" w14:textId="7D4BB4E4">
      <w:pPr>
        <w:spacing w:after="0" w:line="240" w:lineRule="auto"/>
        <w:rPr>
          <w:rFonts w:ascii="Times New Roman" w:hAnsi="Times New Roman" w:cs="Times New Roman"/>
          <w:sz w:val="24"/>
          <w:szCs w:val="24"/>
        </w:rPr>
      </w:pPr>
      <w:r w:rsidRPr="00633C09">
        <w:rPr>
          <w:rFonts w:ascii="Times New Roman" w:hAnsi="Times New Roman" w:cs="Times New Roman"/>
          <w:i/>
          <w:sz w:val="24"/>
          <w:szCs w:val="24"/>
        </w:rPr>
        <w:t>Response</w:t>
      </w:r>
      <w:r>
        <w:rPr>
          <w:rFonts w:ascii="Times New Roman" w:hAnsi="Times New Roman" w:cs="Times New Roman"/>
          <w:iCs/>
          <w:sz w:val="24"/>
          <w:szCs w:val="24"/>
        </w:rPr>
        <w:t xml:space="preserve">: </w:t>
      </w:r>
      <w:bookmarkEnd w:id="1"/>
      <w:r w:rsidR="003B4F2C">
        <w:rPr>
          <w:rFonts w:ascii="Times New Roman" w:hAnsi="Times New Roman" w:cs="Times New Roman"/>
          <w:iCs/>
          <w:sz w:val="24"/>
          <w:szCs w:val="24"/>
        </w:rPr>
        <w:t xml:space="preserve">Since the original TSCA section 12(b) regulations were promulgated, the Agency has viewed the exporter’s </w:t>
      </w:r>
      <w:r w:rsidR="00C976BE">
        <w:rPr>
          <w:rFonts w:ascii="Times New Roman" w:hAnsi="Times New Roman" w:cs="Times New Roman"/>
          <w:iCs/>
          <w:sz w:val="24"/>
          <w:szCs w:val="24"/>
        </w:rPr>
        <w:t xml:space="preserve">notification </w:t>
      </w:r>
      <w:r w:rsidR="003B4F2C">
        <w:rPr>
          <w:rFonts w:ascii="Times New Roman" w:hAnsi="Times New Roman" w:cs="Times New Roman"/>
          <w:iCs/>
          <w:sz w:val="24"/>
          <w:szCs w:val="24"/>
        </w:rPr>
        <w:t xml:space="preserve">obligations to be contemporaneous with </w:t>
      </w:r>
      <w:r w:rsidR="00C976BE">
        <w:rPr>
          <w:rFonts w:ascii="Times New Roman" w:hAnsi="Times New Roman" w:cs="Times New Roman"/>
          <w:iCs/>
          <w:sz w:val="24"/>
          <w:szCs w:val="24"/>
        </w:rPr>
        <w:t xml:space="preserve">the time of </w:t>
      </w:r>
      <w:r w:rsidR="00660B5D">
        <w:rPr>
          <w:rFonts w:ascii="Times New Roman" w:hAnsi="Times New Roman" w:cs="Times New Roman"/>
          <w:iCs/>
          <w:sz w:val="24"/>
          <w:szCs w:val="24"/>
        </w:rPr>
        <w:t xml:space="preserve">actual </w:t>
      </w:r>
      <w:r w:rsidR="003B4F2C">
        <w:rPr>
          <w:rFonts w:ascii="Times New Roman" w:hAnsi="Times New Roman" w:cs="Times New Roman"/>
          <w:iCs/>
          <w:sz w:val="24"/>
          <w:szCs w:val="24"/>
        </w:rPr>
        <w:t>export</w:t>
      </w:r>
      <w:r w:rsidR="00660B5D">
        <w:rPr>
          <w:rFonts w:ascii="Times New Roman" w:hAnsi="Times New Roman" w:cs="Times New Roman"/>
          <w:iCs/>
          <w:sz w:val="24"/>
          <w:szCs w:val="24"/>
        </w:rPr>
        <w:t xml:space="preserve">, or </w:t>
      </w:r>
      <w:r>
        <w:rPr>
          <w:rFonts w:ascii="Times New Roman" w:hAnsi="Times New Roman" w:cs="Times New Roman"/>
          <w:iCs/>
          <w:sz w:val="24"/>
          <w:szCs w:val="24"/>
        </w:rPr>
        <w:t>soon after forming the intent to export</w:t>
      </w:r>
      <w:r w:rsidR="00C976BE">
        <w:rPr>
          <w:rFonts w:ascii="Times New Roman" w:hAnsi="Times New Roman" w:cs="Times New Roman"/>
          <w:iCs/>
          <w:sz w:val="24"/>
          <w:szCs w:val="24"/>
        </w:rPr>
        <w:t xml:space="preserve">. This is important so that the relevant foreign </w:t>
      </w:r>
      <w:r w:rsidR="00C976BE">
        <w:rPr>
          <w:rFonts w:ascii="Times New Roman" w:hAnsi="Times New Roman" w:cs="Times New Roman"/>
          <w:iCs/>
          <w:sz w:val="24"/>
          <w:szCs w:val="24"/>
        </w:rPr>
        <w:lastRenderedPageBreak/>
        <w:t>countries receiving these exports are apprised of the shipments underlying the applicable export notices near the time the</w:t>
      </w:r>
      <w:r w:rsidR="00660B5D">
        <w:rPr>
          <w:rFonts w:ascii="Times New Roman" w:hAnsi="Times New Roman" w:cs="Times New Roman"/>
          <w:iCs/>
          <w:sz w:val="24"/>
          <w:szCs w:val="24"/>
        </w:rPr>
        <w:t xml:space="preserve"> shipments</w:t>
      </w:r>
      <w:r w:rsidR="00C976BE">
        <w:rPr>
          <w:rFonts w:ascii="Times New Roman" w:hAnsi="Times New Roman" w:cs="Times New Roman"/>
          <w:iCs/>
          <w:sz w:val="24"/>
          <w:szCs w:val="24"/>
        </w:rPr>
        <w:t xml:space="preserve"> </w:t>
      </w:r>
      <w:r w:rsidR="00660B5D">
        <w:rPr>
          <w:rFonts w:ascii="Times New Roman" w:hAnsi="Times New Roman" w:cs="Times New Roman"/>
          <w:iCs/>
          <w:sz w:val="24"/>
          <w:szCs w:val="24"/>
        </w:rPr>
        <w:t xml:space="preserve">are </w:t>
      </w:r>
      <w:r w:rsidR="00F73913">
        <w:rPr>
          <w:rFonts w:ascii="Times New Roman" w:hAnsi="Times New Roman" w:cs="Times New Roman"/>
          <w:iCs/>
          <w:sz w:val="24"/>
          <w:szCs w:val="24"/>
        </w:rPr>
        <w:t>exported</w:t>
      </w:r>
      <w:r w:rsidR="00660B5D">
        <w:rPr>
          <w:rFonts w:ascii="Times New Roman" w:hAnsi="Times New Roman" w:cs="Times New Roman"/>
          <w:iCs/>
          <w:sz w:val="24"/>
          <w:szCs w:val="24"/>
        </w:rPr>
        <w:t xml:space="preserve"> to</w:t>
      </w:r>
      <w:r w:rsidR="00C976BE">
        <w:rPr>
          <w:rFonts w:ascii="Times New Roman" w:hAnsi="Times New Roman" w:cs="Times New Roman"/>
          <w:iCs/>
          <w:sz w:val="24"/>
          <w:szCs w:val="24"/>
        </w:rPr>
        <w:t xml:space="preserve"> </w:t>
      </w:r>
      <w:r w:rsidR="00660B5D">
        <w:rPr>
          <w:rFonts w:ascii="Times New Roman" w:hAnsi="Times New Roman" w:cs="Times New Roman"/>
          <w:iCs/>
          <w:sz w:val="24"/>
          <w:szCs w:val="24"/>
        </w:rPr>
        <w:t>the foreign country.</w:t>
      </w:r>
    </w:p>
    <w:p w:rsidR="004F1E47" w:rsidP="00576A65" w:rsidRDefault="004F1E47" w14:paraId="665CF68A" w14:textId="77777777">
      <w:pPr>
        <w:spacing w:after="0" w:line="240" w:lineRule="auto"/>
        <w:rPr>
          <w:rFonts w:ascii="Times New Roman" w:hAnsi="Times New Roman" w:cs="Times New Roman"/>
          <w:sz w:val="24"/>
          <w:szCs w:val="24"/>
        </w:rPr>
      </w:pPr>
    </w:p>
    <w:p w:rsidRPr="000C1222" w:rsidR="004F1E47" w:rsidP="000C1222" w:rsidRDefault="009858CF" w14:paraId="176AF4CF" w14:textId="1487B904">
      <w:pPr>
        <w:autoSpaceDE w:val="0"/>
        <w:autoSpaceDN w:val="0"/>
        <w:adjustRightInd w:val="0"/>
        <w:rPr>
          <w:rFonts w:ascii="Times New Roman" w:hAnsi="Times New Roman" w:cs="Times New Roman"/>
          <w:sz w:val="24"/>
          <w:szCs w:val="24"/>
        </w:rPr>
      </w:pPr>
      <w:r w:rsidRPr="000C1222">
        <w:rPr>
          <w:rFonts w:ascii="Times New Roman" w:hAnsi="Times New Roman" w:cs="Times New Roman"/>
          <w:sz w:val="24"/>
          <w:szCs w:val="24"/>
        </w:rPr>
        <w:t xml:space="preserve"> </w:t>
      </w:r>
    </w:p>
    <w:p w:rsidR="00972748" w:rsidP="00576A65" w:rsidRDefault="00972748" w14:paraId="7D3E7985" w14:textId="77777777">
      <w:pPr>
        <w:spacing w:after="0" w:line="240" w:lineRule="auto"/>
        <w:rPr>
          <w:rFonts w:ascii="Times New Roman" w:hAnsi="Times New Roman" w:cs="Times New Roman"/>
          <w:sz w:val="24"/>
          <w:szCs w:val="24"/>
        </w:rPr>
      </w:pPr>
    </w:p>
    <w:p w:rsidR="00972748" w:rsidP="00576A65" w:rsidRDefault="00972748" w14:paraId="60C8D8BA" w14:textId="77777777">
      <w:pPr>
        <w:spacing w:after="0" w:line="240" w:lineRule="auto"/>
        <w:rPr>
          <w:rFonts w:ascii="Times New Roman" w:hAnsi="Times New Roman" w:cs="Times New Roman"/>
          <w:sz w:val="24"/>
          <w:szCs w:val="24"/>
        </w:rPr>
      </w:pPr>
    </w:p>
    <w:p w:rsidR="00972748" w:rsidP="00576A65" w:rsidRDefault="00972748" w14:paraId="142F49B0" w14:textId="77777777">
      <w:pPr>
        <w:spacing w:after="0" w:line="240" w:lineRule="auto"/>
        <w:rPr>
          <w:rFonts w:ascii="Times New Roman" w:hAnsi="Times New Roman" w:cs="Times New Roman"/>
          <w:sz w:val="24"/>
          <w:szCs w:val="24"/>
        </w:rPr>
      </w:pPr>
    </w:p>
    <w:p w:rsidR="001F7FD5" w:rsidP="001F7FD5" w:rsidRDefault="001F7FD5" w14:paraId="752AB0E9" w14:textId="77777777">
      <w:pPr>
        <w:rPr>
          <w:rFonts w:ascii="Times New Roman" w:hAnsi="Times New Roman" w:cs="Times New Roman"/>
          <w:sz w:val="24"/>
          <w:szCs w:val="24"/>
        </w:rPr>
      </w:pPr>
    </w:p>
    <w:p w:rsidR="00DF1B30" w:rsidP="001F7FD5" w:rsidRDefault="00DF1B30" w14:paraId="01D1E1E5" w14:textId="77777777"/>
    <w:sectPr w:rsidR="00DF1B30" w:rsidSect="007724F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8C7E" w14:textId="77777777" w:rsidR="00885E51" w:rsidRDefault="00885E51" w:rsidP="00522F54">
      <w:pPr>
        <w:spacing w:after="0" w:line="240" w:lineRule="auto"/>
      </w:pPr>
      <w:r>
        <w:separator/>
      </w:r>
    </w:p>
  </w:endnote>
  <w:endnote w:type="continuationSeparator" w:id="0">
    <w:p w14:paraId="2131A7D0" w14:textId="77777777" w:rsidR="00885E51" w:rsidRDefault="00885E51" w:rsidP="0052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756837"/>
      <w:docPartObj>
        <w:docPartGallery w:val="Page Numbers (Bottom of Page)"/>
        <w:docPartUnique/>
      </w:docPartObj>
    </w:sdtPr>
    <w:sdtContent>
      <w:sdt>
        <w:sdtPr>
          <w:id w:val="1728636285"/>
          <w:docPartObj>
            <w:docPartGallery w:val="Page Numbers (Top of Page)"/>
            <w:docPartUnique/>
          </w:docPartObj>
        </w:sdtPr>
        <w:sdtContent>
          <w:p w14:paraId="0630E861" w14:textId="4FF7E99D" w:rsidR="007724F8" w:rsidRDefault="007724F8" w:rsidP="007724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45A49" w14:textId="77777777" w:rsidR="00885E51" w:rsidRDefault="00885E51" w:rsidP="00522F54">
      <w:pPr>
        <w:spacing w:after="0" w:line="240" w:lineRule="auto"/>
      </w:pPr>
      <w:r>
        <w:separator/>
      </w:r>
    </w:p>
  </w:footnote>
  <w:footnote w:type="continuationSeparator" w:id="0">
    <w:p w14:paraId="26DCF6C3" w14:textId="77777777" w:rsidR="00885E51" w:rsidRDefault="00885E51" w:rsidP="0052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6241"/>
      <w:gridCol w:w="3119"/>
    </w:tblGrid>
    <w:tr w:rsidR="007724F8" w14:paraId="6D4EAA75" w14:textId="77777777" w:rsidTr="007724F8">
      <w:trPr>
        <w:trHeight w:val="270"/>
      </w:trPr>
      <w:tc>
        <w:tcPr>
          <w:tcW w:w="3334" w:type="pct"/>
        </w:tcPr>
        <w:p w14:paraId="4D9DB5FC" w14:textId="775FBF67" w:rsidR="007724F8" w:rsidRDefault="007724F8" w:rsidP="007724F8">
          <w:pPr>
            <w:pStyle w:val="Header"/>
            <w:tabs>
              <w:tab w:val="clear" w:pos="4680"/>
              <w:tab w:val="clear" w:pos="9360"/>
            </w:tabs>
            <w:rPr>
              <w:color w:val="4472C4" w:themeColor="accent1"/>
            </w:rPr>
          </w:pPr>
          <w:r>
            <w:rPr>
              <w:color w:val="4472C4" w:themeColor="accent1"/>
            </w:rPr>
            <w:t>795.16/2070-0030 – Attachment 4</w:t>
          </w:r>
        </w:p>
      </w:tc>
      <w:tc>
        <w:tcPr>
          <w:tcW w:w="1666" w:type="pct"/>
        </w:tcPr>
        <w:p w14:paraId="365B72C4" w14:textId="251FE425" w:rsidR="007724F8" w:rsidRDefault="007724F8">
          <w:pPr>
            <w:pStyle w:val="Header"/>
            <w:tabs>
              <w:tab w:val="clear" w:pos="4680"/>
              <w:tab w:val="clear" w:pos="9360"/>
            </w:tabs>
            <w:jc w:val="right"/>
            <w:rPr>
              <w:color w:val="4472C4" w:themeColor="accent1"/>
            </w:rPr>
          </w:pPr>
          <w:r>
            <w:rPr>
              <w:color w:val="4472C4" w:themeColor="accent1"/>
            </w:rPr>
            <w:t>May 2020</w:t>
          </w:r>
        </w:p>
      </w:tc>
    </w:tr>
  </w:tbl>
  <w:p w14:paraId="385C85D4" w14:textId="77777777" w:rsidR="00522F54" w:rsidRDefault="00522F54" w:rsidP="00772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532"/>
    <w:rsid w:val="0005515B"/>
    <w:rsid w:val="000951B2"/>
    <w:rsid w:val="000C1222"/>
    <w:rsid w:val="000C66CC"/>
    <w:rsid w:val="0012125A"/>
    <w:rsid w:val="00130E27"/>
    <w:rsid w:val="00151109"/>
    <w:rsid w:val="001D5F58"/>
    <w:rsid w:val="001F7FD5"/>
    <w:rsid w:val="002010B9"/>
    <w:rsid w:val="002052F3"/>
    <w:rsid w:val="00212588"/>
    <w:rsid w:val="00212999"/>
    <w:rsid w:val="00241A41"/>
    <w:rsid w:val="002456B6"/>
    <w:rsid w:val="00270259"/>
    <w:rsid w:val="00271359"/>
    <w:rsid w:val="002849A5"/>
    <w:rsid w:val="0028564A"/>
    <w:rsid w:val="0028585A"/>
    <w:rsid w:val="002A4187"/>
    <w:rsid w:val="002A592C"/>
    <w:rsid w:val="002A7F4D"/>
    <w:rsid w:val="002F1481"/>
    <w:rsid w:val="003035F2"/>
    <w:rsid w:val="00343B8E"/>
    <w:rsid w:val="003663B4"/>
    <w:rsid w:val="00384087"/>
    <w:rsid w:val="003863F5"/>
    <w:rsid w:val="00396CEF"/>
    <w:rsid w:val="003A36B5"/>
    <w:rsid w:val="003A5479"/>
    <w:rsid w:val="003B231E"/>
    <w:rsid w:val="003B4F2C"/>
    <w:rsid w:val="003C72EE"/>
    <w:rsid w:val="003E365B"/>
    <w:rsid w:val="003F1FA8"/>
    <w:rsid w:val="0043323A"/>
    <w:rsid w:val="004459EB"/>
    <w:rsid w:val="004A27AF"/>
    <w:rsid w:val="004A54FA"/>
    <w:rsid w:val="004A6958"/>
    <w:rsid w:val="004B7C08"/>
    <w:rsid w:val="004C306C"/>
    <w:rsid w:val="004D3ECC"/>
    <w:rsid w:val="004D5D46"/>
    <w:rsid w:val="004D6652"/>
    <w:rsid w:val="004E6083"/>
    <w:rsid w:val="004F1E47"/>
    <w:rsid w:val="005169CA"/>
    <w:rsid w:val="00522F54"/>
    <w:rsid w:val="00547C7B"/>
    <w:rsid w:val="00553C5C"/>
    <w:rsid w:val="00576A65"/>
    <w:rsid w:val="00583125"/>
    <w:rsid w:val="00585A42"/>
    <w:rsid w:val="00586DBC"/>
    <w:rsid w:val="005A281D"/>
    <w:rsid w:val="005A3F1A"/>
    <w:rsid w:val="005C49EF"/>
    <w:rsid w:val="005C7BDA"/>
    <w:rsid w:val="005E2908"/>
    <w:rsid w:val="005E7EE4"/>
    <w:rsid w:val="005F1DBA"/>
    <w:rsid w:val="00600CA7"/>
    <w:rsid w:val="00601969"/>
    <w:rsid w:val="00633C09"/>
    <w:rsid w:val="00656A0C"/>
    <w:rsid w:val="00656D1D"/>
    <w:rsid w:val="00660B5D"/>
    <w:rsid w:val="006A528D"/>
    <w:rsid w:val="006C11E9"/>
    <w:rsid w:val="006C233D"/>
    <w:rsid w:val="006E61D7"/>
    <w:rsid w:val="0070581A"/>
    <w:rsid w:val="00707532"/>
    <w:rsid w:val="00712027"/>
    <w:rsid w:val="00712DEB"/>
    <w:rsid w:val="00722CB4"/>
    <w:rsid w:val="0073355F"/>
    <w:rsid w:val="007724F8"/>
    <w:rsid w:val="0078336B"/>
    <w:rsid w:val="007B06D5"/>
    <w:rsid w:val="007C4655"/>
    <w:rsid w:val="007D279E"/>
    <w:rsid w:val="00805613"/>
    <w:rsid w:val="0080646E"/>
    <w:rsid w:val="008165C1"/>
    <w:rsid w:val="008249C1"/>
    <w:rsid w:val="00830616"/>
    <w:rsid w:val="008317D2"/>
    <w:rsid w:val="00885E51"/>
    <w:rsid w:val="00891EE1"/>
    <w:rsid w:val="0089757F"/>
    <w:rsid w:val="008B1CD5"/>
    <w:rsid w:val="008D29E4"/>
    <w:rsid w:val="008D64E5"/>
    <w:rsid w:val="008E4C22"/>
    <w:rsid w:val="008F48DF"/>
    <w:rsid w:val="00902DAE"/>
    <w:rsid w:val="0091104B"/>
    <w:rsid w:val="00930776"/>
    <w:rsid w:val="00941D03"/>
    <w:rsid w:val="00960BE3"/>
    <w:rsid w:val="009670C6"/>
    <w:rsid w:val="00972748"/>
    <w:rsid w:val="00973904"/>
    <w:rsid w:val="009858CF"/>
    <w:rsid w:val="009B6622"/>
    <w:rsid w:val="009C5937"/>
    <w:rsid w:val="00A01E1E"/>
    <w:rsid w:val="00A15C2F"/>
    <w:rsid w:val="00A454CF"/>
    <w:rsid w:val="00A66CD5"/>
    <w:rsid w:val="00A76B0C"/>
    <w:rsid w:val="00A84B34"/>
    <w:rsid w:val="00AE4ED6"/>
    <w:rsid w:val="00B1046D"/>
    <w:rsid w:val="00B43A3D"/>
    <w:rsid w:val="00B44C32"/>
    <w:rsid w:val="00B54AA5"/>
    <w:rsid w:val="00BA1AC4"/>
    <w:rsid w:val="00BA64B0"/>
    <w:rsid w:val="00C21733"/>
    <w:rsid w:val="00C30FEF"/>
    <w:rsid w:val="00C32402"/>
    <w:rsid w:val="00C35AAB"/>
    <w:rsid w:val="00C3763F"/>
    <w:rsid w:val="00C436FF"/>
    <w:rsid w:val="00C77522"/>
    <w:rsid w:val="00C84F9F"/>
    <w:rsid w:val="00C976BE"/>
    <w:rsid w:val="00CC12A5"/>
    <w:rsid w:val="00CC612E"/>
    <w:rsid w:val="00CF770D"/>
    <w:rsid w:val="00D01754"/>
    <w:rsid w:val="00D27FC9"/>
    <w:rsid w:val="00D5080D"/>
    <w:rsid w:val="00D60037"/>
    <w:rsid w:val="00D93740"/>
    <w:rsid w:val="00DA1DA3"/>
    <w:rsid w:val="00DD4972"/>
    <w:rsid w:val="00DF1B30"/>
    <w:rsid w:val="00E16CD7"/>
    <w:rsid w:val="00E27E1F"/>
    <w:rsid w:val="00E73235"/>
    <w:rsid w:val="00E856E5"/>
    <w:rsid w:val="00EC11D5"/>
    <w:rsid w:val="00EE3F3C"/>
    <w:rsid w:val="00EE7606"/>
    <w:rsid w:val="00F0283D"/>
    <w:rsid w:val="00F424D4"/>
    <w:rsid w:val="00F67AA3"/>
    <w:rsid w:val="00F73913"/>
    <w:rsid w:val="00F7601F"/>
    <w:rsid w:val="00FB4276"/>
    <w:rsid w:val="00FD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40750"/>
  <w15:chartTrackingRefBased/>
  <w15:docId w15:val="{B18B47E3-9AE4-4D01-84C9-8922BAEB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7AA3"/>
    <w:rPr>
      <w:sz w:val="16"/>
      <w:szCs w:val="16"/>
    </w:rPr>
  </w:style>
  <w:style w:type="paragraph" w:styleId="CommentText">
    <w:name w:val="annotation text"/>
    <w:basedOn w:val="Normal"/>
    <w:link w:val="CommentTextChar"/>
    <w:uiPriority w:val="99"/>
    <w:semiHidden/>
    <w:unhideWhenUsed/>
    <w:rsid w:val="00F67AA3"/>
    <w:pPr>
      <w:spacing w:line="240" w:lineRule="auto"/>
    </w:pPr>
    <w:rPr>
      <w:sz w:val="20"/>
      <w:szCs w:val="20"/>
    </w:rPr>
  </w:style>
  <w:style w:type="character" w:customStyle="1" w:styleId="CommentTextChar">
    <w:name w:val="Comment Text Char"/>
    <w:basedOn w:val="DefaultParagraphFont"/>
    <w:link w:val="CommentText"/>
    <w:uiPriority w:val="99"/>
    <w:semiHidden/>
    <w:rsid w:val="00F67AA3"/>
    <w:rPr>
      <w:sz w:val="20"/>
      <w:szCs w:val="20"/>
    </w:rPr>
  </w:style>
  <w:style w:type="paragraph" w:styleId="CommentSubject">
    <w:name w:val="annotation subject"/>
    <w:basedOn w:val="CommentText"/>
    <w:next w:val="CommentText"/>
    <w:link w:val="CommentSubjectChar"/>
    <w:uiPriority w:val="99"/>
    <w:semiHidden/>
    <w:unhideWhenUsed/>
    <w:rsid w:val="00F67AA3"/>
    <w:rPr>
      <w:b/>
      <w:bCs/>
    </w:rPr>
  </w:style>
  <w:style w:type="character" w:customStyle="1" w:styleId="CommentSubjectChar">
    <w:name w:val="Comment Subject Char"/>
    <w:basedOn w:val="CommentTextChar"/>
    <w:link w:val="CommentSubject"/>
    <w:uiPriority w:val="99"/>
    <w:semiHidden/>
    <w:rsid w:val="00F67AA3"/>
    <w:rPr>
      <w:b/>
      <w:bCs/>
      <w:sz w:val="20"/>
      <w:szCs w:val="20"/>
    </w:rPr>
  </w:style>
  <w:style w:type="paragraph" w:styleId="BalloonText">
    <w:name w:val="Balloon Text"/>
    <w:basedOn w:val="Normal"/>
    <w:link w:val="BalloonTextChar"/>
    <w:uiPriority w:val="99"/>
    <w:semiHidden/>
    <w:unhideWhenUsed/>
    <w:rsid w:val="00F67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AA3"/>
    <w:rPr>
      <w:rFonts w:ascii="Segoe UI" w:hAnsi="Segoe UI" w:cs="Segoe UI"/>
      <w:sz w:val="18"/>
      <w:szCs w:val="18"/>
    </w:rPr>
  </w:style>
  <w:style w:type="paragraph" w:styleId="Revision">
    <w:name w:val="Revision"/>
    <w:hidden/>
    <w:uiPriority w:val="99"/>
    <w:semiHidden/>
    <w:rsid w:val="00DD4972"/>
    <w:pPr>
      <w:spacing w:after="0" w:line="240" w:lineRule="auto"/>
    </w:pPr>
  </w:style>
  <w:style w:type="paragraph" w:styleId="Header">
    <w:name w:val="header"/>
    <w:basedOn w:val="Normal"/>
    <w:link w:val="HeaderChar"/>
    <w:uiPriority w:val="99"/>
    <w:unhideWhenUsed/>
    <w:rsid w:val="0052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54"/>
  </w:style>
  <w:style w:type="paragraph" w:styleId="Footer">
    <w:name w:val="footer"/>
    <w:basedOn w:val="Normal"/>
    <w:link w:val="FooterChar"/>
    <w:uiPriority w:val="99"/>
    <w:unhideWhenUsed/>
    <w:rsid w:val="0052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452182">
      <w:bodyDiv w:val="1"/>
      <w:marLeft w:val="0"/>
      <w:marRight w:val="0"/>
      <w:marTop w:val="0"/>
      <w:marBottom w:val="0"/>
      <w:divBdr>
        <w:top w:val="none" w:sz="0" w:space="0" w:color="auto"/>
        <w:left w:val="none" w:sz="0" w:space="0" w:color="auto"/>
        <w:bottom w:val="none" w:sz="0" w:space="0" w:color="auto"/>
        <w:right w:val="none" w:sz="0" w:space="0" w:color="auto"/>
      </w:divBdr>
    </w:div>
    <w:div w:id="1717781397">
      <w:bodyDiv w:val="1"/>
      <w:marLeft w:val="0"/>
      <w:marRight w:val="0"/>
      <w:marTop w:val="0"/>
      <w:marBottom w:val="0"/>
      <w:divBdr>
        <w:top w:val="none" w:sz="0" w:space="0" w:color="auto"/>
        <w:left w:val="none" w:sz="0" w:space="0" w:color="auto"/>
        <w:bottom w:val="none" w:sz="0" w:space="0" w:color="auto"/>
        <w:right w:val="none" w:sz="0" w:space="0" w:color="auto"/>
      </w:divBdr>
    </w:div>
    <w:div w:id="213308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9c7d555258b5f6a3fa0f9e197949a055">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065a897a3cac7bc3254ecb3ba4a6f3d0"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2800</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586EB-8ADB-424F-AAD9-8E6174C9CB47}">
  <ds:schemaRefs>
    <ds:schemaRef ds:uri="Microsoft.SharePoint.Taxonomy.ContentTypeSync"/>
  </ds:schemaRefs>
</ds:datastoreItem>
</file>

<file path=customXml/itemProps2.xml><?xml version="1.0" encoding="utf-8"?>
<ds:datastoreItem xmlns:ds="http://schemas.openxmlformats.org/officeDocument/2006/customXml" ds:itemID="{181A877E-1BFC-4004-A77A-E60113DA57AA}"/>
</file>

<file path=customXml/itemProps3.xml><?xml version="1.0" encoding="utf-8"?>
<ds:datastoreItem xmlns:ds="http://schemas.openxmlformats.org/officeDocument/2006/customXml" ds:itemID="{011062F6-41FC-4C0E-BD44-4E670AAA8960}">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a5d1ca4e-0a3f-4119-b619-e20b93ebd1aa"/>
    <ds:schemaRef ds:uri="118f882f-1e32-4cf2-ad69-9de43d57f4c6"/>
    <ds:schemaRef ds:uri="4ffa91fb-a0ff-4ac5-b2db-65c790d184a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EBD3E8A6-B97E-4801-8902-99EC6792D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Mojica, Andrea</dc:creator>
  <cp:keywords/>
  <dc:description/>
  <cp:lastModifiedBy>Angela Hofmann</cp:lastModifiedBy>
  <cp:revision>4</cp:revision>
  <dcterms:created xsi:type="dcterms:W3CDTF">2020-06-03T16:19:00Z</dcterms:created>
  <dcterms:modified xsi:type="dcterms:W3CDTF">2020-07-23T19:31:00Z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