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15E" w:rsidP="000C115E" w:rsidRDefault="000C115E" w14:paraId="3ECAA772" w14:textId="77777777">
      <w:pPr>
        <w:jc w:val="center"/>
        <w:rPr>
          <w:sz w:val="24"/>
        </w:rPr>
      </w:pPr>
      <w:r>
        <w:rPr>
          <w:sz w:val="24"/>
        </w:rPr>
        <w:t>SUPPORTING STATEMENT</w:t>
      </w:r>
      <w:r w:rsidR="00FB481A">
        <w:rPr>
          <w:sz w:val="24"/>
        </w:rPr>
        <w:t xml:space="preserve"> A</w:t>
      </w:r>
    </w:p>
    <w:p w:rsidR="000C115E" w:rsidP="000C115E" w:rsidRDefault="000C115E" w14:paraId="7F869C7F" w14:textId="77777777">
      <w:pPr>
        <w:jc w:val="center"/>
        <w:rPr>
          <w:sz w:val="24"/>
        </w:rPr>
      </w:pPr>
      <w:r>
        <w:rPr>
          <w:sz w:val="24"/>
        </w:rPr>
        <w:t>DEALER’S AIRCRAFT REGISTRATION CERTIFICATE APPLICATION</w:t>
      </w:r>
    </w:p>
    <w:p w:rsidR="007E72A0" w:rsidP="007E72A0" w:rsidRDefault="007E72A0" w14:paraId="6A2EBD67" w14:textId="77777777">
      <w:pPr>
        <w:jc w:val="center"/>
        <w:rPr>
          <w:sz w:val="24"/>
        </w:rPr>
      </w:pPr>
      <w:r>
        <w:rPr>
          <w:sz w:val="24"/>
        </w:rPr>
        <w:t>OMB 2120-0024</w:t>
      </w:r>
    </w:p>
    <w:p w:rsidR="000C115E" w:rsidP="000C115E" w:rsidRDefault="000C115E" w14:paraId="1E250FA2" w14:textId="77777777">
      <w:pPr>
        <w:jc w:val="center"/>
        <w:rPr>
          <w:sz w:val="24"/>
        </w:rPr>
      </w:pPr>
    </w:p>
    <w:p w:rsidR="000C115E" w:rsidP="000C115E" w:rsidRDefault="000C115E" w14:paraId="0ED56CF5" w14:textId="77777777"/>
    <w:p w:rsidRPr="00C80010" w:rsidR="000C115E" w:rsidP="000C115E" w:rsidRDefault="00E17CA9" w14:paraId="2CC1A1D6" w14:textId="77777777">
      <w:pPr>
        <w:rPr>
          <w:b/>
          <w:sz w:val="24"/>
        </w:rPr>
      </w:pPr>
      <w:r>
        <w:rPr>
          <w:b/>
          <w:sz w:val="24"/>
        </w:rPr>
        <w:t>1.</w:t>
      </w:r>
      <w:r w:rsidR="00D27687">
        <w:rPr>
          <w:b/>
          <w:sz w:val="24"/>
        </w:rPr>
        <w:t xml:space="preserve"> </w:t>
      </w:r>
      <w:r w:rsidRPr="00C80010" w:rsidR="000C115E">
        <w:rPr>
          <w:b/>
          <w:sz w:val="24"/>
        </w:rPr>
        <w:t xml:space="preserve">Explain the circumstances that make the collection of information necessary. </w:t>
      </w:r>
      <w:r w:rsidR="00471478">
        <w:rPr>
          <w:b/>
          <w:sz w:val="24"/>
        </w:rPr>
        <w:t>Identify any legal or administrative requirements that necessitate the collection.</w:t>
      </w:r>
      <w:r w:rsidRPr="00C80010" w:rsidR="000C115E">
        <w:rPr>
          <w:b/>
          <w:sz w:val="24"/>
        </w:rPr>
        <w:t xml:space="preserve"> </w:t>
      </w:r>
    </w:p>
    <w:p w:rsidR="000C115E" w:rsidP="000C115E" w:rsidRDefault="000C115E" w14:paraId="1B6A5660" w14:textId="77777777">
      <w:pPr>
        <w:rPr>
          <w:sz w:val="24"/>
        </w:rPr>
      </w:pPr>
    </w:p>
    <w:p w:rsidR="000C115E" w:rsidP="000C115E" w:rsidRDefault="000C115E" w14:paraId="59806D3A" w14:textId="77777777">
      <w:pPr>
        <w:rPr>
          <w:sz w:val="24"/>
        </w:rPr>
      </w:pPr>
      <w:r>
        <w:rPr>
          <w:sz w:val="24"/>
        </w:rPr>
        <w:t>This information collection supports the Department of Transportation’s strategic goals on safety and security.  Maintaining proper registration of aircraft is fundamental to ensure compliance with operations/airworthiness safety requirements in order to promote the public health and safety by working toward the elimination of transportation-related deaths, injuries, and property damage.  Proper registration of aircraft is necessary to advance the nations vital security interest in support of national strategies by ensuring that the national transportation system is secure.</w:t>
      </w:r>
    </w:p>
    <w:p w:rsidR="000C115E" w:rsidP="000C115E" w:rsidRDefault="000C115E" w14:paraId="2EEB276F" w14:textId="77777777">
      <w:pPr>
        <w:rPr>
          <w:sz w:val="24"/>
        </w:rPr>
      </w:pPr>
    </w:p>
    <w:p w:rsidR="000C115E" w:rsidP="000C115E" w:rsidRDefault="000C115E" w14:paraId="0E548D3E" w14:textId="77777777">
      <w:pPr>
        <w:rPr>
          <w:sz w:val="24"/>
        </w:rPr>
      </w:pPr>
      <w:r>
        <w:rPr>
          <w:sz w:val="24"/>
        </w:rPr>
        <w:t xml:space="preserve">Public Law 103-272 states that all aircraft </w:t>
      </w:r>
      <w:r w:rsidR="007E72A0">
        <w:rPr>
          <w:sz w:val="24"/>
        </w:rPr>
        <w:t xml:space="preserve">must </w:t>
      </w:r>
      <w:r>
        <w:rPr>
          <w:sz w:val="24"/>
        </w:rPr>
        <w:t xml:space="preserve">be registered before </w:t>
      </w:r>
      <w:r w:rsidR="00FB481A">
        <w:rPr>
          <w:sz w:val="24"/>
        </w:rPr>
        <w:t>being</w:t>
      </w:r>
      <w:r>
        <w:rPr>
          <w:sz w:val="24"/>
        </w:rPr>
        <w:t xml:space="preserve"> flown.  It sets forth registration eligibility requirements and provides for application for registration as well as suspension and/or revocation of registration.</w:t>
      </w:r>
    </w:p>
    <w:p w:rsidR="000C115E" w:rsidP="000C115E" w:rsidRDefault="000C115E" w14:paraId="5CBB34AD" w14:textId="77777777">
      <w:pPr>
        <w:rPr>
          <w:sz w:val="24"/>
        </w:rPr>
      </w:pPr>
    </w:p>
    <w:p w:rsidR="000C115E" w:rsidP="000C115E" w:rsidRDefault="00471478" w14:paraId="14E0B0AF" w14:textId="77777777">
      <w:pPr>
        <w:rPr>
          <w:sz w:val="24"/>
        </w:rPr>
      </w:pPr>
      <w:r>
        <w:rPr>
          <w:sz w:val="24"/>
        </w:rPr>
        <w:t>14 CFR</w:t>
      </w:r>
      <w:r w:rsidR="000C115E">
        <w:rPr>
          <w:sz w:val="24"/>
        </w:rPr>
        <w:t xml:space="preserve"> Part 47 </w:t>
      </w:r>
      <w:r w:rsidR="0035291C">
        <w:rPr>
          <w:sz w:val="24"/>
        </w:rPr>
        <w:t>Subpart C</w:t>
      </w:r>
      <w:r w:rsidR="00C060D2">
        <w:rPr>
          <w:sz w:val="24"/>
        </w:rPr>
        <w:t xml:space="preserve"> </w:t>
      </w:r>
      <w:r w:rsidR="0035291C">
        <w:rPr>
          <w:sz w:val="24"/>
        </w:rPr>
        <w:t xml:space="preserve">describes procedures for obtaining and using a dealer’s aircraft registration certificate and </w:t>
      </w:r>
      <w:r w:rsidR="000C115E">
        <w:rPr>
          <w:sz w:val="24"/>
        </w:rPr>
        <w:t>prescribes procedures that implement Public Law 103-272 which provides for the issuance of</w:t>
      </w:r>
      <w:r w:rsidR="0035291C">
        <w:rPr>
          <w:sz w:val="24"/>
        </w:rPr>
        <w:t xml:space="preserve"> a</w:t>
      </w:r>
      <w:r w:rsidR="000C115E">
        <w:rPr>
          <w:sz w:val="24"/>
        </w:rPr>
        <w:t xml:space="preserve"> dealer’s aircraft registration certificate and for their use in connection with aircraft eligible </w:t>
      </w:r>
      <w:r w:rsidR="00CA70C8">
        <w:rPr>
          <w:sz w:val="24"/>
        </w:rPr>
        <w:t>for registration</w:t>
      </w:r>
      <w:r w:rsidR="0035291C">
        <w:rPr>
          <w:sz w:val="24"/>
        </w:rPr>
        <w:t xml:space="preserve"> </w:t>
      </w:r>
      <w:r w:rsidR="000C115E">
        <w:rPr>
          <w:sz w:val="24"/>
        </w:rPr>
        <w:t>by persons engaged in manufacturing, distributing or selling aircraft.  Dealer’s certificates enable such persons to fly aircraft immediately without having to go through the paperwork and expense of applying for and securing a permanent Aircraft Registration</w:t>
      </w:r>
      <w:r w:rsidR="00CB3C23">
        <w:rPr>
          <w:sz w:val="24"/>
        </w:rPr>
        <w:t xml:space="preserve"> Certificate</w:t>
      </w:r>
      <w:r w:rsidR="000C115E">
        <w:rPr>
          <w:sz w:val="24"/>
        </w:rPr>
        <w:t xml:space="preserve">.  </w:t>
      </w:r>
    </w:p>
    <w:p w:rsidR="000C115E" w:rsidP="000C115E" w:rsidRDefault="000C115E" w14:paraId="0AE6E944" w14:textId="77777777">
      <w:pPr>
        <w:rPr>
          <w:sz w:val="24"/>
        </w:rPr>
      </w:pPr>
    </w:p>
    <w:p w:rsidRPr="00C80010" w:rsidR="000C115E" w:rsidP="000C115E" w:rsidRDefault="00E17CA9" w14:paraId="578F9850" w14:textId="77777777">
      <w:pPr>
        <w:rPr>
          <w:b/>
          <w:sz w:val="24"/>
          <w:szCs w:val="24"/>
        </w:rPr>
      </w:pPr>
      <w:r>
        <w:rPr>
          <w:b/>
          <w:sz w:val="24"/>
          <w:szCs w:val="24"/>
        </w:rPr>
        <w:t>2.</w:t>
      </w:r>
      <w:r w:rsidR="00D27687">
        <w:rPr>
          <w:b/>
          <w:sz w:val="24"/>
          <w:szCs w:val="24"/>
        </w:rPr>
        <w:t xml:space="preserve"> </w:t>
      </w:r>
      <w:r w:rsidRPr="00C80010" w:rsidR="000C115E">
        <w:rPr>
          <w:b/>
          <w:sz w:val="24"/>
          <w:szCs w:val="24"/>
        </w:rPr>
        <w:t xml:space="preserve">Indicate how, by whom, and for what purpose the information is </w:t>
      </w:r>
      <w:r w:rsidR="00471478">
        <w:rPr>
          <w:b/>
          <w:sz w:val="24"/>
          <w:szCs w:val="24"/>
        </w:rPr>
        <w:t xml:space="preserve">to be </w:t>
      </w:r>
      <w:r w:rsidRPr="00C80010" w:rsidR="000C115E">
        <w:rPr>
          <w:b/>
          <w:sz w:val="24"/>
          <w:szCs w:val="24"/>
        </w:rPr>
        <w:t xml:space="preserve">used. </w:t>
      </w:r>
      <w:r w:rsidR="00471478">
        <w:rPr>
          <w:b/>
          <w:sz w:val="24"/>
          <w:szCs w:val="24"/>
        </w:rPr>
        <w:t>Except for a new collection, indicate the use the agency has made of the information received from the current collection.</w:t>
      </w:r>
      <w:r w:rsidRPr="00C80010" w:rsidR="000C115E">
        <w:rPr>
          <w:b/>
          <w:sz w:val="24"/>
          <w:szCs w:val="24"/>
        </w:rPr>
        <w:t xml:space="preserve"> </w:t>
      </w:r>
    </w:p>
    <w:p w:rsidR="000C115E" w:rsidP="000C115E" w:rsidRDefault="000C115E" w14:paraId="3AD32142" w14:textId="77777777">
      <w:pPr>
        <w:rPr>
          <w:sz w:val="24"/>
          <w:szCs w:val="24"/>
        </w:rPr>
      </w:pPr>
    </w:p>
    <w:p w:rsidR="000C115E" w:rsidP="000C115E" w:rsidRDefault="0008080C" w14:paraId="50AFC5E7" w14:textId="1210F517">
      <w:pPr>
        <w:rPr>
          <w:sz w:val="24"/>
          <w:szCs w:val="24"/>
        </w:rPr>
      </w:pPr>
      <w:r>
        <w:rPr>
          <w:sz w:val="24"/>
          <w:szCs w:val="24"/>
        </w:rPr>
        <w:t xml:space="preserve">The collection of this information is mandatory in order to obtain a Dealer’s Aircraft Registration Certificate. The Aircraft Registry collects the minimum amount of information necessary (i.e. name, mailing/business address, phone number, signature, title, date, type of business, and type of registration). </w:t>
      </w:r>
      <w:r w:rsidR="0027715D">
        <w:rPr>
          <w:sz w:val="24"/>
          <w:szCs w:val="24"/>
        </w:rPr>
        <w:t>The information collected on the Dealer’s Aircraft Registration Certificate Application, AC Form 8050-5</w:t>
      </w:r>
      <w:r w:rsidR="00D613FC">
        <w:rPr>
          <w:sz w:val="24"/>
          <w:szCs w:val="24"/>
        </w:rPr>
        <w:t>, is for an</w:t>
      </w:r>
      <w:r w:rsidR="0027715D">
        <w:rPr>
          <w:sz w:val="24"/>
          <w:szCs w:val="24"/>
        </w:rPr>
        <w:t>y individual or company engaged in manufacturing, distributing, or selling aircraft and wants to fly those aircraft with a dealer’s registration certificate instead of obtaining a certificate of aircraft registration.</w:t>
      </w:r>
      <w:r w:rsidR="000C115E">
        <w:rPr>
          <w:sz w:val="24"/>
          <w:szCs w:val="24"/>
        </w:rPr>
        <w:t xml:space="preserve">  </w:t>
      </w:r>
      <w:r>
        <w:rPr>
          <w:sz w:val="24"/>
          <w:szCs w:val="24"/>
        </w:rPr>
        <w:t xml:space="preserve">The information collected is maintained in a database for recordkeeping purposes. </w:t>
      </w:r>
      <w:r w:rsidR="00CD4E28">
        <w:rPr>
          <w:sz w:val="24"/>
          <w:szCs w:val="24"/>
        </w:rPr>
        <w:t>A</w:t>
      </w:r>
      <w:r w:rsidR="0027715D">
        <w:rPr>
          <w:sz w:val="24"/>
          <w:szCs w:val="24"/>
        </w:rPr>
        <w:t xml:space="preserve"> conveyance examiner </w:t>
      </w:r>
      <w:r w:rsidR="000C115E">
        <w:rPr>
          <w:sz w:val="24"/>
          <w:szCs w:val="24"/>
        </w:rPr>
        <w:t xml:space="preserve">in the FAA </w:t>
      </w:r>
      <w:r w:rsidR="00CD4E28">
        <w:rPr>
          <w:sz w:val="24"/>
          <w:szCs w:val="24"/>
        </w:rPr>
        <w:t>Aircraft Registry reviews the application</w:t>
      </w:r>
      <w:r w:rsidR="0027715D">
        <w:rPr>
          <w:sz w:val="24"/>
          <w:szCs w:val="24"/>
        </w:rPr>
        <w:t xml:space="preserve"> to</w:t>
      </w:r>
      <w:r w:rsidR="000C115E">
        <w:rPr>
          <w:sz w:val="24"/>
          <w:szCs w:val="24"/>
        </w:rPr>
        <w:t xml:space="preserve"> </w:t>
      </w:r>
      <w:r w:rsidR="0027715D">
        <w:rPr>
          <w:sz w:val="24"/>
          <w:szCs w:val="24"/>
        </w:rPr>
        <w:t>e</w:t>
      </w:r>
      <w:r w:rsidR="000C115E">
        <w:rPr>
          <w:sz w:val="24"/>
          <w:szCs w:val="24"/>
        </w:rPr>
        <w:t xml:space="preserve">nsure it is complete and properly filled out.  If </w:t>
      </w:r>
      <w:r w:rsidR="0027715D">
        <w:rPr>
          <w:sz w:val="24"/>
          <w:szCs w:val="24"/>
        </w:rPr>
        <w:t>the application</w:t>
      </w:r>
      <w:r w:rsidR="000C115E">
        <w:rPr>
          <w:sz w:val="24"/>
          <w:szCs w:val="24"/>
        </w:rPr>
        <w:t xml:space="preserve"> is correct, the </w:t>
      </w:r>
      <w:r w:rsidR="0027715D">
        <w:rPr>
          <w:sz w:val="24"/>
          <w:szCs w:val="24"/>
        </w:rPr>
        <w:t xml:space="preserve">Aircraft </w:t>
      </w:r>
      <w:r w:rsidR="000C115E">
        <w:rPr>
          <w:sz w:val="24"/>
          <w:szCs w:val="24"/>
        </w:rPr>
        <w:t>Registry issues the number of dealer’s certificates requested and mail</w:t>
      </w:r>
      <w:r w:rsidR="00CA70C8">
        <w:rPr>
          <w:sz w:val="24"/>
          <w:szCs w:val="24"/>
        </w:rPr>
        <w:t>s</w:t>
      </w:r>
      <w:r w:rsidR="000C115E">
        <w:rPr>
          <w:sz w:val="24"/>
          <w:szCs w:val="24"/>
        </w:rPr>
        <w:t xml:space="preserve"> them to the dealer.  Certificates are </w:t>
      </w:r>
      <w:r w:rsidRPr="002E6D69" w:rsidR="000C115E">
        <w:rPr>
          <w:sz w:val="24"/>
          <w:szCs w:val="24"/>
        </w:rPr>
        <w:t>valid for one year</w:t>
      </w:r>
      <w:r>
        <w:rPr>
          <w:sz w:val="24"/>
          <w:szCs w:val="24"/>
        </w:rPr>
        <w:t>, therefore, a dealer must reapply each year</w:t>
      </w:r>
      <w:r w:rsidRPr="002E6D69" w:rsidR="000C115E">
        <w:rPr>
          <w:sz w:val="24"/>
          <w:szCs w:val="24"/>
        </w:rPr>
        <w:t>.</w:t>
      </w:r>
      <w:r>
        <w:rPr>
          <w:sz w:val="24"/>
          <w:szCs w:val="24"/>
        </w:rPr>
        <w:t xml:space="preserve"> As with all information collected by the Aircraft Registry this information is available to the public upon request.</w:t>
      </w:r>
      <w:r w:rsidRPr="002E6D69" w:rsidR="000C115E">
        <w:rPr>
          <w:sz w:val="24"/>
          <w:szCs w:val="24"/>
        </w:rPr>
        <w:t xml:space="preserve">  </w:t>
      </w:r>
      <w:r w:rsidRPr="001846AA" w:rsidR="000C115E">
        <w:rPr>
          <w:sz w:val="24"/>
          <w:szCs w:val="24"/>
        </w:rPr>
        <w:t xml:space="preserve">  </w:t>
      </w:r>
    </w:p>
    <w:p w:rsidR="000C115E" w:rsidP="000C115E" w:rsidRDefault="000C115E" w14:paraId="02482276" w14:textId="77777777">
      <w:pPr>
        <w:rPr>
          <w:sz w:val="24"/>
          <w:szCs w:val="24"/>
        </w:rPr>
      </w:pPr>
    </w:p>
    <w:p w:rsidRPr="00C80010" w:rsidR="006D4103" w:rsidP="006D4103" w:rsidRDefault="00E17CA9" w14:paraId="245EBFCB" w14:textId="77777777">
      <w:pPr>
        <w:rPr>
          <w:b/>
          <w:sz w:val="24"/>
        </w:rPr>
      </w:pPr>
      <w:r>
        <w:rPr>
          <w:b/>
          <w:sz w:val="24"/>
        </w:rPr>
        <w:lastRenderedPageBreak/>
        <w:t>3.</w:t>
      </w:r>
      <w:r w:rsidR="00D27687">
        <w:rPr>
          <w:b/>
          <w:sz w:val="24"/>
        </w:rPr>
        <w:t xml:space="preserve"> </w:t>
      </w:r>
      <w:r w:rsidRPr="00C80010" w:rsidR="006D4103">
        <w:rPr>
          <w:b/>
          <w:sz w:val="24"/>
        </w:rPr>
        <w:t xml:space="preserve">Describe </w:t>
      </w:r>
      <w:r w:rsidR="00471478">
        <w:rPr>
          <w:b/>
          <w:sz w:val="24"/>
        </w:rPr>
        <w:t>whether, and to what extent, the collection of information involves the use of automated, electronic, mechanical, or other technological collection techniques or other forms of information technology</w:t>
      </w:r>
      <w:r w:rsidRPr="00C80010" w:rsidR="006D4103">
        <w:rPr>
          <w:b/>
          <w:sz w:val="24"/>
        </w:rPr>
        <w:t>.</w:t>
      </w:r>
    </w:p>
    <w:p w:rsidR="006D4103" w:rsidP="000C115E" w:rsidRDefault="006D4103" w14:paraId="61F087B1" w14:textId="77777777">
      <w:pPr>
        <w:rPr>
          <w:sz w:val="24"/>
          <w:szCs w:val="24"/>
        </w:rPr>
      </w:pPr>
    </w:p>
    <w:p w:rsidRPr="00D613FC" w:rsidR="00D613FC" w:rsidP="00D613FC" w:rsidRDefault="00D613FC" w14:paraId="639283F0" w14:textId="77777777">
      <w:pPr>
        <w:rPr>
          <w:sz w:val="24"/>
          <w:szCs w:val="24"/>
        </w:rPr>
      </w:pPr>
      <w:r w:rsidRPr="00D613FC">
        <w:rPr>
          <w:sz w:val="24"/>
          <w:szCs w:val="24"/>
        </w:rPr>
        <w:t xml:space="preserve">The current official file for the Aircraft Registry is an electronic based record system.  This applies to maintenance of the records and does not affect the collection of information, which must come from each individual aircraft owner or secured party. We are currently accepting any digitally signed documents through an electronic submission email portal. </w:t>
      </w:r>
      <w:r w:rsidR="00F85833">
        <w:rPr>
          <w:sz w:val="24"/>
          <w:szCs w:val="24"/>
        </w:rPr>
        <w:t xml:space="preserve">Registry personnel </w:t>
      </w:r>
      <w:r w:rsidR="0095324D">
        <w:rPr>
          <w:sz w:val="24"/>
          <w:szCs w:val="24"/>
        </w:rPr>
        <w:t xml:space="preserve">still have to print </w:t>
      </w:r>
      <w:r w:rsidRPr="00D613FC">
        <w:rPr>
          <w:sz w:val="24"/>
          <w:szCs w:val="24"/>
        </w:rPr>
        <w:t>and electronically scan</w:t>
      </w:r>
      <w:r w:rsidR="0095324D">
        <w:rPr>
          <w:sz w:val="24"/>
          <w:szCs w:val="24"/>
        </w:rPr>
        <w:t xml:space="preserve"> the documents</w:t>
      </w:r>
      <w:r w:rsidRPr="00D613FC">
        <w:rPr>
          <w:sz w:val="24"/>
          <w:szCs w:val="24"/>
        </w:rPr>
        <w:t xml:space="preserve"> into a work packet for examination.</w:t>
      </w:r>
    </w:p>
    <w:p w:rsidRPr="00D613FC" w:rsidR="00D613FC" w:rsidP="00D613FC" w:rsidRDefault="00D613FC" w14:paraId="06DC8AF2" w14:textId="77777777">
      <w:pPr>
        <w:rPr>
          <w:sz w:val="24"/>
          <w:szCs w:val="24"/>
        </w:rPr>
      </w:pPr>
    </w:p>
    <w:p w:rsidRPr="00D613FC" w:rsidR="00D613FC" w:rsidP="00D613FC" w:rsidRDefault="00D613FC" w14:paraId="55CB29F3" w14:textId="77777777">
      <w:pPr>
        <w:rPr>
          <w:sz w:val="24"/>
          <w:szCs w:val="24"/>
        </w:rPr>
      </w:pPr>
      <w:r w:rsidRPr="00D613FC">
        <w:rPr>
          <w:sz w:val="24"/>
          <w:szCs w:val="24"/>
        </w:rPr>
        <w:t>The Aircraft Registry is making great strides towards a fully automated online aircraft registration and recordation system. The new system will allow aircraft registrants and security holders to create an account associated with an aircraft record. This will allow them to fill in their information electronically and upload any forms or supporting information right from their computer. The new system will allow access to other entities depending on the role they play and the information needed. The Aircraft Registry is currently in the Request for Information (RFI) stage in order to choose a vendor for development. The projected implementation is by the end of 2021.</w:t>
      </w:r>
    </w:p>
    <w:p w:rsidR="006D4103" w:rsidP="000C115E" w:rsidRDefault="006D4103" w14:paraId="6E15266B" w14:textId="77777777">
      <w:pPr>
        <w:rPr>
          <w:sz w:val="24"/>
          <w:szCs w:val="24"/>
        </w:rPr>
      </w:pPr>
    </w:p>
    <w:p w:rsidR="006D4103" w:rsidP="000C115E" w:rsidRDefault="006D4103" w14:paraId="3C6FBA3A" w14:textId="77777777">
      <w:pPr>
        <w:rPr>
          <w:sz w:val="24"/>
          <w:szCs w:val="24"/>
        </w:rPr>
      </w:pPr>
    </w:p>
    <w:p w:rsidRPr="00C80010" w:rsidR="006D4103" w:rsidP="002E6D69" w:rsidRDefault="00E17CA9" w14:paraId="25481784" w14:textId="77777777">
      <w:pPr>
        <w:rPr>
          <w:b/>
          <w:sz w:val="24"/>
          <w:szCs w:val="24"/>
        </w:rPr>
      </w:pPr>
      <w:r>
        <w:rPr>
          <w:b/>
          <w:sz w:val="24"/>
          <w:szCs w:val="24"/>
        </w:rPr>
        <w:t>4.</w:t>
      </w:r>
      <w:r w:rsidR="00D27687">
        <w:rPr>
          <w:b/>
          <w:sz w:val="24"/>
          <w:szCs w:val="24"/>
        </w:rPr>
        <w:t xml:space="preserve"> </w:t>
      </w:r>
      <w:r w:rsidRPr="00C80010" w:rsidR="006D4103">
        <w:rPr>
          <w:b/>
          <w:sz w:val="24"/>
          <w:szCs w:val="24"/>
        </w:rPr>
        <w:t>Describe efforts to identify duplication.  Show specifically why any similar information already available cannot be used or modified for the purpose described in Item 2</w:t>
      </w:r>
      <w:r w:rsidR="00D27687">
        <w:rPr>
          <w:b/>
          <w:sz w:val="24"/>
          <w:szCs w:val="24"/>
        </w:rPr>
        <w:t xml:space="preserve"> above</w:t>
      </w:r>
      <w:r w:rsidRPr="00C80010" w:rsidR="006D4103">
        <w:rPr>
          <w:b/>
          <w:sz w:val="24"/>
          <w:szCs w:val="24"/>
        </w:rPr>
        <w:t>.</w:t>
      </w:r>
    </w:p>
    <w:p w:rsidR="006D4103" w:rsidP="006D4103" w:rsidRDefault="006D4103" w14:paraId="59BAF1A0" w14:textId="77777777">
      <w:pPr>
        <w:rPr>
          <w:sz w:val="24"/>
          <w:szCs w:val="24"/>
        </w:rPr>
      </w:pPr>
    </w:p>
    <w:p w:rsidR="006D4103" w:rsidP="006D4103" w:rsidRDefault="0027715D" w14:paraId="73D47CAF" w14:textId="77777777">
      <w:pPr>
        <w:rPr>
          <w:sz w:val="24"/>
          <w:szCs w:val="24"/>
        </w:rPr>
      </w:pPr>
      <w:r>
        <w:rPr>
          <w:sz w:val="24"/>
          <w:szCs w:val="24"/>
        </w:rPr>
        <w:t>There is only one Aircraft Registry. N</w:t>
      </w:r>
      <w:r w:rsidR="006D4103">
        <w:rPr>
          <w:sz w:val="24"/>
          <w:szCs w:val="24"/>
        </w:rPr>
        <w:t>o other agency is collecting this information</w:t>
      </w:r>
      <w:r w:rsidR="00651E03">
        <w:rPr>
          <w:sz w:val="24"/>
          <w:szCs w:val="24"/>
        </w:rPr>
        <w:t xml:space="preserve"> or issuing dealer’s certificates</w:t>
      </w:r>
      <w:r w:rsidR="006D4103">
        <w:rPr>
          <w:sz w:val="24"/>
          <w:szCs w:val="24"/>
        </w:rPr>
        <w:t>.</w:t>
      </w:r>
    </w:p>
    <w:p w:rsidR="006D4103" w:rsidP="006D4103" w:rsidRDefault="006D4103" w14:paraId="39C0458D" w14:textId="77777777">
      <w:pPr>
        <w:rPr>
          <w:sz w:val="24"/>
          <w:szCs w:val="24"/>
        </w:rPr>
      </w:pPr>
    </w:p>
    <w:p w:rsidRPr="00C80010" w:rsidR="006D4103" w:rsidP="006D4103" w:rsidRDefault="00E17CA9" w14:paraId="2039155B" w14:textId="77777777">
      <w:pPr>
        <w:rPr>
          <w:b/>
          <w:sz w:val="24"/>
        </w:rPr>
      </w:pPr>
      <w:r>
        <w:rPr>
          <w:b/>
          <w:sz w:val="24"/>
        </w:rPr>
        <w:t>5.</w:t>
      </w:r>
      <w:r w:rsidR="00D27687">
        <w:rPr>
          <w:b/>
          <w:sz w:val="24"/>
        </w:rPr>
        <w:t xml:space="preserve"> </w:t>
      </w:r>
      <w:r w:rsidRPr="00C80010" w:rsidR="006D4103">
        <w:rPr>
          <w:b/>
          <w:sz w:val="24"/>
        </w:rPr>
        <w:t>If the collection of information i</w:t>
      </w:r>
      <w:r w:rsidR="00D27687">
        <w:rPr>
          <w:b/>
          <w:sz w:val="24"/>
        </w:rPr>
        <w:t>nvolves</w:t>
      </w:r>
      <w:r w:rsidRPr="00C80010" w:rsidR="006D4103">
        <w:rPr>
          <w:b/>
          <w:sz w:val="24"/>
        </w:rPr>
        <w:t xml:space="preserve"> small bus</w:t>
      </w:r>
      <w:r w:rsidR="00D27687">
        <w:rPr>
          <w:b/>
          <w:sz w:val="24"/>
        </w:rPr>
        <w:t>inesses or other small entities,</w:t>
      </w:r>
      <w:r w:rsidRPr="00C80010" w:rsidR="006D4103">
        <w:rPr>
          <w:b/>
          <w:sz w:val="24"/>
        </w:rPr>
        <w:t xml:space="preserve"> describe the methods used to minimize burden.</w:t>
      </w:r>
    </w:p>
    <w:p w:rsidR="006D4103" w:rsidP="006D4103" w:rsidRDefault="006D4103" w14:paraId="48F50373" w14:textId="77777777">
      <w:pPr>
        <w:rPr>
          <w:sz w:val="24"/>
        </w:rPr>
      </w:pPr>
    </w:p>
    <w:p w:rsidR="006D4103" w:rsidP="006D4103" w:rsidRDefault="006D4103" w14:paraId="7A921FE0" w14:textId="77777777">
      <w:pPr>
        <w:rPr>
          <w:sz w:val="24"/>
          <w:szCs w:val="24"/>
        </w:rPr>
      </w:pPr>
      <w:r>
        <w:rPr>
          <w:sz w:val="24"/>
          <w:szCs w:val="24"/>
        </w:rPr>
        <w:t xml:space="preserve">The requirements for obtaining a dealer’s certificate are the same for all applicants.  </w:t>
      </w:r>
      <w:r w:rsidR="0027715D">
        <w:rPr>
          <w:sz w:val="24"/>
          <w:szCs w:val="24"/>
        </w:rPr>
        <w:t>W</w:t>
      </w:r>
      <w:r>
        <w:rPr>
          <w:sz w:val="24"/>
          <w:szCs w:val="24"/>
        </w:rPr>
        <w:t>e have kept the burden to a minimum for everyone.</w:t>
      </w:r>
      <w:r>
        <w:rPr>
          <w:sz w:val="24"/>
          <w:szCs w:val="24"/>
        </w:rPr>
        <w:tab/>
      </w:r>
    </w:p>
    <w:p w:rsidR="006D4103" w:rsidP="006D4103" w:rsidRDefault="006D4103" w14:paraId="52DDD10E" w14:textId="77777777">
      <w:pPr>
        <w:rPr>
          <w:sz w:val="24"/>
          <w:szCs w:val="24"/>
        </w:rPr>
      </w:pPr>
    </w:p>
    <w:p w:rsidRPr="00C80010" w:rsidR="006D4103" w:rsidP="006D4103" w:rsidRDefault="006D4103" w14:paraId="22A9E985" w14:textId="77777777">
      <w:pPr>
        <w:rPr>
          <w:b/>
          <w:sz w:val="24"/>
          <w:szCs w:val="24"/>
        </w:rPr>
      </w:pPr>
      <w:r w:rsidRPr="00C80010">
        <w:rPr>
          <w:b/>
          <w:sz w:val="24"/>
          <w:szCs w:val="24"/>
        </w:rPr>
        <w:t xml:space="preserve">6. Describe the consequence to Federal program or policy activities if the collection </w:t>
      </w:r>
      <w:r w:rsidR="00D27687">
        <w:rPr>
          <w:b/>
          <w:sz w:val="24"/>
          <w:szCs w:val="24"/>
        </w:rPr>
        <w:t>is not</w:t>
      </w:r>
      <w:r w:rsidRPr="00C80010">
        <w:rPr>
          <w:b/>
          <w:sz w:val="24"/>
          <w:szCs w:val="24"/>
        </w:rPr>
        <w:t xml:space="preserve"> conducted </w:t>
      </w:r>
      <w:r w:rsidR="00D27687">
        <w:rPr>
          <w:b/>
          <w:sz w:val="24"/>
          <w:szCs w:val="24"/>
        </w:rPr>
        <w:t xml:space="preserve">or is conducted </w:t>
      </w:r>
      <w:r w:rsidRPr="00C80010">
        <w:rPr>
          <w:b/>
          <w:sz w:val="24"/>
          <w:szCs w:val="24"/>
        </w:rPr>
        <w:t>less frequently, as well as any technical or legal obstacles to reducing burden.</w:t>
      </w:r>
    </w:p>
    <w:p w:rsidR="006D4103" w:rsidP="000C115E" w:rsidRDefault="006D4103" w14:paraId="6B704837" w14:textId="77777777">
      <w:pPr>
        <w:rPr>
          <w:sz w:val="24"/>
          <w:szCs w:val="24"/>
        </w:rPr>
      </w:pPr>
    </w:p>
    <w:p w:rsidR="006D4103" w:rsidP="000C115E" w:rsidRDefault="006D4103" w14:paraId="4D8F48F6" w14:textId="77777777">
      <w:pPr>
        <w:rPr>
          <w:sz w:val="24"/>
          <w:szCs w:val="24"/>
        </w:rPr>
      </w:pPr>
      <w:r>
        <w:rPr>
          <w:sz w:val="24"/>
          <w:szCs w:val="24"/>
        </w:rPr>
        <w:t>Dealer’s certificates permit short-t</w:t>
      </w:r>
      <w:r w:rsidR="00651E03">
        <w:rPr>
          <w:sz w:val="24"/>
          <w:szCs w:val="24"/>
        </w:rPr>
        <w:t>erm</w:t>
      </w:r>
      <w:r>
        <w:rPr>
          <w:sz w:val="24"/>
          <w:szCs w:val="24"/>
        </w:rPr>
        <w:t xml:space="preserve"> operation of an aircraft by a </w:t>
      </w:r>
      <w:r w:rsidR="001C4686">
        <w:rPr>
          <w:sz w:val="24"/>
          <w:szCs w:val="24"/>
        </w:rPr>
        <w:t>method, which</w:t>
      </w:r>
      <w:r>
        <w:rPr>
          <w:sz w:val="24"/>
          <w:szCs w:val="24"/>
        </w:rPr>
        <w:t xml:space="preserve"> is less restrictive and less time-consuming than obtaining a permanent </w:t>
      </w:r>
      <w:r w:rsidR="00651E03">
        <w:rPr>
          <w:sz w:val="24"/>
          <w:szCs w:val="24"/>
        </w:rPr>
        <w:t xml:space="preserve">aircraft registration </w:t>
      </w:r>
      <w:r>
        <w:rPr>
          <w:sz w:val="24"/>
          <w:szCs w:val="24"/>
        </w:rPr>
        <w:t xml:space="preserve">certificate.  </w:t>
      </w:r>
      <w:r w:rsidR="001C4686">
        <w:rPr>
          <w:sz w:val="24"/>
          <w:szCs w:val="24"/>
        </w:rPr>
        <w:t xml:space="preserve">Without </w:t>
      </w:r>
      <w:r w:rsidRPr="002E6D69" w:rsidR="0027715D">
        <w:rPr>
          <w:sz w:val="24"/>
          <w:szCs w:val="24"/>
        </w:rPr>
        <w:t xml:space="preserve">this information </w:t>
      </w:r>
      <w:r w:rsidR="001C4686">
        <w:rPr>
          <w:sz w:val="24"/>
          <w:szCs w:val="24"/>
        </w:rPr>
        <w:t>collection</w:t>
      </w:r>
      <w:r w:rsidRPr="002E6D69" w:rsidR="0027715D">
        <w:rPr>
          <w:sz w:val="24"/>
          <w:szCs w:val="24"/>
        </w:rPr>
        <w:t xml:space="preserve">, there would be no basis for issuance of </w:t>
      </w:r>
      <w:r w:rsidR="0027715D">
        <w:rPr>
          <w:sz w:val="24"/>
          <w:szCs w:val="24"/>
        </w:rPr>
        <w:t xml:space="preserve">a </w:t>
      </w:r>
      <w:r w:rsidRPr="002E6D69" w:rsidR="0027715D">
        <w:rPr>
          <w:sz w:val="24"/>
          <w:szCs w:val="24"/>
        </w:rPr>
        <w:t>dealer’s ai</w:t>
      </w:r>
      <w:r w:rsidR="0027715D">
        <w:rPr>
          <w:sz w:val="24"/>
          <w:szCs w:val="24"/>
        </w:rPr>
        <w:t>rcraft registration certificate.</w:t>
      </w:r>
    </w:p>
    <w:p w:rsidR="006D4103" w:rsidP="000C115E" w:rsidRDefault="006D4103" w14:paraId="0CEEDD43" w14:textId="77777777">
      <w:pPr>
        <w:rPr>
          <w:sz w:val="24"/>
          <w:szCs w:val="24"/>
        </w:rPr>
      </w:pPr>
    </w:p>
    <w:p w:rsidR="00D27687" w:rsidP="0031649F" w:rsidRDefault="00C80010" w14:paraId="42AB094A" w14:textId="77777777">
      <w:pPr>
        <w:rPr>
          <w:b/>
          <w:sz w:val="24"/>
        </w:rPr>
      </w:pPr>
      <w:r>
        <w:rPr>
          <w:b/>
          <w:sz w:val="24"/>
        </w:rPr>
        <w:t xml:space="preserve">7. </w:t>
      </w:r>
      <w:r w:rsidRPr="00C80010" w:rsidR="0031649F">
        <w:rPr>
          <w:b/>
          <w:sz w:val="24"/>
        </w:rPr>
        <w:t xml:space="preserve">Explain any circumstances that </w:t>
      </w:r>
      <w:r w:rsidR="00D27687">
        <w:rPr>
          <w:b/>
          <w:sz w:val="24"/>
        </w:rPr>
        <w:t xml:space="preserve">would cause an information </w:t>
      </w:r>
      <w:r w:rsidRPr="00C80010" w:rsidR="0031649F">
        <w:rPr>
          <w:b/>
          <w:sz w:val="24"/>
        </w:rPr>
        <w:t>collection to be conducted in a manner</w:t>
      </w:r>
      <w:r w:rsidR="00D27687">
        <w:rPr>
          <w:b/>
          <w:sz w:val="24"/>
        </w:rPr>
        <w:t>:</w:t>
      </w:r>
    </w:p>
    <w:p w:rsidRPr="00D27687" w:rsidR="00D27687" w:rsidP="00D27687" w:rsidRDefault="00D27687" w14:paraId="36902D55" w14:textId="77777777">
      <w:pPr>
        <w:ind w:left="720"/>
        <w:rPr>
          <w:b/>
          <w:sz w:val="24"/>
        </w:rPr>
      </w:pPr>
      <w:r w:rsidRPr="00D27687">
        <w:rPr>
          <w:b/>
          <w:sz w:val="24"/>
        </w:rPr>
        <w:lastRenderedPageBreak/>
        <w:t>•</w:t>
      </w:r>
      <w:r>
        <w:rPr>
          <w:b/>
          <w:sz w:val="24"/>
        </w:rPr>
        <w:t xml:space="preserve"> </w:t>
      </w:r>
      <w:r w:rsidRPr="00D27687" w:rsidR="00EE7FB4">
        <w:rPr>
          <w:b/>
          <w:sz w:val="24"/>
        </w:rPr>
        <w:t>Requiring</w:t>
      </w:r>
      <w:r w:rsidRPr="00D27687">
        <w:rPr>
          <w:b/>
          <w:sz w:val="24"/>
        </w:rPr>
        <w:t xml:space="preserve"> respondents to report information to the agency more often than quarterly;</w:t>
      </w:r>
    </w:p>
    <w:p w:rsidRPr="00D27687" w:rsidR="00D27687" w:rsidP="00D27687" w:rsidRDefault="00D27687" w14:paraId="5427DA5D" w14:textId="77777777">
      <w:pPr>
        <w:ind w:left="720"/>
        <w:rPr>
          <w:b/>
          <w:sz w:val="24"/>
        </w:rPr>
      </w:pPr>
      <w:r w:rsidRPr="00D27687">
        <w:rPr>
          <w:b/>
          <w:sz w:val="24"/>
        </w:rPr>
        <w:t>•</w:t>
      </w:r>
      <w:r>
        <w:rPr>
          <w:b/>
          <w:sz w:val="24"/>
        </w:rPr>
        <w:t xml:space="preserve"> </w:t>
      </w:r>
      <w:r w:rsidRPr="00D27687">
        <w:rPr>
          <w:b/>
          <w:sz w:val="24"/>
        </w:rPr>
        <w:t>requiring respondents to prepare a written response to a collection of information in fewer than 30 days after receipt of it;</w:t>
      </w:r>
    </w:p>
    <w:p w:rsidRPr="00D27687" w:rsidR="00D27687" w:rsidP="00D27687" w:rsidRDefault="00D27687" w14:paraId="17F0FC60" w14:textId="77777777">
      <w:pPr>
        <w:ind w:left="720"/>
        <w:rPr>
          <w:b/>
          <w:sz w:val="24"/>
        </w:rPr>
      </w:pPr>
      <w:r w:rsidRPr="00D27687">
        <w:rPr>
          <w:b/>
          <w:sz w:val="24"/>
        </w:rPr>
        <w:t>•</w:t>
      </w:r>
      <w:r>
        <w:rPr>
          <w:b/>
          <w:sz w:val="24"/>
        </w:rPr>
        <w:t xml:space="preserve"> </w:t>
      </w:r>
      <w:r w:rsidRPr="00D27687">
        <w:rPr>
          <w:b/>
          <w:sz w:val="24"/>
        </w:rPr>
        <w:t>requiring respondents to submit more than an original and two copies of any document; requiring respondents to retain records, other than health, medical, government contract, grant-in-aid, or tax records, for more than three years;</w:t>
      </w:r>
    </w:p>
    <w:p w:rsidRPr="00D27687" w:rsidR="00D27687" w:rsidP="00D27687" w:rsidRDefault="00D27687" w14:paraId="130EB982" w14:textId="77777777">
      <w:pPr>
        <w:ind w:left="720"/>
        <w:rPr>
          <w:b/>
          <w:sz w:val="24"/>
        </w:rPr>
      </w:pPr>
      <w:r w:rsidRPr="00D27687">
        <w:rPr>
          <w:b/>
          <w:sz w:val="24"/>
        </w:rPr>
        <w:t>•</w:t>
      </w:r>
      <w:r>
        <w:rPr>
          <w:b/>
          <w:sz w:val="24"/>
        </w:rPr>
        <w:t xml:space="preserve"> </w:t>
      </w:r>
      <w:r w:rsidRPr="00D27687" w:rsidR="00EE7FB4">
        <w:rPr>
          <w:b/>
          <w:sz w:val="24"/>
        </w:rPr>
        <w:t>In</w:t>
      </w:r>
      <w:r w:rsidRPr="00D27687">
        <w:rPr>
          <w:b/>
          <w:sz w:val="24"/>
        </w:rPr>
        <w:t xml:space="preserve"> connection with a statistical survey, that is not designed to produce valid and reliable results that can be generalized to the universe of study;</w:t>
      </w:r>
    </w:p>
    <w:p w:rsidRPr="00D27687" w:rsidR="00D27687" w:rsidP="00D27687" w:rsidRDefault="00D27687" w14:paraId="36EF6068" w14:textId="77777777">
      <w:pPr>
        <w:ind w:left="720"/>
        <w:rPr>
          <w:b/>
          <w:sz w:val="24"/>
        </w:rPr>
      </w:pPr>
      <w:r w:rsidRPr="00D27687">
        <w:rPr>
          <w:b/>
          <w:sz w:val="24"/>
        </w:rPr>
        <w:t>•</w:t>
      </w:r>
      <w:r>
        <w:rPr>
          <w:b/>
          <w:sz w:val="24"/>
        </w:rPr>
        <w:t xml:space="preserve"> </w:t>
      </w:r>
      <w:r w:rsidRPr="00D27687">
        <w:rPr>
          <w:b/>
          <w:sz w:val="24"/>
        </w:rPr>
        <w:t>requiring the use of a statistical data classification that has not been reviewed and approved by OMB;</w:t>
      </w:r>
    </w:p>
    <w:p w:rsidRPr="00D27687" w:rsidR="00D27687" w:rsidP="00D27687" w:rsidRDefault="00D27687" w14:paraId="185247C1" w14:textId="77777777">
      <w:pPr>
        <w:ind w:left="720"/>
        <w:rPr>
          <w:b/>
          <w:sz w:val="24"/>
        </w:rPr>
      </w:pPr>
      <w:r w:rsidRPr="00D27687">
        <w:rPr>
          <w:b/>
          <w:sz w:val="24"/>
        </w:rPr>
        <w:t>•</w:t>
      </w:r>
      <w:r>
        <w:rPr>
          <w:b/>
          <w:sz w:val="24"/>
        </w:rPr>
        <w:t xml:space="preserve"> </w:t>
      </w:r>
      <w:r w:rsidRPr="00D27687">
        <w:rPr>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80010" w:rsidR="00D27687" w:rsidP="00D27687" w:rsidRDefault="00D27687" w14:paraId="27978604" w14:textId="77777777">
      <w:pPr>
        <w:ind w:left="720"/>
        <w:rPr>
          <w:b/>
          <w:sz w:val="24"/>
        </w:rPr>
      </w:pPr>
      <w:r w:rsidRPr="00D27687">
        <w:rPr>
          <w:b/>
          <w:sz w:val="24"/>
        </w:rPr>
        <w:t>•</w:t>
      </w:r>
      <w:r>
        <w:rPr>
          <w:b/>
          <w:sz w:val="24"/>
        </w:rPr>
        <w:t xml:space="preserve"> </w:t>
      </w:r>
      <w:r w:rsidRPr="00D27687">
        <w:rPr>
          <w:b/>
          <w:sz w:val="24"/>
        </w:rPr>
        <w:t>requiring respondents to submit proprietary trade secrets, or other confidential information unless the agency can demonstrate that it has instituted procedures to protect the information's confidentiality to the extent permitted by law.</w:t>
      </w:r>
    </w:p>
    <w:p w:rsidR="0031649F" w:rsidP="0031649F" w:rsidRDefault="0031649F" w14:paraId="7AFD0531" w14:textId="77777777">
      <w:pPr>
        <w:rPr>
          <w:sz w:val="24"/>
        </w:rPr>
      </w:pPr>
    </w:p>
    <w:p w:rsidR="006D4103" w:rsidP="000C115E" w:rsidRDefault="001C4686" w14:paraId="57BD1C6A" w14:textId="77777777">
      <w:pPr>
        <w:rPr>
          <w:sz w:val="24"/>
          <w:szCs w:val="24"/>
        </w:rPr>
      </w:pPr>
      <w:r>
        <w:rPr>
          <w:sz w:val="24"/>
          <w:szCs w:val="24"/>
        </w:rPr>
        <w:t>Anyone applying for a dealer certificate mails the original application to the Aircraft Registry. A dealer’s certificate is good for one year from issuance; therefore, the information is collected on an annual basis unless the certificate is not renewed. No proprietary or confidential information is collected.</w:t>
      </w:r>
    </w:p>
    <w:p w:rsidR="0031649F" w:rsidP="000C115E" w:rsidRDefault="0031649F" w14:paraId="0CF7F2D7" w14:textId="77777777">
      <w:pPr>
        <w:rPr>
          <w:sz w:val="24"/>
          <w:szCs w:val="24"/>
        </w:rPr>
      </w:pPr>
    </w:p>
    <w:p w:rsidRPr="00E17CA9" w:rsidR="0031649F" w:rsidP="0031649F" w:rsidRDefault="00D27687" w14:paraId="1F2BDDE7" w14:textId="77777777">
      <w:pPr>
        <w:rPr>
          <w:b/>
          <w:sz w:val="24"/>
        </w:rPr>
      </w:pPr>
      <w:r>
        <w:rPr>
          <w:b/>
          <w:sz w:val="24"/>
        </w:rPr>
        <w:t xml:space="preserve">8. </w:t>
      </w:r>
      <w:r w:rsidRPr="00D27687">
        <w:rPr>
          <w:b/>
          <w:bCs/>
          <w:sz w:val="24"/>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1649F" w:rsidP="000C115E" w:rsidRDefault="0031649F" w14:paraId="70EC9871" w14:textId="77777777">
      <w:pPr>
        <w:rPr>
          <w:sz w:val="24"/>
          <w:szCs w:val="24"/>
        </w:rPr>
      </w:pPr>
    </w:p>
    <w:p w:rsidRPr="00AB670D" w:rsidR="0031649F" w:rsidP="000C115E" w:rsidRDefault="00D27687" w14:paraId="3FA129BA" w14:textId="0648AFB7">
      <w:r w:rsidRPr="00AB670D">
        <w:rPr>
          <w:sz w:val="24"/>
          <w:szCs w:val="24"/>
        </w:rPr>
        <w:t xml:space="preserve">A Federal Register Notice published on </w:t>
      </w:r>
      <w:r w:rsidRPr="00AB670D" w:rsidR="00C92101">
        <w:rPr>
          <w:sz w:val="24"/>
          <w:szCs w:val="24"/>
        </w:rPr>
        <w:t>April 23, 2020</w:t>
      </w:r>
      <w:r w:rsidRPr="00AB670D">
        <w:rPr>
          <w:sz w:val="24"/>
          <w:szCs w:val="24"/>
        </w:rPr>
        <w:t xml:space="preserve"> (</w:t>
      </w:r>
      <w:r w:rsidRPr="00AB670D" w:rsidR="00C92101">
        <w:rPr>
          <w:sz w:val="24"/>
          <w:szCs w:val="24"/>
        </w:rPr>
        <w:t>85 FR 22783</w:t>
      </w:r>
      <w:r w:rsidRPr="00AB670D">
        <w:rPr>
          <w:sz w:val="24"/>
          <w:szCs w:val="24"/>
        </w:rPr>
        <w:t>) solicited public com</w:t>
      </w:r>
      <w:r w:rsidR="00AB670D">
        <w:rPr>
          <w:sz w:val="24"/>
          <w:szCs w:val="24"/>
        </w:rPr>
        <w:t xml:space="preserve">ment. We received one comment. The commenter asked if </w:t>
      </w:r>
      <w:r w:rsidRPr="00AB670D" w:rsidR="00AB670D">
        <w:rPr>
          <w:sz w:val="24"/>
          <w:szCs w:val="24"/>
        </w:rPr>
        <w:t xml:space="preserve">the FAA </w:t>
      </w:r>
      <w:r w:rsidR="00AB670D">
        <w:rPr>
          <w:sz w:val="24"/>
          <w:szCs w:val="24"/>
        </w:rPr>
        <w:t xml:space="preserve">would </w:t>
      </w:r>
      <w:r w:rsidRPr="00AB670D" w:rsidR="00AB670D">
        <w:rPr>
          <w:sz w:val="24"/>
          <w:szCs w:val="24"/>
        </w:rPr>
        <w:t>consider extending the validity period of the Dealer's Certificate to 3 years to align with normal aircraft registrations</w:t>
      </w:r>
      <w:r w:rsidR="00AB670D">
        <w:rPr>
          <w:sz w:val="24"/>
          <w:szCs w:val="24"/>
        </w:rPr>
        <w:t>.</w:t>
      </w:r>
      <w:r w:rsidRPr="00AB670D" w:rsidR="00AB670D">
        <w:rPr>
          <w:sz w:val="24"/>
          <w:szCs w:val="24"/>
        </w:rPr>
        <w:t xml:space="preserve"> </w:t>
      </w:r>
      <w:r w:rsidR="00AB670D">
        <w:rPr>
          <w:sz w:val="24"/>
          <w:szCs w:val="24"/>
        </w:rPr>
        <w:t>FAA regulations only allow a dealer’s certificate to be valid for one year</w:t>
      </w:r>
      <w:r w:rsidR="00B12667">
        <w:rPr>
          <w:sz w:val="24"/>
          <w:szCs w:val="24"/>
        </w:rPr>
        <w:t xml:space="preserve"> and changing the regulation is outside the scope of this notice</w:t>
      </w:r>
      <w:r w:rsidR="00AB670D">
        <w:rPr>
          <w:sz w:val="24"/>
          <w:szCs w:val="24"/>
        </w:rPr>
        <w:t xml:space="preserve">. The commenter also stated the FAA should consider raising its fees, which is </w:t>
      </w:r>
      <w:r w:rsidR="00B12667">
        <w:rPr>
          <w:sz w:val="24"/>
          <w:szCs w:val="24"/>
        </w:rPr>
        <w:t xml:space="preserve">also </w:t>
      </w:r>
      <w:r w:rsidR="00AB670D">
        <w:rPr>
          <w:sz w:val="24"/>
          <w:szCs w:val="24"/>
        </w:rPr>
        <w:t>outside the scope of this notice.</w:t>
      </w:r>
    </w:p>
    <w:p w:rsidR="0031649F" w:rsidP="000C115E" w:rsidRDefault="0031649F" w14:paraId="24CA9605" w14:textId="77777777">
      <w:pPr>
        <w:rPr>
          <w:sz w:val="24"/>
          <w:szCs w:val="24"/>
        </w:rPr>
      </w:pPr>
    </w:p>
    <w:p w:rsidRPr="00E17CA9" w:rsidR="0031649F" w:rsidP="00E17CA9" w:rsidRDefault="00E17CA9" w14:paraId="0AEA024E" w14:textId="77777777">
      <w:pPr>
        <w:rPr>
          <w:b/>
          <w:sz w:val="24"/>
        </w:rPr>
      </w:pPr>
      <w:r>
        <w:rPr>
          <w:b/>
          <w:sz w:val="24"/>
        </w:rPr>
        <w:t xml:space="preserve"> 9. </w:t>
      </w:r>
      <w:r w:rsidRPr="00E17CA9" w:rsidR="0031649F">
        <w:rPr>
          <w:b/>
          <w:sz w:val="24"/>
        </w:rPr>
        <w:t>Explain any decision</w:t>
      </w:r>
      <w:r w:rsidR="00D27687">
        <w:rPr>
          <w:b/>
          <w:sz w:val="24"/>
        </w:rPr>
        <w:t>s</w:t>
      </w:r>
      <w:r w:rsidRPr="00E17CA9" w:rsidR="0031649F">
        <w:rPr>
          <w:b/>
          <w:sz w:val="24"/>
        </w:rPr>
        <w:t xml:space="preserve"> to provide any payment</w:t>
      </w:r>
      <w:r w:rsidR="00D27687">
        <w:rPr>
          <w:b/>
          <w:sz w:val="24"/>
        </w:rPr>
        <w:t>s</w:t>
      </w:r>
      <w:r w:rsidRPr="00E17CA9" w:rsidR="0031649F">
        <w:rPr>
          <w:b/>
          <w:sz w:val="24"/>
        </w:rPr>
        <w:t xml:space="preserve"> or gift to respondents</w:t>
      </w:r>
      <w:r w:rsidR="00D27687">
        <w:rPr>
          <w:b/>
          <w:sz w:val="24"/>
        </w:rPr>
        <w:t>,</w:t>
      </w:r>
      <w:r w:rsidRPr="00E17CA9" w:rsidR="0031649F">
        <w:rPr>
          <w:b/>
          <w:sz w:val="24"/>
        </w:rPr>
        <w:t xml:space="preserve"> other than remuneration of contractors or grantees.</w:t>
      </w:r>
    </w:p>
    <w:p w:rsidR="0031649F" w:rsidP="0031649F" w:rsidRDefault="0031649F" w14:paraId="4E671E8F" w14:textId="77777777">
      <w:pPr>
        <w:rPr>
          <w:sz w:val="24"/>
        </w:rPr>
      </w:pPr>
    </w:p>
    <w:p w:rsidR="0031649F" w:rsidP="0031649F" w:rsidRDefault="0031649F" w14:paraId="650C44F0" w14:textId="77777777">
      <w:pPr>
        <w:rPr>
          <w:sz w:val="24"/>
        </w:rPr>
      </w:pPr>
      <w:r>
        <w:rPr>
          <w:sz w:val="24"/>
        </w:rPr>
        <w:t xml:space="preserve">There is no payment </w:t>
      </w:r>
      <w:r w:rsidR="00A83810">
        <w:rPr>
          <w:sz w:val="24"/>
        </w:rPr>
        <w:t>or gift to respondents</w:t>
      </w:r>
      <w:r>
        <w:rPr>
          <w:sz w:val="24"/>
        </w:rPr>
        <w:t>.</w:t>
      </w:r>
    </w:p>
    <w:p w:rsidR="0031649F" w:rsidP="0031649F" w:rsidRDefault="0031649F" w14:paraId="22BDA818" w14:textId="77777777">
      <w:pPr>
        <w:rPr>
          <w:sz w:val="24"/>
        </w:rPr>
      </w:pPr>
    </w:p>
    <w:p w:rsidRPr="00E17CA9" w:rsidR="0031649F" w:rsidP="0031649F" w:rsidRDefault="00E17CA9" w14:paraId="60E672B0" w14:textId="77777777">
      <w:pPr>
        <w:rPr>
          <w:b/>
          <w:sz w:val="24"/>
        </w:rPr>
      </w:pPr>
      <w:r>
        <w:rPr>
          <w:b/>
          <w:sz w:val="24"/>
        </w:rPr>
        <w:t xml:space="preserve">10. </w:t>
      </w:r>
      <w:r w:rsidRPr="00E17CA9" w:rsidR="0031649F">
        <w:rPr>
          <w:b/>
          <w:sz w:val="24"/>
        </w:rPr>
        <w:t>Describe any assurance of confidentiality provided to respondents and the basis for assurance in statute, regulation, or agency policy</w:t>
      </w:r>
    </w:p>
    <w:p w:rsidR="0031649F" w:rsidP="000C115E" w:rsidRDefault="0031649F" w14:paraId="03CABF34" w14:textId="77777777">
      <w:pPr>
        <w:rPr>
          <w:sz w:val="24"/>
          <w:szCs w:val="24"/>
        </w:rPr>
      </w:pPr>
    </w:p>
    <w:p w:rsidR="0031649F" w:rsidP="000C115E" w:rsidRDefault="0031649F" w14:paraId="1415EBA2" w14:textId="77777777">
      <w:pPr>
        <w:rPr>
          <w:sz w:val="24"/>
          <w:szCs w:val="24"/>
        </w:rPr>
      </w:pPr>
      <w:r>
        <w:rPr>
          <w:sz w:val="24"/>
          <w:szCs w:val="24"/>
        </w:rPr>
        <w:t>Information collected is public information</w:t>
      </w:r>
      <w:r w:rsidR="00A83810">
        <w:rPr>
          <w:sz w:val="24"/>
          <w:szCs w:val="24"/>
        </w:rPr>
        <w:t>. There is n</w:t>
      </w:r>
      <w:r>
        <w:rPr>
          <w:sz w:val="24"/>
          <w:szCs w:val="24"/>
        </w:rPr>
        <w:t xml:space="preserve">o </w:t>
      </w:r>
      <w:r w:rsidR="00A83810">
        <w:rPr>
          <w:sz w:val="24"/>
          <w:szCs w:val="24"/>
        </w:rPr>
        <w:t xml:space="preserve">promise of </w:t>
      </w:r>
      <w:r>
        <w:rPr>
          <w:sz w:val="24"/>
          <w:szCs w:val="24"/>
        </w:rPr>
        <w:t>confidentiality</w:t>
      </w:r>
      <w:r w:rsidR="00A83810">
        <w:rPr>
          <w:sz w:val="24"/>
          <w:szCs w:val="24"/>
        </w:rPr>
        <w:t>.</w:t>
      </w:r>
    </w:p>
    <w:p w:rsidR="00A83810" w:rsidP="000C115E" w:rsidRDefault="00A83810" w14:paraId="27FD731B" w14:textId="77777777">
      <w:pPr>
        <w:rPr>
          <w:sz w:val="24"/>
          <w:szCs w:val="24"/>
        </w:rPr>
      </w:pPr>
    </w:p>
    <w:p w:rsidRPr="00E17CA9" w:rsidR="0031649F" w:rsidP="0031649F" w:rsidRDefault="00E17CA9" w14:paraId="413590B3" w14:textId="77777777">
      <w:pPr>
        <w:rPr>
          <w:b/>
          <w:sz w:val="24"/>
        </w:rPr>
      </w:pPr>
      <w:r>
        <w:rPr>
          <w:b/>
          <w:sz w:val="24"/>
        </w:rPr>
        <w:t xml:space="preserve">11. </w:t>
      </w:r>
      <w:r w:rsidRPr="00E17CA9" w:rsidR="0031649F">
        <w:rPr>
          <w:b/>
          <w:sz w:val="24"/>
        </w:rPr>
        <w:t xml:space="preserve">Provide additional justification for any questions of a sensitive nature, such as sexual behavior and attitudes, religious beliefs, and other matters that are commonly considered private.  </w:t>
      </w:r>
    </w:p>
    <w:p w:rsidR="0031649F" w:rsidP="000C115E" w:rsidRDefault="0031649F" w14:paraId="3EFCFE37" w14:textId="77777777">
      <w:pPr>
        <w:rPr>
          <w:sz w:val="24"/>
          <w:szCs w:val="24"/>
        </w:rPr>
      </w:pPr>
    </w:p>
    <w:p w:rsidR="006D4103" w:rsidP="000C115E" w:rsidRDefault="0031649F" w14:paraId="0AB15FFF" w14:textId="77777777">
      <w:pPr>
        <w:rPr>
          <w:sz w:val="24"/>
          <w:szCs w:val="24"/>
        </w:rPr>
      </w:pPr>
      <w:r>
        <w:rPr>
          <w:sz w:val="24"/>
          <w:szCs w:val="24"/>
        </w:rPr>
        <w:t>There are no questions of a sensitive nature.</w:t>
      </w:r>
    </w:p>
    <w:p w:rsidR="006D4103" w:rsidP="000C115E" w:rsidRDefault="006D4103" w14:paraId="51BC6F36" w14:textId="77777777">
      <w:pPr>
        <w:rPr>
          <w:sz w:val="24"/>
          <w:szCs w:val="24"/>
        </w:rPr>
      </w:pPr>
    </w:p>
    <w:p w:rsidR="0031649F" w:rsidP="0031649F" w:rsidRDefault="00E17CA9" w14:paraId="45033F96" w14:textId="77777777">
      <w:pPr>
        <w:rPr>
          <w:b/>
          <w:sz w:val="24"/>
        </w:rPr>
      </w:pPr>
      <w:r>
        <w:rPr>
          <w:b/>
          <w:sz w:val="24"/>
        </w:rPr>
        <w:t xml:space="preserve">12. </w:t>
      </w:r>
      <w:r w:rsidRPr="00E17CA9" w:rsidR="0031649F">
        <w:rPr>
          <w:b/>
          <w:sz w:val="24"/>
        </w:rPr>
        <w:t>Provide estimate</w:t>
      </w:r>
      <w:r w:rsidR="00D27687">
        <w:rPr>
          <w:b/>
          <w:sz w:val="24"/>
        </w:rPr>
        <w:t>s</w:t>
      </w:r>
      <w:r w:rsidRPr="00E17CA9" w:rsidR="0031649F">
        <w:rPr>
          <w:b/>
          <w:sz w:val="24"/>
        </w:rPr>
        <w:t xml:space="preserve"> of the hour burden of the collection of information.</w:t>
      </w:r>
      <w:r w:rsidR="00D27687">
        <w:rPr>
          <w:b/>
          <w:sz w:val="24"/>
        </w:rPr>
        <w:t xml:space="preserve"> The statement should:</w:t>
      </w:r>
    </w:p>
    <w:p w:rsidRPr="00D27687" w:rsidR="00D27687" w:rsidP="00D27687" w:rsidRDefault="00D27687" w14:paraId="28AB3695" w14:textId="77777777">
      <w:pPr>
        <w:ind w:left="720"/>
        <w:rPr>
          <w:b/>
          <w:sz w:val="24"/>
        </w:rPr>
      </w:pPr>
      <w:r w:rsidRPr="00D27687">
        <w:rPr>
          <w:b/>
          <w:sz w:val="24"/>
        </w:rPr>
        <w:t>•</w:t>
      </w:r>
      <w:r>
        <w:rPr>
          <w:b/>
          <w:sz w:val="24"/>
        </w:rPr>
        <w:t xml:space="preserve"> </w:t>
      </w:r>
      <w:r w:rsidRPr="00D27687">
        <w:rPr>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Pr="00E17CA9" w:rsidR="00D27687" w:rsidP="00D27687" w:rsidRDefault="00D27687" w14:paraId="4B59CAD8" w14:textId="77777777">
      <w:pPr>
        <w:ind w:left="720"/>
        <w:rPr>
          <w:b/>
          <w:sz w:val="24"/>
        </w:rPr>
      </w:pPr>
      <w:r w:rsidRPr="00D27687">
        <w:rPr>
          <w:b/>
          <w:sz w:val="24"/>
        </w:rPr>
        <w:t>•</w:t>
      </w:r>
      <w:r>
        <w:rPr>
          <w:b/>
          <w:sz w:val="24"/>
        </w:rPr>
        <w:t xml:space="preserve"> </w:t>
      </w:r>
      <w:r w:rsidRPr="00D27687">
        <w:rPr>
          <w:b/>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31649F" w:rsidP="0031649F" w:rsidRDefault="0031649F" w14:paraId="4EC79CB4" w14:textId="77777777">
      <w:pPr>
        <w:rPr>
          <w:sz w:val="24"/>
        </w:rPr>
      </w:pPr>
    </w:p>
    <w:p w:rsidR="0031649F" w:rsidP="000C115E" w:rsidRDefault="0079354C" w14:paraId="5AD3963B" w14:textId="77777777">
      <w:pPr>
        <w:rPr>
          <w:sz w:val="24"/>
          <w:szCs w:val="24"/>
        </w:rPr>
      </w:pPr>
      <w:r>
        <w:rPr>
          <w:sz w:val="24"/>
          <w:szCs w:val="24"/>
        </w:rPr>
        <w:t xml:space="preserve">The hour burden information is based on statistical information collected each fiscal year. The information in this statement is from </w:t>
      </w:r>
      <w:r w:rsidR="00C80010">
        <w:rPr>
          <w:sz w:val="24"/>
          <w:szCs w:val="24"/>
        </w:rPr>
        <w:t>FY</w:t>
      </w:r>
      <w:r>
        <w:rPr>
          <w:sz w:val="24"/>
          <w:szCs w:val="24"/>
        </w:rPr>
        <w:t>19. In FY19,</w:t>
      </w:r>
      <w:r w:rsidRPr="00171A9C" w:rsidR="0031649F">
        <w:rPr>
          <w:sz w:val="24"/>
          <w:szCs w:val="24"/>
        </w:rPr>
        <w:t xml:space="preserve"> </w:t>
      </w:r>
      <w:r>
        <w:rPr>
          <w:sz w:val="24"/>
          <w:szCs w:val="24"/>
        </w:rPr>
        <w:t>3</w:t>
      </w:r>
      <w:r w:rsidR="00DA07B4">
        <w:rPr>
          <w:sz w:val="24"/>
          <w:szCs w:val="24"/>
        </w:rPr>
        <w:t>,</w:t>
      </w:r>
      <w:r>
        <w:rPr>
          <w:sz w:val="24"/>
          <w:szCs w:val="24"/>
        </w:rPr>
        <w:t>670</w:t>
      </w:r>
      <w:r w:rsidR="00C80010">
        <w:rPr>
          <w:sz w:val="24"/>
          <w:szCs w:val="24"/>
        </w:rPr>
        <w:t xml:space="preserve"> applications for </w:t>
      </w:r>
      <w:r w:rsidRPr="00171A9C" w:rsidR="0031649F">
        <w:rPr>
          <w:sz w:val="24"/>
          <w:szCs w:val="24"/>
        </w:rPr>
        <w:t>dealer’s certificates</w:t>
      </w:r>
      <w:r w:rsidR="00C80010">
        <w:rPr>
          <w:sz w:val="24"/>
          <w:szCs w:val="24"/>
        </w:rPr>
        <w:t xml:space="preserve"> </w:t>
      </w:r>
      <w:r w:rsidR="00B01D9B">
        <w:rPr>
          <w:sz w:val="24"/>
          <w:szCs w:val="24"/>
        </w:rPr>
        <w:t>were</w:t>
      </w:r>
      <w:r w:rsidR="00C80010">
        <w:rPr>
          <w:sz w:val="24"/>
          <w:szCs w:val="24"/>
        </w:rPr>
        <w:t xml:space="preserve"> filed</w:t>
      </w:r>
      <w:r w:rsidRPr="00171A9C" w:rsidR="0031649F">
        <w:rPr>
          <w:sz w:val="24"/>
          <w:szCs w:val="24"/>
        </w:rPr>
        <w:t xml:space="preserve">.  Each dealer </w:t>
      </w:r>
      <w:r w:rsidR="00B01D9B">
        <w:rPr>
          <w:sz w:val="24"/>
          <w:szCs w:val="24"/>
        </w:rPr>
        <w:t>should</w:t>
      </w:r>
      <w:r w:rsidRPr="00171A9C" w:rsidR="0031649F">
        <w:rPr>
          <w:sz w:val="24"/>
          <w:szCs w:val="24"/>
        </w:rPr>
        <w:t xml:space="preserve"> spend approximately </w:t>
      </w:r>
      <w:r w:rsidR="00DA07B4">
        <w:rPr>
          <w:sz w:val="24"/>
          <w:szCs w:val="24"/>
        </w:rPr>
        <w:t>30 minutes (.5</w:t>
      </w:r>
      <w:r w:rsidRPr="00171A9C" w:rsidR="0031649F">
        <w:rPr>
          <w:sz w:val="24"/>
          <w:szCs w:val="24"/>
        </w:rPr>
        <w:t xml:space="preserve"> hour</w:t>
      </w:r>
      <w:r w:rsidR="00FD0139">
        <w:rPr>
          <w:sz w:val="24"/>
          <w:szCs w:val="24"/>
        </w:rPr>
        <w:t>s</w:t>
      </w:r>
      <w:r w:rsidR="00C80010">
        <w:rPr>
          <w:sz w:val="24"/>
          <w:szCs w:val="24"/>
        </w:rPr>
        <w:t>)</w:t>
      </w:r>
      <w:r w:rsidRPr="00171A9C" w:rsidR="0031649F">
        <w:rPr>
          <w:sz w:val="24"/>
          <w:szCs w:val="24"/>
        </w:rPr>
        <w:t xml:space="preserve"> </w:t>
      </w:r>
      <w:r w:rsidR="00C80010">
        <w:rPr>
          <w:sz w:val="24"/>
          <w:szCs w:val="24"/>
        </w:rPr>
        <w:t>completing</w:t>
      </w:r>
      <w:r w:rsidRPr="00171A9C" w:rsidR="0031649F">
        <w:rPr>
          <w:sz w:val="24"/>
          <w:szCs w:val="24"/>
        </w:rPr>
        <w:t xml:space="preserve"> </w:t>
      </w:r>
      <w:r w:rsidRPr="00171A9C" w:rsidR="00171A9C">
        <w:rPr>
          <w:sz w:val="24"/>
          <w:szCs w:val="24"/>
        </w:rPr>
        <w:t>the</w:t>
      </w:r>
      <w:r w:rsidRPr="00171A9C" w:rsidR="0031649F">
        <w:rPr>
          <w:sz w:val="24"/>
          <w:szCs w:val="24"/>
        </w:rPr>
        <w:t xml:space="preserve"> application </w:t>
      </w:r>
      <w:r w:rsidR="00B01D9B">
        <w:rPr>
          <w:sz w:val="24"/>
          <w:szCs w:val="24"/>
        </w:rPr>
        <w:t>for a total hour b</w:t>
      </w:r>
      <w:r w:rsidR="00DA07B4">
        <w:rPr>
          <w:sz w:val="24"/>
          <w:szCs w:val="24"/>
        </w:rPr>
        <w:t xml:space="preserve">urden of </w:t>
      </w:r>
      <w:r>
        <w:rPr>
          <w:sz w:val="24"/>
          <w:szCs w:val="24"/>
        </w:rPr>
        <w:t>1,835</w:t>
      </w:r>
      <w:r w:rsidR="00B01D9B">
        <w:rPr>
          <w:sz w:val="24"/>
          <w:szCs w:val="24"/>
        </w:rPr>
        <w:t xml:space="preserve"> hours.</w:t>
      </w:r>
    </w:p>
    <w:p w:rsidR="0082310E" w:rsidP="000C115E" w:rsidRDefault="0082310E" w14:paraId="02374468" w14:textId="77777777">
      <w:pPr>
        <w:rPr>
          <w:sz w:val="24"/>
          <w:szCs w:val="24"/>
        </w:rPr>
      </w:pPr>
    </w:p>
    <w:tbl>
      <w:tblPr>
        <w:tblW w:w="6176" w:type="dxa"/>
        <w:tblLook w:val="04A0" w:firstRow="1" w:lastRow="0" w:firstColumn="1" w:lastColumn="0" w:noHBand="0" w:noVBand="1"/>
      </w:tblPr>
      <w:tblGrid>
        <w:gridCol w:w="1900"/>
        <w:gridCol w:w="1118"/>
        <w:gridCol w:w="1579"/>
        <w:gridCol w:w="1579"/>
      </w:tblGrid>
      <w:tr w:rsidRPr="0082310E" w:rsidR="0082310E" w:rsidTr="004D49C1" w14:paraId="57D7B0BB"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2310E" w:rsidR="0082310E" w:rsidP="0082310E" w:rsidRDefault="0082310E" w14:paraId="1D47FDA2" w14:textId="77777777">
            <w:pPr>
              <w:overflowPunct/>
              <w:autoSpaceDE/>
              <w:autoSpaceDN/>
              <w:adjustRightInd/>
              <w:textAlignment w:val="auto"/>
              <w:rPr>
                <w:rFonts w:cs="Calibri" w:asciiTheme="minorHAnsi" w:hAnsiTheme="minorHAnsi" w:eastAsiaTheme="minorHAnsi"/>
                <w:color w:val="000000"/>
                <w:sz w:val="22"/>
                <w:szCs w:val="22"/>
              </w:rPr>
            </w:pPr>
            <w:r w:rsidRPr="0082310E">
              <w:rPr>
                <w:rFonts w:cs="Calibri" w:asciiTheme="minorHAnsi" w:hAnsiTheme="minorHAnsi" w:eastAsiaTheme="minorHAnsi"/>
                <w:color w:val="000000"/>
                <w:sz w:val="22"/>
                <w:szCs w:val="22"/>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82310E" w:rsidR="0082310E" w:rsidP="0082310E" w:rsidRDefault="0082310E" w14:paraId="6DD9FE00" w14:textId="77777777">
            <w:pPr>
              <w:overflowPunct/>
              <w:autoSpaceDE/>
              <w:autoSpaceDN/>
              <w:adjustRightInd/>
              <w:textAlignment w:val="auto"/>
              <w:rPr>
                <w:rFonts w:cs="Calibri" w:asciiTheme="minorHAnsi" w:hAnsiTheme="minorHAnsi" w:eastAsiaTheme="minorHAnsi"/>
                <w:b/>
                <w:bCs/>
                <w:color w:val="000000"/>
                <w:sz w:val="22"/>
                <w:szCs w:val="22"/>
              </w:rPr>
            </w:pPr>
            <w:r w:rsidRPr="0082310E">
              <w:rPr>
                <w:rFonts w:cs="Calibri" w:asciiTheme="minorHAnsi" w:hAnsiTheme="minorHAnsi" w:eastAsiaTheme="minorHAnsi"/>
                <w:b/>
                <w:bCs/>
                <w:color w:val="000000"/>
                <w:sz w:val="22"/>
                <w:szCs w:val="22"/>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82310E" w:rsidR="0082310E" w:rsidP="0082310E" w:rsidRDefault="0082310E" w14:paraId="5EF24826" w14:textId="77777777">
            <w:pPr>
              <w:overflowPunct/>
              <w:autoSpaceDE/>
              <w:autoSpaceDN/>
              <w:adjustRightInd/>
              <w:textAlignment w:val="auto"/>
              <w:rPr>
                <w:rFonts w:cs="Calibri" w:asciiTheme="minorHAnsi" w:hAnsiTheme="minorHAnsi" w:eastAsiaTheme="minorHAnsi"/>
                <w:b/>
                <w:bCs/>
                <w:color w:val="000000"/>
                <w:sz w:val="22"/>
                <w:szCs w:val="22"/>
              </w:rPr>
            </w:pPr>
            <w:r w:rsidRPr="0082310E">
              <w:rPr>
                <w:rFonts w:cs="Calibri" w:asciiTheme="minorHAnsi" w:hAnsiTheme="minorHAnsi" w:eastAsiaTheme="minorHAnsi"/>
                <w:b/>
                <w:bCs/>
                <w:color w:val="000000"/>
                <w:sz w:val="22"/>
                <w:szCs w:val="22"/>
              </w:rPr>
              <w:t>Recordkeeping</w:t>
            </w:r>
          </w:p>
        </w:tc>
        <w:tc>
          <w:tcPr>
            <w:tcW w:w="1579" w:type="dxa"/>
            <w:tcBorders>
              <w:top w:val="single" w:color="auto" w:sz="4" w:space="0"/>
              <w:left w:val="nil"/>
              <w:bottom w:val="single" w:color="auto" w:sz="4" w:space="0"/>
              <w:right w:val="single" w:color="auto" w:sz="4" w:space="0"/>
            </w:tcBorders>
            <w:vAlign w:val="bottom"/>
          </w:tcPr>
          <w:p w:rsidRPr="0082310E" w:rsidR="0082310E" w:rsidP="0082310E" w:rsidRDefault="0082310E" w14:paraId="0FC6C747" w14:textId="77777777">
            <w:pPr>
              <w:overflowPunct/>
              <w:autoSpaceDE/>
              <w:autoSpaceDN/>
              <w:adjustRightInd/>
              <w:textAlignment w:val="auto"/>
              <w:rPr>
                <w:rFonts w:cs="Calibri" w:asciiTheme="minorHAnsi" w:hAnsiTheme="minorHAnsi" w:eastAsiaTheme="minorHAnsi"/>
                <w:b/>
                <w:bCs/>
                <w:color w:val="000000"/>
                <w:sz w:val="22"/>
                <w:szCs w:val="22"/>
              </w:rPr>
            </w:pPr>
            <w:r w:rsidRPr="0082310E">
              <w:rPr>
                <w:rFonts w:cs="Calibri" w:asciiTheme="minorHAnsi" w:hAnsiTheme="minorHAnsi" w:eastAsiaTheme="minorHAnsi"/>
                <w:b/>
                <w:bCs/>
                <w:color w:val="000000"/>
                <w:sz w:val="22"/>
                <w:szCs w:val="22"/>
              </w:rPr>
              <w:t>Disclosure</w:t>
            </w:r>
          </w:p>
        </w:tc>
      </w:tr>
      <w:tr w:rsidRPr="0082310E" w:rsidR="0082310E" w:rsidTr="004D49C1" w14:paraId="70264BD3"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82310E" w:rsidR="0082310E" w:rsidP="0082310E" w:rsidRDefault="0082310E" w14:paraId="08A3C9C8" w14:textId="77777777">
            <w:pPr>
              <w:overflowPunct/>
              <w:autoSpaceDE/>
              <w:autoSpaceDN/>
              <w:adjustRightInd/>
              <w:textAlignment w:val="auto"/>
              <w:rPr>
                <w:rFonts w:cs="Calibri" w:asciiTheme="minorHAnsi" w:hAnsiTheme="minorHAnsi" w:eastAsiaTheme="minorHAnsi"/>
                <w:b/>
                <w:bCs/>
                <w:color w:val="000000"/>
                <w:sz w:val="22"/>
                <w:szCs w:val="22"/>
              </w:rPr>
            </w:pPr>
            <w:r w:rsidRPr="0082310E">
              <w:rPr>
                <w:rFonts w:cs="Calibri" w:asciiTheme="minorHAnsi" w:hAnsiTheme="minorHAnsi" w:eastAsiaTheme="minorHAnsi"/>
                <w:b/>
                <w:bCs/>
                <w:color w:val="000000"/>
                <w:sz w:val="22"/>
                <w:szCs w:val="22"/>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82310E" w:rsidR="0082310E" w:rsidP="0082310E" w:rsidRDefault="0079354C" w14:paraId="0E80BAF3" w14:textId="77777777">
            <w:pPr>
              <w:overflowPunct/>
              <w:autoSpaceDE/>
              <w:autoSpaceDN/>
              <w:adjustRightInd/>
              <w:textAlignment w:val="auto"/>
              <w:rPr>
                <w:rFonts w:cs="Calibri" w:asciiTheme="minorHAnsi" w:hAnsiTheme="minorHAnsi" w:eastAsiaTheme="minorHAnsi"/>
                <w:color w:val="000000"/>
                <w:sz w:val="22"/>
                <w:szCs w:val="22"/>
              </w:rPr>
            </w:pPr>
            <w:r>
              <w:rPr>
                <w:rFonts w:cs="Calibri" w:asciiTheme="minorHAnsi" w:hAnsiTheme="minorHAnsi" w:eastAsiaTheme="minorHAnsi"/>
                <w:color w:val="000000"/>
                <w:sz w:val="22"/>
                <w:szCs w:val="22"/>
              </w:rPr>
              <w:t>3,670</w:t>
            </w:r>
          </w:p>
        </w:tc>
        <w:tc>
          <w:tcPr>
            <w:tcW w:w="1579" w:type="dxa"/>
            <w:tcBorders>
              <w:top w:val="nil"/>
              <w:left w:val="nil"/>
              <w:bottom w:val="single" w:color="auto" w:sz="4" w:space="0"/>
              <w:right w:val="single" w:color="auto" w:sz="4" w:space="0"/>
            </w:tcBorders>
            <w:shd w:val="clear" w:color="auto" w:fill="auto"/>
            <w:noWrap/>
            <w:vAlign w:val="bottom"/>
          </w:tcPr>
          <w:p w:rsidRPr="0082310E" w:rsidR="0082310E" w:rsidP="0082310E" w:rsidRDefault="0082310E" w14:paraId="7B90C614" w14:textId="77777777">
            <w:pPr>
              <w:overflowPunct/>
              <w:autoSpaceDE/>
              <w:autoSpaceDN/>
              <w:adjustRightInd/>
              <w:textAlignment w:val="auto"/>
              <w:rPr>
                <w:rFonts w:cs="Calibri" w:asciiTheme="minorHAnsi" w:hAnsiTheme="minorHAnsi" w:eastAsiaTheme="minorHAnsi"/>
                <w:color w:val="000000"/>
                <w:sz w:val="22"/>
                <w:szCs w:val="22"/>
              </w:rPr>
            </w:pPr>
          </w:p>
        </w:tc>
        <w:tc>
          <w:tcPr>
            <w:tcW w:w="1579" w:type="dxa"/>
            <w:tcBorders>
              <w:top w:val="nil"/>
              <w:left w:val="nil"/>
              <w:bottom w:val="single" w:color="auto" w:sz="4" w:space="0"/>
              <w:right w:val="single" w:color="auto" w:sz="4" w:space="0"/>
            </w:tcBorders>
          </w:tcPr>
          <w:p w:rsidRPr="0082310E" w:rsidR="0082310E" w:rsidP="0082310E" w:rsidRDefault="0082310E" w14:paraId="7C0BEA3E" w14:textId="77777777">
            <w:pPr>
              <w:overflowPunct/>
              <w:autoSpaceDE/>
              <w:autoSpaceDN/>
              <w:adjustRightInd/>
              <w:textAlignment w:val="auto"/>
              <w:rPr>
                <w:rFonts w:cs="Calibri" w:asciiTheme="minorHAnsi" w:hAnsiTheme="minorHAnsi" w:eastAsiaTheme="minorHAnsi"/>
                <w:color w:val="000000"/>
                <w:sz w:val="22"/>
                <w:szCs w:val="22"/>
              </w:rPr>
            </w:pPr>
          </w:p>
        </w:tc>
      </w:tr>
      <w:tr w:rsidRPr="0082310E" w:rsidR="0082310E" w:rsidTr="004D49C1" w14:paraId="56B799E5"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82310E" w:rsidR="0082310E" w:rsidP="0082310E" w:rsidRDefault="0082310E" w14:paraId="0837CEDF" w14:textId="77777777">
            <w:pPr>
              <w:overflowPunct/>
              <w:autoSpaceDE/>
              <w:autoSpaceDN/>
              <w:adjustRightInd/>
              <w:textAlignment w:val="auto"/>
              <w:rPr>
                <w:rFonts w:cs="Calibri" w:asciiTheme="minorHAnsi" w:hAnsiTheme="minorHAnsi" w:eastAsiaTheme="minorHAnsi"/>
                <w:b/>
                <w:bCs/>
                <w:color w:val="000000"/>
                <w:sz w:val="22"/>
                <w:szCs w:val="22"/>
              </w:rPr>
            </w:pPr>
            <w:r w:rsidRPr="0082310E">
              <w:rPr>
                <w:rFonts w:cs="Calibri" w:asciiTheme="minorHAnsi" w:hAnsiTheme="minorHAnsi" w:eastAsiaTheme="minorHAnsi"/>
                <w:b/>
                <w:bCs/>
                <w:color w:val="000000"/>
                <w:sz w:val="22"/>
                <w:szCs w:val="22"/>
              </w:rPr>
              <w:t># of Responses</w:t>
            </w:r>
            <w:r w:rsidRPr="0082310E">
              <w:rPr>
                <w:rFonts w:cs="Calibri" w:asciiTheme="minorHAnsi" w:hAnsiTheme="minorHAnsi" w:eastAsiaTheme="minorHAnsi"/>
                <w:b/>
                <w:bCs/>
                <w:noProof/>
                <w:color w:val="000000"/>
                <w:sz w:val="22"/>
                <w:szCs w:val="22"/>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82310E" w:rsidR="0082310E" w:rsidP="0082310E" w:rsidRDefault="0079354C" w14:paraId="6008062B" w14:textId="77777777">
            <w:pPr>
              <w:overflowPunct/>
              <w:autoSpaceDE/>
              <w:autoSpaceDN/>
              <w:adjustRightInd/>
              <w:textAlignment w:val="auto"/>
              <w:rPr>
                <w:rFonts w:cs="Calibri" w:asciiTheme="minorHAnsi" w:hAnsiTheme="minorHAnsi" w:eastAsiaTheme="minorHAnsi"/>
                <w:color w:val="000000"/>
                <w:sz w:val="22"/>
                <w:szCs w:val="22"/>
              </w:rPr>
            </w:pPr>
            <w:r>
              <w:rPr>
                <w:rFonts w:cs="Calibri" w:asciiTheme="minorHAnsi" w:hAnsiTheme="minorHAnsi" w:eastAsiaTheme="minorHAnsi"/>
                <w:color w:val="000000"/>
                <w:sz w:val="22"/>
                <w:szCs w:val="22"/>
              </w:rPr>
              <w:t>1</w:t>
            </w:r>
          </w:p>
        </w:tc>
        <w:tc>
          <w:tcPr>
            <w:tcW w:w="1579" w:type="dxa"/>
            <w:tcBorders>
              <w:top w:val="nil"/>
              <w:left w:val="nil"/>
              <w:bottom w:val="single" w:color="auto" w:sz="4" w:space="0"/>
              <w:right w:val="single" w:color="auto" w:sz="4" w:space="0"/>
            </w:tcBorders>
            <w:shd w:val="clear" w:color="auto" w:fill="auto"/>
            <w:noWrap/>
            <w:vAlign w:val="bottom"/>
          </w:tcPr>
          <w:p w:rsidRPr="0082310E" w:rsidR="0082310E" w:rsidP="0082310E" w:rsidRDefault="0082310E" w14:paraId="2EE19290" w14:textId="77777777">
            <w:pPr>
              <w:overflowPunct/>
              <w:autoSpaceDE/>
              <w:autoSpaceDN/>
              <w:adjustRightInd/>
              <w:textAlignment w:val="auto"/>
              <w:rPr>
                <w:rFonts w:cs="Calibri" w:asciiTheme="minorHAnsi" w:hAnsiTheme="minorHAnsi" w:eastAsiaTheme="minorHAnsi"/>
                <w:color w:val="000000"/>
                <w:sz w:val="22"/>
                <w:szCs w:val="22"/>
              </w:rPr>
            </w:pPr>
          </w:p>
        </w:tc>
        <w:tc>
          <w:tcPr>
            <w:tcW w:w="1579" w:type="dxa"/>
            <w:tcBorders>
              <w:top w:val="nil"/>
              <w:left w:val="nil"/>
              <w:bottom w:val="single" w:color="auto" w:sz="4" w:space="0"/>
              <w:right w:val="single" w:color="auto" w:sz="4" w:space="0"/>
            </w:tcBorders>
          </w:tcPr>
          <w:p w:rsidRPr="0082310E" w:rsidR="0082310E" w:rsidP="0082310E" w:rsidRDefault="0082310E" w14:paraId="1EC06A38" w14:textId="77777777">
            <w:pPr>
              <w:overflowPunct/>
              <w:autoSpaceDE/>
              <w:autoSpaceDN/>
              <w:adjustRightInd/>
              <w:textAlignment w:val="auto"/>
              <w:rPr>
                <w:rFonts w:cs="Calibri" w:asciiTheme="minorHAnsi" w:hAnsiTheme="minorHAnsi" w:eastAsiaTheme="minorHAnsi"/>
                <w:color w:val="000000"/>
                <w:sz w:val="22"/>
                <w:szCs w:val="22"/>
              </w:rPr>
            </w:pPr>
          </w:p>
        </w:tc>
      </w:tr>
      <w:tr w:rsidRPr="0082310E" w:rsidR="0082310E" w:rsidTr="004D49C1" w14:paraId="216DD754"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82310E" w:rsidR="0082310E" w:rsidP="0082310E" w:rsidRDefault="0082310E" w14:paraId="5C97BED5" w14:textId="77777777">
            <w:pPr>
              <w:overflowPunct/>
              <w:autoSpaceDE/>
              <w:autoSpaceDN/>
              <w:adjustRightInd/>
              <w:textAlignment w:val="auto"/>
              <w:rPr>
                <w:rFonts w:cs="Calibri" w:asciiTheme="minorHAnsi" w:hAnsiTheme="minorHAnsi" w:eastAsiaTheme="minorHAnsi"/>
                <w:b/>
                <w:bCs/>
                <w:color w:val="000000"/>
                <w:sz w:val="22"/>
                <w:szCs w:val="22"/>
              </w:rPr>
            </w:pPr>
            <w:r w:rsidRPr="0082310E">
              <w:rPr>
                <w:rFonts w:cs="Calibri" w:asciiTheme="minorHAnsi" w:hAnsiTheme="minorHAnsi" w:eastAsiaTheme="minorHAnsi"/>
                <w:b/>
                <w:bCs/>
                <w:color w:val="000000"/>
                <w:sz w:val="22"/>
                <w:szCs w:val="22"/>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82310E" w:rsidR="0082310E" w:rsidP="0082310E" w:rsidRDefault="0079354C" w14:paraId="4480C6A6" w14:textId="77777777">
            <w:pPr>
              <w:overflowPunct/>
              <w:autoSpaceDE/>
              <w:autoSpaceDN/>
              <w:adjustRightInd/>
              <w:textAlignment w:val="auto"/>
              <w:rPr>
                <w:rFonts w:cs="Calibri" w:asciiTheme="minorHAnsi" w:hAnsiTheme="minorHAnsi" w:eastAsiaTheme="minorHAnsi"/>
                <w:color w:val="000000"/>
                <w:sz w:val="22"/>
                <w:szCs w:val="22"/>
              </w:rPr>
            </w:pPr>
            <w:r>
              <w:rPr>
                <w:rFonts w:cs="Calibri" w:asciiTheme="minorHAnsi" w:hAnsiTheme="minorHAnsi" w:eastAsiaTheme="minorHAnsi"/>
                <w:color w:val="000000"/>
                <w:sz w:val="22"/>
                <w:szCs w:val="22"/>
              </w:rPr>
              <w:t>.5 hours</w:t>
            </w:r>
          </w:p>
        </w:tc>
        <w:tc>
          <w:tcPr>
            <w:tcW w:w="1579" w:type="dxa"/>
            <w:tcBorders>
              <w:top w:val="nil"/>
              <w:left w:val="nil"/>
              <w:bottom w:val="single" w:color="auto" w:sz="4" w:space="0"/>
              <w:right w:val="single" w:color="auto" w:sz="4" w:space="0"/>
            </w:tcBorders>
            <w:shd w:val="clear" w:color="auto" w:fill="auto"/>
            <w:noWrap/>
            <w:vAlign w:val="bottom"/>
          </w:tcPr>
          <w:p w:rsidRPr="0082310E" w:rsidR="0082310E" w:rsidP="0082310E" w:rsidRDefault="0082310E" w14:paraId="1B519CE8" w14:textId="77777777">
            <w:pPr>
              <w:overflowPunct/>
              <w:autoSpaceDE/>
              <w:autoSpaceDN/>
              <w:adjustRightInd/>
              <w:textAlignment w:val="auto"/>
              <w:rPr>
                <w:rFonts w:cs="Calibri" w:asciiTheme="minorHAnsi" w:hAnsiTheme="minorHAnsi" w:eastAsiaTheme="minorHAnsi"/>
                <w:color w:val="000000"/>
                <w:sz w:val="22"/>
                <w:szCs w:val="22"/>
              </w:rPr>
            </w:pPr>
          </w:p>
        </w:tc>
        <w:tc>
          <w:tcPr>
            <w:tcW w:w="1579" w:type="dxa"/>
            <w:tcBorders>
              <w:top w:val="nil"/>
              <w:left w:val="nil"/>
              <w:bottom w:val="single" w:color="auto" w:sz="4" w:space="0"/>
              <w:right w:val="single" w:color="auto" w:sz="4" w:space="0"/>
            </w:tcBorders>
          </w:tcPr>
          <w:p w:rsidRPr="0082310E" w:rsidR="0082310E" w:rsidP="0082310E" w:rsidRDefault="0082310E" w14:paraId="24FD3884" w14:textId="77777777">
            <w:pPr>
              <w:overflowPunct/>
              <w:autoSpaceDE/>
              <w:autoSpaceDN/>
              <w:adjustRightInd/>
              <w:textAlignment w:val="auto"/>
              <w:rPr>
                <w:rFonts w:cs="Calibri" w:asciiTheme="minorHAnsi" w:hAnsiTheme="minorHAnsi" w:eastAsiaTheme="minorHAnsi"/>
                <w:color w:val="000000"/>
                <w:sz w:val="22"/>
                <w:szCs w:val="22"/>
              </w:rPr>
            </w:pPr>
          </w:p>
        </w:tc>
      </w:tr>
      <w:tr w:rsidRPr="0082310E" w:rsidR="0082310E" w:rsidTr="004D49C1" w14:paraId="4ED710FA"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82310E" w:rsidR="0082310E" w:rsidP="0082310E" w:rsidRDefault="0082310E" w14:paraId="0DEA6DE9" w14:textId="77777777">
            <w:pPr>
              <w:overflowPunct/>
              <w:autoSpaceDE/>
              <w:autoSpaceDN/>
              <w:adjustRightInd/>
              <w:textAlignment w:val="auto"/>
              <w:rPr>
                <w:rFonts w:cs="Calibri" w:asciiTheme="minorHAnsi" w:hAnsiTheme="minorHAnsi" w:eastAsiaTheme="minorHAnsi"/>
                <w:b/>
                <w:bCs/>
                <w:color w:val="000000"/>
                <w:sz w:val="22"/>
                <w:szCs w:val="22"/>
              </w:rPr>
            </w:pPr>
            <w:r w:rsidRPr="0082310E">
              <w:rPr>
                <w:rFonts w:cs="Calibri" w:asciiTheme="minorHAnsi" w:hAnsiTheme="minorHAnsi" w:eastAsiaTheme="minorHAnsi"/>
                <w:b/>
                <w:bCs/>
                <w:color w:val="000000"/>
                <w:sz w:val="22"/>
                <w:szCs w:val="22"/>
              </w:rPr>
              <w:lastRenderedPageBreak/>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82310E" w:rsidR="0082310E" w:rsidP="0082310E" w:rsidRDefault="0079354C" w14:paraId="7587468D" w14:textId="77777777">
            <w:pPr>
              <w:overflowPunct/>
              <w:autoSpaceDE/>
              <w:autoSpaceDN/>
              <w:adjustRightInd/>
              <w:textAlignment w:val="auto"/>
              <w:rPr>
                <w:rFonts w:cs="Calibri" w:asciiTheme="minorHAnsi" w:hAnsiTheme="minorHAnsi" w:eastAsiaTheme="minorHAnsi"/>
                <w:color w:val="000000"/>
                <w:sz w:val="22"/>
                <w:szCs w:val="22"/>
              </w:rPr>
            </w:pPr>
            <w:r>
              <w:rPr>
                <w:rFonts w:cs="Calibri" w:asciiTheme="minorHAnsi" w:hAnsiTheme="minorHAnsi" w:eastAsiaTheme="minorHAnsi"/>
                <w:color w:val="000000"/>
                <w:sz w:val="22"/>
                <w:szCs w:val="22"/>
              </w:rPr>
              <w:t>3,670</w:t>
            </w:r>
          </w:p>
        </w:tc>
        <w:tc>
          <w:tcPr>
            <w:tcW w:w="1579" w:type="dxa"/>
            <w:tcBorders>
              <w:top w:val="nil"/>
              <w:left w:val="nil"/>
              <w:bottom w:val="single" w:color="auto" w:sz="4" w:space="0"/>
              <w:right w:val="single" w:color="auto" w:sz="4" w:space="0"/>
            </w:tcBorders>
            <w:shd w:val="clear" w:color="auto" w:fill="auto"/>
            <w:noWrap/>
            <w:vAlign w:val="bottom"/>
          </w:tcPr>
          <w:p w:rsidRPr="0082310E" w:rsidR="0082310E" w:rsidP="0082310E" w:rsidRDefault="0082310E" w14:paraId="61AA974A" w14:textId="77777777">
            <w:pPr>
              <w:overflowPunct/>
              <w:autoSpaceDE/>
              <w:autoSpaceDN/>
              <w:adjustRightInd/>
              <w:textAlignment w:val="auto"/>
              <w:rPr>
                <w:rFonts w:cs="Calibri" w:asciiTheme="minorHAnsi" w:hAnsiTheme="minorHAnsi" w:eastAsiaTheme="minorHAnsi"/>
                <w:color w:val="000000"/>
                <w:sz w:val="22"/>
                <w:szCs w:val="22"/>
              </w:rPr>
            </w:pPr>
          </w:p>
        </w:tc>
        <w:tc>
          <w:tcPr>
            <w:tcW w:w="1579" w:type="dxa"/>
            <w:tcBorders>
              <w:top w:val="nil"/>
              <w:left w:val="nil"/>
              <w:bottom w:val="single" w:color="auto" w:sz="4" w:space="0"/>
              <w:right w:val="single" w:color="auto" w:sz="4" w:space="0"/>
            </w:tcBorders>
          </w:tcPr>
          <w:p w:rsidRPr="0082310E" w:rsidR="0082310E" w:rsidP="0082310E" w:rsidRDefault="0082310E" w14:paraId="687AECB0" w14:textId="77777777">
            <w:pPr>
              <w:overflowPunct/>
              <w:autoSpaceDE/>
              <w:autoSpaceDN/>
              <w:adjustRightInd/>
              <w:textAlignment w:val="auto"/>
              <w:rPr>
                <w:rFonts w:cs="Calibri" w:asciiTheme="minorHAnsi" w:hAnsiTheme="minorHAnsi" w:eastAsiaTheme="minorHAnsi"/>
                <w:color w:val="000000"/>
                <w:sz w:val="22"/>
                <w:szCs w:val="22"/>
              </w:rPr>
            </w:pPr>
          </w:p>
        </w:tc>
      </w:tr>
      <w:tr w:rsidRPr="0082310E" w:rsidR="0082310E" w:rsidTr="004D49C1" w14:paraId="741E8145"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82310E" w:rsidR="0082310E" w:rsidP="0082310E" w:rsidRDefault="0082310E" w14:paraId="2BB31605" w14:textId="77777777">
            <w:pPr>
              <w:overflowPunct/>
              <w:autoSpaceDE/>
              <w:autoSpaceDN/>
              <w:adjustRightInd/>
              <w:textAlignment w:val="auto"/>
              <w:rPr>
                <w:rFonts w:cs="Calibri" w:asciiTheme="minorHAnsi" w:hAnsiTheme="minorHAnsi" w:eastAsiaTheme="minorHAnsi"/>
                <w:b/>
                <w:bCs/>
                <w:color w:val="000000"/>
                <w:sz w:val="22"/>
                <w:szCs w:val="22"/>
              </w:rPr>
            </w:pPr>
            <w:r w:rsidRPr="0082310E">
              <w:rPr>
                <w:rFonts w:cs="Calibri" w:asciiTheme="minorHAnsi" w:hAnsiTheme="minorHAnsi" w:eastAsiaTheme="minorHAnsi"/>
                <w:b/>
                <w:bCs/>
                <w:color w:val="000000"/>
                <w:sz w:val="22"/>
                <w:szCs w:val="22"/>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82310E" w:rsidR="0082310E" w:rsidP="0082310E" w:rsidRDefault="0079354C" w14:paraId="1060976F" w14:textId="77777777">
            <w:pPr>
              <w:overflowPunct/>
              <w:autoSpaceDE/>
              <w:autoSpaceDN/>
              <w:adjustRightInd/>
              <w:textAlignment w:val="auto"/>
              <w:rPr>
                <w:rFonts w:cs="Calibri" w:asciiTheme="minorHAnsi" w:hAnsiTheme="minorHAnsi" w:eastAsiaTheme="minorHAnsi"/>
                <w:color w:val="000000"/>
                <w:sz w:val="22"/>
                <w:szCs w:val="22"/>
              </w:rPr>
            </w:pPr>
            <w:r>
              <w:rPr>
                <w:rFonts w:cs="Calibri" w:asciiTheme="minorHAnsi" w:hAnsiTheme="minorHAnsi" w:eastAsiaTheme="minorHAnsi"/>
                <w:color w:val="000000"/>
                <w:sz w:val="22"/>
                <w:szCs w:val="22"/>
              </w:rPr>
              <w:t>1,835</w:t>
            </w:r>
          </w:p>
        </w:tc>
        <w:tc>
          <w:tcPr>
            <w:tcW w:w="1579" w:type="dxa"/>
            <w:tcBorders>
              <w:top w:val="nil"/>
              <w:left w:val="nil"/>
              <w:bottom w:val="single" w:color="auto" w:sz="4" w:space="0"/>
              <w:right w:val="single" w:color="auto" w:sz="4" w:space="0"/>
            </w:tcBorders>
            <w:shd w:val="clear" w:color="auto" w:fill="auto"/>
            <w:noWrap/>
            <w:vAlign w:val="bottom"/>
          </w:tcPr>
          <w:p w:rsidRPr="0082310E" w:rsidR="0082310E" w:rsidP="0082310E" w:rsidRDefault="0082310E" w14:paraId="649E3A17" w14:textId="77777777">
            <w:pPr>
              <w:overflowPunct/>
              <w:autoSpaceDE/>
              <w:autoSpaceDN/>
              <w:adjustRightInd/>
              <w:textAlignment w:val="auto"/>
              <w:rPr>
                <w:rFonts w:cs="Calibri" w:asciiTheme="minorHAnsi" w:hAnsiTheme="minorHAnsi" w:eastAsiaTheme="minorHAnsi"/>
                <w:color w:val="000000"/>
                <w:sz w:val="22"/>
                <w:szCs w:val="22"/>
              </w:rPr>
            </w:pPr>
          </w:p>
        </w:tc>
        <w:tc>
          <w:tcPr>
            <w:tcW w:w="1579" w:type="dxa"/>
            <w:tcBorders>
              <w:top w:val="nil"/>
              <w:left w:val="nil"/>
              <w:bottom w:val="single" w:color="auto" w:sz="4" w:space="0"/>
              <w:right w:val="single" w:color="auto" w:sz="4" w:space="0"/>
            </w:tcBorders>
          </w:tcPr>
          <w:p w:rsidRPr="0082310E" w:rsidR="0082310E" w:rsidP="0082310E" w:rsidRDefault="0082310E" w14:paraId="25276A1C" w14:textId="77777777">
            <w:pPr>
              <w:overflowPunct/>
              <w:autoSpaceDE/>
              <w:autoSpaceDN/>
              <w:adjustRightInd/>
              <w:textAlignment w:val="auto"/>
              <w:rPr>
                <w:rFonts w:cs="Calibri" w:asciiTheme="minorHAnsi" w:hAnsiTheme="minorHAnsi" w:eastAsiaTheme="minorHAnsi"/>
                <w:color w:val="000000"/>
                <w:sz w:val="22"/>
                <w:szCs w:val="22"/>
              </w:rPr>
            </w:pPr>
          </w:p>
        </w:tc>
      </w:tr>
    </w:tbl>
    <w:p w:rsidR="0082310E" w:rsidP="000C115E" w:rsidRDefault="0082310E" w14:paraId="515230BF" w14:textId="34C04A72">
      <w:pPr>
        <w:rPr>
          <w:sz w:val="24"/>
          <w:szCs w:val="24"/>
        </w:rPr>
      </w:pPr>
    </w:p>
    <w:p w:rsidR="00B57133" w:rsidP="00B57133" w:rsidRDefault="00022B78" w14:paraId="30DB473A" w14:textId="77777777">
      <w:pPr>
        <w:tabs>
          <w:tab w:val="left" w:pos="-720"/>
        </w:tabs>
        <w:suppressAutoHyphens/>
        <w:overflowPunct/>
        <w:autoSpaceDE/>
        <w:autoSpaceDN/>
        <w:adjustRightInd/>
        <w:textAlignment w:val="auto"/>
        <w:rPr>
          <w:bCs/>
          <w:sz w:val="24"/>
        </w:rPr>
      </w:pPr>
      <w:r w:rsidRPr="00F04356">
        <w:rPr>
          <w:sz w:val="24"/>
          <w:szCs w:val="24"/>
        </w:rPr>
        <w:t xml:space="preserve">Based upon the U.S. Bureau of Labor Statistics Occupational Handbook the estimated median wage for a </w:t>
      </w:r>
      <w:r w:rsidR="005037D5">
        <w:rPr>
          <w:sz w:val="24"/>
          <w:szCs w:val="24"/>
        </w:rPr>
        <w:t xml:space="preserve">Manufacturing Sales Representative </w:t>
      </w:r>
      <w:r w:rsidRPr="00F04356">
        <w:rPr>
          <w:sz w:val="24"/>
          <w:szCs w:val="24"/>
        </w:rPr>
        <w:t>is $</w:t>
      </w:r>
      <w:r w:rsidR="005037D5">
        <w:rPr>
          <w:sz w:val="24"/>
          <w:szCs w:val="24"/>
        </w:rPr>
        <w:t>44.70</w:t>
      </w:r>
      <w:r w:rsidRPr="00F04356">
        <w:rPr>
          <w:sz w:val="24"/>
          <w:szCs w:val="24"/>
        </w:rPr>
        <w:t xml:space="preserve"> per hour.</w:t>
      </w:r>
      <w:r w:rsidRPr="00F04356">
        <w:rPr>
          <w:rStyle w:val="FootnoteReference"/>
          <w:sz w:val="24"/>
          <w:szCs w:val="24"/>
        </w:rPr>
        <w:footnoteReference w:id="1"/>
      </w:r>
      <w:r w:rsidRPr="00F04356">
        <w:rPr>
          <w:sz w:val="24"/>
          <w:szCs w:val="24"/>
        </w:rPr>
        <w:t xml:space="preserve"> Using BLS's Employer Costs for Employee Compensation memo released September 17, 2019,</w:t>
      </w:r>
      <w:r w:rsidRPr="00F04356">
        <w:rPr>
          <w:rStyle w:val="FootnoteReference"/>
          <w:sz w:val="24"/>
          <w:szCs w:val="24"/>
        </w:rPr>
        <w:footnoteReference w:id="2"/>
      </w:r>
      <w:r w:rsidRPr="00F04356">
        <w:rPr>
          <w:sz w:val="24"/>
          <w:szCs w:val="24"/>
        </w:rPr>
        <w:t xml:space="preserve"> the FAA calculated the mean hourly wage, plus benefits, for the</w:t>
      </w:r>
      <w:r w:rsidRPr="005037D5" w:rsidR="005037D5">
        <w:rPr>
          <w:sz w:val="24"/>
          <w:szCs w:val="24"/>
        </w:rPr>
        <w:t>se managers to be $</w:t>
      </w:r>
      <w:r w:rsidR="005037D5">
        <w:rPr>
          <w:sz w:val="24"/>
          <w:szCs w:val="24"/>
        </w:rPr>
        <w:t>65.16</w:t>
      </w:r>
      <w:r w:rsidRPr="005037D5" w:rsidR="005037D5">
        <w:rPr>
          <w:sz w:val="24"/>
          <w:szCs w:val="24"/>
        </w:rPr>
        <w:t xml:space="preserve"> (</w:t>
      </w:r>
      <w:r w:rsidR="005037D5">
        <w:rPr>
          <w:sz w:val="24"/>
          <w:szCs w:val="24"/>
        </w:rPr>
        <w:t>$</w:t>
      </w:r>
      <w:r w:rsidRPr="005037D5" w:rsidR="005037D5">
        <w:rPr>
          <w:sz w:val="24"/>
          <w:szCs w:val="24"/>
        </w:rPr>
        <w:t>44.70</w:t>
      </w:r>
      <w:r w:rsidRPr="00F04356">
        <w:rPr>
          <w:sz w:val="24"/>
          <w:szCs w:val="24"/>
        </w:rPr>
        <w:t xml:space="preserve"> + $</w:t>
      </w:r>
      <w:r w:rsidR="005037D5">
        <w:rPr>
          <w:sz w:val="24"/>
          <w:szCs w:val="24"/>
        </w:rPr>
        <w:t>20.46</w:t>
      </w:r>
      <w:r w:rsidRPr="00F04356">
        <w:rPr>
          <w:sz w:val="24"/>
          <w:szCs w:val="24"/>
        </w:rPr>
        <w:t xml:space="preserve">). The total estimated annual cost burden to the respondents is </w:t>
      </w:r>
      <w:r w:rsidR="006131C5">
        <w:rPr>
          <w:sz w:val="24"/>
          <w:szCs w:val="24"/>
        </w:rPr>
        <w:t>1,835</w:t>
      </w:r>
      <w:r w:rsidRPr="00F04356">
        <w:rPr>
          <w:sz w:val="24"/>
          <w:szCs w:val="24"/>
        </w:rPr>
        <w:t xml:space="preserve"> X $</w:t>
      </w:r>
      <w:r w:rsidR="00333EDD">
        <w:rPr>
          <w:sz w:val="24"/>
          <w:szCs w:val="24"/>
        </w:rPr>
        <w:t>65.16</w:t>
      </w:r>
      <w:r w:rsidR="006131C5">
        <w:rPr>
          <w:sz w:val="24"/>
          <w:szCs w:val="24"/>
        </w:rPr>
        <w:t xml:space="preserve"> </w:t>
      </w:r>
      <w:r w:rsidRPr="00F04356">
        <w:rPr>
          <w:sz w:val="24"/>
          <w:szCs w:val="24"/>
        </w:rPr>
        <w:t>for a total annual cost of about $</w:t>
      </w:r>
      <w:r w:rsidR="005037D5">
        <w:rPr>
          <w:sz w:val="24"/>
          <w:szCs w:val="24"/>
        </w:rPr>
        <w:t>119,569</w:t>
      </w:r>
      <w:r w:rsidRPr="00F04356">
        <w:rPr>
          <w:sz w:val="24"/>
          <w:szCs w:val="24"/>
        </w:rPr>
        <w:t>.</w:t>
      </w:r>
      <w:r w:rsidRPr="00B57133" w:rsidR="00B57133">
        <w:rPr>
          <w:bCs/>
          <w:sz w:val="24"/>
        </w:rPr>
        <w:t xml:space="preserve"> </w:t>
      </w:r>
    </w:p>
    <w:p w:rsidR="00B57133" w:rsidP="00B57133" w:rsidRDefault="00B57133" w14:paraId="5B48B202" w14:textId="77777777">
      <w:pPr>
        <w:tabs>
          <w:tab w:val="left" w:pos="-720"/>
        </w:tabs>
        <w:suppressAutoHyphens/>
        <w:overflowPunct/>
        <w:autoSpaceDE/>
        <w:autoSpaceDN/>
        <w:adjustRightInd/>
        <w:textAlignment w:val="auto"/>
        <w:rPr>
          <w:bCs/>
          <w:sz w:val="24"/>
        </w:rPr>
      </w:pPr>
    </w:p>
    <w:p w:rsidRPr="007D5220" w:rsidR="00B57133" w:rsidP="00B57133" w:rsidRDefault="00B57133" w14:paraId="17F167E4" w14:textId="674849EB">
      <w:pPr>
        <w:tabs>
          <w:tab w:val="left" w:pos="-720"/>
        </w:tabs>
        <w:suppressAutoHyphens/>
        <w:overflowPunct/>
        <w:autoSpaceDE/>
        <w:autoSpaceDN/>
        <w:adjustRightInd/>
        <w:textAlignment w:val="auto"/>
        <w:rPr>
          <w:bCs/>
          <w:sz w:val="24"/>
        </w:rPr>
      </w:pPr>
      <w:r>
        <w:rPr>
          <w:bCs/>
          <w:sz w:val="24"/>
        </w:rPr>
        <w:t>There are no additional overhead costs that would be incurred on this collection.</w:t>
      </w:r>
    </w:p>
    <w:p w:rsidR="00022B78" w:rsidP="00022B78" w:rsidRDefault="00022B78" w14:paraId="7B29BD85" w14:textId="659EAE98">
      <w:pPr>
        <w:tabs>
          <w:tab w:val="left" w:pos="-720"/>
        </w:tabs>
        <w:suppressAutoHyphens/>
        <w:rPr>
          <w:sz w:val="24"/>
          <w:szCs w:val="24"/>
        </w:rPr>
      </w:pPr>
    </w:p>
    <w:p w:rsidR="0031649F" w:rsidP="000C115E" w:rsidRDefault="0031649F" w14:paraId="5924F2D1" w14:textId="0EE1D750">
      <w:pPr>
        <w:rPr>
          <w:sz w:val="24"/>
          <w:szCs w:val="24"/>
        </w:rPr>
      </w:pPr>
    </w:p>
    <w:p w:rsidRPr="00E17CA9" w:rsidR="0031649F" w:rsidP="000C115E" w:rsidRDefault="00E17CA9" w14:paraId="7984172F" w14:textId="77777777">
      <w:pPr>
        <w:rPr>
          <w:b/>
          <w:sz w:val="24"/>
        </w:rPr>
      </w:pPr>
      <w:r>
        <w:rPr>
          <w:b/>
          <w:sz w:val="24"/>
        </w:rPr>
        <w:t xml:space="preserve">13. </w:t>
      </w:r>
      <w:r w:rsidRPr="00E17CA9" w:rsidR="0031649F">
        <w:rPr>
          <w:b/>
          <w:sz w:val="24"/>
        </w:rPr>
        <w:t>Provide an estimate of the total annual cost burden to respondents or record keepers resulting from the collection of information.</w:t>
      </w:r>
    </w:p>
    <w:p w:rsidR="0031649F" w:rsidP="000C115E" w:rsidRDefault="0031649F" w14:paraId="5B7A6F6B" w14:textId="77777777">
      <w:pPr>
        <w:rPr>
          <w:sz w:val="24"/>
          <w:szCs w:val="24"/>
        </w:rPr>
      </w:pPr>
    </w:p>
    <w:p w:rsidR="000B62A7" w:rsidP="000C115E" w:rsidRDefault="0083254C" w14:paraId="581BD140" w14:textId="63F47338">
      <w:pPr>
        <w:rPr>
          <w:sz w:val="24"/>
          <w:szCs w:val="24"/>
        </w:rPr>
      </w:pPr>
      <w:r>
        <w:rPr>
          <w:sz w:val="24"/>
          <w:szCs w:val="24"/>
        </w:rPr>
        <w:t>There are no additional costs to the respondent.</w:t>
      </w:r>
      <w:r w:rsidR="00B01D9B">
        <w:rPr>
          <w:sz w:val="24"/>
          <w:szCs w:val="24"/>
        </w:rPr>
        <w:t xml:space="preserve"> </w:t>
      </w:r>
    </w:p>
    <w:p w:rsidR="00B01D9B" w:rsidP="000C115E" w:rsidRDefault="00B01D9B" w14:paraId="3E3775C4" w14:textId="77777777">
      <w:pPr>
        <w:rPr>
          <w:sz w:val="24"/>
          <w:szCs w:val="24"/>
        </w:rPr>
      </w:pPr>
    </w:p>
    <w:p w:rsidRPr="00E17CA9" w:rsidR="000B62A7" w:rsidP="000C115E" w:rsidRDefault="00E17CA9" w14:paraId="70ADC128" w14:textId="77777777">
      <w:pPr>
        <w:rPr>
          <w:b/>
          <w:sz w:val="24"/>
        </w:rPr>
      </w:pPr>
      <w:r>
        <w:rPr>
          <w:b/>
          <w:sz w:val="24"/>
        </w:rPr>
        <w:t xml:space="preserve">14. </w:t>
      </w:r>
      <w:r w:rsidRPr="00E17CA9" w:rsidR="000B62A7">
        <w:rPr>
          <w:b/>
          <w:sz w:val="24"/>
        </w:rPr>
        <w:t>Provide estimates of annualized cost to the Federal government.</w:t>
      </w:r>
      <w:r w:rsidR="00D27687">
        <w:rPr>
          <w:b/>
          <w:sz w:val="24"/>
        </w:rPr>
        <w:t xml:space="preserve"> </w:t>
      </w:r>
      <w:r w:rsidRPr="00D27687" w:rsidR="00D27687">
        <w:rPr>
          <w:b/>
          <w:bCs/>
          <w:sz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E17CA9" w:rsidR="000B62A7">
        <w:rPr>
          <w:b/>
          <w:sz w:val="24"/>
        </w:rPr>
        <w:t xml:space="preserve">  </w:t>
      </w:r>
    </w:p>
    <w:p w:rsidR="00E17CA9" w:rsidP="000C115E" w:rsidRDefault="00E17CA9" w14:paraId="54D81D62" w14:textId="77777777">
      <w:pPr>
        <w:rPr>
          <w:sz w:val="24"/>
          <w:szCs w:val="24"/>
        </w:rPr>
      </w:pPr>
    </w:p>
    <w:p w:rsidRPr="00E01B85" w:rsidR="00E01B85" w:rsidP="00E01B85" w:rsidRDefault="00E01B85" w14:paraId="01EC0A34" w14:textId="77777777">
      <w:pPr>
        <w:tabs>
          <w:tab w:val="left" w:pos="-720"/>
        </w:tabs>
        <w:suppressAutoHyphens/>
        <w:overflowPunct/>
        <w:autoSpaceDE/>
        <w:autoSpaceDN/>
        <w:adjustRightInd/>
        <w:textAlignment w:val="auto"/>
        <w:rPr>
          <w:bCs/>
          <w:sz w:val="24"/>
        </w:rPr>
      </w:pPr>
      <w:r w:rsidRPr="00E01B85">
        <w:rPr>
          <w:bCs/>
          <w:sz w:val="24"/>
        </w:rPr>
        <w:t>The Registry uses the average hourly rate of a Legal Instruments Examiner and different levels of Contract Clerks used at each stage of processing</w:t>
      </w:r>
      <w:r>
        <w:rPr>
          <w:bCs/>
          <w:sz w:val="24"/>
        </w:rPr>
        <w:t xml:space="preserve"> to determine the wage rate</w:t>
      </w:r>
      <w:r w:rsidRPr="00E01B85">
        <w:rPr>
          <w:bCs/>
          <w:sz w:val="24"/>
        </w:rPr>
        <w:t>.</w:t>
      </w:r>
    </w:p>
    <w:p w:rsidRPr="00022B78" w:rsidR="00E01B85" w:rsidP="007D5220" w:rsidRDefault="00E01B85" w14:paraId="575018F3" w14:textId="2CFCE10C">
      <w:pPr>
        <w:tabs>
          <w:tab w:val="left" w:pos="-720"/>
        </w:tabs>
        <w:suppressAutoHyphens/>
        <w:overflowPunct/>
        <w:autoSpaceDE/>
        <w:autoSpaceDN/>
        <w:adjustRightInd/>
        <w:textAlignment w:val="auto"/>
        <w:rPr>
          <w:bCs/>
          <w:sz w:val="24"/>
          <w:szCs w:val="24"/>
        </w:rPr>
      </w:pPr>
    </w:p>
    <w:p w:rsidRPr="00F04356" w:rsidR="00022B78" w:rsidP="00022B78" w:rsidRDefault="00022B78" w14:paraId="65CBF113" w14:textId="77777777">
      <w:pPr>
        <w:tabs>
          <w:tab w:val="left" w:pos="-720"/>
        </w:tabs>
        <w:suppressAutoHyphens/>
        <w:rPr>
          <w:color w:val="000000"/>
          <w:sz w:val="24"/>
          <w:szCs w:val="24"/>
        </w:rPr>
      </w:pPr>
      <w:r w:rsidRPr="00F04356">
        <w:rPr>
          <w:color w:val="000000"/>
          <w:sz w:val="24"/>
          <w:szCs w:val="24"/>
        </w:rPr>
        <w:t>The Office of Management and Budget (OMB) guidance for civilian federal employees determined that the full fringe benefit cost factor is 36.25%.</w:t>
      </w:r>
      <w:r w:rsidRPr="00F04356">
        <w:rPr>
          <w:rStyle w:val="FootnoteReference"/>
          <w:color w:val="000000"/>
          <w:sz w:val="24"/>
          <w:szCs w:val="24"/>
        </w:rPr>
        <w:footnoteReference w:id="3"/>
      </w:r>
      <w:r w:rsidRPr="00F04356">
        <w:rPr>
          <w:color w:val="000000"/>
          <w:sz w:val="24"/>
          <w:szCs w:val="24"/>
        </w:rPr>
        <w:t xml:space="preserve">   Using OMB's guidance, the FAA calculated the mean hourly wage, plus benefits, for a: </w:t>
      </w:r>
    </w:p>
    <w:p w:rsidRPr="00F04356" w:rsidR="00022B78" w:rsidP="00022B78" w:rsidRDefault="00022B78" w14:paraId="5BEC4BE1" w14:textId="77777777">
      <w:pPr>
        <w:pStyle w:val="ListParagraph"/>
        <w:numPr>
          <w:ilvl w:val="0"/>
          <w:numId w:val="5"/>
        </w:numPr>
        <w:tabs>
          <w:tab w:val="left" w:pos="-720"/>
        </w:tabs>
        <w:suppressAutoHyphens/>
        <w:overflowPunct/>
        <w:autoSpaceDE/>
        <w:autoSpaceDN/>
        <w:adjustRightInd/>
        <w:textAlignment w:val="auto"/>
        <w:rPr>
          <w:bCs/>
          <w:sz w:val="24"/>
          <w:szCs w:val="24"/>
        </w:rPr>
      </w:pPr>
      <w:r w:rsidRPr="00F04356">
        <w:rPr>
          <w:bCs/>
          <w:sz w:val="24"/>
          <w:szCs w:val="24"/>
        </w:rPr>
        <w:t>Government Legal Instruments Examiner</w:t>
      </w:r>
      <w:r w:rsidRPr="00F04356">
        <w:rPr>
          <w:color w:val="000000"/>
          <w:sz w:val="24"/>
          <w:szCs w:val="24"/>
        </w:rPr>
        <w:t xml:space="preserve"> to be $42.57 ($27.14 + $15.43),</w:t>
      </w:r>
    </w:p>
    <w:p w:rsidRPr="00F04356" w:rsidR="00022B78" w:rsidP="00022B78" w:rsidRDefault="00022B78" w14:paraId="1327D8BF" w14:textId="77777777">
      <w:pPr>
        <w:pStyle w:val="ListParagraph"/>
        <w:numPr>
          <w:ilvl w:val="0"/>
          <w:numId w:val="5"/>
        </w:numPr>
        <w:tabs>
          <w:tab w:val="left" w:pos="-720"/>
        </w:tabs>
        <w:suppressAutoHyphens/>
        <w:overflowPunct/>
        <w:autoSpaceDE/>
        <w:autoSpaceDN/>
        <w:adjustRightInd/>
        <w:textAlignment w:val="auto"/>
        <w:rPr>
          <w:bCs/>
          <w:sz w:val="24"/>
          <w:szCs w:val="24"/>
        </w:rPr>
      </w:pPr>
      <w:r w:rsidRPr="00F04356">
        <w:rPr>
          <w:bCs/>
          <w:sz w:val="24"/>
          <w:szCs w:val="24"/>
        </w:rPr>
        <w:t>Contract Clerk (Print/File/Mail/Scan) wage rate to be $31.97 ($20.38 + 11.59), and</w:t>
      </w:r>
    </w:p>
    <w:p w:rsidRPr="00F04356" w:rsidR="00022B78" w:rsidP="00022B78" w:rsidRDefault="00022B78" w14:paraId="7AB2E156" w14:textId="77777777">
      <w:pPr>
        <w:pStyle w:val="ListParagraph"/>
        <w:numPr>
          <w:ilvl w:val="0"/>
          <w:numId w:val="5"/>
        </w:numPr>
        <w:tabs>
          <w:tab w:val="left" w:pos="-720"/>
        </w:tabs>
        <w:suppressAutoHyphens/>
        <w:overflowPunct/>
        <w:autoSpaceDE/>
        <w:autoSpaceDN/>
        <w:adjustRightInd/>
        <w:textAlignment w:val="auto"/>
        <w:rPr>
          <w:bCs/>
          <w:sz w:val="24"/>
          <w:szCs w:val="24"/>
        </w:rPr>
      </w:pPr>
      <w:r w:rsidRPr="00F04356">
        <w:rPr>
          <w:bCs/>
          <w:sz w:val="24"/>
          <w:szCs w:val="24"/>
        </w:rPr>
        <w:t>Contract Clerk (Prep/Index) wage rate to be $41.00 ($26.14 + 14.86).</w:t>
      </w:r>
    </w:p>
    <w:p w:rsidRPr="00022B78" w:rsidR="00022B78" w:rsidP="007D5220" w:rsidRDefault="00022B78" w14:paraId="7C525170" w14:textId="77777777">
      <w:pPr>
        <w:tabs>
          <w:tab w:val="left" w:pos="-720"/>
        </w:tabs>
        <w:suppressAutoHyphens/>
        <w:overflowPunct/>
        <w:autoSpaceDE/>
        <w:autoSpaceDN/>
        <w:adjustRightInd/>
        <w:textAlignment w:val="auto"/>
        <w:rPr>
          <w:bCs/>
          <w:sz w:val="24"/>
          <w:szCs w:val="24"/>
        </w:rPr>
      </w:pPr>
    </w:p>
    <w:p w:rsidRPr="007D5220" w:rsidR="007D5220" w:rsidP="007D5220" w:rsidRDefault="007D5220" w14:paraId="36D9F4A0" w14:textId="77777777">
      <w:pPr>
        <w:tabs>
          <w:tab w:val="left" w:pos="-720"/>
        </w:tabs>
        <w:suppressAutoHyphens/>
        <w:overflowPunct/>
        <w:autoSpaceDE/>
        <w:autoSpaceDN/>
        <w:adjustRightInd/>
        <w:textAlignment w:val="auto"/>
        <w:rPr>
          <w:b/>
          <w:sz w:val="16"/>
        </w:rPr>
      </w:pPr>
      <w:r w:rsidRPr="007D5220">
        <w:rPr>
          <w:b/>
          <w:sz w:val="24"/>
        </w:rPr>
        <w:tab/>
      </w:r>
    </w:p>
    <w:tbl>
      <w:tblPr>
        <w:tblW w:w="7200" w:type="dxa"/>
        <w:tblInd w:w="648" w:type="dxa"/>
        <w:tblLook w:val="04A0" w:firstRow="1" w:lastRow="0" w:firstColumn="1" w:lastColumn="0" w:noHBand="0" w:noVBand="1"/>
      </w:tblPr>
      <w:tblGrid>
        <w:gridCol w:w="3438"/>
        <w:gridCol w:w="814"/>
        <w:gridCol w:w="1796"/>
        <w:gridCol w:w="1152"/>
      </w:tblGrid>
      <w:tr w:rsidRPr="007D5220" w:rsidR="007D5220" w:rsidTr="007F004F" w14:paraId="5FA76849" w14:textId="77777777">
        <w:tc>
          <w:tcPr>
            <w:tcW w:w="3438" w:type="dxa"/>
            <w:shd w:val="clear" w:color="auto" w:fill="auto"/>
          </w:tcPr>
          <w:p w:rsidRPr="007D5220" w:rsidR="007D5220" w:rsidP="007D5220" w:rsidRDefault="007D5220" w14:paraId="628A8081" w14:textId="77777777">
            <w:pPr>
              <w:tabs>
                <w:tab w:val="left" w:pos="-720"/>
              </w:tabs>
              <w:suppressAutoHyphens/>
              <w:overflowPunct/>
              <w:autoSpaceDE/>
              <w:autoSpaceDN/>
              <w:adjustRightInd/>
              <w:textAlignment w:val="auto"/>
              <w:rPr>
                <w:bCs/>
                <w:sz w:val="24"/>
              </w:rPr>
            </w:pPr>
            <w:proofErr w:type="spellStart"/>
            <w:r w:rsidRPr="007D5220">
              <w:rPr>
                <w:bCs/>
                <w:sz w:val="24"/>
              </w:rPr>
              <w:t>Gvt</w:t>
            </w:r>
            <w:proofErr w:type="spellEnd"/>
            <w:r w:rsidRPr="007D5220">
              <w:rPr>
                <w:bCs/>
                <w:sz w:val="24"/>
              </w:rPr>
              <w:t xml:space="preserve"> Legal Instruments Examiner wage rate</w:t>
            </w:r>
          </w:p>
        </w:tc>
        <w:tc>
          <w:tcPr>
            <w:tcW w:w="814" w:type="dxa"/>
            <w:shd w:val="clear" w:color="auto" w:fill="auto"/>
          </w:tcPr>
          <w:p w:rsidRPr="007D5220" w:rsidR="007D5220" w:rsidP="007D5220" w:rsidRDefault="007D5220" w14:paraId="7670C1A8" w14:textId="77777777">
            <w:pPr>
              <w:tabs>
                <w:tab w:val="left" w:pos="-720"/>
              </w:tabs>
              <w:suppressAutoHyphens/>
              <w:overflowPunct/>
              <w:autoSpaceDE/>
              <w:autoSpaceDN/>
              <w:adjustRightInd/>
              <w:textAlignment w:val="auto"/>
              <w:rPr>
                <w:bCs/>
                <w:sz w:val="24"/>
              </w:rPr>
            </w:pPr>
            <w:r w:rsidRPr="007D5220">
              <w:rPr>
                <w:bCs/>
                <w:sz w:val="24"/>
              </w:rPr>
              <w:t xml:space="preserve">.35 </w:t>
            </w:r>
            <w:proofErr w:type="spellStart"/>
            <w:r w:rsidRPr="007D5220">
              <w:rPr>
                <w:bCs/>
                <w:sz w:val="24"/>
              </w:rPr>
              <w:t>hr</w:t>
            </w:r>
            <w:proofErr w:type="spellEnd"/>
          </w:p>
        </w:tc>
        <w:tc>
          <w:tcPr>
            <w:tcW w:w="1796" w:type="dxa"/>
            <w:shd w:val="clear" w:color="auto" w:fill="auto"/>
          </w:tcPr>
          <w:p w:rsidRPr="007D5220" w:rsidR="007D5220" w:rsidP="005E7A71" w:rsidRDefault="007D5220" w14:paraId="5EC24057" w14:textId="284FB93F">
            <w:pPr>
              <w:tabs>
                <w:tab w:val="left" w:pos="-720"/>
              </w:tabs>
              <w:suppressAutoHyphens/>
              <w:overflowPunct/>
              <w:autoSpaceDE/>
              <w:autoSpaceDN/>
              <w:adjustRightInd/>
              <w:textAlignment w:val="auto"/>
              <w:rPr>
                <w:bCs/>
                <w:sz w:val="24"/>
              </w:rPr>
            </w:pPr>
            <w:r w:rsidRPr="007D5220">
              <w:rPr>
                <w:bCs/>
                <w:sz w:val="24"/>
              </w:rPr>
              <w:t>@ $</w:t>
            </w:r>
            <w:r w:rsidR="005E7A71">
              <w:rPr>
                <w:bCs/>
                <w:sz w:val="24"/>
              </w:rPr>
              <w:t>42.57</w:t>
            </w:r>
            <w:r w:rsidRPr="007D5220">
              <w:rPr>
                <w:bCs/>
                <w:sz w:val="24"/>
              </w:rPr>
              <w:t xml:space="preserve">per </w:t>
            </w:r>
            <w:proofErr w:type="spellStart"/>
            <w:r w:rsidRPr="007D5220">
              <w:rPr>
                <w:bCs/>
                <w:sz w:val="24"/>
              </w:rPr>
              <w:t>hr</w:t>
            </w:r>
            <w:proofErr w:type="spellEnd"/>
          </w:p>
        </w:tc>
        <w:tc>
          <w:tcPr>
            <w:tcW w:w="1152" w:type="dxa"/>
            <w:shd w:val="clear" w:color="auto" w:fill="auto"/>
          </w:tcPr>
          <w:p w:rsidRPr="007D5220" w:rsidR="007D5220" w:rsidP="005E7A71" w:rsidRDefault="007D5220" w14:paraId="5D2B429D" w14:textId="15827FE1">
            <w:pPr>
              <w:tabs>
                <w:tab w:val="left" w:pos="-720"/>
              </w:tabs>
              <w:suppressAutoHyphens/>
              <w:overflowPunct/>
              <w:autoSpaceDE/>
              <w:autoSpaceDN/>
              <w:adjustRightInd/>
              <w:jc w:val="right"/>
              <w:textAlignment w:val="auto"/>
              <w:rPr>
                <w:bCs/>
                <w:sz w:val="24"/>
              </w:rPr>
            </w:pPr>
            <w:r w:rsidRPr="007D5220">
              <w:rPr>
                <w:bCs/>
                <w:sz w:val="24"/>
              </w:rPr>
              <w:t>$</w:t>
            </w:r>
            <w:r w:rsidR="005E7A71">
              <w:rPr>
                <w:bCs/>
                <w:sz w:val="24"/>
              </w:rPr>
              <w:t>14.90</w:t>
            </w:r>
          </w:p>
        </w:tc>
      </w:tr>
      <w:tr w:rsidRPr="007D5220" w:rsidR="007D5220" w:rsidTr="007F004F" w14:paraId="15C85EA3" w14:textId="77777777">
        <w:tc>
          <w:tcPr>
            <w:tcW w:w="3438" w:type="dxa"/>
            <w:tcBorders>
              <w:bottom w:val="single" w:color="auto" w:sz="4" w:space="0"/>
            </w:tcBorders>
            <w:shd w:val="clear" w:color="auto" w:fill="auto"/>
          </w:tcPr>
          <w:p w:rsidRPr="007D5220" w:rsidR="007D5220" w:rsidP="007D5220" w:rsidRDefault="007D5220" w14:paraId="34589DE6" w14:textId="77777777">
            <w:pPr>
              <w:tabs>
                <w:tab w:val="left" w:pos="-720"/>
              </w:tabs>
              <w:suppressAutoHyphens/>
              <w:overflowPunct/>
              <w:autoSpaceDE/>
              <w:autoSpaceDN/>
              <w:adjustRightInd/>
              <w:textAlignment w:val="auto"/>
              <w:rPr>
                <w:bCs/>
                <w:sz w:val="24"/>
              </w:rPr>
            </w:pPr>
            <w:r w:rsidRPr="007D5220">
              <w:rPr>
                <w:bCs/>
                <w:sz w:val="24"/>
              </w:rPr>
              <w:t>Contract Clerk (Mail) wage rate</w:t>
            </w:r>
          </w:p>
        </w:tc>
        <w:tc>
          <w:tcPr>
            <w:tcW w:w="814" w:type="dxa"/>
            <w:tcBorders>
              <w:bottom w:val="single" w:color="auto" w:sz="4" w:space="0"/>
            </w:tcBorders>
            <w:shd w:val="clear" w:color="auto" w:fill="auto"/>
          </w:tcPr>
          <w:p w:rsidRPr="007D5220" w:rsidR="007D5220" w:rsidP="007D5220" w:rsidRDefault="007D5220" w14:paraId="46AE512D" w14:textId="77777777">
            <w:pPr>
              <w:tabs>
                <w:tab w:val="left" w:pos="-720"/>
              </w:tabs>
              <w:suppressAutoHyphens/>
              <w:overflowPunct/>
              <w:autoSpaceDE/>
              <w:autoSpaceDN/>
              <w:adjustRightInd/>
              <w:textAlignment w:val="auto"/>
              <w:rPr>
                <w:bCs/>
                <w:sz w:val="24"/>
              </w:rPr>
            </w:pPr>
            <w:r w:rsidRPr="007D5220">
              <w:rPr>
                <w:bCs/>
                <w:sz w:val="24"/>
              </w:rPr>
              <w:t xml:space="preserve">.05 </w:t>
            </w:r>
            <w:proofErr w:type="spellStart"/>
            <w:r w:rsidRPr="007D5220">
              <w:rPr>
                <w:bCs/>
                <w:sz w:val="24"/>
              </w:rPr>
              <w:t>hr</w:t>
            </w:r>
            <w:proofErr w:type="spellEnd"/>
          </w:p>
        </w:tc>
        <w:tc>
          <w:tcPr>
            <w:tcW w:w="1796" w:type="dxa"/>
            <w:tcBorders>
              <w:bottom w:val="single" w:color="auto" w:sz="4" w:space="0"/>
            </w:tcBorders>
            <w:shd w:val="clear" w:color="auto" w:fill="auto"/>
          </w:tcPr>
          <w:p w:rsidRPr="007D5220" w:rsidR="007D5220" w:rsidP="005E7A71" w:rsidRDefault="007D5220" w14:paraId="286D1646" w14:textId="4A7093FC">
            <w:pPr>
              <w:tabs>
                <w:tab w:val="left" w:pos="-720"/>
              </w:tabs>
              <w:suppressAutoHyphens/>
              <w:overflowPunct/>
              <w:autoSpaceDE/>
              <w:autoSpaceDN/>
              <w:adjustRightInd/>
              <w:textAlignment w:val="auto"/>
              <w:rPr>
                <w:bCs/>
                <w:sz w:val="24"/>
              </w:rPr>
            </w:pPr>
            <w:r w:rsidRPr="007D5220">
              <w:rPr>
                <w:bCs/>
                <w:sz w:val="24"/>
              </w:rPr>
              <w:t>@ $</w:t>
            </w:r>
            <w:r w:rsidR="005E7A71">
              <w:rPr>
                <w:bCs/>
                <w:sz w:val="24"/>
              </w:rPr>
              <w:t>31.97</w:t>
            </w:r>
            <w:r w:rsidRPr="007D5220">
              <w:rPr>
                <w:bCs/>
                <w:sz w:val="24"/>
              </w:rPr>
              <w:t xml:space="preserve"> per </w:t>
            </w:r>
            <w:proofErr w:type="spellStart"/>
            <w:r w:rsidRPr="007D5220">
              <w:rPr>
                <w:bCs/>
                <w:sz w:val="24"/>
              </w:rPr>
              <w:t>hr</w:t>
            </w:r>
            <w:proofErr w:type="spellEnd"/>
          </w:p>
        </w:tc>
        <w:tc>
          <w:tcPr>
            <w:tcW w:w="1152" w:type="dxa"/>
            <w:tcBorders>
              <w:bottom w:val="single" w:color="auto" w:sz="4" w:space="0"/>
            </w:tcBorders>
            <w:shd w:val="clear" w:color="auto" w:fill="auto"/>
          </w:tcPr>
          <w:p w:rsidRPr="007D5220" w:rsidR="007D5220" w:rsidP="005E7A71" w:rsidRDefault="007D5220" w14:paraId="7BFC369F" w14:textId="3A69AAA4">
            <w:pPr>
              <w:tabs>
                <w:tab w:val="left" w:pos="-720"/>
              </w:tabs>
              <w:suppressAutoHyphens/>
              <w:overflowPunct/>
              <w:autoSpaceDE/>
              <w:autoSpaceDN/>
              <w:adjustRightInd/>
              <w:jc w:val="right"/>
              <w:textAlignment w:val="auto"/>
              <w:rPr>
                <w:bCs/>
                <w:sz w:val="24"/>
              </w:rPr>
            </w:pPr>
            <w:r w:rsidRPr="007D5220">
              <w:rPr>
                <w:bCs/>
                <w:sz w:val="24"/>
              </w:rPr>
              <w:t>$</w:t>
            </w:r>
            <w:r w:rsidR="005E7A71">
              <w:rPr>
                <w:bCs/>
                <w:sz w:val="24"/>
              </w:rPr>
              <w:t>1.60</w:t>
            </w:r>
          </w:p>
        </w:tc>
      </w:tr>
      <w:tr w:rsidRPr="007D5220" w:rsidR="007D5220" w:rsidTr="007F004F" w14:paraId="78124454" w14:textId="77777777">
        <w:tc>
          <w:tcPr>
            <w:tcW w:w="3438" w:type="dxa"/>
            <w:tcBorders>
              <w:bottom w:val="single" w:color="auto" w:sz="4" w:space="0"/>
            </w:tcBorders>
            <w:shd w:val="clear" w:color="auto" w:fill="auto"/>
          </w:tcPr>
          <w:p w:rsidRPr="007D5220" w:rsidR="007D5220" w:rsidP="007D5220" w:rsidRDefault="007D5220" w14:paraId="42E343D8" w14:textId="77777777">
            <w:pPr>
              <w:tabs>
                <w:tab w:val="left" w:pos="-720"/>
              </w:tabs>
              <w:suppressAutoHyphens/>
              <w:overflowPunct/>
              <w:autoSpaceDE/>
              <w:autoSpaceDN/>
              <w:adjustRightInd/>
              <w:textAlignment w:val="auto"/>
              <w:rPr>
                <w:bCs/>
                <w:sz w:val="24"/>
              </w:rPr>
            </w:pPr>
            <w:r w:rsidRPr="007D5220">
              <w:rPr>
                <w:bCs/>
                <w:sz w:val="24"/>
              </w:rPr>
              <w:lastRenderedPageBreak/>
              <w:t>Contract Clerk (Prep) wage rate</w:t>
            </w:r>
          </w:p>
        </w:tc>
        <w:tc>
          <w:tcPr>
            <w:tcW w:w="814" w:type="dxa"/>
            <w:tcBorders>
              <w:bottom w:val="single" w:color="auto" w:sz="4" w:space="0"/>
            </w:tcBorders>
            <w:shd w:val="clear" w:color="auto" w:fill="auto"/>
          </w:tcPr>
          <w:p w:rsidRPr="007D5220" w:rsidR="007D5220" w:rsidP="007D5220" w:rsidRDefault="007D5220" w14:paraId="23AE8AE4" w14:textId="77777777">
            <w:pPr>
              <w:tabs>
                <w:tab w:val="left" w:pos="-720"/>
              </w:tabs>
              <w:suppressAutoHyphens/>
              <w:overflowPunct/>
              <w:autoSpaceDE/>
              <w:autoSpaceDN/>
              <w:adjustRightInd/>
              <w:textAlignment w:val="auto"/>
              <w:rPr>
                <w:bCs/>
                <w:sz w:val="24"/>
              </w:rPr>
            </w:pPr>
            <w:r w:rsidRPr="007D5220">
              <w:rPr>
                <w:bCs/>
                <w:sz w:val="24"/>
              </w:rPr>
              <w:t xml:space="preserve">.05 </w:t>
            </w:r>
            <w:proofErr w:type="spellStart"/>
            <w:r w:rsidRPr="007D5220">
              <w:rPr>
                <w:bCs/>
                <w:sz w:val="24"/>
              </w:rPr>
              <w:t>hr</w:t>
            </w:r>
            <w:proofErr w:type="spellEnd"/>
          </w:p>
        </w:tc>
        <w:tc>
          <w:tcPr>
            <w:tcW w:w="1796" w:type="dxa"/>
            <w:tcBorders>
              <w:bottom w:val="single" w:color="auto" w:sz="4" w:space="0"/>
            </w:tcBorders>
            <w:shd w:val="clear" w:color="auto" w:fill="auto"/>
          </w:tcPr>
          <w:p w:rsidRPr="007D5220" w:rsidR="007D5220" w:rsidP="005E7A71" w:rsidRDefault="007D5220" w14:paraId="7A130300" w14:textId="02C41A4B">
            <w:pPr>
              <w:tabs>
                <w:tab w:val="left" w:pos="-720"/>
              </w:tabs>
              <w:suppressAutoHyphens/>
              <w:overflowPunct/>
              <w:autoSpaceDE/>
              <w:autoSpaceDN/>
              <w:adjustRightInd/>
              <w:textAlignment w:val="auto"/>
              <w:rPr>
                <w:bCs/>
                <w:sz w:val="24"/>
              </w:rPr>
            </w:pPr>
            <w:r w:rsidRPr="007D5220">
              <w:rPr>
                <w:bCs/>
                <w:sz w:val="24"/>
              </w:rPr>
              <w:t>@ $</w:t>
            </w:r>
            <w:r w:rsidR="005E7A71">
              <w:rPr>
                <w:bCs/>
                <w:sz w:val="24"/>
              </w:rPr>
              <w:t>41.00</w:t>
            </w:r>
            <w:r w:rsidRPr="007D5220">
              <w:rPr>
                <w:bCs/>
                <w:sz w:val="24"/>
              </w:rPr>
              <w:t xml:space="preserve"> per </w:t>
            </w:r>
            <w:proofErr w:type="spellStart"/>
            <w:r w:rsidRPr="007D5220">
              <w:rPr>
                <w:bCs/>
                <w:sz w:val="24"/>
              </w:rPr>
              <w:t>hr</w:t>
            </w:r>
            <w:proofErr w:type="spellEnd"/>
          </w:p>
        </w:tc>
        <w:tc>
          <w:tcPr>
            <w:tcW w:w="1152" w:type="dxa"/>
            <w:tcBorders>
              <w:bottom w:val="single" w:color="auto" w:sz="4" w:space="0"/>
            </w:tcBorders>
            <w:shd w:val="clear" w:color="auto" w:fill="auto"/>
          </w:tcPr>
          <w:p w:rsidRPr="007D5220" w:rsidR="007D5220" w:rsidP="005E7A71" w:rsidRDefault="007D5220" w14:paraId="4666FD5A" w14:textId="38315203">
            <w:pPr>
              <w:tabs>
                <w:tab w:val="left" w:pos="-720"/>
              </w:tabs>
              <w:suppressAutoHyphens/>
              <w:overflowPunct/>
              <w:autoSpaceDE/>
              <w:autoSpaceDN/>
              <w:adjustRightInd/>
              <w:jc w:val="right"/>
              <w:textAlignment w:val="auto"/>
              <w:rPr>
                <w:bCs/>
                <w:sz w:val="24"/>
              </w:rPr>
            </w:pPr>
            <w:r w:rsidRPr="007D5220">
              <w:rPr>
                <w:bCs/>
                <w:sz w:val="24"/>
              </w:rPr>
              <w:t>$</w:t>
            </w:r>
            <w:r w:rsidR="005E7A71">
              <w:rPr>
                <w:bCs/>
                <w:sz w:val="24"/>
              </w:rPr>
              <w:t>2.05</w:t>
            </w:r>
          </w:p>
        </w:tc>
      </w:tr>
      <w:tr w:rsidRPr="007D5220" w:rsidR="007D5220" w:rsidTr="007F004F" w14:paraId="73772724" w14:textId="77777777">
        <w:tc>
          <w:tcPr>
            <w:tcW w:w="3438" w:type="dxa"/>
            <w:tcBorders>
              <w:bottom w:val="single" w:color="auto" w:sz="4" w:space="0"/>
            </w:tcBorders>
            <w:shd w:val="clear" w:color="auto" w:fill="auto"/>
          </w:tcPr>
          <w:p w:rsidRPr="007D5220" w:rsidR="007D5220" w:rsidP="007D5220" w:rsidRDefault="007D5220" w14:paraId="6FD43429" w14:textId="77777777">
            <w:pPr>
              <w:tabs>
                <w:tab w:val="left" w:pos="-720"/>
              </w:tabs>
              <w:suppressAutoHyphens/>
              <w:overflowPunct/>
              <w:autoSpaceDE/>
              <w:autoSpaceDN/>
              <w:adjustRightInd/>
              <w:textAlignment w:val="auto"/>
              <w:rPr>
                <w:bCs/>
                <w:sz w:val="24"/>
              </w:rPr>
            </w:pPr>
            <w:r w:rsidRPr="007D5220">
              <w:rPr>
                <w:bCs/>
                <w:sz w:val="24"/>
              </w:rPr>
              <w:t>Contract Clerk (Index) wage rate</w:t>
            </w:r>
          </w:p>
        </w:tc>
        <w:tc>
          <w:tcPr>
            <w:tcW w:w="814" w:type="dxa"/>
            <w:tcBorders>
              <w:bottom w:val="single" w:color="auto" w:sz="4" w:space="0"/>
            </w:tcBorders>
            <w:shd w:val="clear" w:color="auto" w:fill="auto"/>
          </w:tcPr>
          <w:p w:rsidRPr="007D5220" w:rsidR="007D5220" w:rsidP="007D5220" w:rsidRDefault="007D5220" w14:paraId="3AE20D98" w14:textId="77777777">
            <w:pPr>
              <w:tabs>
                <w:tab w:val="left" w:pos="-720"/>
              </w:tabs>
              <w:suppressAutoHyphens/>
              <w:overflowPunct/>
              <w:autoSpaceDE/>
              <w:autoSpaceDN/>
              <w:adjustRightInd/>
              <w:textAlignment w:val="auto"/>
              <w:rPr>
                <w:bCs/>
                <w:sz w:val="24"/>
              </w:rPr>
            </w:pPr>
            <w:r w:rsidRPr="007D5220">
              <w:rPr>
                <w:bCs/>
                <w:sz w:val="24"/>
              </w:rPr>
              <w:t xml:space="preserve">.05 </w:t>
            </w:r>
            <w:proofErr w:type="spellStart"/>
            <w:r w:rsidRPr="007D5220">
              <w:rPr>
                <w:bCs/>
                <w:sz w:val="24"/>
              </w:rPr>
              <w:t>hr</w:t>
            </w:r>
            <w:proofErr w:type="spellEnd"/>
          </w:p>
        </w:tc>
        <w:tc>
          <w:tcPr>
            <w:tcW w:w="1796" w:type="dxa"/>
            <w:tcBorders>
              <w:bottom w:val="single" w:color="auto" w:sz="4" w:space="0"/>
            </w:tcBorders>
            <w:shd w:val="clear" w:color="auto" w:fill="auto"/>
          </w:tcPr>
          <w:p w:rsidRPr="007D5220" w:rsidR="007D5220" w:rsidP="005E7A71" w:rsidRDefault="007D5220" w14:paraId="0D304E13" w14:textId="572421B8">
            <w:pPr>
              <w:tabs>
                <w:tab w:val="left" w:pos="-720"/>
              </w:tabs>
              <w:suppressAutoHyphens/>
              <w:overflowPunct/>
              <w:autoSpaceDE/>
              <w:autoSpaceDN/>
              <w:adjustRightInd/>
              <w:textAlignment w:val="auto"/>
              <w:rPr>
                <w:bCs/>
                <w:sz w:val="24"/>
              </w:rPr>
            </w:pPr>
            <w:r w:rsidRPr="007D5220">
              <w:rPr>
                <w:bCs/>
                <w:sz w:val="24"/>
              </w:rPr>
              <w:t>@ $</w:t>
            </w:r>
            <w:r w:rsidR="005E7A71">
              <w:rPr>
                <w:bCs/>
                <w:sz w:val="24"/>
              </w:rPr>
              <w:t>41.00</w:t>
            </w:r>
            <w:r w:rsidRPr="007D5220">
              <w:rPr>
                <w:bCs/>
                <w:sz w:val="24"/>
              </w:rPr>
              <w:t xml:space="preserve"> per </w:t>
            </w:r>
            <w:proofErr w:type="spellStart"/>
            <w:r w:rsidRPr="007D5220">
              <w:rPr>
                <w:bCs/>
                <w:sz w:val="24"/>
              </w:rPr>
              <w:t>hr</w:t>
            </w:r>
            <w:proofErr w:type="spellEnd"/>
          </w:p>
        </w:tc>
        <w:tc>
          <w:tcPr>
            <w:tcW w:w="1152" w:type="dxa"/>
            <w:tcBorders>
              <w:bottom w:val="single" w:color="auto" w:sz="4" w:space="0"/>
            </w:tcBorders>
            <w:shd w:val="clear" w:color="auto" w:fill="auto"/>
          </w:tcPr>
          <w:p w:rsidRPr="007D5220" w:rsidR="007D5220" w:rsidP="005E7A71" w:rsidRDefault="007D5220" w14:paraId="112FD7D1" w14:textId="202E7E84">
            <w:pPr>
              <w:tabs>
                <w:tab w:val="left" w:pos="-720"/>
              </w:tabs>
              <w:suppressAutoHyphens/>
              <w:overflowPunct/>
              <w:autoSpaceDE/>
              <w:autoSpaceDN/>
              <w:adjustRightInd/>
              <w:jc w:val="right"/>
              <w:textAlignment w:val="auto"/>
              <w:rPr>
                <w:bCs/>
                <w:sz w:val="24"/>
              </w:rPr>
            </w:pPr>
            <w:r w:rsidRPr="007D5220">
              <w:rPr>
                <w:bCs/>
                <w:sz w:val="24"/>
              </w:rPr>
              <w:t>$</w:t>
            </w:r>
            <w:r w:rsidR="005E7A71">
              <w:rPr>
                <w:bCs/>
                <w:sz w:val="24"/>
              </w:rPr>
              <w:t>2.05</w:t>
            </w:r>
          </w:p>
        </w:tc>
      </w:tr>
      <w:tr w:rsidRPr="007D5220" w:rsidR="007D5220" w:rsidTr="007F004F" w14:paraId="5F661DF0" w14:textId="77777777">
        <w:tc>
          <w:tcPr>
            <w:tcW w:w="3438" w:type="dxa"/>
            <w:tcBorders>
              <w:bottom w:val="single" w:color="auto" w:sz="4" w:space="0"/>
            </w:tcBorders>
            <w:shd w:val="clear" w:color="auto" w:fill="auto"/>
          </w:tcPr>
          <w:p w:rsidRPr="007D5220" w:rsidR="007D5220" w:rsidP="007D5220" w:rsidRDefault="007D5220" w14:paraId="3D259573" w14:textId="77777777">
            <w:pPr>
              <w:tabs>
                <w:tab w:val="left" w:pos="-720"/>
              </w:tabs>
              <w:suppressAutoHyphens/>
              <w:overflowPunct/>
              <w:autoSpaceDE/>
              <w:autoSpaceDN/>
              <w:adjustRightInd/>
              <w:textAlignment w:val="auto"/>
              <w:rPr>
                <w:bCs/>
                <w:sz w:val="24"/>
              </w:rPr>
            </w:pPr>
            <w:r w:rsidRPr="007D5220">
              <w:rPr>
                <w:bCs/>
                <w:sz w:val="24"/>
              </w:rPr>
              <w:t>Contract Clerk (Scan) wage rate</w:t>
            </w:r>
          </w:p>
        </w:tc>
        <w:tc>
          <w:tcPr>
            <w:tcW w:w="814" w:type="dxa"/>
            <w:tcBorders>
              <w:bottom w:val="single" w:color="auto" w:sz="4" w:space="0"/>
            </w:tcBorders>
            <w:shd w:val="clear" w:color="auto" w:fill="auto"/>
          </w:tcPr>
          <w:p w:rsidRPr="007D5220" w:rsidR="007D5220" w:rsidP="007D5220" w:rsidRDefault="007D5220" w14:paraId="65E342E7" w14:textId="77777777">
            <w:pPr>
              <w:tabs>
                <w:tab w:val="left" w:pos="-720"/>
              </w:tabs>
              <w:suppressAutoHyphens/>
              <w:overflowPunct/>
              <w:autoSpaceDE/>
              <w:autoSpaceDN/>
              <w:adjustRightInd/>
              <w:textAlignment w:val="auto"/>
              <w:rPr>
                <w:bCs/>
                <w:sz w:val="24"/>
              </w:rPr>
            </w:pPr>
            <w:r w:rsidRPr="007D5220">
              <w:rPr>
                <w:bCs/>
                <w:sz w:val="24"/>
              </w:rPr>
              <w:t xml:space="preserve">.05 </w:t>
            </w:r>
            <w:proofErr w:type="spellStart"/>
            <w:r w:rsidRPr="007D5220">
              <w:rPr>
                <w:bCs/>
                <w:sz w:val="24"/>
              </w:rPr>
              <w:t>hr</w:t>
            </w:r>
            <w:proofErr w:type="spellEnd"/>
          </w:p>
        </w:tc>
        <w:tc>
          <w:tcPr>
            <w:tcW w:w="1796" w:type="dxa"/>
            <w:tcBorders>
              <w:bottom w:val="single" w:color="auto" w:sz="4" w:space="0"/>
            </w:tcBorders>
            <w:shd w:val="clear" w:color="auto" w:fill="auto"/>
          </w:tcPr>
          <w:p w:rsidRPr="007D5220" w:rsidR="007D5220" w:rsidP="005E7A71" w:rsidRDefault="007D5220" w14:paraId="5A8A87DC" w14:textId="32B84C4B">
            <w:pPr>
              <w:tabs>
                <w:tab w:val="left" w:pos="-720"/>
              </w:tabs>
              <w:suppressAutoHyphens/>
              <w:overflowPunct/>
              <w:autoSpaceDE/>
              <w:autoSpaceDN/>
              <w:adjustRightInd/>
              <w:textAlignment w:val="auto"/>
              <w:rPr>
                <w:bCs/>
                <w:sz w:val="24"/>
              </w:rPr>
            </w:pPr>
            <w:r w:rsidRPr="007D5220">
              <w:rPr>
                <w:bCs/>
                <w:sz w:val="24"/>
              </w:rPr>
              <w:t>@ $</w:t>
            </w:r>
            <w:r w:rsidR="005E7A71">
              <w:rPr>
                <w:bCs/>
                <w:sz w:val="24"/>
              </w:rPr>
              <w:t>31.97</w:t>
            </w:r>
            <w:r w:rsidRPr="007D5220">
              <w:rPr>
                <w:bCs/>
                <w:sz w:val="24"/>
              </w:rPr>
              <w:t xml:space="preserve"> per </w:t>
            </w:r>
            <w:proofErr w:type="spellStart"/>
            <w:r w:rsidRPr="007D5220">
              <w:rPr>
                <w:bCs/>
                <w:sz w:val="24"/>
              </w:rPr>
              <w:t>hr</w:t>
            </w:r>
            <w:proofErr w:type="spellEnd"/>
          </w:p>
        </w:tc>
        <w:tc>
          <w:tcPr>
            <w:tcW w:w="1152" w:type="dxa"/>
            <w:tcBorders>
              <w:bottom w:val="single" w:color="auto" w:sz="4" w:space="0"/>
            </w:tcBorders>
            <w:shd w:val="clear" w:color="auto" w:fill="auto"/>
          </w:tcPr>
          <w:p w:rsidRPr="007D5220" w:rsidR="007D5220" w:rsidP="005E7A71" w:rsidRDefault="007D5220" w14:paraId="0F8AEB00" w14:textId="6353B7E1">
            <w:pPr>
              <w:tabs>
                <w:tab w:val="left" w:pos="-720"/>
              </w:tabs>
              <w:suppressAutoHyphens/>
              <w:overflowPunct/>
              <w:autoSpaceDE/>
              <w:autoSpaceDN/>
              <w:adjustRightInd/>
              <w:jc w:val="right"/>
              <w:textAlignment w:val="auto"/>
              <w:rPr>
                <w:bCs/>
                <w:sz w:val="24"/>
              </w:rPr>
            </w:pPr>
            <w:r w:rsidRPr="007D5220">
              <w:rPr>
                <w:bCs/>
                <w:sz w:val="24"/>
              </w:rPr>
              <w:t>$</w:t>
            </w:r>
            <w:r w:rsidR="005E7A71">
              <w:rPr>
                <w:bCs/>
                <w:sz w:val="24"/>
              </w:rPr>
              <w:t>1.60</w:t>
            </w:r>
          </w:p>
        </w:tc>
      </w:tr>
      <w:tr w:rsidRPr="007D5220" w:rsidR="007D5220" w:rsidTr="007F004F" w14:paraId="4F03786B" w14:textId="77777777">
        <w:tc>
          <w:tcPr>
            <w:tcW w:w="3438" w:type="dxa"/>
            <w:tcBorders>
              <w:top w:val="single" w:color="auto" w:sz="4" w:space="0"/>
            </w:tcBorders>
            <w:shd w:val="clear" w:color="auto" w:fill="auto"/>
          </w:tcPr>
          <w:p w:rsidRPr="007D5220" w:rsidR="007D5220" w:rsidP="007D5220" w:rsidRDefault="007D5220" w14:paraId="6B977034" w14:textId="77777777">
            <w:pPr>
              <w:tabs>
                <w:tab w:val="left" w:pos="-720"/>
              </w:tabs>
              <w:suppressAutoHyphens/>
              <w:overflowPunct/>
              <w:autoSpaceDE/>
              <w:autoSpaceDN/>
              <w:adjustRightInd/>
              <w:textAlignment w:val="auto"/>
              <w:rPr>
                <w:bCs/>
                <w:sz w:val="24"/>
              </w:rPr>
            </w:pPr>
          </w:p>
        </w:tc>
        <w:tc>
          <w:tcPr>
            <w:tcW w:w="814" w:type="dxa"/>
            <w:tcBorders>
              <w:top w:val="single" w:color="auto" w:sz="4" w:space="0"/>
            </w:tcBorders>
            <w:shd w:val="clear" w:color="auto" w:fill="auto"/>
          </w:tcPr>
          <w:p w:rsidRPr="007D5220" w:rsidR="007D5220" w:rsidP="007D5220" w:rsidRDefault="007D5220" w14:paraId="2BB869F0" w14:textId="77777777">
            <w:pPr>
              <w:tabs>
                <w:tab w:val="left" w:pos="-720"/>
              </w:tabs>
              <w:suppressAutoHyphens/>
              <w:overflowPunct/>
              <w:autoSpaceDE/>
              <w:autoSpaceDN/>
              <w:adjustRightInd/>
              <w:textAlignment w:val="auto"/>
              <w:rPr>
                <w:bCs/>
                <w:sz w:val="24"/>
              </w:rPr>
            </w:pPr>
          </w:p>
        </w:tc>
        <w:tc>
          <w:tcPr>
            <w:tcW w:w="1796" w:type="dxa"/>
            <w:tcBorders>
              <w:top w:val="single" w:color="auto" w:sz="4" w:space="0"/>
            </w:tcBorders>
            <w:shd w:val="clear" w:color="auto" w:fill="auto"/>
          </w:tcPr>
          <w:p w:rsidRPr="007D5220" w:rsidR="007D5220" w:rsidP="007D5220" w:rsidRDefault="007D5220" w14:paraId="5CC4D728" w14:textId="77777777">
            <w:pPr>
              <w:tabs>
                <w:tab w:val="left" w:pos="-720"/>
              </w:tabs>
              <w:suppressAutoHyphens/>
              <w:overflowPunct/>
              <w:autoSpaceDE/>
              <w:autoSpaceDN/>
              <w:adjustRightInd/>
              <w:textAlignment w:val="auto"/>
              <w:rPr>
                <w:bCs/>
                <w:sz w:val="24"/>
              </w:rPr>
            </w:pPr>
            <w:r w:rsidRPr="007D5220">
              <w:rPr>
                <w:bCs/>
                <w:sz w:val="24"/>
              </w:rPr>
              <w:t>Total Per Unit</w:t>
            </w:r>
          </w:p>
        </w:tc>
        <w:tc>
          <w:tcPr>
            <w:tcW w:w="1152" w:type="dxa"/>
            <w:tcBorders>
              <w:top w:val="single" w:color="auto" w:sz="4" w:space="0"/>
            </w:tcBorders>
            <w:shd w:val="clear" w:color="auto" w:fill="auto"/>
          </w:tcPr>
          <w:p w:rsidRPr="007D5220" w:rsidR="007D5220" w:rsidP="005E7A71" w:rsidRDefault="007D5220" w14:paraId="067EF180" w14:textId="1DC21C64">
            <w:pPr>
              <w:tabs>
                <w:tab w:val="left" w:pos="-720"/>
              </w:tabs>
              <w:suppressAutoHyphens/>
              <w:overflowPunct/>
              <w:autoSpaceDE/>
              <w:autoSpaceDN/>
              <w:adjustRightInd/>
              <w:jc w:val="right"/>
              <w:textAlignment w:val="auto"/>
              <w:rPr>
                <w:bCs/>
                <w:sz w:val="24"/>
              </w:rPr>
            </w:pPr>
            <w:r w:rsidRPr="007D5220">
              <w:rPr>
                <w:bCs/>
                <w:sz w:val="24"/>
              </w:rPr>
              <w:t>$</w:t>
            </w:r>
            <w:r w:rsidR="005E7A71">
              <w:rPr>
                <w:bCs/>
                <w:sz w:val="24"/>
              </w:rPr>
              <w:t>22.20</w:t>
            </w:r>
            <w:r w:rsidRPr="007D5220">
              <w:rPr>
                <w:bCs/>
                <w:sz w:val="24"/>
              </w:rPr>
              <w:t xml:space="preserve"> </w:t>
            </w:r>
          </w:p>
        </w:tc>
      </w:tr>
    </w:tbl>
    <w:p w:rsidRPr="007D5220" w:rsidR="007D5220" w:rsidP="007D5220" w:rsidRDefault="007D5220" w14:paraId="532F6E32" w14:textId="77777777">
      <w:pPr>
        <w:tabs>
          <w:tab w:val="left" w:pos="-720"/>
        </w:tabs>
        <w:suppressAutoHyphens/>
        <w:overflowPunct/>
        <w:autoSpaceDE/>
        <w:autoSpaceDN/>
        <w:adjustRightInd/>
        <w:textAlignment w:val="auto"/>
        <w:rPr>
          <w:b/>
          <w:sz w:val="24"/>
        </w:rPr>
      </w:pPr>
    </w:p>
    <w:p w:rsidR="006F7A27" w:rsidP="006F7A27" w:rsidRDefault="006F7A27" w14:paraId="5DA35F63" w14:textId="6AA0A75D">
      <w:pPr>
        <w:tabs>
          <w:tab w:val="left" w:pos="-720"/>
        </w:tabs>
        <w:suppressAutoHyphens/>
        <w:overflowPunct/>
        <w:autoSpaceDE/>
        <w:autoSpaceDN/>
        <w:adjustRightInd/>
        <w:textAlignment w:val="auto"/>
        <w:rPr>
          <w:bCs/>
          <w:sz w:val="24"/>
        </w:rPr>
      </w:pPr>
      <w:r w:rsidRPr="007D5220">
        <w:rPr>
          <w:bCs/>
          <w:sz w:val="24"/>
        </w:rPr>
        <w:t xml:space="preserve">The total annualized cost for processing </w:t>
      </w:r>
      <w:r>
        <w:rPr>
          <w:bCs/>
          <w:sz w:val="24"/>
        </w:rPr>
        <w:t>3,670</w:t>
      </w:r>
      <w:r w:rsidRPr="007D5220">
        <w:rPr>
          <w:bCs/>
          <w:sz w:val="24"/>
        </w:rPr>
        <w:t xml:space="preserve"> (FY19) </w:t>
      </w:r>
      <w:r>
        <w:rPr>
          <w:sz w:val="24"/>
          <w:szCs w:val="24"/>
        </w:rPr>
        <w:t>Dealers Aircraft Registration Certificate Applications, AC Form 8050-5,</w:t>
      </w:r>
      <w:r w:rsidRPr="007D5220">
        <w:rPr>
          <w:bCs/>
          <w:sz w:val="24"/>
        </w:rPr>
        <w:t xml:space="preserve"> </w:t>
      </w:r>
      <w:r w:rsidR="00487496">
        <w:rPr>
          <w:bCs/>
          <w:sz w:val="24"/>
        </w:rPr>
        <w:t>at</w:t>
      </w:r>
      <w:r w:rsidRPr="007D5220">
        <w:rPr>
          <w:bCs/>
          <w:sz w:val="24"/>
        </w:rPr>
        <w:t xml:space="preserve"> $</w:t>
      </w:r>
      <w:r w:rsidR="005E7A71">
        <w:rPr>
          <w:bCs/>
          <w:sz w:val="24"/>
        </w:rPr>
        <w:t>22.20</w:t>
      </w:r>
      <w:r w:rsidRPr="007D5220">
        <w:rPr>
          <w:bCs/>
          <w:sz w:val="24"/>
        </w:rPr>
        <w:t xml:space="preserve"> per unit is $</w:t>
      </w:r>
      <w:r w:rsidR="005E7A71">
        <w:rPr>
          <w:bCs/>
          <w:sz w:val="24"/>
        </w:rPr>
        <w:t>81,4</w:t>
      </w:r>
      <w:r w:rsidR="00AE071A">
        <w:rPr>
          <w:bCs/>
          <w:sz w:val="24"/>
        </w:rPr>
        <w:t>74</w:t>
      </w:r>
      <w:r w:rsidRPr="007D5220">
        <w:rPr>
          <w:bCs/>
          <w:sz w:val="24"/>
        </w:rPr>
        <w:t>.</w:t>
      </w:r>
    </w:p>
    <w:p w:rsidR="003F5BB4" w:rsidP="006F7A27" w:rsidRDefault="003F5BB4" w14:paraId="30419119" w14:textId="5E684A1E">
      <w:pPr>
        <w:tabs>
          <w:tab w:val="left" w:pos="-720"/>
        </w:tabs>
        <w:suppressAutoHyphens/>
        <w:overflowPunct/>
        <w:autoSpaceDE/>
        <w:autoSpaceDN/>
        <w:adjustRightInd/>
        <w:textAlignment w:val="auto"/>
        <w:rPr>
          <w:bCs/>
          <w:sz w:val="24"/>
        </w:rPr>
      </w:pPr>
    </w:p>
    <w:p w:rsidRPr="00171A9C" w:rsidR="000B62A7" w:rsidP="000C115E" w:rsidRDefault="000B62A7" w14:paraId="5F8F3008" w14:textId="77777777">
      <w:pPr>
        <w:rPr>
          <w:sz w:val="24"/>
          <w:szCs w:val="24"/>
        </w:rPr>
      </w:pPr>
    </w:p>
    <w:p w:rsidRPr="00E17CA9" w:rsidR="000B62A7" w:rsidP="00EE7FB4" w:rsidRDefault="00EE7FB4" w14:paraId="13327F4C" w14:textId="77777777">
      <w:pPr>
        <w:tabs>
          <w:tab w:val="left" w:pos="270"/>
        </w:tabs>
        <w:rPr>
          <w:b/>
          <w:sz w:val="24"/>
        </w:rPr>
      </w:pPr>
      <w:r>
        <w:rPr>
          <w:b/>
          <w:sz w:val="24"/>
        </w:rPr>
        <w:t xml:space="preserve">15. </w:t>
      </w:r>
      <w:r w:rsidRPr="00E17CA9" w:rsidR="006067A2">
        <w:rPr>
          <w:b/>
          <w:sz w:val="24"/>
        </w:rPr>
        <w:t xml:space="preserve">Explain </w:t>
      </w:r>
      <w:r w:rsidR="00D27687">
        <w:rPr>
          <w:b/>
          <w:sz w:val="24"/>
        </w:rPr>
        <w:t xml:space="preserve">the </w:t>
      </w:r>
      <w:r w:rsidRPr="00E17CA9" w:rsidR="006067A2">
        <w:rPr>
          <w:b/>
          <w:sz w:val="24"/>
        </w:rPr>
        <w:t xml:space="preserve">reasons for </w:t>
      </w:r>
      <w:r w:rsidR="00D27687">
        <w:rPr>
          <w:b/>
          <w:sz w:val="24"/>
        </w:rPr>
        <w:t xml:space="preserve">any program </w:t>
      </w:r>
      <w:r w:rsidRPr="00E17CA9" w:rsidR="006067A2">
        <w:rPr>
          <w:b/>
          <w:sz w:val="24"/>
        </w:rPr>
        <w:t>changes</w:t>
      </w:r>
      <w:r w:rsidR="00D27687">
        <w:rPr>
          <w:b/>
          <w:sz w:val="24"/>
        </w:rPr>
        <w:t xml:space="preserve"> or adjustments.</w:t>
      </w:r>
    </w:p>
    <w:p w:rsidRPr="00171A9C" w:rsidR="006067A2" w:rsidP="006067A2" w:rsidRDefault="006067A2" w14:paraId="134A38AA" w14:textId="77777777">
      <w:pPr>
        <w:rPr>
          <w:sz w:val="24"/>
          <w:szCs w:val="24"/>
        </w:rPr>
      </w:pPr>
    </w:p>
    <w:p w:rsidRPr="00DB11CC" w:rsidR="00DB11CC" w:rsidP="00DB11CC" w:rsidRDefault="005053E6" w14:paraId="7D3CE400" w14:textId="6E432E89">
      <w:pPr>
        <w:rPr>
          <w:sz w:val="24"/>
          <w:szCs w:val="24"/>
        </w:rPr>
      </w:pPr>
      <w:r w:rsidRPr="005053E6">
        <w:rPr>
          <w:sz w:val="24"/>
          <w:szCs w:val="24"/>
        </w:rPr>
        <w:t xml:space="preserve">The burden is based on customer submissions which fluctuates up or down from year to year. </w:t>
      </w:r>
      <w:r w:rsidRPr="00171A9C" w:rsidR="006067A2">
        <w:rPr>
          <w:sz w:val="24"/>
          <w:szCs w:val="24"/>
        </w:rPr>
        <w:t xml:space="preserve">The </w:t>
      </w:r>
      <w:r w:rsidR="00FB090B">
        <w:rPr>
          <w:sz w:val="24"/>
          <w:szCs w:val="24"/>
        </w:rPr>
        <w:t>increase</w:t>
      </w:r>
      <w:r w:rsidRPr="00171A9C" w:rsidR="006067A2">
        <w:rPr>
          <w:sz w:val="24"/>
          <w:szCs w:val="24"/>
        </w:rPr>
        <w:t xml:space="preserve"> </w:t>
      </w:r>
      <w:r w:rsidR="00C915AC">
        <w:rPr>
          <w:sz w:val="24"/>
          <w:szCs w:val="24"/>
        </w:rPr>
        <w:t>i</w:t>
      </w:r>
      <w:r w:rsidRPr="00171A9C" w:rsidR="006067A2">
        <w:rPr>
          <w:sz w:val="24"/>
          <w:szCs w:val="24"/>
        </w:rPr>
        <w:t xml:space="preserve">n the reporting burden is due to </w:t>
      </w:r>
      <w:r w:rsidR="007C0BDC">
        <w:rPr>
          <w:sz w:val="24"/>
          <w:szCs w:val="24"/>
        </w:rPr>
        <w:t>a</w:t>
      </w:r>
      <w:r w:rsidR="00FB090B">
        <w:rPr>
          <w:sz w:val="24"/>
          <w:szCs w:val="24"/>
        </w:rPr>
        <w:t>n inc</w:t>
      </w:r>
      <w:r w:rsidR="00C915AC">
        <w:rPr>
          <w:sz w:val="24"/>
          <w:szCs w:val="24"/>
        </w:rPr>
        <w:t xml:space="preserve">rease </w:t>
      </w:r>
      <w:r w:rsidR="007C0BDC">
        <w:rPr>
          <w:sz w:val="24"/>
          <w:szCs w:val="24"/>
        </w:rPr>
        <w:t xml:space="preserve">in </w:t>
      </w:r>
      <w:r w:rsidRPr="00171A9C" w:rsidR="006067A2">
        <w:rPr>
          <w:sz w:val="24"/>
          <w:szCs w:val="24"/>
        </w:rPr>
        <w:t>the number of respondents requesting dealer certificates for FY-20</w:t>
      </w:r>
      <w:r w:rsidR="00E17CA9">
        <w:rPr>
          <w:sz w:val="24"/>
          <w:szCs w:val="24"/>
        </w:rPr>
        <w:t>1</w:t>
      </w:r>
      <w:r w:rsidR="00C915AC">
        <w:rPr>
          <w:sz w:val="24"/>
          <w:szCs w:val="24"/>
        </w:rPr>
        <w:t>9</w:t>
      </w:r>
      <w:r w:rsidR="007C0BDC">
        <w:rPr>
          <w:sz w:val="24"/>
          <w:szCs w:val="24"/>
        </w:rPr>
        <w:t xml:space="preserve"> over the FY data used for the previous </w:t>
      </w:r>
      <w:r w:rsidR="00B470B4">
        <w:rPr>
          <w:sz w:val="24"/>
          <w:szCs w:val="24"/>
        </w:rPr>
        <w:t>renewal submission</w:t>
      </w:r>
      <w:r w:rsidRPr="00171A9C" w:rsidR="006067A2">
        <w:rPr>
          <w:sz w:val="24"/>
          <w:szCs w:val="24"/>
        </w:rPr>
        <w:t>.</w:t>
      </w:r>
      <w:r w:rsidR="007C0BDC">
        <w:rPr>
          <w:sz w:val="24"/>
          <w:szCs w:val="24"/>
        </w:rPr>
        <w:t xml:space="preserve">  The adjustment </w:t>
      </w:r>
      <w:r w:rsidR="00DB11CC">
        <w:rPr>
          <w:sz w:val="24"/>
          <w:szCs w:val="24"/>
        </w:rPr>
        <w:t xml:space="preserve">to the number of responses and time burden </w:t>
      </w:r>
      <w:r w:rsidR="007C0BDC">
        <w:rPr>
          <w:sz w:val="24"/>
          <w:szCs w:val="24"/>
        </w:rPr>
        <w:t>reflects a</w:t>
      </w:r>
      <w:r w:rsidR="00FB090B">
        <w:rPr>
          <w:sz w:val="24"/>
          <w:szCs w:val="24"/>
        </w:rPr>
        <w:t>n</w:t>
      </w:r>
      <w:r w:rsidR="00C915AC">
        <w:rPr>
          <w:sz w:val="24"/>
          <w:szCs w:val="24"/>
        </w:rPr>
        <w:t xml:space="preserve"> </w:t>
      </w:r>
      <w:r w:rsidR="00FB090B">
        <w:rPr>
          <w:sz w:val="24"/>
          <w:szCs w:val="24"/>
        </w:rPr>
        <w:t>in</w:t>
      </w:r>
      <w:r w:rsidR="00C915AC">
        <w:rPr>
          <w:sz w:val="24"/>
          <w:szCs w:val="24"/>
        </w:rPr>
        <w:t xml:space="preserve">crease </w:t>
      </w:r>
      <w:r w:rsidR="007C0BDC">
        <w:rPr>
          <w:sz w:val="24"/>
          <w:szCs w:val="24"/>
        </w:rPr>
        <w:t>in elective activity by the public, not a change in a government requirement.</w:t>
      </w:r>
      <w:r w:rsidR="00DB11CC">
        <w:rPr>
          <w:sz w:val="24"/>
          <w:szCs w:val="24"/>
        </w:rPr>
        <w:t xml:space="preserve"> The decrease in the annual cost burden is due to the </w:t>
      </w:r>
      <w:r w:rsidRPr="00DB11CC" w:rsidR="00DB11CC">
        <w:rPr>
          <w:sz w:val="24"/>
          <w:szCs w:val="24"/>
        </w:rPr>
        <w:t>past submission incorrectly captur</w:t>
      </w:r>
      <w:r w:rsidR="00DB11CC">
        <w:rPr>
          <w:sz w:val="24"/>
          <w:szCs w:val="24"/>
        </w:rPr>
        <w:t>ing</w:t>
      </w:r>
      <w:r w:rsidRPr="00DB11CC" w:rsidR="00DB11CC">
        <w:rPr>
          <w:sz w:val="24"/>
          <w:szCs w:val="24"/>
        </w:rPr>
        <w:t xml:space="preserve"> labor costs as material costs and this submission corrects that oversight.   </w:t>
      </w:r>
    </w:p>
    <w:p w:rsidRPr="00DB11CC" w:rsidR="00DB11CC" w:rsidP="00DB11CC" w:rsidRDefault="00DB11CC" w14:paraId="2403C8E4" w14:textId="77777777">
      <w:pPr>
        <w:rPr>
          <w:sz w:val="24"/>
          <w:szCs w:val="24"/>
        </w:rPr>
      </w:pPr>
    </w:p>
    <w:p w:rsidR="006067A2" w:rsidP="006067A2" w:rsidRDefault="006067A2" w14:paraId="5D2E8A39" w14:textId="77777777">
      <w:pPr>
        <w:rPr>
          <w:sz w:val="24"/>
          <w:szCs w:val="24"/>
        </w:rPr>
      </w:pPr>
      <w:bookmarkStart w:name="_GoBack" w:id="0"/>
      <w:bookmarkEnd w:id="0"/>
    </w:p>
    <w:p w:rsidRPr="00E17CA9" w:rsidR="006067A2" w:rsidP="00EE7FB4" w:rsidRDefault="00EE7FB4" w14:paraId="5D799A2D" w14:textId="77777777">
      <w:pPr>
        <w:rPr>
          <w:b/>
          <w:sz w:val="24"/>
        </w:rPr>
      </w:pPr>
      <w:r>
        <w:rPr>
          <w:b/>
          <w:sz w:val="24"/>
        </w:rPr>
        <w:t xml:space="preserve">16. </w:t>
      </w:r>
      <w:r w:rsidRPr="00E17CA9" w:rsidR="006067A2">
        <w:rPr>
          <w:b/>
          <w:sz w:val="24"/>
        </w:rPr>
        <w:t>For collection</w:t>
      </w:r>
      <w:r w:rsidR="00D27687">
        <w:rPr>
          <w:b/>
          <w:sz w:val="24"/>
        </w:rPr>
        <w:t>s</w:t>
      </w:r>
      <w:r w:rsidRPr="00E17CA9" w:rsidR="006067A2">
        <w:rPr>
          <w:b/>
          <w:sz w:val="24"/>
        </w:rPr>
        <w:t xml:space="preserve"> of information whose results </w:t>
      </w:r>
      <w:r w:rsidR="00D27687">
        <w:rPr>
          <w:b/>
          <w:sz w:val="24"/>
        </w:rPr>
        <w:t>will be published</w:t>
      </w:r>
      <w:r w:rsidRPr="00E17CA9" w:rsidR="006067A2">
        <w:rPr>
          <w:b/>
          <w:sz w:val="24"/>
        </w:rPr>
        <w:t>, outline plans for tabulation</w:t>
      </w:r>
      <w:r w:rsidR="00D27687">
        <w:rPr>
          <w:b/>
          <w:sz w:val="24"/>
        </w:rPr>
        <w:t xml:space="preserve"> </w:t>
      </w:r>
      <w:r w:rsidRPr="00E17CA9" w:rsidR="006067A2">
        <w:rPr>
          <w:b/>
          <w:sz w:val="24"/>
        </w:rPr>
        <w:t>and publication.</w:t>
      </w:r>
      <w:r w:rsidR="00D27687">
        <w:rPr>
          <w:b/>
          <w:sz w:val="24"/>
        </w:rPr>
        <w:t xml:space="preserve"> </w:t>
      </w:r>
      <w:r w:rsidRPr="00D27687" w:rsidR="00D27687">
        <w:rPr>
          <w:b/>
          <w:bCs/>
          <w:sz w:val="24"/>
        </w:rPr>
        <w:t>Address any complex analytical techniques that will be used. Provide the time schedule for the entire project, including beginning and ending dates of the collection of information, completion of report, publication dates, and other actions.</w:t>
      </w:r>
    </w:p>
    <w:p w:rsidR="006067A2" w:rsidP="006067A2" w:rsidRDefault="006067A2" w14:paraId="1D1C98A6" w14:textId="77777777">
      <w:pPr>
        <w:rPr>
          <w:sz w:val="24"/>
          <w:szCs w:val="24"/>
        </w:rPr>
      </w:pPr>
    </w:p>
    <w:p w:rsidR="006067A2" w:rsidP="006067A2" w:rsidRDefault="0033770B" w14:paraId="6D18EC26" w14:textId="77777777">
      <w:pPr>
        <w:rPr>
          <w:sz w:val="24"/>
          <w:szCs w:val="24"/>
        </w:rPr>
      </w:pPr>
      <w:r>
        <w:rPr>
          <w:sz w:val="24"/>
          <w:szCs w:val="24"/>
        </w:rPr>
        <w:t>There are no plans for tabulation or publication of the information collected</w:t>
      </w:r>
      <w:r w:rsidR="006067A2">
        <w:rPr>
          <w:sz w:val="24"/>
          <w:szCs w:val="24"/>
        </w:rPr>
        <w:t>.</w:t>
      </w:r>
    </w:p>
    <w:p w:rsidR="006067A2" w:rsidP="006067A2" w:rsidRDefault="006067A2" w14:paraId="70285175" w14:textId="77777777">
      <w:pPr>
        <w:rPr>
          <w:sz w:val="24"/>
          <w:szCs w:val="24"/>
        </w:rPr>
      </w:pPr>
    </w:p>
    <w:p w:rsidRPr="00E17CA9" w:rsidR="006067A2" w:rsidP="00EE7FB4" w:rsidRDefault="006067A2" w14:paraId="55C9E5D2" w14:textId="77777777">
      <w:pPr>
        <w:rPr>
          <w:b/>
          <w:sz w:val="24"/>
        </w:rPr>
      </w:pPr>
      <w:r w:rsidRPr="00E17CA9">
        <w:rPr>
          <w:b/>
          <w:sz w:val="24"/>
        </w:rPr>
        <w:t>17.</w:t>
      </w:r>
      <w:r w:rsidR="00EE7FB4">
        <w:rPr>
          <w:b/>
          <w:sz w:val="24"/>
        </w:rPr>
        <w:t xml:space="preserve"> </w:t>
      </w:r>
      <w:r w:rsidRPr="00E17CA9">
        <w:rPr>
          <w:b/>
          <w:sz w:val="24"/>
        </w:rPr>
        <w:t>If seeking approval to not display the expiration date for OMB approval of the information collection, explain the reason</w:t>
      </w:r>
      <w:r w:rsidR="00D27687">
        <w:rPr>
          <w:b/>
          <w:sz w:val="24"/>
        </w:rPr>
        <w:t>s</w:t>
      </w:r>
      <w:r w:rsidRPr="00E17CA9">
        <w:rPr>
          <w:b/>
          <w:sz w:val="24"/>
        </w:rPr>
        <w:t xml:space="preserve"> display would be inappropriate.</w:t>
      </w:r>
    </w:p>
    <w:p w:rsidR="006067A2" w:rsidP="006067A2" w:rsidRDefault="006067A2" w14:paraId="3D828DEB" w14:textId="77777777"/>
    <w:p w:rsidR="002E6D69" w:rsidP="006067A2" w:rsidRDefault="002E6D69" w14:paraId="548B4809" w14:textId="77777777">
      <w:pPr>
        <w:rPr>
          <w:sz w:val="24"/>
          <w:szCs w:val="24"/>
        </w:rPr>
      </w:pPr>
      <w:r w:rsidRPr="002E6D69">
        <w:rPr>
          <w:sz w:val="24"/>
          <w:szCs w:val="24"/>
        </w:rPr>
        <w:t xml:space="preserve">There </w:t>
      </w:r>
      <w:r w:rsidR="001E7D35">
        <w:rPr>
          <w:sz w:val="24"/>
          <w:szCs w:val="24"/>
        </w:rPr>
        <w:t>is</w:t>
      </w:r>
      <w:r w:rsidRPr="002E6D69">
        <w:rPr>
          <w:sz w:val="24"/>
          <w:szCs w:val="24"/>
        </w:rPr>
        <w:t xml:space="preserve"> no reason not to display.</w:t>
      </w:r>
    </w:p>
    <w:p w:rsidRPr="002E6D69" w:rsidR="00E17CA9" w:rsidP="006067A2" w:rsidRDefault="00E17CA9" w14:paraId="7E576F09" w14:textId="77777777">
      <w:pPr>
        <w:rPr>
          <w:sz w:val="24"/>
          <w:szCs w:val="24"/>
        </w:rPr>
      </w:pPr>
    </w:p>
    <w:p w:rsidRPr="00DA07B4" w:rsidR="00DA07B4" w:rsidP="00EE7FB4" w:rsidRDefault="00EE7FB4" w14:paraId="7B4BB071" w14:textId="77777777">
      <w:r>
        <w:rPr>
          <w:b/>
          <w:sz w:val="24"/>
        </w:rPr>
        <w:t xml:space="preserve">18. </w:t>
      </w:r>
      <w:r w:rsidRPr="00E17CA9" w:rsidR="006067A2">
        <w:rPr>
          <w:b/>
          <w:sz w:val="24"/>
        </w:rPr>
        <w:t xml:space="preserve">Explain each exception to the </w:t>
      </w:r>
      <w:r w:rsidRPr="00D27687" w:rsidR="00D27687">
        <w:rPr>
          <w:b/>
          <w:bCs/>
          <w:sz w:val="24"/>
        </w:rPr>
        <w:t>topics of the certification statement identified in “Certification for Paperwork Reduction Act Submissions.”</w:t>
      </w:r>
    </w:p>
    <w:p w:rsidR="00DA07B4" w:rsidP="00DA07B4" w:rsidRDefault="00DA07B4" w14:paraId="21BCC8C7" w14:textId="77777777">
      <w:pPr>
        <w:rPr>
          <w:b/>
          <w:sz w:val="24"/>
        </w:rPr>
      </w:pPr>
    </w:p>
    <w:p w:rsidRPr="000C115E" w:rsidR="006067A2" w:rsidP="00DA07B4" w:rsidRDefault="006067A2" w14:paraId="626F3928" w14:textId="77777777">
      <w:r w:rsidRPr="006067A2">
        <w:rPr>
          <w:sz w:val="24"/>
          <w:szCs w:val="24"/>
        </w:rPr>
        <w:t xml:space="preserve">There </w:t>
      </w:r>
      <w:r w:rsidR="00D27687">
        <w:rPr>
          <w:sz w:val="24"/>
          <w:szCs w:val="24"/>
        </w:rPr>
        <w:t xml:space="preserve">are </w:t>
      </w:r>
      <w:r w:rsidRPr="006067A2">
        <w:rPr>
          <w:sz w:val="24"/>
          <w:szCs w:val="24"/>
        </w:rPr>
        <w:t>no exceptions</w:t>
      </w:r>
      <w:r>
        <w:t>.</w:t>
      </w:r>
    </w:p>
    <w:sectPr w:rsidRPr="000C115E" w:rsidR="006067A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F9BB9" w14:textId="77777777" w:rsidR="00022B78" w:rsidRDefault="00022B78" w:rsidP="00022B78">
      <w:r>
        <w:separator/>
      </w:r>
    </w:p>
  </w:endnote>
  <w:endnote w:type="continuationSeparator" w:id="0">
    <w:p w14:paraId="75E82477" w14:textId="77777777" w:rsidR="00022B78" w:rsidRDefault="00022B78" w:rsidP="00022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E6B32" w14:textId="77777777" w:rsidR="00022B78" w:rsidRDefault="00022B78" w:rsidP="00022B78">
      <w:r>
        <w:separator/>
      </w:r>
    </w:p>
  </w:footnote>
  <w:footnote w:type="continuationSeparator" w:id="0">
    <w:p w14:paraId="02C29006" w14:textId="77777777" w:rsidR="00022B78" w:rsidRDefault="00022B78" w:rsidP="00022B78">
      <w:r>
        <w:continuationSeparator/>
      </w:r>
    </w:p>
  </w:footnote>
  <w:footnote w:id="1">
    <w:p w14:paraId="0B588803" w14:textId="5ACBF812" w:rsidR="00022B78" w:rsidRPr="00DE20B7" w:rsidRDefault="00022B78" w:rsidP="00022B78">
      <w:pPr>
        <w:rPr>
          <w:rFonts w:ascii="Calibri" w:hAnsi="Calibri" w:cs="Calibri"/>
          <w:color w:val="0563C1"/>
          <w:sz w:val="22"/>
          <w:szCs w:val="22"/>
          <w:u w:val="single"/>
        </w:rPr>
      </w:pPr>
      <w:r>
        <w:rPr>
          <w:rStyle w:val="FootnoteReference"/>
        </w:rPr>
        <w:footnoteRef/>
      </w:r>
      <w:r>
        <w:t xml:space="preserve"> </w:t>
      </w:r>
      <w:r w:rsidRPr="00633343">
        <w:rPr>
          <w:rFonts w:ascii="Calibri" w:hAnsi="Calibri" w:cs="Calibri"/>
          <w:color w:val="0563C1"/>
          <w:sz w:val="22"/>
          <w:szCs w:val="22"/>
          <w:u w:val="single"/>
        </w:rPr>
        <w:t>https://www.bls.gov/oes/current/oes</w:t>
      </w:r>
      <w:r w:rsidR="005037D5">
        <w:rPr>
          <w:rFonts w:ascii="Calibri" w:hAnsi="Calibri" w:cs="Calibri"/>
          <w:color w:val="0563C1"/>
          <w:sz w:val="22"/>
          <w:szCs w:val="22"/>
          <w:u w:val="single"/>
        </w:rPr>
        <w:t>414011</w:t>
      </w:r>
      <w:r w:rsidRPr="00633343">
        <w:rPr>
          <w:rFonts w:ascii="Calibri" w:hAnsi="Calibri" w:cs="Calibri"/>
          <w:color w:val="0563C1"/>
          <w:sz w:val="22"/>
          <w:szCs w:val="22"/>
          <w:u w:val="single"/>
        </w:rPr>
        <w:t>.htm</w:t>
      </w:r>
    </w:p>
  </w:footnote>
  <w:footnote w:id="2">
    <w:p w14:paraId="5E6695C2" w14:textId="77777777" w:rsidR="00022B78" w:rsidRDefault="00022B78" w:rsidP="00022B78">
      <w:pPr>
        <w:pStyle w:val="FootnoteText"/>
      </w:pPr>
      <w:r>
        <w:rPr>
          <w:rStyle w:val="FootnoteReference"/>
        </w:rPr>
        <w:footnoteRef/>
      </w:r>
      <w:r>
        <w:t xml:space="preserve"> </w:t>
      </w:r>
      <w:hyperlink r:id="rId1" w:history="1">
        <w:r w:rsidRPr="003869D0">
          <w:rPr>
            <w:rStyle w:val="Hyperlink"/>
          </w:rPr>
          <w:t>https://www.bls.gov/news.release/pdf/ecec.pdf</w:t>
        </w:r>
      </w:hyperlink>
      <w:r>
        <w:t xml:space="preserve"> </w:t>
      </w:r>
      <w:r w:rsidRPr="0003731C">
        <w:t>released September 17, 2019</w:t>
      </w:r>
    </w:p>
  </w:footnote>
  <w:footnote w:id="3">
    <w:p w14:paraId="3B7BAB29" w14:textId="77777777" w:rsidR="00022B78" w:rsidRDefault="00022B78" w:rsidP="00022B78">
      <w:pPr>
        <w:pStyle w:val="FootnoteText"/>
      </w:pPr>
      <w:r>
        <w:rPr>
          <w:rStyle w:val="FootnoteReference"/>
        </w:rPr>
        <w:footnoteRef/>
      </w:r>
      <w:r>
        <w:t xml:space="preserve"> </w:t>
      </w:r>
      <w:hyperlink r:id="rId2" w:history="1">
        <w:r w:rsidRPr="00937533">
          <w:rPr>
            <w:rStyle w:val="Hyperlink"/>
          </w:rPr>
          <w:t>https://www.whitehouse.gov/sites/whitehouse.gov/files/omb/memoranda/2008/m08-13.pdf</w:t>
        </w:r>
      </w:hyperlink>
      <w:r>
        <w:rPr>
          <w:color w:val="00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757BB"/>
    <w:multiLevelType w:val="hybridMultilevel"/>
    <w:tmpl w:val="E47AA25A"/>
    <w:lvl w:ilvl="0" w:tplc="A642BB88">
      <w:start w:val="1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EB448B2"/>
    <w:multiLevelType w:val="hybridMultilevel"/>
    <w:tmpl w:val="E9305C2E"/>
    <w:lvl w:ilvl="0" w:tplc="E0EC75F0">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635330F"/>
    <w:multiLevelType w:val="hybridMultilevel"/>
    <w:tmpl w:val="CA084A46"/>
    <w:lvl w:ilvl="0" w:tplc="10A616F2">
      <w:start w:val="4"/>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1CE69AA"/>
    <w:multiLevelType w:val="hybridMultilevel"/>
    <w:tmpl w:val="D3DE61EE"/>
    <w:lvl w:ilvl="0" w:tplc="93EE8710">
      <w:start w:val="18"/>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15:restartNumberingAfterBreak="0">
    <w:nsid w:val="6B6F4ADC"/>
    <w:multiLevelType w:val="hybridMultilevel"/>
    <w:tmpl w:val="62E8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15E"/>
    <w:rsid w:val="00022B78"/>
    <w:rsid w:val="0008080C"/>
    <w:rsid w:val="000A410E"/>
    <w:rsid w:val="000B62A7"/>
    <w:rsid w:val="000C115E"/>
    <w:rsid w:val="000D3B0B"/>
    <w:rsid w:val="000E67C6"/>
    <w:rsid w:val="00114134"/>
    <w:rsid w:val="00171A9C"/>
    <w:rsid w:val="001846AA"/>
    <w:rsid w:val="001C4686"/>
    <w:rsid w:val="001E7D35"/>
    <w:rsid w:val="00216885"/>
    <w:rsid w:val="0027715D"/>
    <w:rsid w:val="002E6D69"/>
    <w:rsid w:val="00302142"/>
    <w:rsid w:val="0031649F"/>
    <w:rsid w:val="00333EDD"/>
    <w:rsid w:val="0033770B"/>
    <w:rsid w:val="0035291C"/>
    <w:rsid w:val="003822E6"/>
    <w:rsid w:val="003F2D91"/>
    <w:rsid w:val="003F5BB4"/>
    <w:rsid w:val="004073D8"/>
    <w:rsid w:val="00437BA1"/>
    <w:rsid w:val="004446C8"/>
    <w:rsid w:val="00471478"/>
    <w:rsid w:val="00481B2F"/>
    <w:rsid w:val="00487496"/>
    <w:rsid w:val="005037D5"/>
    <w:rsid w:val="005053E6"/>
    <w:rsid w:val="00531183"/>
    <w:rsid w:val="005E7A71"/>
    <w:rsid w:val="006067A2"/>
    <w:rsid w:val="006131C5"/>
    <w:rsid w:val="00651E03"/>
    <w:rsid w:val="00654377"/>
    <w:rsid w:val="00664304"/>
    <w:rsid w:val="006D4103"/>
    <w:rsid w:val="006F7A27"/>
    <w:rsid w:val="00750146"/>
    <w:rsid w:val="00780D10"/>
    <w:rsid w:val="0079354C"/>
    <w:rsid w:val="007A341C"/>
    <w:rsid w:val="007C0BDC"/>
    <w:rsid w:val="007D5220"/>
    <w:rsid w:val="007E72A0"/>
    <w:rsid w:val="0082310E"/>
    <w:rsid w:val="0082635C"/>
    <w:rsid w:val="0083254C"/>
    <w:rsid w:val="008E060A"/>
    <w:rsid w:val="008E2143"/>
    <w:rsid w:val="0095324D"/>
    <w:rsid w:val="00955F52"/>
    <w:rsid w:val="00A83810"/>
    <w:rsid w:val="00AB670D"/>
    <w:rsid w:val="00AC432C"/>
    <w:rsid w:val="00AE071A"/>
    <w:rsid w:val="00B01D9B"/>
    <w:rsid w:val="00B12667"/>
    <w:rsid w:val="00B46915"/>
    <w:rsid w:val="00B470B4"/>
    <w:rsid w:val="00B57133"/>
    <w:rsid w:val="00BA4C9A"/>
    <w:rsid w:val="00BD5756"/>
    <w:rsid w:val="00C060D2"/>
    <w:rsid w:val="00C80010"/>
    <w:rsid w:val="00C915AC"/>
    <w:rsid w:val="00C92101"/>
    <w:rsid w:val="00CA70C8"/>
    <w:rsid w:val="00CB3C23"/>
    <w:rsid w:val="00CB5DCB"/>
    <w:rsid w:val="00CD4E28"/>
    <w:rsid w:val="00CF127C"/>
    <w:rsid w:val="00D0518F"/>
    <w:rsid w:val="00D27687"/>
    <w:rsid w:val="00D613FC"/>
    <w:rsid w:val="00DA07B4"/>
    <w:rsid w:val="00DB11CC"/>
    <w:rsid w:val="00DB4A08"/>
    <w:rsid w:val="00E01B85"/>
    <w:rsid w:val="00E17CA9"/>
    <w:rsid w:val="00E51F2D"/>
    <w:rsid w:val="00EE7FB4"/>
    <w:rsid w:val="00F04356"/>
    <w:rsid w:val="00F85833"/>
    <w:rsid w:val="00F93F53"/>
    <w:rsid w:val="00FB090B"/>
    <w:rsid w:val="00FB481A"/>
    <w:rsid w:val="00FD0139"/>
    <w:rsid w:val="00FF0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A1AE4"/>
  <w15:chartTrackingRefBased/>
  <w15:docId w15:val="{4CC6953C-4502-4822-9C6A-BA387C818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15E"/>
    <w:pPr>
      <w:overflowPunct w:val="0"/>
      <w:autoSpaceDE w:val="0"/>
      <w:autoSpaceDN w:val="0"/>
      <w:adjustRightInd w:val="0"/>
      <w:textAlignment w:val="baseline"/>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687"/>
    <w:pPr>
      <w:ind w:left="720"/>
      <w:contextualSpacing/>
    </w:pPr>
  </w:style>
  <w:style w:type="character" w:styleId="CommentReference">
    <w:name w:val="annotation reference"/>
    <w:basedOn w:val="DefaultParagraphFont"/>
    <w:rsid w:val="00CB5DCB"/>
    <w:rPr>
      <w:sz w:val="16"/>
      <w:szCs w:val="16"/>
    </w:rPr>
  </w:style>
  <w:style w:type="paragraph" w:styleId="CommentText">
    <w:name w:val="annotation text"/>
    <w:basedOn w:val="Normal"/>
    <w:link w:val="CommentTextChar"/>
    <w:rsid w:val="00CB5DCB"/>
  </w:style>
  <w:style w:type="character" w:customStyle="1" w:styleId="CommentTextChar">
    <w:name w:val="Comment Text Char"/>
    <w:basedOn w:val="DefaultParagraphFont"/>
    <w:link w:val="CommentText"/>
    <w:rsid w:val="00CB5DCB"/>
  </w:style>
  <w:style w:type="paragraph" w:styleId="CommentSubject">
    <w:name w:val="annotation subject"/>
    <w:basedOn w:val="CommentText"/>
    <w:next w:val="CommentText"/>
    <w:link w:val="CommentSubjectChar"/>
    <w:rsid w:val="00CB5DCB"/>
    <w:rPr>
      <w:b/>
      <w:bCs/>
    </w:rPr>
  </w:style>
  <w:style w:type="character" w:customStyle="1" w:styleId="CommentSubjectChar">
    <w:name w:val="Comment Subject Char"/>
    <w:basedOn w:val="CommentTextChar"/>
    <w:link w:val="CommentSubject"/>
    <w:rsid w:val="00CB5DCB"/>
    <w:rPr>
      <w:b/>
      <w:bCs/>
    </w:rPr>
  </w:style>
  <w:style w:type="paragraph" w:styleId="BalloonText">
    <w:name w:val="Balloon Text"/>
    <w:basedOn w:val="Normal"/>
    <w:link w:val="BalloonTextChar"/>
    <w:rsid w:val="00CB5DCB"/>
    <w:rPr>
      <w:rFonts w:ascii="Segoe UI" w:hAnsi="Segoe UI" w:cs="Segoe UI"/>
      <w:sz w:val="18"/>
      <w:szCs w:val="18"/>
    </w:rPr>
  </w:style>
  <w:style w:type="character" w:customStyle="1" w:styleId="BalloonTextChar">
    <w:name w:val="Balloon Text Char"/>
    <w:basedOn w:val="DefaultParagraphFont"/>
    <w:link w:val="BalloonText"/>
    <w:rsid w:val="00CB5DCB"/>
    <w:rPr>
      <w:rFonts w:ascii="Segoe UI" w:hAnsi="Segoe UI" w:cs="Segoe UI"/>
      <w:sz w:val="18"/>
      <w:szCs w:val="18"/>
    </w:rPr>
  </w:style>
  <w:style w:type="character" w:styleId="Hyperlink">
    <w:name w:val="Hyperlink"/>
    <w:uiPriority w:val="99"/>
    <w:rsid w:val="00022B78"/>
    <w:rPr>
      <w:color w:val="0000FF"/>
      <w:u w:val="single"/>
    </w:rPr>
  </w:style>
  <w:style w:type="paragraph" w:styleId="FootnoteText">
    <w:name w:val="footnote text"/>
    <w:basedOn w:val="Normal"/>
    <w:link w:val="FootnoteTextChar"/>
    <w:uiPriority w:val="99"/>
    <w:unhideWhenUsed/>
    <w:rsid w:val="00022B78"/>
    <w:pPr>
      <w:overflowPunct/>
      <w:autoSpaceDE/>
      <w:autoSpaceDN/>
      <w:adjustRightInd/>
      <w:textAlignment w:val="auto"/>
    </w:pPr>
    <w:rPr>
      <w:rFonts w:ascii="Courier" w:hAnsi="Courier"/>
    </w:rPr>
  </w:style>
  <w:style w:type="character" w:customStyle="1" w:styleId="FootnoteTextChar">
    <w:name w:val="Footnote Text Char"/>
    <w:basedOn w:val="DefaultParagraphFont"/>
    <w:link w:val="FootnoteText"/>
    <w:uiPriority w:val="99"/>
    <w:rsid w:val="00022B78"/>
    <w:rPr>
      <w:rFonts w:ascii="Courier" w:hAnsi="Courier"/>
    </w:rPr>
  </w:style>
  <w:style w:type="character" w:styleId="FootnoteReference">
    <w:name w:val="footnote reference"/>
    <w:basedOn w:val="DefaultParagraphFont"/>
    <w:uiPriority w:val="99"/>
    <w:unhideWhenUsed/>
    <w:rsid w:val="00022B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17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whitehouse.gov/sites/whitehouse.gov/files/omb/memoranda/2008/m08-13.pdf" TargetMode="External"/><Relationship Id="rId1"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2161</Words>
  <Characters>12306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DOT/FAA</Company>
  <LinksUpToDate>false</LinksUpToDate>
  <CharactersWithSpaces>14439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Shirley Lykins</dc:creator>
  <cp:keywords/>
  <cp:lastModifiedBy>Lefko, Bonnie (FAA)</cp:lastModifiedBy>
  <cp:revision>8</cp:revision>
  <cp:lastPrinted>2011-04-07T14:41:00Z</cp:lastPrinted>
  <dcterms:created xsi:type="dcterms:W3CDTF">2020-07-21T12:50:00Z</dcterms:created>
  <dcterms:modified xsi:type="dcterms:W3CDTF">2020-09-08T13:41:00Z</dcterms:modified>
</cp:coreProperties>
</file>