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35821" w:rsidR="001A0E88" w:rsidP="001A0E88" w:rsidRDefault="009E611B" w14:paraId="4BE511C7" w14:textId="77777777">
      <w:pPr>
        <w:widowControl w:val="0"/>
        <w:tabs>
          <w:tab w:val="center" w:pos="4680"/>
        </w:tabs>
        <w:jc w:val="center"/>
        <w:rPr>
          <w:b/>
          <w:szCs w:val="24"/>
        </w:rPr>
      </w:pPr>
      <w:r w:rsidRPr="00E35821">
        <w:fldChar w:fldCharType="begin"/>
      </w:r>
      <w:r w:rsidRPr="00E35821">
        <w:instrText xml:space="preserve"> SEQ CHAPTER \h \r 1</w:instrText>
      </w:r>
      <w:r w:rsidRPr="00E35821">
        <w:fldChar w:fldCharType="end"/>
      </w:r>
      <w:r w:rsidRPr="00E35821" w:rsidR="001A0E88">
        <w:fldChar w:fldCharType="begin"/>
      </w:r>
      <w:r w:rsidRPr="00E35821" w:rsidR="001A0E88">
        <w:instrText xml:space="preserve"> SEQ CHAPTER \h \r 1</w:instrText>
      </w:r>
      <w:r w:rsidRPr="00E35821" w:rsidR="001A0E88">
        <w:fldChar w:fldCharType="end"/>
      </w:r>
      <w:r w:rsidRPr="00E35821" w:rsidR="001A0E88">
        <w:fldChar w:fldCharType="begin"/>
      </w:r>
      <w:r w:rsidRPr="00E35821" w:rsidR="001A0E88">
        <w:instrText xml:space="preserve"> SEQ CHAPTER \h \r 1</w:instrText>
      </w:r>
      <w:r w:rsidRPr="00E35821" w:rsidR="001A0E88">
        <w:fldChar w:fldCharType="end"/>
      </w:r>
      <w:r w:rsidRPr="00E35821" w:rsidR="001A0E88">
        <w:fldChar w:fldCharType="begin"/>
      </w:r>
      <w:r w:rsidRPr="00E35821" w:rsidR="001A0E88">
        <w:instrText xml:space="preserve"> SEQ CHAPTER \h \r 1</w:instrText>
      </w:r>
      <w:r w:rsidRPr="00E35821" w:rsidR="001A0E88">
        <w:fldChar w:fldCharType="end"/>
      </w:r>
      <w:r w:rsidRPr="00E35821" w:rsidR="001A0E88">
        <w:rPr>
          <w:b/>
          <w:szCs w:val="24"/>
        </w:rPr>
        <w:t>FEDERAL RAILROAD ADMINISTRATION</w:t>
      </w:r>
    </w:p>
    <w:p w:rsidRPr="00E35821" w:rsidR="001A0E88" w:rsidP="001A0E88" w:rsidRDefault="001A0E88" w14:paraId="4BE511C8" w14:textId="77777777">
      <w:pPr>
        <w:widowControl w:val="0"/>
        <w:tabs>
          <w:tab w:val="center" w:pos="4680"/>
        </w:tabs>
        <w:jc w:val="center"/>
        <w:rPr>
          <w:b/>
          <w:szCs w:val="24"/>
        </w:rPr>
      </w:pPr>
      <w:r w:rsidRPr="00E35821">
        <w:rPr>
          <w:b/>
          <w:szCs w:val="24"/>
        </w:rPr>
        <w:t xml:space="preserve">Locomotive Crashworthiness   </w:t>
      </w:r>
    </w:p>
    <w:p w:rsidRPr="00E35821" w:rsidR="001A0E88" w:rsidP="001A0E88" w:rsidRDefault="001A0E88" w14:paraId="4BE511C9" w14:textId="77777777">
      <w:pPr>
        <w:widowControl w:val="0"/>
        <w:tabs>
          <w:tab w:val="center" w:pos="4680"/>
        </w:tabs>
        <w:jc w:val="center"/>
        <w:rPr>
          <w:b/>
          <w:szCs w:val="24"/>
        </w:rPr>
      </w:pPr>
      <w:r w:rsidRPr="00E35821">
        <w:rPr>
          <w:b/>
          <w:szCs w:val="24"/>
        </w:rPr>
        <w:t xml:space="preserve">(Title 49 </w:t>
      </w:r>
      <w:bookmarkStart w:name="_Hlk42544345" w:id="0"/>
      <w:r w:rsidRPr="00E35821">
        <w:rPr>
          <w:b/>
          <w:szCs w:val="24"/>
        </w:rPr>
        <w:t xml:space="preserve">Code of Federal Regulations </w:t>
      </w:r>
      <w:bookmarkEnd w:id="0"/>
      <w:r w:rsidRPr="00E35821">
        <w:rPr>
          <w:b/>
          <w:szCs w:val="24"/>
        </w:rPr>
        <w:t>Parts 229 and 238)</w:t>
      </w:r>
    </w:p>
    <w:p w:rsidRPr="00E35821" w:rsidR="001A0E88" w:rsidP="001A0E88" w:rsidRDefault="001A0E88" w14:paraId="4BE511CA" w14:textId="77777777">
      <w:pPr>
        <w:widowControl w:val="0"/>
        <w:tabs>
          <w:tab w:val="center" w:pos="4680"/>
        </w:tabs>
        <w:jc w:val="center"/>
        <w:rPr>
          <w:szCs w:val="24"/>
        </w:rPr>
      </w:pPr>
      <w:r w:rsidRPr="00E35821">
        <w:rPr>
          <w:b/>
          <w:szCs w:val="24"/>
        </w:rPr>
        <w:t>SUPPORTING JUSTIFICATION</w:t>
      </w:r>
    </w:p>
    <w:p w:rsidRPr="00E35821" w:rsidR="001A0E88" w:rsidP="001A0E88" w:rsidRDefault="001A0E88" w14:paraId="4BE511CB" w14:textId="77777777">
      <w:pPr>
        <w:widowControl w:val="0"/>
        <w:tabs>
          <w:tab w:val="center" w:pos="4680"/>
        </w:tabs>
        <w:jc w:val="center"/>
        <w:rPr>
          <w:b/>
          <w:sz w:val="28"/>
        </w:rPr>
      </w:pPr>
      <w:r w:rsidRPr="00E35821">
        <w:rPr>
          <w:b/>
          <w:szCs w:val="24"/>
        </w:rPr>
        <w:t>OMB Control No. 2130-0564</w:t>
      </w:r>
    </w:p>
    <w:p w:rsidRPr="00E35821" w:rsidR="00900328" w:rsidRDefault="00900328" w14:paraId="4BE511CC" w14:textId="77777777">
      <w:pPr>
        <w:widowControl w:val="0"/>
        <w:tabs>
          <w:tab w:val="center" w:pos="4680"/>
        </w:tabs>
        <w:rPr>
          <w:b/>
        </w:rPr>
      </w:pPr>
    </w:p>
    <w:p w:rsidRPr="00E35821" w:rsidR="00900328" w:rsidP="00900328" w:rsidRDefault="00900328" w14:paraId="4BE511CD" w14:textId="77777777">
      <w:pPr>
        <w:widowControl w:val="0"/>
        <w:ind w:left="720"/>
        <w:rPr>
          <w:u w:val="single"/>
        </w:rPr>
      </w:pPr>
      <w:r w:rsidRPr="00E35821">
        <w:rPr>
          <w:u w:val="single"/>
        </w:rPr>
        <w:t>Summary of Submission</w:t>
      </w:r>
    </w:p>
    <w:p w:rsidRPr="00E35821" w:rsidR="00900328" w:rsidP="00900328" w:rsidRDefault="00900328" w14:paraId="4BE511CE" w14:textId="77777777">
      <w:pPr>
        <w:widowControl w:val="0"/>
        <w:ind w:left="720"/>
        <w:rPr>
          <w:u w:val="single"/>
        </w:rPr>
      </w:pPr>
      <w:bookmarkStart w:name="_GoBack" w:id="1"/>
      <w:bookmarkEnd w:id="1"/>
    </w:p>
    <w:p w:rsidRPr="00E35821" w:rsidR="00026BDB" w:rsidP="00026BDB" w:rsidRDefault="00026BDB" w14:paraId="4BE511CF" w14:textId="77777777">
      <w:pPr>
        <w:widowControl w:val="0"/>
        <w:numPr>
          <w:ilvl w:val="1"/>
          <w:numId w:val="2"/>
        </w:numPr>
      </w:pPr>
      <w:r w:rsidRPr="00E35821">
        <w:t xml:space="preserve">This submission is a request for an extension with change of the last three-year approval granted by the Office of Management and Budget (OMB) on </w:t>
      </w:r>
      <w:r w:rsidRPr="00E35821" w:rsidR="00C45962">
        <w:t>July 5</w:t>
      </w:r>
      <w:r w:rsidRPr="00E35821">
        <w:t xml:space="preserve">, 2017, and which expires </w:t>
      </w:r>
      <w:r w:rsidRPr="00E35821" w:rsidR="00C45962">
        <w:t>July</w:t>
      </w:r>
      <w:r w:rsidRPr="00E35821">
        <w:t xml:space="preserve"> 31, 2020.   </w:t>
      </w:r>
    </w:p>
    <w:p w:rsidRPr="00E35821" w:rsidR="00026BDB" w:rsidP="00026BDB" w:rsidRDefault="00026BDB" w14:paraId="4BE511D0" w14:textId="77777777">
      <w:pPr>
        <w:widowControl w:val="0"/>
        <w:ind w:left="1080"/>
      </w:pPr>
    </w:p>
    <w:p w:rsidRPr="00E35821" w:rsidR="00026BDB" w:rsidP="00E95BB8" w:rsidRDefault="00026BDB" w14:paraId="4BE511D1" w14:textId="3E847658">
      <w:pPr>
        <w:widowControl w:val="0"/>
        <w:numPr>
          <w:ilvl w:val="1"/>
          <w:numId w:val="2"/>
        </w:numPr>
      </w:pPr>
      <w:r w:rsidRPr="00E35821">
        <w:t xml:space="preserve">The Federal Railroad Administration (FRA) published the required 60-day </w:t>
      </w:r>
      <w:r w:rsidRPr="00E35821">
        <w:rPr>
          <w:i/>
        </w:rPr>
        <w:t>Federal Register</w:t>
      </w:r>
      <w:r w:rsidR="00E95BB8">
        <w:t xml:space="preserve"> Notice on April 22</w:t>
      </w:r>
      <w:r w:rsidRPr="00E35821">
        <w:t xml:space="preserve">, 2020.  </w:t>
      </w:r>
      <w:r w:rsidRPr="00E35821">
        <w:rPr>
          <w:u w:val="single"/>
        </w:rPr>
        <w:t>See</w:t>
      </w:r>
      <w:r w:rsidRPr="00E35821">
        <w:t xml:space="preserve"> 85 FR </w:t>
      </w:r>
      <w:r w:rsidRPr="00E95BB8" w:rsidR="00E95BB8">
        <w:t>22512</w:t>
      </w:r>
      <w:r w:rsidRPr="00E35821">
        <w:t xml:space="preserve">.  FRA received </w:t>
      </w:r>
      <w:r w:rsidRPr="00E35821">
        <w:rPr>
          <w:u w:val="single"/>
        </w:rPr>
        <w:t>no</w:t>
      </w:r>
      <w:r w:rsidRPr="00E35821">
        <w:t xml:space="preserve"> comments in response to this Notice.  </w:t>
      </w:r>
    </w:p>
    <w:p w:rsidRPr="00E35821" w:rsidR="00026BDB" w:rsidP="00026BDB" w:rsidRDefault="00026BDB" w14:paraId="4BE511D2" w14:textId="77777777">
      <w:pPr>
        <w:widowControl w:val="0"/>
        <w:ind w:left="1080"/>
      </w:pPr>
    </w:p>
    <w:p w:rsidRPr="00E35821" w:rsidR="00026BDB" w:rsidP="00026BDB" w:rsidRDefault="00026BDB" w14:paraId="4BE511D3" w14:textId="77777777">
      <w:pPr>
        <w:widowControl w:val="0"/>
        <w:numPr>
          <w:ilvl w:val="1"/>
          <w:numId w:val="2"/>
        </w:numPr>
        <w:rPr>
          <w:szCs w:val="24"/>
        </w:rPr>
      </w:pPr>
      <w:r w:rsidRPr="00E35821">
        <w:rPr>
          <w:szCs w:val="24"/>
        </w:rPr>
        <w:t xml:space="preserve">The total number of burden hours requested for this information collection is </w:t>
      </w:r>
      <w:r w:rsidRPr="00E35821" w:rsidR="00C45962">
        <w:rPr>
          <w:szCs w:val="24"/>
        </w:rPr>
        <w:t>507</w:t>
      </w:r>
      <w:r w:rsidRPr="00E35821">
        <w:rPr>
          <w:szCs w:val="24"/>
        </w:rPr>
        <w:t xml:space="preserve"> hours.  The total number of burden hours previously approved by OMB was </w:t>
      </w:r>
      <w:r w:rsidRPr="00E35821" w:rsidR="00C45962">
        <w:t>6,470</w:t>
      </w:r>
      <w:r w:rsidRPr="00E35821">
        <w:t xml:space="preserve"> </w:t>
      </w:r>
      <w:r w:rsidRPr="00E35821">
        <w:rPr>
          <w:szCs w:val="24"/>
        </w:rPr>
        <w:t>hours.</w:t>
      </w:r>
    </w:p>
    <w:p w:rsidRPr="00E35821" w:rsidR="00026BDB" w:rsidP="00026BDB" w:rsidRDefault="00026BDB" w14:paraId="4BE511D4" w14:textId="77777777">
      <w:pPr>
        <w:widowControl w:val="0"/>
        <w:rPr>
          <w:szCs w:val="24"/>
        </w:rPr>
      </w:pPr>
    </w:p>
    <w:p w:rsidRPr="00E35821" w:rsidR="00026BDB" w:rsidP="00026BDB" w:rsidRDefault="00026BDB" w14:paraId="4BE511D5" w14:textId="77777777">
      <w:pPr>
        <w:widowControl w:val="0"/>
        <w:numPr>
          <w:ilvl w:val="1"/>
          <w:numId w:val="2"/>
        </w:numPr>
        <w:rPr>
          <w:szCs w:val="24"/>
        </w:rPr>
      </w:pPr>
      <w:r w:rsidRPr="00E35821">
        <w:rPr>
          <w:szCs w:val="24"/>
        </w:rPr>
        <w:t xml:space="preserve">The total number of responses requested for this information collection is </w:t>
      </w:r>
      <w:r w:rsidRPr="00E35821" w:rsidR="00C45962">
        <w:rPr>
          <w:szCs w:val="24"/>
        </w:rPr>
        <w:t>546</w:t>
      </w:r>
      <w:r w:rsidRPr="00E35821">
        <w:rPr>
          <w:szCs w:val="24"/>
        </w:rPr>
        <w:t xml:space="preserve">.  The total number of responses previously approved by OMB was </w:t>
      </w:r>
      <w:r w:rsidRPr="00E35821" w:rsidR="00C45962">
        <w:t>551</w:t>
      </w:r>
      <w:r w:rsidRPr="00E35821">
        <w:rPr>
          <w:szCs w:val="24"/>
        </w:rPr>
        <w:t>.</w:t>
      </w:r>
    </w:p>
    <w:p w:rsidRPr="00E35821" w:rsidR="00026BDB" w:rsidP="00026BDB" w:rsidRDefault="00026BDB" w14:paraId="4BE511D6" w14:textId="77777777">
      <w:pPr>
        <w:pStyle w:val="ListParagraph"/>
      </w:pPr>
    </w:p>
    <w:p w:rsidRPr="00E35821" w:rsidR="00026BDB" w:rsidP="00C45962" w:rsidRDefault="00026BDB" w14:paraId="4BE511D7" w14:textId="77777777">
      <w:pPr>
        <w:widowControl w:val="0"/>
        <w:numPr>
          <w:ilvl w:val="1"/>
          <w:numId w:val="2"/>
        </w:numPr>
        <w:rPr>
          <w:szCs w:val="24"/>
        </w:rPr>
      </w:pPr>
      <w:r w:rsidRPr="00E35821">
        <w:rPr>
          <w:szCs w:val="24"/>
        </w:rPr>
        <w:t xml:space="preserve">Overall, the adjustments decreased the burden by </w:t>
      </w:r>
      <w:r w:rsidRPr="00E35821" w:rsidR="00C45962">
        <w:rPr>
          <w:szCs w:val="24"/>
        </w:rPr>
        <w:t xml:space="preserve">5,963 </w:t>
      </w:r>
      <w:r w:rsidRPr="00E35821">
        <w:rPr>
          <w:szCs w:val="24"/>
        </w:rPr>
        <w:t xml:space="preserve">hours and decreased responses by </w:t>
      </w:r>
      <w:r w:rsidRPr="00E35821" w:rsidR="00C45962">
        <w:rPr>
          <w:szCs w:val="24"/>
        </w:rPr>
        <w:t>5</w:t>
      </w:r>
      <w:r w:rsidRPr="00E35821">
        <w:rPr>
          <w:szCs w:val="24"/>
        </w:rPr>
        <w:t xml:space="preserve"> after a thorough review of the data.  </w:t>
      </w:r>
    </w:p>
    <w:p w:rsidRPr="00E35821" w:rsidR="00026BDB" w:rsidP="00026BDB" w:rsidRDefault="00026BDB" w14:paraId="4BE511D8" w14:textId="77777777">
      <w:pPr>
        <w:widowControl w:val="0"/>
        <w:rPr>
          <w:szCs w:val="24"/>
        </w:rPr>
      </w:pPr>
    </w:p>
    <w:p w:rsidRPr="00E35821" w:rsidR="00026BDB" w:rsidP="00026BDB" w:rsidRDefault="00026BDB" w14:paraId="4BE511D9" w14:textId="77777777">
      <w:pPr>
        <w:widowControl w:val="0"/>
        <w:numPr>
          <w:ilvl w:val="1"/>
          <w:numId w:val="2"/>
        </w:numPr>
        <w:rPr>
          <w:szCs w:val="24"/>
        </w:rPr>
      </w:pPr>
      <w:r w:rsidRPr="00E35821">
        <w:rPr>
          <w:szCs w:val="24"/>
        </w:rPr>
        <w:t xml:space="preserve">The answer to question </w:t>
      </w:r>
      <w:r w:rsidRPr="00E35821">
        <w:rPr>
          <w:szCs w:val="24"/>
          <w:u w:val="single"/>
        </w:rPr>
        <w:t>number 12</w:t>
      </w:r>
      <w:r w:rsidRPr="00E35821">
        <w:rPr>
          <w:szCs w:val="24"/>
        </w:rPr>
        <w:t xml:space="preserve"> </w:t>
      </w:r>
      <w:r w:rsidRPr="00E35821">
        <w:t>itemizes all information collection requirements with each requirement of these rules</w:t>
      </w:r>
      <w:r w:rsidRPr="00E35821">
        <w:rPr>
          <w:szCs w:val="24"/>
        </w:rPr>
        <w:t xml:space="preserve">.  </w:t>
      </w:r>
    </w:p>
    <w:p w:rsidRPr="00E35821" w:rsidR="00026BDB" w:rsidP="00026BDB" w:rsidRDefault="00026BDB" w14:paraId="4BE511DA" w14:textId="77777777">
      <w:pPr>
        <w:widowControl w:val="0"/>
        <w:ind w:left="1080"/>
        <w:rPr>
          <w:szCs w:val="24"/>
        </w:rPr>
      </w:pPr>
    </w:p>
    <w:p w:rsidRPr="00E35821" w:rsidR="00026BDB" w:rsidP="00026BDB" w:rsidRDefault="00026BDB" w14:paraId="4BE511DB" w14:textId="77777777">
      <w:pPr>
        <w:widowControl w:val="0"/>
        <w:numPr>
          <w:ilvl w:val="1"/>
          <w:numId w:val="2"/>
        </w:numPr>
        <w:rPr>
          <w:szCs w:val="24"/>
        </w:rPr>
      </w:pPr>
      <w:r w:rsidRPr="00E35821">
        <w:rPr>
          <w:szCs w:val="24"/>
        </w:rPr>
        <w:t xml:space="preserve">The answer to question </w:t>
      </w:r>
      <w:r w:rsidRPr="00E35821">
        <w:rPr>
          <w:szCs w:val="24"/>
          <w:u w:val="single"/>
        </w:rPr>
        <w:t>number 15</w:t>
      </w:r>
      <w:r w:rsidRPr="00E35821">
        <w:rPr>
          <w:szCs w:val="24"/>
        </w:rPr>
        <w:t xml:space="preserve"> itemizes all adjustments associated with this rule.  </w:t>
      </w:r>
    </w:p>
    <w:p w:rsidRPr="00E35821" w:rsidR="00026BDB" w:rsidP="00026BDB" w:rsidRDefault="00026BDB" w14:paraId="4BE511DC" w14:textId="77777777">
      <w:pPr>
        <w:widowControl w:val="0"/>
        <w:ind w:left="1080"/>
        <w:outlineLvl w:val="0"/>
      </w:pPr>
    </w:p>
    <w:p w:rsidRPr="00E35821" w:rsidR="00026BDB" w:rsidP="00026BDB" w:rsidRDefault="00026BDB" w14:paraId="4BE511DD" w14:textId="77777777">
      <w:pPr>
        <w:widowControl w:val="0"/>
        <w:numPr>
          <w:ilvl w:val="1"/>
          <w:numId w:val="2"/>
        </w:numPr>
        <w:outlineLvl w:val="0"/>
        <w:rPr>
          <w:b/>
        </w:rPr>
      </w:pPr>
      <w:r w:rsidRPr="00E35821">
        <w:t xml:space="preserve">There are </w:t>
      </w:r>
      <w:r w:rsidRPr="00E35821">
        <w:rPr>
          <w:u w:val="single"/>
        </w:rPr>
        <w:t>no</w:t>
      </w:r>
      <w:r w:rsidRPr="00E35821">
        <w:t xml:space="preserve"> program changes </w:t>
      </w:r>
      <w:proofErr w:type="gramStart"/>
      <w:r w:rsidRPr="00E35821">
        <w:t>at this time</w:t>
      </w:r>
      <w:proofErr w:type="gramEnd"/>
      <w:r w:rsidRPr="00E35821">
        <w:t>.</w:t>
      </w:r>
    </w:p>
    <w:p w:rsidRPr="00E35821" w:rsidR="009E611B" w:rsidRDefault="009E611B" w14:paraId="4BE511DE" w14:textId="77777777">
      <w:pPr>
        <w:widowControl w:val="0"/>
        <w:rPr>
          <w:b/>
        </w:rPr>
      </w:pPr>
    </w:p>
    <w:p w:rsidRPr="00E35821" w:rsidR="009E611B" w:rsidRDefault="009E611B" w14:paraId="4BE511DF" w14:textId="77777777">
      <w:pPr>
        <w:widowControl w:val="0"/>
        <w:ind w:left="720" w:hanging="720"/>
        <w:rPr>
          <w:b/>
        </w:rPr>
      </w:pPr>
      <w:r w:rsidRPr="00E35821">
        <w:rPr>
          <w:b/>
        </w:rPr>
        <w:t>1.</w:t>
      </w:r>
      <w:r w:rsidRPr="00E35821">
        <w:rPr>
          <w:b/>
        </w:rPr>
        <w:tab/>
      </w:r>
      <w:r w:rsidRPr="00E35821" w:rsidR="00DD1CF1">
        <w:rPr>
          <w:b/>
          <w:u w:val="single"/>
        </w:rPr>
        <w:t>Circumstances that make collection of the information necessary</w:t>
      </w:r>
      <w:r w:rsidRPr="00E35821" w:rsidR="00DD1CF1">
        <w:rPr>
          <w:b/>
        </w:rPr>
        <w:t>.</w:t>
      </w:r>
    </w:p>
    <w:p w:rsidRPr="00E35821" w:rsidR="009E611B" w:rsidRDefault="009E611B" w14:paraId="4BE511E2" w14:textId="29D72321">
      <w:pPr>
        <w:widowControl w:val="0"/>
      </w:pPr>
    </w:p>
    <w:p w:rsidR="009E611B" w:rsidP="005675FC" w:rsidRDefault="009E611B" w14:paraId="4BE511E4" w14:textId="64F362A1">
      <w:pPr>
        <w:widowControl w:val="0"/>
        <w:ind w:left="720"/>
      </w:pPr>
      <w:r w:rsidRPr="00E35821">
        <w:t xml:space="preserve">FRA has broad statutory authority to regulate railroad safety.  The Locomotive Inspection Act (LIA) (formerly 45 U.S.C. 22-34, now 49 U.S.C. 20701-20703) was enacted in 1911.  It prohibits the use of unsafe locomotives and authorizes FRA (by delegation from the Secretary of Transportation) to issue standards for locomotive maintenance and testing.  </w:t>
      </w:r>
      <w:proofErr w:type="gramStart"/>
      <w:r w:rsidRPr="00E35821">
        <w:t>In order to</w:t>
      </w:r>
      <w:proofErr w:type="gramEnd"/>
      <w:r w:rsidRPr="00E35821">
        <w:t xml:space="preserve"> further FRA’s ability to respond effectively to contemporary safety problems and hazards as they arise in the railroad industry, Congress enacted the Federal Railroad Safety Act of 1970 (Safety Act) (formerly 45 U.S.C. 421, 431 </w:t>
      </w:r>
      <w:r w:rsidRPr="00E35821">
        <w:rPr>
          <w:u w:val="single"/>
        </w:rPr>
        <w:t>et</w:t>
      </w:r>
      <w:r w:rsidRPr="00E35821">
        <w:t xml:space="preserve"> </w:t>
      </w:r>
      <w:r w:rsidRPr="00E35821">
        <w:rPr>
          <w:u w:val="single"/>
        </w:rPr>
        <w:t>seq</w:t>
      </w:r>
      <w:r w:rsidRPr="00E35821">
        <w:t xml:space="preserve">., now found </w:t>
      </w:r>
      <w:r w:rsidRPr="00E35821">
        <w:lastRenderedPageBreak/>
        <w:t xml:space="preserve">primarily in chapter 201 of Title 49).  The Safety Act grants the Secretary of Transportation rulemaking authority over all areas of railroad safety (49 U.S.C. 20103(a)) and authority to investigate and penalize violations of any rail safety law.  This authority was subsequently delegated to the FRA Administrator (49 CFR 1.49).  </w:t>
      </w:r>
    </w:p>
    <w:p w:rsidRPr="00E35821" w:rsidR="005675FC" w:rsidP="005675FC" w:rsidRDefault="005675FC" w14:paraId="681B971A" w14:textId="77777777">
      <w:pPr>
        <w:widowControl w:val="0"/>
        <w:ind w:left="720"/>
      </w:pPr>
    </w:p>
    <w:p w:rsidRPr="00E35821" w:rsidR="009E611B" w:rsidRDefault="009E611B" w14:paraId="4BE511E9" w14:textId="060E2409">
      <w:pPr>
        <w:widowControl w:val="0"/>
        <w:ind w:left="720"/>
      </w:pPr>
      <w:r w:rsidRPr="00E35821">
        <w:t xml:space="preserve">In part 229 of Title 49 of the Code of Federal Regulations, FRA established minimum federal safety standards for locomotives.  These regulations prescribe inspection and testing requirements for locomotive components and systems, minimum locomotive cab safety requirements, and even basic crashworthiness design requirements for electric multiple-unit type locomotives.  On </w:t>
      </w:r>
      <w:smartTag w:uri="urn:schemas-microsoft-com:office:smarttags" w:element="date">
        <w:smartTagPr>
          <w:attr w:name="Year" w:val="1999"/>
          <w:attr w:name="Day" w:val="12"/>
          <w:attr w:name="Month" w:val="5"/>
        </w:smartTagPr>
        <w:r w:rsidRPr="00E35821">
          <w:t>May 12, 1999</w:t>
        </w:r>
      </w:smartTag>
      <w:r w:rsidRPr="00E35821">
        <w:t>, FRA issued regulations addressing the safety of passenger rail equipment, including passenger-occupied locomotives (i.e., cab control cars, powered multiple-unit passenger cars).</w:t>
      </w:r>
      <w:r w:rsidR="005675FC">
        <w:rPr>
          <w:rStyle w:val="FootnoteReference"/>
        </w:rPr>
        <w:footnoteReference w:id="1"/>
      </w:r>
      <w:r w:rsidRPr="00E35821">
        <w:t xml:space="preserve">  </w:t>
      </w:r>
    </w:p>
    <w:p w:rsidR="009E611B" w:rsidRDefault="009E611B" w14:paraId="4BE511EA" w14:textId="7391EA69">
      <w:pPr>
        <w:widowControl w:val="0"/>
      </w:pPr>
    </w:p>
    <w:p w:rsidRPr="00E35821" w:rsidR="008B539E" w:rsidP="008B539E" w:rsidRDefault="008B539E" w14:paraId="681C2F81" w14:textId="77777777">
      <w:pPr>
        <w:widowControl w:val="0"/>
        <w:ind w:left="720"/>
      </w:pPr>
      <w:r w:rsidRPr="00E35821">
        <w:rPr>
          <w:u w:val="single"/>
        </w:rPr>
        <w:t>Background</w:t>
      </w:r>
    </w:p>
    <w:p w:rsidRPr="00E35821" w:rsidR="008B539E" w:rsidRDefault="008B539E" w14:paraId="3FDAB894" w14:textId="77777777">
      <w:pPr>
        <w:widowControl w:val="0"/>
      </w:pPr>
    </w:p>
    <w:p w:rsidR="009E611B" w:rsidRDefault="009E611B" w14:paraId="4BE511EB" w14:textId="51C40F78">
      <w:pPr>
        <w:widowControl w:val="0"/>
        <w:ind w:left="720"/>
      </w:pPr>
      <w:r w:rsidRPr="00E35821">
        <w:t xml:space="preserve">In 1992, Congress enacted The Rail Safety Enforcement and Review Act (RSERA) Pub. L. 102-365, </w:t>
      </w:r>
      <w:smartTag w:uri="urn:schemas-microsoft-com:office:smarttags" w:element="date">
        <w:smartTagPr>
          <w:attr w:name="Year" w:val="1992"/>
          <w:attr w:name="Day" w:val="3"/>
          <w:attr w:name="Month" w:val="9"/>
        </w:smartTagPr>
        <w:r w:rsidRPr="00E35821">
          <w:t>September 3, 1992</w:t>
        </w:r>
      </w:smartTag>
      <w:r w:rsidRPr="00E35821">
        <w:t xml:space="preserve">.  In response to concerns raised by employee organizations, members of Congress, and recommendations of the National Transportation Safety Board (NTSB) regarding locomotive crew safety, Congress included mandates concerning locomotive crashworthiness and cab working conditions in the legislation.  Section 10 of RSERA, entitled “Locomotive Crashworthiness and Working Conditions,” required FRA “to complete a rulemaking proceeding to consider prescribing regulations to improve the safety and working conditions of locomotive cabs.”  </w:t>
      </w:r>
    </w:p>
    <w:p w:rsidRPr="00E35821" w:rsidR="00B26F88" w:rsidRDefault="00B26F88" w14:paraId="69923D0B" w14:textId="77777777">
      <w:pPr>
        <w:widowControl w:val="0"/>
        <w:ind w:left="720"/>
      </w:pPr>
    </w:p>
    <w:p w:rsidRPr="00E35821" w:rsidR="009E611B" w:rsidP="00B26F88" w:rsidRDefault="009E611B" w14:paraId="4BE511EE" w14:textId="58627719">
      <w:pPr>
        <w:widowControl w:val="0"/>
        <w:ind w:left="720"/>
      </w:pPr>
      <w:r w:rsidRPr="00E35821">
        <w:t xml:space="preserve">In response to the mandate of Section 10 of RSERA, FRA conducted a study and performed research to consider additional crashworthiness features.  </w:t>
      </w:r>
    </w:p>
    <w:p w:rsidRPr="00E35821" w:rsidR="009E611B" w:rsidRDefault="001D338B" w14:paraId="4BE511EF" w14:textId="1CE601DD">
      <w:pPr>
        <w:widowControl w:val="0"/>
        <w:ind w:left="720"/>
      </w:pPr>
      <w:r>
        <w:t>Additionally, while</w:t>
      </w:r>
      <w:r w:rsidRPr="00E35821">
        <w:t xml:space="preserve"> </w:t>
      </w:r>
      <w:r w:rsidRPr="00E35821" w:rsidR="009E611B">
        <w:t xml:space="preserve">assessing and evaluating train collisions for its </w:t>
      </w:r>
      <w:r w:rsidRPr="00E35821" w:rsidR="009E611B">
        <w:rPr>
          <w:i/>
        </w:rPr>
        <w:t xml:space="preserve">Locomotive Crashworthiness and Cab Working Conditions Report </w:t>
      </w:r>
      <w:r w:rsidRPr="00E35821" w:rsidR="009E611B">
        <w:t>to Congress, FRA determined that the Association of American Railroads (AAR) industry standard S-580 represented a significant step on the part of the industry to improve the crashworthiness of locomotives.   Adopted in 1989, S-580 has served as the industry standard for crashworthiness design specifications of new railroad freight locomotives.  At the time of its development, S-580 provided basic enhancements to the crashworthiness of conventional locomotives.  However, an evaluation of FRA’s Congressional report indicated that implementation of selected additional crashworthiness features and incremental improvements in the current design could improve crew survivability in the event of a collision.</w:t>
      </w:r>
    </w:p>
    <w:p w:rsidRPr="00E35821" w:rsidR="009E611B" w:rsidRDefault="009E611B" w14:paraId="4BE511F0" w14:textId="77777777">
      <w:pPr>
        <w:widowControl w:val="0"/>
        <w:ind w:left="1440"/>
      </w:pPr>
    </w:p>
    <w:p w:rsidRPr="00E35821" w:rsidR="00F6392C" w:rsidP="00F6392C" w:rsidRDefault="00F6392C" w14:paraId="4BE511F1" w14:textId="77777777">
      <w:pPr>
        <w:widowControl w:val="0"/>
        <w:ind w:left="720" w:hanging="720"/>
        <w:rPr>
          <w:b/>
        </w:rPr>
      </w:pPr>
      <w:r w:rsidRPr="00E35821">
        <w:rPr>
          <w:b/>
        </w:rPr>
        <w:t>2.</w:t>
      </w:r>
      <w:r w:rsidRPr="00E35821">
        <w:rPr>
          <w:b/>
        </w:rPr>
        <w:tab/>
      </w:r>
      <w:r w:rsidRPr="00E35821">
        <w:rPr>
          <w:b/>
          <w:u w:val="single"/>
        </w:rPr>
        <w:t>How, by whom, and for what purpose the information is to be used</w:t>
      </w:r>
      <w:r w:rsidRPr="00E35821">
        <w:rPr>
          <w:b/>
        </w:rPr>
        <w:t>.</w:t>
      </w:r>
    </w:p>
    <w:p w:rsidRPr="00E35821" w:rsidR="009E611B" w:rsidRDefault="009E611B" w14:paraId="4BE511F2" w14:textId="77777777">
      <w:pPr>
        <w:widowControl w:val="0"/>
      </w:pPr>
    </w:p>
    <w:p w:rsidRPr="00E35821" w:rsidR="009E611B" w:rsidRDefault="00B8030B" w14:paraId="4BE511F3" w14:textId="77777777">
      <w:pPr>
        <w:widowControl w:val="0"/>
        <w:ind w:left="720"/>
      </w:pPr>
      <w:r w:rsidRPr="00E35821">
        <w:t xml:space="preserve">This is an extension with change to a current collection of information associated with </w:t>
      </w:r>
      <w:r w:rsidRPr="00E35821">
        <w:lastRenderedPageBreak/>
        <w:t xml:space="preserve">FRA’s Part 229 rule.  </w:t>
      </w:r>
      <w:r w:rsidRPr="00E35821" w:rsidR="009E611B">
        <w:t>The information is used by FRA to ensure that locomotive manufacturers and railroads meet minimum performance standards and design load requirements for newly manufactured and re-manufactured locomotives in order to help protect locomotive cab occupants in the event that one of these covered locomotives collides with another locomotive, the rear of another train, a piece of on-track equipment, a shifted load on a freight car on an adjacent parallel track, or a highway vehicle at a rail-highway grade crossing.</w:t>
      </w:r>
    </w:p>
    <w:p w:rsidRPr="00E35821" w:rsidR="001A0E88" w:rsidRDefault="001A0E88" w14:paraId="4BE511F4" w14:textId="77777777">
      <w:pPr>
        <w:widowControl w:val="0"/>
        <w:ind w:left="720"/>
      </w:pPr>
    </w:p>
    <w:p w:rsidRPr="00E35821" w:rsidR="009E611B" w:rsidRDefault="009E611B" w14:paraId="4BE511F5" w14:textId="77777777">
      <w:pPr>
        <w:widowControl w:val="0"/>
        <w:ind w:left="720"/>
      </w:pPr>
      <w:r w:rsidRPr="00E35821">
        <w:t xml:space="preserve">Under § 229.207, FRA reviews petitions for agency approval of new locomotive crashworthiness design standards, petitions for approval for substantive changes to an FRA-approved locomotive crashworthiness design standard, and petitions for FRA approval of non-substantive changes to the existing FRA-approved crashworthiness design standards to verify that required information has been provided so that the agency can make a determination whether it is justified, and safe to grant such petitions regarding newly manufactured or re-manufactured locomotives.  </w:t>
      </w:r>
    </w:p>
    <w:p w:rsidRPr="00E35821" w:rsidR="009E611B" w:rsidRDefault="009E611B" w14:paraId="4BE511F6" w14:textId="77777777">
      <w:pPr>
        <w:widowControl w:val="0"/>
      </w:pPr>
    </w:p>
    <w:p w:rsidRPr="00E35821" w:rsidR="009E611B" w:rsidRDefault="009E611B" w14:paraId="4BE511F7" w14:textId="77777777">
      <w:pPr>
        <w:widowControl w:val="0"/>
        <w:ind w:left="720"/>
      </w:pPr>
      <w:r w:rsidRPr="00E35821">
        <w:t xml:space="preserve">Under § 229.209, FRA reviews petitions for FRA approval of alternative locomotive crashworthiness designs to confirm that all mandated information has been provided so that it can assess the proposed design directly against the requirements of § 229.205 and make a determination about whether such an alternative design is safe and ought to be approved. </w:t>
      </w:r>
    </w:p>
    <w:p w:rsidRPr="00E35821" w:rsidR="009E611B" w:rsidRDefault="009E611B" w14:paraId="4BE511F8" w14:textId="77777777">
      <w:pPr>
        <w:widowControl w:val="0"/>
      </w:pPr>
    </w:p>
    <w:p w:rsidRPr="00E35821" w:rsidR="009E611B" w:rsidRDefault="009E611B" w14:paraId="4BE511F9" w14:textId="77777777">
      <w:pPr>
        <w:widowControl w:val="0"/>
        <w:ind w:left="720"/>
      </w:pPr>
      <w:r w:rsidRPr="00E35821">
        <w:t>In order to determine compliance with the requirements of § 229.205 for petitions submitted under § 229.207(b), § 229.207(c), and § 229.209 (b), FRA considers and closely examines proper documentation of engineering analysis, and/or practical demonstrations, which may include computer modeling, structural crush analysis, component testing, full scale crash testing in a controlled environment, or any combination of these, together with evidence of effective peer review.  If FRA finds that the petition complies with the requirements of this subpart and that the proposed change or new design standard satisfies the requirements contained in § 229.205, the petition is normally granted.  If the petition does not comply with the requirements of this subpart, or the proposed change or new design standard does not satisfy the requirements in          § 229.205 of this part, the petition is denied.</w:t>
      </w:r>
    </w:p>
    <w:p w:rsidRPr="00E35821" w:rsidR="009E611B" w:rsidRDefault="009E611B" w14:paraId="4BE511FA" w14:textId="77777777">
      <w:pPr>
        <w:widowControl w:val="0"/>
      </w:pPr>
    </w:p>
    <w:p w:rsidRPr="00E35821" w:rsidR="009E611B" w:rsidRDefault="009E611B" w14:paraId="4BE511FB" w14:textId="77777777">
      <w:pPr>
        <w:widowControl w:val="0"/>
        <w:ind w:left="720"/>
      </w:pPr>
      <w:r w:rsidRPr="00E35821">
        <w:t xml:space="preserve">Under § 229.211, any person may comment on petitions submitted under § 229.207(b), § 229.207(c), and § 229.209(b).  FRA realizes that changes in design of conventional locomotives might impact the safety of locomotive crews and other railroad employees, and FRA provides interested parties an opportunity to make their views known.  If FRA determines that additional material is required to appropriately consider a petition, it will conduct a hearing on the petition, and provide notice of such hearing in the </w:t>
      </w:r>
      <w:r w:rsidRPr="00E35821">
        <w:rPr>
          <w:u w:val="single"/>
        </w:rPr>
        <w:t>Federal</w:t>
      </w:r>
      <w:r w:rsidRPr="00E35821">
        <w:t xml:space="preserve"> </w:t>
      </w:r>
      <w:r w:rsidRPr="00E35821">
        <w:rPr>
          <w:u w:val="single"/>
        </w:rPr>
        <w:t>Register</w:t>
      </w:r>
      <w:r w:rsidRPr="00E35821">
        <w:t xml:space="preserve">.  Comments and information submitted in these hearings are also carefully reviewed by the agency to determine whether it is safe and in the public interest to grant </w:t>
      </w:r>
      <w:r w:rsidRPr="00E35821">
        <w:lastRenderedPageBreak/>
        <w:t xml:space="preserve">the petition. </w:t>
      </w:r>
    </w:p>
    <w:p w:rsidRPr="00E35821" w:rsidR="00AD3AA0" w:rsidP="00B8030B" w:rsidRDefault="00AD3AA0" w14:paraId="4BE511FC" w14:textId="77777777">
      <w:pPr>
        <w:widowControl w:val="0"/>
      </w:pPr>
    </w:p>
    <w:p w:rsidRPr="00E35821" w:rsidR="009E611B" w:rsidP="00BE2DCE" w:rsidRDefault="009E611B" w14:paraId="4BE511FD" w14:textId="77777777">
      <w:pPr>
        <w:widowControl w:val="0"/>
        <w:ind w:left="720"/>
      </w:pPr>
      <w:r w:rsidRPr="00E35821">
        <w:t>In the event of an accident/incident involving one of these locomotives, FRA and state investigators use the identifying information under § 229.213 to help determine the role that the specific locomotive played concerning train crew injuries/fatalities.  FRA uses such information to help prevent a recurrence of similar types of casualties to other train crews operating locomotives made by the same manufacturer/re-manufacturer, or built to the same specifications, by enabling these manufacturer/re-manufacturers/railroads to make necessary design modifications/repairs.</w:t>
      </w:r>
    </w:p>
    <w:p w:rsidRPr="00E35821" w:rsidR="009E611B" w:rsidRDefault="009E611B" w14:paraId="4BE511FE" w14:textId="77777777">
      <w:pPr>
        <w:widowControl w:val="0"/>
      </w:pPr>
      <w:r w:rsidRPr="00E35821">
        <w:tab/>
      </w:r>
      <w:r w:rsidRPr="00E35821">
        <w:tab/>
      </w:r>
      <w:r w:rsidRPr="00E35821">
        <w:tab/>
      </w:r>
      <w:r w:rsidRPr="00E35821">
        <w:tab/>
      </w:r>
    </w:p>
    <w:p w:rsidRPr="00E35821" w:rsidR="009E611B" w:rsidRDefault="009E611B" w14:paraId="4BE511FF" w14:textId="0D53EC1D">
      <w:pPr>
        <w:widowControl w:val="0"/>
        <w:ind w:left="720"/>
      </w:pPr>
      <w:r w:rsidRPr="00E35821">
        <w:t xml:space="preserve">Lastly, under § 229.215, FRA uses the required records to ensure manufacturers and re-manufacturers of locomotives comply with the crashworthiness design features of this subpart.  FRA uses these records to ensure that any repairs or modifications made to locomotives subject to this subpart are proper and do not compromise the crashworthiness features to such an extent that the safety of locomotive cab occupants is jeopardized. </w:t>
      </w:r>
    </w:p>
    <w:p w:rsidRPr="00E35821" w:rsidR="009E611B" w:rsidRDefault="009E611B" w14:paraId="4BE51200" w14:textId="77777777">
      <w:pPr>
        <w:widowControl w:val="0"/>
        <w:ind w:left="720"/>
      </w:pPr>
    </w:p>
    <w:p w:rsidRPr="00E35821" w:rsidR="00D55A76" w:rsidP="00D55A76" w:rsidRDefault="00D55A76" w14:paraId="4BE51201" w14:textId="77777777">
      <w:pPr>
        <w:widowControl w:val="0"/>
        <w:ind w:left="720" w:hanging="720"/>
        <w:rPr>
          <w:b/>
        </w:rPr>
      </w:pPr>
      <w:r w:rsidRPr="00E35821">
        <w:rPr>
          <w:b/>
        </w:rPr>
        <w:t>3.</w:t>
      </w:r>
      <w:r w:rsidRPr="00E35821">
        <w:rPr>
          <w:b/>
        </w:rPr>
        <w:tab/>
      </w:r>
      <w:r w:rsidRPr="00E35821">
        <w:rPr>
          <w:b/>
          <w:u w:val="single"/>
        </w:rPr>
        <w:t>Extent of automated information collection</w:t>
      </w:r>
      <w:r w:rsidRPr="00E35821">
        <w:rPr>
          <w:b/>
        </w:rPr>
        <w:t>.</w:t>
      </w:r>
    </w:p>
    <w:p w:rsidRPr="00E35821" w:rsidR="009E611B" w:rsidRDefault="009E611B" w14:paraId="4BE51202" w14:textId="77777777">
      <w:pPr>
        <w:widowControl w:val="0"/>
      </w:pPr>
    </w:p>
    <w:p w:rsidRPr="00E35821" w:rsidR="009E611B" w:rsidRDefault="00B8030B" w14:paraId="4BE51203" w14:textId="40F495D2">
      <w:pPr>
        <w:widowControl w:val="0"/>
        <w:ind w:left="720"/>
      </w:pPr>
      <w:r w:rsidRPr="00E35821">
        <w:rPr>
          <w:szCs w:val="24"/>
        </w:rPr>
        <w:t xml:space="preserve">FRA highly encourages the use of electronic recordkeeping, wherever possible, to reduce burden. </w:t>
      </w:r>
      <w:r w:rsidRPr="00E35821" w:rsidR="009E611B">
        <w:t xml:space="preserve">In keeping with the requirements of the Paperwork Reduction Act and the Government Paperwork Elimination Act, FRA has provided respondents with the option for electronic submission of required information.  </w:t>
      </w:r>
    </w:p>
    <w:p w:rsidRPr="00E35821" w:rsidR="009E611B" w:rsidRDefault="009E611B" w14:paraId="4BE51204" w14:textId="77777777">
      <w:pPr>
        <w:widowControl w:val="0"/>
      </w:pPr>
    </w:p>
    <w:p w:rsidRPr="00E35821" w:rsidR="009E611B" w:rsidRDefault="006B3D19" w14:paraId="4BE51205" w14:textId="77777777">
      <w:pPr>
        <w:widowControl w:val="0"/>
      </w:pPr>
      <w:r w:rsidRPr="00E35821">
        <w:rPr>
          <w:b/>
        </w:rPr>
        <w:t>4.</w:t>
      </w:r>
      <w:r w:rsidRPr="00E35821">
        <w:rPr>
          <w:b/>
        </w:rPr>
        <w:tab/>
      </w:r>
      <w:r w:rsidRPr="00E35821">
        <w:rPr>
          <w:b/>
          <w:u w:val="single"/>
        </w:rPr>
        <w:t>Efforts to identify duplication</w:t>
      </w:r>
      <w:r w:rsidRPr="00E35821">
        <w:rPr>
          <w:b/>
        </w:rPr>
        <w:t>.</w:t>
      </w:r>
    </w:p>
    <w:p w:rsidRPr="00E35821" w:rsidR="006B3D19" w:rsidRDefault="006B3D19" w14:paraId="4BE51206" w14:textId="77777777">
      <w:pPr>
        <w:widowControl w:val="0"/>
        <w:ind w:left="720"/>
      </w:pPr>
    </w:p>
    <w:p w:rsidRPr="00E35821" w:rsidR="009E611B" w:rsidRDefault="009E611B" w14:paraId="4BE51207" w14:textId="77777777">
      <w:pPr>
        <w:widowControl w:val="0"/>
        <w:ind w:left="720"/>
      </w:pPr>
      <w:r w:rsidRPr="00E35821">
        <w:t xml:space="preserve">To </w:t>
      </w:r>
      <w:r w:rsidRPr="00E35821" w:rsidR="006B3D19">
        <w:t xml:space="preserve">FRA’s </w:t>
      </w:r>
      <w:r w:rsidRPr="00E35821">
        <w:t>knowledge, no information is duplicated anywhere.</w:t>
      </w:r>
    </w:p>
    <w:p w:rsidRPr="00E35821" w:rsidR="009E611B" w:rsidRDefault="009E611B" w14:paraId="4BE51208" w14:textId="77777777">
      <w:pPr>
        <w:widowControl w:val="0"/>
        <w:rPr>
          <w:b/>
        </w:rPr>
      </w:pPr>
    </w:p>
    <w:p w:rsidRPr="00E35821" w:rsidR="009E611B" w:rsidRDefault="009E611B" w14:paraId="4BE51209" w14:textId="77777777">
      <w:pPr>
        <w:widowControl w:val="0"/>
        <w:ind w:left="720"/>
      </w:pPr>
      <w:r w:rsidRPr="00E35821">
        <w:t xml:space="preserve">Similar data is not available from any other source. </w:t>
      </w:r>
    </w:p>
    <w:p w:rsidRPr="00E35821" w:rsidR="009E611B" w:rsidRDefault="009E611B" w14:paraId="4BE5120A" w14:textId="77777777">
      <w:pPr>
        <w:widowControl w:val="0"/>
      </w:pPr>
    </w:p>
    <w:p w:rsidRPr="00E35821" w:rsidR="009E611B" w:rsidRDefault="001B58CA" w14:paraId="4BE5120B" w14:textId="77777777">
      <w:pPr>
        <w:widowControl w:val="0"/>
      </w:pPr>
      <w:r w:rsidRPr="00E35821">
        <w:rPr>
          <w:b/>
        </w:rPr>
        <w:t>5.</w:t>
      </w:r>
      <w:r w:rsidRPr="00E35821">
        <w:rPr>
          <w:b/>
        </w:rPr>
        <w:tab/>
      </w:r>
      <w:r w:rsidRPr="00E35821">
        <w:rPr>
          <w:b/>
          <w:u w:val="single"/>
        </w:rPr>
        <w:t>Efforts to minimize the burden on small businesses</w:t>
      </w:r>
      <w:r w:rsidRPr="00E35821">
        <w:rPr>
          <w:b/>
        </w:rPr>
        <w:t>.</w:t>
      </w:r>
    </w:p>
    <w:p w:rsidRPr="00E35821" w:rsidR="001B58CA" w:rsidRDefault="001B58CA" w14:paraId="4BE5120C" w14:textId="77777777">
      <w:pPr>
        <w:widowControl w:val="0"/>
        <w:ind w:left="720"/>
      </w:pPr>
    </w:p>
    <w:p w:rsidRPr="00E35821" w:rsidR="009E611B" w:rsidRDefault="009E611B" w14:paraId="4BE5120D" w14:textId="5DDE7C6A">
      <w:pPr>
        <w:widowControl w:val="0"/>
        <w:ind w:left="720"/>
      </w:pPr>
      <w:r w:rsidRPr="00E35821">
        <w:t xml:space="preserve">Currently, </w:t>
      </w:r>
      <w:smartTag w:uri="urn:schemas-microsoft-com:office:smarttags" w:element="place">
        <w:r w:rsidRPr="00E35821">
          <w:t>AAR</w:t>
        </w:r>
      </w:smartTag>
      <w:r w:rsidRPr="00E35821">
        <w:t xml:space="preserve">’s S-580 standard applies only to railroads which are primarily Class I railroads.  The requirements of this subpart are mainly directed to this same group.  To minimize the economic burden on small businesses, the requirements of this subpart apply only to locomotives manufactured or re-manufactured on or after a date three years following publication of the rule.  Additionally, FRA is using the locomotive build date to exempt the current locomotive fleet from requirements of this rule.  Also excluded from the requirements of this subpart are locomotives, such as passenger cab cars or multiple unit cars and semi-permanently coupled power cars built for passenger service.  Locomotives used in designated service are excluded as well from application of most of the provisions of this rule. </w:t>
      </w:r>
    </w:p>
    <w:p w:rsidRPr="00E35821" w:rsidR="00052A6E" w:rsidRDefault="00052A6E" w14:paraId="4BE5120E" w14:textId="77777777">
      <w:pPr>
        <w:widowControl w:val="0"/>
        <w:ind w:left="720"/>
      </w:pPr>
    </w:p>
    <w:p w:rsidRPr="00E35821" w:rsidR="009E611B" w:rsidRDefault="009E611B" w14:paraId="4BE5120F" w14:textId="77777777">
      <w:pPr>
        <w:widowControl w:val="0"/>
        <w:ind w:left="720"/>
      </w:pPr>
      <w:r w:rsidRPr="00E35821">
        <w:t>Furthermore, the structural standards of this subpart (§ 238.203-static end strength;          § 238.205-anti-climbing mechanism; § 238.207-link between coupling mechanism and car body; § 238.209-forward-facing end structure of locomotives; § 238.211-collision posts; § 238.213-corner posts; § 238.215-rollover strength; § 238.217-side structure;        § 238.219-truck-to-car-body attachment; and § 238.223-locomotive fuel tanks) do not apply to passenger equipment if used exclusively on a rail line: (</w:t>
      </w:r>
      <w:proofErr w:type="spellStart"/>
      <w:r w:rsidRPr="00E35821">
        <w:t>i</w:t>
      </w:r>
      <w:proofErr w:type="spellEnd"/>
      <w:r w:rsidRPr="00E35821">
        <w:t xml:space="preserve">) With no public highway-rail grade crossings; (ii) On which no freight operations occur at any time;      (iii) On which only passenger equipment of compatible design is utilized; and (iv) On which trains operate at speeds not exceeding 79 mph.  Any such passenger equipment remains subject to the requirements of § 229.141 of this chapter, as applicable. </w:t>
      </w:r>
    </w:p>
    <w:p w:rsidRPr="00E35821" w:rsidR="009E611B" w:rsidRDefault="009E611B" w14:paraId="4BE51210" w14:textId="77777777">
      <w:pPr>
        <w:widowControl w:val="0"/>
      </w:pPr>
    </w:p>
    <w:p w:rsidRPr="00E35821" w:rsidR="009E611B" w:rsidRDefault="00B26F88" w14:paraId="4BE51211" w14:textId="505F0E34">
      <w:pPr>
        <w:widowControl w:val="0"/>
        <w:ind w:left="720"/>
      </w:pPr>
      <w:r>
        <w:t>Additionally</w:t>
      </w:r>
      <w:r w:rsidRPr="00E35821" w:rsidR="009E611B">
        <w:t>, under the provisions of the Regulatory Flexibility Act, it has been determined this rule does not impose a significant economic impact on a substantial number of small entities.</w:t>
      </w:r>
    </w:p>
    <w:p w:rsidRPr="00E35821" w:rsidR="009E611B" w:rsidRDefault="009E611B" w14:paraId="4BE51212" w14:textId="77777777">
      <w:pPr>
        <w:widowControl w:val="0"/>
      </w:pPr>
    </w:p>
    <w:p w:rsidRPr="00E35821" w:rsidR="00A760D9" w:rsidP="00A760D9" w:rsidRDefault="00A760D9" w14:paraId="4BE51213" w14:textId="77777777">
      <w:pPr>
        <w:widowControl w:val="0"/>
      </w:pPr>
      <w:r w:rsidRPr="00E35821">
        <w:rPr>
          <w:b/>
        </w:rPr>
        <w:t>6.</w:t>
      </w:r>
      <w:r w:rsidRPr="00E35821">
        <w:rPr>
          <w:b/>
        </w:rPr>
        <w:tab/>
      </w:r>
      <w:r w:rsidRPr="00E35821">
        <w:rPr>
          <w:b/>
          <w:u w:val="single"/>
        </w:rPr>
        <w:t>Impact of less frequent collection of information</w:t>
      </w:r>
      <w:r w:rsidRPr="00E35821">
        <w:rPr>
          <w:b/>
        </w:rPr>
        <w:t>.</w:t>
      </w:r>
    </w:p>
    <w:p w:rsidRPr="00E35821" w:rsidR="009E611B" w:rsidRDefault="009E611B" w14:paraId="4BE51214" w14:textId="77777777">
      <w:pPr>
        <w:widowControl w:val="0"/>
        <w:rPr>
          <w:sz w:val="20"/>
        </w:rPr>
      </w:pPr>
    </w:p>
    <w:p w:rsidRPr="00E35821" w:rsidR="009E611B" w:rsidRDefault="009E611B" w14:paraId="4BE51215" w14:textId="360A81FA">
      <w:pPr>
        <w:widowControl w:val="0"/>
        <w:ind w:left="720"/>
      </w:pPr>
      <w:r w:rsidRPr="00E35821">
        <w:t xml:space="preserve">If this information collection were not conducted or conducted less frequently, railroad safety nationwide would be considerably adversely impacted.  In particular, the number and extent of casualties to train crew personnel might increase substantially because newly manufactured/re-manufactured locomotives were not properly designed and sufficiently constructed to help protect occupants in the event that a locomotive collides with another locomotive, the rear of another train, a piece of on-track equipment, a shifted load on a freight car on an adjacent parallel track, or a highway vehicle at a rail-highway grade crossing.  </w:t>
      </w:r>
    </w:p>
    <w:p w:rsidRPr="00E35821" w:rsidR="009E611B" w:rsidRDefault="009E611B" w14:paraId="4BE51216" w14:textId="77777777">
      <w:pPr>
        <w:widowControl w:val="0"/>
      </w:pPr>
    </w:p>
    <w:p w:rsidR="00CE22DD" w:rsidP="000C2659" w:rsidRDefault="009E611B" w14:paraId="4BE51218" w14:textId="01A32DD1">
      <w:pPr>
        <w:widowControl w:val="0"/>
        <w:ind w:left="720"/>
      </w:pPr>
      <w:r w:rsidRPr="00E35821">
        <w:t xml:space="preserve">Without this collection of information, FRA would be unable to review and evaluate changes and enhancements to the crashworthiness of freight locomotives.  Without the ability to review petitions for new locomotive crashworthiness design standards, or petitions for approval of substantive changes to an FRA-approved locomotive crashworthiness design standard, or petitions for approval of an alternative locomotive crashworthiness design, FRA would have no way to determine whether it is safe and justified for the agency to approve locomotive manufacturers/railroads plans to implement new/innovative locomotive design </w:t>
      </w:r>
      <w:r w:rsidR="00B474F7">
        <w:t>standards.</w:t>
      </w:r>
    </w:p>
    <w:p w:rsidRPr="00E35821" w:rsidR="00B474F7" w:rsidP="000C2659" w:rsidRDefault="00B474F7" w14:paraId="6C21496C" w14:textId="77777777">
      <w:pPr>
        <w:widowControl w:val="0"/>
        <w:ind w:left="720"/>
      </w:pPr>
    </w:p>
    <w:p w:rsidRPr="00E35821" w:rsidR="009E611B" w:rsidP="000C2659" w:rsidRDefault="009E611B" w14:paraId="4BE51219" w14:textId="77777777">
      <w:pPr>
        <w:widowControl w:val="0"/>
        <w:ind w:left="720"/>
      </w:pPr>
      <w:r w:rsidRPr="00E35821">
        <w:t xml:space="preserve">Without this collection of information, FRA would be unable to obtain comments from railroad industry groups, locomotive manufacturers/re-manufacturers, other interested parties, and the public concerning a new locomotive design standard or changes to an FRA-approved locomotive design standard.  Without the ability to hear from affected parties and to access the widest expertise and knowledge, FRA would be hindered in making an informed decision whether it is justified and safe to approve a new/alternative </w:t>
      </w:r>
      <w:r w:rsidRPr="00E35821">
        <w:lastRenderedPageBreak/>
        <w:t>locomotive crashworthiness design standard or substantive changes to an FRA-approved locomotive crashworthiness design standard.</w:t>
      </w:r>
    </w:p>
    <w:p w:rsidRPr="00E35821" w:rsidR="009E611B" w:rsidRDefault="009E611B" w14:paraId="4BE5121A" w14:textId="77777777">
      <w:pPr>
        <w:widowControl w:val="0"/>
      </w:pPr>
      <w:r w:rsidRPr="00E35821">
        <w:t xml:space="preserve">  </w:t>
      </w:r>
    </w:p>
    <w:p w:rsidRPr="00E35821" w:rsidR="009E611B" w:rsidRDefault="009E611B" w14:paraId="4BE5121D" w14:textId="77777777">
      <w:pPr>
        <w:widowControl w:val="0"/>
        <w:ind w:left="720"/>
      </w:pPr>
      <w:r w:rsidRPr="00E35821">
        <w:t>In sum, this collection of information furthers the agency’s primary mission, which is to promote and enhance national rail safety, save lives, and protect property and the environment.</w:t>
      </w:r>
    </w:p>
    <w:p w:rsidRPr="00E35821" w:rsidR="00371474" w:rsidRDefault="00371474" w14:paraId="4BE5121E" w14:textId="77777777">
      <w:pPr>
        <w:widowControl w:val="0"/>
        <w:ind w:left="720" w:hanging="720"/>
        <w:rPr>
          <w:b/>
        </w:rPr>
      </w:pPr>
    </w:p>
    <w:p w:rsidRPr="00E35821" w:rsidR="009E611B" w:rsidP="001565EE" w:rsidRDefault="001565EE" w14:paraId="4BE5121F" w14:textId="77777777">
      <w:pPr>
        <w:widowControl w:val="0"/>
        <w:ind w:left="720" w:hanging="720"/>
      </w:pPr>
      <w:r w:rsidRPr="00E35821">
        <w:rPr>
          <w:b/>
        </w:rPr>
        <w:t>7.</w:t>
      </w:r>
      <w:r w:rsidRPr="00E35821">
        <w:rPr>
          <w:b/>
        </w:rPr>
        <w:tab/>
      </w:r>
      <w:r w:rsidRPr="00E35821">
        <w:rPr>
          <w:b/>
          <w:u w:val="single"/>
        </w:rPr>
        <w:t>Special circumstances</w:t>
      </w:r>
      <w:r w:rsidRPr="00E35821">
        <w:rPr>
          <w:b/>
        </w:rPr>
        <w:t>.</w:t>
      </w:r>
    </w:p>
    <w:p w:rsidRPr="00E35821" w:rsidR="009E611B" w:rsidRDefault="009E611B" w14:paraId="4BE51220" w14:textId="77777777">
      <w:pPr>
        <w:widowControl w:val="0"/>
      </w:pPr>
    </w:p>
    <w:p w:rsidRPr="00E35821" w:rsidR="009E611B" w:rsidRDefault="009E611B" w14:paraId="4BE51221" w14:textId="77777777">
      <w:pPr>
        <w:widowControl w:val="0"/>
        <w:ind w:left="720"/>
      </w:pPr>
      <w:r w:rsidRPr="00E35821">
        <w:t xml:space="preserve">Under § 229.215, each manufacturer or re-manufacturer of a locomotive subject to this subpart must retain records of the original locomotive designs pertaining to required crashworthiness features for the lesser period of the life of such locomotive or 20 years after the date of </w:t>
      </w:r>
      <w:r w:rsidRPr="00E35821" w:rsidR="0013444A">
        <w:t xml:space="preserve">manufacture or re-manufacture. </w:t>
      </w:r>
      <w:r w:rsidRPr="00E35821">
        <w:t xml:space="preserve">This provision is designed to ensure that conformity with the requirements of this subpart can be readily determined in the event that a locomotive’s compliance with its design or performance standard is called into question.  </w:t>
      </w:r>
    </w:p>
    <w:p w:rsidRPr="00E35821" w:rsidR="00E86F06" w:rsidRDefault="00E86F06" w14:paraId="4BE51222" w14:textId="77777777">
      <w:pPr>
        <w:widowControl w:val="0"/>
        <w:ind w:left="720"/>
      </w:pPr>
    </w:p>
    <w:p w:rsidRPr="00E35821" w:rsidR="00B8030B" w:rsidRDefault="009E611B" w14:paraId="4BE51223" w14:textId="77777777">
      <w:pPr>
        <w:widowControl w:val="0"/>
        <w:ind w:left="720"/>
      </w:pPr>
      <w:r w:rsidRPr="00E35821">
        <w:t xml:space="preserve">Also, under this section, each owner or lessee of a locomotive subject to this part must retain all records of repair or modification to crashworthiness features for the lesser period of the life of the locomotive or 20 years after the date on which the repair/modification was performed.  Such records are essential to ensure unsafe repairs/modifications are not made.  </w:t>
      </w:r>
    </w:p>
    <w:p w:rsidRPr="00E35821" w:rsidR="00B8030B" w:rsidRDefault="00B8030B" w14:paraId="4BE51224" w14:textId="77777777">
      <w:pPr>
        <w:widowControl w:val="0"/>
        <w:ind w:left="720"/>
      </w:pPr>
    </w:p>
    <w:p w:rsidRPr="00E35821" w:rsidR="009E611B" w:rsidRDefault="009E611B" w14:paraId="4BE51225" w14:textId="77777777">
      <w:pPr>
        <w:widowControl w:val="0"/>
        <w:ind w:left="720"/>
      </w:pPr>
      <w:r w:rsidRPr="00E35821">
        <w:t>All other information collection requirements are in compliance with this section.</w:t>
      </w:r>
    </w:p>
    <w:p w:rsidRPr="00E35821" w:rsidR="009E611B" w:rsidRDefault="009E611B" w14:paraId="4BE51226" w14:textId="77777777">
      <w:pPr>
        <w:widowControl w:val="0"/>
      </w:pPr>
    </w:p>
    <w:p w:rsidRPr="00E35821" w:rsidR="00E75374" w:rsidP="00E75374" w:rsidRDefault="00E75374" w14:paraId="4BE51227" w14:textId="77777777">
      <w:pPr>
        <w:widowControl w:val="0"/>
        <w:rPr>
          <w:b/>
        </w:rPr>
      </w:pPr>
      <w:r w:rsidRPr="00E35821">
        <w:rPr>
          <w:b/>
        </w:rPr>
        <w:t>8.</w:t>
      </w:r>
      <w:r w:rsidRPr="00E35821">
        <w:rPr>
          <w:b/>
        </w:rPr>
        <w:tab/>
      </w:r>
      <w:r w:rsidRPr="00E35821">
        <w:rPr>
          <w:b/>
          <w:u w:val="single"/>
        </w:rPr>
        <w:t>Compliance with 5 CFR 1320.8</w:t>
      </w:r>
      <w:r w:rsidRPr="00E35821">
        <w:rPr>
          <w:b/>
        </w:rPr>
        <w:t>.</w:t>
      </w:r>
    </w:p>
    <w:p w:rsidRPr="00E35821" w:rsidR="00E75374" w:rsidP="00E75374" w:rsidRDefault="00E75374" w14:paraId="4BE51228" w14:textId="77777777">
      <w:pPr>
        <w:widowControl w:val="0"/>
        <w:rPr>
          <w:b/>
        </w:rPr>
      </w:pPr>
    </w:p>
    <w:p w:rsidRPr="00E35821" w:rsidR="001A0E88" w:rsidP="001A0E88" w:rsidRDefault="001A0E88" w14:paraId="4BE51229" w14:textId="77777777">
      <w:pPr>
        <w:ind w:left="720"/>
      </w:pPr>
      <w:r w:rsidRPr="00E35821">
        <w:t xml:space="preserve">As required by the Paperwork Reduction Act of 1995, FRA published a notice in the </w:t>
      </w:r>
      <w:r w:rsidRPr="00E35821">
        <w:rPr>
          <w:u w:val="single"/>
        </w:rPr>
        <w:t>Federa</w:t>
      </w:r>
      <w:r w:rsidRPr="00E35821">
        <w:t xml:space="preserve">l </w:t>
      </w:r>
      <w:r w:rsidRPr="00E35821">
        <w:rPr>
          <w:u w:val="single"/>
        </w:rPr>
        <w:t>Register</w:t>
      </w:r>
      <w:r w:rsidRPr="00E35821">
        <w:t xml:space="preserve"> on April 22, 2020, soliciting comment on this particular information collection.</w:t>
      </w:r>
      <w:r w:rsidRPr="00E35821">
        <w:rPr>
          <w:rStyle w:val="FootnoteReference"/>
          <w:b w:val="0"/>
        </w:rPr>
        <w:footnoteReference w:id="2"/>
      </w:r>
      <w:r w:rsidRPr="00E35821">
        <w:rPr>
          <w:i/>
        </w:rPr>
        <w:t xml:space="preserve">  </w:t>
      </w:r>
      <w:r w:rsidRPr="00E35821">
        <w:t xml:space="preserve">FRA received </w:t>
      </w:r>
      <w:r w:rsidRPr="00E35821">
        <w:rPr>
          <w:u w:val="single"/>
        </w:rPr>
        <w:t>no</w:t>
      </w:r>
      <w:r w:rsidRPr="00E35821">
        <w:t xml:space="preserve"> comments pertaining to this collection of information in response to this notice.</w:t>
      </w:r>
    </w:p>
    <w:p w:rsidRPr="00E35821" w:rsidR="009E611B" w:rsidRDefault="009E611B" w14:paraId="4BE5122A" w14:textId="77777777">
      <w:pPr>
        <w:widowControl w:val="0"/>
      </w:pPr>
    </w:p>
    <w:p w:rsidRPr="00E35821" w:rsidR="000B4B72" w:rsidP="000B4B72" w:rsidRDefault="000B4B72" w14:paraId="4BE5122B" w14:textId="77777777">
      <w:pPr>
        <w:widowControl w:val="0"/>
        <w:ind w:left="720" w:hanging="720"/>
        <w:rPr>
          <w:b/>
        </w:rPr>
      </w:pPr>
      <w:r w:rsidRPr="00E35821">
        <w:rPr>
          <w:b/>
        </w:rPr>
        <w:t>9.</w:t>
      </w:r>
      <w:r w:rsidRPr="00E35821">
        <w:rPr>
          <w:b/>
        </w:rPr>
        <w:tab/>
      </w:r>
      <w:r w:rsidRPr="00E35821">
        <w:rPr>
          <w:b/>
          <w:u w:val="single"/>
        </w:rPr>
        <w:t>Payments or gifts to respondents</w:t>
      </w:r>
      <w:r w:rsidRPr="00E35821">
        <w:rPr>
          <w:b/>
        </w:rPr>
        <w:t>.</w:t>
      </w:r>
    </w:p>
    <w:p w:rsidRPr="00E35821" w:rsidR="009E611B" w:rsidRDefault="009E611B" w14:paraId="4BE5122C" w14:textId="77777777">
      <w:pPr>
        <w:widowControl w:val="0"/>
      </w:pPr>
    </w:p>
    <w:p w:rsidRPr="00E35821" w:rsidR="009E611B" w:rsidRDefault="009E611B" w14:paraId="4BE5122D" w14:textId="77777777">
      <w:pPr>
        <w:widowControl w:val="0"/>
        <w:ind w:left="720"/>
      </w:pPr>
      <w:r w:rsidRPr="00E35821">
        <w:t>There are no monetary payments or gifts made to respondents associated with the information collection requirements contained in this regulation.</w:t>
      </w:r>
    </w:p>
    <w:p w:rsidRPr="00E35821" w:rsidR="009E611B" w:rsidRDefault="009E611B" w14:paraId="4BE5122E" w14:textId="77777777">
      <w:pPr>
        <w:widowControl w:val="0"/>
      </w:pPr>
    </w:p>
    <w:p w:rsidRPr="00E35821" w:rsidR="006C54B0" w:rsidP="006C54B0" w:rsidRDefault="006C54B0" w14:paraId="4BE5122F" w14:textId="77777777">
      <w:pPr>
        <w:widowControl w:val="0"/>
        <w:ind w:left="720" w:hanging="720"/>
        <w:rPr>
          <w:b/>
        </w:rPr>
      </w:pPr>
      <w:r w:rsidRPr="00E35821">
        <w:rPr>
          <w:b/>
        </w:rPr>
        <w:t>10.</w:t>
      </w:r>
      <w:r w:rsidRPr="00E35821">
        <w:rPr>
          <w:b/>
        </w:rPr>
        <w:tab/>
      </w:r>
      <w:r w:rsidRPr="00E35821">
        <w:rPr>
          <w:b/>
          <w:u w:val="single"/>
        </w:rPr>
        <w:t>Assurance of confidentiality</w:t>
      </w:r>
      <w:r w:rsidRPr="00E35821">
        <w:rPr>
          <w:b/>
        </w:rPr>
        <w:t>.</w:t>
      </w:r>
    </w:p>
    <w:p w:rsidRPr="00E35821" w:rsidR="009E611B" w:rsidRDefault="009E611B" w14:paraId="4BE51230" w14:textId="77777777">
      <w:pPr>
        <w:widowControl w:val="0"/>
      </w:pPr>
    </w:p>
    <w:p w:rsidRPr="00E35821" w:rsidR="009E611B" w:rsidRDefault="009E611B" w14:paraId="4BE51231" w14:textId="77777777">
      <w:pPr>
        <w:widowControl w:val="0"/>
        <w:ind w:left="720"/>
      </w:pPr>
      <w:r w:rsidRPr="00E35821">
        <w:t xml:space="preserve">No assurances of confidentiality were made by </w:t>
      </w:r>
      <w:r w:rsidRPr="00E35821" w:rsidR="001A0E88">
        <w:t>FRA.</w:t>
      </w:r>
      <w:r w:rsidRPr="00E35821">
        <w:t xml:space="preserve">  Information collected is not of a private nature.</w:t>
      </w:r>
    </w:p>
    <w:p w:rsidRPr="00E35821" w:rsidR="009E611B" w:rsidRDefault="009E611B" w14:paraId="4BE51232" w14:textId="77777777">
      <w:pPr>
        <w:widowControl w:val="0"/>
      </w:pPr>
    </w:p>
    <w:p w:rsidRPr="00E35821" w:rsidR="00F94F6F" w:rsidP="00F94F6F" w:rsidRDefault="00F94F6F" w14:paraId="4BE51233" w14:textId="77777777">
      <w:pPr>
        <w:widowControl w:val="0"/>
        <w:ind w:left="720" w:hanging="720"/>
        <w:rPr>
          <w:b/>
        </w:rPr>
      </w:pPr>
      <w:r w:rsidRPr="00E35821">
        <w:rPr>
          <w:b/>
        </w:rPr>
        <w:t>11.</w:t>
      </w:r>
      <w:r w:rsidRPr="00E35821">
        <w:rPr>
          <w:b/>
        </w:rPr>
        <w:tab/>
      </w:r>
      <w:r w:rsidRPr="00E35821">
        <w:rPr>
          <w:b/>
          <w:u w:val="single"/>
        </w:rPr>
        <w:t>Justification for any questions of a sensitive nature</w:t>
      </w:r>
      <w:r w:rsidRPr="00E35821">
        <w:rPr>
          <w:b/>
        </w:rPr>
        <w:t>.</w:t>
      </w:r>
    </w:p>
    <w:p w:rsidRPr="00E35821" w:rsidR="009E611B" w:rsidRDefault="009E611B" w14:paraId="4BE51234" w14:textId="77777777">
      <w:pPr>
        <w:widowControl w:val="0"/>
      </w:pPr>
    </w:p>
    <w:p w:rsidRPr="00E35821" w:rsidR="007036AB" w:rsidRDefault="009E611B" w14:paraId="4BE51235" w14:textId="77777777">
      <w:pPr>
        <w:widowControl w:val="0"/>
        <w:ind w:left="7920" w:hanging="7200"/>
      </w:pPr>
      <w:r w:rsidRPr="00E35821">
        <w:t>There are no questions or information of a sensitive nature that</w:t>
      </w:r>
      <w:r w:rsidRPr="00E35821" w:rsidR="001F5909">
        <w:t xml:space="preserve"> normally </w:t>
      </w:r>
      <w:r w:rsidRPr="00E35821">
        <w:t>would be</w:t>
      </w:r>
    </w:p>
    <w:p w:rsidRPr="00E35821" w:rsidR="00A00486" w:rsidP="001A0E88" w:rsidRDefault="009E611B" w14:paraId="4BE51236" w14:textId="77777777">
      <w:pPr>
        <w:widowControl w:val="0"/>
        <w:ind w:left="7920" w:hanging="7200"/>
      </w:pPr>
      <w:r w:rsidRPr="00E35821">
        <w:t>considered private matters requested in this collection of information.</w:t>
      </w:r>
      <w:r w:rsidRPr="00E35821">
        <w:tab/>
      </w:r>
    </w:p>
    <w:p w:rsidRPr="00E35821" w:rsidR="00A00486" w:rsidRDefault="00A00486" w14:paraId="4BE51237" w14:textId="77777777">
      <w:pPr>
        <w:widowControl w:val="0"/>
      </w:pPr>
    </w:p>
    <w:p w:rsidRPr="00E35821" w:rsidR="009E611B" w:rsidP="006A3AE7" w:rsidRDefault="006A3AE7" w14:paraId="4BE51238" w14:textId="77777777">
      <w:pPr>
        <w:ind w:left="720" w:hanging="720"/>
        <w:rPr>
          <w:b/>
        </w:rPr>
      </w:pPr>
      <w:r w:rsidRPr="00E35821">
        <w:rPr>
          <w:b/>
          <w:bCs/>
        </w:rPr>
        <w:t>12.        </w:t>
      </w:r>
      <w:r w:rsidRPr="00E35821">
        <w:rPr>
          <w:b/>
          <w:bCs/>
          <w:u w:val="single"/>
        </w:rPr>
        <w:t>Estimate of burden hours for information collected</w:t>
      </w:r>
      <w:r w:rsidRPr="00E35821">
        <w:rPr>
          <w:b/>
          <w:bCs/>
        </w:rPr>
        <w:t>.</w:t>
      </w:r>
    </w:p>
    <w:p w:rsidRPr="00E35821" w:rsidR="009E611B" w:rsidRDefault="009E611B" w14:paraId="4BE51239" w14:textId="77777777">
      <w:pPr>
        <w:widowControl w:val="0"/>
        <w:rPr>
          <w:b/>
        </w:rPr>
      </w:pPr>
    </w:p>
    <w:tbl>
      <w:tblPr>
        <w:tblW w:w="0" w:type="auto"/>
        <w:tblInd w:w="-5" w:type="dxa"/>
        <w:tblLook w:val="04A0" w:firstRow="1" w:lastRow="0" w:firstColumn="1" w:lastColumn="0" w:noHBand="0" w:noVBand="1"/>
      </w:tblPr>
      <w:tblGrid>
        <w:gridCol w:w="2470"/>
        <w:gridCol w:w="1585"/>
        <w:gridCol w:w="2093"/>
        <w:gridCol w:w="1141"/>
        <w:gridCol w:w="930"/>
        <w:gridCol w:w="1136"/>
      </w:tblGrid>
      <w:tr w:rsidRPr="00E35821" w:rsidR="005C6A1D" w:rsidTr="00D17D6B" w14:paraId="4BE51240" w14:textId="77777777">
        <w:trPr>
          <w:trHeight w:val="528"/>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E35821" w:rsidR="005C6A1D" w:rsidP="00D17D6B" w:rsidRDefault="005C6A1D" w14:paraId="4BE5123A" w14:textId="77777777">
            <w:pPr>
              <w:jc w:val="center"/>
              <w:rPr>
                <w:color w:val="000000"/>
                <w:sz w:val="20"/>
              </w:rPr>
            </w:pPr>
            <w:r w:rsidRPr="00E35821">
              <w:rPr>
                <w:color w:val="000000"/>
                <w:sz w:val="20"/>
              </w:rPr>
              <w:t>CFR Section</w:t>
            </w:r>
          </w:p>
        </w:tc>
        <w:tc>
          <w:tcPr>
            <w:tcW w:w="0" w:type="auto"/>
            <w:tcBorders>
              <w:top w:val="single" w:color="auto" w:sz="4" w:space="0"/>
              <w:left w:val="nil"/>
              <w:bottom w:val="single" w:color="auto" w:sz="4" w:space="0"/>
              <w:right w:val="single" w:color="auto" w:sz="4" w:space="0"/>
            </w:tcBorders>
            <w:shd w:val="clear" w:color="auto" w:fill="auto"/>
            <w:hideMark/>
          </w:tcPr>
          <w:p w:rsidRPr="00E35821" w:rsidR="005C6A1D" w:rsidP="00D17D6B" w:rsidRDefault="005C6A1D" w14:paraId="4BE5123B" w14:textId="77777777">
            <w:pPr>
              <w:jc w:val="center"/>
              <w:rPr>
                <w:color w:val="000000"/>
                <w:sz w:val="20"/>
              </w:rPr>
            </w:pPr>
            <w:r w:rsidRPr="00E35821">
              <w:rPr>
                <w:color w:val="000000"/>
                <w:sz w:val="20"/>
              </w:rPr>
              <w:t>Respondent universe</w:t>
            </w:r>
          </w:p>
        </w:tc>
        <w:tc>
          <w:tcPr>
            <w:tcW w:w="0" w:type="auto"/>
            <w:tcBorders>
              <w:top w:val="single" w:color="auto" w:sz="4" w:space="0"/>
              <w:left w:val="nil"/>
              <w:bottom w:val="single" w:color="auto" w:sz="4" w:space="0"/>
              <w:right w:val="single" w:color="auto" w:sz="4" w:space="0"/>
            </w:tcBorders>
            <w:shd w:val="clear" w:color="auto" w:fill="auto"/>
            <w:hideMark/>
          </w:tcPr>
          <w:p w:rsidRPr="00E35821" w:rsidR="005C6A1D" w:rsidP="00D17D6B" w:rsidRDefault="005C6A1D" w14:paraId="4BE5123C" w14:textId="77777777">
            <w:pPr>
              <w:jc w:val="center"/>
              <w:rPr>
                <w:color w:val="000000"/>
                <w:sz w:val="20"/>
              </w:rPr>
            </w:pPr>
            <w:r w:rsidRPr="00E35821">
              <w:rPr>
                <w:color w:val="000000"/>
                <w:sz w:val="20"/>
              </w:rPr>
              <w:t>Total Annual responses</w:t>
            </w:r>
          </w:p>
        </w:tc>
        <w:tc>
          <w:tcPr>
            <w:tcW w:w="0" w:type="auto"/>
            <w:tcBorders>
              <w:top w:val="single" w:color="auto" w:sz="4" w:space="0"/>
              <w:left w:val="nil"/>
              <w:bottom w:val="single" w:color="auto" w:sz="4" w:space="0"/>
              <w:right w:val="single" w:color="auto" w:sz="4" w:space="0"/>
            </w:tcBorders>
            <w:shd w:val="clear" w:color="auto" w:fill="auto"/>
            <w:hideMark/>
          </w:tcPr>
          <w:p w:rsidRPr="00E35821" w:rsidR="005C6A1D" w:rsidP="00D17D6B" w:rsidRDefault="005C6A1D" w14:paraId="4BE5123D" w14:textId="77777777">
            <w:pPr>
              <w:jc w:val="center"/>
              <w:rPr>
                <w:color w:val="000000"/>
                <w:sz w:val="20"/>
              </w:rPr>
            </w:pPr>
            <w:r w:rsidRPr="00E35821">
              <w:rPr>
                <w:color w:val="000000"/>
                <w:sz w:val="20"/>
              </w:rPr>
              <w:t>Average time per responses</w:t>
            </w:r>
          </w:p>
        </w:tc>
        <w:tc>
          <w:tcPr>
            <w:tcW w:w="0" w:type="auto"/>
            <w:tcBorders>
              <w:top w:val="single" w:color="auto" w:sz="4" w:space="0"/>
              <w:left w:val="nil"/>
              <w:bottom w:val="single" w:color="auto" w:sz="4" w:space="0"/>
              <w:right w:val="single" w:color="auto" w:sz="4" w:space="0"/>
            </w:tcBorders>
            <w:shd w:val="clear" w:color="auto" w:fill="auto"/>
            <w:hideMark/>
          </w:tcPr>
          <w:p w:rsidRPr="00E35821" w:rsidR="005C6A1D" w:rsidP="00D17D6B" w:rsidRDefault="005C6A1D" w14:paraId="4BE5123E" w14:textId="77777777">
            <w:pPr>
              <w:jc w:val="center"/>
              <w:rPr>
                <w:color w:val="000000"/>
                <w:sz w:val="20"/>
              </w:rPr>
            </w:pPr>
            <w:r w:rsidRPr="00E35821">
              <w:rPr>
                <w:color w:val="000000"/>
                <w:sz w:val="20"/>
              </w:rPr>
              <w:t>Total annual burden hours</w:t>
            </w:r>
          </w:p>
        </w:tc>
        <w:tc>
          <w:tcPr>
            <w:tcW w:w="0" w:type="auto"/>
            <w:tcBorders>
              <w:top w:val="single" w:color="auto" w:sz="4" w:space="0"/>
              <w:left w:val="nil"/>
              <w:bottom w:val="single" w:color="auto" w:sz="4" w:space="0"/>
              <w:right w:val="single" w:color="auto" w:sz="4" w:space="0"/>
            </w:tcBorders>
            <w:shd w:val="clear" w:color="auto" w:fill="auto"/>
            <w:hideMark/>
          </w:tcPr>
          <w:p w:rsidRPr="00E35821" w:rsidR="005C6A1D" w:rsidP="00D17D6B" w:rsidRDefault="005C6A1D" w14:paraId="4BE5123F" w14:textId="77777777">
            <w:pPr>
              <w:jc w:val="center"/>
              <w:rPr>
                <w:color w:val="000000"/>
                <w:sz w:val="20"/>
              </w:rPr>
            </w:pPr>
            <w:r w:rsidRPr="00E35821">
              <w:rPr>
                <w:color w:val="000000"/>
                <w:sz w:val="20"/>
              </w:rPr>
              <w:t>Total cost equivalent</w:t>
            </w:r>
          </w:p>
        </w:tc>
      </w:tr>
      <w:tr w:rsidRPr="00E35821" w:rsidR="005C6A1D" w:rsidTr="00E35821" w14:paraId="4BE51247" w14:textId="77777777">
        <w:trPr>
          <w:trHeight w:val="1013"/>
        </w:trPr>
        <w:tc>
          <w:tcPr>
            <w:tcW w:w="0" w:type="auto"/>
            <w:tcBorders>
              <w:top w:val="nil"/>
              <w:left w:val="single" w:color="auto" w:sz="4" w:space="0"/>
              <w:bottom w:val="single" w:color="auto" w:sz="4" w:space="0"/>
              <w:right w:val="single" w:color="auto" w:sz="4" w:space="0"/>
            </w:tcBorders>
            <w:shd w:val="clear" w:color="auto" w:fill="auto"/>
            <w:hideMark/>
          </w:tcPr>
          <w:p w:rsidRPr="00E35821" w:rsidR="005C6A1D" w:rsidP="00D17D6B" w:rsidRDefault="005C6A1D" w14:paraId="4BE51241" w14:textId="77777777">
            <w:pPr>
              <w:rPr>
                <w:color w:val="000000"/>
                <w:sz w:val="20"/>
              </w:rPr>
            </w:pPr>
            <w:r w:rsidRPr="00E35821">
              <w:rPr>
                <w:color w:val="000000"/>
                <w:sz w:val="20"/>
              </w:rPr>
              <w:t>229.207(b)—Petitions for FRA approval of new locomotive crashworthiness design standards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42" w14:textId="77777777">
            <w:pPr>
              <w:jc w:val="right"/>
              <w:rPr>
                <w:color w:val="000000"/>
                <w:sz w:val="20"/>
              </w:rPr>
            </w:pPr>
            <w:r w:rsidRPr="00E35821">
              <w:rPr>
                <w:color w:val="000000"/>
                <w:sz w:val="20"/>
              </w:rPr>
              <w:t>746 railroads/4 locomotive manufacturers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43" w14:textId="77777777">
            <w:pPr>
              <w:jc w:val="right"/>
              <w:rPr>
                <w:color w:val="000000"/>
                <w:sz w:val="20"/>
              </w:rPr>
            </w:pPr>
            <w:r w:rsidRPr="00E35821">
              <w:rPr>
                <w:color w:val="000000"/>
                <w:sz w:val="20"/>
              </w:rPr>
              <w:t>2 petitions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44" w14:textId="77777777">
            <w:pPr>
              <w:jc w:val="right"/>
              <w:rPr>
                <w:color w:val="000000"/>
                <w:sz w:val="20"/>
              </w:rPr>
            </w:pPr>
            <w:r w:rsidRPr="00E35821">
              <w:rPr>
                <w:color w:val="000000"/>
                <w:sz w:val="20"/>
              </w:rPr>
              <w:t>50 hours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45" w14:textId="77777777">
            <w:pPr>
              <w:jc w:val="right"/>
              <w:rPr>
                <w:color w:val="000000"/>
                <w:sz w:val="20"/>
              </w:rPr>
            </w:pPr>
            <w:r w:rsidRPr="00E35821">
              <w:rPr>
                <w:color w:val="000000"/>
                <w:sz w:val="20"/>
              </w:rPr>
              <w:t>100 hours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46" w14:textId="77777777">
            <w:pPr>
              <w:jc w:val="right"/>
              <w:rPr>
                <w:color w:val="000000"/>
                <w:sz w:val="20"/>
              </w:rPr>
            </w:pPr>
            <w:r w:rsidRPr="00E35821">
              <w:rPr>
                <w:color w:val="000000"/>
                <w:sz w:val="20"/>
              </w:rPr>
              <w:t xml:space="preserve">$7,600 </w:t>
            </w:r>
          </w:p>
        </w:tc>
      </w:tr>
      <w:tr w:rsidRPr="00E35821" w:rsidR="005C6A1D" w:rsidTr="00E35821" w14:paraId="4BE5124E" w14:textId="77777777">
        <w:trPr>
          <w:trHeight w:val="1247"/>
        </w:trPr>
        <w:tc>
          <w:tcPr>
            <w:tcW w:w="0" w:type="auto"/>
            <w:tcBorders>
              <w:top w:val="nil"/>
              <w:left w:val="single" w:color="auto" w:sz="4" w:space="0"/>
              <w:bottom w:val="single" w:color="auto" w:sz="4" w:space="0"/>
              <w:right w:val="single" w:color="auto" w:sz="4" w:space="0"/>
            </w:tcBorders>
            <w:shd w:val="clear" w:color="auto" w:fill="auto"/>
            <w:hideMark/>
          </w:tcPr>
          <w:p w:rsidRPr="00E35821" w:rsidR="005C6A1D" w:rsidP="00D17D6B" w:rsidRDefault="005C6A1D" w14:paraId="4BE51248" w14:textId="77777777">
            <w:pPr>
              <w:rPr>
                <w:color w:val="000000"/>
                <w:sz w:val="20"/>
              </w:rPr>
            </w:pPr>
            <w:r w:rsidRPr="00E35821">
              <w:rPr>
                <w:color w:val="000000"/>
                <w:sz w:val="20"/>
              </w:rPr>
              <w:t>—(c) Petition for FRA approval of substantive changes to FRA-approved locomotive crashworthiness design standard</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49" w14:textId="77777777">
            <w:pPr>
              <w:jc w:val="right"/>
              <w:rPr>
                <w:color w:val="000000"/>
                <w:sz w:val="20"/>
              </w:rPr>
            </w:pPr>
            <w:r w:rsidRPr="00E35821">
              <w:rPr>
                <w:color w:val="000000"/>
                <w:sz w:val="20"/>
              </w:rPr>
              <w:t>746 railroads/4 locomotive manufacturers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4A" w14:textId="77777777">
            <w:pPr>
              <w:jc w:val="right"/>
              <w:rPr>
                <w:color w:val="000000"/>
                <w:sz w:val="20"/>
              </w:rPr>
            </w:pPr>
            <w:r w:rsidRPr="00E35821">
              <w:rPr>
                <w:color w:val="000000"/>
                <w:sz w:val="20"/>
              </w:rPr>
              <w:t>1 petition</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4B" w14:textId="77777777">
            <w:pPr>
              <w:jc w:val="right"/>
              <w:rPr>
                <w:color w:val="000000"/>
                <w:sz w:val="20"/>
              </w:rPr>
            </w:pPr>
            <w:r w:rsidRPr="00E35821">
              <w:rPr>
                <w:color w:val="000000"/>
                <w:sz w:val="20"/>
              </w:rPr>
              <w:t>50 hours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4C" w14:textId="77777777">
            <w:pPr>
              <w:jc w:val="right"/>
              <w:rPr>
                <w:color w:val="000000"/>
                <w:sz w:val="20"/>
              </w:rPr>
            </w:pPr>
            <w:r w:rsidRPr="00E35821">
              <w:rPr>
                <w:color w:val="000000"/>
                <w:sz w:val="20"/>
              </w:rPr>
              <w:t>50 hours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4D" w14:textId="77777777">
            <w:pPr>
              <w:jc w:val="right"/>
              <w:rPr>
                <w:color w:val="000000"/>
                <w:sz w:val="20"/>
              </w:rPr>
            </w:pPr>
            <w:r w:rsidRPr="00E35821">
              <w:rPr>
                <w:color w:val="000000"/>
                <w:sz w:val="20"/>
              </w:rPr>
              <w:t xml:space="preserve">$3,800 </w:t>
            </w:r>
          </w:p>
        </w:tc>
      </w:tr>
      <w:tr w:rsidRPr="00E35821" w:rsidR="005C6A1D" w:rsidTr="00D17D6B" w14:paraId="4BE51255" w14:textId="77777777">
        <w:trPr>
          <w:trHeight w:val="1584"/>
        </w:trPr>
        <w:tc>
          <w:tcPr>
            <w:tcW w:w="0" w:type="auto"/>
            <w:tcBorders>
              <w:top w:val="nil"/>
              <w:left w:val="single" w:color="auto" w:sz="4" w:space="0"/>
              <w:bottom w:val="single" w:color="auto" w:sz="4" w:space="0"/>
              <w:right w:val="single" w:color="auto" w:sz="4" w:space="0"/>
            </w:tcBorders>
            <w:shd w:val="clear" w:color="auto" w:fill="auto"/>
            <w:hideMark/>
          </w:tcPr>
          <w:p w:rsidRPr="00E35821" w:rsidR="005C6A1D" w:rsidP="00D17D6B" w:rsidRDefault="005C6A1D" w14:paraId="4BE5124F" w14:textId="77777777">
            <w:pPr>
              <w:rPr>
                <w:color w:val="000000"/>
                <w:sz w:val="20"/>
              </w:rPr>
            </w:pPr>
            <w:r w:rsidRPr="00E35821">
              <w:rPr>
                <w:color w:val="000000"/>
                <w:sz w:val="20"/>
              </w:rPr>
              <w:t>—(d) Petition for FRA approval of non-substantive changes to existing FRA approved locomotive crashworthiness design standard</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50" w14:textId="77777777">
            <w:pPr>
              <w:jc w:val="right"/>
              <w:rPr>
                <w:color w:val="000000"/>
                <w:sz w:val="20"/>
              </w:rPr>
            </w:pPr>
            <w:r w:rsidRPr="00E35821">
              <w:rPr>
                <w:color w:val="000000"/>
                <w:sz w:val="20"/>
              </w:rPr>
              <w:t>746 railroads/4 locomotive manufacturers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51" w14:textId="77777777">
            <w:pPr>
              <w:jc w:val="right"/>
              <w:rPr>
                <w:color w:val="000000"/>
                <w:sz w:val="20"/>
              </w:rPr>
            </w:pPr>
            <w:r w:rsidRPr="00E35821">
              <w:rPr>
                <w:color w:val="000000"/>
                <w:sz w:val="20"/>
              </w:rPr>
              <w:t>1 petition</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52" w14:textId="77777777">
            <w:pPr>
              <w:jc w:val="right"/>
              <w:rPr>
                <w:color w:val="000000"/>
                <w:sz w:val="20"/>
              </w:rPr>
            </w:pPr>
            <w:r w:rsidRPr="00E35821">
              <w:rPr>
                <w:color w:val="000000"/>
                <w:sz w:val="20"/>
              </w:rPr>
              <w:t>50 hours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53" w14:textId="77777777">
            <w:pPr>
              <w:jc w:val="right"/>
              <w:rPr>
                <w:color w:val="000000"/>
                <w:sz w:val="20"/>
              </w:rPr>
            </w:pPr>
            <w:r w:rsidRPr="00E35821">
              <w:rPr>
                <w:color w:val="000000"/>
                <w:sz w:val="20"/>
              </w:rPr>
              <w:t>50 hours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54" w14:textId="77777777">
            <w:pPr>
              <w:jc w:val="right"/>
              <w:rPr>
                <w:color w:val="000000"/>
                <w:sz w:val="20"/>
              </w:rPr>
            </w:pPr>
            <w:r w:rsidRPr="00E35821">
              <w:rPr>
                <w:color w:val="000000"/>
                <w:sz w:val="20"/>
              </w:rPr>
              <w:t xml:space="preserve">$3,800 </w:t>
            </w:r>
          </w:p>
        </w:tc>
      </w:tr>
      <w:tr w:rsidRPr="00E35821" w:rsidR="005C6A1D" w:rsidTr="00E35821" w14:paraId="4BE5125C" w14:textId="77777777">
        <w:trPr>
          <w:trHeight w:val="1013"/>
        </w:trPr>
        <w:tc>
          <w:tcPr>
            <w:tcW w:w="0" w:type="auto"/>
            <w:tcBorders>
              <w:top w:val="nil"/>
              <w:left w:val="single" w:color="auto" w:sz="4" w:space="0"/>
              <w:bottom w:val="single" w:color="auto" w:sz="4" w:space="0"/>
              <w:right w:val="single" w:color="auto" w:sz="4" w:space="0"/>
            </w:tcBorders>
            <w:shd w:val="clear" w:color="auto" w:fill="auto"/>
            <w:hideMark/>
          </w:tcPr>
          <w:p w:rsidRPr="00E35821" w:rsidR="005C6A1D" w:rsidP="00D17D6B" w:rsidRDefault="005C6A1D" w14:paraId="4BE51256" w14:textId="77777777">
            <w:pPr>
              <w:rPr>
                <w:color w:val="000000"/>
                <w:sz w:val="20"/>
              </w:rPr>
            </w:pPr>
            <w:r w:rsidRPr="00E35821">
              <w:rPr>
                <w:color w:val="000000"/>
                <w:sz w:val="20"/>
              </w:rPr>
              <w:t>229.209(b)—Alternative locomotive crashworthiness designs—Petition for FRA approval</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57" w14:textId="77777777">
            <w:pPr>
              <w:jc w:val="right"/>
              <w:rPr>
                <w:color w:val="000000"/>
                <w:sz w:val="20"/>
              </w:rPr>
            </w:pPr>
            <w:r w:rsidRPr="00E35821">
              <w:rPr>
                <w:color w:val="000000"/>
                <w:sz w:val="20"/>
              </w:rPr>
              <w:t>746 railroads/4 locomotive manufacturers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58" w14:textId="77777777">
            <w:pPr>
              <w:jc w:val="right"/>
              <w:rPr>
                <w:color w:val="000000"/>
                <w:sz w:val="20"/>
              </w:rPr>
            </w:pPr>
            <w:r w:rsidRPr="00E35821">
              <w:rPr>
                <w:color w:val="000000"/>
                <w:sz w:val="20"/>
              </w:rPr>
              <w:t>1 petition</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59" w14:textId="77777777">
            <w:pPr>
              <w:jc w:val="right"/>
              <w:rPr>
                <w:color w:val="000000"/>
                <w:sz w:val="20"/>
              </w:rPr>
            </w:pPr>
            <w:r w:rsidRPr="00E35821">
              <w:rPr>
                <w:color w:val="000000"/>
                <w:sz w:val="20"/>
              </w:rPr>
              <w:t>50 hours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5A" w14:textId="77777777">
            <w:pPr>
              <w:jc w:val="right"/>
              <w:rPr>
                <w:color w:val="000000"/>
                <w:sz w:val="20"/>
              </w:rPr>
            </w:pPr>
            <w:r w:rsidRPr="00E35821">
              <w:rPr>
                <w:color w:val="000000"/>
                <w:sz w:val="20"/>
              </w:rPr>
              <w:t>50 hours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5B" w14:textId="77777777">
            <w:pPr>
              <w:jc w:val="right"/>
              <w:rPr>
                <w:color w:val="000000"/>
                <w:sz w:val="20"/>
              </w:rPr>
            </w:pPr>
            <w:r w:rsidRPr="00E35821">
              <w:rPr>
                <w:color w:val="000000"/>
                <w:sz w:val="20"/>
              </w:rPr>
              <w:t xml:space="preserve">$3,800 </w:t>
            </w:r>
          </w:p>
        </w:tc>
      </w:tr>
      <w:tr w:rsidRPr="00E35821" w:rsidR="005C6A1D" w:rsidTr="00D17D6B" w14:paraId="4BE51263" w14:textId="77777777">
        <w:trPr>
          <w:trHeight w:val="1320"/>
        </w:trPr>
        <w:tc>
          <w:tcPr>
            <w:tcW w:w="0" w:type="auto"/>
            <w:tcBorders>
              <w:top w:val="nil"/>
              <w:left w:val="single" w:color="auto" w:sz="4" w:space="0"/>
              <w:bottom w:val="single" w:color="auto" w:sz="4" w:space="0"/>
              <w:right w:val="single" w:color="auto" w:sz="4" w:space="0"/>
            </w:tcBorders>
            <w:shd w:val="clear" w:color="auto" w:fill="auto"/>
            <w:hideMark/>
          </w:tcPr>
          <w:p w:rsidRPr="00E35821" w:rsidR="005C6A1D" w:rsidP="00D17D6B" w:rsidRDefault="005C6A1D" w14:paraId="4BE5125D" w14:textId="77777777">
            <w:pPr>
              <w:rPr>
                <w:color w:val="000000"/>
                <w:sz w:val="20"/>
              </w:rPr>
            </w:pPr>
            <w:r w:rsidRPr="00E35821">
              <w:rPr>
                <w:color w:val="000000"/>
                <w:sz w:val="20"/>
              </w:rPr>
              <w:t>229.211(b)(3)—Processing petitions—Additional information for FRA to appropriately consider the petition</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5E" w14:textId="77777777">
            <w:pPr>
              <w:jc w:val="right"/>
              <w:rPr>
                <w:color w:val="000000"/>
                <w:sz w:val="20"/>
              </w:rPr>
            </w:pPr>
            <w:r w:rsidRPr="00E35821">
              <w:rPr>
                <w:color w:val="000000"/>
                <w:sz w:val="20"/>
              </w:rPr>
              <w:t>746 railroads/4 locomotive manufacturers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5F" w14:textId="77777777">
            <w:pPr>
              <w:jc w:val="right"/>
              <w:rPr>
                <w:color w:val="000000"/>
                <w:sz w:val="20"/>
              </w:rPr>
            </w:pPr>
            <w:r w:rsidRPr="00E35821">
              <w:rPr>
                <w:color w:val="000000"/>
                <w:sz w:val="20"/>
              </w:rPr>
              <w:t xml:space="preserve">1 hearing </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60" w14:textId="77777777">
            <w:pPr>
              <w:jc w:val="right"/>
              <w:rPr>
                <w:color w:val="000000"/>
                <w:sz w:val="20"/>
              </w:rPr>
            </w:pPr>
            <w:r w:rsidRPr="00E35821">
              <w:rPr>
                <w:color w:val="000000"/>
                <w:sz w:val="20"/>
              </w:rPr>
              <w:t>24 hours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61" w14:textId="77777777">
            <w:pPr>
              <w:jc w:val="right"/>
              <w:rPr>
                <w:color w:val="000000"/>
                <w:sz w:val="20"/>
              </w:rPr>
            </w:pPr>
            <w:r w:rsidRPr="00E35821">
              <w:rPr>
                <w:color w:val="000000"/>
                <w:sz w:val="20"/>
              </w:rPr>
              <w:t>24 hours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62" w14:textId="77777777">
            <w:pPr>
              <w:jc w:val="right"/>
              <w:rPr>
                <w:color w:val="000000"/>
                <w:sz w:val="20"/>
              </w:rPr>
            </w:pPr>
            <w:r w:rsidRPr="00E35821">
              <w:rPr>
                <w:color w:val="000000"/>
                <w:sz w:val="20"/>
              </w:rPr>
              <w:t xml:space="preserve">$1,824 </w:t>
            </w:r>
          </w:p>
        </w:tc>
      </w:tr>
      <w:tr w:rsidRPr="00E35821" w:rsidR="005C6A1D" w:rsidTr="00D17D6B" w14:paraId="4BE5126A" w14:textId="77777777">
        <w:trPr>
          <w:trHeight w:val="1056"/>
        </w:trPr>
        <w:tc>
          <w:tcPr>
            <w:tcW w:w="0" w:type="auto"/>
            <w:tcBorders>
              <w:top w:val="nil"/>
              <w:left w:val="single" w:color="auto" w:sz="4" w:space="0"/>
              <w:bottom w:val="single" w:color="auto" w:sz="4" w:space="0"/>
              <w:right w:val="single" w:color="auto" w:sz="4" w:space="0"/>
            </w:tcBorders>
            <w:shd w:val="clear" w:color="auto" w:fill="auto"/>
            <w:hideMark/>
          </w:tcPr>
          <w:p w:rsidRPr="00E35821" w:rsidR="005C6A1D" w:rsidP="00D17D6B" w:rsidRDefault="005C6A1D" w14:paraId="4BE51264" w14:textId="77777777">
            <w:pPr>
              <w:rPr>
                <w:color w:val="000000"/>
                <w:sz w:val="20"/>
              </w:rPr>
            </w:pPr>
            <w:r w:rsidRPr="00E35821">
              <w:rPr>
                <w:color w:val="000000"/>
                <w:sz w:val="20"/>
              </w:rPr>
              <w:t>229.213(a)(3)—Locomotive manufacturing information: retention by railroads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65" w14:textId="77777777">
            <w:pPr>
              <w:jc w:val="right"/>
              <w:rPr>
                <w:color w:val="000000"/>
                <w:sz w:val="20"/>
              </w:rPr>
            </w:pPr>
            <w:r w:rsidRPr="00E35821">
              <w:rPr>
                <w:color w:val="000000"/>
                <w:sz w:val="20"/>
              </w:rPr>
              <w:t xml:space="preserve">746 railroads </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66" w14:textId="77777777">
            <w:pPr>
              <w:jc w:val="right"/>
              <w:rPr>
                <w:color w:val="000000"/>
                <w:sz w:val="20"/>
              </w:rPr>
            </w:pPr>
            <w:r w:rsidRPr="00E35821">
              <w:rPr>
                <w:color w:val="000000"/>
                <w:sz w:val="20"/>
              </w:rPr>
              <w:t>500 records/stickers/badge plates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67" w14:textId="77777777">
            <w:pPr>
              <w:jc w:val="right"/>
              <w:rPr>
                <w:color w:val="000000"/>
                <w:sz w:val="20"/>
              </w:rPr>
            </w:pPr>
            <w:r w:rsidRPr="00E35821">
              <w:rPr>
                <w:color w:val="000000"/>
                <w:sz w:val="20"/>
              </w:rPr>
              <w:t>2 minutes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68" w14:textId="77777777">
            <w:pPr>
              <w:jc w:val="right"/>
              <w:rPr>
                <w:color w:val="000000"/>
                <w:sz w:val="20"/>
              </w:rPr>
            </w:pPr>
            <w:r w:rsidRPr="00E35821">
              <w:rPr>
                <w:color w:val="000000"/>
                <w:sz w:val="20"/>
              </w:rPr>
              <w:t>16.7 hours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69" w14:textId="77777777">
            <w:pPr>
              <w:jc w:val="right"/>
              <w:rPr>
                <w:color w:val="000000"/>
                <w:sz w:val="20"/>
              </w:rPr>
            </w:pPr>
            <w:r w:rsidRPr="00E35821">
              <w:rPr>
                <w:color w:val="000000"/>
                <w:sz w:val="20"/>
              </w:rPr>
              <w:t xml:space="preserve">$1,269 </w:t>
            </w:r>
          </w:p>
        </w:tc>
      </w:tr>
      <w:tr w:rsidRPr="00E35821" w:rsidR="005C6A1D" w:rsidTr="00D17D6B" w14:paraId="4BE51271" w14:textId="77777777">
        <w:trPr>
          <w:trHeight w:val="1056"/>
        </w:trPr>
        <w:tc>
          <w:tcPr>
            <w:tcW w:w="0" w:type="auto"/>
            <w:tcBorders>
              <w:top w:val="nil"/>
              <w:left w:val="single" w:color="auto" w:sz="4" w:space="0"/>
              <w:bottom w:val="single" w:color="auto" w:sz="4" w:space="0"/>
              <w:right w:val="single" w:color="auto" w:sz="4" w:space="0"/>
            </w:tcBorders>
            <w:shd w:val="clear" w:color="auto" w:fill="auto"/>
            <w:hideMark/>
          </w:tcPr>
          <w:p w:rsidRPr="00E35821" w:rsidR="005C6A1D" w:rsidP="00D17D6B" w:rsidRDefault="005C6A1D" w14:paraId="4BE5126B" w14:textId="77777777">
            <w:pPr>
              <w:rPr>
                <w:color w:val="000000"/>
                <w:sz w:val="20"/>
              </w:rPr>
            </w:pPr>
            <w:r w:rsidRPr="00E35821">
              <w:rPr>
                <w:color w:val="000000"/>
                <w:sz w:val="20"/>
              </w:rPr>
              <w:t>229.215—(a) Retention and inspection of designs—Retention of records—Original designs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6C" w14:textId="77777777">
            <w:pPr>
              <w:jc w:val="right"/>
              <w:rPr>
                <w:color w:val="000000"/>
                <w:sz w:val="20"/>
              </w:rPr>
            </w:pPr>
            <w:r w:rsidRPr="00E35821">
              <w:rPr>
                <w:color w:val="000000"/>
                <w:sz w:val="20"/>
              </w:rPr>
              <w:t>4 locomotive manufacturers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6D" w14:textId="77777777">
            <w:pPr>
              <w:jc w:val="right"/>
              <w:rPr>
                <w:color w:val="000000"/>
                <w:sz w:val="20"/>
              </w:rPr>
            </w:pPr>
            <w:r w:rsidRPr="00E35821">
              <w:rPr>
                <w:color w:val="000000"/>
                <w:sz w:val="20"/>
              </w:rPr>
              <w:t>24 records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6E" w14:textId="77777777">
            <w:pPr>
              <w:jc w:val="right"/>
              <w:rPr>
                <w:color w:val="000000"/>
                <w:sz w:val="20"/>
              </w:rPr>
            </w:pPr>
            <w:r w:rsidRPr="00E35821">
              <w:rPr>
                <w:color w:val="000000"/>
                <w:sz w:val="20"/>
              </w:rPr>
              <w:t>8 hours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6F" w14:textId="77777777">
            <w:pPr>
              <w:jc w:val="right"/>
              <w:rPr>
                <w:color w:val="000000"/>
                <w:sz w:val="20"/>
              </w:rPr>
            </w:pPr>
            <w:r w:rsidRPr="00E35821">
              <w:rPr>
                <w:color w:val="000000"/>
                <w:sz w:val="20"/>
              </w:rPr>
              <w:t>192 hours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70" w14:textId="77777777">
            <w:pPr>
              <w:jc w:val="right"/>
              <w:rPr>
                <w:color w:val="000000"/>
                <w:sz w:val="20"/>
              </w:rPr>
            </w:pPr>
            <w:r w:rsidRPr="00E35821">
              <w:rPr>
                <w:color w:val="000000"/>
                <w:sz w:val="20"/>
              </w:rPr>
              <w:t xml:space="preserve">$14,592 </w:t>
            </w:r>
          </w:p>
        </w:tc>
      </w:tr>
      <w:tr w:rsidRPr="00E35821" w:rsidR="005C6A1D" w:rsidTr="00D17D6B" w14:paraId="4BE51278" w14:textId="77777777">
        <w:trPr>
          <w:trHeight w:val="528"/>
        </w:trPr>
        <w:tc>
          <w:tcPr>
            <w:tcW w:w="0" w:type="auto"/>
            <w:tcBorders>
              <w:top w:val="nil"/>
              <w:left w:val="single" w:color="auto" w:sz="4" w:space="0"/>
              <w:bottom w:val="single" w:color="auto" w:sz="4" w:space="0"/>
              <w:right w:val="single" w:color="auto" w:sz="4" w:space="0"/>
            </w:tcBorders>
            <w:shd w:val="clear" w:color="auto" w:fill="auto"/>
            <w:hideMark/>
          </w:tcPr>
          <w:p w:rsidRPr="00E35821" w:rsidR="005C6A1D" w:rsidP="00D17D6B" w:rsidRDefault="005C6A1D" w14:paraId="4BE51272" w14:textId="77777777">
            <w:pPr>
              <w:rPr>
                <w:color w:val="000000"/>
                <w:sz w:val="20"/>
              </w:rPr>
            </w:pPr>
            <w:r w:rsidRPr="00E35821">
              <w:rPr>
                <w:color w:val="000000"/>
                <w:sz w:val="20"/>
              </w:rPr>
              <w:lastRenderedPageBreak/>
              <w:t>—(b) Repairs and modifications—Records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73" w14:textId="77777777">
            <w:pPr>
              <w:jc w:val="right"/>
              <w:rPr>
                <w:color w:val="000000"/>
                <w:sz w:val="20"/>
              </w:rPr>
            </w:pPr>
            <w:r w:rsidRPr="00E35821">
              <w:rPr>
                <w:color w:val="000000"/>
                <w:sz w:val="20"/>
              </w:rPr>
              <w:t>746 railroads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74" w14:textId="77777777">
            <w:pPr>
              <w:jc w:val="right"/>
              <w:rPr>
                <w:color w:val="000000"/>
                <w:sz w:val="20"/>
              </w:rPr>
            </w:pPr>
            <w:r w:rsidRPr="00E35821">
              <w:rPr>
                <w:color w:val="000000"/>
                <w:sz w:val="20"/>
              </w:rPr>
              <w:t>6 records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75" w14:textId="77777777">
            <w:pPr>
              <w:jc w:val="right"/>
              <w:rPr>
                <w:color w:val="000000"/>
                <w:sz w:val="20"/>
              </w:rPr>
            </w:pPr>
            <w:r w:rsidRPr="00E35821">
              <w:rPr>
                <w:color w:val="000000"/>
                <w:sz w:val="20"/>
              </w:rPr>
              <w:t>4 hours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76" w14:textId="77777777">
            <w:pPr>
              <w:jc w:val="right"/>
              <w:rPr>
                <w:color w:val="000000"/>
                <w:sz w:val="20"/>
              </w:rPr>
            </w:pPr>
            <w:r w:rsidRPr="00E35821">
              <w:rPr>
                <w:color w:val="000000"/>
                <w:sz w:val="20"/>
              </w:rPr>
              <w:t>24 hours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77" w14:textId="77777777">
            <w:pPr>
              <w:jc w:val="right"/>
              <w:rPr>
                <w:color w:val="000000"/>
                <w:sz w:val="20"/>
              </w:rPr>
            </w:pPr>
            <w:r w:rsidRPr="00E35821">
              <w:rPr>
                <w:color w:val="000000"/>
                <w:sz w:val="20"/>
              </w:rPr>
              <w:t xml:space="preserve">$1,824 </w:t>
            </w:r>
          </w:p>
        </w:tc>
      </w:tr>
      <w:tr w:rsidRPr="00E35821" w:rsidR="005C6A1D" w:rsidTr="00D17D6B" w14:paraId="4BE5127F" w14:textId="77777777">
        <w:trPr>
          <w:trHeight w:val="264"/>
        </w:trPr>
        <w:tc>
          <w:tcPr>
            <w:tcW w:w="0" w:type="auto"/>
            <w:tcBorders>
              <w:top w:val="nil"/>
              <w:left w:val="single" w:color="auto" w:sz="4" w:space="0"/>
              <w:bottom w:val="single" w:color="auto" w:sz="4" w:space="0"/>
              <w:right w:val="single" w:color="auto" w:sz="4" w:space="0"/>
            </w:tcBorders>
            <w:shd w:val="clear" w:color="auto" w:fill="auto"/>
            <w:hideMark/>
          </w:tcPr>
          <w:p w:rsidRPr="00E35821" w:rsidR="005C6A1D" w:rsidP="00D17D6B" w:rsidRDefault="005C6A1D" w14:paraId="4BE51279" w14:textId="77777777">
            <w:pPr>
              <w:rPr>
                <w:color w:val="000000"/>
                <w:sz w:val="20"/>
              </w:rPr>
            </w:pPr>
            <w:r w:rsidRPr="00E35821">
              <w:rPr>
                <w:color w:val="000000"/>
                <w:sz w:val="20"/>
              </w:rPr>
              <w:t>—(c) Inspection of records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7A" w14:textId="77777777">
            <w:pPr>
              <w:jc w:val="right"/>
              <w:rPr>
                <w:color w:val="000000"/>
                <w:sz w:val="20"/>
              </w:rPr>
            </w:pPr>
            <w:r w:rsidRPr="00E35821">
              <w:rPr>
                <w:color w:val="000000"/>
                <w:sz w:val="20"/>
              </w:rPr>
              <w:t>746 railroads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7B" w14:textId="77777777">
            <w:pPr>
              <w:jc w:val="right"/>
              <w:rPr>
                <w:color w:val="000000"/>
                <w:sz w:val="20"/>
              </w:rPr>
            </w:pPr>
            <w:r w:rsidRPr="00E35821">
              <w:rPr>
                <w:color w:val="000000"/>
                <w:sz w:val="20"/>
              </w:rPr>
              <w:t>10 records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7C" w14:textId="77777777">
            <w:pPr>
              <w:jc w:val="right"/>
              <w:rPr>
                <w:color w:val="000000"/>
                <w:sz w:val="20"/>
              </w:rPr>
            </w:pPr>
            <w:r w:rsidRPr="00E35821">
              <w:rPr>
                <w:color w:val="000000"/>
                <w:sz w:val="20"/>
              </w:rPr>
              <w:t>2 minutes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7D" w14:textId="77777777">
            <w:pPr>
              <w:jc w:val="right"/>
              <w:rPr>
                <w:color w:val="000000"/>
                <w:sz w:val="20"/>
              </w:rPr>
            </w:pPr>
            <w:r w:rsidRPr="00E35821">
              <w:rPr>
                <w:color w:val="000000"/>
                <w:sz w:val="20"/>
              </w:rPr>
              <w:t>.3 hours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7E" w14:textId="77777777">
            <w:pPr>
              <w:jc w:val="right"/>
              <w:rPr>
                <w:color w:val="000000"/>
                <w:sz w:val="20"/>
              </w:rPr>
            </w:pPr>
            <w:r w:rsidRPr="00E35821">
              <w:rPr>
                <w:color w:val="000000"/>
                <w:sz w:val="20"/>
              </w:rPr>
              <w:t xml:space="preserve">$23 </w:t>
            </w:r>
          </w:p>
        </w:tc>
      </w:tr>
      <w:tr w:rsidRPr="00E35821" w:rsidR="005C6A1D" w:rsidTr="00D17D6B" w14:paraId="4BE51286" w14:textId="77777777">
        <w:trPr>
          <w:trHeight w:val="264"/>
        </w:trPr>
        <w:tc>
          <w:tcPr>
            <w:tcW w:w="0" w:type="auto"/>
            <w:tcBorders>
              <w:top w:val="nil"/>
              <w:left w:val="single" w:color="auto" w:sz="4" w:space="0"/>
              <w:bottom w:val="single" w:color="auto" w:sz="4" w:space="0"/>
              <w:right w:val="single" w:color="auto" w:sz="4" w:space="0"/>
            </w:tcBorders>
            <w:shd w:val="clear" w:color="auto" w:fill="auto"/>
            <w:hideMark/>
          </w:tcPr>
          <w:p w:rsidRPr="00E35821" w:rsidR="005C6A1D" w:rsidP="00D17D6B" w:rsidRDefault="005C6A1D" w14:paraId="4BE51280" w14:textId="77777777">
            <w:pPr>
              <w:rPr>
                <w:color w:val="000000"/>
                <w:sz w:val="20"/>
              </w:rPr>
            </w:pPr>
            <w:r w:rsidRPr="00E35821">
              <w:rPr>
                <w:color w:val="000000"/>
                <w:sz w:val="20"/>
              </w:rPr>
              <w:t>Total</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81" w14:textId="77777777">
            <w:pPr>
              <w:jc w:val="right"/>
              <w:rPr>
                <w:color w:val="000000"/>
                <w:sz w:val="20"/>
              </w:rPr>
            </w:pPr>
            <w:r w:rsidRPr="00E35821">
              <w:rPr>
                <w:color w:val="000000"/>
                <w:sz w:val="20"/>
              </w:rPr>
              <w:t xml:space="preserve">746 railroads   </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82" w14:textId="77777777">
            <w:pPr>
              <w:jc w:val="right"/>
              <w:rPr>
                <w:color w:val="000000"/>
                <w:sz w:val="20"/>
              </w:rPr>
            </w:pPr>
            <w:r w:rsidRPr="00E35821">
              <w:rPr>
                <w:color w:val="000000"/>
                <w:sz w:val="20"/>
              </w:rPr>
              <w:t>546 responses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83" w14:textId="77777777">
            <w:pPr>
              <w:jc w:val="right"/>
              <w:rPr>
                <w:color w:val="000000"/>
                <w:sz w:val="20"/>
              </w:rPr>
            </w:pPr>
            <w:r w:rsidRPr="00E35821">
              <w:rPr>
                <w:color w:val="000000"/>
                <w:sz w:val="20"/>
              </w:rPr>
              <w:t xml:space="preserve"> N/A</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84" w14:textId="77777777">
            <w:pPr>
              <w:jc w:val="right"/>
              <w:rPr>
                <w:color w:val="000000"/>
                <w:sz w:val="20"/>
              </w:rPr>
            </w:pPr>
            <w:r w:rsidRPr="00E35821">
              <w:rPr>
                <w:color w:val="000000"/>
                <w:sz w:val="20"/>
              </w:rPr>
              <w:t>507 hours</w:t>
            </w:r>
          </w:p>
        </w:tc>
        <w:tc>
          <w:tcPr>
            <w:tcW w:w="0" w:type="auto"/>
            <w:tcBorders>
              <w:top w:val="nil"/>
              <w:left w:val="nil"/>
              <w:bottom w:val="single" w:color="auto" w:sz="4" w:space="0"/>
              <w:right w:val="single" w:color="auto" w:sz="4" w:space="0"/>
            </w:tcBorders>
            <w:shd w:val="clear" w:color="auto" w:fill="auto"/>
            <w:hideMark/>
          </w:tcPr>
          <w:p w:rsidRPr="00E35821" w:rsidR="005C6A1D" w:rsidP="00D17D6B" w:rsidRDefault="005C6A1D" w14:paraId="4BE51285" w14:textId="77777777">
            <w:pPr>
              <w:jc w:val="right"/>
              <w:rPr>
                <w:color w:val="000000"/>
                <w:sz w:val="20"/>
              </w:rPr>
            </w:pPr>
            <w:r w:rsidRPr="00E35821">
              <w:rPr>
                <w:color w:val="000000"/>
                <w:sz w:val="20"/>
              </w:rPr>
              <w:t xml:space="preserve">$38,532 </w:t>
            </w:r>
          </w:p>
        </w:tc>
      </w:tr>
    </w:tbl>
    <w:p w:rsidRPr="00E35821" w:rsidR="005C6A1D" w:rsidRDefault="005C6A1D" w14:paraId="4BE51287" w14:textId="77777777">
      <w:pPr>
        <w:widowControl w:val="0"/>
        <w:ind w:left="720"/>
        <w:rPr>
          <w:i/>
        </w:rPr>
      </w:pPr>
    </w:p>
    <w:p w:rsidRPr="00E35821" w:rsidR="009E611B" w:rsidRDefault="009E611B" w14:paraId="4BE51288" w14:textId="77777777">
      <w:pPr>
        <w:widowControl w:val="0"/>
        <w:ind w:left="1440"/>
      </w:pPr>
    </w:p>
    <w:p w:rsidRPr="00E35821" w:rsidR="009E611B" w:rsidP="00791940" w:rsidRDefault="00EE032B" w14:paraId="4BE51289" w14:textId="77777777">
      <w:pPr>
        <w:widowControl w:val="0"/>
        <w:ind w:left="720" w:hanging="720"/>
      </w:pPr>
      <w:r w:rsidRPr="00E35821">
        <w:rPr>
          <w:b/>
        </w:rPr>
        <w:t>13.</w:t>
      </w:r>
      <w:r w:rsidRPr="00E35821">
        <w:rPr>
          <w:b/>
        </w:rPr>
        <w:tab/>
      </w:r>
      <w:r w:rsidRPr="00E35821">
        <w:rPr>
          <w:b/>
          <w:u w:val="single"/>
        </w:rPr>
        <w:t>Estimate of total annual costs to respondents</w:t>
      </w:r>
      <w:r w:rsidRPr="00E35821">
        <w:t>.</w:t>
      </w:r>
    </w:p>
    <w:p w:rsidRPr="00E35821" w:rsidR="009E611B" w:rsidRDefault="009E611B" w14:paraId="4BE5128A" w14:textId="77777777">
      <w:pPr>
        <w:widowControl w:val="0"/>
        <w:ind w:left="720"/>
      </w:pPr>
    </w:p>
    <w:p w:rsidR="009E611B" w:rsidRDefault="009E611B" w14:paraId="4BE5128B" w14:textId="722F7615">
      <w:pPr>
        <w:widowControl w:val="0"/>
        <w:ind w:left="720"/>
      </w:pPr>
      <w:r w:rsidRPr="00E35821">
        <w:t>Additional respondent cost outside of burden hours shown above for each information collection requirement is as follows:</w:t>
      </w:r>
    </w:p>
    <w:p w:rsidR="00E35821" w:rsidRDefault="00E35821" w14:paraId="21D20110" w14:textId="1959F30B">
      <w:pPr>
        <w:widowControl w:val="0"/>
        <w:ind w:left="720"/>
      </w:pPr>
    </w:p>
    <w:tbl>
      <w:tblPr>
        <w:tblW w:w="0" w:type="auto"/>
        <w:tblInd w:w="715" w:type="dxa"/>
        <w:tblLook w:val="04A0" w:firstRow="1" w:lastRow="0" w:firstColumn="1" w:lastColumn="0" w:noHBand="0" w:noVBand="1"/>
      </w:tblPr>
      <w:tblGrid>
        <w:gridCol w:w="3490"/>
        <w:gridCol w:w="2090"/>
      </w:tblGrid>
      <w:tr w:rsidRPr="00E35821" w:rsidR="007A34AD" w:rsidTr="007A34AD" w14:paraId="32DE93A1" w14:textId="77777777">
        <w:trPr>
          <w:trHeight w:val="312"/>
        </w:trPr>
        <w:tc>
          <w:tcPr>
            <w:tcW w:w="349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E35821" w:rsidR="007A34AD" w:rsidP="00E35821" w:rsidRDefault="007A34AD" w14:paraId="39109B33" w14:textId="4B710543">
            <w:pPr>
              <w:rPr>
                <w:color w:val="000000"/>
                <w:szCs w:val="24"/>
              </w:rPr>
            </w:pPr>
            <w:r>
              <w:rPr>
                <w:color w:val="000000"/>
                <w:szCs w:val="24"/>
              </w:rPr>
              <w:t>Costs to R</w:t>
            </w:r>
            <w:r w:rsidRPr="007A34AD">
              <w:rPr>
                <w:color w:val="000000"/>
                <w:szCs w:val="24"/>
              </w:rPr>
              <w:t>espondents</w:t>
            </w:r>
          </w:p>
        </w:tc>
        <w:tc>
          <w:tcPr>
            <w:tcW w:w="2090" w:type="dxa"/>
            <w:tcBorders>
              <w:top w:val="single" w:color="auto" w:sz="4" w:space="0"/>
              <w:left w:val="nil"/>
              <w:bottom w:val="single" w:color="auto" w:sz="4" w:space="0"/>
              <w:right w:val="single" w:color="auto" w:sz="4" w:space="0"/>
            </w:tcBorders>
            <w:shd w:val="clear" w:color="auto" w:fill="auto"/>
            <w:noWrap/>
            <w:vAlign w:val="bottom"/>
          </w:tcPr>
          <w:p w:rsidRPr="00E35821" w:rsidR="007A34AD" w:rsidP="00E35821" w:rsidRDefault="007A34AD" w14:paraId="4D1ED502" w14:textId="1FEC4D85">
            <w:pPr>
              <w:jc w:val="right"/>
              <w:rPr>
                <w:color w:val="000000"/>
                <w:szCs w:val="24"/>
              </w:rPr>
            </w:pPr>
            <w:r>
              <w:rPr>
                <w:color w:val="000000"/>
                <w:szCs w:val="24"/>
              </w:rPr>
              <w:t>Annual Cost ($)</w:t>
            </w:r>
          </w:p>
        </w:tc>
      </w:tr>
      <w:tr w:rsidRPr="00E35821" w:rsidR="00E35821" w:rsidTr="007A34AD" w14:paraId="54A215E7" w14:textId="77777777">
        <w:trPr>
          <w:trHeight w:val="312"/>
        </w:trPr>
        <w:tc>
          <w:tcPr>
            <w:tcW w:w="34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5821" w:rsidR="00E35821" w:rsidP="00E35821" w:rsidRDefault="00E35821" w14:paraId="7ACA19D2" w14:textId="77777777">
            <w:pPr>
              <w:rPr>
                <w:color w:val="000000"/>
                <w:szCs w:val="24"/>
              </w:rPr>
            </w:pPr>
            <w:r w:rsidRPr="00E35821">
              <w:rPr>
                <w:color w:val="000000"/>
                <w:szCs w:val="24"/>
              </w:rPr>
              <w:t>Printing of interior decals</w:t>
            </w:r>
          </w:p>
        </w:tc>
        <w:tc>
          <w:tcPr>
            <w:tcW w:w="2090" w:type="dxa"/>
            <w:tcBorders>
              <w:top w:val="single" w:color="auto" w:sz="4" w:space="0"/>
              <w:left w:val="nil"/>
              <w:bottom w:val="single" w:color="auto" w:sz="4" w:space="0"/>
              <w:right w:val="single" w:color="auto" w:sz="4" w:space="0"/>
            </w:tcBorders>
            <w:shd w:val="clear" w:color="auto" w:fill="auto"/>
            <w:noWrap/>
            <w:vAlign w:val="bottom"/>
            <w:hideMark/>
          </w:tcPr>
          <w:p w:rsidRPr="00E35821" w:rsidR="00E35821" w:rsidP="00E35821" w:rsidRDefault="00E35821" w14:paraId="364D7584" w14:textId="4804FBA2">
            <w:pPr>
              <w:jc w:val="right"/>
              <w:rPr>
                <w:color w:val="000000"/>
                <w:szCs w:val="24"/>
              </w:rPr>
            </w:pPr>
            <w:r w:rsidRPr="00E35821">
              <w:rPr>
                <w:color w:val="000000"/>
                <w:szCs w:val="24"/>
              </w:rPr>
              <w:t>2,541</w:t>
            </w:r>
          </w:p>
        </w:tc>
      </w:tr>
      <w:tr w:rsidRPr="00E35821" w:rsidR="00E35821" w:rsidTr="007A34AD" w14:paraId="22919EB1" w14:textId="77777777">
        <w:trPr>
          <w:trHeight w:val="312"/>
        </w:trPr>
        <w:tc>
          <w:tcPr>
            <w:tcW w:w="3490" w:type="dxa"/>
            <w:tcBorders>
              <w:top w:val="nil"/>
              <w:left w:val="single" w:color="auto" w:sz="4" w:space="0"/>
              <w:bottom w:val="single" w:color="auto" w:sz="4" w:space="0"/>
              <w:right w:val="single" w:color="auto" w:sz="4" w:space="0"/>
            </w:tcBorders>
            <w:shd w:val="clear" w:color="auto" w:fill="auto"/>
            <w:noWrap/>
            <w:vAlign w:val="bottom"/>
            <w:hideMark/>
          </w:tcPr>
          <w:p w:rsidRPr="00E35821" w:rsidR="00E35821" w:rsidP="00E35821" w:rsidRDefault="00E35821" w14:paraId="692F2DA9" w14:textId="77777777">
            <w:pPr>
              <w:rPr>
                <w:color w:val="000000"/>
                <w:szCs w:val="24"/>
              </w:rPr>
            </w:pPr>
            <w:r w:rsidRPr="00E35821">
              <w:rPr>
                <w:color w:val="000000"/>
                <w:szCs w:val="24"/>
              </w:rPr>
              <w:t xml:space="preserve">Printing of exterior decals  </w:t>
            </w:r>
          </w:p>
        </w:tc>
        <w:tc>
          <w:tcPr>
            <w:tcW w:w="2090" w:type="dxa"/>
            <w:tcBorders>
              <w:top w:val="nil"/>
              <w:left w:val="nil"/>
              <w:bottom w:val="single" w:color="auto" w:sz="4" w:space="0"/>
              <w:right w:val="single" w:color="auto" w:sz="4" w:space="0"/>
            </w:tcBorders>
            <w:shd w:val="clear" w:color="auto" w:fill="auto"/>
            <w:noWrap/>
            <w:vAlign w:val="bottom"/>
            <w:hideMark/>
          </w:tcPr>
          <w:p w:rsidRPr="00E35821" w:rsidR="00E35821" w:rsidP="00E35821" w:rsidRDefault="00E35821" w14:paraId="51F79811" w14:textId="7609C896">
            <w:pPr>
              <w:jc w:val="right"/>
              <w:rPr>
                <w:color w:val="000000"/>
                <w:szCs w:val="24"/>
              </w:rPr>
            </w:pPr>
            <w:r w:rsidRPr="00E35821">
              <w:rPr>
                <w:color w:val="000000"/>
                <w:szCs w:val="24"/>
              </w:rPr>
              <w:t>10,532</w:t>
            </w:r>
          </w:p>
        </w:tc>
      </w:tr>
      <w:tr w:rsidRPr="00E35821" w:rsidR="00E35821" w:rsidTr="007A34AD" w14:paraId="51734381" w14:textId="77777777">
        <w:trPr>
          <w:trHeight w:val="312"/>
        </w:trPr>
        <w:tc>
          <w:tcPr>
            <w:tcW w:w="3490" w:type="dxa"/>
            <w:tcBorders>
              <w:top w:val="nil"/>
              <w:left w:val="single" w:color="auto" w:sz="4" w:space="0"/>
              <w:bottom w:val="single" w:color="auto" w:sz="4" w:space="0"/>
              <w:right w:val="single" w:color="auto" w:sz="4" w:space="0"/>
            </w:tcBorders>
            <w:shd w:val="clear" w:color="auto" w:fill="auto"/>
            <w:noWrap/>
            <w:vAlign w:val="bottom"/>
            <w:hideMark/>
          </w:tcPr>
          <w:p w:rsidRPr="00E35821" w:rsidR="00E35821" w:rsidP="00E35821" w:rsidRDefault="00E35821" w14:paraId="4781AFF6" w14:textId="77777777">
            <w:pPr>
              <w:rPr>
                <w:color w:val="000000"/>
                <w:szCs w:val="24"/>
              </w:rPr>
            </w:pPr>
            <w:r w:rsidRPr="00E35821">
              <w:rPr>
                <w:color w:val="000000"/>
                <w:szCs w:val="24"/>
              </w:rPr>
              <w:t>Postage</w:t>
            </w:r>
          </w:p>
        </w:tc>
        <w:tc>
          <w:tcPr>
            <w:tcW w:w="2090" w:type="dxa"/>
            <w:tcBorders>
              <w:top w:val="nil"/>
              <w:left w:val="nil"/>
              <w:bottom w:val="single" w:color="auto" w:sz="4" w:space="0"/>
              <w:right w:val="single" w:color="auto" w:sz="4" w:space="0"/>
            </w:tcBorders>
            <w:shd w:val="clear" w:color="auto" w:fill="auto"/>
            <w:noWrap/>
            <w:vAlign w:val="bottom"/>
            <w:hideMark/>
          </w:tcPr>
          <w:p w:rsidRPr="00E35821" w:rsidR="00E35821" w:rsidP="00E35821" w:rsidRDefault="00E35821" w14:paraId="55484B08" w14:textId="571E6AB3">
            <w:pPr>
              <w:jc w:val="right"/>
              <w:rPr>
                <w:color w:val="000000"/>
                <w:szCs w:val="24"/>
              </w:rPr>
            </w:pPr>
            <w:r w:rsidRPr="00E35821">
              <w:rPr>
                <w:color w:val="000000"/>
                <w:szCs w:val="24"/>
              </w:rPr>
              <w:t>453</w:t>
            </w:r>
          </w:p>
        </w:tc>
      </w:tr>
      <w:tr w:rsidRPr="00E35821" w:rsidR="00E35821" w:rsidTr="007A34AD" w14:paraId="783D7806" w14:textId="77777777">
        <w:trPr>
          <w:trHeight w:val="312"/>
        </w:trPr>
        <w:tc>
          <w:tcPr>
            <w:tcW w:w="3490" w:type="dxa"/>
            <w:tcBorders>
              <w:top w:val="nil"/>
              <w:left w:val="single" w:color="auto" w:sz="4" w:space="0"/>
              <w:bottom w:val="single" w:color="auto" w:sz="4" w:space="0"/>
              <w:right w:val="single" w:color="auto" w:sz="4" w:space="0"/>
            </w:tcBorders>
            <w:shd w:val="clear" w:color="auto" w:fill="auto"/>
            <w:noWrap/>
            <w:vAlign w:val="bottom"/>
            <w:hideMark/>
          </w:tcPr>
          <w:p w:rsidRPr="00E35821" w:rsidR="00E35821" w:rsidP="00E35821" w:rsidRDefault="00E35821" w14:paraId="4DF17E49" w14:textId="77777777">
            <w:pPr>
              <w:rPr>
                <w:color w:val="000000"/>
                <w:szCs w:val="24"/>
              </w:rPr>
            </w:pPr>
            <w:r w:rsidRPr="00E35821">
              <w:rPr>
                <w:color w:val="000000"/>
                <w:szCs w:val="24"/>
              </w:rPr>
              <w:t>Copying charges</w:t>
            </w:r>
          </w:p>
        </w:tc>
        <w:tc>
          <w:tcPr>
            <w:tcW w:w="2090" w:type="dxa"/>
            <w:tcBorders>
              <w:top w:val="nil"/>
              <w:left w:val="nil"/>
              <w:bottom w:val="single" w:color="auto" w:sz="4" w:space="0"/>
              <w:right w:val="single" w:color="auto" w:sz="4" w:space="0"/>
            </w:tcBorders>
            <w:shd w:val="clear" w:color="auto" w:fill="auto"/>
            <w:noWrap/>
            <w:vAlign w:val="bottom"/>
            <w:hideMark/>
          </w:tcPr>
          <w:p w:rsidRPr="00E35821" w:rsidR="00E35821" w:rsidP="00E35821" w:rsidRDefault="00E35821" w14:paraId="448688DE" w14:textId="50B8247D">
            <w:pPr>
              <w:jc w:val="right"/>
              <w:rPr>
                <w:color w:val="000000"/>
                <w:szCs w:val="24"/>
              </w:rPr>
            </w:pPr>
            <w:r w:rsidRPr="00E35821">
              <w:rPr>
                <w:color w:val="000000"/>
                <w:szCs w:val="24"/>
              </w:rPr>
              <w:t>178</w:t>
            </w:r>
          </w:p>
        </w:tc>
      </w:tr>
      <w:tr w:rsidRPr="00E35821" w:rsidR="00E35821" w:rsidTr="007A34AD" w14:paraId="78F3ECC6" w14:textId="77777777">
        <w:trPr>
          <w:trHeight w:val="312"/>
        </w:trPr>
        <w:tc>
          <w:tcPr>
            <w:tcW w:w="3490" w:type="dxa"/>
            <w:tcBorders>
              <w:top w:val="nil"/>
              <w:left w:val="single" w:color="auto" w:sz="4" w:space="0"/>
              <w:bottom w:val="single" w:color="auto" w:sz="4" w:space="0"/>
              <w:right w:val="single" w:color="auto" w:sz="4" w:space="0"/>
            </w:tcBorders>
            <w:shd w:val="clear" w:color="auto" w:fill="auto"/>
            <w:noWrap/>
            <w:vAlign w:val="bottom"/>
            <w:hideMark/>
          </w:tcPr>
          <w:p w:rsidRPr="00E35821" w:rsidR="00E35821" w:rsidP="00E35821" w:rsidRDefault="00E35821" w14:paraId="6932740A" w14:textId="77777777">
            <w:pPr>
              <w:rPr>
                <w:color w:val="000000"/>
                <w:szCs w:val="24"/>
              </w:rPr>
            </w:pPr>
            <w:r w:rsidRPr="00E35821">
              <w:rPr>
                <w:color w:val="000000"/>
                <w:szCs w:val="24"/>
              </w:rPr>
              <w:t>Miscellaneous</w:t>
            </w:r>
          </w:p>
        </w:tc>
        <w:tc>
          <w:tcPr>
            <w:tcW w:w="2090" w:type="dxa"/>
            <w:tcBorders>
              <w:top w:val="nil"/>
              <w:left w:val="nil"/>
              <w:bottom w:val="single" w:color="auto" w:sz="4" w:space="0"/>
              <w:right w:val="single" w:color="auto" w:sz="4" w:space="0"/>
            </w:tcBorders>
            <w:shd w:val="clear" w:color="auto" w:fill="auto"/>
            <w:noWrap/>
            <w:vAlign w:val="bottom"/>
            <w:hideMark/>
          </w:tcPr>
          <w:p w:rsidRPr="00E35821" w:rsidR="00E35821" w:rsidP="00E35821" w:rsidRDefault="00E35821" w14:paraId="4F9A9932" w14:textId="54461463">
            <w:pPr>
              <w:jc w:val="right"/>
              <w:rPr>
                <w:color w:val="000000"/>
                <w:szCs w:val="24"/>
              </w:rPr>
            </w:pPr>
            <w:r w:rsidRPr="00E35821">
              <w:rPr>
                <w:color w:val="000000"/>
                <w:szCs w:val="24"/>
              </w:rPr>
              <w:t>2,778</w:t>
            </w:r>
          </w:p>
        </w:tc>
      </w:tr>
      <w:tr w:rsidRPr="00E35821" w:rsidR="00E35821" w:rsidTr="007A34AD" w14:paraId="1E0A93E2" w14:textId="77777777">
        <w:trPr>
          <w:trHeight w:val="312"/>
        </w:trPr>
        <w:tc>
          <w:tcPr>
            <w:tcW w:w="3490" w:type="dxa"/>
            <w:tcBorders>
              <w:top w:val="nil"/>
              <w:left w:val="single" w:color="auto" w:sz="4" w:space="0"/>
              <w:bottom w:val="single" w:color="auto" w:sz="4" w:space="0"/>
              <w:right w:val="single" w:color="auto" w:sz="4" w:space="0"/>
            </w:tcBorders>
            <w:shd w:val="clear" w:color="auto" w:fill="auto"/>
            <w:noWrap/>
            <w:vAlign w:val="bottom"/>
            <w:hideMark/>
          </w:tcPr>
          <w:p w:rsidRPr="00E35821" w:rsidR="00E35821" w:rsidP="00E35821" w:rsidRDefault="00E35821" w14:paraId="40CF716C" w14:textId="77777777">
            <w:pPr>
              <w:rPr>
                <w:color w:val="000000"/>
                <w:szCs w:val="24"/>
              </w:rPr>
            </w:pPr>
            <w:r w:rsidRPr="00E35821">
              <w:rPr>
                <w:color w:val="000000"/>
                <w:szCs w:val="24"/>
              </w:rPr>
              <w:t>Total</w:t>
            </w:r>
          </w:p>
        </w:tc>
        <w:tc>
          <w:tcPr>
            <w:tcW w:w="2090" w:type="dxa"/>
            <w:tcBorders>
              <w:top w:val="nil"/>
              <w:left w:val="nil"/>
              <w:bottom w:val="single" w:color="auto" w:sz="4" w:space="0"/>
              <w:right w:val="single" w:color="auto" w:sz="4" w:space="0"/>
            </w:tcBorders>
            <w:shd w:val="clear" w:color="auto" w:fill="auto"/>
            <w:noWrap/>
            <w:vAlign w:val="bottom"/>
            <w:hideMark/>
          </w:tcPr>
          <w:p w:rsidRPr="00E35821" w:rsidR="00E35821" w:rsidP="00E35821" w:rsidRDefault="00E35821" w14:paraId="713F220F" w14:textId="77777777">
            <w:pPr>
              <w:jc w:val="right"/>
              <w:rPr>
                <w:color w:val="000000"/>
                <w:szCs w:val="24"/>
              </w:rPr>
            </w:pPr>
            <w:r w:rsidRPr="00E35821">
              <w:rPr>
                <w:color w:val="000000"/>
                <w:szCs w:val="24"/>
              </w:rPr>
              <w:t>$16,482</w:t>
            </w:r>
          </w:p>
        </w:tc>
      </w:tr>
    </w:tbl>
    <w:p w:rsidRPr="00E35821" w:rsidR="009E611B" w:rsidP="007A34AD" w:rsidRDefault="009E611B" w14:paraId="4BE51295" w14:textId="58C45F2F">
      <w:pPr>
        <w:widowControl w:val="0"/>
        <w:ind w:left="720"/>
      </w:pPr>
    </w:p>
    <w:p w:rsidRPr="00E35821" w:rsidR="009E611B" w:rsidRDefault="003B1169" w14:paraId="4BE51296" w14:textId="77777777">
      <w:pPr>
        <w:widowControl w:val="0"/>
        <w:ind w:left="720" w:hanging="720"/>
      </w:pPr>
      <w:r w:rsidRPr="00E35821">
        <w:rPr>
          <w:b/>
        </w:rPr>
        <w:t>14.</w:t>
      </w:r>
      <w:r w:rsidRPr="00E35821">
        <w:rPr>
          <w:b/>
        </w:rPr>
        <w:tab/>
      </w:r>
      <w:r w:rsidRPr="00E35821">
        <w:rPr>
          <w:b/>
          <w:u w:val="single"/>
        </w:rPr>
        <w:t>Estimate of Cost to Federal Government</w:t>
      </w:r>
      <w:r w:rsidRPr="00E35821">
        <w:t>.</w:t>
      </w:r>
    </w:p>
    <w:p w:rsidRPr="00E35821" w:rsidR="009E611B" w:rsidRDefault="009E611B" w14:paraId="4BE51297" w14:textId="77777777">
      <w:pPr>
        <w:widowControl w:val="0"/>
      </w:pPr>
    </w:p>
    <w:p w:rsidRPr="00E35821" w:rsidR="009E611B" w:rsidP="00CF17C7" w:rsidRDefault="00BD17C2" w14:paraId="4BE5129A" w14:textId="07AD14AA">
      <w:pPr>
        <w:widowControl w:val="0"/>
        <w:ind w:left="720"/>
      </w:pPr>
      <w:r w:rsidRPr="00E35821">
        <w:t>The cost to the federal government includes employing Mechanical Engineers (GS-0830-14</w:t>
      </w:r>
      <w:r w:rsidRPr="00E35821" w:rsidR="00F37BFD">
        <w:t>,</w:t>
      </w:r>
      <w:r w:rsidRPr="00E35821">
        <w:t xml:space="preserve"> Step 5) </w:t>
      </w:r>
      <w:r w:rsidRPr="00E35821" w:rsidR="008C27ED">
        <w:t xml:space="preserve">who </w:t>
      </w:r>
      <w:r w:rsidRPr="00E35821">
        <w:t xml:space="preserve">will be responsible for reviewing and approving locomotive design standards. </w:t>
      </w:r>
      <w:r w:rsidRPr="00E35821" w:rsidR="008C27ED">
        <w:rPr>
          <w:bCs/>
        </w:rPr>
        <w:t>The FR</w:t>
      </w:r>
      <w:r w:rsidRPr="00E35821" w:rsidR="000B7020">
        <w:rPr>
          <w:bCs/>
        </w:rPr>
        <w:t xml:space="preserve">A </w:t>
      </w:r>
      <w:r w:rsidRPr="00E35821" w:rsidR="008C27ED">
        <w:rPr>
          <w:bCs/>
        </w:rPr>
        <w:t xml:space="preserve">hourly rate </w:t>
      </w:r>
      <w:r w:rsidRPr="00E35821" w:rsidR="000B7020">
        <w:rPr>
          <w:bCs/>
        </w:rPr>
        <w:t xml:space="preserve">for FRA employees who perform these duties </w:t>
      </w:r>
      <w:r w:rsidRPr="00E35821" w:rsidR="008C27ED">
        <w:rPr>
          <w:bCs/>
        </w:rPr>
        <w:t xml:space="preserve">is $115.29, which includes 75 percent overhead. Annually, FRA employees are expected to spend </w:t>
      </w:r>
      <w:r w:rsidRPr="00E35821" w:rsidR="009E611B">
        <w:t>approximately 120 hours per locomotive design/model for review and approval</w:t>
      </w:r>
      <w:r w:rsidRPr="00E35821" w:rsidR="007E6CD3">
        <w:t xml:space="preserve"> of each 1) new locomotive design, 2) substantial changes to the existing design standards, and 3) alternative locomotive crashworthiness standard</w:t>
      </w:r>
      <w:r w:rsidRPr="00E35821" w:rsidR="009E611B">
        <w:t>.</w:t>
      </w:r>
      <w:r w:rsidRPr="00E35821" w:rsidR="007E6CD3">
        <w:t xml:space="preserve"> Also, FRA employees are expected to </w:t>
      </w:r>
      <w:r w:rsidRPr="00E35821" w:rsidR="009716F4">
        <w:t>spend approximately 60 hours for each</w:t>
      </w:r>
      <w:r w:rsidRPr="00E35821" w:rsidR="007E6CD3">
        <w:t xml:space="preserve"> review of </w:t>
      </w:r>
      <w:r w:rsidRPr="00E35821" w:rsidR="007E6CD3">
        <w:rPr>
          <w:color w:val="000000"/>
          <w:szCs w:val="24"/>
        </w:rPr>
        <w:t>non-substantive changes to the existing locomotive crashworthiness design standards.</w:t>
      </w:r>
      <w:r w:rsidRPr="00E35821" w:rsidR="007E6CD3">
        <w:t xml:space="preserve"> </w:t>
      </w:r>
      <w:r w:rsidRPr="00E35821" w:rsidR="009E611B">
        <w:t xml:space="preserve">  The follow</w:t>
      </w:r>
      <w:r w:rsidRPr="00E35821" w:rsidR="006A19CF">
        <w:t>ing table summarizes the</w:t>
      </w:r>
      <w:r w:rsidRPr="00E35821" w:rsidR="008C27ED">
        <w:t xml:space="preserve"> annual cost</w:t>
      </w:r>
      <w:r w:rsidRPr="00E35821" w:rsidR="007E6CD3">
        <w:t>s</w:t>
      </w:r>
      <w:r w:rsidRPr="00E35821" w:rsidR="008C27ED">
        <w:t xml:space="preserve"> to the federal government</w:t>
      </w:r>
      <w:r w:rsidRPr="00E35821" w:rsidR="009E611B">
        <w:t>:</w:t>
      </w:r>
    </w:p>
    <w:p w:rsidRPr="00E35821" w:rsidR="009E611B" w:rsidRDefault="009E611B" w14:paraId="4BE5129B" w14:textId="2B24664F">
      <w:pPr>
        <w:widowControl w:val="0"/>
      </w:pPr>
    </w:p>
    <w:tbl>
      <w:tblPr>
        <w:tblW w:w="0" w:type="auto"/>
        <w:tblInd w:w="715" w:type="dxa"/>
        <w:tblLook w:val="04A0" w:firstRow="1" w:lastRow="0" w:firstColumn="1" w:lastColumn="0" w:noHBand="0" w:noVBand="1"/>
      </w:tblPr>
      <w:tblGrid>
        <w:gridCol w:w="2786"/>
        <w:gridCol w:w="1084"/>
        <w:gridCol w:w="1260"/>
        <w:gridCol w:w="1800"/>
        <w:gridCol w:w="1416"/>
      </w:tblGrid>
      <w:tr w:rsidRPr="007A34AD" w:rsidR="007A34AD" w:rsidTr="007A34AD" w14:paraId="2E51E408" w14:textId="77777777">
        <w:trPr>
          <w:trHeight w:val="624"/>
        </w:trPr>
        <w:tc>
          <w:tcPr>
            <w:tcW w:w="278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A34AD" w:rsidR="00CE4A27" w:rsidP="00A00FE2" w:rsidRDefault="00CE4A27" w14:paraId="73698380" w14:textId="77777777">
            <w:pPr>
              <w:jc w:val="center"/>
              <w:rPr>
                <w:bCs/>
                <w:color w:val="000000"/>
                <w:szCs w:val="24"/>
              </w:rPr>
            </w:pPr>
            <w:r w:rsidRPr="007A34AD">
              <w:rPr>
                <w:bCs/>
                <w:color w:val="000000"/>
                <w:szCs w:val="24"/>
              </w:rPr>
              <w:t>Federal Government Review Cost</w:t>
            </w:r>
          </w:p>
        </w:tc>
        <w:tc>
          <w:tcPr>
            <w:tcW w:w="1084" w:type="dxa"/>
            <w:tcBorders>
              <w:top w:val="single" w:color="auto" w:sz="4" w:space="0"/>
              <w:left w:val="nil"/>
              <w:bottom w:val="single" w:color="auto" w:sz="4" w:space="0"/>
              <w:right w:val="single" w:color="auto" w:sz="4" w:space="0"/>
            </w:tcBorders>
            <w:shd w:val="clear" w:color="auto" w:fill="auto"/>
            <w:vAlign w:val="center"/>
            <w:hideMark/>
          </w:tcPr>
          <w:p w:rsidRPr="007A34AD" w:rsidR="00CE4A27" w:rsidP="00A00FE2" w:rsidRDefault="00CE4A27" w14:paraId="31E6BA2A" w14:textId="77777777">
            <w:pPr>
              <w:jc w:val="center"/>
              <w:rPr>
                <w:bCs/>
                <w:color w:val="000000"/>
                <w:szCs w:val="24"/>
              </w:rPr>
            </w:pPr>
            <w:r w:rsidRPr="007A34AD">
              <w:rPr>
                <w:bCs/>
                <w:color w:val="000000"/>
                <w:szCs w:val="24"/>
              </w:rPr>
              <w:t>Number per year</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7A34AD" w:rsidR="00CE4A27" w:rsidP="00A00FE2" w:rsidRDefault="007A34AD" w14:paraId="7B80B00D" w14:textId="5C27C1B5">
            <w:pPr>
              <w:jc w:val="center"/>
              <w:rPr>
                <w:bCs/>
                <w:color w:val="000000"/>
                <w:szCs w:val="24"/>
              </w:rPr>
            </w:pPr>
            <w:r w:rsidRPr="007A34AD">
              <w:rPr>
                <w:bCs/>
                <w:color w:val="000000"/>
                <w:szCs w:val="24"/>
              </w:rPr>
              <w:t>Hour</w:t>
            </w:r>
            <w:r w:rsidRPr="007A34AD" w:rsidR="00CE4A27">
              <w:rPr>
                <w:bCs/>
                <w:color w:val="000000"/>
                <w:szCs w:val="24"/>
              </w:rPr>
              <w:t xml:space="preserve"> per review</w:t>
            </w:r>
          </w:p>
        </w:tc>
        <w:tc>
          <w:tcPr>
            <w:tcW w:w="1800" w:type="dxa"/>
            <w:tcBorders>
              <w:top w:val="single" w:color="auto" w:sz="4" w:space="0"/>
              <w:left w:val="nil"/>
              <w:bottom w:val="single" w:color="auto" w:sz="4" w:space="0"/>
              <w:right w:val="single" w:color="auto" w:sz="4" w:space="0"/>
            </w:tcBorders>
            <w:shd w:val="clear" w:color="auto" w:fill="auto"/>
            <w:vAlign w:val="center"/>
            <w:hideMark/>
          </w:tcPr>
          <w:p w:rsidRPr="007A34AD" w:rsidR="00CE4A27" w:rsidP="00A00FE2" w:rsidRDefault="00CE4A27" w14:paraId="12EED7EA" w14:textId="3FFE8DE9">
            <w:pPr>
              <w:jc w:val="center"/>
              <w:rPr>
                <w:bCs/>
                <w:color w:val="000000"/>
                <w:szCs w:val="24"/>
              </w:rPr>
            </w:pPr>
            <w:r w:rsidRPr="007A34AD">
              <w:rPr>
                <w:bCs/>
                <w:color w:val="000000"/>
                <w:szCs w:val="24"/>
              </w:rPr>
              <w:t>FRA employee hourly burden ($)</w:t>
            </w:r>
            <w:r w:rsidRPr="007A34AD" w:rsidR="000B7020">
              <w:rPr>
                <w:rStyle w:val="FootnoteReference"/>
                <w:b w:val="0"/>
                <w:szCs w:val="24"/>
              </w:rPr>
              <w:footnoteReference w:id="3"/>
            </w:r>
          </w:p>
        </w:tc>
        <w:tc>
          <w:tcPr>
            <w:tcW w:w="1416" w:type="dxa"/>
            <w:tcBorders>
              <w:top w:val="single" w:color="auto" w:sz="4" w:space="0"/>
              <w:left w:val="nil"/>
              <w:bottom w:val="single" w:color="auto" w:sz="4" w:space="0"/>
              <w:right w:val="single" w:color="auto" w:sz="4" w:space="0"/>
            </w:tcBorders>
            <w:shd w:val="clear" w:color="auto" w:fill="auto"/>
            <w:vAlign w:val="center"/>
            <w:hideMark/>
          </w:tcPr>
          <w:p w:rsidRPr="007A34AD" w:rsidR="00CE4A27" w:rsidP="00A00FE2" w:rsidRDefault="00CE4A27" w14:paraId="6FDDE2C7" w14:textId="77777777">
            <w:pPr>
              <w:jc w:val="center"/>
              <w:rPr>
                <w:bCs/>
                <w:color w:val="000000"/>
                <w:szCs w:val="24"/>
              </w:rPr>
            </w:pPr>
            <w:r w:rsidRPr="007A34AD">
              <w:rPr>
                <w:bCs/>
                <w:color w:val="000000"/>
                <w:szCs w:val="24"/>
              </w:rPr>
              <w:t>Annual Federal Government Cost ($)</w:t>
            </w:r>
          </w:p>
        </w:tc>
      </w:tr>
      <w:tr w:rsidRPr="007A34AD" w:rsidR="007A34AD" w:rsidTr="007A34AD" w14:paraId="7EDF6EE5" w14:textId="77777777">
        <w:trPr>
          <w:trHeight w:val="80"/>
        </w:trPr>
        <w:tc>
          <w:tcPr>
            <w:tcW w:w="2786" w:type="dxa"/>
            <w:tcBorders>
              <w:top w:val="nil"/>
              <w:left w:val="single" w:color="auto" w:sz="4" w:space="0"/>
              <w:bottom w:val="single" w:color="auto" w:sz="4" w:space="0"/>
              <w:right w:val="single" w:color="auto" w:sz="4" w:space="0"/>
            </w:tcBorders>
            <w:shd w:val="clear" w:color="auto" w:fill="auto"/>
            <w:vAlign w:val="center"/>
            <w:hideMark/>
          </w:tcPr>
          <w:p w:rsidRPr="007A34AD" w:rsidR="00CE4A27" w:rsidP="00E35821" w:rsidRDefault="00CE4A27" w14:paraId="16A5C493" w14:textId="77777777">
            <w:pPr>
              <w:rPr>
                <w:color w:val="000000"/>
                <w:szCs w:val="24"/>
              </w:rPr>
            </w:pPr>
            <w:r w:rsidRPr="007A34AD">
              <w:rPr>
                <w:color w:val="000000"/>
                <w:szCs w:val="24"/>
              </w:rPr>
              <w:lastRenderedPageBreak/>
              <w:t>New locomotive crashworthiness design standards</w:t>
            </w:r>
          </w:p>
        </w:tc>
        <w:tc>
          <w:tcPr>
            <w:tcW w:w="1084" w:type="dxa"/>
            <w:tcBorders>
              <w:top w:val="nil"/>
              <w:left w:val="nil"/>
              <w:bottom w:val="single" w:color="auto" w:sz="4" w:space="0"/>
              <w:right w:val="single" w:color="auto" w:sz="4" w:space="0"/>
            </w:tcBorders>
            <w:shd w:val="clear" w:color="auto" w:fill="auto"/>
            <w:noWrap/>
            <w:vAlign w:val="center"/>
            <w:hideMark/>
          </w:tcPr>
          <w:p w:rsidRPr="007A34AD" w:rsidR="00CE4A27" w:rsidP="00A00FE2" w:rsidRDefault="00CE4A27" w14:paraId="707301AF" w14:textId="77777777">
            <w:pPr>
              <w:jc w:val="center"/>
              <w:rPr>
                <w:color w:val="000000"/>
                <w:szCs w:val="24"/>
              </w:rPr>
            </w:pPr>
            <w:r w:rsidRPr="007A34AD">
              <w:rPr>
                <w:color w:val="000000"/>
                <w:szCs w:val="24"/>
              </w:rPr>
              <w:t>3</w:t>
            </w:r>
          </w:p>
        </w:tc>
        <w:tc>
          <w:tcPr>
            <w:tcW w:w="1260" w:type="dxa"/>
            <w:tcBorders>
              <w:top w:val="nil"/>
              <w:left w:val="nil"/>
              <w:bottom w:val="single" w:color="auto" w:sz="4" w:space="0"/>
              <w:right w:val="single" w:color="auto" w:sz="4" w:space="0"/>
            </w:tcBorders>
            <w:shd w:val="clear" w:color="auto" w:fill="auto"/>
            <w:noWrap/>
            <w:vAlign w:val="center"/>
            <w:hideMark/>
          </w:tcPr>
          <w:p w:rsidRPr="007A34AD" w:rsidR="00CE4A27" w:rsidP="00A00FE2" w:rsidRDefault="00CE4A27" w14:paraId="07147EF4" w14:textId="77777777">
            <w:pPr>
              <w:rPr>
                <w:color w:val="000000"/>
                <w:szCs w:val="24"/>
              </w:rPr>
            </w:pPr>
            <w:r w:rsidRPr="007A34AD">
              <w:rPr>
                <w:color w:val="000000"/>
                <w:szCs w:val="24"/>
              </w:rPr>
              <w:t xml:space="preserve">         120</w:t>
            </w:r>
          </w:p>
        </w:tc>
        <w:tc>
          <w:tcPr>
            <w:tcW w:w="1800" w:type="dxa"/>
            <w:tcBorders>
              <w:top w:val="nil"/>
              <w:left w:val="nil"/>
              <w:bottom w:val="single" w:color="auto" w:sz="4" w:space="0"/>
              <w:right w:val="single" w:color="auto" w:sz="4" w:space="0"/>
            </w:tcBorders>
            <w:shd w:val="clear" w:color="auto" w:fill="auto"/>
            <w:noWrap/>
            <w:vAlign w:val="center"/>
            <w:hideMark/>
          </w:tcPr>
          <w:p w:rsidRPr="007A34AD" w:rsidR="00CE4A27" w:rsidP="00A00FE2" w:rsidRDefault="00CE4A27" w14:paraId="38570B2B" w14:textId="77777777">
            <w:pPr>
              <w:jc w:val="center"/>
              <w:rPr>
                <w:color w:val="000000"/>
                <w:szCs w:val="24"/>
              </w:rPr>
            </w:pPr>
            <w:r w:rsidRPr="007A34AD">
              <w:rPr>
                <w:color w:val="000000"/>
                <w:szCs w:val="24"/>
              </w:rPr>
              <w:t>115.29</w:t>
            </w:r>
          </w:p>
        </w:tc>
        <w:tc>
          <w:tcPr>
            <w:tcW w:w="1416" w:type="dxa"/>
            <w:tcBorders>
              <w:top w:val="nil"/>
              <w:left w:val="nil"/>
              <w:bottom w:val="single" w:color="auto" w:sz="4" w:space="0"/>
              <w:right w:val="single" w:color="auto" w:sz="4" w:space="0"/>
            </w:tcBorders>
            <w:shd w:val="clear" w:color="auto" w:fill="auto"/>
            <w:noWrap/>
            <w:vAlign w:val="center"/>
            <w:hideMark/>
          </w:tcPr>
          <w:p w:rsidRPr="007A34AD" w:rsidR="00CE4A27" w:rsidP="00A00FE2" w:rsidRDefault="00CE4A27" w14:paraId="7E5430C2" w14:textId="77777777">
            <w:pPr>
              <w:rPr>
                <w:color w:val="000000"/>
                <w:szCs w:val="24"/>
              </w:rPr>
            </w:pPr>
            <w:r w:rsidRPr="007A34AD">
              <w:rPr>
                <w:color w:val="000000"/>
                <w:szCs w:val="24"/>
              </w:rPr>
              <w:t xml:space="preserve">                 41,504 </w:t>
            </w:r>
          </w:p>
        </w:tc>
      </w:tr>
      <w:tr w:rsidRPr="007A34AD" w:rsidR="007A34AD" w:rsidTr="007A34AD" w14:paraId="17DB1CBD" w14:textId="77777777">
        <w:trPr>
          <w:trHeight w:val="1004"/>
        </w:trPr>
        <w:tc>
          <w:tcPr>
            <w:tcW w:w="2786" w:type="dxa"/>
            <w:tcBorders>
              <w:top w:val="nil"/>
              <w:left w:val="single" w:color="auto" w:sz="4" w:space="0"/>
              <w:bottom w:val="single" w:color="auto" w:sz="4" w:space="0"/>
              <w:right w:val="single" w:color="auto" w:sz="4" w:space="0"/>
            </w:tcBorders>
            <w:shd w:val="clear" w:color="auto" w:fill="auto"/>
            <w:vAlign w:val="bottom"/>
            <w:hideMark/>
          </w:tcPr>
          <w:p w:rsidRPr="007A34AD" w:rsidR="00CE4A27" w:rsidP="00E35821" w:rsidRDefault="00CE4A27" w14:paraId="5CAE4119" w14:textId="77777777">
            <w:pPr>
              <w:rPr>
                <w:color w:val="000000"/>
                <w:szCs w:val="24"/>
              </w:rPr>
            </w:pPr>
            <w:r w:rsidRPr="007A34AD">
              <w:rPr>
                <w:color w:val="000000"/>
                <w:szCs w:val="24"/>
              </w:rPr>
              <w:t>Substantive changes to an FRA-approved locomotive crashworthiness design standard</w:t>
            </w:r>
          </w:p>
        </w:tc>
        <w:tc>
          <w:tcPr>
            <w:tcW w:w="1084" w:type="dxa"/>
            <w:tcBorders>
              <w:top w:val="nil"/>
              <w:left w:val="nil"/>
              <w:bottom w:val="single" w:color="auto" w:sz="4" w:space="0"/>
              <w:right w:val="single" w:color="auto" w:sz="4" w:space="0"/>
            </w:tcBorders>
            <w:shd w:val="clear" w:color="auto" w:fill="auto"/>
            <w:noWrap/>
            <w:vAlign w:val="center"/>
            <w:hideMark/>
          </w:tcPr>
          <w:p w:rsidRPr="007A34AD" w:rsidR="00CE4A27" w:rsidP="00A00FE2" w:rsidRDefault="00CE4A27" w14:paraId="24044A4E" w14:textId="77777777">
            <w:pPr>
              <w:jc w:val="center"/>
              <w:rPr>
                <w:color w:val="000000"/>
                <w:szCs w:val="24"/>
              </w:rPr>
            </w:pPr>
            <w:r w:rsidRPr="007A34AD">
              <w:rPr>
                <w:color w:val="000000"/>
                <w:szCs w:val="24"/>
              </w:rPr>
              <w:t>2</w:t>
            </w:r>
          </w:p>
        </w:tc>
        <w:tc>
          <w:tcPr>
            <w:tcW w:w="1260" w:type="dxa"/>
            <w:tcBorders>
              <w:top w:val="nil"/>
              <w:left w:val="nil"/>
              <w:bottom w:val="single" w:color="auto" w:sz="4" w:space="0"/>
              <w:right w:val="single" w:color="auto" w:sz="4" w:space="0"/>
            </w:tcBorders>
            <w:shd w:val="clear" w:color="auto" w:fill="auto"/>
            <w:noWrap/>
            <w:vAlign w:val="center"/>
            <w:hideMark/>
          </w:tcPr>
          <w:p w:rsidRPr="007A34AD" w:rsidR="00CE4A27" w:rsidP="00A00FE2" w:rsidRDefault="00CE4A27" w14:paraId="53A34D3B" w14:textId="77777777">
            <w:pPr>
              <w:rPr>
                <w:color w:val="000000"/>
                <w:szCs w:val="24"/>
              </w:rPr>
            </w:pPr>
            <w:r w:rsidRPr="007A34AD">
              <w:rPr>
                <w:color w:val="000000"/>
                <w:szCs w:val="24"/>
              </w:rPr>
              <w:t xml:space="preserve">         120</w:t>
            </w:r>
          </w:p>
        </w:tc>
        <w:tc>
          <w:tcPr>
            <w:tcW w:w="1800" w:type="dxa"/>
            <w:tcBorders>
              <w:top w:val="nil"/>
              <w:left w:val="nil"/>
              <w:bottom w:val="single" w:color="auto" w:sz="4" w:space="0"/>
              <w:right w:val="single" w:color="auto" w:sz="4" w:space="0"/>
            </w:tcBorders>
            <w:shd w:val="clear" w:color="auto" w:fill="auto"/>
            <w:noWrap/>
            <w:vAlign w:val="center"/>
            <w:hideMark/>
          </w:tcPr>
          <w:p w:rsidRPr="007A34AD" w:rsidR="00CE4A27" w:rsidP="00A00FE2" w:rsidRDefault="00CE4A27" w14:paraId="3AD6A16F" w14:textId="77777777">
            <w:pPr>
              <w:jc w:val="center"/>
              <w:rPr>
                <w:color w:val="000000"/>
                <w:szCs w:val="24"/>
              </w:rPr>
            </w:pPr>
            <w:r w:rsidRPr="007A34AD">
              <w:rPr>
                <w:color w:val="000000"/>
                <w:szCs w:val="24"/>
              </w:rPr>
              <w:t>115.29</w:t>
            </w:r>
          </w:p>
        </w:tc>
        <w:tc>
          <w:tcPr>
            <w:tcW w:w="1416" w:type="dxa"/>
            <w:tcBorders>
              <w:top w:val="nil"/>
              <w:left w:val="nil"/>
              <w:bottom w:val="single" w:color="auto" w:sz="4" w:space="0"/>
              <w:right w:val="single" w:color="auto" w:sz="4" w:space="0"/>
            </w:tcBorders>
            <w:shd w:val="clear" w:color="auto" w:fill="auto"/>
            <w:noWrap/>
            <w:vAlign w:val="center"/>
            <w:hideMark/>
          </w:tcPr>
          <w:p w:rsidRPr="007A34AD" w:rsidR="00CE4A27" w:rsidP="00A00FE2" w:rsidRDefault="00CE4A27" w14:paraId="56FBE05C" w14:textId="77777777">
            <w:pPr>
              <w:rPr>
                <w:color w:val="000000"/>
                <w:szCs w:val="24"/>
              </w:rPr>
            </w:pPr>
            <w:r w:rsidRPr="007A34AD">
              <w:rPr>
                <w:color w:val="000000"/>
                <w:szCs w:val="24"/>
              </w:rPr>
              <w:t xml:space="preserve">                 27,670 </w:t>
            </w:r>
          </w:p>
        </w:tc>
      </w:tr>
      <w:tr w:rsidRPr="007A34AD" w:rsidR="007A34AD" w:rsidTr="007A34AD" w14:paraId="41BEC58F" w14:textId="77777777">
        <w:trPr>
          <w:trHeight w:val="40"/>
        </w:trPr>
        <w:tc>
          <w:tcPr>
            <w:tcW w:w="2786" w:type="dxa"/>
            <w:tcBorders>
              <w:top w:val="nil"/>
              <w:left w:val="single" w:color="auto" w:sz="4" w:space="0"/>
              <w:bottom w:val="single" w:color="auto" w:sz="4" w:space="0"/>
              <w:right w:val="single" w:color="auto" w:sz="4" w:space="0"/>
            </w:tcBorders>
            <w:shd w:val="clear" w:color="auto" w:fill="auto"/>
            <w:vAlign w:val="bottom"/>
          </w:tcPr>
          <w:p w:rsidRPr="007A34AD" w:rsidR="00BF6706" w:rsidP="00E35821" w:rsidRDefault="00E35821" w14:paraId="7E4453BE" w14:textId="5B39729B">
            <w:pPr>
              <w:rPr>
                <w:color w:val="000000"/>
                <w:szCs w:val="24"/>
              </w:rPr>
            </w:pPr>
            <w:r w:rsidRPr="007A34AD">
              <w:rPr>
                <w:color w:val="000000"/>
                <w:szCs w:val="24"/>
              </w:rPr>
              <w:t xml:space="preserve">  </w:t>
            </w:r>
            <w:r w:rsidRPr="007A34AD" w:rsidR="00BF6706">
              <w:rPr>
                <w:color w:val="000000"/>
                <w:szCs w:val="24"/>
              </w:rPr>
              <w:t>Alternative locomotive crashworthiness design</w:t>
            </w:r>
          </w:p>
        </w:tc>
        <w:tc>
          <w:tcPr>
            <w:tcW w:w="1084" w:type="dxa"/>
            <w:tcBorders>
              <w:top w:val="nil"/>
              <w:left w:val="nil"/>
              <w:bottom w:val="single" w:color="auto" w:sz="4" w:space="0"/>
              <w:right w:val="single" w:color="auto" w:sz="4" w:space="0"/>
            </w:tcBorders>
            <w:shd w:val="clear" w:color="auto" w:fill="auto"/>
            <w:noWrap/>
            <w:vAlign w:val="center"/>
          </w:tcPr>
          <w:p w:rsidRPr="007A34AD" w:rsidR="00BF6706" w:rsidP="00BF6706" w:rsidRDefault="00BF6706" w14:paraId="1E4DA4CC" w14:textId="0ADDFF2F">
            <w:pPr>
              <w:jc w:val="center"/>
              <w:rPr>
                <w:color w:val="000000"/>
                <w:szCs w:val="24"/>
              </w:rPr>
            </w:pPr>
            <w:r w:rsidRPr="007A34AD">
              <w:rPr>
                <w:color w:val="000000"/>
                <w:szCs w:val="24"/>
              </w:rPr>
              <w:t>1</w:t>
            </w:r>
          </w:p>
        </w:tc>
        <w:tc>
          <w:tcPr>
            <w:tcW w:w="1260" w:type="dxa"/>
            <w:tcBorders>
              <w:top w:val="nil"/>
              <w:left w:val="nil"/>
              <w:bottom w:val="single" w:color="auto" w:sz="4" w:space="0"/>
              <w:right w:val="single" w:color="auto" w:sz="4" w:space="0"/>
            </w:tcBorders>
            <w:shd w:val="clear" w:color="auto" w:fill="auto"/>
            <w:noWrap/>
            <w:vAlign w:val="center"/>
          </w:tcPr>
          <w:p w:rsidRPr="007A34AD" w:rsidR="00BF6706" w:rsidP="00BF6706" w:rsidRDefault="00BF6706" w14:paraId="23B7FADB" w14:textId="01936FDE">
            <w:pPr>
              <w:rPr>
                <w:color w:val="000000"/>
                <w:szCs w:val="24"/>
              </w:rPr>
            </w:pPr>
            <w:r w:rsidRPr="007A34AD">
              <w:rPr>
                <w:color w:val="000000"/>
                <w:szCs w:val="24"/>
              </w:rPr>
              <w:t xml:space="preserve">         120</w:t>
            </w:r>
          </w:p>
        </w:tc>
        <w:tc>
          <w:tcPr>
            <w:tcW w:w="1800" w:type="dxa"/>
            <w:tcBorders>
              <w:top w:val="nil"/>
              <w:left w:val="nil"/>
              <w:bottom w:val="single" w:color="auto" w:sz="4" w:space="0"/>
              <w:right w:val="single" w:color="auto" w:sz="4" w:space="0"/>
            </w:tcBorders>
            <w:shd w:val="clear" w:color="auto" w:fill="auto"/>
            <w:noWrap/>
            <w:vAlign w:val="center"/>
          </w:tcPr>
          <w:p w:rsidRPr="007A34AD" w:rsidR="00BF6706" w:rsidP="00BF6706" w:rsidRDefault="00BF6706" w14:paraId="641F67BE" w14:textId="10373732">
            <w:pPr>
              <w:jc w:val="center"/>
              <w:rPr>
                <w:color w:val="000000"/>
                <w:szCs w:val="24"/>
              </w:rPr>
            </w:pPr>
            <w:r w:rsidRPr="007A34AD">
              <w:rPr>
                <w:color w:val="000000"/>
                <w:szCs w:val="24"/>
              </w:rPr>
              <w:t>115.29</w:t>
            </w:r>
          </w:p>
        </w:tc>
        <w:tc>
          <w:tcPr>
            <w:tcW w:w="1416" w:type="dxa"/>
            <w:tcBorders>
              <w:top w:val="nil"/>
              <w:left w:val="nil"/>
              <w:bottom w:val="single" w:color="auto" w:sz="4" w:space="0"/>
              <w:right w:val="single" w:color="auto" w:sz="4" w:space="0"/>
            </w:tcBorders>
            <w:shd w:val="clear" w:color="auto" w:fill="auto"/>
            <w:noWrap/>
            <w:vAlign w:val="center"/>
          </w:tcPr>
          <w:p w:rsidRPr="007A34AD" w:rsidR="00BF6706" w:rsidP="00BF6706" w:rsidRDefault="00BF6706" w14:paraId="23DBC91B" w14:textId="3ED1456F">
            <w:pPr>
              <w:rPr>
                <w:color w:val="000000"/>
                <w:szCs w:val="24"/>
              </w:rPr>
            </w:pPr>
            <w:r w:rsidRPr="007A34AD">
              <w:rPr>
                <w:color w:val="000000"/>
                <w:szCs w:val="24"/>
              </w:rPr>
              <w:t xml:space="preserve">                 13,835 </w:t>
            </w:r>
          </w:p>
        </w:tc>
      </w:tr>
      <w:tr w:rsidRPr="007A34AD" w:rsidR="007A34AD" w:rsidTr="007A34AD" w14:paraId="003AFE4F" w14:textId="77777777">
        <w:trPr>
          <w:trHeight w:val="707"/>
        </w:trPr>
        <w:tc>
          <w:tcPr>
            <w:tcW w:w="2786" w:type="dxa"/>
            <w:tcBorders>
              <w:top w:val="nil"/>
              <w:left w:val="single" w:color="auto" w:sz="4" w:space="0"/>
              <w:bottom w:val="single" w:color="auto" w:sz="4" w:space="0"/>
              <w:right w:val="single" w:color="auto" w:sz="4" w:space="0"/>
            </w:tcBorders>
            <w:shd w:val="clear" w:color="auto" w:fill="auto"/>
            <w:vAlign w:val="bottom"/>
            <w:hideMark/>
          </w:tcPr>
          <w:p w:rsidRPr="007A34AD" w:rsidR="00BF6706" w:rsidP="00E35821" w:rsidRDefault="00BF6706" w14:paraId="4BEA470A" w14:textId="77777777">
            <w:pPr>
              <w:rPr>
                <w:color w:val="000000"/>
                <w:szCs w:val="24"/>
              </w:rPr>
            </w:pPr>
            <w:r w:rsidRPr="007A34AD">
              <w:rPr>
                <w:color w:val="000000"/>
                <w:szCs w:val="24"/>
              </w:rPr>
              <w:t>Non-substantive changes to the existing FRA-approved locomotive crashworthiness design standards</w:t>
            </w:r>
          </w:p>
        </w:tc>
        <w:tc>
          <w:tcPr>
            <w:tcW w:w="1084" w:type="dxa"/>
            <w:tcBorders>
              <w:top w:val="nil"/>
              <w:left w:val="nil"/>
              <w:bottom w:val="single" w:color="auto" w:sz="4" w:space="0"/>
              <w:right w:val="single" w:color="auto" w:sz="4" w:space="0"/>
            </w:tcBorders>
            <w:shd w:val="clear" w:color="auto" w:fill="auto"/>
            <w:noWrap/>
            <w:vAlign w:val="center"/>
            <w:hideMark/>
          </w:tcPr>
          <w:p w:rsidRPr="007A34AD" w:rsidR="00BF6706" w:rsidP="00BF6706" w:rsidRDefault="00BF6706" w14:paraId="75B4364D" w14:textId="77777777">
            <w:pPr>
              <w:jc w:val="center"/>
              <w:rPr>
                <w:color w:val="000000"/>
                <w:szCs w:val="24"/>
              </w:rPr>
            </w:pPr>
            <w:r w:rsidRPr="007A34AD">
              <w:rPr>
                <w:color w:val="000000"/>
                <w:szCs w:val="24"/>
              </w:rPr>
              <w:t>4</w:t>
            </w:r>
          </w:p>
        </w:tc>
        <w:tc>
          <w:tcPr>
            <w:tcW w:w="1260" w:type="dxa"/>
            <w:tcBorders>
              <w:top w:val="nil"/>
              <w:left w:val="nil"/>
              <w:bottom w:val="single" w:color="auto" w:sz="4" w:space="0"/>
              <w:right w:val="single" w:color="auto" w:sz="4" w:space="0"/>
            </w:tcBorders>
            <w:shd w:val="clear" w:color="auto" w:fill="auto"/>
            <w:noWrap/>
            <w:vAlign w:val="center"/>
            <w:hideMark/>
          </w:tcPr>
          <w:p w:rsidRPr="007A34AD" w:rsidR="00BF6706" w:rsidP="00BF6706" w:rsidRDefault="00BF6706" w14:paraId="1D9428DA" w14:textId="77777777">
            <w:pPr>
              <w:rPr>
                <w:color w:val="000000"/>
                <w:szCs w:val="24"/>
              </w:rPr>
            </w:pPr>
            <w:r w:rsidRPr="007A34AD">
              <w:rPr>
                <w:color w:val="000000"/>
                <w:szCs w:val="24"/>
              </w:rPr>
              <w:t xml:space="preserve">          60</w:t>
            </w:r>
          </w:p>
        </w:tc>
        <w:tc>
          <w:tcPr>
            <w:tcW w:w="1800" w:type="dxa"/>
            <w:tcBorders>
              <w:top w:val="nil"/>
              <w:left w:val="nil"/>
              <w:bottom w:val="single" w:color="auto" w:sz="4" w:space="0"/>
              <w:right w:val="single" w:color="auto" w:sz="4" w:space="0"/>
            </w:tcBorders>
            <w:shd w:val="clear" w:color="auto" w:fill="auto"/>
            <w:noWrap/>
            <w:vAlign w:val="center"/>
            <w:hideMark/>
          </w:tcPr>
          <w:p w:rsidRPr="007A34AD" w:rsidR="00BF6706" w:rsidP="00BF6706" w:rsidRDefault="00BF6706" w14:paraId="57EFF6DB" w14:textId="77777777">
            <w:pPr>
              <w:jc w:val="center"/>
              <w:rPr>
                <w:color w:val="000000"/>
                <w:szCs w:val="24"/>
              </w:rPr>
            </w:pPr>
            <w:r w:rsidRPr="007A34AD">
              <w:rPr>
                <w:color w:val="000000"/>
                <w:szCs w:val="24"/>
              </w:rPr>
              <w:t>115.29</w:t>
            </w:r>
          </w:p>
        </w:tc>
        <w:tc>
          <w:tcPr>
            <w:tcW w:w="1416" w:type="dxa"/>
            <w:tcBorders>
              <w:top w:val="nil"/>
              <w:left w:val="nil"/>
              <w:bottom w:val="single" w:color="auto" w:sz="4" w:space="0"/>
              <w:right w:val="single" w:color="auto" w:sz="4" w:space="0"/>
            </w:tcBorders>
            <w:shd w:val="clear" w:color="auto" w:fill="auto"/>
            <w:noWrap/>
            <w:vAlign w:val="center"/>
            <w:hideMark/>
          </w:tcPr>
          <w:p w:rsidRPr="007A34AD" w:rsidR="00BF6706" w:rsidP="00BF6706" w:rsidRDefault="00BF6706" w14:paraId="2BDE0A39" w14:textId="77777777">
            <w:pPr>
              <w:rPr>
                <w:color w:val="000000"/>
                <w:szCs w:val="24"/>
              </w:rPr>
            </w:pPr>
            <w:r w:rsidRPr="007A34AD">
              <w:rPr>
                <w:color w:val="000000"/>
                <w:szCs w:val="24"/>
              </w:rPr>
              <w:t xml:space="preserve">                 27,670 </w:t>
            </w:r>
          </w:p>
        </w:tc>
      </w:tr>
      <w:tr w:rsidRPr="007A34AD" w:rsidR="007A34AD" w:rsidTr="007A34AD" w14:paraId="5855C31B" w14:textId="77777777">
        <w:trPr>
          <w:trHeight w:val="392"/>
        </w:trPr>
        <w:tc>
          <w:tcPr>
            <w:tcW w:w="6930" w:type="dxa"/>
            <w:gridSpan w:val="4"/>
            <w:tcBorders>
              <w:top w:val="nil"/>
              <w:left w:val="single" w:color="auto" w:sz="4" w:space="0"/>
              <w:bottom w:val="single" w:color="auto" w:sz="4" w:space="0"/>
              <w:right w:val="single" w:color="auto" w:sz="4" w:space="0"/>
            </w:tcBorders>
            <w:shd w:val="clear" w:color="auto" w:fill="auto"/>
            <w:noWrap/>
            <w:vAlign w:val="center"/>
            <w:hideMark/>
          </w:tcPr>
          <w:p w:rsidRPr="007A34AD" w:rsidR="007A34AD" w:rsidP="007A34AD" w:rsidRDefault="007A34AD" w14:paraId="4CAAAB20" w14:textId="2EDEF1FD">
            <w:pPr>
              <w:rPr>
                <w:color w:val="000000"/>
                <w:szCs w:val="24"/>
              </w:rPr>
            </w:pPr>
            <w:r w:rsidRPr="007A34AD">
              <w:rPr>
                <w:bCs/>
                <w:color w:val="000000"/>
                <w:szCs w:val="24"/>
              </w:rPr>
              <w:t>Total Annual Cost</w:t>
            </w:r>
            <w:r w:rsidRPr="007A34AD">
              <w:rPr>
                <w:color w:val="000000"/>
                <w:szCs w:val="24"/>
              </w:rPr>
              <w:t> </w:t>
            </w:r>
          </w:p>
        </w:tc>
        <w:tc>
          <w:tcPr>
            <w:tcW w:w="1416" w:type="dxa"/>
            <w:tcBorders>
              <w:top w:val="nil"/>
              <w:left w:val="nil"/>
              <w:bottom w:val="single" w:color="auto" w:sz="4" w:space="0"/>
              <w:right w:val="single" w:color="auto" w:sz="4" w:space="0"/>
            </w:tcBorders>
            <w:shd w:val="clear" w:color="auto" w:fill="auto"/>
            <w:noWrap/>
            <w:vAlign w:val="center"/>
            <w:hideMark/>
          </w:tcPr>
          <w:p w:rsidRPr="007A34AD" w:rsidR="007A34AD" w:rsidP="00BF6706" w:rsidRDefault="006D13FE" w14:paraId="4A73D240" w14:textId="1E128CB5">
            <w:pPr>
              <w:rPr>
                <w:color w:val="000000"/>
                <w:szCs w:val="24"/>
              </w:rPr>
            </w:pPr>
            <w:r>
              <w:rPr>
                <w:color w:val="000000"/>
                <w:szCs w:val="24"/>
              </w:rPr>
              <w:t>$</w:t>
            </w:r>
            <w:r w:rsidR="007A34AD">
              <w:rPr>
                <w:color w:val="000000"/>
                <w:szCs w:val="24"/>
              </w:rPr>
              <w:t>110,679</w:t>
            </w:r>
          </w:p>
        </w:tc>
      </w:tr>
    </w:tbl>
    <w:p w:rsidRPr="00E35821" w:rsidR="00CE4A27" w:rsidRDefault="00CE4A27" w14:paraId="2E759DB9" w14:textId="77777777">
      <w:pPr>
        <w:widowControl w:val="0"/>
      </w:pPr>
    </w:p>
    <w:p w:rsidRPr="00E35821" w:rsidR="009E611B" w:rsidRDefault="009E611B" w14:paraId="4BE512AC" w14:textId="77777777">
      <w:pPr>
        <w:widowControl w:val="0"/>
        <w:ind w:left="720"/>
      </w:pPr>
      <w:r w:rsidRPr="00E35821">
        <w:tab/>
      </w:r>
    </w:p>
    <w:p w:rsidRPr="00E35821" w:rsidR="006F318B" w:rsidP="006F318B" w:rsidRDefault="006F318B" w14:paraId="4BE512AD" w14:textId="77777777">
      <w:pPr>
        <w:widowControl w:val="0"/>
      </w:pPr>
      <w:r w:rsidRPr="00E35821">
        <w:rPr>
          <w:b/>
        </w:rPr>
        <w:t>15.</w:t>
      </w:r>
      <w:r w:rsidRPr="00E35821">
        <w:rPr>
          <w:b/>
        </w:rPr>
        <w:tab/>
      </w:r>
      <w:r w:rsidRPr="00E35821">
        <w:rPr>
          <w:b/>
          <w:u w:val="single"/>
        </w:rPr>
        <w:t>Explanation of program changes and adjustments</w:t>
      </w:r>
      <w:r w:rsidRPr="00E35821">
        <w:t>.</w:t>
      </w:r>
    </w:p>
    <w:p w:rsidRPr="00E35821" w:rsidR="009E611B" w:rsidRDefault="009E611B" w14:paraId="4BE512AE" w14:textId="77777777">
      <w:pPr>
        <w:widowControl w:val="0"/>
      </w:pPr>
    </w:p>
    <w:p w:rsidRPr="00E35821" w:rsidR="00FC2A20" w:rsidP="00FC2A20" w:rsidRDefault="00FC2A20" w14:paraId="4BE512AF" w14:textId="77777777">
      <w:pPr>
        <w:widowControl w:val="0"/>
        <w:ind w:left="720"/>
      </w:pPr>
      <w:r w:rsidRPr="00E35821">
        <w:t xml:space="preserve">The current OMB agency inventory for this information collection exhibits a total burden of </w:t>
      </w:r>
      <w:r w:rsidRPr="00E35821" w:rsidR="0013444A">
        <w:t>6,470</w:t>
      </w:r>
      <w:r w:rsidRPr="00E35821">
        <w:t xml:space="preserve"> hours and </w:t>
      </w:r>
      <w:r w:rsidRPr="00E35821" w:rsidR="0013444A">
        <w:t>551</w:t>
      </w:r>
      <w:r w:rsidRPr="00E35821">
        <w:t xml:space="preserve"> responses, while the present submission reflects a total burden of </w:t>
      </w:r>
      <w:r w:rsidRPr="00E35821" w:rsidR="0013444A">
        <w:t xml:space="preserve">507 </w:t>
      </w:r>
      <w:r w:rsidRPr="00E35821">
        <w:t xml:space="preserve">hours and </w:t>
      </w:r>
      <w:r w:rsidRPr="00E35821" w:rsidR="0013444A">
        <w:t>546</w:t>
      </w:r>
      <w:r w:rsidRPr="00E35821">
        <w:t xml:space="preserve"> responses.  Hence, there is a total </w:t>
      </w:r>
      <w:r w:rsidRPr="00E35821">
        <w:rPr>
          <w:u w:val="single"/>
        </w:rPr>
        <w:t>decrease</w:t>
      </w:r>
      <w:r w:rsidRPr="00E35821">
        <w:t xml:space="preserve"> in burden of </w:t>
      </w:r>
      <w:r w:rsidRPr="00E35821" w:rsidR="0013444A">
        <w:t xml:space="preserve">5,963 </w:t>
      </w:r>
      <w:r w:rsidRPr="00E35821">
        <w:t xml:space="preserve">hours and </w:t>
      </w:r>
      <w:r w:rsidRPr="00E35821" w:rsidR="0013444A">
        <w:t>5</w:t>
      </w:r>
      <w:r w:rsidRPr="00E35821">
        <w:t xml:space="preserve"> responses.  </w:t>
      </w:r>
    </w:p>
    <w:p w:rsidRPr="00E35821" w:rsidR="00FC2A20" w:rsidP="00FC2A20" w:rsidRDefault="00FC2A20" w14:paraId="4BE512B0" w14:textId="77777777">
      <w:pPr>
        <w:widowControl w:val="0"/>
        <w:tabs>
          <w:tab w:val="left" w:pos="0"/>
          <w:tab w:val="left" w:pos="720"/>
          <w:tab w:val="left" w:pos="1440"/>
        </w:tabs>
        <w:ind w:left="720"/>
      </w:pPr>
    </w:p>
    <w:p w:rsidRPr="00E35821" w:rsidR="00FC2A20" w:rsidP="00FC2A20" w:rsidRDefault="00FC2A20" w14:paraId="4BE512B1" w14:textId="77777777">
      <w:pPr>
        <w:widowControl w:val="0"/>
        <w:ind w:left="720"/>
      </w:pPr>
      <w:r w:rsidRPr="00E35821">
        <w:t>FRA provided a thorough review of this package and determined many of our initial figures were based on rough estimates.  Additionally, we realized some of the estimates were double counted and others were outdated.  Moreover, other estimates were not PRA requirements, thus leading to the increased figures, which were decreased accordingly in this submission.  Thus, our latest review has refined our estimates to be more accurate. The table below provides specific information on the review of any estimates that have changed.</w:t>
      </w:r>
    </w:p>
    <w:p w:rsidRPr="00E35821" w:rsidR="0013444A" w:rsidP="00FC2A20" w:rsidRDefault="0013444A" w14:paraId="4BE512B2" w14:textId="77777777">
      <w:pPr>
        <w:widowControl w:val="0"/>
        <w:ind w:left="720"/>
      </w:pPr>
    </w:p>
    <w:p w:rsidRPr="00E35821" w:rsidR="0013444A" w:rsidP="0013444A" w:rsidRDefault="0013444A" w14:paraId="4BE512B3" w14:textId="77777777">
      <w:pPr>
        <w:ind w:firstLine="720"/>
        <w:rPr>
          <w:b/>
          <w:u w:val="single"/>
        </w:rPr>
      </w:pPr>
      <w:r w:rsidRPr="00E35821">
        <w:rPr>
          <w:b/>
          <w:u w:val="single"/>
        </w:rPr>
        <w:t>TABLE FOR ADJUSTMENTS</w:t>
      </w:r>
    </w:p>
    <w:p w:rsidRPr="00E35821" w:rsidR="00BB5676" w:rsidRDefault="00BB5676" w14:paraId="4BE512B4" w14:textId="77777777">
      <w:pPr>
        <w:widowControl w:val="0"/>
        <w:ind w:left="720"/>
      </w:pPr>
    </w:p>
    <w:tbl>
      <w:tblPr>
        <w:tblW w:w="0" w:type="auto"/>
        <w:tblInd w:w="108" w:type="dxa"/>
        <w:tblLayout w:type="fixed"/>
        <w:tblLook w:val="04A0" w:firstRow="1" w:lastRow="0" w:firstColumn="1" w:lastColumn="0" w:noHBand="0" w:noVBand="1"/>
      </w:tblPr>
      <w:tblGrid>
        <w:gridCol w:w="1373"/>
        <w:gridCol w:w="1304"/>
        <w:gridCol w:w="1440"/>
        <w:gridCol w:w="1260"/>
        <w:gridCol w:w="1260"/>
        <w:gridCol w:w="1260"/>
        <w:gridCol w:w="1345"/>
      </w:tblGrid>
      <w:tr w:rsidRPr="00E35821" w:rsidR="00FC2A20" w:rsidTr="0013444A" w14:paraId="4BE512BF" w14:textId="77777777">
        <w:trPr>
          <w:trHeight w:val="576"/>
        </w:trPr>
        <w:tc>
          <w:tcPr>
            <w:tcW w:w="1373" w:type="dxa"/>
            <w:tcBorders>
              <w:top w:val="single" w:color="auto" w:sz="4" w:space="0"/>
              <w:left w:val="single" w:color="auto" w:sz="4" w:space="0"/>
              <w:bottom w:val="single" w:color="auto" w:sz="4" w:space="0"/>
              <w:right w:val="single" w:color="auto" w:sz="4" w:space="0"/>
            </w:tcBorders>
            <w:shd w:val="clear" w:color="auto" w:fill="auto"/>
            <w:hideMark/>
          </w:tcPr>
          <w:p w:rsidRPr="00E35821" w:rsidR="00FC2A20" w:rsidP="00FC2A20" w:rsidRDefault="00FC2A20" w14:paraId="4BE512B5" w14:textId="77777777">
            <w:pPr>
              <w:jc w:val="center"/>
              <w:rPr>
                <w:color w:val="000000"/>
                <w:sz w:val="20"/>
              </w:rPr>
            </w:pPr>
            <w:r w:rsidRPr="00E35821">
              <w:rPr>
                <w:color w:val="000000"/>
                <w:sz w:val="20"/>
              </w:rPr>
              <w:t>CFR Section</w:t>
            </w:r>
          </w:p>
        </w:tc>
        <w:tc>
          <w:tcPr>
            <w:tcW w:w="1304" w:type="dxa"/>
            <w:tcBorders>
              <w:top w:val="single" w:color="auto" w:sz="4" w:space="0"/>
              <w:left w:val="nil"/>
              <w:bottom w:val="single" w:color="auto" w:sz="4" w:space="0"/>
              <w:right w:val="single" w:color="auto" w:sz="4" w:space="0"/>
            </w:tcBorders>
            <w:shd w:val="clear" w:color="auto" w:fill="auto"/>
            <w:hideMark/>
          </w:tcPr>
          <w:p w:rsidRPr="00E35821" w:rsidR="00FC2A20" w:rsidP="00FC2A20" w:rsidRDefault="00FC2A20" w14:paraId="4BE512B6" w14:textId="77777777">
            <w:pPr>
              <w:jc w:val="center"/>
              <w:rPr>
                <w:color w:val="000000"/>
                <w:sz w:val="20"/>
              </w:rPr>
            </w:pPr>
            <w:r w:rsidRPr="00E35821">
              <w:rPr>
                <w:color w:val="000000"/>
                <w:sz w:val="20"/>
              </w:rPr>
              <w:t>Total Annual responses</w:t>
            </w:r>
            <w:r w:rsidRPr="00E35821" w:rsidR="0013444A">
              <w:rPr>
                <w:color w:val="000000"/>
                <w:sz w:val="20"/>
              </w:rPr>
              <w:t xml:space="preserve"> (Previous Submission)</w:t>
            </w:r>
          </w:p>
        </w:tc>
        <w:tc>
          <w:tcPr>
            <w:tcW w:w="1440" w:type="dxa"/>
            <w:tcBorders>
              <w:top w:val="single" w:color="auto" w:sz="4" w:space="0"/>
              <w:left w:val="nil"/>
              <w:bottom w:val="single" w:color="auto" w:sz="4" w:space="0"/>
              <w:right w:val="single" w:color="auto" w:sz="4" w:space="0"/>
            </w:tcBorders>
            <w:shd w:val="clear" w:color="auto" w:fill="auto"/>
            <w:hideMark/>
          </w:tcPr>
          <w:p w:rsidRPr="00E35821" w:rsidR="00FC2A20" w:rsidP="00FC2A20" w:rsidRDefault="00FC2A20" w14:paraId="4BE512B7" w14:textId="77777777">
            <w:pPr>
              <w:jc w:val="center"/>
              <w:rPr>
                <w:color w:val="000000"/>
                <w:sz w:val="20"/>
              </w:rPr>
            </w:pPr>
            <w:r w:rsidRPr="00E35821">
              <w:rPr>
                <w:color w:val="000000"/>
                <w:sz w:val="20"/>
              </w:rPr>
              <w:t>Total Annual responses</w:t>
            </w:r>
          </w:p>
          <w:p w:rsidRPr="00E35821" w:rsidR="0013444A" w:rsidP="00FC2A20" w:rsidRDefault="0013444A" w14:paraId="4BE512B8" w14:textId="77777777">
            <w:pPr>
              <w:jc w:val="center"/>
              <w:rPr>
                <w:color w:val="000000"/>
                <w:sz w:val="20"/>
              </w:rPr>
            </w:pPr>
            <w:r w:rsidRPr="00E35821">
              <w:rPr>
                <w:color w:val="000000"/>
                <w:sz w:val="20"/>
              </w:rPr>
              <w:t>(Current Submission)</w:t>
            </w:r>
          </w:p>
        </w:tc>
        <w:tc>
          <w:tcPr>
            <w:tcW w:w="1260" w:type="dxa"/>
            <w:tcBorders>
              <w:top w:val="single" w:color="auto" w:sz="4" w:space="0"/>
              <w:left w:val="nil"/>
              <w:bottom w:val="single" w:color="auto" w:sz="4" w:space="0"/>
              <w:right w:val="single" w:color="auto" w:sz="4" w:space="0"/>
            </w:tcBorders>
            <w:shd w:val="clear" w:color="auto" w:fill="auto"/>
            <w:hideMark/>
          </w:tcPr>
          <w:p w:rsidRPr="00E35821" w:rsidR="00FC2A20" w:rsidP="00FC2A20" w:rsidRDefault="00FC2A20" w14:paraId="4BE512B9" w14:textId="77777777">
            <w:pPr>
              <w:jc w:val="center"/>
              <w:rPr>
                <w:color w:val="000000"/>
                <w:sz w:val="20"/>
              </w:rPr>
            </w:pPr>
            <w:r w:rsidRPr="00E35821">
              <w:rPr>
                <w:color w:val="000000"/>
                <w:sz w:val="20"/>
              </w:rPr>
              <w:t>Adjustments</w:t>
            </w:r>
          </w:p>
        </w:tc>
        <w:tc>
          <w:tcPr>
            <w:tcW w:w="1260" w:type="dxa"/>
            <w:tcBorders>
              <w:top w:val="single" w:color="auto" w:sz="4" w:space="0"/>
              <w:left w:val="nil"/>
              <w:bottom w:val="single" w:color="auto" w:sz="4" w:space="0"/>
              <w:right w:val="single" w:color="auto" w:sz="4" w:space="0"/>
            </w:tcBorders>
            <w:shd w:val="clear" w:color="auto" w:fill="auto"/>
            <w:hideMark/>
          </w:tcPr>
          <w:p w:rsidRPr="00E35821" w:rsidR="00FC2A20" w:rsidP="00FC2A20" w:rsidRDefault="00FC2A20" w14:paraId="4BE512BA" w14:textId="77777777">
            <w:pPr>
              <w:jc w:val="center"/>
              <w:rPr>
                <w:color w:val="000000"/>
                <w:sz w:val="20"/>
              </w:rPr>
            </w:pPr>
            <w:r w:rsidRPr="00E35821">
              <w:rPr>
                <w:color w:val="000000"/>
                <w:sz w:val="20"/>
              </w:rPr>
              <w:t>Total annual burden hours</w:t>
            </w:r>
          </w:p>
          <w:p w:rsidRPr="00E35821" w:rsidR="0013444A" w:rsidP="00FC2A20" w:rsidRDefault="0013444A" w14:paraId="4BE512BB" w14:textId="77777777">
            <w:pPr>
              <w:jc w:val="center"/>
              <w:rPr>
                <w:color w:val="000000"/>
                <w:sz w:val="20"/>
              </w:rPr>
            </w:pPr>
            <w:r w:rsidRPr="00E35821">
              <w:rPr>
                <w:color w:val="000000"/>
                <w:sz w:val="20"/>
              </w:rPr>
              <w:t>(Previous Submission)</w:t>
            </w:r>
          </w:p>
        </w:tc>
        <w:tc>
          <w:tcPr>
            <w:tcW w:w="1260" w:type="dxa"/>
            <w:tcBorders>
              <w:top w:val="single" w:color="auto" w:sz="4" w:space="0"/>
              <w:left w:val="nil"/>
              <w:bottom w:val="single" w:color="auto" w:sz="4" w:space="0"/>
              <w:right w:val="single" w:color="auto" w:sz="4" w:space="0"/>
            </w:tcBorders>
            <w:shd w:val="clear" w:color="auto" w:fill="auto"/>
            <w:hideMark/>
          </w:tcPr>
          <w:p w:rsidRPr="00E35821" w:rsidR="00FC2A20" w:rsidP="00FC2A20" w:rsidRDefault="00FC2A20" w14:paraId="4BE512BC" w14:textId="77777777">
            <w:pPr>
              <w:jc w:val="center"/>
              <w:rPr>
                <w:color w:val="000000"/>
                <w:sz w:val="20"/>
              </w:rPr>
            </w:pPr>
            <w:r w:rsidRPr="00E35821">
              <w:rPr>
                <w:color w:val="000000"/>
                <w:sz w:val="20"/>
              </w:rPr>
              <w:t>Total annual burden hours</w:t>
            </w:r>
          </w:p>
          <w:p w:rsidRPr="00E35821" w:rsidR="0013444A" w:rsidP="00FC2A20" w:rsidRDefault="0013444A" w14:paraId="4BE512BD" w14:textId="77777777">
            <w:pPr>
              <w:jc w:val="center"/>
              <w:rPr>
                <w:color w:val="000000"/>
                <w:sz w:val="20"/>
              </w:rPr>
            </w:pPr>
            <w:r w:rsidRPr="00E35821">
              <w:rPr>
                <w:color w:val="000000"/>
                <w:sz w:val="20"/>
              </w:rPr>
              <w:t>(Current Submission)</w:t>
            </w:r>
          </w:p>
        </w:tc>
        <w:tc>
          <w:tcPr>
            <w:tcW w:w="1345" w:type="dxa"/>
            <w:tcBorders>
              <w:top w:val="single" w:color="auto" w:sz="4" w:space="0"/>
              <w:left w:val="nil"/>
              <w:bottom w:val="single" w:color="auto" w:sz="4" w:space="0"/>
              <w:right w:val="single" w:color="auto" w:sz="4" w:space="0"/>
            </w:tcBorders>
            <w:shd w:val="clear" w:color="auto" w:fill="auto"/>
            <w:hideMark/>
          </w:tcPr>
          <w:p w:rsidRPr="00E35821" w:rsidR="00FC2A20" w:rsidP="00FC2A20" w:rsidRDefault="00FC2A20" w14:paraId="4BE512BE" w14:textId="77777777">
            <w:pPr>
              <w:jc w:val="center"/>
              <w:rPr>
                <w:color w:val="000000"/>
                <w:sz w:val="20"/>
              </w:rPr>
            </w:pPr>
            <w:r w:rsidRPr="00E35821">
              <w:rPr>
                <w:color w:val="000000"/>
                <w:sz w:val="20"/>
              </w:rPr>
              <w:t>Adjustments</w:t>
            </w:r>
          </w:p>
        </w:tc>
      </w:tr>
      <w:tr w:rsidRPr="00E35821" w:rsidR="00224540" w:rsidTr="0013444A" w14:paraId="4BE512C7" w14:textId="77777777">
        <w:trPr>
          <w:trHeight w:val="1440"/>
        </w:trPr>
        <w:tc>
          <w:tcPr>
            <w:tcW w:w="1373" w:type="dxa"/>
            <w:tcBorders>
              <w:top w:val="nil"/>
              <w:left w:val="single" w:color="auto" w:sz="4" w:space="0"/>
              <w:bottom w:val="single" w:color="auto" w:sz="4" w:space="0"/>
              <w:right w:val="single" w:color="auto" w:sz="4" w:space="0"/>
            </w:tcBorders>
            <w:shd w:val="clear" w:color="auto" w:fill="auto"/>
            <w:hideMark/>
          </w:tcPr>
          <w:p w:rsidRPr="00E35821" w:rsidR="00FC2A20" w:rsidP="00FC2A20" w:rsidRDefault="00FC2A20" w14:paraId="4BE512C0" w14:textId="77777777">
            <w:pPr>
              <w:rPr>
                <w:color w:val="000000"/>
                <w:sz w:val="20"/>
              </w:rPr>
            </w:pPr>
            <w:r w:rsidRPr="00E35821">
              <w:rPr>
                <w:color w:val="000000"/>
                <w:sz w:val="20"/>
              </w:rPr>
              <w:lastRenderedPageBreak/>
              <w:t>229.207(b)—Petitions for FRA approval of new locomotive crashworthiness design standards</w:t>
            </w:r>
          </w:p>
        </w:tc>
        <w:tc>
          <w:tcPr>
            <w:tcW w:w="1304" w:type="dxa"/>
            <w:tcBorders>
              <w:top w:val="nil"/>
              <w:left w:val="nil"/>
              <w:bottom w:val="single" w:color="auto" w:sz="4" w:space="0"/>
              <w:right w:val="single" w:color="auto" w:sz="4" w:space="0"/>
            </w:tcBorders>
            <w:shd w:val="clear" w:color="auto" w:fill="auto"/>
            <w:hideMark/>
          </w:tcPr>
          <w:p w:rsidRPr="00E35821" w:rsidR="00FC2A20" w:rsidP="00FC2A20" w:rsidRDefault="00FC2A20" w14:paraId="4BE512C1" w14:textId="77777777">
            <w:pPr>
              <w:jc w:val="right"/>
              <w:rPr>
                <w:color w:val="000000"/>
                <w:sz w:val="20"/>
              </w:rPr>
            </w:pPr>
            <w:r w:rsidRPr="00E35821">
              <w:rPr>
                <w:color w:val="000000"/>
                <w:sz w:val="20"/>
              </w:rPr>
              <w:t>2 petitions</w:t>
            </w:r>
          </w:p>
        </w:tc>
        <w:tc>
          <w:tcPr>
            <w:tcW w:w="1440" w:type="dxa"/>
            <w:tcBorders>
              <w:top w:val="nil"/>
              <w:left w:val="nil"/>
              <w:bottom w:val="single" w:color="auto" w:sz="4" w:space="0"/>
              <w:right w:val="single" w:color="auto" w:sz="4" w:space="0"/>
            </w:tcBorders>
            <w:shd w:val="clear" w:color="auto" w:fill="auto"/>
            <w:hideMark/>
          </w:tcPr>
          <w:p w:rsidRPr="00E35821" w:rsidR="00FC2A20" w:rsidP="00FC2A20" w:rsidRDefault="00FC2A20" w14:paraId="4BE512C2" w14:textId="77777777">
            <w:pPr>
              <w:jc w:val="right"/>
              <w:rPr>
                <w:color w:val="000000"/>
                <w:sz w:val="20"/>
              </w:rPr>
            </w:pPr>
            <w:r w:rsidRPr="00E35821">
              <w:rPr>
                <w:color w:val="000000"/>
                <w:sz w:val="20"/>
              </w:rPr>
              <w:t>2 petitions</w:t>
            </w:r>
          </w:p>
        </w:tc>
        <w:tc>
          <w:tcPr>
            <w:tcW w:w="1260" w:type="dxa"/>
            <w:tcBorders>
              <w:top w:val="nil"/>
              <w:left w:val="nil"/>
              <w:bottom w:val="single" w:color="auto" w:sz="4" w:space="0"/>
              <w:right w:val="single" w:color="auto" w:sz="4" w:space="0"/>
            </w:tcBorders>
            <w:shd w:val="clear" w:color="auto" w:fill="auto"/>
            <w:hideMark/>
          </w:tcPr>
          <w:p w:rsidRPr="00E35821" w:rsidR="00FC2A20" w:rsidP="00FC2A20" w:rsidRDefault="00FC2A20" w14:paraId="4BE512C3" w14:textId="77777777">
            <w:pPr>
              <w:jc w:val="right"/>
              <w:rPr>
                <w:color w:val="000000"/>
                <w:sz w:val="20"/>
              </w:rPr>
            </w:pPr>
            <w:r w:rsidRPr="00E35821">
              <w:rPr>
                <w:color w:val="000000"/>
                <w:sz w:val="20"/>
              </w:rPr>
              <w:t>0</w:t>
            </w:r>
          </w:p>
        </w:tc>
        <w:tc>
          <w:tcPr>
            <w:tcW w:w="1260" w:type="dxa"/>
            <w:tcBorders>
              <w:top w:val="nil"/>
              <w:left w:val="nil"/>
              <w:bottom w:val="single" w:color="auto" w:sz="4" w:space="0"/>
              <w:right w:val="single" w:color="auto" w:sz="4" w:space="0"/>
            </w:tcBorders>
            <w:shd w:val="clear" w:color="auto" w:fill="auto"/>
            <w:noWrap/>
            <w:hideMark/>
          </w:tcPr>
          <w:p w:rsidRPr="00E35821" w:rsidR="00FC2A20" w:rsidP="00FC2A20" w:rsidRDefault="00FC2A20" w14:paraId="4BE512C4" w14:textId="77777777">
            <w:pPr>
              <w:jc w:val="right"/>
              <w:rPr>
                <w:color w:val="000000"/>
                <w:sz w:val="20"/>
              </w:rPr>
            </w:pPr>
            <w:r w:rsidRPr="00E35821">
              <w:rPr>
                <w:color w:val="000000"/>
                <w:sz w:val="20"/>
              </w:rPr>
              <w:t>2,100 hours</w:t>
            </w:r>
          </w:p>
        </w:tc>
        <w:tc>
          <w:tcPr>
            <w:tcW w:w="1260" w:type="dxa"/>
            <w:tcBorders>
              <w:top w:val="nil"/>
              <w:left w:val="nil"/>
              <w:bottom w:val="single" w:color="auto" w:sz="4" w:space="0"/>
              <w:right w:val="single" w:color="auto" w:sz="4" w:space="0"/>
            </w:tcBorders>
            <w:shd w:val="clear" w:color="auto" w:fill="auto"/>
            <w:noWrap/>
            <w:hideMark/>
          </w:tcPr>
          <w:p w:rsidRPr="00E35821" w:rsidR="00FC2A20" w:rsidP="00FC2A20" w:rsidRDefault="00FC2A20" w14:paraId="4BE512C5" w14:textId="77777777">
            <w:pPr>
              <w:jc w:val="right"/>
              <w:rPr>
                <w:color w:val="000000"/>
                <w:sz w:val="20"/>
              </w:rPr>
            </w:pPr>
            <w:r w:rsidRPr="00E35821">
              <w:rPr>
                <w:color w:val="000000"/>
                <w:sz w:val="20"/>
              </w:rPr>
              <w:t>100 hours</w:t>
            </w:r>
          </w:p>
        </w:tc>
        <w:tc>
          <w:tcPr>
            <w:tcW w:w="1345" w:type="dxa"/>
            <w:tcBorders>
              <w:top w:val="nil"/>
              <w:left w:val="nil"/>
              <w:bottom w:val="single" w:color="auto" w:sz="4" w:space="0"/>
              <w:right w:val="single" w:color="auto" w:sz="4" w:space="0"/>
            </w:tcBorders>
            <w:shd w:val="clear" w:color="auto" w:fill="auto"/>
            <w:noWrap/>
            <w:hideMark/>
          </w:tcPr>
          <w:p w:rsidRPr="00E35821" w:rsidR="00FC2A20" w:rsidP="00FC2A20" w:rsidRDefault="00FC2A20" w14:paraId="4BE512C6" w14:textId="77777777">
            <w:pPr>
              <w:jc w:val="right"/>
              <w:rPr>
                <w:color w:val="000000"/>
                <w:sz w:val="20"/>
              </w:rPr>
            </w:pPr>
            <w:r w:rsidRPr="00E35821">
              <w:rPr>
                <w:color w:val="000000"/>
                <w:sz w:val="20"/>
              </w:rPr>
              <w:t>-2,000</w:t>
            </w:r>
          </w:p>
        </w:tc>
      </w:tr>
      <w:tr w:rsidRPr="00E35821" w:rsidR="00224540" w:rsidTr="0013444A" w14:paraId="4BE512CF" w14:textId="77777777">
        <w:trPr>
          <w:trHeight w:val="2016"/>
        </w:trPr>
        <w:tc>
          <w:tcPr>
            <w:tcW w:w="1373" w:type="dxa"/>
            <w:tcBorders>
              <w:top w:val="nil"/>
              <w:left w:val="single" w:color="auto" w:sz="4" w:space="0"/>
              <w:bottom w:val="single" w:color="auto" w:sz="4" w:space="0"/>
              <w:right w:val="single" w:color="auto" w:sz="4" w:space="0"/>
            </w:tcBorders>
            <w:shd w:val="clear" w:color="auto" w:fill="auto"/>
            <w:hideMark/>
          </w:tcPr>
          <w:p w:rsidRPr="00E35821" w:rsidR="00FC2A20" w:rsidP="00FC2A20" w:rsidRDefault="00FC2A20" w14:paraId="4BE512C8" w14:textId="77777777">
            <w:pPr>
              <w:rPr>
                <w:color w:val="000000"/>
                <w:sz w:val="20"/>
              </w:rPr>
            </w:pPr>
            <w:r w:rsidRPr="00E35821">
              <w:rPr>
                <w:color w:val="000000"/>
                <w:sz w:val="20"/>
              </w:rPr>
              <w:t>—(c) Petition for FRA approval of substantive changes to FRA-approved locomotive crashworthiness design standard</w:t>
            </w:r>
          </w:p>
        </w:tc>
        <w:tc>
          <w:tcPr>
            <w:tcW w:w="1304" w:type="dxa"/>
            <w:tcBorders>
              <w:top w:val="nil"/>
              <w:left w:val="nil"/>
              <w:bottom w:val="single" w:color="auto" w:sz="4" w:space="0"/>
              <w:right w:val="single" w:color="auto" w:sz="4" w:space="0"/>
            </w:tcBorders>
            <w:shd w:val="clear" w:color="auto" w:fill="auto"/>
            <w:hideMark/>
          </w:tcPr>
          <w:p w:rsidRPr="00E35821" w:rsidR="00FC2A20" w:rsidP="00FC2A20" w:rsidRDefault="00FC2A20" w14:paraId="4BE512C9" w14:textId="77777777">
            <w:pPr>
              <w:jc w:val="right"/>
              <w:rPr>
                <w:color w:val="000000"/>
                <w:sz w:val="20"/>
              </w:rPr>
            </w:pPr>
            <w:r w:rsidRPr="00E35821">
              <w:rPr>
                <w:color w:val="000000"/>
                <w:sz w:val="20"/>
              </w:rPr>
              <w:t>1 petition</w:t>
            </w:r>
          </w:p>
        </w:tc>
        <w:tc>
          <w:tcPr>
            <w:tcW w:w="1440" w:type="dxa"/>
            <w:tcBorders>
              <w:top w:val="nil"/>
              <w:left w:val="nil"/>
              <w:bottom w:val="single" w:color="auto" w:sz="4" w:space="0"/>
              <w:right w:val="single" w:color="auto" w:sz="4" w:space="0"/>
            </w:tcBorders>
            <w:shd w:val="clear" w:color="auto" w:fill="auto"/>
            <w:hideMark/>
          </w:tcPr>
          <w:p w:rsidRPr="00E35821" w:rsidR="00FC2A20" w:rsidP="00FC2A20" w:rsidRDefault="00FC2A20" w14:paraId="4BE512CA" w14:textId="77777777">
            <w:pPr>
              <w:jc w:val="right"/>
              <w:rPr>
                <w:color w:val="000000"/>
                <w:sz w:val="20"/>
              </w:rPr>
            </w:pPr>
            <w:r w:rsidRPr="00E35821">
              <w:rPr>
                <w:color w:val="000000"/>
                <w:sz w:val="20"/>
              </w:rPr>
              <w:t>1 petition</w:t>
            </w:r>
          </w:p>
        </w:tc>
        <w:tc>
          <w:tcPr>
            <w:tcW w:w="1260" w:type="dxa"/>
            <w:tcBorders>
              <w:top w:val="nil"/>
              <w:left w:val="nil"/>
              <w:bottom w:val="single" w:color="auto" w:sz="4" w:space="0"/>
              <w:right w:val="single" w:color="auto" w:sz="4" w:space="0"/>
            </w:tcBorders>
            <w:shd w:val="clear" w:color="auto" w:fill="auto"/>
            <w:hideMark/>
          </w:tcPr>
          <w:p w:rsidRPr="00E35821" w:rsidR="00FC2A20" w:rsidP="00FC2A20" w:rsidRDefault="00FC2A20" w14:paraId="4BE512CB" w14:textId="77777777">
            <w:pPr>
              <w:jc w:val="right"/>
              <w:rPr>
                <w:color w:val="000000"/>
                <w:sz w:val="20"/>
              </w:rPr>
            </w:pPr>
            <w:r w:rsidRPr="00E35821">
              <w:rPr>
                <w:color w:val="000000"/>
                <w:sz w:val="20"/>
              </w:rPr>
              <w:t>0</w:t>
            </w:r>
          </w:p>
        </w:tc>
        <w:tc>
          <w:tcPr>
            <w:tcW w:w="1260" w:type="dxa"/>
            <w:tcBorders>
              <w:top w:val="nil"/>
              <w:left w:val="nil"/>
              <w:bottom w:val="single" w:color="auto" w:sz="4" w:space="0"/>
              <w:right w:val="single" w:color="auto" w:sz="4" w:space="0"/>
            </w:tcBorders>
            <w:shd w:val="clear" w:color="auto" w:fill="auto"/>
            <w:noWrap/>
            <w:hideMark/>
          </w:tcPr>
          <w:p w:rsidRPr="00E35821" w:rsidR="00FC2A20" w:rsidP="00FC2A20" w:rsidRDefault="00FC2A20" w14:paraId="4BE512CC" w14:textId="77777777">
            <w:pPr>
              <w:jc w:val="right"/>
              <w:rPr>
                <w:color w:val="000000"/>
                <w:sz w:val="20"/>
              </w:rPr>
            </w:pPr>
            <w:r w:rsidRPr="00E35821">
              <w:rPr>
                <w:color w:val="000000"/>
                <w:sz w:val="20"/>
              </w:rPr>
              <w:t>1,050 hours</w:t>
            </w:r>
          </w:p>
        </w:tc>
        <w:tc>
          <w:tcPr>
            <w:tcW w:w="1260" w:type="dxa"/>
            <w:tcBorders>
              <w:top w:val="nil"/>
              <w:left w:val="nil"/>
              <w:bottom w:val="single" w:color="auto" w:sz="4" w:space="0"/>
              <w:right w:val="single" w:color="auto" w:sz="4" w:space="0"/>
            </w:tcBorders>
            <w:shd w:val="clear" w:color="auto" w:fill="auto"/>
            <w:noWrap/>
            <w:hideMark/>
          </w:tcPr>
          <w:p w:rsidRPr="00E35821" w:rsidR="00FC2A20" w:rsidP="00FC2A20" w:rsidRDefault="00FC2A20" w14:paraId="4BE512CD" w14:textId="77777777">
            <w:pPr>
              <w:jc w:val="right"/>
              <w:rPr>
                <w:color w:val="000000"/>
                <w:sz w:val="20"/>
              </w:rPr>
            </w:pPr>
            <w:r w:rsidRPr="00E35821">
              <w:rPr>
                <w:color w:val="000000"/>
                <w:sz w:val="20"/>
              </w:rPr>
              <w:t>50 hours</w:t>
            </w:r>
          </w:p>
        </w:tc>
        <w:tc>
          <w:tcPr>
            <w:tcW w:w="1345" w:type="dxa"/>
            <w:tcBorders>
              <w:top w:val="nil"/>
              <w:left w:val="nil"/>
              <w:bottom w:val="single" w:color="auto" w:sz="4" w:space="0"/>
              <w:right w:val="single" w:color="auto" w:sz="4" w:space="0"/>
            </w:tcBorders>
            <w:shd w:val="clear" w:color="auto" w:fill="auto"/>
            <w:noWrap/>
            <w:hideMark/>
          </w:tcPr>
          <w:p w:rsidRPr="00E35821" w:rsidR="00FC2A20" w:rsidP="00FC2A20" w:rsidRDefault="00FC2A20" w14:paraId="4BE512CE" w14:textId="77777777">
            <w:pPr>
              <w:jc w:val="right"/>
              <w:rPr>
                <w:color w:val="000000"/>
                <w:sz w:val="20"/>
              </w:rPr>
            </w:pPr>
            <w:r w:rsidRPr="00E35821">
              <w:rPr>
                <w:color w:val="000000"/>
                <w:sz w:val="20"/>
              </w:rPr>
              <w:t>-1,000</w:t>
            </w:r>
          </w:p>
        </w:tc>
      </w:tr>
      <w:tr w:rsidRPr="00E35821" w:rsidR="00224540" w:rsidTr="0013444A" w14:paraId="4BE512D7" w14:textId="77777777">
        <w:trPr>
          <w:trHeight w:val="2016"/>
        </w:trPr>
        <w:tc>
          <w:tcPr>
            <w:tcW w:w="1373" w:type="dxa"/>
            <w:tcBorders>
              <w:top w:val="nil"/>
              <w:left w:val="single" w:color="auto" w:sz="4" w:space="0"/>
              <w:bottom w:val="single" w:color="auto" w:sz="4" w:space="0"/>
              <w:right w:val="single" w:color="auto" w:sz="4" w:space="0"/>
            </w:tcBorders>
            <w:shd w:val="clear" w:color="auto" w:fill="auto"/>
            <w:hideMark/>
          </w:tcPr>
          <w:p w:rsidRPr="00E35821" w:rsidR="00FC2A20" w:rsidP="00FC2A20" w:rsidRDefault="00FC2A20" w14:paraId="4BE512D0" w14:textId="77777777">
            <w:pPr>
              <w:rPr>
                <w:color w:val="000000"/>
                <w:sz w:val="20"/>
              </w:rPr>
            </w:pPr>
            <w:r w:rsidRPr="00E35821">
              <w:rPr>
                <w:color w:val="000000"/>
                <w:sz w:val="20"/>
              </w:rPr>
              <w:t>—(d) Petition for FRA approval of non-substantive changes to existing FRA approved locomotive crashworthiness design standard</w:t>
            </w:r>
          </w:p>
        </w:tc>
        <w:tc>
          <w:tcPr>
            <w:tcW w:w="1304" w:type="dxa"/>
            <w:tcBorders>
              <w:top w:val="nil"/>
              <w:left w:val="nil"/>
              <w:bottom w:val="single" w:color="auto" w:sz="4" w:space="0"/>
              <w:right w:val="single" w:color="auto" w:sz="4" w:space="0"/>
            </w:tcBorders>
            <w:shd w:val="clear" w:color="auto" w:fill="auto"/>
            <w:hideMark/>
          </w:tcPr>
          <w:p w:rsidRPr="00E35821" w:rsidR="00FC2A20" w:rsidP="00FC2A20" w:rsidRDefault="00FC2A20" w14:paraId="4BE512D1" w14:textId="77777777">
            <w:pPr>
              <w:jc w:val="right"/>
              <w:rPr>
                <w:color w:val="000000"/>
                <w:sz w:val="20"/>
              </w:rPr>
            </w:pPr>
            <w:r w:rsidRPr="00E35821">
              <w:rPr>
                <w:color w:val="000000"/>
                <w:sz w:val="20"/>
              </w:rPr>
              <w:t>1 petition</w:t>
            </w:r>
          </w:p>
        </w:tc>
        <w:tc>
          <w:tcPr>
            <w:tcW w:w="1440" w:type="dxa"/>
            <w:tcBorders>
              <w:top w:val="nil"/>
              <w:left w:val="nil"/>
              <w:bottom w:val="single" w:color="auto" w:sz="4" w:space="0"/>
              <w:right w:val="single" w:color="auto" w:sz="4" w:space="0"/>
            </w:tcBorders>
            <w:shd w:val="clear" w:color="auto" w:fill="auto"/>
            <w:hideMark/>
          </w:tcPr>
          <w:p w:rsidRPr="00E35821" w:rsidR="00FC2A20" w:rsidP="00FC2A20" w:rsidRDefault="00FC2A20" w14:paraId="4BE512D2" w14:textId="77777777">
            <w:pPr>
              <w:jc w:val="right"/>
              <w:rPr>
                <w:color w:val="000000"/>
                <w:sz w:val="20"/>
              </w:rPr>
            </w:pPr>
            <w:r w:rsidRPr="00E35821">
              <w:rPr>
                <w:color w:val="000000"/>
                <w:sz w:val="20"/>
              </w:rPr>
              <w:t>1 petition</w:t>
            </w:r>
          </w:p>
        </w:tc>
        <w:tc>
          <w:tcPr>
            <w:tcW w:w="1260" w:type="dxa"/>
            <w:tcBorders>
              <w:top w:val="nil"/>
              <w:left w:val="nil"/>
              <w:bottom w:val="single" w:color="auto" w:sz="4" w:space="0"/>
              <w:right w:val="single" w:color="auto" w:sz="4" w:space="0"/>
            </w:tcBorders>
            <w:shd w:val="clear" w:color="auto" w:fill="auto"/>
            <w:hideMark/>
          </w:tcPr>
          <w:p w:rsidRPr="00E35821" w:rsidR="00FC2A20" w:rsidP="00FC2A20" w:rsidRDefault="00FC2A20" w14:paraId="4BE512D3" w14:textId="77777777">
            <w:pPr>
              <w:jc w:val="right"/>
              <w:rPr>
                <w:color w:val="000000"/>
                <w:sz w:val="20"/>
              </w:rPr>
            </w:pPr>
            <w:r w:rsidRPr="00E35821">
              <w:rPr>
                <w:color w:val="000000"/>
                <w:sz w:val="20"/>
              </w:rPr>
              <w:t>0</w:t>
            </w:r>
          </w:p>
        </w:tc>
        <w:tc>
          <w:tcPr>
            <w:tcW w:w="1260" w:type="dxa"/>
            <w:tcBorders>
              <w:top w:val="nil"/>
              <w:left w:val="nil"/>
              <w:bottom w:val="single" w:color="auto" w:sz="4" w:space="0"/>
              <w:right w:val="single" w:color="auto" w:sz="4" w:space="0"/>
            </w:tcBorders>
            <w:shd w:val="clear" w:color="auto" w:fill="auto"/>
            <w:noWrap/>
            <w:hideMark/>
          </w:tcPr>
          <w:p w:rsidRPr="00E35821" w:rsidR="00FC2A20" w:rsidP="00FC2A20" w:rsidRDefault="00FC2A20" w14:paraId="4BE512D4" w14:textId="77777777">
            <w:pPr>
              <w:jc w:val="right"/>
              <w:rPr>
                <w:color w:val="000000"/>
                <w:sz w:val="20"/>
              </w:rPr>
            </w:pPr>
            <w:r w:rsidRPr="00E35821">
              <w:rPr>
                <w:color w:val="000000"/>
                <w:sz w:val="20"/>
              </w:rPr>
              <w:t>400 hours</w:t>
            </w:r>
          </w:p>
        </w:tc>
        <w:tc>
          <w:tcPr>
            <w:tcW w:w="1260" w:type="dxa"/>
            <w:tcBorders>
              <w:top w:val="nil"/>
              <w:left w:val="nil"/>
              <w:bottom w:val="single" w:color="auto" w:sz="4" w:space="0"/>
              <w:right w:val="single" w:color="auto" w:sz="4" w:space="0"/>
            </w:tcBorders>
            <w:shd w:val="clear" w:color="auto" w:fill="auto"/>
            <w:noWrap/>
            <w:hideMark/>
          </w:tcPr>
          <w:p w:rsidRPr="00E35821" w:rsidR="00FC2A20" w:rsidP="00FC2A20" w:rsidRDefault="00FC2A20" w14:paraId="4BE512D5" w14:textId="77777777">
            <w:pPr>
              <w:jc w:val="right"/>
              <w:rPr>
                <w:color w:val="000000"/>
                <w:sz w:val="20"/>
              </w:rPr>
            </w:pPr>
            <w:r w:rsidRPr="00E35821">
              <w:rPr>
                <w:color w:val="000000"/>
                <w:sz w:val="20"/>
              </w:rPr>
              <w:t>50 hours</w:t>
            </w:r>
          </w:p>
        </w:tc>
        <w:tc>
          <w:tcPr>
            <w:tcW w:w="1345" w:type="dxa"/>
            <w:tcBorders>
              <w:top w:val="nil"/>
              <w:left w:val="nil"/>
              <w:bottom w:val="single" w:color="auto" w:sz="4" w:space="0"/>
              <w:right w:val="single" w:color="auto" w:sz="4" w:space="0"/>
            </w:tcBorders>
            <w:shd w:val="clear" w:color="auto" w:fill="auto"/>
            <w:noWrap/>
            <w:hideMark/>
          </w:tcPr>
          <w:p w:rsidRPr="00E35821" w:rsidR="00FC2A20" w:rsidP="00FC2A20" w:rsidRDefault="00FC2A20" w14:paraId="4BE512D6" w14:textId="77777777">
            <w:pPr>
              <w:jc w:val="right"/>
              <w:rPr>
                <w:color w:val="000000"/>
                <w:sz w:val="20"/>
              </w:rPr>
            </w:pPr>
            <w:r w:rsidRPr="00E35821">
              <w:rPr>
                <w:color w:val="000000"/>
                <w:sz w:val="20"/>
              </w:rPr>
              <w:t>-350</w:t>
            </w:r>
          </w:p>
        </w:tc>
      </w:tr>
      <w:tr w:rsidRPr="00E35821" w:rsidR="00224540" w:rsidTr="0013444A" w14:paraId="4BE512DF" w14:textId="77777777">
        <w:trPr>
          <w:trHeight w:val="1440"/>
        </w:trPr>
        <w:tc>
          <w:tcPr>
            <w:tcW w:w="1373" w:type="dxa"/>
            <w:tcBorders>
              <w:top w:val="nil"/>
              <w:left w:val="single" w:color="auto" w:sz="4" w:space="0"/>
              <w:bottom w:val="single" w:color="auto" w:sz="4" w:space="0"/>
              <w:right w:val="single" w:color="auto" w:sz="4" w:space="0"/>
            </w:tcBorders>
            <w:shd w:val="clear" w:color="auto" w:fill="auto"/>
            <w:hideMark/>
          </w:tcPr>
          <w:p w:rsidRPr="00E35821" w:rsidR="00FC2A20" w:rsidP="00FC2A20" w:rsidRDefault="00FC2A20" w14:paraId="4BE512D8" w14:textId="77777777">
            <w:pPr>
              <w:rPr>
                <w:color w:val="000000"/>
                <w:sz w:val="20"/>
              </w:rPr>
            </w:pPr>
            <w:r w:rsidRPr="00E35821">
              <w:rPr>
                <w:color w:val="000000"/>
                <w:sz w:val="20"/>
              </w:rPr>
              <w:t>229.209(b)—Alternative locomotive crashworthiness designs—Petition for FRA approval</w:t>
            </w:r>
          </w:p>
        </w:tc>
        <w:tc>
          <w:tcPr>
            <w:tcW w:w="1304" w:type="dxa"/>
            <w:tcBorders>
              <w:top w:val="nil"/>
              <w:left w:val="nil"/>
              <w:bottom w:val="single" w:color="auto" w:sz="4" w:space="0"/>
              <w:right w:val="single" w:color="auto" w:sz="4" w:space="0"/>
            </w:tcBorders>
            <w:shd w:val="clear" w:color="auto" w:fill="auto"/>
            <w:hideMark/>
          </w:tcPr>
          <w:p w:rsidRPr="00E35821" w:rsidR="00FC2A20" w:rsidP="00FC2A20" w:rsidRDefault="00FC2A20" w14:paraId="4BE512D9" w14:textId="77777777">
            <w:pPr>
              <w:jc w:val="right"/>
              <w:rPr>
                <w:color w:val="000000"/>
                <w:sz w:val="20"/>
              </w:rPr>
            </w:pPr>
            <w:r w:rsidRPr="00E35821">
              <w:rPr>
                <w:color w:val="000000"/>
                <w:sz w:val="20"/>
              </w:rPr>
              <w:t>1 petition</w:t>
            </w:r>
          </w:p>
        </w:tc>
        <w:tc>
          <w:tcPr>
            <w:tcW w:w="1440" w:type="dxa"/>
            <w:tcBorders>
              <w:top w:val="nil"/>
              <w:left w:val="nil"/>
              <w:bottom w:val="single" w:color="auto" w:sz="4" w:space="0"/>
              <w:right w:val="single" w:color="auto" w:sz="4" w:space="0"/>
            </w:tcBorders>
            <w:shd w:val="clear" w:color="auto" w:fill="auto"/>
            <w:hideMark/>
          </w:tcPr>
          <w:p w:rsidRPr="00E35821" w:rsidR="00FC2A20" w:rsidP="00FC2A20" w:rsidRDefault="00FC2A20" w14:paraId="4BE512DA" w14:textId="77777777">
            <w:pPr>
              <w:jc w:val="right"/>
              <w:rPr>
                <w:color w:val="000000"/>
                <w:sz w:val="20"/>
              </w:rPr>
            </w:pPr>
            <w:r w:rsidRPr="00E35821">
              <w:rPr>
                <w:color w:val="000000"/>
                <w:sz w:val="20"/>
              </w:rPr>
              <w:t>1 petition</w:t>
            </w:r>
          </w:p>
        </w:tc>
        <w:tc>
          <w:tcPr>
            <w:tcW w:w="1260" w:type="dxa"/>
            <w:tcBorders>
              <w:top w:val="nil"/>
              <w:left w:val="nil"/>
              <w:bottom w:val="single" w:color="auto" w:sz="4" w:space="0"/>
              <w:right w:val="single" w:color="auto" w:sz="4" w:space="0"/>
            </w:tcBorders>
            <w:shd w:val="clear" w:color="auto" w:fill="auto"/>
            <w:hideMark/>
          </w:tcPr>
          <w:p w:rsidRPr="00E35821" w:rsidR="00FC2A20" w:rsidP="00FC2A20" w:rsidRDefault="00FC2A20" w14:paraId="4BE512DB" w14:textId="77777777">
            <w:pPr>
              <w:jc w:val="right"/>
              <w:rPr>
                <w:color w:val="000000"/>
                <w:sz w:val="20"/>
              </w:rPr>
            </w:pPr>
            <w:r w:rsidRPr="00E35821">
              <w:rPr>
                <w:color w:val="000000"/>
                <w:sz w:val="20"/>
              </w:rPr>
              <w:t>0</w:t>
            </w:r>
          </w:p>
        </w:tc>
        <w:tc>
          <w:tcPr>
            <w:tcW w:w="1260" w:type="dxa"/>
            <w:tcBorders>
              <w:top w:val="nil"/>
              <w:left w:val="nil"/>
              <w:bottom w:val="single" w:color="auto" w:sz="4" w:space="0"/>
              <w:right w:val="single" w:color="auto" w:sz="4" w:space="0"/>
            </w:tcBorders>
            <w:shd w:val="clear" w:color="auto" w:fill="auto"/>
            <w:noWrap/>
            <w:hideMark/>
          </w:tcPr>
          <w:p w:rsidRPr="00E35821" w:rsidR="00FC2A20" w:rsidP="00FC2A20" w:rsidRDefault="00FC2A20" w14:paraId="4BE512DC" w14:textId="77777777">
            <w:pPr>
              <w:jc w:val="right"/>
              <w:rPr>
                <w:color w:val="000000"/>
                <w:sz w:val="20"/>
              </w:rPr>
            </w:pPr>
            <w:r w:rsidRPr="00E35821">
              <w:rPr>
                <w:color w:val="000000"/>
                <w:sz w:val="20"/>
              </w:rPr>
              <w:t>2,550 hours</w:t>
            </w:r>
          </w:p>
        </w:tc>
        <w:tc>
          <w:tcPr>
            <w:tcW w:w="1260" w:type="dxa"/>
            <w:tcBorders>
              <w:top w:val="nil"/>
              <w:left w:val="nil"/>
              <w:bottom w:val="single" w:color="auto" w:sz="4" w:space="0"/>
              <w:right w:val="single" w:color="auto" w:sz="4" w:space="0"/>
            </w:tcBorders>
            <w:shd w:val="clear" w:color="auto" w:fill="auto"/>
            <w:noWrap/>
            <w:hideMark/>
          </w:tcPr>
          <w:p w:rsidRPr="00E35821" w:rsidR="00FC2A20" w:rsidP="00FC2A20" w:rsidRDefault="00FC2A20" w14:paraId="4BE512DD" w14:textId="77777777">
            <w:pPr>
              <w:jc w:val="right"/>
              <w:rPr>
                <w:color w:val="000000"/>
                <w:sz w:val="20"/>
              </w:rPr>
            </w:pPr>
            <w:r w:rsidRPr="00E35821">
              <w:rPr>
                <w:color w:val="000000"/>
                <w:sz w:val="20"/>
              </w:rPr>
              <w:t>50 hours</w:t>
            </w:r>
          </w:p>
        </w:tc>
        <w:tc>
          <w:tcPr>
            <w:tcW w:w="1345" w:type="dxa"/>
            <w:tcBorders>
              <w:top w:val="nil"/>
              <w:left w:val="nil"/>
              <w:bottom w:val="single" w:color="auto" w:sz="4" w:space="0"/>
              <w:right w:val="single" w:color="auto" w:sz="4" w:space="0"/>
            </w:tcBorders>
            <w:shd w:val="clear" w:color="auto" w:fill="auto"/>
            <w:noWrap/>
            <w:hideMark/>
          </w:tcPr>
          <w:p w:rsidRPr="00E35821" w:rsidR="00FC2A20" w:rsidP="00FC2A20" w:rsidRDefault="00FC2A20" w14:paraId="4BE512DE" w14:textId="77777777">
            <w:pPr>
              <w:jc w:val="right"/>
              <w:rPr>
                <w:color w:val="000000"/>
                <w:sz w:val="20"/>
              </w:rPr>
            </w:pPr>
            <w:r w:rsidRPr="00E35821">
              <w:rPr>
                <w:color w:val="000000"/>
                <w:sz w:val="20"/>
              </w:rPr>
              <w:t>-2,500</w:t>
            </w:r>
          </w:p>
        </w:tc>
      </w:tr>
      <w:tr w:rsidRPr="00E35821" w:rsidR="00224540" w:rsidTr="0013444A" w14:paraId="4BE512E7" w14:textId="77777777">
        <w:trPr>
          <w:trHeight w:val="1152"/>
        </w:trPr>
        <w:tc>
          <w:tcPr>
            <w:tcW w:w="1373" w:type="dxa"/>
            <w:tcBorders>
              <w:top w:val="nil"/>
              <w:left w:val="single" w:color="auto" w:sz="4" w:space="0"/>
              <w:bottom w:val="single" w:color="auto" w:sz="4" w:space="0"/>
              <w:right w:val="single" w:color="auto" w:sz="4" w:space="0"/>
            </w:tcBorders>
            <w:shd w:val="clear" w:color="auto" w:fill="auto"/>
            <w:hideMark/>
          </w:tcPr>
          <w:p w:rsidRPr="00E35821" w:rsidR="00FC2A20" w:rsidP="00FC2A20" w:rsidRDefault="00FC2A20" w14:paraId="4BE512E0" w14:textId="77777777">
            <w:pPr>
              <w:rPr>
                <w:color w:val="000000"/>
                <w:sz w:val="20"/>
              </w:rPr>
            </w:pPr>
            <w:r w:rsidRPr="00E35821">
              <w:rPr>
                <w:color w:val="000000"/>
                <w:sz w:val="20"/>
              </w:rPr>
              <w:t>229.211—(b)(2) Processing of petition—comments to FRA on petitions</w:t>
            </w:r>
          </w:p>
        </w:tc>
        <w:tc>
          <w:tcPr>
            <w:tcW w:w="1304" w:type="dxa"/>
            <w:tcBorders>
              <w:top w:val="nil"/>
              <w:left w:val="nil"/>
              <w:bottom w:val="single" w:color="auto" w:sz="4" w:space="0"/>
              <w:right w:val="single" w:color="auto" w:sz="4" w:space="0"/>
            </w:tcBorders>
            <w:shd w:val="clear" w:color="auto" w:fill="auto"/>
            <w:hideMark/>
          </w:tcPr>
          <w:p w:rsidRPr="00E35821" w:rsidR="00FC2A20" w:rsidP="00FC2A20" w:rsidRDefault="00FC2A20" w14:paraId="4BE512E1" w14:textId="77777777">
            <w:pPr>
              <w:jc w:val="right"/>
              <w:rPr>
                <w:color w:val="000000"/>
                <w:sz w:val="20"/>
              </w:rPr>
            </w:pPr>
            <w:r w:rsidRPr="00E35821">
              <w:rPr>
                <w:color w:val="000000"/>
                <w:sz w:val="20"/>
              </w:rPr>
              <w:t>5 comments</w:t>
            </w:r>
          </w:p>
        </w:tc>
        <w:tc>
          <w:tcPr>
            <w:tcW w:w="1440" w:type="dxa"/>
            <w:tcBorders>
              <w:top w:val="nil"/>
              <w:left w:val="nil"/>
              <w:bottom w:val="single" w:color="auto" w:sz="4" w:space="0"/>
              <w:right w:val="single" w:color="auto" w:sz="4" w:space="0"/>
            </w:tcBorders>
            <w:shd w:val="clear" w:color="auto" w:fill="auto"/>
            <w:hideMark/>
          </w:tcPr>
          <w:p w:rsidRPr="00E35821" w:rsidR="00FC2A20" w:rsidP="00FC2A20" w:rsidRDefault="00FC2A20" w14:paraId="4BE512E2" w14:textId="77777777">
            <w:pPr>
              <w:jc w:val="right"/>
              <w:rPr>
                <w:color w:val="000000"/>
                <w:sz w:val="20"/>
              </w:rPr>
            </w:pPr>
            <w:r w:rsidRPr="00E35821">
              <w:rPr>
                <w:color w:val="000000"/>
                <w:sz w:val="20"/>
              </w:rPr>
              <w:t xml:space="preserve"> comments</w:t>
            </w:r>
          </w:p>
        </w:tc>
        <w:tc>
          <w:tcPr>
            <w:tcW w:w="1260" w:type="dxa"/>
            <w:tcBorders>
              <w:top w:val="nil"/>
              <w:left w:val="nil"/>
              <w:bottom w:val="single" w:color="auto" w:sz="4" w:space="0"/>
              <w:right w:val="single" w:color="auto" w:sz="4" w:space="0"/>
            </w:tcBorders>
            <w:shd w:val="clear" w:color="auto" w:fill="auto"/>
            <w:hideMark/>
          </w:tcPr>
          <w:p w:rsidRPr="00E35821" w:rsidR="00FC2A20" w:rsidP="00FC2A20" w:rsidRDefault="00FC2A20" w14:paraId="4BE512E3" w14:textId="77777777">
            <w:pPr>
              <w:jc w:val="right"/>
              <w:rPr>
                <w:color w:val="000000"/>
                <w:sz w:val="20"/>
              </w:rPr>
            </w:pPr>
            <w:r w:rsidRPr="00E35821">
              <w:rPr>
                <w:color w:val="000000"/>
                <w:sz w:val="20"/>
              </w:rPr>
              <w:t>-5</w:t>
            </w:r>
          </w:p>
        </w:tc>
        <w:tc>
          <w:tcPr>
            <w:tcW w:w="1260" w:type="dxa"/>
            <w:tcBorders>
              <w:top w:val="nil"/>
              <w:left w:val="nil"/>
              <w:bottom w:val="single" w:color="auto" w:sz="4" w:space="0"/>
              <w:right w:val="single" w:color="auto" w:sz="4" w:space="0"/>
            </w:tcBorders>
            <w:shd w:val="clear" w:color="auto" w:fill="auto"/>
            <w:noWrap/>
            <w:hideMark/>
          </w:tcPr>
          <w:p w:rsidRPr="00E35821" w:rsidR="00FC2A20" w:rsidP="00FC2A20" w:rsidRDefault="00FC2A20" w14:paraId="4BE512E4" w14:textId="77777777">
            <w:pPr>
              <w:jc w:val="right"/>
              <w:rPr>
                <w:color w:val="000000"/>
                <w:sz w:val="20"/>
              </w:rPr>
            </w:pPr>
            <w:r w:rsidRPr="00E35821">
              <w:rPr>
                <w:color w:val="000000"/>
                <w:sz w:val="20"/>
              </w:rPr>
              <w:t>80 hours</w:t>
            </w:r>
          </w:p>
        </w:tc>
        <w:tc>
          <w:tcPr>
            <w:tcW w:w="1260" w:type="dxa"/>
            <w:tcBorders>
              <w:top w:val="nil"/>
              <w:left w:val="nil"/>
              <w:bottom w:val="single" w:color="auto" w:sz="4" w:space="0"/>
              <w:right w:val="single" w:color="auto" w:sz="4" w:space="0"/>
            </w:tcBorders>
            <w:shd w:val="clear" w:color="auto" w:fill="auto"/>
            <w:noWrap/>
            <w:hideMark/>
          </w:tcPr>
          <w:p w:rsidRPr="00E35821" w:rsidR="00FC2A20" w:rsidP="00FC2A20" w:rsidRDefault="00FC2A20" w14:paraId="4BE512E5" w14:textId="77777777">
            <w:pPr>
              <w:jc w:val="right"/>
              <w:rPr>
                <w:color w:val="000000"/>
                <w:sz w:val="20"/>
              </w:rPr>
            </w:pPr>
            <w:r w:rsidRPr="00E35821">
              <w:rPr>
                <w:color w:val="000000"/>
                <w:sz w:val="20"/>
              </w:rPr>
              <w:t xml:space="preserve"> hours</w:t>
            </w:r>
          </w:p>
        </w:tc>
        <w:tc>
          <w:tcPr>
            <w:tcW w:w="1345" w:type="dxa"/>
            <w:tcBorders>
              <w:top w:val="nil"/>
              <w:left w:val="nil"/>
              <w:bottom w:val="single" w:color="auto" w:sz="4" w:space="0"/>
              <w:right w:val="single" w:color="auto" w:sz="4" w:space="0"/>
            </w:tcBorders>
            <w:shd w:val="clear" w:color="auto" w:fill="auto"/>
            <w:noWrap/>
            <w:hideMark/>
          </w:tcPr>
          <w:p w:rsidRPr="00E35821" w:rsidR="00FC2A20" w:rsidP="00FC2A20" w:rsidRDefault="00FC2A20" w14:paraId="4BE512E6" w14:textId="77777777">
            <w:pPr>
              <w:jc w:val="right"/>
              <w:rPr>
                <w:color w:val="000000"/>
                <w:sz w:val="20"/>
              </w:rPr>
            </w:pPr>
            <w:r w:rsidRPr="00E35821">
              <w:rPr>
                <w:color w:val="000000"/>
                <w:sz w:val="20"/>
              </w:rPr>
              <w:t>-80</w:t>
            </w:r>
          </w:p>
        </w:tc>
      </w:tr>
      <w:tr w:rsidRPr="00E35821" w:rsidR="00224540" w:rsidTr="0013444A" w14:paraId="4BE512F7" w14:textId="77777777">
        <w:trPr>
          <w:trHeight w:val="1440"/>
        </w:trPr>
        <w:tc>
          <w:tcPr>
            <w:tcW w:w="1373" w:type="dxa"/>
            <w:tcBorders>
              <w:top w:val="nil"/>
              <w:left w:val="single" w:color="auto" w:sz="4" w:space="0"/>
              <w:bottom w:val="single" w:color="auto" w:sz="4" w:space="0"/>
              <w:right w:val="single" w:color="auto" w:sz="4" w:space="0"/>
            </w:tcBorders>
            <w:shd w:val="clear" w:color="auto" w:fill="auto"/>
            <w:hideMark/>
          </w:tcPr>
          <w:p w:rsidRPr="00E35821" w:rsidR="00FC2A20" w:rsidP="00FC2A20" w:rsidRDefault="00FC2A20" w14:paraId="4BE512F0" w14:textId="77777777">
            <w:pPr>
              <w:rPr>
                <w:color w:val="000000"/>
                <w:sz w:val="20"/>
              </w:rPr>
            </w:pPr>
            <w:r w:rsidRPr="00E35821">
              <w:rPr>
                <w:color w:val="000000"/>
                <w:sz w:val="20"/>
              </w:rPr>
              <w:lastRenderedPageBreak/>
              <w:t>229.213(a)(3)—Locomotive manufacturing information: retention by railroads</w:t>
            </w:r>
          </w:p>
        </w:tc>
        <w:tc>
          <w:tcPr>
            <w:tcW w:w="1304" w:type="dxa"/>
            <w:tcBorders>
              <w:top w:val="nil"/>
              <w:left w:val="nil"/>
              <w:bottom w:val="single" w:color="auto" w:sz="4" w:space="0"/>
              <w:right w:val="single" w:color="auto" w:sz="4" w:space="0"/>
            </w:tcBorders>
            <w:shd w:val="clear" w:color="auto" w:fill="auto"/>
            <w:hideMark/>
          </w:tcPr>
          <w:p w:rsidRPr="00E35821" w:rsidR="00FC2A20" w:rsidP="00FC2A20" w:rsidRDefault="00FC2A20" w14:paraId="4BE512F1" w14:textId="77777777">
            <w:pPr>
              <w:jc w:val="right"/>
              <w:rPr>
                <w:color w:val="000000"/>
                <w:sz w:val="20"/>
              </w:rPr>
            </w:pPr>
            <w:r w:rsidRPr="00E35821">
              <w:rPr>
                <w:color w:val="000000"/>
                <w:sz w:val="20"/>
              </w:rPr>
              <w:t>500 records/stickers/badge plates</w:t>
            </w:r>
          </w:p>
        </w:tc>
        <w:tc>
          <w:tcPr>
            <w:tcW w:w="1440" w:type="dxa"/>
            <w:tcBorders>
              <w:top w:val="nil"/>
              <w:left w:val="nil"/>
              <w:bottom w:val="single" w:color="auto" w:sz="4" w:space="0"/>
              <w:right w:val="single" w:color="auto" w:sz="4" w:space="0"/>
            </w:tcBorders>
            <w:shd w:val="clear" w:color="auto" w:fill="auto"/>
            <w:hideMark/>
          </w:tcPr>
          <w:p w:rsidRPr="00E35821" w:rsidR="00FC2A20" w:rsidP="00FC2A20" w:rsidRDefault="00FC2A20" w14:paraId="4BE512F2" w14:textId="77777777">
            <w:pPr>
              <w:jc w:val="right"/>
              <w:rPr>
                <w:color w:val="000000"/>
                <w:sz w:val="20"/>
              </w:rPr>
            </w:pPr>
            <w:r w:rsidRPr="00E35821">
              <w:rPr>
                <w:color w:val="000000"/>
                <w:sz w:val="20"/>
              </w:rPr>
              <w:t>500 records/stickers/badge plates</w:t>
            </w:r>
          </w:p>
        </w:tc>
        <w:tc>
          <w:tcPr>
            <w:tcW w:w="1260" w:type="dxa"/>
            <w:tcBorders>
              <w:top w:val="nil"/>
              <w:left w:val="nil"/>
              <w:bottom w:val="single" w:color="auto" w:sz="4" w:space="0"/>
              <w:right w:val="single" w:color="auto" w:sz="4" w:space="0"/>
            </w:tcBorders>
            <w:shd w:val="clear" w:color="auto" w:fill="auto"/>
            <w:hideMark/>
          </w:tcPr>
          <w:p w:rsidRPr="00E35821" w:rsidR="00FC2A20" w:rsidP="00FC2A20" w:rsidRDefault="00FC2A20" w14:paraId="4BE512F3" w14:textId="77777777">
            <w:pPr>
              <w:jc w:val="right"/>
              <w:rPr>
                <w:color w:val="000000"/>
                <w:sz w:val="20"/>
              </w:rPr>
            </w:pPr>
            <w:r w:rsidRPr="00E35821">
              <w:rPr>
                <w:color w:val="000000"/>
                <w:sz w:val="20"/>
              </w:rPr>
              <w:t>0</w:t>
            </w:r>
          </w:p>
        </w:tc>
        <w:tc>
          <w:tcPr>
            <w:tcW w:w="1260" w:type="dxa"/>
            <w:tcBorders>
              <w:top w:val="nil"/>
              <w:left w:val="nil"/>
              <w:bottom w:val="single" w:color="auto" w:sz="4" w:space="0"/>
              <w:right w:val="single" w:color="auto" w:sz="4" w:space="0"/>
            </w:tcBorders>
            <w:shd w:val="clear" w:color="auto" w:fill="auto"/>
            <w:noWrap/>
            <w:hideMark/>
          </w:tcPr>
          <w:p w:rsidRPr="00E35821" w:rsidR="00FC2A20" w:rsidP="00FC2A20" w:rsidRDefault="00FC2A20" w14:paraId="4BE512F4" w14:textId="77777777">
            <w:pPr>
              <w:jc w:val="right"/>
              <w:rPr>
                <w:color w:val="000000"/>
                <w:sz w:val="20"/>
              </w:rPr>
            </w:pPr>
            <w:r w:rsidRPr="00E35821">
              <w:rPr>
                <w:color w:val="000000"/>
                <w:sz w:val="20"/>
              </w:rPr>
              <w:t>50 hours</w:t>
            </w:r>
          </w:p>
        </w:tc>
        <w:tc>
          <w:tcPr>
            <w:tcW w:w="1260" w:type="dxa"/>
            <w:tcBorders>
              <w:top w:val="nil"/>
              <w:left w:val="nil"/>
              <w:bottom w:val="single" w:color="auto" w:sz="4" w:space="0"/>
              <w:right w:val="single" w:color="auto" w:sz="4" w:space="0"/>
            </w:tcBorders>
            <w:shd w:val="clear" w:color="auto" w:fill="auto"/>
            <w:noWrap/>
            <w:hideMark/>
          </w:tcPr>
          <w:p w:rsidRPr="00E35821" w:rsidR="00FC2A20" w:rsidP="00FC2A20" w:rsidRDefault="00FC2A20" w14:paraId="4BE512F5" w14:textId="77777777">
            <w:pPr>
              <w:jc w:val="right"/>
              <w:rPr>
                <w:color w:val="000000"/>
                <w:sz w:val="20"/>
              </w:rPr>
            </w:pPr>
            <w:r w:rsidRPr="00E35821">
              <w:rPr>
                <w:color w:val="000000"/>
                <w:sz w:val="20"/>
              </w:rPr>
              <w:t>17 hours</w:t>
            </w:r>
          </w:p>
        </w:tc>
        <w:tc>
          <w:tcPr>
            <w:tcW w:w="1345" w:type="dxa"/>
            <w:tcBorders>
              <w:top w:val="nil"/>
              <w:left w:val="nil"/>
              <w:bottom w:val="single" w:color="auto" w:sz="4" w:space="0"/>
              <w:right w:val="single" w:color="auto" w:sz="4" w:space="0"/>
            </w:tcBorders>
            <w:shd w:val="clear" w:color="auto" w:fill="auto"/>
            <w:noWrap/>
            <w:hideMark/>
          </w:tcPr>
          <w:p w:rsidRPr="00E35821" w:rsidR="00FC2A20" w:rsidP="00FC2A20" w:rsidRDefault="00FC2A20" w14:paraId="4BE512F6" w14:textId="77777777">
            <w:pPr>
              <w:jc w:val="right"/>
              <w:rPr>
                <w:color w:val="000000"/>
                <w:sz w:val="20"/>
              </w:rPr>
            </w:pPr>
            <w:r w:rsidRPr="00E35821">
              <w:rPr>
                <w:color w:val="000000"/>
                <w:sz w:val="20"/>
              </w:rPr>
              <w:t>-33</w:t>
            </w:r>
          </w:p>
        </w:tc>
      </w:tr>
      <w:tr w:rsidRPr="00E35821" w:rsidR="00224540" w:rsidTr="0013444A" w14:paraId="4BE5131A" w14:textId="77777777">
        <w:trPr>
          <w:trHeight w:val="288"/>
        </w:trPr>
        <w:tc>
          <w:tcPr>
            <w:tcW w:w="1373" w:type="dxa"/>
            <w:tcBorders>
              <w:top w:val="nil"/>
              <w:left w:val="single" w:color="auto" w:sz="4" w:space="0"/>
              <w:bottom w:val="single" w:color="auto" w:sz="4" w:space="0"/>
              <w:right w:val="single" w:color="auto" w:sz="4" w:space="0"/>
            </w:tcBorders>
            <w:shd w:val="clear" w:color="auto" w:fill="auto"/>
            <w:hideMark/>
          </w:tcPr>
          <w:p w:rsidRPr="00E35821" w:rsidR="00FC2A20" w:rsidP="00FC2A20" w:rsidRDefault="00FC2A20" w14:paraId="4BE51310" w14:textId="77777777">
            <w:pPr>
              <w:rPr>
                <w:color w:val="000000"/>
                <w:sz w:val="20"/>
              </w:rPr>
            </w:pPr>
            <w:r w:rsidRPr="00E35821">
              <w:rPr>
                <w:color w:val="000000"/>
                <w:sz w:val="20"/>
              </w:rPr>
              <w:t>Total</w:t>
            </w:r>
          </w:p>
        </w:tc>
        <w:tc>
          <w:tcPr>
            <w:tcW w:w="1304" w:type="dxa"/>
            <w:tcBorders>
              <w:top w:val="nil"/>
              <w:left w:val="nil"/>
              <w:bottom w:val="single" w:color="auto" w:sz="4" w:space="0"/>
              <w:right w:val="single" w:color="auto" w:sz="4" w:space="0"/>
            </w:tcBorders>
            <w:shd w:val="clear" w:color="auto" w:fill="auto"/>
            <w:hideMark/>
          </w:tcPr>
          <w:p w:rsidRPr="00E35821" w:rsidR="00FC2A20" w:rsidP="00FC2A20" w:rsidRDefault="00FC2A20" w14:paraId="4BE51311" w14:textId="77777777">
            <w:pPr>
              <w:jc w:val="right"/>
              <w:rPr>
                <w:color w:val="000000"/>
                <w:sz w:val="20"/>
              </w:rPr>
            </w:pPr>
            <w:r w:rsidRPr="00E35821">
              <w:rPr>
                <w:color w:val="000000"/>
                <w:sz w:val="20"/>
              </w:rPr>
              <w:t>551</w:t>
            </w:r>
            <w:r w:rsidRPr="00E35821" w:rsidR="0013444A">
              <w:rPr>
                <w:color w:val="000000"/>
                <w:sz w:val="20"/>
              </w:rPr>
              <w:t xml:space="preserve"> responses</w:t>
            </w:r>
            <w:r w:rsidRPr="00E35821">
              <w:rPr>
                <w:color w:val="000000"/>
                <w:sz w:val="20"/>
              </w:rPr>
              <w:t xml:space="preserve"> </w:t>
            </w:r>
          </w:p>
        </w:tc>
        <w:tc>
          <w:tcPr>
            <w:tcW w:w="1440" w:type="dxa"/>
            <w:tcBorders>
              <w:top w:val="nil"/>
              <w:left w:val="nil"/>
              <w:bottom w:val="single" w:color="auto" w:sz="4" w:space="0"/>
              <w:right w:val="single" w:color="auto" w:sz="4" w:space="0"/>
            </w:tcBorders>
            <w:shd w:val="clear" w:color="auto" w:fill="auto"/>
            <w:hideMark/>
          </w:tcPr>
          <w:p w:rsidRPr="00E35821" w:rsidR="0013444A" w:rsidP="00FC2A20" w:rsidRDefault="00FC2A20" w14:paraId="4BE51312" w14:textId="77777777">
            <w:pPr>
              <w:jc w:val="right"/>
              <w:rPr>
                <w:color w:val="000000"/>
                <w:sz w:val="20"/>
              </w:rPr>
            </w:pPr>
            <w:r w:rsidRPr="00E35821">
              <w:rPr>
                <w:color w:val="000000"/>
                <w:sz w:val="20"/>
              </w:rPr>
              <w:t>546</w:t>
            </w:r>
            <w:r w:rsidRPr="00E35821" w:rsidR="0013444A">
              <w:rPr>
                <w:color w:val="000000"/>
                <w:sz w:val="20"/>
              </w:rPr>
              <w:t xml:space="preserve"> </w:t>
            </w:r>
          </w:p>
          <w:p w:rsidRPr="00E35821" w:rsidR="0013444A" w:rsidP="00FC2A20" w:rsidRDefault="0013444A" w14:paraId="4BE51313" w14:textId="77777777">
            <w:pPr>
              <w:jc w:val="right"/>
              <w:rPr>
                <w:color w:val="000000"/>
                <w:sz w:val="20"/>
              </w:rPr>
            </w:pPr>
            <w:r w:rsidRPr="00E35821">
              <w:rPr>
                <w:color w:val="000000"/>
                <w:sz w:val="20"/>
              </w:rPr>
              <w:t>responses</w:t>
            </w:r>
          </w:p>
          <w:p w:rsidRPr="00E35821" w:rsidR="00FC2A20" w:rsidP="00FC2A20" w:rsidRDefault="00FC2A20" w14:paraId="4BE51314" w14:textId="77777777">
            <w:pPr>
              <w:jc w:val="right"/>
              <w:rPr>
                <w:color w:val="000000"/>
                <w:sz w:val="20"/>
              </w:rPr>
            </w:pPr>
            <w:r w:rsidRPr="00E35821">
              <w:rPr>
                <w:color w:val="000000"/>
                <w:sz w:val="20"/>
              </w:rPr>
              <w:t xml:space="preserve"> </w:t>
            </w:r>
          </w:p>
        </w:tc>
        <w:tc>
          <w:tcPr>
            <w:tcW w:w="1260" w:type="dxa"/>
            <w:tcBorders>
              <w:top w:val="nil"/>
              <w:left w:val="nil"/>
              <w:bottom w:val="single" w:color="auto" w:sz="4" w:space="0"/>
              <w:right w:val="single" w:color="auto" w:sz="4" w:space="0"/>
            </w:tcBorders>
            <w:shd w:val="clear" w:color="auto" w:fill="auto"/>
            <w:hideMark/>
          </w:tcPr>
          <w:p w:rsidRPr="00E35821" w:rsidR="0013444A" w:rsidP="00FC2A20" w:rsidRDefault="00FC2A20" w14:paraId="4BE51315" w14:textId="77777777">
            <w:pPr>
              <w:jc w:val="right"/>
              <w:rPr>
                <w:color w:val="000000"/>
                <w:sz w:val="20"/>
              </w:rPr>
            </w:pPr>
            <w:r w:rsidRPr="00E35821">
              <w:rPr>
                <w:color w:val="000000"/>
                <w:sz w:val="20"/>
              </w:rPr>
              <w:t>-5</w:t>
            </w:r>
            <w:r w:rsidRPr="00E35821" w:rsidR="0013444A">
              <w:rPr>
                <w:color w:val="000000"/>
                <w:sz w:val="20"/>
              </w:rPr>
              <w:t xml:space="preserve"> </w:t>
            </w:r>
          </w:p>
          <w:p w:rsidRPr="00E35821" w:rsidR="00FC2A20" w:rsidP="00FC2A20" w:rsidRDefault="0013444A" w14:paraId="4BE51316" w14:textId="77777777">
            <w:pPr>
              <w:jc w:val="right"/>
              <w:rPr>
                <w:color w:val="000000"/>
                <w:sz w:val="20"/>
              </w:rPr>
            </w:pPr>
            <w:r w:rsidRPr="00E35821">
              <w:rPr>
                <w:color w:val="000000"/>
                <w:sz w:val="20"/>
              </w:rPr>
              <w:t>responses</w:t>
            </w:r>
          </w:p>
        </w:tc>
        <w:tc>
          <w:tcPr>
            <w:tcW w:w="1260" w:type="dxa"/>
            <w:tcBorders>
              <w:top w:val="nil"/>
              <w:left w:val="nil"/>
              <w:bottom w:val="single" w:color="auto" w:sz="4" w:space="0"/>
              <w:right w:val="single" w:color="auto" w:sz="4" w:space="0"/>
            </w:tcBorders>
            <w:shd w:val="clear" w:color="auto" w:fill="auto"/>
            <w:noWrap/>
            <w:hideMark/>
          </w:tcPr>
          <w:p w:rsidRPr="00E35821" w:rsidR="00FC2A20" w:rsidP="00FC2A20" w:rsidRDefault="00FC2A20" w14:paraId="4BE51317" w14:textId="77777777">
            <w:pPr>
              <w:jc w:val="right"/>
              <w:rPr>
                <w:color w:val="000000"/>
                <w:sz w:val="20"/>
              </w:rPr>
            </w:pPr>
            <w:r w:rsidRPr="00E35821">
              <w:rPr>
                <w:color w:val="000000"/>
                <w:sz w:val="20"/>
              </w:rPr>
              <w:t>6,470 hours</w:t>
            </w:r>
          </w:p>
        </w:tc>
        <w:tc>
          <w:tcPr>
            <w:tcW w:w="1260" w:type="dxa"/>
            <w:tcBorders>
              <w:top w:val="nil"/>
              <w:left w:val="nil"/>
              <w:bottom w:val="single" w:color="auto" w:sz="4" w:space="0"/>
              <w:right w:val="single" w:color="auto" w:sz="4" w:space="0"/>
            </w:tcBorders>
            <w:shd w:val="clear" w:color="auto" w:fill="auto"/>
            <w:noWrap/>
            <w:hideMark/>
          </w:tcPr>
          <w:p w:rsidRPr="00E35821" w:rsidR="00FC2A20" w:rsidP="00FC2A20" w:rsidRDefault="00FC2A20" w14:paraId="4BE51318" w14:textId="77777777">
            <w:pPr>
              <w:jc w:val="right"/>
              <w:rPr>
                <w:color w:val="000000"/>
                <w:sz w:val="20"/>
              </w:rPr>
            </w:pPr>
            <w:r w:rsidRPr="00E35821">
              <w:rPr>
                <w:color w:val="000000"/>
                <w:sz w:val="20"/>
              </w:rPr>
              <w:t>507 hours</w:t>
            </w:r>
          </w:p>
        </w:tc>
        <w:tc>
          <w:tcPr>
            <w:tcW w:w="1345" w:type="dxa"/>
            <w:tcBorders>
              <w:top w:val="nil"/>
              <w:left w:val="nil"/>
              <w:bottom w:val="single" w:color="auto" w:sz="4" w:space="0"/>
              <w:right w:val="single" w:color="auto" w:sz="4" w:space="0"/>
            </w:tcBorders>
            <w:shd w:val="clear" w:color="auto" w:fill="auto"/>
            <w:noWrap/>
            <w:hideMark/>
          </w:tcPr>
          <w:p w:rsidRPr="00E35821" w:rsidR="00FC2A20" w:rsidP="00FC2A20" w:rsidRDefault="00FC2A20" w14:paraId="4BE51319" w14:textId="77777777">
            <w:pPr>
              <w:jc w:val="right"/>
              <w:rPr>
                <w:color w:val="000000"/>
                <w:sz w:val="20"/>
              </w:rPr>
            </w:pPr>
            <w:r w:rsidRPr="00E35821">
              <w:rPr>
                <w:color w:val="000000"/>
                <w:sz w:val="20"/>
              </w:rPr>
              <w:t>-5,963</w:t>
            </w:r>
            <w:r w:rsidRPr="00E35821" w:rsidR="0013444A">
              <w:rPr>
                <w:color w:val="000000"/>
                <w:sz w:val="20"/>
              </w:rPr>
              <w:t xml:space="preserve"> hours</w:t>
            </w:r>
          </w:p>
        </w:tc>
      </w:tr>
    </w:tbl>
    <w:p w:rsidRPr="00E35821" w:rsidR="009E611B" w:rsidRDefault="009E611B" w14:paraId="4BE5131B" w14:textId="77777777">
      <w:pPr>
        <w:widowControl w:val="0"/>
      </w:pPr>
    </w:p>
    <w:p w:rsidRPr="00E35821" w:rsidR="002A6C04" w:rsidP="0013444A" w:rsidRDefault="00454984" w14:paraId="4BE5131C" w14:textId="77777777">
      <w:pPr>
        <w:widowControl w:val="0"/>
        <w:ind w:left="720"/>
      </w:pPr>
      <w:r w:rsidRPr="00E35821">
        <w:t>The</w:t>
      </w:r>
      <w:r w:rsidRPr="00E35821" w:rsidR="00D67D59">
        <w:t xml:space="preserve">re is </w:t>
      </w:r>
      <w:r w:rsidRPr="00E35821" w:rsidR="00D67D59">
        <w:rPr>
          <w:b/>
        </w:rPr>
        <w:t>no change</w:t>
      </w:r>
      <w:r w:rsidRPr="00E35821" w:rsidR="00D67D59">
        <w:t xml:space="preserve"> in cost to respondents from the previously approved submission.</w:t>
      </w:r>
    </w:p>
    <w:p w:rsidRPr="00E35821" w:rsidR="00E85E84" w:rsidP="00CB62A8" w:rsidRDefault="00E85E84" w14:paraId="4BE5131D" w14:textId="77777777">
      <w:pPr>
        <w:widowControl w:val="0"/>
        <w:ind w:left="720"/>
      </w:pPr>
    </w:p>
    <w:p w:rsidRPr="00E35821" w:rsidR="009E611B" w:rsidP="004B5A3F" w:rsidRDefault="004B5A3F" w14:paraId="4BE5131E" w14:textId="77777777">
      <w:pPr>
        <w:widowControl w:val="0"/>
      </w:pPr>
      <w:r w:rsidRPr="00E35821">
        <w:rPr>
          <w:b/>
        </w:rPr>
        <w:t>16.</w:t>
      </w:r>
      <w:r w:rsidRPr="00E35821">
        <w:rPr>
          <w:b/>
        </w:rPr>
        <w:tab/>
      </w:r>
      <w:r w:rsidRPr="00E35821">
        <w:rPr>
          <w:b/>
          <w:u w:val="single"/>
        </w:rPr>
        <w:t>Publication of results of data collection</w:t>
      </w:r>
      <w:r w:rsidRPr="00E35821">
        <w:rPr>
          <w:b/>
        </w:rPr>
        <w:t>.</w:t>
      </w:r>
    </w:p>
    <w:p w:rsidRPr="00E35821" w:rsidR="009E611B" w:rsidRDefault="009E611B" w14:paraId="4BE5131F" w14:textId="77777777">
      <w:pPr>
        <w:widowControl w:val="0"/>
      </w:pPr>
    </w:p>
    <w:p w:rsidRPr="00E35821" w:rsidR="009E611B" w:rsidP="0013444A" w:rsidRDefault="009E611B" w14:paraId="4BE51320" w14:textId="77777777">
      <w:pPr>
        <w:widowControl w:val="0"/>
        <w:ind w:left="720"/>
      </w:pPr>
      <w:r w:rsidRPr="00E35821">
        <w:t>FRA plans no publication of this information.</w:t>
      </w:r>
    </w:p>
    <w:p w:rsidRPr="00E35821" w:rsidR="0077429A" w:rsidP="0077429A" w:rsidRDefault="0077429A" w14:paraId="4BE51321" w14:textId="77777777">
      <w:pPr>
        <w:widowControl w:val="0"/>
        <w:rPr>
          <w:b/>
        </w:rPr>
      </w:pPr>
      <w:r w:rsidRPr="00E35821">
        <w:rPr>
          <w:b/>
        </w:rPr>
        <w:t>17.</w:t>
      </w:r>
      <w:r w:rsidRPr="00E35821">
        <w:rPr>
          <w:b/>
        </w:rPr>
        <w:tab/>
      </w:r>
      <w:r w:rsidRPr="00E35821">
        <w:rPr>
          <w:b/>
          <w:u w:val="single"/>
        </w:rPr>
        <w:t>Approval for not displaying the expiration date for OMB approval</w:t>
      </w:r>
      <w:r w:rsidRPr="00E35821">
        <w:rPr>
          <w:b/>
        </w:rPr>
        <w:t>.</w:t>
      </w:r>
    </w:p>
    <w:p w:rsidRPr="00E35821" w:rsidR="009E611B" w:rsidRDefault="009E611B" w14:paraId="4BE51322" w14:textId="77777777">
      <w:pPr>
        <w:widowControl w:val="0"/>
      </w:pPr>
    </w:p>
    <w:p w:rsidRPr="00E35821" w:rsidR="00046B6A" w:rsidRDefault="009E611B" w14:paraId="4BE51323" w14:textId="77777777">
      <w:pPr>
        <w:widowControl w:val="0"/>
        <w:ind w:left="720"/>
      </w:pPr>
      <w:r w:rsidRPr="00E35821">
        <w:t xml:space="preserve">Once OMB approval is received, FRA will publish the approval number for these information collection requirements in the </w:t>
      </w:r>
      <w:r w:rsidRPr="00E35821">
        <w:rPr>
          <w:u w:val="single"/>
        </w:rPr>
        <w:t>Federal</w:t>
      </w:r>
      <w:r w:rsidRPr="00E35821">
        <w:t xml:space="preserve"> </w:t>
      </w:r>
      <w:r w:rsidRPr="00E35821">
        <w:rPr>
          <w:u w:val="single"/>
        </w:rPr>
        <w:t>Register</w:t>
      </w:r>
      <w:r w:rsidRPr="00E35821">
        <w:t xml:space="preserve">. </w:t>
      </w:r>
    </w:p>
    <w:p w:rsidRPr="00E35821" w:rsidR="009E611B" w:rsidRDefault="009E611B" w14:paraId="4BE51324" w14:textId="77777777">
      <w:pPr>
        <w:widowControl w:val="0"/>
      </w:pPr>
    </w:p>
    <w:p w:rsidRPr="00E35821" w:rsidR="009E611B" w:rsidRDefault="00597048" w14:paraId="4BE51325" w14:textId="77777777">
      <w:pPr>
        <w:widowControl w:val="0"/>
        <w:ind w:left="720" w:hanging="720"/>
      </w:pPr>
      <w:r w:rsidRPr="00E35821">
        <w:rPr>
          <w:b/>
        </w:rPr>
        <w:t>18.</w:t>
      </w:r>
      <w:r w:rsidRPr="00E35821">
        <w:rPr>
          <w:b/>
        </w:rPr>
        <w:tab/>
      </w:r>
      <w:r w:rsidRPr="00E35821">
        <w:rPr>
          <w:b/>
          <w:u w:val="single"/>
        </w:rPr>
        <w:t>Exception to certification statement</w:t>
      </w:r>
      <w:r w:rsidRPr="00E35821">
        <w:rPr>
          <w:b/>
        </w:rPr>
        <w:t>.</w:t>
      </w:r>
    </w:p>
    <w:p w:rsidRPr="00E35821" w:rsidR="009E611B" w:rsidRDefault="009E611B" w14:paraId="4BE51326" w14:textId="77777777">
      <w:pPr>
        <w:widowControl w:val="0"/>
      </w:pPr>
      <w:r w:rsidRPr="00E35821">
        <w:tab/>
      </w:r>
      <w:r w:rsidRPr="00E35821">
        <w:tab/>
      </w:r>
      <w:r w:rsidRPr="00E35821">
        <w:tab/>
      </w:r>
      <w:r w:rsidRPr="00E35821">
        <w:tab/>
      </w:r>
      <w:r w:rsidRPr="00E35821">
        <w:tab/>
      </w:r>
      <w:r w:rsidRPr="00E35821">
        <w:tab/>
      </w:r>
    </w:p>
    <w:p w:rsidRPr="00E35821" w:rsidR="009E611B" w:rsidRDefault="009E611B" w14:paraId="4BE51327" w14:textId="77777777">
      <w:pPr>
        <w:widowControl w:val="0"/>
        <w:ind w:left="720"/>
      </w:pPr>
      <w:r w:rsidRPr="00E35821">
        <w:t>No exceptions are taken at this time.</w:t>
      </w:r>
    </w:p>
    <w:p w:rsidRPr="00E35821" w:rsidR="00597048" w:rsidRDefault="00597048" w14:paraId="4BE51328" w14:textId="77777777">
      <w:pPr>
        <w:widowControl w:val="0"/>
        <w:ind w:left="720"/>
      </w:pPr>
    </w:p>
    <w:p w:rsidRPr="00E35821" w:rsidR="009E611B" w:rsidRDefault="009E611B" w14:paraId="4BE51329" w14:textId="77777777">
      <w:pPr>
        <w:widowControl w:val="0"/>
        <w:ind w:left="720"/>
      </w:pPr>
      <w:r w:rsidRPr="00E35821">
        <w:rPr>
          <w:u w:val="single"/>
        </w:rPr>
        <w:t>Meeting Department of Transportation (DOT) Strategic Goals</w:t>
      </w:r>
    </w:p>
    <w:p w:rsidRPr="00E35821" w:rsidR="009E611B" w:rsidRDefault="009E611B" w14:paraId="4BE5132A" w14:textId="77777777">
      <w:pPr>
        <w:widowControl w:val="0"/>
      </w:pPr>
    </w:p>
    <w:p w:rsidR="009E611B" w:rsidRDefault="009E611B" w14:paraId="4BE5132B" w14:textId="77777777">
      <w:pPr>
        <w:widowControl w:val="0"/>
        <w:ind w:left="720"/>
      </w:pPr>
      <w:r w:rsidRPr="00E35821">
        <w:t xml:space="preserve"> In this information collection, as in all its information collection activities, FRA seeks to do its utmost to fulfill DOT Strategic Goals and to be an integral part of One DOT.</w:t>
      </w:r>
      <w:r>
        <w:t xml:space="preserve">  </w:t>
      </w:r>
      <w:r>
        <w:rPr>
          <w:rFonts w:ascii="Courier New" w:hAnsi="Courier New"/>
        </w:rPr>
        <w:t xml:space="preserve">  </w:t>
      </w:r>
    </w:p>
    <w:p w:rsidR="009E611B" w:rsidRDefault="009E611B" w14:paraId="4BE5132C" w14:textId="77777777">
      <w:pPr>
        <w:widowControl w:val="0"/>
      </w:pPr>
    </w:p>
    <w:p w:rsidR="009E611B" w:rsidRDefault="009E611B" w14:paraId="4BE5132D" w14:textId="77777777">
      <w:pPr>
        <w:widowControl w:val="0"/>
      </w:pPr>
    </w:p>
    <w:p w:rsidR="009E611B" w:rsidRDefault="009E611B" w14:paraId="4BE5132E" w14:textId="77777777">
      <w:pPr>
        <w:widowControl w:val="0"/>
      </w:pPr>
    </w:p>
    <w:p w:rsidR="009E611B" w:rsidRDefault="009E611B" w14:paraId="4BE5132F" w14:textId="77777777">
      <w:pPr>
        <w:widowControl w:val="0"/>
      </w:pPr>
    </w:p>
    <w:p w:rsidR="009E611B" w:rsidRDefault="009E611B" w14:paraId="4BE51330" w14:textId="77777777">
      <w:pPr>
        <w:widowControl w:val="0"/>
      </w:pPr>
    </w:p>
    <w:p w:rsidR="009E611B" w:rsidRDefault="009E611B" w14:paraId="4BE51331" w14:textId="77777777">
      <w:pPr>
        <w:widowControl w:val="0"/>
      </w:pPr>
    </w:p>
    <w:p w:rsidR="009E611B" w:rsidRDefault="009E611B" w14:paraId="4BE51332" w14:textId="77777777">
      <w:pPr>
        <w:widowControl w:val="0"/>
      </w:pPr>
    </w:p>
    <w:p w:rsidR="009E611B" w:rsidRDefault="009E611B" w14:paraId="4BE51333" w14:textId="77777777">
      <w:pPr>
        <w:widowControl w:val="0"/>
      </w:pPr>
    </w:p>
    <w:p w:rsidR="009E611B" w:rsidRDefault="009E611B" w14:paraId="4BE51334" w14:textId="77777777">
      <w:pPr>
        <w:widowControl w:val="0"/>
      </w:pPr>
    </w:p>
    <w:p w:rsidR="009E611B" w:rsidRDefault="009E611B" w14:paraId="4BE51335" w14:textId="77777777">
      <w:pPr>
        <w:widowControl w:val="0"/>
      </w:pPr>
    </w:p>
    <w:p w:rsidR="009E611B" w:rsidRDefault="009E611B" w14:paraId="4BE51336" w14:textId="77777777">
      <w:pPr>
        <w:widowControl w:val="0"/>
      </w:pPr>
    </w:p>
    <w:p w:rsidR="009E611B" w:rsidRDefault="009E611B" w14:paraId="4BE51337" w14:textId="77777777">
      <w:pPr>
        <w:widowControl w:val="0"/>
      </w:pPr>
      <w:r>
        <w:tab/>
      </w:r>
      <w:r>
        <w:tab/>
      </w:r>
      <w:r>
        <w:tab/>
      </w:r>
    </w:p>
    <w:sectPr w:rsidR="009E611B">
      <w:headerReference w:type="even" r:id="rId11"/>
      <w:headerReference w:type="default" r:id="rId12"/>
      <w:footerReference w:type="even" r:id="rId13"/>
      <w:footerReference w:type="default" r:id="rId14"/>
      <w:type w:val="continuous"/>
      <w:pgSz w:w="12240" w:h="15840"/>
      <w:pgMar w:top="192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5133A" w14:textId="77777777" w:rsidR="003B57B6" w:rsidRDefault="003B57B6">
      <w:r>
        <w:separator/>
      </w:r>
    </w:p>
  </w:endnote>
  <w:endnote w:type="continuationSeparator" w:id="0">
    <w:p w14:paraId="4BE5133B" w14:textId="77777777" w:rsidR="003B57B6" w:rsidRDefault="003B5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5133E" w14:textId="77777777" w:rsidR="00377C7C" w:rsidRDefault="00377C7C">
    <w:pPr>
      <w:framePr w:w="9360" w:h="280" w:hRule="exact" w:wrap="notBeside" w:vAnchor="page" w:hAnchor="text" w:y="14112"/>
      <w:widowControl w:val="0"/>
      <w:tabs>
        <w:tab w:val="right" w:pos="-30"/>
        <w:tab w:val="right" w:leader="dot" w:pos="66"/>
        <w:tab w:val="left" w:pos="-29"/>
        <w:tab w:val="center" w:pos="67"/>
        <w:tab w:val="left" w:pos="-28"/>
        <w:tab w:val="right" w:leader="dot" w:pos="85"/>
        <w:tab w:val="left" w:pos="-26"/>
        <w:tab w:val="center" w:pos="86"/>
        <w:tab w:val="right" w:pos="-25"/>
        <w:tab w:val="decimal" w:leader="dot" w:pos="78"/>
        <w:tab w:val="left" w:pos="-24"/>
        <w:tab w:val="center" w:pos="79"/>
        <w:tab w:val="left" w:pos="-23"/>
        <w:tab w:val="decimal" w:leader="dot" w:pos="88"/>
        <w:tab w:val="left" w:pos="-22"/>
        <w:tab w:val="center" w:pos="89"/>
        <w:tab w:val="decimal" w:pos="-20"/>
        <w:tab w:val="left" w:pos="83"/>
        <w:tab w:val="left" w:pos="-19"/>
        <w:tab w:val="center" w:pos="84"/>
        <w:tab w:val="left" w:pos="-18"/>
        <w:tab w:val="right" w:pos="90"/>
        <w:tab w:val="left" w:pos="-17"/>
        <w:tab w:val="center" w:pos="91"/>
        <w:tab w:val="decimal" w:pos="-16"/>
        <w:tab w:val="center" w:pos="92"/>
        <w:tab w:val="left" w:pos="-14"/>
        <w:tab w:val="center" w:pos="94"/>
        <w:tab w:val="right" w:pos="-13"/>
        <w:tab w:val="decimal" w:leader="dot" w:pos="102"/>
        <w:tab w:val="left" w:pos="-12"/>
        <w:tab w:val="center" w:pos="103"/>
        <w:tab w:val="decimal" w:pos="-11"/>
        <w:tab w:val="right" w:pos="97"/>
        <w:tab w:val="left" w:pos="-10"/>
        <w:tab w:val="center" w:pos="98"/>
        <w:tab w:val="left" w:pos="-8"/>
        <w:tab w:val="right" w:pos="222"/>
        <w:tab w:val="left" w:pos="-7"/>
        <w:tab w:val="center" w:pos="223"/>
      </w:tabs>
      <w:spacing w:line="0" w:lineRule="atLeast"/>
      <w:jc w:val="center"/>
      <w:rPr>
        <w:vanish/>
      </w:rPr>
    </w:pPr>
    <w:r>
      <w:pgNum/>
    </w:r>
  </w:p>
  <w:p w14:paraId="4BE5133F" w14:textId="77777777" w:rsidR="00377C7C" w:rsidRDefault="00377C7C">
    <w:pPr>
      <w:widowControl w:val="0"/>
      <w:tabs>
        <w:tab w:val="right" w:pos="-30"/>
        <w:tab w:val="right" w:leader="dot" w:pos="66"/>
        <w:tab w:val="left" w:pos="-29"/>
        <w:tab w:val="center" w:pos="67"/>
        <w:tab w:val="left" w:pos="-28"/>
        <w:tab w:val="right" w:leader="dot" w:pos="85"/>
        <w:tab w:val="left" w:pos="-26"/>
        <w:tab w:val="center" w:pos="86"/>
        <w:tab w:val="right" w:pos="-25"/>
        <w:tab w:val="decimal" w:leader="dot" w:pos="78"/>
        <w:tab w:val="left" w:pos="-24"/>
        <w:tab w:val="center" w:pos="79"/>
        <w:tab w:val="left" w:pos="-23"/>
        <w:tab w:val="decimal" w:leader="dot" w:pos="88"/>
        <w:tab w:val="left" w:pos="-22"/>
        <w:tab w:val="center" w:pos="89"/>
        <w:tab w:val="decimal" w:pos="-20"/>
        <w:tab w:val="left" w:pos="83"/>
        <w:tab w:val="left" w:pos="-19"/>
        <w:tab w:val="center" w:pos="84"/>
        <w:tab w:val="left" w:pos="-18"/>
        <w:tab w:val="right" w:pos="90"/>
        <w:tab w:val="left" w:pos="-17"/>
        <w:tab w:val="center" w:pos="91"/>
        <w:tab w:val="decimal" w:pos="-16"/>
        <w:tab w:val="center" w:pos="92"/>
        <w:tab w:val="left" w:pos="-14"/>
        <w:tab w:val="center" w:pos="94"/>
        <w:tab w:val="right" w:pos="-13"/>
        <w:tab w:val="decimal" w:leader="dot" w:pos="102"/>
        <w:tab w:val="left" w:pos="-12"/>
        <w:tab w:val="center" w:pos="103"/>
        <w:tab w:val="decimal" w:pos="-11"/>
        <w:tab w:val="right" w:pos="97"/>
        <w:tab w:val="left" w:pos="-10"/>
        <w:tab w:val="center" w:pos="98"/>
        <w:tab w:val="left" w:pos="-8"/>
        <w:tab w:val="right" w:pos="222"/>
        <w:tab w:val="left" w:pos="-7"/>
        <w:tab w:val="center" w:pos="22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51340" w14:textId="77777777" w:rsidR="00377C7C" w:rsidRDefault="00377C7C">
    <w:pPr>
      <w:framePr w:w="9360" w:h="280" w:hRule="exact" w:wrap="notBeside" w:vAnchor="page" w:hAnchor="text" w:y="14112"/>
      <w:widowControl w:val="0"/>
      <w:tabs>
        <w:tab w:val="right" w:pos="-30"/>
        <w:tab w:val="right" w:leader="dot" w:pos="66"/>
        <w:tab w:val="left" w:pos="-29"/>
        <w:tab w:val="center" w:pos="67"/>
        <w:tab w:val="left" w:pos="-28"/>
        <w:tab w:val="right" w:leader="dot" w:pos="85"/>
        <w:tab w:val="left" w:pos="-26"/>
        <w:tab w:val="center" w:pos="86"/>
        <w:tab w:val="right" w:pos="-25"/>
        <w:tab w:val="decimal" w:leader="dot" w:pos="78"/>
        <w:tab w:val="left" w:pos="-24"/>
        <w:tab w:val="center" w:pos="79"/>
        <w:tab w:val="left" w:pos="-23"/>
        <w:tab w:val="decimal" w:leader="dot" w:pos="88"/>
        <w:tab w:val="left" w:pos="-22"/>
        <w:tab w:val="center" w:pos="89"/>
        <w:tab w:val="decimal" w:pos="-20"/>
        <w:tab w:val="left" w:pos="83"/>
        <w:tab w:val="left" w:pos="-19"/>
        <w:tab w:val="center" w:pos="84"/>
        <w:tab w:val="left" w:pos="-18"/>
        <w:tab w:val="right" w:pos="90"/>
        <w:tab w:val="left" w:pos="-17"/>
        <w:tab w:val="center" w:pos="91"/>
        <w:tab w:val="decimal" w:pos="-16"/>
        <w:tab w:val="center" w:pos="92"/>
        <w:tab w:val="left" w:pos="-14"/>
        <w:tab w:val="center" w:pos="94"/>
        <w:tab w:val="right" w:pos="-13"/>
        <w:tab w:val="decimal" w:leader="dot" w:pos="102"/>
        <w:tab w:val="left" w:pos="-12"/>
        <w:tab w:val="center" w:pos="103"/>
        <w:tab w:val="decimal" w:pos="-11"/>
        <w:tab w:val="right" w:pos="97"/>
        <w:tab w:val="left" w:pos="-10"/>
        <w:tab w:val="center" w:pos="98"/>
        <w:tab w:val="left" w:pos="-8"/>
        <w:tab w:val="right" w:pos="222"/>
        <w:tab w:val="left" w:pos="-7"/>
        <w:tab w:val="center" w:pos="223"/>
      </w:tabs>
      <w:jc w:val="center"/>
      <w:rPr>
        <w:vanish/>
      </w:rPr>
    </w:pPr>
    <w:r>
      <w:pgNum/>
    </w:r>
  </w:p>
  <w:p w14:paraId="4BE51341" w14:textId="77777777" w:rsidR="00377C7C" w:rsidRDefault="00377C7C">
    <w:pPr>
      <w:widowControl w:val="0"/>
      <w:tabs>
        <w:tab w:val="right" w:pos="-30"/>
        <w:tab w:val="right" w:leader="dot" w:pos="66"/>
        <w:tab w:val="left" w:pos="-29"/>
        <w:tab w:val="center" w:pos="67"/>
        <w:tab w:val="left" w:pos="-28"/>
        <w:tab w:val="right" w:leader="dot" w:pos="85"/>
        <w:tab w:val="left" w:pos="-26"/>
        <w:tab w:val="center" w:pos="86"/>
        <w:tab w:val="right" w:pos="-25"/>
        <w:tab w:val="decimal" w:leader="dot" w:pos="78"/>
        <w:tab w:val="left" w:pos="-24"/>
        <w:tab w:val="center" w:pos="79"/>
        <w:tab w:val="left" w:pos="-23"/>
        <w:tab w:val="decimal" w:leader="dot" w:pos="88"/>
        <w:tab w:val="left" w:pos="-22"/>
        <w:tab w:val="center" w:pos="89"/>
        <w:tab w:val="decimal" w:pos="-20"/>
        <w:tab w:val="left" w:pos="83"/>
        <w:tab w:val="left" w:pos="-19"/>
        <w:tab w:val="center" w:pos="84"/>
        <w:tab w:val="left" w:pos="-18"/>
        <w:tab w:val="right" w:pos="90"/>
        <w:tab w:val="left" w:pos="-17"/>
        <w:tab w:val="center" w:pos="91"/>
        <w:tab w:val="decimal" w:pos="-16"/>
        <w:tab w:val="center" w:pos="92"/>
        <w:tab w:val="left" w:pos="-14"/>
        <w:tab w:val="center" w:pos="94"/>
        <w:tab w:val="right" w:pos="-13"/>
        <w:tab w:val="decimal" w:leader="dot" w:pos="102"/>
        <w:tab w:val="left" w:pos="-12"/>
        <w:tab w:val="center" w:pos="103"/>
        <w:tab w:val="decimal" w:pos="-11"/>
        <w:tab w:val="right" w:pos="97"/>
        <w:tab w:val="left" w:pos="-10"/>
        <w:tab w:val="center" w:pos="98"/>
        <w:tab w:val="left" w:pos="-8"/>
        <w:tab w:val="right" w:pos="222"/>
        <w:tab w:val="left" w:pos="-7"/>
        <w:tab w:val="center" w:pos="223"/>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51338" w14:textId="77777777" w:rsidR="003B57B6" w:rsidRDefault="003B57B6">
      <w:r>
        <w:separator/>
      </w:r>
    </w:p>
  </w:footnote>
  <w:footnote w:type="continuationSeparator" w:id="0">
    <w:p w14:paraId="4BE51339" w14:textId="77777777" w:rsidR="003B57B6" w:rsidRDefault="003B57B6">
      <w:r>
        <w:continuationSeparator/>
      </w:r>
    </w:p>
  </w:footnote>
  <w:footnote w:id="1">
    <w:p w14:paraId="709C01A9" w14:textId="53DAA58E" w:rsidR="005675FC" w:rsidRPr="005675FC" w:rsidRDefault="005675FC">
      <w:pPr>
        <w:pStyle w:val="FootnoteText"/>
        <w:rPr>
          <w:b/>
          <w:sz w:val="20"/>
        </w:rPr>
      </w:pPr>
      <w:r w:rsidRPr="005675FC">
        <w:rPr>
          <w:rStyle w:val="FootnoteReference"/>
          <w:sz w:val="20"/>
        </w:rPr>
        <w:footnoteRef/>
      </w:r>
      <w:r w:rsidRPr="005675FC">
        <w:rPr>
          <w:sz w:val="20"/>
        </w:rPr>
        <w:t xml:space="preserve"> See 49 CFR Part 238.  </w:t>
      </w:r>
    </w:p>
  </w:footnote>
  <w:footnote w:id="2">
    <w:p w14:paraId="4BE51343" w14:textId="77777777" w:rsidR="001A0E88" w:rsidRDefault="001A0E88" w:rsidP="001A0E88">
      <w:pPr>
        <w:pStyle w:val="FootnoteText"/>
      </w:pPr>
      <w:r>
        <w:rPr>
          <w:rStyle w:val="FootnoteReference"/>
        </w:rPr>
        <w:footnoteRef/>
      </w:r>
      <w:r>
        <w:t xml:space="preserve"> </w:t>
      </w:r>
      <w:r w:rsidRPr="00572BDE">
        <w:rPr>
          <w:u w:val="single"/>
        </w:rPr>
        <w:t>See</w:t>
      </w:r>
      <w:r w:rsidRPr="00572BDE">
        <w:rPr>
          <w:i/>
        </w:rPr>
        <w:t xml:space="preserve">: </w:t>
      </w:r>
      <w:r w:rsidRPr="000A397B">
        <w:rPr>
          <w:i/>
        </w:rPr>
        <w:t xml:space="preserve">85 FR </w:t>
      </w:r>
      <w:r w:rsidRPr="00541B15">
        <w:rPr>
          <w:i/>
        </w:rPr>
        <w:t>22512</w:t>
      </w:r>
      <w:r>
        <w:rPr>
          <w:i/>
        </w:rPr>
        <w:t>.</w:t>
      </w:r>
    </w:p>
  </w:footnote>
  <w:footnote w:id="3">
    <w:p w14:paraId="755592DF" w14:textId="66651090" w:rsidR="000B7020" w:rsidRDefault="000B7020" w:rsidP="00C274BD">
      <w:pPr>
        <w:pStyle w:val="FootnoteText"/>
        <w:ind w:hanging="90"/>
      </w:pPr>
      <w:r w:rsidRPr="00C274BD">
        <w:rPr>
          <w:rStyle w:val="FootnoteReference"/>
          <w:b w:val="0"/>
          <w:sz w:val="20"/>
        </w:rPr>
        <w:footnoteRef/>
      </w:r>
      <w:r w:rsidRPr="00C274BD">
        <w:rPr>
          <w:sz w:val="20"/>
        </w:rPr>
        <w:t xml:space="preserve"> Office of Personal Management, Pay &amp; Leave, Salaries &amp; Wages, </w:t>
      </w:r>
      <w:r w:rsidRPr="00C274BD">
        <w:rPr>
          <w:color w:val="363636"/>
          <w:sz w:val="20"/>
          <w:shd w:val="clear" w:color="auto" w:fill="FFFFFF"/>
        </w:rPr>
        <w:t>SALARY TABLE 2020-DCB, GS-1</w:t>
      </w:r>
      <w:r w:rsidR="00520577">
        <w:rPr>
          <w:color w:val="363636"/>
          <w:sz w:val="20"/>
          <w:shd w:val="clear" w:color="auto" w:fill="FFFFFF"/>
        </w:rPr>
        <w:t>4</w:t>
      </w:r>
      <w:r w:rsidRPr="00C274BD">
        <w:rPr>
          <w:color w:val="363636"/>
          <w:sz w:val="20"/>
          <w:shd w:val="clear" w:color="auto" w:fill="FFFFFF"/>
        </w:rPr>
        <w:t xml:space="preserve"> Step 5. </w:t>
      </w:r>
      <w:r w:rsidRPr="00C274BD">
        <w:rPr>
          <w:sz w:val="20"/>
        </w:rPr>
        <w:t xml:space="preserve"> </w:t>
      </w:r>
      <w:hyperlink r:id="rId1" w:history="1">
        <w:r w:rsidRPr="00C274BD">
          <w:rPr>
            <w:rStyle w:val="Hyperlink"/>
            <w:sz w:val="20"/>
          </w:rPr>
          <w:t>https://www.opm.gov/policy-data-oversight/pay-leave/salaries-wages/salary-tables/20Tables/html/DCB.aspx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5133C" w14:textId="77777777" w:rsidR="00377C7C" w:rsidRDefault="00377C7C">
    <w:pPr>
      <w:widowControl w:val="0"/>
      <w:tabs>
        <w:tab w:val="right" w:pos="-30"/>
        <w:tab w:val="right" w:leader="dot" w:pos="66"/>
        <w:tab w:val="left" w:pos="-29"/>
        <w:tab w:val="center" w:pos="67"/>
        <w:tab w:val="left" w:pos="-28"/>
        <w:tab w:val="right" w:leader="dot" w:pos="85"/>
        <w:tab w:val="left" w:pos="-26"/>
        <w:tab w:val="center" w:pos="86"/>
        <w:tab w:val="right" w:pos="-25"/>
        <w:tab w:val="decimal" w:leader="dot" w:pos="78"/>
        <w:tab w:val="left" w:pos="-24"/>
        <w:tab w:val="center" w:pos="79"/>
        <w:tab w:val="left" w:pos="-23"/>
        <w:tab w:val="decimal" w:leader="dot" w:pos="88"/>
        <w:tab w:val="left" w:pos="-22"/>
        <w:tab w:val="center" w:pos="89"/>
        <w:tab w:val="decimal" w:pos="-20"/>
        <w:tab w:val="left" w:pos="83"/>
        <w:tab w:val="left" w:pos="-19"/>
        <w:tab w:val="center" w:pos="84"/>
        <w:tab w:val="left" w:pos="-18"/>
        <w:tab w:val="right" w:pos="90"/>
        <w:tab w:val="left" w:pos="-17"/>
        <w:tab w:val="center" w:pos="91"/>
        <w:tab w:val="decimal" w:pos="-16"/>
        <w:tab w:val="center" w:pos="92"/>
        <w:tab w:val="left" w:pos="-14"/>
        <w:tab w:val="center" w:pos="94"/>
        <w:tab w:val="right" w:pos="-13"/>
        <w:tab w:val="decimal" w:leader="dot" w:pos="102"/>
        <w:tab w:val="left" w:pos="-12"/>
        <w:tab w:val="center" w:pos="103"/>
        <w:tab w:val="decimal" w:pos="-11"/>
        <w:tab w:val="right" w:pos="97"/>
        <w:tab w:val="left" w:pos="-10"/>
        <w:tab w:val="center" w:pos="98"/>
        <w:tab w:val="left" w:pos="-8"/>
        <w:tab w:val="right" w:pos="222"/>
        <w:tab w:val="left" w:pos="-7"/>
        <w:tab w:val="center" w:pos="22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5133D" w14:textId="77777777" w:rsidR="00377C7C" w:rsidRDefault="00377C7C">
    <w:pPr>
      <w:widowControl w:val="0"/>
      <w:tabs>
        <w:tab w:val="right" w:pos="-30"/>
        <w:tab w:val="right" w:leader="dot" w:pos="66"/>
        <w:tab w:val="left" w:pos="-29"/>
        <w:tab w:val="center" w:pos="67"/>
        <w:tab w:val="left" w:pos="-28"/>
        <w:tab w:val="right" w:leader="dot" w:pos="85"/>
        <w:tab w:val="left" w:pos="-26"/>
        <w:tab w:val="center" w:pos="86"/>
        <w:tab w:val="right" w:pos="-25"/>
        <w:tab w:val="decimal" w:leader="dot" w:pos="78"/>
        <w:tab w:val="left" w:pos="-24"/>
        <w:tab w:val="center" w:pos="79"/>
        <w:tab w:val="left" w:pos="-23"/>
        <w:tab w:val="decimal" w:leader="dot" w:pos="88"/>
        <w:tab w:val="left" w:pos="-22"/>
        <w:tab w:val="center" w:pos="89"/>
        <w:tab w:val="decimal" w:pos="-20"/>
        <w:tab w:val="left" w:pos="83"/>
        <w:tab w:val="left" w:pos="-19"/>
        <w:tab w:val="center" w:pos="84"/>
        <w:tab w:val="left" w:pos="-18"/>
        <w:tab w:val="right" w:pos="90"/>
        <w:tab w:val="left" w:pos="-17"/>
        <w:tab w:val="center" w:pos="91"/>
        <w:tab w:val="decimal" w:pos="-16"/>
        <w:tab w:val="center" w:pos="92"/>
        <w:tab w:val="left" w:pos="-14"/>
        <w:tab w:val="center" w:pos="94"/>
        <w:tab w:val="right" w:pos="-13"/>
        <w:tab w:val="decimal" w:leader="dot" w:pos="102"/>
        <w:tab w:val="left" w:pos="-12"/>
        <w:tab w:val="center" w:pos="103"/>
        <w:tab w:val="decimal" w:pos="-11"/>
        <w:tab w:val="right" w:pos="97"/>
        <w:tab w:val="left" w:pos="-10"/>
        <w:tab w:val="center" w:pos="98"/>
        <w:tab w:val="left" w:pos="-8"/>
        <w:tab w:val="right" w:pos="222"/>
        <w:tab w:val="left" w:pos="-7"/>
        <w:tab w:val="center" w:pos="22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06B8C"/>
    <w:multiLevelType w:val="hybridMultilevel"/>
    <w:tmpl w:val="55DEB20E"/>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474"/>
    <w:rsid w:val="000028AE"/>
    <w:rsid w:val="000037F8"/>
    <w:rsid w:val="000133CE"/>
    <w:rsid w:val="00020BE0"/>
    <w:rsid w:val="00026BDB"/>
    <w:rsid w:val="00031866"/>
    <w:rsid w:val="00040665"/>
    <w:rsid w:val="0004517F"/>
    <w:rsid w:val="00046B6A"/>
    <w:rsid w:val="00052A6E"/>
    <w:rsid w:val="0005412C"/>
    <w:rsid w:val="0006434B"/>
    <w:rsid w:val="000868ED"/>
    <w:rsid w:val="00096AC3"/>
    <w:rsid w:val="000A62D3"/>
    <w:rsid w:val="000B243D"/>
    <w:rsid w:val="000B4B72"/>
    <w:rsid w:val="000B7020"/>
    <w:rsid w:val="000C25D9"/>
    <w:rsid w:val="000C2659"/>
    <w:rsid w:val="000C3E92"/>
    <w:rsid w:val="000C4213"/>
    <w:rsid w:val="000D1474"/>
    <w:rsid w:val="000D2E62"/>
    <w:rsid w:val="000D53CB"/>
    <w:rsid w:val="000D65E9"/>
    <w:rsid w:val="000E1BE7"/>
    <w:rsid w:val="000F2E31"/>
    <w:rsid w:val="000F2EA9"/>
    <w:rsid w:val="000F3BAA"/>
    <w:rsid w:val="00105A80"/>
    <w:rsid w:val="00107A0E"/>
    <w:rsid w:val="0011276D"/>
    <w:rsid w:val="001235BD"/>
    <w:rsid w:val="001308B1"/>
    <w:rsid w:val="0013444A"/>
    <w:rsid w:val="00136639"/>
    <w:rsid w:val="001542E5"/>
    <w:rsid w:val="00155D20"/>
    <w:rsid w:val="00155E9F"/>
    <w:rsid w:val="001565EE"/>
    <w:rsid w:val="001671B1"/>
    <w:rsid w:val="00171BCC"/>
    <w:rsid w:val="00193A08"/>
    <w:rsid w:val="001A0E88"/>
    <w:rsid w:val="001A3300"/>
    <w:rsid w:val="001B58CA"/>
    <w:rsid w:val="001B6CC2"/>
    <w:rsid w:val="001C4A11"/>
    <w:rsid w:val="001D338B"/>
    <w:rsid w:val="001E22F1"/>
    <w:rsid w:val="001F5909"/>
    <w:rsid w:val="00201BED"/>
    <w:rsid w:val="002042E1"/>
    <w:rsid w:val="002124F8"/>
    <w:rsid w:val="002210BC"/>
    <w:rsid w:val="00224540"/>
    <w:rsid w:val="002378A7"/>
    <w:rsid w:val="00260C74"/>
    <w:rsid w:val="00261E27"/>
    <w:rsid w:val="00263181"/>
    <w:rsid w:val="00297A4C"/>
    <w:rsid w:val="002A0855"/>
    <w:rsid w:val="002A1267"/>
    <w:rsid w:val="002A6C04"/>
    <w:rsid w:val="002A734F"/>
    <w:rsid w:val="002B2B52"/>
    <w:rsid w:val="002C3944"/>
    <w:rsid w:val="002C51B9"/>
    <w:rsid w:val="002D5DD6"/>
    <w:rsid w:val="002E00C3"/>
    <w:rsid w:val="002E13CF"/>
    <w:rsid w:val="002E59AA"/>
    <w:rsid w:val="00306F25"/>
    <w:rsid w:val="003135BC"/>
    <w:rsid w:val="0032452E"/>
    <w:rsid w:val="00325432"/>
    <w:rsid w:val="0033288B"/>
    <w:rsid w:val="0034194B"/>
    <w:rsid w:val="003430E7"/>
    <w:rsid w:val="00347192"/>
    <w:rsid w:val="00352F6A"/>
    <w:rsid w:val="00371474"/>
    <w:rsid w:val="003724FC"/>
    <w:rsid w:val="003756EB"/>
    <w:rsid w:val="00377C7C"/>
    <w:rsid w:val="00385B2A"/>
    <w:rsid w:val="003924C8"/>
    <w:rsid w:val="00393E23"/>
    <w:rsid w:val="003A4374"/>
    <w:rsid w:val="003B1169"/>
    <w:rsid w:val="003B57B6"/>
    <w:rsid w:val="003B77AF"/>
    <w:rsid w:val="003C210A"/>
    <w:rsid w:val="003C2934"/>
    <w:rsid w:val="003D7CBE"/>
    <w:rsid w:val="003F32AB"/>
    <w:rsid w:val="00435756"/>
    <w:rsid w:val="00435E7B"/>
    <w:rsid w:val="00442626"/>
    <w:rsid w:val="00454984"/>
    <w:rsid w:val="00457BF7"/>
    <w:rsid w:val="0046349C"/>
    <w:rsid w:val="0049217F"/>
    <w:rsid w:val="004B480E"/>
    <w:rsid w:val="004B5A3F"/>
    <w:rsid w:val="004B5B46"/>
    <w:rsid w:val="004C2E2B"/>
    <w:rsid w:val="004D2517"/>
    <w:rsid w:val="004F1D01"/>
    <w:rsid w:val="00502E9D"/>
    <w:rsid w:val="0050712A"/>
    <w:rsid w:val="00515FF3"/>
    <w:rsid w:val="00520577"/>
    <w:rsid w:val="0055699D"/>
    <w:rsid w:val="005675FC"/>
    <w:rsid w:val="00567A6B"/>
    <w:rsid w:val="005713E1"/>
    <w:rsid w:val="005731CF"/>
    <w:rsid w:val="00577945"/>
    <w:rsid w:val="005809E9"/>
    <w:rsid w:val="0058280F"/>
    <w:rsid w:val="00584AFE"/>
    <w:rsid w:val="005949DC"/>
    <w:rsid w:val="00597048"/>
    <w:rsid w:val="005A7211"/>
    <w:rsid w:val="005B4928"/>
    <w:rsid w:val="005B5563"/>
    <w:rsid w:val="005C3AAF"/>
    <w:rsid w:val="005C6A1D"/>
    <w:rsid w:val="005D6363"/>
    <w:rsid w:val="005D7EDD"/>
    <w:rsid w:val="005E1D14"/>
    <w:rsid w:val="00600069"/>
    <w:rsid w:val="00601358"/>
    <w:rsid w:val="006028FC"/>
    <w:rsid w:val="00604082"/>
    <w:rsid w:val="00617FE4"/>
    <w:rsid w:val="0062144A"/>
    <w:rsid w:val="00627FC0"/>
    <w:rsid w:val="006405D3"/>
    <w:rsid w:val="00665603"/>
    <w:rsid w:val="00673C42"/>
    <w:rsid w:val="00674818"/>
    <w:rsid w:val="00675562"/>
    <w:rsid w:val="006A0DBE"/>
    <w:rsid w:val="006A19CF"/>
    <w:rsid w:val="006A3AE7"/>
    <w:rsid w:val="006A7179"/>
    <w:rsid w:val="006B3D19"/>
    <w:rsid w:val="006C22EC"/>
    <w:rsid w:val="006C54B0"/>
    <w:rsid w:val="006D13FE"/>
    <w:rsid w:val="006E0448"/>
    <w:rsid w:val="006E1625"/>
    <w:rsid w:val="006F318B"/>
    <w:rsid w:val="006F4F21"/>
    <w:rsid w:val="00700400"/>
    <w:rsid w:val="00702F71"/>
    <w:rsid w:val="007036AB"/>
    <w:rsid w:val="00704375"/>
    <w:rsid w:val="00723D9D"/>
    <w:rsid w:val="00727329"/>
    <w:rsid w:val="007319BA"/>
    <w:rsid w:val="00761A8C"/>
    <w:rsid w:val="007670C6"/>
    <w:rsid w:val="0077429A"/>
    <w:rsid w:val="00775BDD"/>
    <w:rsid w:val="00777CE2"/>
    <w:rsid w:val="00784FA6"/>
    <w:rsid w:val="00791940"/>
    <w:rsid w:val="007A34AD"/>
    <w:rsid w:val="007A722B"/>
    <w:rsid w:val="007B07B3"/>
    <w:rsid w:val="007B27F7"/>
    <w:rsid w:val="007C27F5"/>
    <w:rsid w:val="007C3DAF"/>
    <w:rsid w:val="007D4DCB"/>
    <w:rsid w:val="007E2410"/>
    <w:rsid w:val="007E6CD3"/>
    <w:rsid w:val="00802C7E"/>
    <w:rsid w:val="008045F5"/>
    <w:rsid w:val="008164B9"/>
    <w:rsid w:val="00824CD2"/>
    <w:rsid w:val="00825729"/>
    <w:rsid w:val="008416EF"/>
    <w:rsid w:val="00843E46"/>
    <w:rsid w:val="00847ED7"/>
    <w:rsid w:val="008514A3"/>
    <w:rsid w:val="008762DE"/>
    <w:rsid w:val="0088133A"/>
    <w:rsid w:val="008934EE"/>
    <w:rsid w:val="008B09B6"/>
    <w:rsid w:val="008B166F"/>
    <w:rsid w:val="008B3D7C"/>
    <w:rsid w:val="008B539E"/>
    <w:rsid w:val="008B539F"/>
    <w:rsid w:val="008B79C2"/>
    <w:rsid w:val="008C27ED"/>
    <w:rsid w:val="008E1873"/>
    <w:rsid w:val="00900328"/>
    <w:rsid w:val="00911A75"/>
    <w:rsid w:val="00917720"/>
    <w:rsid w:val="0092592F"/>
    <w:rsid w:val="0095116E"/>
    <w:rsid w:val="00967C6F"/>
    <w:rsid w:val="00971534"/>
    <w:rsid w:val="009716F4"/>
    <w:rsid w:val="00977BFE"/>
    <w:rsid w:val="00991FE4"/>
    <w:rsid w:val="00992599"/>
    <w:rsid w:val="009927B4"/>
    <w:rsid w:val="009A134A"/>
    <w:rsid w:val="009B1C88"/>
    <w:rsid w:val="009B3351"/>
    <w:rsid w:val="009C2066"/>
    <w:rsid w:val="009C6BE6"/>
    <w:rsid w:val="009C7631"/>
    <w:rsid w:val="009C769A"/>
    <w:rsid w:val="009D5E07"/>
    <w:rsid w:val="009E611B"/>
    <w:rsid w:val="009F5240"/>
    <w:rsid w:val="009F6221"/>
    <w:rsid w:val="00A00486"/>
    <w:rsid w:val="00A00BDB"/>
    <w:rsid w:val="00A36BF0"/>
    <w:rsid w:val="00A37936"/>
    <w:rsid w:val="00A66AF5"/>
    <w:rsid w:val="00A760D9"/>
    <w:rsid w:val="00A80446"/>
    <w:rsid w:val="00A8044F"/>
    <w:rsid w:val="00AA6B5A"/>
    <w:rsid w:val="00AD3154"/>
    <w:rsid w:val="00AD3AA0"/>
    <w:rsid w:val="00B017E8"/>
    <w:rsid w:val="00B07488"/>
    <w:rsid w:val="00B10216"/>
    <w:rsid w:val="00B13050"/>
    <w:rsid w:val="00B26F88"/>
    <w:rsid w:val="00B429BC"/>
    <w:rsid w:val="00B474F7"/>
    <w:rsid w:val="00B509CB"/>
    <w:rsid w:val="00B540F2"/>
    <w:rsid w:val="00B7482F"/>
    <w:rsid w:val="00B8030B"/>
    <w:rsid w:val="00B87B14"/>
    <w:rsid w:val="00B9026F"/>
    <w:rsid w:val="00B90B4E"/>
    <w:rsid w:val="00B9172F"/>
    <w:rsid w:val="00B94608"/>
    <w:rsid w:val="00B95C9A"/>
    <w:rsid w:val="00BA0C28"/>
    <w:rsid w:val="00BA4A0C"/>
    <w:rsid w:val="00BB254E"/>
    <w:rsid w:val="00BB5676"/>
    <w:rsid w:val="00BC47D6"/>
    <w:rsid w:val="00BD17C2"/>
    <w:rsid w:val="00BE1941"/>
    <w:rsid w:val="00BE2DCE"/>
    <w:rsid w:val="00BF5342"/>
    <w:rsid w:val="00BF6706"/>
    <w:rsid w:val="00C14E90"/>
    <w:rsid w:val="00C16747"/>
    <w:rsid w:val="00C179E0"/>
    <w:rsid w:val="00C21294"/>
    <w:rsid w:val="00C23514"/>
    <w:rsid w:val="00C274BD"/>
    <w:rsid w:val="00C30924"/>
    <w:rsid w:val="00C37303"/>
    <w:rsid w:val="00C40065"/>
    <w:rsid w:val="00C41A5E"/>
    <w:rsid w:val="00C45962"/>
    <w:rsid w:val="00C53B73"/>
    <w:rsid w:val="00C56EEE"/>
    <w:rsid w:val="00C7618A"/>
    <w:rsid w:val="00C76BFD"/>
    <w:rsid w:val="00C77C98"/>
    <w:rsid w:val="00CB2063"/>
    <w:rsid w:val="00CB428C"/>
    <w:rsid w:val="00CB62A8"/>
    <w:rsid w:val="00CB6F04"/>
    <w:rsid w:val="00CC50AE"/>
    <w:rsid w:val="00CC7806"/>
    <w:rsid w:val="00CE22DD"/>
    <w:rsid w:val="00CE4A27"/>
    <w:rsid w:val="00CE7A0C"/>
    <w:rsid w:val="00CF0553"/>
    <w:rsid w:val="00CF17C7"/>
    <w:rsid w:val="00CF7D73"/>
    <w:rsid w:val="00D01CA1"/>
    <w:rsid w:val="00D1011A"/>
    <w:rsid w:val="00D13A52"/>
    <w:rsid w:val="00D22860"/>
    <w:rsid w:val="00D26D45"/>
    <w:rsid w:val="00D31EEC"/>
    <w:rsid w:val="00D42FE9"/>
    <w:rsid w:val="00D52564"/>
    <w:rsid w:val="00D54932"/>
    <w:rsid w:val="00D55A76"/>
    <w:rsid w:val="00D562F1"/>
    <w:rsid w:val="00D61302"/>
    <w:rsid w:val="00D63AAD"/>
    <w:rsid w:val="00D63F2E"/>
    <w:rsid w:val="00D67D59"/>
    <w:rsid w:val="00D726EA"/>
    <w:rsid w:val="00D7343D"/>
    <w:rsid w:val="00D80B71"/>
    <w:rsid w:val="00D93737"/>
    <w:rsid w:val="00DA0BD9"/>
    <w:rsid w:val="00DD1CF1"/>
    <w:rsid w:val="00DF02C0"/>
    <w:rsid w:val="00DF1AAD"/>
    <w:rsid w:val="00DF61A4"/>
    <w:rsid w:val="00E04FD2"/>
    <w:rsid w:val="00E07D07"/>
    <w:rsid w:val="00E14D2F"/>
    <w:rsid w:val="00E22FAD"/>
    <w:rsid w:val="00E35821"/>
    <w:rsid w:val="00E43DC9"/>
    <w:rsid w:val="00E64E17"/>
    <w:rsid w:val="00E65653"/>
    <w:rsid w:val="00E70E45"/>
    <w:rsid w:val="00E72278"/>
    <w:rsid w:val="00E72515"/>
    <w:rsid w:val="00E75374"/>
    <w:rsid w:val="00E75CDC"/>
    <w:rsid w:val="00E84242"/>
    <w:rsid w:val="00E84302"/>
    <w:rsid w:val="00E85E84"/>
    <w:rsid w:val="00E86F06"/>
    <w:rsid w:val="00E870B9"/>
    <w:rsid w:val="00E93E12"/>
    <w:rsid w:val="00E95BB8"/>
    <w:rsid w:val="00E96FC0"/>
    <w:rsid w:val="00E972DB"/>
    <w:rsid w:val="00EA0141"/>
    <w:rsid w:val="00EA3337"/>
    <w:rsid w:val="00EC2A36"/>
    <w:rsid w:val="00ED0B5B"/>
    <w:rsid w:val="00ED7859"/>
    <w:rsid w:val="00EE032B"/>
    <w:rsid w:val="00EE1CD5"/>
    <w:rsid w:val="00EE5DF3"/>
    <w:rsid w:val="00EF5851"/>
    <w:rsid w:val="00EF7696"/>
    <w:rsid w:val="00F006B0"/>
    <w:rsid w:val="00F02512"/>
    <w:rsid w:val="00F0664C"/>
    <w:rsid w:val="00F31064"/>
    <w:rsid w:val="00F37BFD"/>
    <w:rsid w:val="00F40AB5"/>
    <w:rsid w:val="00F43429"/>
    <w:rsid w:val="00F43818"/>
    <w:rsid w:val="00F54113"/>
    <w:rsid w:val="00F546BF"/>
    <w:rsid w:val="00F6392C"/>
    <w:rsid w:val="00F71787"/>
    <w:rsid w:val="00F80116"/>
    <w:rsid w:val="00F80AB2"/>
    <w:rsid w:val="00F810E9"/>
    <w:rsid w:val="00F9446E"/>
    <w:rsid w:val="00F94F6F"/>
    <w:rsid w:val="00FA2411"/>
    <w:rsid w:val="00FA2A3A"/>
    <w:rsid w:val="00FB1284"/>
    <w:rsid w:val="00FB7ED2"/>
    <w:rsid w:val="00FC14CA"/>
    <w:rsid w:val="00FC2A20"/>
    <w:rsid w:val="00FC3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4:docId w14:val="4BE511C7"/>
  <w15:chartTrackingRefBased/>
  <w15:docId w15:val="{16055661-B545-48A2-9C83-0B3693DF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328"/>
    <w:pPr>
      <w:ind w:left="720"/>
    </w:pPr>
  </w:style>
  <w:style w:type="paragraph" w:styleId="FootnoteText">
    <w:name w:val="footnote text"/>
    <w:basedOn w:val="Normal"/>
    <w:link w:val="FootnoteTextChar"/>
    <w:uiPriority w:val="99"/>
    <w:qFormat/>
    <w:pPr>
      <w:widowControl w:val="0"/>
      <w:ind w:firstLine="720"/>
    </w:pPr>
  </w:style>
  <w:style w:type="character" w:styleId="FootnoteReference">
    <w:name w:val="footnote reference"/>
    <w:uiPriority w:val="99"/>
    <w:qFormat/>
    <w:rPr>
      <w:b/>
      <w:vertAlign w:val="superscript"/>
    </w:rPr>
  </w:style>
  <w:style w:type="character" w:customStyle="1" w:styleId="SYSHYPERTEXT">
    <w:name w:val="SYS_HYPERTEXT"/>
    <w:rPr>
      <w:color w:val="0000FF"/>
      <w:u w:val="single"/>
    </w:rPr>
  </w:style>
  <w:style w:type="character" w:styleId="Hyperlink">
    <w:name w:val="Hyperlink"/>
    <w:uiPriority w:val="99"/>
    <w:unhideWhenUsed/>
    <w:rsid w:val="006A7179"/>
    <w:rPr>
      <w:color w:val="0000FF"/>
      <w:u w:val="single"/>
    </w:rPr>
  </w:style>
  <w:style w:type="character" w:customStyle="1" w:styleId="FootnoteTextChar">
    <w:name w:val="Footnote Text Char"/>
    <w:link w:val="FootnoteText"/>
    <w:uiPriority w:val="99"/>
    <w:rsid w:val="001A0E88"/>
    <w:rPr>
      <w:sz w:val="24"/>
    </w:rPr>
  </w:style>
  <w:style w:type="paragraph" w:styleId="BalloonText">
    <w:name w:val="Balloon Text"/>
    <w:basedOn w:val="Normal"/>
    <w:link w:val="BalloonTextChar"/>
    <w:uiPriority w:val="99"/>
    <w:semiHidden/>
    <w:unhideWhenUsed/>
    <w:rsid w:val="00F801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116"/>
    <w:rPr>
      <w:rFonts w:ascii="Segoe UI" w:hAnsi="Segoe UI" w:cs="Segoe UI"/>
      <w:sz w:val="18"/>
      <w:szCs w:val="18"/>
    </w:rPr>
  </w:style>
  <w:style w:type="character" w:styleId="CommentReference">
    <w:name w:val="annotation reference"/>
    <w:basedOn w:val="DefaultParagraphFont"/>
    <w:uiPriority w:val="99"/>
    <w:semiHidden/>
    <w:unhideWhenUsed/>
    <w:rsid w:val="005675FC"/>
    <w:rPr>
      <w:sz w:val="16"/>
      <w:szCs w:val="16"/>
    </w:rPr>
  </w:style>
  <w:style w:type="paragraph" w:styleId="CommentText">
    <w:name w:val="annotation text"/>
    <w:basedOn w:val="Normal"/>
    <w:link w:val="CommentTextChar"/>
    <w:uiPriority w:val="99"/>
    <w:semiHidden/>
    <w:unhideWhenUsed/>
    <w:rsid w:val="005675FC"/>
    <w:rPr>
      <w:sz w:val="20"/>
    </w:rPr>
  </w:style>
  <w:style w:type="character" w:customStyle="1" w:styleId="CommentTextChar">
    <w:name w:val="Comment Text Char"/>
    <w:basedOn w:val="DefaultParagraphFont"/>
    <w:link w:val="CommentText"/>
    <w:uiPriority w:val="99"/>
    <w:semiHidden/>
    <w:rsid w:val="005675FC"/>
  </w:style>
  <w:style w:type="paragraph" w:styleId="CommentSubject">
    <w:name w:val="annotation subject"/>
    <w:basedOn w:val="CommentText"/>
    <w:next w:val="CommentText"/>
    <w:link w:val="CommentSubjectChar"/>
    <w:uiPriority w:val="99"/>
    <w:semiHidden/>
    <w:unhideWhenUsed/>
    <w:rsid w:val="005675FC"/>
    <w:rPr>
      <w:b/>
      <w:bCs/>
    </w:rPr>
  </w:style>
  <w:style w:type="character" w:customStyle="1" w:styleId="CommentSubjectChar">
    <w:name w:val="Comment Subject Char"/>
    <w:basedOn w:val="CommentTextChar"/>
    <w:link w:val="CommentSubject"/>
    <w:uiPriority w:val="99"/>
    <w:semiHidden/>
    <w:rsid w:val="005675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474110">
      <w:bodyDiv w:val="1"/>
      <w:marLeft w:val="0"/>
      <w:marRight w:val="0"/>
      <w:marTop w:val="0"/>
      <w:marBottom w:val="0"/>
      <w:divBdr>
        <w:top w:val="none" w:sz="0" w:space="0" w:color="auto"/>
        <w:left w:val="none" w:sz="0" w:space="0" w:color="auto"/>
        <w:bottom w:val="none" w:sz="0" w:space="0" w:color="auto"/>
        <w:right w:val="none" w:sz="0" w:space="0" w:color="auto"/>
      </w:divBdr>
    </w:div>
    <w:div w:id="213020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20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25F44C0773F744B44EDDB706635A40" ma:contentTypeVersion="2" ma:contentTypeDescription="Create a new document." ma:contentTypeScope="" ma:versionID="da5d60cb60745e1ab3646ebc9ba33569">
  <xsd:schema xmlns:xsd="http://www.w3.org/2001/XMLSchema" xmlns:xs="http://www.w3.org/2001/XMLSchema" xmlns:p="http://schemas.microsoft.com/office/2006/metadata/properties" targetNamespace="http://schemas.microsoft.com/office/2006/metadata/properties" ma:root="true" ma:fieldsID="d30b648a99f382dab78d4dad0ded7f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5DAE7-111C-4F08-AF06-D5CCA3053FF7}">
  <ds:schemaRefs>
    <ds:schemaRef ds:uri="http://schemas.microsoft.com/sharepoint/v3/contenttype/forms"/>
  </ds:schemaRefs>
</ds:datastoreItem>
</file>

<file path=customXml/itemProps2.xml><?xml version="1.0" encoding="utf-8"?>
<ds:datastoreItem xmlns:ds="http://schemas.openxmlformats.org/officeDocument/2006/customXml" ds:itemID="{DD6D5CD6-7395-4E9F-B834-7A43FFB69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5B78695-7B39-4D04-8C57-36FF4AF50068}">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E5164FA-D4DD-4941-9DFB-4910F4DFC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11</Pages>
  <Words>3068</Words>
  <Characters>18565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21590</CharactersWithSpaces>
  <SharedDoc>false</SharedDoc>
  <HLinks>
    <vt:vector size="24" baseType="variant">
      <vt:variant>
        <vt:i4>1179722</vt:i4>
      </vt:variant>
      <vt:variant>
        <vt:i4>11</vt:i4>
      </vt:variant>
      <vt:variant>
        <vt:i4>0</vt:i4>
      </vt:variant>
      <vt:variant>
        <vt:i4>5</vt:i4>
      </vt:variant>
      <vt:variant>
        <vt:lpwstr>http://dms.dot.gov./</vt:lpwstr>
      </vt:variant>
      <vt:variant>
        <vt:lpwstr/>
      </vt:variant>
      <vt:variant>
        <vt:i4>2818151</vt:i4>
      </vt:variant>
      <vt:variant>
        <vt:i4>8</vt:i4>
      </vt:variant>
      <vt:variant>
        <vt:i4>0</vt:i4>
      </vt:variant>
      <vt:variant>
        <vt:i4>5</vt:i4>
      </vt:variant>
      <vt:variant>
        <vt:lpwstr>http://www.regulations.gov/</vt:lpwstr>
      </vt:variant>
      <vt:variant>
        <vt:lpwstr/>
      </vt:variant>
      <vt:variant>
        <vt:i4>3997796</vt:i4>
      </vt:variant>
      <vt:variant>
        <vt:i4>5</vt:i4>
      </vt:variant>
      <vt:variant>
        <vt:i4>0</vt:i4>
      </vt:variant>
      <vt:variant>
        <vt:i4>5</vt:i4>
      </vt:variant>
      <vt:variant>
        <vt:lpwstr>http://dms.dot.gov/</vt:lpwstr>
      </vt:variant>
      <vt:variant>
        <vt:lpwstr/>
      </vt:variant>
      <vt:variant>
        <vt:i4>3997796</vt:i4>
      </vt:variant>
      <vt:variant>
        <vt:i4>2</vt:i4>
      </vt:variant>
      <vt:variant>
        <vt:i4>0</vt:i4>
      </vt:variant>
      <vt:variant>
        <vt:i4>5</vt:i4>
      </vt:variant>
      <vt:variant>
        <vt:lpwstr>http://dms.dot.gov/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Brogan</dc:creator>
  <cp:keywords/>
  <cp:lastModifiedBy>Wells, Hodan (FRA)</cp:lastModifiedBy>
  <cp:revision>30</cp:revision>
  <cp:lastPrinted>2017-05-31T17:12:00Z</cp:lastPrinted>
  <dcterms:created xsi:type="dcterms:W3CDTF">2020-06-25T21:06:00Z</dcterms:created>
  <dcterms:modified xsi:type="dcterms:W3CDTF">2020-07-06T15:16:00Z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0x0101009A25F44C0773F744B44EDDB706635A40</vt:lpwstr>
  </property>
</Properties>
</file>