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711A5" w14:textId="77777777" w:rsidR="00AF1CC4" w:rsidRDefault="00AF1CC4">
      <w:pPr>
        <w:tabs>
          <w:tab w:val="right" w:pos="6984"/>
        </w:tabs>
        <w:kinsoku w:val="0"/>
        <w:overflowPunct w:val="0"/>
        <w:autoSpaceDE/>
        <w:autoSpaceDN/>
        <w:adjustRightInd/>
        <w:spacing w:after="163" w:line="205" w:lineRule="exact"/>
        <w:textAlignment w:val="baseline"/>
        <w:rPr>
          <w:rFonts w:ascii="Arial" w:hAnsi="Arial"/>
          <w:b/>
          <w:sz w:val="18"/>
        </w:rPr>
      </w:pPr>
      <w:r>
        <w:rPr>
          <w:rFonts w:ascii="Arial" w:hAnsi="Arial"/>
          <w:b/>
          <w:sz w:val="18"/>
        </w:rPr>
        <w:t>Office of Assistant Secretary for Housing, HUD</w:t>
      </w:r>
      <w:r>
        <w:rPr>
          <w:rFonts w:ascii="Arial" w:hAnsi="Arial"/>
          <w:b/>
          <w:sz w:val="18"/>
        </w:rPr>
        <w:tab/>
        <w:t>§214.303</w:t>
      </w:r>
    </w:p>
    <w:p w14:paraId="4ECCCDAB" w14:textId="77777777" w:rsidR="00AF1CC4" w:rsidRDefault="00AF1CC4">
      <w:pPr>
        <w:widowControl/>
        <w:rPr>
          <w:sz w:val="24"/>
        </w:rPr>
        <w:sectPr w:rsidR="00AF1CC4">
          <w:pgSz w:w="12240" w:h="15840"/>
          <w:pgMar w:top="3160" w:right="2623" w:bottom="864" w:left="2634" w:header="720" w:footer="720" w:gutter="0"/>
          <w:cols w:space="720"/>
          <w:noEndnote/>
        </w:sectPr>
      </w:pPr>
    </w:p>
    <w:p w14:paraId="21FAF416" w14:textId="77777777" w:rsidR="00AF1CC4" w:rsidRDefault="00AF1CC4">
      <w:pPr>
        <w:kinsoku w:val="0"/>
        <w:overflowPunct w:val="0"/>
        <w:autoSpaceDE/>
        <w:autoSpaceDN/>
        <w:adjustRightInd/>
        <w:spacing w:before="8" w:line="179" w:lineRule="exact"/>
        <w:jc w:val="both"/>
        <w:textAlignment w:val="baseline"/>
        <w:rPr>
          <w:rFonts w:ascii="Bookman Old Style" w:hAnsi="Bookman Old Style"/>
          <w:spacing w:val="3"/>
          <w:sz w:val="17"/>
        </w:rPr>
      </w:pPr>
      <w:r>
        <w:rPr>
          <w:rFonts w:ascii="Bookman Old Style" w:hAnsi="Bookman Old Style"/>
          <w:spacing w:val="3"/>
          <w:sz w:val="17"/>
        </w:rPr>
        <w:t>local assistance; fair housing; housing search assistance; landlord tenant laws; lease terms; rent delinquency; and</w:t>
      </w:r>
    </w:p>
    <w:p w14:paraId="3372B71A" w14:textId="77777777" w:rsidR="00AF1CC4" w:rsidRDefault="00AF1CC4">
      <w:pPr>
        <w:kinsoku w:val="0"/>
        <w:overflowPunct w:val="0"/>
        <w:autoSpaceDE/>
        <w:autoSpaceDN/>
        <w:adjustRightInd/>
        <w:spacing w:line="178" w:lineRule="exact"/>
        <w:ind w:firstLine="144"/>
        <w:jc w:val="both"/>
        <w:textAlignment w:val="baseline"/>
        <w:rPr>
          <w:rFonts w:ascii="Bookman Old Style" w:hAnsi="Bookman Old Style"/>
          <w:spacing w:val="4"/>
          <w:sz w:val="17"/>
        </w:rPr>
      </w:pPr>
      <w:r>
        <w:rPr>
          <w:rFonts w:ascii="Bookman Old Style" w:hAnsi="Bookman Old Style"/>
          <w:spacing w:val="4"/>
          <w:sz w:val="17"/>
        </w:rPr>
        <w:t>(5) Homeless assistance, including, but not limited to: Information regard</w:t>
      </w:r>
      <w:r>
        <w:rPr>
          <w:rFonts w:ascii="Bookman Old Style" w:hAnsi="Bookman Old Style"/>
          <w:spacing w:val="4"/>
          <w:sz w:val="17"/>
        </w:rPr>
        <w:softHyphen/>
        <w:t>ing emergency shelter, other emer</w:t>
      </w:r>
      <w:r>
        <w:rPr>
          <w:rFonts w:ascii="Bookman Old Style" w:hAnsi="Bookman Old Style"/>
          <w:spacing w:val="4"/>
          <w:sz w:val="17"/>
        </w:rPr>
        <w:softHyphen/>
        <w:t>gency services, and transitional hous</w:t>
      </w:r>
      <w:r>
        <w:rPr>
          <w:rFonts w:ascii="Bookman Old Style" w:hAnsi="Bookman Old Style"/>
          <w:spacing w:val="4"/>
          <w:sz w:val="17"/>
        </w:rPr>
        <w:softHyphen/>
        <w:t>ing.</w:t>
      </w:r>
    </w:p>
    <w:p w14:paraId="52E72262" w14:textId="77777777" w:rsidR="00AF1CC4" w:rsidRDefault="00AF1CC4">
      <w:pPr>
        <w:kinsoku w:val="0"/>
        <w:overflowPunct w:val="0"/>
        <w:autoSpaceDE/>
        <w:autoSpaceDN/>
        <w:adjustRightInd/>
        <w:spacing w:before="141" w:line="193" w:lineRule="exact"/>
        <w:textAlignment w:val="baseline"/>
        <w:rPr>
          <w:rFonts w:ascii="Bookman Old Style" w:hAnsi="Bookman Old Style"/>
          <w:b/>
          <w:spacing w:val="-5"/>
          <w:sz w:val="17"/>
        </w:rPr>
      </w:pPr>
      <w:r>
        <w:rPr>
          <w:rFonts w:ascii="Bookman Old Style" w:hAnsi="Bookman Old Style"/>
          <w:b/>
          <w:spacing w:val="-5"/>
          <w:sz w:val="17"/>
        </w:rPr>
        <w:t>§ 214.303 Performance criteria.</w:t>
      </w:r>
    </w:p>
    <w:p w14:paraId="081EDD73" w14:textId="77777777" w:rsidR="00AF1CC4" w:rsidRDefault="00AF1CC4">
      <w:pPr>
        <w:kinsoku w:val="0"/>
        <w:overflowPunct w:val="0"/>
        <w:autoSpaceDE/>
        <w:autoSpaceDN/>
        <w:adjustRightInd/>
        <w:spacing w:before="48" w:line="179" w:lineRule="exact"/>
        <w:ind w:firstLine="144"/>
        <w:textAlignment w:val="baseline"/>
        <w:rPr>
          <w:rFonts w:ascii="Bookman Old Style" w:hAnsi="Bookman Old Style"/>
          <w:sz w:val="17"/>
        </w:rPr>
      </w:pPr>
      <w:r>
        <w:rPr>
          <w:rFonts w:ascii="Bookman Old Style" w:hAnsi="Bookman Old Style"/>
          <w:sz w:val="17"/>
        </w:rPr>
        <w:t>To maintain HUD-approved status, a participating agency must meet the following requirements:</w:t>
      </w:r>
    </w:p>
    <w:p w14:paraId="23224212" w14:textId="77777777" w:rsidR="00AF1CC4" w:rsidRDefault="00AF1CC4">
      <w:pPr>
        <w:kinsoku w:val="0"/>
        <w:overflowPunct w:val="0"/>
        <w:autoSpaceDE/>
        <w:autoSpaceDN/>
        <w:adjustRightInd/>
        <w:spacing w:line="178" w:lineRule="exact"/>
        <w:ind w:firstLine="144"/>
        <w:textAlignment w:val="baseline"/>
        <w:rPr>
          <w:rFonts w:ascii="Bookman Old Style" w:hAnsi="Bookman Old Style"/>
          <w:sz w:val="17"/>
        </w:rPr>
      </w:pPr>
      <w:r>
        <w:rPr>
          <w:rFonts w:ascii="Bookman Old Style" w:hAnsi="Bookman Old Style"/>
          <w:sz w:val="17"/>
        </w:rPr>
        <w:t xml:space="preserve">(a) </w:t>
      </w:r>
      <w:r w:rsidRPr="00114509">
        <w:rPr>
          <w:rFonts w:ascii="Bookman Old Style" w:hAnsi="Bookman Old Style"/>
          <w:i/>
          <w:sz w:val="17"/>
          <w:highlight w:val="yellow"/>
        </w:rPr>
        <w:t xml:space="preserve">Approval status. </w:t>
      </w:r>
      <w:r w:rsidRPr="00114509">
        <w:rPr>
          <w:rFonts w:ascii="Bookman Old Style" w:hAnsi="Bookman Old Style"/>
          <w:sz w:val="17"/>
          <w:highlight w:val="yellow"/>
        </w:rPr>
        <w:t>Agencies must continue to comply with approval re</w:t>
      </w:r>
      <w:r w:rsidRPr="00114509">
        <w:rPr>
          <w:rFonts w:ascii="Bookman Old Style" w:hAnsi="Bookman Old Style"/>
          <w:sz w:val="17"/>
          <w:highlight w:val="yellow"/>
        </w:rPr>
        <w:softHyphen/>
        <w:t>quirements in § 214.103.</w:t>
      </w:r>
    </w:p>
    <w:p w14:paraId="744D7657" w14:textId="77777777" w:rsidR="00AF1CC4" w:rsidRDefault="00AF1CC4">
      <w:pPr>
        <w:kinsoku w:val="0"/>
        <w:overflowPunct w:val="0"/>
        <w:autoSpaceDE/>
        <w:autoSpaceDN/>
        <w:adjustRightInd/>
        <w:spacing w:before="3" w:line="179" w:lineRule="exact"/>
        <w:ind w:firstLine="144"/>
        <w:jc w:val="both"/>
        <w:textAlignment w:val="baseline"/>
        <w:rPr>
          <w:rFonts w:ascii="Bookman Old Style" w:hAnsi="Bookman Old Style"/>
          <w:sz w:val="17"/>
        </w:rPr>
      </w:pPr>
      <w:r>
        <w:rPr>
          <w:rFonts w:ascii="Bookman Old Style" w:hAnsi="Bookman Old Style"/>
          <w:sz w:val="17"/>
        </w:rPr>
        <w:t xml:space="preserve">(b) </w:t>
      </w:r>
      <w:r>
        <w:rPr>
          <w:rFonts w:ascii="Bookman Old Style" w:hAnsi="Bookman Old Style"/>
          <w:i/>
          <w:sz w:val="17"/>
        </w:rPr>
        <w:t xml:space="preserve">Workload. </w:t>
      </w:r>
      <w:r>
        <w:rPr>
          <w:rFonts w:ascii="Bookman Old Style" w:hAnsi="Bookman Old Style"/>
          <w:sz w:val="17"/>
        </w:rPr>
        <w:t>During each 12-month period, the participating agency must provide housing counseling to at least 30 clients. Agencies that offer only housing counseling services limited to reverse mortgages, including home eq</w:t>
      </w:r>
      <w:r>
        <w:rPr>
          <w:rFonts w:ascii="Bookman Old Style" w:hAnsi="Bookman Old Style"/>
          <w:sz w:val="17"/>
        </w:rPr>
        <w:softHyphen/>
        <w:t>uity conversion mortgages (HECMs), are exempt from this requirement.</w:t>
      </w:r>
    </w:p>
    <w:p w14:paraId="5AC1E496" w14:textId="77777777" w:rsidR="00AF1CC4" w:rsidRDefault="00AF1CC4">
      <w:pPr>
        <w:kinsoku w:val="0"/>
        <w:overflowPunct w:val="0"/>
        <w:autoSpaceDE/>
        <w:autoSpaceDN/>
        <w:adjustRightInd/>
        <w:spacing w:before="5" w:line="179" w:lineRule="exact"/>
        <w:ind w:firstLine="144"/>
        <w:jc w:val="both"/>
        <w:textAlignment w:val="baseline"/>
        <w:rPr>
          <w:rFonts w:ascii="Bookman Old Style" w:hAnsi="Bookman Old Style"/>
          <w:sz w:val="17"/>
        </w:rPr>
      </w:pPr>
      <w:r>
        <w:rPr>
          <w:rFonts w:ascii="Bookman Old Style" w:hAnsi="Bookman Old Style"/>
          <w:sz w:val="17"/>
        </w:rPr>
        <w:t xml:space="preserve">(c) </w:t>
      </w:r>
      <w:r>
        <w:rPr>
          <w:rFonts w:ascii="Bookman Old Style" w:hAnsi="Bookman Old Style"/>
          <w:i/>
          <w:sz w:val="17"/>
        </w:rPr>
        <w:t xml:space="preserve">Reporting. </w:t>
      </w:r>
      <w:r>
        <w:rPr>
          <w:rFonts w:ascii="Bookman Old Style" w:hAnsi="Bookman Old Style"/>
          <w:sz w:val="17"/>
        </w:rPr>
        <w:t>The agency must sub</w:t>
      </w:r>
      <w:r>
        <w:rPr>
          <w:rFonts w:ascii="Bookman Old Style" w:hAnsi="Bookman Old Style"/>
          <w:sz w:val="17"/>
        </w:rPr>
        <w:softHyphen/>
        <w:t>mit to HUD complete, accurate, and timely activity reports, as described in §214.317.</w:t>
      </w:r>
    </w:p>
    <w:p w14:paraId="5B6B276E" w14:textId="77777777" w:rsidR="00AF1CC4" w:rsidRDefault="00AF1CC4">
      <w:pPr>
        <w:kinsoku w:val="0"/>
        <w:overflowPunct w:val="0"/>
        <w:autoSpaceDE/>
        <w:autoSpaceDN/>
        <w:adjustRightInd/>
        <w:spacing w:before="8" w:line="179" w:lineRule="exact"/>
        <w:ind w:firstLine="144"/>
        <w:jc w:val="both"/>
        <w:textAlignment w:val="baseline"/>
        <w:rPr>
          <w:rFonts w:ascii="Bookman Old Style" w:hAnsi="Bookman Old Style"/>
          <w:sz w:val="17"/>
        </w:rPr>
      </w:pPr>
      <w:r>
        <w:rPr>
          <w:rFonts w:ascii="Bookman Old Style" w:hAnsi="Bookman Old Style"/>
          <w:sz w:val="17"/>
        </w:rPr>
        <w:t xml:space="preserve">(d) </w:t>
      </w:r>
      <w:r>
        <w:rPr>
          <w:rFonts w:ascii="Bookman Old Style" w:hAnsi="Bookman Old Style"/>
          <w:i/>
          <w:sz w:val="17"/>
        </w:rPr>
        <w:t xml:space="preserve">Agency's housing counseling work </w:t>
      </w:r>
      <w:r w:rsidRPr="00114509">
        <w:rPr>
          <w:rFonts w:ascii="Bookman Old Style" w:hAnsi="Bookman Old Style"/>
          <w:i/>
          <w:sz w:val="17"/>
          <w:highlight w:val="yellow"/>
        </w:rPr>
        <w:t xml:space="preserve">plan. </w:t>
      </w:r>
      <w:r w:rsidRPr="00114509">
        <w:rPr>
          <w:rFonts w:ascii="Bookman Old Style" w:hAnsi="Bookman Old Style"/>
          <w:sz w:val="17"/>
          <w:highlight w:val="yellow"/>
        </w:rPr>
        <w:t>The agency must implement the housing counseling work plan and dem</w:t>
      </w:r>
      <w:r w:rsidRPr="00114509">
        <w:rPr>
          <w:rFonts w:ascii="Bookman Old Style" w:hAnsi="Bookman Old Style"/>
          <w:sz w:val="17"/>
          <w:highlight w:val="yellow"/>
        </w:rPr>
        <w:softHyphen/>
        <w:t>onstrate reasonable achievement of the outcome objectives approved by HUD, as described in § 214.103(k).</w:t>
      </w:r>
    </w:p>
    <w:p w14:paraId="38D4981A" w14:textId="77777777" w:rsidR="00AF1CC4" w:rsidRDefault="00AF1CC4">
      <w:pPr>
        <w:kinsoku w:val="0"/>
        <w:overflowPunct w:val="0"/>
        <w:autoSpaceDE/>
        <w:autoSpaceDN/>
        <w:adjustRightInd/>
        <w:spacing w:before="14" w:line="179" w:lineRule="exact"/>
        <w:ind w:firstLine="144"/>
        <w:jc w:val="both"/>
        <w:textAlignment w:val="baseline"/>
        <w:rPr>
          <w:rFonts w:ascii="Bookman Old Style" w:hAnsi="Bookman Old Style"/>
          <w:sz w:val="17"/>
        </w:rPr>
      </w:pPr>
      <w:r>
        <w:rPr>
          <w:rFonts w:ascii="Bookman Old Style" w:hAnsi="Bookman Old Style"/>
          <w:sz w:val="17"/>
        </w:rPr>
        <w:t xml:space="preserve">(e) </w:t>
      </w:r>
      <w:r>
        <w:rPr>
          <w:rFonts w:ascii="Bookman Old Style" w:hAnsi="Bookman Old Style"/>
          <w:i/>
          <w:sz w:val="17"/>
        </w:rPr>
        <w:t xml:space="preserve">Client referrals from HUD and other participating agencies. </w:t>
      </w:r>
      <w:r>
        <w:rPr>
          <w:rFonts w:ascii="Bookman Old Style" w:hAnsi="Bookman Old Style"/>
          <w:sz w:val="17"/>
        </w:rPr>
        <w:t>Except as de</w:t>
      </w:r>
      <w:r>
        <w:rPr>
          <w:rFonts w:ascii="Bookman Old Style" w:hAnsi="Bookman Old Style"/>
          <w:sz w:val="17"/>
        </w:rPr>
        <w:softHyphen/>
        <w:t>scribed in this paragraph, all clients who contact the agency as a result of these referrals must be served. In cases where the agency does not offer the unique services requested by the client or does not have sufficient resources, the agency must refer the client to an</w:t>
      </w:r>
      <w:r>
        <w:rPr>
          <w:rFonts w:ascii="Bookman Old Style" w:hAnsi="Bookman Old Style"/>
          <w:sz w:val="17"/>
        </w:rPr>
        <w:softHyphen/>
        <w:t>other participating agency, preferably in the area, or, failing the availability of a participating agency, must make a reasonable effort to refer the client to another agency, that can help the cli</w:t>
      </w:r>
      <w:r>
        <w:rPr>
          <w:rFonts w:ascii="Bookman Old Style" w:hAnsi="Bookman Old Style"/>
          <w:sz w:val="17"/>
        </w:rPr>
        <w:softHyphen/>
        <w:t>ent meet his or her needs.</w:t>
      </w:r>
    </w:p>
    <w:p w14:paraId="4EDC01EC" w14:textId="77777777" w:rsidR="00AF1CC4" w:rsidRDefault="00AF1CC4">
      <w:pPr>
        <w:kinsoku w:val="0"/>
        <w:overflowPunct w:val="0"/>
        <w:autoSpaceDE/>
        <w:autoSpaceDN/>
        <w:adjustRightInd/>
        <w:spacing w:before="5" w:line="178" w:lineRule="exact"/>
        <w:ind w:firstLine="144"/>
        <w:jc w:val="both"/>
        <w:textAlignment w:val="baseline"/>
        <w:rPr>
          <w:rFonts w:ascii="Bookman Old Style" w:hAnsi="Bookman Old Style"/>
          <w:sz w:val="17"/>
        </w:rPr>
      </w:pPr>
      <w:r>
        <w:rPr>
          <w:rFonts w:ascii="Bookman Old Style" w:hAnsi="Bookman Old Style"/>
          <w:sz w:val="17"/>
        </w:rPr>
        <w:t xml:space="preserve">(f) </w:t>
      </w:r>
      <w:r>
        <w:rPr>
          <w:rFonts w:ascii="Bookman Old Style" w:hAnsi="Bookman Old Style"/>
          <w:i/>
          <w:sz w:val="17"/>
        </w:rPr>
        <w:t xml:space="preserve">Conflicts of interest. </w:t>
      </w:r>
      <w:r>
        <w:rPr>
          <w:rFonts w:ascii="Bookman Old Style" w:hAnsi="Bookman Old Style"/>
          <w:sz w:val="17"/>
        </w:rPr>
        <w:t>(1) A director, employee, officer, contractor, or agent of a participating agency shall not en</w:t>
      </w:r>
      <w:r>
        <w:rPr>
          <w:rFonts w:ascii="Bookman Old Style" w:hAnsi="Bookman Old Style"/>
          <w:sz w:val="17"/>
        </w:rPr>
        <w:softHyphen/>
        <w:t>gage in activities that create a real or apparent conflict of interest. Such a conflict would arise if the director, em</w:t>
      </w:r>
      <w:r>
        <w:rPr>
          <w:rFonts w:ascii="Bookman Old Style" w:hAnsi="Bookman Old Style"/>
          <w:sz w:val="17"/>
        </w:rPr>
        <w:softHyphen/>
        <w:t xml:space="preserve">ployee, officer, contractor, agent, his or her spouse, child, general partner, or organization in which he or she serves </w:t>
      </w:r>
    </w:p>
    <w:p w14:paraId="6942AAD3" w14:textId="77777777" w:rsidR="00AF1CC4" w:rsidRDefault="00AF1CC4">
      <w:pPr>
        <w:kinsoku w:val="0"/>
        <w:overflowPunct w:val="0"/>
        <w:autoSpaceDE/>
        <w:autoSpaceDN/>
        <w:adjustRightInd/>
        <w:spacing w:before="18" w:line="179" w:lineRule="exact"/>
        <w:jc w:val="both"/>
        <w:textAlignment w:val="baseline"/>
        <w:rPr>
          <w:rFonts w:ascii="Bookman Old Style" w:hAnsi="Bookman Old Style"/>
          <w:spacing w:val="4"/>
          <w:sz w:val="17"/>
        </w:rPr>
      </w:pPr>
      <w:r>
        <w:rPr>
          <w:rFonts w:ascii="Bookman Old Style" w:hAnsi="Bookman Old Style"/>
          <w:sz w:val="16"/>
        </w:rPr>
        <w:br w:type="column"/>
      </w:r>
      <w:r>
        <w:rPr>
          <w:rFonts w:ascii="Bookman Old Style" w:hAnsi="Bookman Old Style"/>
          <w:spacing w:val="4"/>
          <w:sz w:val="17"/>
        </w:rPr>
        <w:t>as employee (other than with the par</w:t>
      </w:r>
      <w:r>
        <w:rPr>
          <w:rFonts w:ascii="Bookman Old Style" w:hAnsi="Bookman Old Style"/>
          <w:spacing w:val="4"/>
          <w:sz w:val="17"/>
        </w:rPr>
        <w:softHyphen/>
        <w:t>ticipating counseling agency), or with whom he or she is negotiating future employment, has a direct interest in the client as a landlord, broker, or creditor, or originates, has a financial interest in, services, or underwrites a mortgage on the client's property, owns or purchases a property that the client seeks to rent or purchase, or serves as a collection agent for the cli</w:t>
      </w:r>
      <w:r>
        <w:rPr>
          <w:rFonts w:ascii="Bookman Old Style" w:hAnsi="Bookman Old Style"/>
          <w:spacing w:val="4"/>
          <w:sz w:val="17"/>
        </w:rPr>
        <w:softHyphen/>
        <w:t>ent's mortgage lender, landlord, or creditor.</w:t>
      </w:r>
    </w:p>
    <w:p w14:paraId="3DA056AA" w14:textId="77777777" w:rsidR="00AF1CC4" w:rsidRDefault="00AF1CC4">
      <w:pPr>
        <w:numPr>
          <w:ilvl w:val="0"/>
          <w:numId w:val="1"/>
        </w:numPr>
        <w:kinsoku w:val="0"/>
        <w:overflowPunct w:val="0"/>
        <w:autoSpaceDE/>
        <w:autoSpaceDN/>
        <w:adjustRightInd/>
        <w:spacing w:before="14" w:line="179" w:lineRule="exact"/>
        <w:jc w:val="both"/>
        <w:textAlignment w:val="baseline"/>
        <w:rPr>
          <w:rFonts w:ascii="Bookman Old Style" w:hAnsi="Bookman Old Style"/>
          <w:spacing w:val="1"/>
          <w:sz w:val="17"/>
        </w:rPr>
      </w:pPr>
      <w:r>
        <w:rPr>
          <w:rFonts w:ascii="Bookman Old Style" w:hAnsi="Bookman Old Style"/>
          <w:spacing w:val="1"/>
          <w:sz w:val="17"/>
        </w:rPr>
        <w:t>A director, employee, officer, con</w:t>
      </w:r>
      <w:r>
        <w:rPr>
          <w:rFonts w:ascii="Bookman Old Style" w:hAnsi="Bookman Old Style"/>
          <w:spacing w:val="1"/>
          <w:sz w:val="17"/>
        </w:rPr>
        <w:softHyphen/>
        <w:t>tractor, or agent of a participating agency shall not refer clients to mort</w:t>
      </w:r>
      <w:r>
        <w:rPr>
          <w:rFonts w:ascii="Bookman Old Style" w:hAnsi="Bookman Old Style"/>
          <w:spacing w:val="1"/>
          <w:sz w:val="17"/>
        </w:rPr>
        <w:softHyphen/>
        <w:t>gage lenders, brokers, builders, or real estate sales agents or brokers in which the officer, employee, director, his or her spouse, child, or general partner has a financial interest, neither may they acquire the client's property from the trustee in bankruptcy or accept a fee or any other consideration for re</w:t>
      </w:r>
      <w:r>
        <w:rPr>
          <w:rFonts w:ascii="Bookman Old Style" w:hAnsi="Bookman Old Style"/>
          <w:spacing w:val="1"/>
          <w:sz w:val="17"/>
        </w:rPr>
        <w:softHyphen/>
        <w:t>ferring a client to mortgage lenders, brokers, builders, or real estate sales agents or brokers.</w:t>
      </w:r>
    </w:p>
    <w:p w14:paraId="4B2994D2" w14:textId="77777777" w:rsidR="00AF1CC4" w:rsidRDefault="00AF1CC4">
      <w:pPr>
        <w:numPr>
          <w:ilvl w:val="0"/>
          <w:numId w:val="1"/>
        </w:numPr>
        <w:kinsoku w:val="0"/>
        <w:overflowPunct w:val="0"/>
        <w:autoSpaceDE/>
        <w:autoSpaceDN/>
        <w:adjustRightInd/>
        <w:spacing w:before="15" w:line="179" w:lineRule="exact"/>
        <w:jc w:val="both"/>
        <w:textAlignment w:val="baseline"/>
        <w:rPr>
          <w:rFonts w:ascii="Bookman Old Style" w:hAnsi="Bookman Old Style"/>
          <w:sz w:val="17"/>
        </w:rPr>
      </w:pPr>
      <w:r>
        <w:rPr>
          <w:rFonts w:ascii="Bookman Old Style" w:hAnsi="Bookman Old Style"/>
          <w:sz w:val="17"/>
        </w:rPr>
        <w:t>A director, employee, officer, con</w:t>
      </w:r>
      <w:r>
        <w:rPr>
          <w:rFonts w:ascii="Bookman Old Style" w:hAnsi="Bookman Old Style"/>
          <w:sz w:val="17"/>
        </w:rPr>
        <w:softHyphen/>
        <w:t>tractor, or agent of a participating agency or any member of his or her im</w:t>
      </w:r>
      <w:r>
        <w:rPr>
          <w:rFonts w:ascii="Bookman Old Style" w:hAnsi="Bookman Old Style"/>
          <w:sz w:val="17"/>
        </w:rPr>
        <w:softHyphen/>
        <w:t>mediate family shall avoid any action that might result in, or create the ap</w:t>
      </w:r>
      <w:r>
        <w:rPr>
          <w:rFonts w:ascii="Bookman Old Style" w:hAnsi="Bookman Old Style"/>
          <w:sz w:val="17"/>
        </w:rPr>
        <w:softHyphen/>
        <w:t>pearance of, administering the housing counseling operation for personal or private gain; providing preferential treatment to any organization or per</w:t>
      </w:r>
      <w:r>
        <w:rPr>
          <w:rFonts w:ascii="Bookman Old Style" w:hAnsi="Bookman Old Style"/>
          <w:sz w:val="17"/>
        </w:rPr>
        <w:softHyphen/>
        <w:t>son; or undertaking any action that might compromise the agency's ability to ensure compliance with the require</w:t>
      </w:r>
      <w:r>
        <w:rPr>
          <w:rFonts w:ascii="Bookman Old Style" w:hAnsi="Bookman Old Style"/>
          <w:sz w:val="17"/>
        </w:rPr>
        <w:softHyphen/>
        <w:t>ments of this part and to serve the best interests of its clients.</w:t>
      </w:r>
    </w:p>
    <w:p w14:paraId="153F06B2" w14:textId="77777777" w:rsidR="00AF1CC4" w:rsidRDefault="00AF1CC4">
      <w:pPr>
        <w:numPr>
          <w:ilvl w:val="0"/>
          <w:numId w:val="2"/>
        </w:numPr>
        <w:kinsoku w:val="0"/>
        <w:overflowPunct w:val="0"/>
        <w:autoSpaceDE/>
        <w:autoSpaceDN/>
        <w:adjustRightInd/>
        <w:spacing w:line="179" w:lineRule="exact"/>
        <w:jc w:val="both"/>
        <w:textAlignment w:val="baseline"/>
        <w:rPr>
          <w:rFonts w:ascii="Bookman Old Style" w:hAnsi="Bookman Old Style"/>
          <w:sz w:val="17"/>
        </w:rPr>
      </w:pPr>
      <w:r>
        <w:rPr>
          <w:rFonts w:ascii="Bookman Old Style" w:hAnsi="Bookman Old Style"/>
          <w:sz w:val="17"/>
        </w:rPr>
        <w:t>HUD may investigate agency practices and may take action to inac</w:t>
      </w:r>
      <w:r>
        <w:rPr>
          <w:rFonts w:ascii="Bookman Old Style" w:hAnsi="Bookman Old Style"/>
          <w:sz w:val="17"/>
        </w:rPr>
        <w:softHyphen/>
        <w:t>tivate or terminate the agency's ap</w:t>
      </w:r>
      <w:r>
        <w:rPr>
          <w:rFonts w:ascii="Bookman Old Style" w:hAnsi="Bookman Old Style"/>
          <w:sz w:val="17"/>
        </w:rPr>
        <w:softHyphen/>
        <w:t>proval or participation in the Housing Counseling program.</w:t>
      </w:r>
    </w:p>
    <w:p w14:paraId="2DF09C4D" w14:textId="77777777" w:rsidR="00AF1CC4" w:rsidRDefault="00AF1CC4">
      <w:pPr>
        <w:numPr>
          <w:ilvl w:val="0"/>
          <w:numId w:val="1"/>
        </w:numPr>
        <w:kinsoku w:val="0"/>
        <w:overflowPunct w:val="0"/>
        <w:autoSpaceDE/>
        <w:autoSpaceDN/>
        <w:adjustRightInd/>
        <w:spacing w:before="8" w:line="179" w:lineRule="exact"/>
        <w:jc w:val="both"/>
        <w:textAlignment w:val="baseline"/>
        <w:rPr>
          <w:rFonts w:ascii="Bookman Old Style" w:hAnsi="Bookman Old Style"/>
          <w:sz w:val="17"/>
        </w:rPr>
      </w:pPr>
      <w:r w:rsidRPr="00114509">
        <w:rPr>
          <w:rFonts w:ascii="Bookman Old Style" w:hAnsi="Bookman Old Style"/>
          <w:sz w:val="17"/>
          <w:highlight w:val="yellow"/>
        </w:rPr>
        <w:t>Participating agencies must no</w:t>
      </w:r>
      <w:r w:rsidRPr="00114509">
        <w:rPr>
          <w:rFonts w:ascii="Bookman Old Style" w:hAnsi="Bookman Old Style"/>
          <w:sz w:val="17"/>
          <w:highlight w:val="yellow"/>
        </w:rPr>
        <w:softHyphen/>
        <w:t>tify</w:t>
      </w:r>
      <w:r>
        <w:rPr>
          <w:rFonts w:ascii="Bookman Old Style" w:hAnsi="Bookman Old Style"/>
          <w:sz w:val="17"/>
        </w:rPr>
        <w:t xml:space="preserve"> </w:t>
      </w:r>
      <w:r w:rsidRPr="00114509">
        <w:rPr>
          <w:rFonts w:ascii="Bookman Old Style" w:hAnsi="Bookman Old Style"/>
          <w:sz w:val="17"/>
          <w:highlight w:val="yellow"/>
        </w:rPr>
        <w:t>HUD of conflicts of interest not later than 15 calendar days after the conflict occurred and report to HUD on the corrective action taken to cure the immediate, and avoid future, conflicts.</w:t>
      </w:r>
    </w:p>
    <w:p w14:paraId="02A91450" w14:textId="77777777" w:rsidR="00AF1CC4" w:rsidRDefault="00AF1CC4">
      <w:pPr>
        <w:kinsoku w:val="0"/>
        <w:overflowPunct w:val="0"/>
        <w:autoSpaceDE/>
        <w:autoSpaceDN/>
        <w:adjustRightInd/>
        <w:spacing w:before="10" w:line="178" w:lineRule="exact"/>
        <w:ind w:firstLine="144"/>
        <w:jc w:val="both"/>
        <w:textAlignment w:val="baseline"/>
        <w:rPr>
          <w:rFonts w:ascii="Bookman Old Style" w:hAnsi="Bookman Old Style"/>
          <w:spacing w:val="4"/>
          <w:sz w:val="17"/>
        </w:rPr>
      </w:pPr>
      <w:r>
        <w:rPr>
          <w:rFonts w:ascii="Bookman Old Style" w:hAnsi="Bookman Old Style"/>
          <w:i/>
          <w:spacing w:val="4"/>
          <w:sz w:val="17"/>
        </w:rPr>
        <w:t xml:space="preserve">(g) Disclosure requirements. </w:t>
      </w:r>
      <w:r>
        <w:rPr>
          <w:rFonts w:ascii="Bookman Old Style" w:hAnsi="Bookman Old Style"/>
          <w:spacing w:val="4"/>
          <w:sz w:val="17"/>
        </w:rPr>
        <w:t>A partici</w:t>
      </w:r>
      <w:r>
        <w:rPr>
          <w:rFonts w:ascii="Bookman Old Style" w:hAnsi="Bookman Old Style"/>
          <w:spacing w:val="4"/>
          <w:sz w:val="17"/>
        </w:rPr>
        <w:softHyphen/>
        <w:t>pating agency must provide to all cli</w:t>
      </w:r>
      <w:r>
        <w:rPr>
          <w:rFonts w:ascii="Bookman Old Style" w:hAnsi="Bookman Old Style"/>
          <w:spacing w:val="4"/>
          <w:sz w:val="17"/>
        </w:rPr>
        <w:softHyphen/>
        <w:t>ents a disclosure statement that ex</w:t>
      </w:r>
      <w:r>
        <w:rPr>
          <w:rFonts w:ascii="Bookman Old Style" w:hAnsi="Bookman Old Style"/>
          <w:spacing w:val="4"/>
          <w:sz w:val="17"/>
        </w:rPr>
        <w:softHyphen/>
        <w:t>plicitly describes the various types of services provided by the agency and any financial relationships between this agency and any other industry</w:t>
      </w:r>
    </w:p>
    <w:p w14:paraId="2B7CE87A" w14:textId="77777777" w:rsidR="00AF1CC4" w:rsidRDefault="00AF1CC4">
      <w:pPr>
        <w:widowControl/>
        <w:rPr>
          <w:sz w:val="24"/>
        </w:rPr>
        <w:sectPr w:rsidR="00AF1CC4">
          <w:type w:val="continuous"/>
          <w:pgSz w:w="12240" w:h="15840"/>
          <w:pgMar w:top="3160" w:right="2623" w:bottom="864" w:left="2634" w:header="720" w:footer="720" w:gutter="0"/>
          <w:cols w:num="2" w:space="720" w:equalWidth="0">
            <w:col w:w="3380" w:space="223"/>
            <w:col w:w="3380"/>
          </w:cols>
          <w:noEndnote/>
        </w:sectPr>
      </w:pPr>
    </w:p>
    <w:p w14:paraId="71EF58A0" w14:textId="77777777" w:rsidR="00AF1CC4" w:rsidRDefault="00AF1CC4">
      <w:pPr>
        <w:kinsoku w:val="0"/>
        <w:overflowPunct w:val="0"/>
        <w:autoSpaceDE/>
        <w:autoSpaceDN/>
        <w:adjustRightInd/>
        <w:spacing w:before="196" w:line="215" w:lineRule="exact"/>
        <w:jc w:val="center"/>
        <w:textAlignment w:val="baseline"/>
        <w:rPr>
          <w:rFonts w:ascii="Arial" w:hAnsi="Arial"/>
          <w:spacing w:val="29"/>
          <w:sz w:val="18"/>
        </w:rPr>
      </w:pPr>
      <w:r>
        <w:rPr>
          <w:rFonts w:ascii="Arial" w:hAnsi="Arial"/>
          <w:spacing w:val="29"/>
          <w:sz w:val="18"/>
        </w:rPr>
        <w:t>305</w:t>
      </w:r>
    </w:p>
    <w:p w14:paraId="0627EDD6" w14:textId="77777777" w:rsidR="00AF1CC4" w:rsidRDefault="00AF1CC4">
      <w:pPr>
        <w:widowControl/>
        <w:rPr>
          <w:sz w:val="24"/>
        </w:rPr>
        <w:sectPr w:rsidR="00AF1CC4">
          <w:type w:val="continuous"/>
          <w:pgSz w:w="12240" w:h="15840"/>
          <w:pgMar w:top="3160" w:right="2623" w:bottom="864" w:left="2634" w:header="720" w:footer="720" w:gutter="0"/>
          <w:cols w:space="720"/>
          <w:noEndnote/>
        </w:sectPr>
      </w:pPr>
    </w:p>
    <w:p w14:paraId="44DBDA06" w14:textId="77777777" w:rsidR="00AF1CC4" w:rsidRDefault="00AF1CC4">
      <w:pPr>
        <w:tabs>
          <w:tab w:val="right" w:pos="6984"/>
        </w:tabs>
        <w:kinsoku w:val="0"/>
        <w:overflowPunct w:val="0"/>
        <w:autoSpaceDE/>
        <w:autoSpaceDN/>
        <w:adjustRightInd/>
        <w:spacing w:before="26" w:after="178" w:line="184" w:lineRule="exact"/>
        <w:textAlignment w:val="baseline"/>
        <w:rPr>
          <w:rFonts w:ascii="Tahoma" w:hAnsi="Tahoma"/>
          <w:b/>
          <w:sz w:val="17"/>
        </w:rPr>
      </w:pPr>
      <w:r>
        <w:rPr>
          <w:rFonts w:ascii="Tahoma" w:hAnsi="Tahoma"/>
          <w:b/>
          <w:sz w:val="17"/>
        </w:rPr>
        <w:lastRenderedPageBreak/>
        <w:t>§214.305</w:t>
      </w:r>
      <w:r>
        <w:rPr>
          <w:rFonts w:ascii="Tahoma" w:hAnsi="Tahoma"/>
          <w:b/>
          <w:sz w:val="17"/>
        </w:rPr>
        <w:tab/>
        <w:t>24 CFR Ch. 11 (4-1-10 Edition)</w:t>
      </w:r>
    </w:p>
    <w:p w14:paraId="4147E342" w14:textId="77777777" w:rsidR="00AF1CC4" w:rsidRDefault="00AF1CC4">
      <w:pPr>
        <w:widowControl/>
        <w:rPr>
          <w:sz w:val="24"/>
        </w:rPr>
        <w:sectPr w:rsidR="00AF1CC4">
          <w:pgSz w:w="12240" w:h="15840"/>
          <w:pgMar w:top="3140" w:right="2628" w:bottom="864" w:left="2629" w:header="720" w:footer="720" w:gutter="0"/>
          <w:cols w:space="720"/>
          <w:noEndnote/>
        </w:sectPr>
      </w:pPr>
    </w:p>
    <w:p w14:paraId="7DE634F6" w14:textId="77777777" w:rsidR="00AF1CC4" w:rsidRDefault="00AF1CC4">
      <w:pPr>
        <w:kinsoku w:val="0"/>
        <w:overflowPunct w:val="0"/>
        <w:autoSpaceDE/>
        <w:autoSpaceDN/>
        <w:adjustRightInd/>
        <w:spacing w:before="18" w:line="185" w:lineRule="exact"/>
        <w:jc w:val="both"/>
        <w:textAlignment w:val="baseline"/>
        <w:rPr>
          <w:rFonts w:ascii="Bookman Old Style" w:hAnsi="Bookman Old Style"/>
          <w:spacing w:val="2"/>
          <w:sz w:val="17"/>
        </w:rPr>
      </w:pPr>
      <w:r>
        <w:rPr>
          <w:rFonts w:ascii="Bookman Old Style" w:hAnsi="Bookman Old Style"/>
          <w:spacing w:val="2"/>
          <w:sz w:val="17"/>
        </w:rPr>
        <w:t>partners. The disclosure must clearly state that the client is not obligated to receive any other services offered by the organization or its exclusive part</w:t>
      </w:r>
      <w:r>
        <w:rPr>
          <w:rFonts w:ascii="Bookman Old Style" w:hAnsi="Bookman Old Style"/>
          <w:spacing w:val="2"/>
          <w:sz w:val="17"/>
        </w:rPr>
        <w:softHyphen/>
        <w:t>ners. Furthermore, the agency must provide information on alternative services, programs, and products.</w:t>
      </w:r>
    </w:p>
    <w:p w14:paraId="038AC758" w14:textId="77777777" w:rsidR="00AF1CC4" w:rsidRDefault="00AF1CC4">
      <w:pPr>
        <w:numPr>
          <w:ilvl w:val="0"/>
          <w:numId w:val="3"/>
        </w:numPr>
        <w:kinsoku w:val="0"/>
        <w:overflowPunct w:val="0"/>
        <w:autoSpaceDE/>
        <w:autoSpaceDN/>
        <w:adjustRightInd/>
        <w:spacing w:before="55" w:line="185" w:lineRule="exact"/>
        <w:jc w:val="both"/>
        <w:textAlignment w:val="baseline"/>
        <w:rPr>
          <w:rFonts w:ascii="Bookman Old Style" w:hAnsi="Bookman Old Style"/>
          <w:sz w:val="17"/>
        </w:rPr>
      </w:pPr>
      <w:r>
        <w:rPr>
          <w:rFonts w:ascii="Bookman Old Style" w:hAnsi="Bookman Old Style"/>
          <w:i/>
          <w:sz w:val="17"/>
        </w:rPr>
        <w:t xml:space="preserve">Staff and supervision. </w:t>
      </w:r>
      <w:r>
        <w:rPr>
          <w:rFonts w:ascii="Bookman Old Style" w:hAnsi="Bookman Old Style"/>
          <w:sz w:val="17"/>
        </w:rPr>
        <w:t>The agency must employ staff trained in housing counseling, and at least half the coun</w:t>
      </w:r>
      <w:r>
        <w:rPr>
          <w:rFonts w:ascii="Bookman Old Style" w:hAnsi="Bookman Old Style"/>
          <w:sz w:val="17"/>
        </w:rPr>
        <w:softHyphen/>
        <w:t>selors must have at least 6 months of experience in the job they will perform in the agency's Housing Counseling program. Supervisors of the housing counselors must periodically monitor the work of the housing counselors by reviewing client files with the housing counselor to determine the adequacy and effectiveness of the housing coun</w:t>
      </w:r>
      <w:r>
        <w:rPr>
          <w:rFonts w:ascii="Bookman Old Style" w:hAnsi="Bookman Old Style"/>
          <w:sz w:val="17"/>
        </w:rPr>
        <w:softHyphen/>
        <w:t>seling. The agency must document these monitoring activities and make the documentation available to HUD upon request.</w:t>
      </w:r>
    </w:p>
    <w:p w14:paraId="7E0E25C0" w14:textId="77777777" w:rsidR="00AF1CC4" w:rsidRDefault="00AF1CC4">
      <w:pPr>
        <w:numPr>
          <w:ilvl w:val="0"/>
          <w:numId w:val="3"/>
        </w:numPr>
        <w:kinsoku w:val="0"/>
        <w:overflowPunct w:val="0"/>
        <w:autoSpaceDE/>
        <w:autoSpaceDN/>
        <w:adjustRightInd/>
        <w:spacing w:before="25" w:line="185" w:lineRule="exact"/>
        <w:jc w:val="both"/>
        <w:textAlignment w:val="baseline"/>
        <w:rPr>
          <w:rFonts w:ascii="Bookman Old Style" w:hAnsi="Bookman Old Style"/>
          <w:sz w:val="17"/>
        </w:rPr>
      </w:pPr>
      <w:r>
        <w:rPr>
          <w:rFonts w:ascii="Bookman Old Style" w:hAnsi="Bookman Old Style"/>
          <w:i/>
          <w:sz w:val="17"/>
        </w:rPr>
        <w:t xml:space="preserve">Funding. </w:t>
      </w:r>
      <w:r>
        <w:rPr>
          <w:rFonts w:ascii="Bookman Old Style" w:hAnsi="Bookman Old Style"/>
          <w:sz w:val="17"/>
        </w:rPr>
        <w:t>The agency must main</w:t>
      </w:r>
      <w:r>
        <w:rPr>
          <w:rFonts w:ascii="Bookman Old Style" w:hAnsi="Bookman Old Style"/>
          <w:sz w:val="17"/>
        </w:rPr>
        <w:softHyphen/>
        <w:t>tain a level of funds that enables it to provide housing counseling to at least the required workload of clients every year, whether or not the agency re</w:t>
      </w:r>
      <w:r>
        <w:rPr>
          <w:rFonts w:ascii="Bookman Old Style" w:hAnsi="Bookman Old Style"/>
          <w:sz w:val="17"/>
        </w:rPr>
        <w:softHyphen/>
        <w:t>ceives HUD funding.</w:t>
      </w:r>
    </w:p>
    <w:p w14:paraId="7FCB2C16" w14:textId="77777777" w:rsidR="00AF1CC4" w:rsidRPr="00114509" w:rsidRDefault="00AF1CC4">
      <w:pPr>
        <w:kinsoku w:val="0"/>
        <w:overflowPunct w:val="0"/>
        <w:autoSpaceDE/>
        <w:autoSpaceDN/>
        <w:adjustRightInd/>
        <w:spacing w:before="159" w:line="184" w:lineRule="exact"/>
        <w:textAlignment w:val="baseline"/>
        <w:rPr>
          <w:rFonts w:ascii="Bookman Old Style" w:hAnsi="Bookman Old Style"/>
          <w:b/>
          <w:spacing w:val="-5"/>
          <w:sz w:val="17"/>
          <w:highlight w:val="yellow"/>
        </w:rPr>
      </w:pPr>
      <w:r>
        <w:rPr>
          <w:rFonts w:ascii="Bookman Old Style" w:hAnsi="Bookman Old Style"/>
          <w:b/>
          <w:spacing w:val="-5"/>
          <w:sz w:val="17"/>
        </w:rPr>
        <w:t xml:space="preserve">§ </w:t>
      </w:r>
      <w:r w:rsidRPr="00114509">
        <w:rPr>
          <w:rFonts w:ascii="Bookman Old Style" w:hAnsi="Bookman Old Style"/>
          <w:b/>
          <w:spacing w:val="-5"/>
          <w:sz w:val="17"/>
          <w:highlight w:val="yellow"/>
        </w:rPr>
        <w:t>214.305 Agency profile changes.</w:t>
      </w:r>
    </w:p>
    <w:p w14:paraId="30673337" w14:textId="77777777" w:rsidR="00AF1CC4" w:rsidRPr="00114509" w:rsidRDefault="00AF1CC4">
      <w:pPr>
        <w:kinsoku w:val="0"/>
        <w:overflowPunct w:val="0"/>
        <w:autoSpaceDE/>
        <w:autoSpaceDN/>
        <w:adjustRightInd/>
        <w:spacing w:before="67" w:line="185" w:lineRule="exact"/>
        <w:ind w:firstLine="144"/>
        <w:textAlignment w:val="baseline"/>
        <w:rPr>
          <w:rFonts w:ascii="Bookman Old Style" w:hAnsi="Bookman Old Style"/>
          <w:sz w:val="17"/>
          <w:highlight w:val="yellow"/>
        </w:rPr>
      </w:pPr>
      <w:r w:rsidRPr="00114509">
        <w:rPr>
          <w:rFonts w:ascii="Bookman Old Style" w:hAnsi="Bookman Old Style"/>
          <w:sz w:val="17"/>
          <w:highlight w:val="yellow"/>
        </w:rPr>
        <w:t>Participating agencies must notify HUD within 15 days when any of the following occurs:</w:t>
      </w:r>
    </w:p>
    <w:p w14:paraId="02249C20" w14:textId="77777777" w:rsidR="00AF1CC4" w:rsidRPr="00114509" w:rsidRDefault="00AF1CC4">
      <w:pPr>
        <w:numPr>
          <w:ilvl w:val="0"/>
          <w:numId w:val="4"/>
        </w:numPr>
        <w:kinsoku w:val="0"/>
        <w:overflowPunct w:val="0"/>
        <w:autoSpaceDE/>
        <w:autoSpaceDN/>
        <w:adjustRightInd/>
        <w:spacing w:before="14" w:line="185" w:lineRule="exact"/>
        <w:textAlignment w:val="baseline"/>
        <w:rPr>
          <w:rFonts w:ascii="Bookman Old Style" w:hAnsi="Bookman Old Style"/>
          <w:sz w:val="17"/>
          <w:highlight w:val="yellow"/>
        </w:rPr>
      </w:pPr>
      <w:r w:rsidRPr="00114509">
        <w:rPr>
          <w:rFonts w:ascii="Bookman Old Style" w:hAnsi="Bookman Old Style"/>
          <w:sz w:val="17"/>
          <w:highlight w:val="yellow"/>
        </w:rPr>
        <w:t>The agency loses or changes its tax-exempt, nonprofit status.</w:t>
      </w:r>
    </w:p>
    <w:p w14:paraId="5186349E" w14:textId="77777777" w:rsidR="00AF1CC4" w:rsidRPr="00114509" w:rsidRDefault="00AF1CC4">
      <w:pPr>
        <w:numPr>
          <w:ilvl w:val="0"/>
          <w:numId w:val="4"/>
        </w:numPr>
        <w:kinsoku w:val="0"/>
        <w:overflowPunct w:val="0"/>
        <w:autoSpaceDE/>
        <w:autoSpaceDN/>
        <w:adjustRightInd/>
        <w:spacing w:before="8" w:line="189" w:lineRule="exact"/>
        <w:textAlignment w:val="baseline"/>
        <w:rPr>
          <w:rFonts w:ascii="Bookman Old Style" w:hAnsi="Bookman Old Style"/>
          <w:sz w:val="17"/>
          <w:highlight w:val="yellow"/>
        </w:rPr>
      </w:pPr>
      <w:r w:rsidRPr="00114509">
        <w:rPr>
          <w:rFonts w:ascii="Bookman Old Style" w:hAnsi="Bookman Old Style"/>
          <w:sz w:val="17"/>
          <w:highlight w:val="yellow"/>
        </w:rPr>
        <w:t>The agency no longer complies with local and state requirements.</w:t>
      </w:r>
    </w:p>
    <w:p w14:paraId="249D65B2" w14:textId="77777777" w:rsidR="00AF1CC4" w:rsidRPr="00114509" w:rsidRDefault="00AF1CC4">
      <w:pPr>
        <w:numPr>
          <w:ilvl w:val="0"/>
          <w:numId w:val="4"/>
        </w:numPr>
        <w:kinsoku w:val="0"/>
        <w:overflowPunct w:val="0"/>
        <w:autoSpaceDE/>
        <w:autoSpaceDN/>
        <w:adjustRightInd/>
        <w:spacing w:before="14" w:line="185" w:lineRule="exact"/>
        <w:textAlignment w:val="baseline"/>
        <w:rPr>
          <w:rFonts w:ascii="Bookman Old Style" w:hAnsi="Bookman Old Style"/>
          <w:sz w:val="17"/>
          <w:highlight w:val="yellow"/>
        </w:rPr>
      </w:pPr>
      <w:r w:rsidRPr="00114509">
        <w:rPr>
          <w:rFonts w:ascii="Bookman Old Style" w:hAnsi="Bookman Old Style"/>
          <w:sz w:val="17"/>
          <w:highlight w:val="yellow"/>
        </w:rPr>
        <w:t>Changes occur in any of the items below:</w:t>
      </w:r>
    </w:p>
    <w:p w14:paraId="45533568" w14:textId="77777777" w:rsidR="00AF1CC4" w:rsidRPr="00114509" w:rsidRDefault="00AF1CC4">
      <w:pPr>
        <w:numPr>
          <w:ilvl w:val="0"/>
          <w:numId w:val="5"/>
        </w:numPr>
        <w:kinsoku w:val="0"/>
        <w:overflowPunct w:val="0"/>
        <w:autoSpaceDE/>
        <w:autoSpaceDN/>
        <w:adjustRightInd/>
        <w:spacing w:before="6" w:line="190" w:lineRule="exact"/>
        <w:textAlignment w:val="baseline"/>
        <w:rPr>
          <w:rFonts w:ascii="Bookman Old Style" w:hAnsi="Bookman Old Style"/>
          <w:spacing w:val="1"/>
          <w:sz w:val="17"/>
          <w:highlight w:val="yellow"/>
        </w:rPr>
      </w:pPr>
      <w:r w:rsidRPr="00114509">
        <w:rPr>
          <w:rFonts w:ascii="Bookman Old Style" w:hAnsi="Bookman Old Style"/>
          <w:spacing w:val="1"/>
          <w:sz w:val="17"/>
          <w:highlight w:val="yellow"/>
        </w:rPr>
        <w:t>Address(es) of the agency's main office and the address(es) of its branches and affiliates;</w:t>
      </w:r>
    </w:p>
    <w:p w14:paraId="2434A529" w14:textId="77777777" w:rsidR="00AF1CC4" w:rsidRPr="00114509" w:rsidRDefault="00AF1CC4">
      <w:pPr>
        <w:numPr>
          <w:ilvl w:val="0"/>
          <w:numId w:val="5"/>
        </w:numPr>
        <w:kinsoku w:val="0"/>
        <w:overflowPunct w:val="0"/>
        <w:autoSpaceDE/>
        <w:autoSpaceDN/>
        <w:adjustRightInd/>
        <w:spacing w:before="17" w:line="185" w:lineRule="exact"/>
        <w:jc w:val="both"/>
        <w:textAlignment w:val="baseline"/>
        <w:rPr>
          <w:rFonts w:ascii="Bookman Old Style" w:hAnsi="Bookman Old Style"/>
          <w:sz w:val="17"/>
          <w:highlight w:val="yellow"/>
        </w:rPr>
      </w:pPr>
      <w:r w:rsidRPr="00114509">
        <w:rPr>
          <w:rFonts w:ascii="Bookman Old Style" w:hAnsi="Bookman Old Style"/>
          <w:sz w:val="17"/>
          <w:highlight w:val="yellow"/>
        </w:rPr>
        <w:t>Staff personnel responsible for the Housing Counseling program, such as the housing counselors and manage</w:t>
      </w:r>
      <w:r w:rsidRPr="00114509">
        <w:rPr>
          <w:rFonts w:ascii="Bookman Old Style" w:hAnsi="Bookman Old Style"/>
          <w:sz w:val="17"/>
          <w:highlight w:val="yellow"/>
        </w:rPr>
        <w:softHyphen/>
        <w:t>ment staff;</w:t>
      </w:r>
    </w:p>
    <w:p w14:paraId="12B0C939" w14:textId="77777777" w:rsidR="00AF1CC4" w:rsidRPr="00114509" w:rsidRDefault="00AF1CC4">
      <w:pPr>
        <w:numPr>
          <w:ilvl w:val="0"/>
          <w:numId w:val="5"/>
        </w:numPr>
        <w:kinsoku w:val="0"/>
        <w:overflowPunct w:val="0"/>
        <w:autoSpaceDE/>
        <w:autoSpaceDN/>
        <w:adjustRightInd/>
        <w:spacing w:before="14" w:line="185" w:lineRule="exact"/>
        <w:jc w:val="both"/>
        <w:textAlignment w:val="baseline"/>
        <w:rPr>
          <w:rFonts w:ascii="Bookman Old Style" w:hAnsi="Bookman Old Style"/>
          <w:sz w:val="17"/>
          <w:highlight w:val="yellow"/>
        </w:rPr>
      </w:pPr>
      <w:r w:rsidRPr="00114509">
        <w:rPr>
          <w:rFonts w:ascii="Bookman Old Style" w:hAnsi="Bookman Old Style"/>
          <w:sz w:val="17"/>
          <w:highlight w:val="yellow"/>
        </w:rPr>
        <w:t>Telephone numbers of the main office, affiliates, and branches; or</w:t>
      </w:r>
    </w:p>
    <w:p w14:paraId="23245372" w14:textId="77777777" w:rsidR="00AF1CC4" w:rsidRPr="00114509" w:rsidRDefault="00AF1CC4">
      <w:pPr>
        <w:numPr>
          <w:ilvl w:val="0"/>
          <w:numId w:val="5"/>
        </w:numPr>
        <w:kinsoku w:val="0"/>
        <w:overflowPunct w:val="0"/>
        <w:autoSpaceDE/>
        <w:autoSpaceDN/>
        <w:adjustRightInd/>
        <w:spacing w:before="28" w:line="185" w:lineRule="exact"/>
        <w:jc w:val="both"/>
        <w:textAlignment w:val="baseline"/>
        <w:rPr>
          <w:rFonts w:ascii="Bookman Old Style" w:hAnsi="Bookman Old Style"/>
          <w:spacing w:val="2"/>
          <w:sz w:val="17"/>
          <w:highlight w:val="yellow"/>
        </w:rPr>
      </w:pPr>
      <w:r w:rsidRPr="00114509">
        <w:rPr>
          <w:rFonts w:ascii="Bookman Old Style" w:hAnsi="Bookman Old Style"/>
          <w:spacing w:val="2"/>
          <w:sz w:val="17"/>
          <w:highlight w:val="yellow"/>
        </w:rPr>
        <w:t>Any other aspect of the agency's purpose or functions that may impair its ability to comply with these regula</w:t>
      </w:r>
      <w:r w:rsidRPr="00114509">
        <w:rPr>
          <w:rFonts w:ascii="Bookman Old Style" w:hAnsi="Bookman Old Style"/>
          <w:spacing w:val="2"/>
          <w:sz w:val="17"/>
          <w:highlight w:val="yellow"/>
        </w:rPr>
        <w:softHyphen/>
        <w:t>tions or the applicable grant agree</w:t>
      </w:r>
      <w:r w:rsidRPr="00114509">
        <w:rPr>
          <w:rFonts w:ascii="Bookman Old Style" w:hAnsi="Bookman Old Style"/>
          <w:spacing w:val="2"/>
          <w:sz w:val="17"/>
          <w:highlight w:val="yellow"/>
        </w:rPr>
        <w:softHyphen/>
        <w:t>ment (e.g., lack of qualified housing counselors).</w:t>
      </w:r>
    </w:p>
    <w:p w14:paraId="43A1F7AF" w14:textId="77777777" w:rsidR="00AF1CC4" w:rsidRDefault="00AF1CC4">
      <w:pPr>
        <w:kinsoku w:val="0"/>
        <w:overflowPunct w:val="0"/>
        <w:autoSpaceDE/>
        <w:autoSpaceDN/>
        <w:adjustRightInd/>
        <w:spacing w:before="26" w:line="184" w:lineRule="exact"/>
        <w:textAlignment w:val="baseline"/>
        <w:rPr>
          <w:rFonts w:ascii="Bookman Old Style" w:hAnsi="Bookman Old Style"/>
          <w:b/>
          <w:spacing w:val="-5"/>
          <w:sz w:val="17"/>
        </w:rPr>
      </w:pPr>
      <w:r>
        <w:rPr>
          <w:rFonts w:ascii="Bookman Old Style" w:hAnsi="Bookman Old Style"/>
          <w:spacing w:val="2"/>
          <w:sz w:val="16"/>
        </w:rPr>
        <w:br w:type="column"/>
      </w:r>
      <w:r>
        <w:rPr>
          <w:rFonts w:ascii="Bookman Old Style" w:hAnsi="Bookman Old Style"/>
          <w:b/>
          <w:spacing w:val="-5"/>
          <w:sz w:val="17"/>
        </w:rPr>
        <w:t>§ 214.307 Performance review.</w:t>
      </w:r>
    </w:p>
    <w:p w14:paraId="37A7C20D" w14:textId="77777777" w:rsidR="00AF1CC4" w:rsidRDefault="00AF1CC4">
      <w:pPr>
        <w:numPr>
          <w:ilvl w:val="0"/>
          <w:numId w:val="6"/>
        </w:numPr>
        <w:kinsoku w:val="0"/>
        <w:overflowPunct w:val="0"/>
        <w:autoSpaceDE/>
        <w:autoSpaceDN/>
        <w:adjustRightInd/>
        <w:spacing w:before="64" w:line="180" w:lineRule="exact"/>
        <w:textAlignment w:val="baseline"/>
        <w:rPr>
          <w:rFonts w:ascii="Bookman Old Style" w:hAnsi="Bookman Old Style"/>
          <w:sz w:val="17"/>
        </w:rPr>
      </w:pPr>
      <w:r>
        <w:rPr>
          <w:rFonts w:ascii="Bookman Old Style" w:hAnsi="Bookman Old Style"/>
          <w:sz w:val="17"/>
        </w:rPr>
        <w:t>HUD may conduct periodic on-site or desk performance reviews of all par</w:t>
      </w:r>
      <w:r>
        <w:rPr>
          <w:rFonts w:ascii="Bookman Old Style" w:hAnsi="Bookman Old Style"/>
          <w:sz w:val="17"/>
        </w:rPr>
        <w:softHyphen/>
        <w:t>ticipating agencies.</w:t>
      </w:r>
    </w:p>
    <w:p w14:paraId="39CC3F85" w14:textId="77777777" w:rsidR="00AF1CC4" w:rsidRPr="00114509" w:rsidRDefault="00AF1CC4">
      <w:pPr>
        <w:numPr>
          <w:ilvl w:val="0"/>
          <w:numId w:val="6"/>
        </w:numPr>
        <w:kinsoku w:val="0"/>
        <w:overflowPunct w:val="0"/>
        <w:autoSpaceDE/>
        <w:autoSpaceDN/>
        <w:adjustRightInd/>
        <w:spacing w:before="7" w:line="180" w:lineRule="exact"/>
        <w:jc w:val="both"/>
        <w:textAlignment w:val="baseline"/>
        <w:rPr>
          <w:rFonts w:ascii="Bookman Old Style" w:hAnsi="Bookman Old Style"/>
          <w:spacing w:val="3"/>
          <w:sz w:val="17"/>
          <w:highlight w:val="yellow"/>
        </w:rPr>
      </w:pPr>
      <w:r w:rsidRPr="00114509">
        <w:rPr>
          <w:rFonts w:ascii="Bookman Old Style" w:hAnsi="Bookman Old Style"/>
          <w:spacing w:val="3"/>
          <w:sz w:val="17"/>
          <w:highlight w:val="yellow"/>
        </w:rPr>
        <w:t>The performance review will con</w:t>
      </w:r>
      <w:r w:rsidRPr="00114509">
        <w:rPr>
          <w:rFonts w:ascii="Bookman Old Style" w:hAnsi="Bookman Old Style"/>
          <w:spacing w:val="3"/>
          <w:sz w:val="17"/>
          <w:highlight w:val="yellow"/>
        </w:rPr>
        <w:softHyphen/>
        <w:t>sist of a review of the participating agency's compliance with all program requirements, including applicable civil rights requirements, and the agency's level of success in delivering counseling services.</w:t>
      </w:r>
    </w:p>
    <w:p w14:paraId="6BADA023" w14:textId="77777777" w:rsidR="00AF1CC4" w:rsidRDefault="00AF1CC4">
      <w:pPr>
        <w:kinsoku w:val="0"/>
        <w:overflowPunct w:val="0"/>
        <w:autoSpaceDE/>
        <w:autoSpaceDN/>
        <w:adjustRightInd/>
        <w:spacing w:before="175" w:line="158" w:lineRule="exact"/>
        <w:ind w:left="288" w:hanging="288"/>
        <w:jc w:val="both"/>
        <w:textAlignment w:val="baseline"/>
        <w:rPr>
          <w:rFonts w:ascii="Bookman Old Style" w:hAnsi="Bookman Old Style"/>
          <w:b/>
          <w:sz w:val="17"/>
        </w:rPr>
      </w:pPr>
      <w:r>
        <w:rPr>
          <w:rFonts w:ascii="Bookman Old Style" w:hAnsi="Bookman Old Style"/>
          <w:b/>
          <w:sz w:val="17"/>
        </w:rPr>
        <w:t>§214.309 Reapproval and disapproval based on performance review.</w:t>
      </w:r>
    </w:p>
    <w:p w14:paraId="7EE56236" w14:textId="77777777" w:rsidR="00AF1CC4" w:rsidRDefault="00AF1CC4">
      <w:pPr>
        <w:kinsoku w:val="0"/>
        <w:overflowPunct w:val="0"/>
        <w:autoSpaceDE/>
        <w:autoSpaceDN/>
        <w:adjustRightInd/>
        <w:spacing w:before="67" w:line="179" w:lineRule="exact"/>
        <w:ind w:firstLine="144"/>
        <w:jc w:val="both"/>
        <w:textAlignment w:val="baseline"/>
        <w:rPr>
          <w:rFonts w:ascii="Bookman Old Style" w:hAnsi="Bookman Old Style"/>
          <w:sz w:val="17"/>
        </w:rPr>
      </w:pPr>
      <w:r>
        <w:rPr>
          <w:rFonts w:ascii="Bookman Old Style" w:hAnsi="Bookman Old Style"/>
          <w:sz w:val="17"/>
        </w:rPr>
        <w:t>Based on the performance review, HUD may determine whether to renew the approval unconditionally or condi</w:t>
      </w:r>
      <w:r>
        <w:rPr>
          <w:rFonts w:ascii="Bookman Old Style" w:hAnsi="Bookman Old Style"/>
          <w:sz w:val="17"/>
        </w:rPr>
        <w:softHyphen/>
        <w:t>tionally, temporarily change status to inactive, or terminate approval or par</w:t>
      </w:r>
      <w:r>
        <w:rPr>
          <w:rFonts w:ascii="Bookman Old Style" w:hAnsi="Bookman Old Style"/>
          <w:sz w:val="17"/>
        </w:rPr>
        <w:softHyphen/>
        <w:t>ticipation of the agency.</w:t>
      </w:r>
    </w:p>
    <w:p w14:paraId="40F5A96E" w14:textId="77777777" w:rsidR="00AF1CC4" w:rsidRDefault="00AF1CC4">
      <w:pPr>
        <w:numPr>
          <w:ilvl w:val="0"/>
          <w:numId w:val="7"/>
        </w:numPr>
        <w:kinsoku w:val="0"/>
        <w:overflowPunct w:val="0"/>
        <w:autoSpaceDE/>
        <w:autoSpaceDN/>
        <w:adjustRightInd/>
        <w:spacing w:before="11" w:line="179" w:lineRule="exact"/>
        <w:jc w:val="both"/>
        <w:textAlignment w:val="baseline"/>
        <w:rPr>
          <w:rFonts w:ascii="Bookman Old Style" w:hAnsi="Bookman Old Style"/>
          <w:sz w:val="17"/>
        </w:rPr>
      </w:pPr>
      <w:r>
        <w:rPr>
          <w:rFonts w:ascii="Bookman Old Style" w:hAnsi="Bookman Old Style"/>
          <w:i/>
          <w:sz w:val="17"/>
        </w:rPr>
        <w:t xml:space="preserve">Unconditional Reapproval. </w:t>
      </w:r>
      <w:r>
        <w:rPr>
          <w:rFonts w:ascii="Bookman Old Style" w:hAnsi="Bookman Old Style"/>
          <w:sz w:val="17"/>
        </w:rPr>
        <w:t>If the agency is in full compliance with the performance criteria of this part, HUD may reapprove the agency uncondition</w:t>
      </w:r>
      <w:r>
        <w:rPr>
          <w:rFonts w:ascii="Bookman Old Style" w:hAnsi="Bookman Old Style"/>
          <w:sz w:val="17"/>
        </w:rPr>
        <w:softHyphen/>
        <w:t>ally for up to 3 years.</w:t>
      </w:r>
    </w:p>
    <w:p w14:paraId="2B71A586" w14:textId="77777777" w:rsidR="00AF1CC4" w:rsidRDefault="00AF1CC4">
      <w:pPr>
        <w:numPr>
          <w:ilvl w:val="0"/>
          <w:numId w:val="7"/>
        </w:numPr>
        <w:kinsoku w:val="0"/>
        <w:overflowPunct w:val="0"/>
        <w:autoSpaceDE/>
        <w:autoSpaceDN/>
        <w:adjustRightInd/>
        <w:spacing w:before="11" w:line="180" w:lineRule="exact"/>
        <w:jc w:val="both"/>
        <w:textAlignment w:val="baseline"/>
        <w:rPr>
          <w:rFonts w:ascii="Bookman Old Style" w:hAnsi="Bookman Old Style"/>
          <w:sz w:val="17"/>
        </w:rPr>
      </w:pPr>
      <w:r>
        <w:rPr>
          <w:rFonts w:ascii="Bookman Old Style" w:hAnsi="Bookman Old Style"/>
          <w:i/>
          <w:sz w:val="17"/>
        </w:rPr>
        <w:t xml:space="preserve">Conditional Reapproval. </w:t>
      </w:r>
      <w:r>
        <w:rPr>
          <w:rFonts w:ascii="Bookman Old Style" w:hAnsi="Bookman Old Style"/>
          <w:sz w:val="17"/>
        </w:rPr>
        <w:t>If the agency fails to meet the performance criteria, but the failure does not seri</w:t>
      </w:r>
      <w:r>
        <w:rPr>
          <w:rFonts w:ascii="Bookman Old Style" w:hAnsi="Bookman Old Style"/>
          <w:sz w:val="17"/>
        </w:rPr>
        <w:softHyphen/>
        <w:t>ously impair the agency's counseling capability as required in this part, HUD may extend the agency's approval or participation for up to 120 calendar days.</w:t>
      </w:r>
    </w:p>
    <w:p w14:paraId="41E7C0E0" w14:textId="77777777" w:rsidR="00AF1CC4" w:rsidRDefault="00AF1CC4">
      <w:pPr>
        <w:numPr>
          <w:ilvl w:val="0"/>
          <w:numId w:val="7"/>
        </w:numPr>
        <w:kinsoku w:val="0"/>
        <w:overflowPunct w:val="0"/>
        <w:autoSpaceDE/>
        <w:autoSpaceDN/>
        <w:adjustRightInd/>
        <w:spacing w:before="4" w:line="179" w:lineRule="exact"/>
        <w:jc w:val="both"/>
        <w:textAlignment w:val="baseline"/>
        <w:rPr>
          <w:rFonts w:ascii="Bookman Old Style" w:hAnsi="Bookman Old Style"/>
          <w:sz w:val="17"/>
        </w:rPr>
      </w:pPr>
      <w:r>
        <w:rPr>
          <w:rFonts w:ascii="Bookman Old Style" w:hAnsi="Bookman Old Style"/>
          <w:i/>
          <w:sz w:val="17"/>
        </w:rPr>
        <w:t xml:space="preserve">Inactive status. </w:t>
      </w:r>
      <w:r>
        <w:rPr>
          <w:rFonts w:ascii="Bookman Old Style" w:hAnsi="Bookman Old Style"/>
          <w:sz w:val="17"/>
        </w:rPr>
        <w:t>HUD may tempo</w:t>
      </w:r>
      <w:r>
        <w:rPr>
          <w:rFonts w:ascii="Bookman Old Style" w:hAnsi="Bookman Old Style"/>
          <w:sz w:val="17"/>
        </w:rPr>
        <w:softHyphen/>
        <w:t>rarily change an agency's status to in</w:t>
      </w:r>
      <w:r>
        <w:rPr>
          <w:rFonts w:ascii="Bookman Old Style" w:hAnsi="Bookman Old Style"/>
          <w:sz w:val="17"/>
        </w:rPr>
        <w:softHyphen/>
        <w:t>active, as provided in § 214.200.</w:t>
      </w:r>
    </w:p>
    <w:p w14:paraId="72DF17E1" w14:textId="77777777" w:rsidR="00AF1CC4" w:rsidRDefault="00AF1CC4">
      <w:pPr>
        <w:numPr>
          <w:ilvl w:val="0"/>
          <w:numId w:val="7"/>
        </w:numPr>
        <w:kinsoku w:val="0"/>
        <w:overflowPunct w:val="0"/>
        <w:autoSpaceDE/>
        <w:autoSpaceDN/>
        <w:adjustRightInd/>
        <w:spacing w:before="9" w:line="180" w:lineRule="exact"/>
        <w:jc w:val="both"/>
        <w:textAlignment w:val="baseline"/>
        <w:rPr>
          <w:rFonts w:ascii="Bookman Old Style" w:hAnsi="Bookman Old Style"/>
          <w:sz w:val="17"/>
        </w:rPr>
      </w:pPr>
      <w:r>
        <w:rPr>
          <w:rFonts w:ascii="Bookman Old Style" w:hAnsi="Bookman Old Style"/>
          <w:i/>
          <w:sz w:val="17"/>
        </w:rPr>
        <w:t xml:space="preserve">Follow-up Review. </w:t>
      </w:r>
      <w:r>
        <w:rPr>
          <w:rFonts w:ascii="Bookman Old Style" w:hAnsi="Bookman Old Style"/>
          <w:sz w:val="17"/>
        </w:rPr>
        <w:t>HUD may con</w:t>
      </w:r>
      <w:r>
        <w:rPr>
          <w:rFonts w:ascii="Bookman Old Style" w:hAnsi="Bookman Old Style"/>
          <w:sz w:val="17"/>
        </w:rPr>
        <w:softHyphen/>
        <w:t>duct a follow-up review to determine if the deficiencies have been corrected.</w:t>
      </w:r>
    </w:p>
    <w:p w14:paraId="73A41004" w14:textId="77777777" w:rsidR="00AF1CC4" w:rsidRDefault="00AF1CC4">
      <w:pPr>
        <w:numPr>
          <w:ilvl w:val="0"/>
          <w:numId w:val="7"/>
        </w:numPr>
        <w:kinsoku w:val="0"/>
        <w:overflowPunct w:val="0"/>
        <w:autoSpaceDE/>
        <w:autoSpaceDN/>
        <w:adjustRightInd/>
        <w:spacing w:before="11" w:line="179" w:lineRule="exact"/>
        <w:jc w:val="both"/>
        <w:textAlignment w:val="baseline"/>
        <w:rPr>
          <w:rFonts w:ascii="Bookman Old Style" w:hAnsi="Bookman Old Style"/>
          <w:spacing w:val="3"/>
          <w:sz w:val="17"/>
        </w:rPr>
      </w:pPr>
      <w:r>
        <w:rPr>
          <w:rFonts w:ascii="Bookman Old Style" w:hAnsi="Bookman Old Style"/>
          <w:i/>
          <w:spacing w:val="3"/>
          <w:sz w:val="17"/>
        </w:rPr>
        <w:t xml:space="preserve">Termination of HUD Approval. </w:t>
      </w:r>
      <w:r>
        <w:rPr>
          <w:rFonts w:ascii="Bookman Old Style" w:hAnsi="Bookman Old Style"/>
          <w:spacing w:val="3"/>
          <w:sz w:val="17"/>
        </w:rPr>
        <w:t>When HUD determines that the agen</w:t>
      </w:r>
      <w:r>
        <w:rPr>
          <w:rFonts w:ascii="Bookman Old Style" w:hAnsi="Bookman Old Style"/>
          <w:spacing w:val="3"/>
          <w:sz w:val="17"/>
        </w:rPr>
        <w:softHyphen/>
        <w:t>cy's program deficiencies seriously im</w:t>
      </w:r>
      <w:r>
        <w:rPr>
          <w:rFonts w:ascii="Bookman Old Style" w:hAnsi="Bookman Old Style"/>
          <w:spacing w:val="3"/>
          <w:sz w:val="17"/>
        </w:rPr>
        <w:softHyphen/>
        <w:t>pair the agency's ability to comply with this part, HUD may terminate ap</w:t>
      </w:r>
      <w:r>
        <w:rPr>
          <w:rFonts w:ascii="Bookman Old Style" w:hAnsi="Bookman Old Style"/>
          <w:spacing w:val="3"/>
          <w:sz w:val="17"/>
        </w:rPr>
        <w:softHyphen/>
        <w:t>proval or participation of the agency immediately.</w:t>
      </w:r>
    </w:p>
    <w:p w14:paraId="78075E43" w14:textId="77777777" w:rsidR="00AF1CC4" w:rsidRDefault="00AF1CC4">
      <w:pPr>
        <w:numPr>
          <w:ilvl w:val="0"/>
          <w:numId w:val="7"/>
        </w:numPr>
        <w:kinsoku w:val="0"/>
        <w:overflowPunct w:val="0"/>
        <w:autoSpaceDE/>
        <w:autoSpaceDN/>
        <w:adjustRightInd/>
        <w:spacing w:before="10" w:line="179" w:lineRule="exact"/>
        <w:jc w:val="both"/>
        <w:textAlignment w:val="baseline"/>
        <w:rPr>
          <w:rFonts w:ascii="Bookman Old Style" w:hAnsi="Bookman Old Style"/>
          <w:sz w:val="17"/>
        </w:rPr>
      </w:pPr>
      <w:r>
        <w:rPr>
          <w:rFonts w:ascii="Bookman Old Style" w:hAnsi="Bookman Old Style"/>
          <w:i/>
          <w:sz w:val="17"/>
        </w:rPr>
        <w:t xml:space="preserve">Appeal. </w:t>
      </w:r>
      <w:r>
        <w:rPr>
          <w:rFonts w:ascii="Bookman Old Style" w:hAnsi="Bookman Old Style"/>
          <w:sz w:val="17"/>
        </w:rPr>
        <w:t>If HUD does not reinstate the approval, or terminates participa</w:t>
      </w:r>
      <w:r>
        <w:rPr>
          <w:rFonts w:ascii="Bookman Old Style" w:hAnsi="Bookman Old Style"/>
          <w:sz w:val="17"/>
        </w:rPr>
        <w:softHyphen/>
        <w:t>tion, the agency may file an appeal, as prescribed under § 214.205.</w:t>
      </w:r>
    </w:p>
    <w:p w14:paraId="4DB8376F" w14:textId="77777777" w:rsidR="00AF1CC4" w:rsidRDefault="00AF1CC4">
      <w:pPr>
        <w:kinsoku w:val="0"/>
        <w:overflowPunct w:val="0"/>
        <w:autoSpaceDE/>
        <w:autoSpaceDN/>
        <w:adjustRightInd/>
        <w:spacing w:before="145" w:line="184" w:lineRule="exact"/>
        <w:textAlignment w:val="baseline"/>
        <w:rPr>
          <w:rFonts w:ascii="Bookman Old Style" w:hAnsi="Bookman Old Style"/>
          <w:b/>
          <w:spacing w:val="-6"/>
          <w:sz w:val="17"/>
        </w:rPr>
      </w:pPr>
      <w:r>
        <w:rPr>
          <w:rFonts w:ascii="Bookman Old Style" w:hAnsi="Bookman Old Style"/>
          <w:b/>
          <w:spacing w:val="-6"/>
          <w:sz w:val="17"/>
        </w:rPr>
        <w:t>§ 214.311 Funding.</w:t>
      </w:r>
    </w:p>
    <w:p w14:paraId="2F338A59" w14:textId="77777777" w:rsidR="00AF1CC4" w:rsidRDefault="00AF1CC4">
      <w:pPr>
        <w:kinsoku w:val="0"/>
        <w:overflowPunct w:val="0"/>
        <w:autoSpaceDE/>
        <w:autoSpaceDN/>
        <w:adjustRightInd/>
        <w:spacing w:before="66" w:line="179" w:lineRule="exact"/>
        <w:ind w:firstLine="144"/>
        <w:jc w:val="both"/>
        <w:textAlignment w:val="baseline"/>
        <w:rPr>
          <w:rFonts w:ascii="Bookman Old Style" w:hAnsi="Bookman Old Style"/>
          <w:sz w:val="17"/>
        </w:rPr>
      </w:pPr>
      <w:r>
        <w:rPr>
          <w:rFonts w:ascii="Bookman Old Style" w:hAnsi="Bookman Old Style"/>
          <w:sz w:val="17"/>
        </w:rPr>
        <w:t xml:space="preserve">(a) </w:t>
      </w:r>
      <w:r>
        <w:rPr>
          <w:rFonts w:ascii="Bookman Old Style" w:hAnsi="Bookman Old Style"/>
          <w:i/>
          <w:sz w:val="17"/>
        </w:rPr>
        <w:t xml:space="preserve">HUD funding. </w:t>
      </w:r>
      <w:r>
        <w:rPr>
          <w:rFonts w:ascii="Bookman Old Style" w:hAnsi="Bookman Old Style"/>
          <w:sz w:val="17"/>
        </w:rPr>
        <w:t>HUD approval or program participation does not guar</w:t>
      </w:r>
      <w:r>
        <w:rPr>
          <w:rFonts w:ascii="Bookman Old Style" w:hAnsi="Bookman Old Style"/>
          <w:sz w:val="17"/>
        </w:rPr>
        <w:softHyphen/>
        <w:t>antee funding from HUD. Funding for the Housing Counseling program de</w:t>
      </w:r>
      <w:r>
        <w:rPr>
          <w:rFonts w:ascii="Bookman Old Style" w:hAnsi="Bookman Old Style"/>
          <w:sz w:val="17"/>
        </w:rPr>
        <w:softHyphen/>
        <w:t>pends on appropriations from Congress and are awarded competitively under</w:t>
      </w:r>
    </w:p>
    <w:p w14:paraId="674F36D2" w14:textId="77777777" w:rsidR="00AF1CC4" w:rsidRDefault="00AF1CC4">
      <w:pPr>
        <w:widowControl/>
        <w:rPr>
          <w:sz w:val="24"/>
        </w:rPr>
        <w:sectPr w:rsidR="00AF1CC4">
          <w:type w:val="continuous"/>
          <w:pgSz w:w="12240" w:h="15840"/>
          <w:pgMar w:top="3140" w:right="2621" w:bottom="864" w:left="2636" w:header="720" w:footer="720" w:gutter="0"/>
          <w:cols w:num="2" w:space="720" w:equalWidth="0">
            <w:col w:w="3380" w:space="223"/>
            <w:col w:w="3380"/>
          </w:cols>
          <w:noEndnote/>
        </w:sectPr>
      </w:pPr>
    </w:p>
    <w:p w14:paraId="64F702DC" w14:textId="77777777" w:rsidR="00AF1CC4" w:rsidRDefault="00AF1CC4">
      <w:pPr>
        <w:kinsoku w:val="0"/>
        <w:overflowPunct w:val="0"/>
        <w:autoSpaceDE/>
        <w:autoSpaceDN/>
        <w:adjustRightInd/>
        <w:spacing w:before="207" w:line="199" w:lineRule="exact"/>
        <w:jc w:val="center"/>
        <w:textAlignment w:val="baseline"/>
        <w:rPr>
          <w:rFonts w:ascii="Tahoma" w:hAnsi="Tahoma"/>
          <w:spacing w:val="27"/>
          <w:sz w:val="19"/>
        </w:rPr>
      </w:pPr>
      <w:r>
        <w:rPr>
          <w:rFonts w:ascii="Tahoma" w:hAnsi="Tahoma"/>
          <w:spacing w:val="27"/>
          <w:sz w:val="19"/>
        </w:rPr>
        <w:t>306</w:t>
      </w:r>
    </w:p>
    <w:sectPr w:rsidR="00AF1CC4">
      <w:type w:val="continuous"/>
      <w:pgSz w:w="12240" w:h="15840"/>
      <w:pgMar w:top="3140" w:right="2626" w:bottom="864" w:left="263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5E431"/>
    <w:multiLevelType w:val="singleLevel"/>
    <w:tmpl w:val="5B2A80BB"/>
    <w:lvl w:ilvl="0">
      <w:start w:val="8"/>
      <w:numFmt w:val="lowerLetter"/>
      <w:lvlText w:val="(%1)"/>
      <w:lvlJc w:val="left"/>
      <w:pPr>
        <w:tabs>
          <w:tab w:val="num" w:pos="504"/>
        </w:tabs>
        <w:ind w:firstLine="144"/>
      </w:pPr>
      <w:rPr>
        <w:rFonts w:ascii="Bookman Old Style" w:hAnsi="Bookman Old Style" w:cs="Times New Roman"/>
        <w:i/>
        <w:snapToGrid/>
        <w:sz w:val="17"/>
      </w:rPr>
    </w:lvl>
  </w:abstractNum>
  <w:abstractNum w:abstractNumId="1" w15:restartNumberingAfterBreak="0">
    <w:nsid w:val="009239AA"/>
    <w:multiLevelType w:val="singleLevel"/>
    <w:tmpl w:val="471AFE8C"/>
    <w:lvl w:ilvl="0">
      <w:start w:val="1"/>
      <w:numFmt w:val="lowerLetter"/>
      <w:lvlText w:val="(%1)"/>
      <w:lvlJc w:val="left"/>
      <w:pPr>
        <w:tabs>
          <w:tab w:val="num" w:pos="504"/>
        </w:tabs>
        <w:ind w:firstLine="144"/>
      </w:pPr>
      <w:rPr>
        <w:rFonts w:ascii="Bookman Old Style" w:hAnsi="Bookman Old Style" w:cs="Times New Roman"/>
        <w:snapToGrid/>
        <w:sz w:val="17"/>
      </w:rPr>
    </w:lvl>
  </w:abstractNum>
  <w:abstractNum w:abstractNumId="2" w15:restartNumberingAfterBreak="0">
    <w:nsid w:val="0276D7B3"/>
    <w:multiLevelType w:val="singleLevel"/>
    <w:tmpl w:val="5616E725"/>
    <w:lvl w:ilvl="0">
      <w:start w:val="1"/>
      <w:numFmt w:val="lowerLetter"/>
      <w:lvlText w:val="(%1)"/>
      <w:lvlJc w:val="left"/>
      <w:pPr>
        <w:tabs>
          <w:tab w:val="num" w:pos="450"/>
        </w:tabs>
        <w:ind w:firstLine="144"/>
      </w:pPr>
      <w:rPr>
        <w:rFonts w:ascii="Bookman Old Style" w:hAnsi="Bookman Old Style" w:cs="Times New Roman"/>
        <w:snapToGrid/>
        <w:sz w:val="17"/>
      </w:rPr>
    </w:lvl>
  </w:abstractNum>
  <w:abstractNum w:abstractNumId="3" w15:restartNumberingAfterBreak="0">
    <w:nsid w:val="0469900B"/>
    <w:multiLevelType w:val="singleLevel"/>
    <w:tmpl w:val="0DBB2A9E"/>
    <w:lvl w:ilvl="0">
      <w:start w:val="1"/>
      <w:numFmt w:val="decimal"/>
      <w:lvlText w:val="(%1)"/>
      <w:lvlJc w:val="left"/>
      <w:pPr>
        <w:tabs>
          <w:tab w:val="num" w:pos="504"/>
        </w:tabs>
        <w:ind w:firstLine="144"/>
      </w:pPr>
      <w:rPr>
        <w:rFonts w:ascii="Bookman Old Style" w:hAnsi="Bookman Old Style" w:cs="Times New Roman"/>
        <w:snapToGrid/>
        <w:spacing w:val="1"/>
        <w:sz w:val="17"/>
      </w:rPr>
    </w:lvl>
  </w:abstractNum>
  <w:abstractNum w:abstractNumId="4" w15:restartNumberingAfterBreak="0">
    <w:nsid w:val="067A41D5"/>
    <w:multiLevelType w:val="singleLevel"/>
    <w:tmpl w:val="039CD5A3"/>
    <w:lvl w:ilvl="0">
      <w:start w:val="2"/>
      <w:numFmt w:val="decimal"/>
      <w:lvlText w:val="(%1)"/>
      <w:lvlJc w:val="left"/>
      <w:pPr>
        <w:tabs>
          <w:tab w:val="num" w:pos="288"/>
        </w:tabs>
        <w:ind w:firstLine="144"/>
      </w:pPr>
      <w:rPr>
        <w:rFonts w:ascii="Bookman Old Style" w:hAnsi="Bookman Old Style" w:cs="Times New Roman"/>
        <w:snapToGrid/>
        <w:spacing w:val="1"/>
        <w:sz w:val="17"/>
      </w:rPr>
    </w:lvl>
  </w:abstractNum>
  <w:abstractNum w:abstractNumId="5" w15:restartNumberingAfterBreak="0">
    <w:nsid w:val="07284953"/>
    <w:multiLevelType w:val="singleLevel"/>
    <w:tmpl w:val="67759733"/>
    <w:lvl w:ilvl="0">
      <w:start w:val="1"/>
      <w:numFmt w:val="lowerLetter"/>
      <w:lvlText w:val="(%1)"/>
      <w:lvlJc w:val="left"/>
      <w:pPr>
        <w:tabs>
          <w:tab w:val="num" w:pos="504"/>
        </w:tabs>
        <w:ind w:firstLine="144"/>
      </w:pPr>
      <w:rPr>
        <w:rFonts w:ascii="Bookman Old Style" w:hAnsi="Bookman Old Style" w:cs="Times New Roman"/>
        <w:i/>
        <w:snapToGrid/>
        <w:sz w:val="17"/>
      </w:rPr>
    </w:lvl>
  </w:abstractNum>
  <w:num w:numId="1">
    <w:abstractNumId w:val="4"/>
  </w:num>
  <w:num w:numId="2">
    <w:abstractNumId w:val="4"/>
    <w:lvlOverride w:ilvl="0">
      <w:lvl w:ilvl="0">
        <w:numFmt w:val="decimal"/>
        <w:lvlText w:val="(%1)"/>
        <w:lvlJc w:val="left"/>
        <w:pPr>
          <w:tabs>
            <w:tab w:val="num" w:pos="576"/>
          </w:tabs>
          <w:ind w:firstLine="144"/>
        </w:pPr>
        <w:rPr>
          <w:rFonts w:ascii="Bookman Old Style" w:hAnsi="Bookman Old Style" w:cs="Times New Roman"/>
          <w:snapToGrid/>
          <w:sz w:val="17"/>
        </w:rPr>
      </w:lvl>
    </w:lvlOverride>
  </w:num>
  <w:num w:numId="3">
    <w:abstractNumId w:val="0"/>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509"/>
    <w:rsid w:val="00114509"/>
    <w:rsid w:val="00505B5B"/>
    <w:rsid w:val="00A419F4"/>
    <w:rsid w:val="00AF1CC4"/>
    <w:rsid w:val="00CD7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961DC73"/>
  <w14:defaultImageDpi w14:val="0"/>
  <w15:docId w15:val="{930F3B4B-41CE-4E8F-942C-0A45AA45E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9" ma:contentTypeDescription="Create a new document." ma:contentTypeScope="" ma:versionID="df9f47cc047f8484bc5daa1356cbb05d">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ed6492b94b69dacc483426f3a14d38ad" ns1:_="" ns3:_="">
    <xsd:import namespace="http://schemas.microsoft.com/sharepoint/v3"/>
    <xsd:import namespace="c6d93d11-28f8-4e6d-ae4f-5893c68de0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E321DBD-D626-42EA-8769-31D9C4119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9D78DA-C451-4649-B654-541DF087527C}">
  <ds:schemaRefs>
    <ds:schemaRef ds:uri="http://schemas.microsoft.com/sharepoint/v3/contenttype/forms"/>
  </ds:schemaRefs>
</ds:datastoreItem>
</file>

<file path=customXml/itemProps3.xml><?xml version="1.0" encoding="utf-8"?>
<ds:datastoreItem xmlns:ds="http://schemas.openxmlformats.org/officeDocument/2006/customXml" ds:itemID="{28B3B3A4-BB04-4D6E-8827-71AF386703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1193</Words>
  <Characters>6803</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Ruth</dc:creator>
  <cp:keywords/>
  <dc:description/>
  <cp:lastModifiedBy>Greene, Sherina M</cp:lastModifiedBy>
  <cp:revision>2</cp:revision>
  <dcterms:created xsi:type="dcterms:W3CDTF">2020-07-14T15:13:00Z</dcterms:created>
  <dcterms:modified xsi:type="dcterms:W3CDTF">2020-07-14T15:13:00Z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ies>
</file>