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2AE0" w:rsidR="004918A2" w:rsidRDefault="004918A2" w14:paraId="5B1FAB0E" w14:textId="77777777">
      <w:pPr>
        <w:jc w:val="center"/>
        <w:rPr>
          <w:b/>
        </w:rPr>
      </w:pPr>
      <w:r w:rsidRPr="009C2AE0">
        <w:rPr>
          <w:b/>
        </w:rPr>
        <w:t>SUPPORTING STATEMENT</w:t>
      </w:r>
    </w:p>
    <w:p w:rsidRPr="009C2AE0" w:rsidR="004918A2" w:rsidRDefault="004918A2" w14:paraId="68F22C13" w14:textId="77777777"/>
    <w:p w:rsidRPr="009C2AE0" w:rsidR="004918A2" w:rsidRDefault="004918A2" w14:paraId="2D91B5A3" w14:textId="77777777">
      <w:pPr>
        <w:jc w:val="center"/>
        <w:rPr>
          <w:b/>
        </w:rPr>
      </w:pPr>
      <w:smartTag w:uri="urn:schemas-microsoft-com:office:smarttags" w:element="country-region">
        <w:smartTag w:uri="urn:schemas-microsoft-com:office:smarttags" w:element="place">
          <w:r w:rsidRPr="009C2AE0">
            <w:rPr>
              <w:b/>
            </w:rPr>
            <w:t>U.S.</w:t>
          </w:r>
        </w:smartTag>
      </w:smartTag>
      <w:r w:rsidRPr="009C2AE0">
        <w:rPr>
          <w:b/>
        </w:rPr>
        <w:t xml:space="preserve"> Department of Housing and Urban Development</w:t>
      </w:r>
    </w:p>
    <w:p w:rsidRPr="009C2AE0" w:rsidR="004918A2" w:rsidRDefault="004918A2" w14:paraId="49F1F4CC" w14:textId="77777777">
      <w:pPr>
        <w:pStyle w:val="Heading1"/>
      </w:pPr>
      <w:r w:rsidRPr="009C2AE0">
        <w:t xml:space="preserve">Office of </w:t>
      </w:r>
      <w:r w:rsidRPr="009C2AE0" w:rsidR="00F7598A">
        <w:t xml:space="preserve">Lead Hazard Control </w:t>
      </w:r>
      <w:r w:rsidR="00F7598A">
        <w:t xml:space="preserve">and </w:t>
      </w:r>
      <w:r w:rsidRPr="009C2AE0">
        <w:t>Healthy Homes</w:t>
      </w:r>
    </w:p>
    <w:p w:rsidRPr="009C2AE0" w:rsidR="004918A2" w:rsidRDefault="004918A2" w14:paraId="624913FE" w14:textId="77777777">
      <w:pPr>
        <w:jc w:val="center"/>
      </w:pPr>
    </w:p>
    <w:p w:rsidRPr="009C2AE0" w:rsidR="004918A2" w:rsidRDefault="004918A2" w14:paraId="2890E7F8" w14:textId="77777777">
      <w:pPr>
        <w:jc w:val="center"/>
        <w:rPr>
          <w:b/>
        </w:rPr>
      </w:pPr>
      <w:r w:rsidRPr="009C2AE0">
        <w:rPr>
          <w:b/>
        </w:rPr>
        <w:t>Application for Healthy Homes and Lead Hazard Control Grant Programs and Quality Assurance Plans</w:t>
      </w:r>
      <w:r w:rsidR="00E81169">
        <w:rPr>
          <w:b/>
        </w:rPr>
        <w:t xml:space="preserve"> - OMB Control #2539-0015</w:t>
      </w:r>
    </w:p>
    <w:p w:rsidRPr="009C2AE0" w:rsidR="004918A2" w:rsidRDefault="004918A2" w14:paraId="5A1FCFC3" w14:textId="77777777">
      <w:pPr>
        <w:jc w:val="center"/>
      </w:pPr>
    </w:p>
    <w:p w:rsidRPr="009C2AE0" w:rsidR="004918A2" w:rsidRDefault="004918A2" w14:paraId="11724E4C" w14:textId="77777777">
      <w:pPr>
        <w:pStyle w:val="Paperwork"/>
        <w:rPr>
          <w:b/>
        </w:rPr>
      </w:pPr>
      <w:r w:rsidRPr="009C2AE0">
        <w:rPr>
          <w:b/>
        </w:rPr>
        <w:t>1.</w:t>
      </w:r>
      <w:r w:rsidRPr="009C2AE0">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rsidRPr="009C2AE0" w:rsidR="004918A2" w:rsidRDefault="004918A2" w14:paraId="69328702" w14:textId="77777777">
      <w:pPr>
        <w:pStyle w:val="Paperwork"/>
      </w:pPr>
    </w:p>
    <w:p w:rsidRPr="009C2AE0" w:rsidR="004918A2" w:rsidP="0064761A" w:rsidRDefault="004918A2" w14:paraId="527249EB" w14:textId="77777777">
      <w:pPr>
        <w:pStyle w:val="Paperwork"/>
        <w:ind w:left="0" w:firstLine="0"/>
      </w:pPr>
      <w:r w:rsidRPr="009C2AE0">
        <w:t xml:space="preserve">Grants are used by the HUD Office of </w:t>
      </w:r>
      <w:r w:rsidR="00313155">
        <w:t xml:space="preserve">Lead Hazard Control and </w:t>
      </w:r>
      <w:r w:rsidRPr="009C2AE0">
        <w:t>Healthy Homes (O</w:t>
      </w:r>
      <w:r w:rsidR="00313155">
        <w:t>LHC</w:t>
      </w:r>
      <w:r w:rsidRPr="009C2AE0">
        <w:t>HH) to accomplish the public purpose of support or stimulation authorized by Federal statutes (Section 1011 of Title X of the Housing and Community Development Act of 1992; attached). The Intergovernmental Cooperation Agreement Act of 1968 was passed for the purpose of establishing coordinated administration of Federal assistance programs. As a result, the Office of Management and Budget required Federal agencies to adopt a common rule dealing with the administrative requirements for grants to State and local governments (HUD’s implementing regulations are found at 24 CFR 85</w:t>
      </w:r>
      <w:r w:rsidR="008E15E7">
        <w:t>;</w:t>
      </w:r>
      <w:r w:rsidRPr="009C2AE0">
        <w:t xml:space="preserve"> </w:t>
      </w:r>
      <w:r w:rsidR="008E15E7">
        <w:t>a</w:t>
      </w:r>
      <w:r w:rsidRPr="009C2AE0">
        <w:t>dministrative requirements for other organizations are found at 24 CFR 84</w:t>
      </w:r>
      <w:r w:rsidR="008E15E7">
        <w:t>)</w:t>
      </w:r>
      <w:r w:rsidRPr="009C2AE0">
        <w:t>. The documents prescribe the standard forms and procedures for award and administration of assistance instruments. Assistance instruments awarded by HUD follow these requirements in their entirety.</w:t>
      </w:r>
    </w:p>
    <w:p w:rsidRPr="009C2AE0" w:rsidR="004918A2" w:rsidP="0064761A" w:rsidRDefault="004918A2" w14:paraId="058A8F52" w14:textId="77777777">
      <w:pPr>
        <w:pStyle w:val="Paperwork"/>
        <w:ind w:left="0" w:firstLine="0"/>
      </w:pPr>
    </w:p>
    <w:p w:rsidRPr="009C2AE0" w:rsidR="004918A2" w:rsidP="0064761A" w:rsidRDefault="004918A2" w14:paraId="2FA8F330" w14:textId="77777777">
      <w:pPr>
        <w:pStyle w:val="PlainText"/>
        <w:rPr>
          <w:rFonts w:ascii="Times New Roman" w:hAnsi="Times New Roman" w:cs="Times New Roman"/>
          <w:sz w:val="24"/>
        </w:rPr>
      </w:pPr>
      <w:r w:rsidRPr="009C2AE0">
        <w:rPr>
          <w:rFonts w:ascii="Times New Roman" w:hAnsi="Times New Roman" w:cs="Times New Roman"/>
          <w:sz w:val="24"/>
        </w:rPr>
        <w:t xml:space="preserve">The </w:t>
      </w:r>
      <w:r w:rsidR="00313155">
        <w:rPr>
          <w:rFonts w:ascii="Times New Roman" w:hAnsi="Times New Roman" w:cs="Times New Roman"/>
          <w:sz w:val="24"/>
        </w:rPr>
        <w:t>OLHCHH</w:t>
      </w:r>
      <w:r w:rsidRPr="009C2AE0">
        <w:rPr>
          <w:rFonts w:ascii="Times New Roman" w:hAnsi="Times New Roman" w:cs="Times New Roman"/>
          <w:sz w:val="24"/>
        </w:rPr>
        <w:t xml:space="preserve"> requires information from some of its grantees and contractors on project-specific actions that will be taken to ensure the quality and validity of data that they collect and analyze.  The </w:t>
      </w:r>
      <w:r w:rsidR="00313155">
        <w:rPr>
          <w:rFonts w:ascii="Times New Roman" w:hAnsi="Times New Roman" w:cs="Times New Roman"/>
          <w:sz w:val="24"/>
        </w:rPr>
        <w:t>OLHCHH</w:t>
      </w:r>
      <w:r w:rsidRPr="009C2AE0">
        <w:rPr>
          <w:rFonts w:ascii="Times New Roman" w:hAnsi="Times New Roman" w:cs="Times New Roman"/>
          <w:sz w:val="24"/>
        </w:rPr>
        <w:t xml:space="preserve"> specifically requires this from grantees conducting research or significant evaluation activities.  This includes grantees funded under the Office’s </w:t>
      </w:r>
      <w:r w:rsidR="00904EFD">
        <w:rPr>
          <w:rFonts w:ascii="Times New Roman" w:hAnsi="Times New Roman" w:cs="Times New Roman"/>
          <w:sz w:val="24"/>
        </w:rPr>
        <w:t xml:space="preserve">Lead </w:t>
      </w:r>
      <w:r w:rsidR="00D70E2B">
        <w:rPr>
          <w:rFonts w:ascii="Times New Roman" w:hAnsi="Times New Roman" w:cs="Times New Roman"/>
          <w:sz w:val="24"/>
        </w:rPr>
        <w:t xml:space="preserve">or Healthy Homes </w:t>
      </w:r>
      <w:r w:rsidR="00904EFD">
        <w:rPr>
          <w:rFonts w:ascii="Times New Roman" w:hAnsi="Times New Roman" w:cs="Times New Roman"/>
          <w:sz w:val="24"/>
        </w:rPr>
        <w:t xml:space="preserve">Technical Studies </w:t>
      </w:r>
      <w:r w:rsidR="00D70E2B">
        <w:rPr>
          <w:rFonts w:ascii="Times New Roman" w:hAnsi="Times New Roman" w:cs="Times New Roman"/>
          <w:sz w:val="24"/>
        </w:rPr>
        <w:t xml:space="preserve">Grant Programs </w:t>
      </w:r>
      <w:r w:rsidR="00904EFD">
        <w:rPr>
          <w:rFonts w:ascii="Times New Roman" w:hAnsi="Times New Roman" w:cs="Times New Roman"/>
          <w:sz w:val="24"/>
        </w:rPr>
        <w:t xml:space="preserve">and </w:t>
      </w:r>
      <w:r w:rsidR="00D70E2B">
        <w:rPr>
          <w:rFonts w:ascii="Times New Roman" w:hAnsi="Times New Roman" w:cs="Times New Roman"/>
          <w:sz w:val="24"/>
        </w:rPr>
        <w:t xml:space="preserve">has been a requirement of grantees of other programs requiring rigorous evaluations </w:t>
      </w:r>
      <w:r w:rsidRPr="009C2AE0">
        <w:rPr>
          <w:rFonts w:ascii="Times New Roman" w:hAnsi="Times New Roman" w:cs="Times New Roman"/>
          <w:sz w:val="24"/>
        </w:rPr>
        <w:t>(</w:t>
      </w:r>
      <w:r w:rsidRPr="009C2AE0" w:rsidR="00CC28E6">
        <w:rPr>
          <w:rFonts w:ascii="Times New Roman" w:hAnsi="Times New Roman" w:cs="Times New Roman"/>
          <w:sz w:val="24"/>
        </w:rPr>
        <w:t>e.</w:t>
      </w:r>
      <w:r w:rsidR="00536E25">
        <w:rPr>
          <w:rFonts w:ascii="Times New Roman" w:hAnsi="Times New Roman" w:cs="Times New Roman"/>
          <w:sz w:val="24"/>
        </w:rPr>
        <w:t>g.</w:t>
      </w:r>
      <w:r w:rsidRPr="009C2AE0" w:rsidR="00CC28E6">
        <w:rPr>
          <w:rFonts w:ascii="Times New Roman" w:hAnsi="Times New Roman" w:cs="Times New Roman"/>
          <w:sz w:val="24"/>
        </w:rPr>
        <w:t xml:space="preserve">, </w:t>
      </w:r>
      <w:r w:rsidRPr="00996185" w:rsidR="00760FD3">
        <w:rPr>
          <w:rFonts w:ascii="Times New Roman" w:hAnsi="Times New Roman" w:cs="Times New Roman"/>
          <w:sz w:val="24"/>
        </w:rPr>
        <w:t>Asthma</w:t>
      </w:r>
      <w:r w:rsidRPr="00996185" w:rsidR="00CC28E6">
        <w:rPr>
          <w:rFonts w:ascii="Times New Roman" w:hAnsi="Times New Roman" w:cs="Times New Roman"/>
          <w:sz w:val="24"/>
        </w:rPr>
        <w:t xml:space="preserve"> Interventions in Public and Assisted Multifamily Housing Programs</w:t>
      </w:r>
      <w:r w:rsidRPr="009C2AE0" w:rsidR="00CC28E6">
        <w:rPr>
          <w:rFonts w:ascii="Times New Roman" w:hAnsi="Times New Roman" w:cs="Times New Roman"/>
          <w:sz w:val="24"/>
        </w:rPr>
        <w:t>)</w:t>
      </w:r>
      <w:r w:rsidR="00D70E2B">
        <w:rPr>
          <w:rFonts w:ascii="Times New Roman" w:hAnsi="Times New Roman" w:cs="Times New Roman"/>
          <w:sz w:val="24"/>
        </w:rPr>
        <w:t>, as well as the Office’s</w:t>
      </w:r>
      <w:r w:rsidRPr="009C2AE0">
        <w:rPr>
          <w:rFonts w:ascii="Times New Roman" w:hAnsi="Times New Roman" w:cs="Times New Roman"/>
          <w:sz w:val="24"/>
        </w:rPr>
        <w:t xml:space="preserve"> contractors conducting research and evaluation activities under the Office’s direction.</w:t>
      </w:r>
    </w:p>
    <w:p w:rsidRPr="009C2AE0" w:rsidR="004918A2" w:rsidP="0064761A" w:rsidRDefault="004918A2" w14:paraId="7F864D54" w14:textId="77777777">
      <w:pPr>
        <w:pStyle w:val="PlainText"/>
        <w:widowControl/>
        <w:rPr>
          <w:rFonts w:ascii="Times New Roman" w:hAnsi="Times New Roman" w:cs="Times New Roman"/>
          <w:sz w:val="24"/>
        </w:rPr>
      </w:pPr>
    </w:p>
    <w:p w:rsidRPr="009C2AE0" w:rsidR="004918A2" w:rsidP="0064761A" w:rsidRDefault="004918A2" w14:paraId="5E518800" w14:textId="77777777">
      <w:pPr>
        <w:pStyle w:val="PlainText"/>
        <w:rPr>
          <w:rFonts w:ascii="Times New Roman" w:hAnsi="Times New Roman" w:cs="Times New Roman"/>
          <w:sz w:val="24"/>
        </w:rPr>
      </w:pPr>
      <w:r w:rsidRPr="009C2AE0">
        <w:rPr>
          <w:rFonts w:ascii="Times New Roman" w:hAnsi="Times New Roman" w:cs="Times New Roman"/>
          <w:sz w:val="24"/>
        </w:rPr>
        <w:t xml:space="preserve">Requiring grantees and contractors to use quality assurance plan (QAP) templates to summarize their quality assurance activities helps to ensure that the activities are sufficiently thorough and well-integrated into project activities.  It also standardizes the presentation of these activities, which facilitates more efficient review by </w:t>
      </w:r>
      <w:r w:rsidR="00313155">
        <w:rPr>
          <w:rFonts w:ascii="Times New Roman" w:hAnsi="Times New Roman" w:cs="Times New Roman"/>
          <w:sz w:val="24"/>
        </w:rPr>
        <w:t>OLHCHH</w:t>
      </w:r>
      <w:r w:rsidRPr="009C2AE0">
        <w:rPr>
          <w:rFonts w:ascii="Times New Roman" w:hAnsi="Times New Roman" w:cs="Times New Roman"/>
          <w:sz w:val="24"/>
        </w:rPr>
        <w:t xml:space="preserve"> staff.</w:t>
      </w:r>
      <w:r w:rsidRPr="009C2AE0">
        <w:rPr>
          <w:rFonts w:ascii="Times New Roman" w:hAnsi="Times New Roman" w:cs="Times New Roman"/>
          <w:sz w:val="24"/>
        </w:rPr>
        <w:tab/>
      </w:r>
    </w:p>
    <w:p w:rsidRPr="009C2AE0" w:rsidR="004918A2" w:rsidP="0064761A" w:rsidRDefault="004918A2" w14:paraId="78DB44D5" w14:textId="77777777">
      <w:pPr>
        <w:pStyle w:val="PlainText"/>
        <w:widowControl/>
        <w:rPr>
          <w:rFonts w:ascii="Times New Roman" w:hAnsi="Times New Roman" w:cs="Times New Roman"/>
          <w:sz w:val="24"/>
        </w:rPr>
      </w:pPr>
    </w:p>
    <w:p w:rsidR="004918A2" w:rsidP="0064761A" w:rsidRDefault="004918A2" w14:paraId="0EECA19C" w14:textId="4E983294">
      <w:pPr>
        <w:pStyle w:val="PlainText"/>
        <w:rPr>
          <w:rFonts w:ascii="Times New Roman" w:hAnsi="Times New Roman" w:cs="Times New Roman"/>
          <w:sz w:val="24"/>
        </w:rPr>
      </w:pPr>
      <w:r w:rsidRPr="009C2AE0">
        <w:rPr>
          <w:rFonts w:ascii="Times New Roman" w:hAnsi="Times New Roman" w:cs="Times New Roman"/>
          <w:sz w:val="24"/>
        </w:rPr>
        <w:t>Because HUD may disseminate findings from grant- and contract-supported research and evaluation projects, the QAP requirement</w:t>
      </w:r>
      <w:r w:rsidR="00904EFD">
        <w:rPr>
          <w:rFonts w:ascii="Times New Roman" w:hAnsi="Times New Roman" w:cs="Times New Roman"/>
          <w:sz w:val="24"/>
        </w:rPr>
        <w:t>s</w:t>
      </w:r>
      <w:r w:rsidRPr="009C2AE0">
        <w:rPr>
          <w:rFonts w:ascii="Times New Roman" w:hAnsi="Times New Roman" w:cs="Times New Roman"/>
          <w:sz w:val="24"/>
        </w:rPr>
        <w:t xml:space="preserve"> help the </w:t>
      </w:r>
      <w:r w:rsidR="00313155">
        <w:rPr>
          <w:rFonts w:ascii="Times New Roman" w:hAnsi="Times New Roman" w:cs="Times New Roman"/>
          <w:sz w:val="24"/>
        </w:rPr>
        <w:t>OLHCHH</w:t>
      </w:r>
      <w:r w:rsidRPr="009C2AE0">
        <w:rPr>
          <w:rFonts w:ascii="Times New Roman" w:hAnsi="Times New Roman" w:cs="Times New Roman"/>
          <w:sz w:val="24"/>
        </w:rPr>
        <w:t xml:space="preserve"> to ensure adherence with the Department’s Information Quality Guidelines (67 </w:t>
      </w:r>
      <w:r w:rsidRPr="009C2AE0">
        <w:rPr>
          <w:rFonts w:ascii="Times New Roman" w:hAnsi="Times New Roman" w:cs="Times New Roman"/>
          <w:i/>
          <w:iCs/>
          <w:sz w:val="24"/>
        </w:rPr>
        <w:t>Federal Register</w:t>
      </w:r>
      <w:r w:rsidRPr="009C2AE0" w:rsidR="009C2AE0">
        <w:rPr>
          <w:rFonts w:ascii="Times New Roman" w:hAnsi="Times New Roman" w:cs="Times New Roman"/>
          <w:sz w:val="24"/>
        </w:rPr>
        <w:t xml:space="preserve"> </w:t>
      </w:r>
      <w:proofErr w:type="gramStart"/>
      <w:r w:rsidRPr="009C2AE0" w:rsidR="009C2AE0">
        <w:rPr>
          <w:rFonts w:ascii="Times New Roman" w:hAnsi="Times New Roman" w:cs="Times New Roman"/>
          <w:sz w:val="24"/>
        </w:rPr>
        <w:t>69642-69651;</w:t>
      </w:r>
      <w:proofErr w:type="gramEnd"/>
      <w:r w:rsidRPr="009C2AE0" w:rsidR="009C2AE0">
        <w:rPr>
          <w:rFonts w:ascii="Times New Roman" w:hAnsi="Times New Roman" w:cs="Times New Roman"/>
          <w:sz w:val="24"/>
        </w:rPr>
        <w:t xml:space="preserve"> </w:t>
      </w:r>
      <w:r w:rsidRPr="009C2AE0">
        <w:rPr>
          <w:rFonts w:ascii="Times New Roman" w:hAnsi="Times New Roman" w:cs="Times New Roman"/>
          <w:sz w:val="24"/>
        </w:rPr>
        <w:t>November 18, 2002). The Information Quality Guidelines fulfill the requirements of Section 515 of the Treasury and General Government Appropriations Act for Fiscal Year 2001, which requires federal agencies to issue implementing guidelines for ensuring and maximizing the quality, objectivity, utility, and integrity of information they disseminate.</w:t>
      </w:r>
    </w:p>
    <w:p w:rsidRPr="009C2AE0" w:rsidR="0065799B" w:rsidP="0064761A" w:rsidRDefault="0065799B" w14:paraId="3FD941DD" w14:textId="77777777">
      <w:pPr>
        <w:pStyle w:val="PlainText"/>
        <w:rPr>
          <w:rFonts w:ascii="Times New Roman" w:hAnsi="Times New Roman" w:cs="Times New Roman"/>
          <w:sz w:val="24"/>
        </w:rPr>
      </w:pPr>
    </w:p>
    <w:p w:rsidR="004918A2" w:rsidP="004701D3" w:rsidRDefault="00170CF5" w14:paraId="27008576" w14:textId="1DD0A755">
      <w:pPr>
        <w:pStyle w:val="Paperwork"/>
        <w:ind w:left="0" w:firstLine="0"/>
      </w:pPr>
      <w:r>
        <w:lastRenderedPageBreak/>
        <w:t>Since the last renewal of this ICR (2539-0015)</w:t>
      </w:r>
      <w:r w:rsidR="00B95E73">
        <w:t xml:space="preserve"> HUD OLHCHH has added </w:t>
      </w:r>
      <w:proofErr w:type="gramStart"/>
      <w:r w:rsidR="00B95E73">
        <w:t>a number of</w:t>
      </w:r>
      <w:proofErr w:type="gramEnd"/>
      <w:r w:rsidR="00B95E73">
        <w:t xml:space="preserve"> </w:t>
      </w:r>
      <w:r w:rsidR="00F556E9">
        <w:t>grant programs tha</w:t>
      </w:r>
      <w:r w:rsidR="00816398">
        <w:t>t</w:t>
      </w:r>
      <w:r w:rsidR="00F556E9">
        <w:t xml:space="preserve"> have increased the number of </w:t>
      </w:r>
      <w:proofErr w:type="spellStart"/>
      <w:r w:rsidR="00F556E9">
        <w:t>repondents</w:t>
      </w:r>
      <w:proofErr w:type="spellEnd"/>
      <w:r w:rsidR="00F556E9">
        <w:t xml:space="preserve"> to this ICR. </w:t>
      </w:r>
      <w:r w:rsidR="00816398">
        <w:t xml:space="preserve">These include the LHC Program for High Needs Areas and the </w:t>
      </w:r>
      <w:r w:rsidR="00CA736E">
        <w:t>Healthy Homes grants for Native American Tribes.</w:t>
      </w:r>
    </w:p>
    <w:p w:rsidRPr="009C2AE0" w:rsidR="00CA736E" w:rsidRDefault="00CA736E" w14:paraId="0CC45336" w14:textId="77777777">
      <w:pPr>
        <w:pStyle w:val="Paperwork"/>
      </w:pPr>
    </w:p>
    <w:p w:rsidRPr="009C2AE0" w:rsidR="004918A2" w:rsidRDefault="004918A2" w14:paraId="5A0CC4A6" w14:textId="77777777">
      <w:pPr>
        <w:pStyle w:val="Paperwork"/>
      </w:pPr>
      <w:r w:rsidRPr="009C2AE0">
        <w:rPr>
          <w:b/>
        </w:rPr>
        <w:t>2.</w:t>
      </w:r>
      <w:r w:rsidRPr="009C2AE0">
        <w:rPr>
          <w:b/>
        </w:rPr>
        <w:tab/>
        <w:t>Indicate how, by whom, and for what purpose the information is to be used. Except for a new collection, indicate the actual use the agency has made of the information received from the current collection.</w:t>
      </w:r>
    </w:p>
    <w:p w:rsidRPr="009C2AE0" w:rsidR="004918A2" w:rsidRDefault="004918A2" w14:paraId="36E10AC4" w14:textId="77777777">
      <w:pPr>
        <w:pStyle w:val="Paperwork"/>
      </w:pPr>
    </w:p>
    <w:p w:rsidRPr="009C2AE0" w:rsidR="004918A2" w:rsidP="0064761A" w:rsidRDefault="004918A2" w14:paraId="7266E1B5" w14:textId="77777777">
      <w:pPr>
        <w:pStyle w:val="Paperwork"/>
        <w:ind w:left="0" w:firstLine="0"/>
      </w:pPr>
      <w:bookmarkStart w:name="_Hlk500167099" w:id="0"/>
      <w:r w:rsidRPr="009C2AE0">
        <w:t xml:space="preserve">Applicants for grants must respond to the Notice of Funding Availability </w:t>
      </w:r>
      <w:r w:rsidR="00BD5547">
        <w:t xml:space="preserve">(NOFA) </w:t>
      </w:r>
      <w:r w:rsidR="00904EFD">
        <w:t xml:space="preserve">for the fiscal year </w:t>
      </w:r>
      <w:r w:rsidRPr="009C2AE0">
        <w:t xml:space="preserve">published in the Federal Register </w:t>
      </w:r>
      <w:proofErr w:type="gramStart"/>
      <w:r w:rsidRPr="009C2AE0">
        <w:t>in order to</w:t>
      </w:r>
      <w:proofErr w:type="gramEnd"/>
      <w:r w:rsidRPr="009C2AE0">
        <w:t xml:space="preserve"> receive a grant award. They must complete </w:t>
      </w:r>
      <w:r w:rsidR="00BD5547">
        <w:t xml:space="preserve">certain of </w:t>
      </w:r>
      <w:r w:rsidRPr="009C2AE0">
        <w:t>the following submissions</w:t>
      </w:r>
      <w:r w:rsidR="00BD5547">
        <w:t xml:space="preserve">, as in the </w:t>
      </w:r>
      <w:r w:rsidR="003C51B3">
        <w:t xml:space="preserve">specific </w:t>
      </w:r>
      <w:r w:rsidR="00BD5547">
        <w:t>NOFA</w:t>
      </w:r>
      <w:r w:rsidRPr="009C2AE0">
        <w:t>:</w:t>
      </w:r>
    </w:p>
    <w:p w:rsidRPr="009C2AE0" w:rsidR="004918A2" w:rsidRDefault="004918A2" w14:paraId="6FEDDB28" w14:textId="77777777">
      <w:pPr>
        <w:pStyle w:val="Paperwork"/>
      </w:pPr>
    </w:p>
    <w:p w:rsidRPr="009C2AE0" w:rsidR="00C40488" w:rsidP="0064761A" w:rsidRDefault="00C40488" w14:paraId="12FD77DC" w14:textId="77777777">
      <w:pPr>
        <w:pStyle w:val="Paperwork"/>
        <w:numPr>
          <w:ilvl w:val="0"/>
          <w:numId w:val="1"/>
        </w:numPr>
        <w:tabs>
          <w:tab w:val="left" w:pos="720"/>
        </w:tabs>
      </w:pPr>
      <w:r w:rsidRPr="009C2AE0">
        <w:t>Form-SF 424 (</w:t>
      </w:r>
      <w:r w:rsidRPr="009C2AE0">
        <w:rPr>
          <w:sz w:val="18"/>
          <w:szCs w:val="18"/>
        </w:rPr>
        <w:t>OMB Approval 4040-0004)</w:t>
      </w:r>
    </w:p>
    <w:p w:rsidRPr="009C2AE0" w:rsidR="004918A2" w:rsidP="0064761A" w:rsidRDefault="004918A2" w14:paraId="1382B949" w14:textId="77777777">
      <w:pPr>
        <w:pStyle w:val="Paperwork"/>
        <w:numPr>
          <w:ilvl w:val="0"/>
          <w:numId w:val="1"/>
        </w:numPr>
        <w:tabs>
          <w:tab w:val="left" w:pos="720"/>
        </w:tabs>
      </w:pPr>
      <w:r w:rsidRPr="009C2AE0">
        <w:t>Form</w:t>
      </w:r>
      <w:r w:rsidRPr="009C2AE0" w:rsidR="00CC28E6">
        <w:t>HUD</w:t>
      </w:r>
      <w:r w:rsidRPr="009C2AE0">
        <w:t>-424</w:t>
      </w:r>
      <w:proofErr w:type="gramStart"/>
      <w:r w:rsidRPr="009C2AE0">
        <w:t xml:space="preserve">CBW  </w:t>
      </w:r>
      <w:r w:rsidRPr="009C2AE0">
        <w:rPr>
          <w:sz w:val="18"/>
        </w:rPr>
        <w:t>(</w:t>
      </w:r>
      <w:proofErr w:type="gramEnd"/>
      <w:r w:rsidRPr="009C2AE0">
        <w:rPr>
          <w:sz w:val="18"/>
        </w:rPr>
        <w:t>OMB Approval 2501-0017)</w:t>
      </w:r>
    </w:p>
    <w:p w:rsidRPr="009C2AE0" w:rsidR="004918A2" w:rsidP="0064761A" w:rsidRDefault="004918A2" w14:paraId="190ACEF5" w14:textId="77777777">
      <w:pPr>
        <w:pStyle w:val="Paperwork"/>
        <w:numPr>
          <w:ilvl w:val="0"/>
          <w:numId w:val="1"/>
        </w:numPr>
        <w:tabs>
          <w:tab w:val="left" w:pos="720"/>
        </w:tabs>
      </w:pPr>
      <w:r w:rsidRPr="009C2AE0">
        <w:t>Form</w:t>
      </w:r>
      <w:r w:rsidRPr="009C2AE0" w:rsidR="00CC28E6">
        <w:t xml:space="preserve"> HUD</w:t>
      </w:r>
      <w:r w:rsidRPr="009C2AE0">
        <w:t xml:space="preserve">-27061 Race and Ethnic </w:t>
      </w:r>
      <w:proofErr w:type="gramStart"/>
      <w:r w:rsidRPr="009C2AE0">
        <w:t xml:space="preserve">Data  </w:t>
      </w:r>
      <w:r w:rsidRPr="009C2AE0">
        <w:rPr>
          <w:sz w:val="18"/>
        </w:rPr>
        <w:t>(</w:t>
      </w:r>
      <w:proofErr w:type="gramEnd"/>
      <w:r w:rsidRPr="009C2AE0">
        <w:rPr>
          <w:sz w:val="18"/>
        </w:rPr>
        <w:t>OMB Approval 2535-0113)</w:t>
      </w:r>
    </w:p>
    <w:p w:rsidRPr="00A30DA9" w:rsidR="007943AC" w:rsidP="0064761A" w:rsidRDefault="004918A2" w14:paraId="7EAD546F" w14:textId="77777777">
      <w:pPr>
        <w:pStyle w:val="Paperwork"/>
        <w:numPr>
          <w:ilvl w:val="0"/>
          <w:numId w:val="3"/>
        </w:numPr>
        <w:tabs>
          <w:tab w:val="left" w:pos="720"/>
        </w:tabs>
        <w:ind w:left="720"/>
      </w:pPr>
      <w:r w:rsidRPr="009C2AE0">
        <w:t>Form</w:t>
      </w:r>
      <w:r w:rsidRPr="009C2AE0" w:rsidR="00CC28E6">
        <w:t xml:space="preserve"> HUD</w:t>
      </w:r>
      <w:r w:rsidRPr="009C2AE0">
        <w:t xml:space="preserve">-2991 Certification of Consistency with the Consolidated Plan </w:t>
      </w:r>
      <w:r w:rsidRPr="009C2AE0">
        <w:rPr>
          <w:sz w:val="18"/>
        </w:rPr>
        <w:t xml:space="preserve">(OMB Approval </w:t>
      </w:r>
      <w:r w:rsidRPr="009C2AE0" w:rsidR="007943AC">
        <w:rPr>
          <w:sz w:val="18"/>
        </w:rPr>
        <w:t>2506-0112)</w:t>
      </w:r>
    </w:p>
    <w:p w:rsidRPr="009C2AE0" w:rsidR="004918A2" w:rsidP="0064761A" w:rsidRDefault="004918A2" w14:paraId="4D1627A1" w14:textId="77777777">
      <w:pPr>
        <w:pStyle w:val="Paperwork"/>
        <w:numPr>
          <w:ilvl w:val="0"/>
          <w:numId w:val="1"/>
        </w:numPr>
        <w:tabs>
          <w:tab w:val="left" w:pos="720"/>
        </w:tabs>
      </w:pPr>
      <w:r w:rsidRPr="009C2AE0">
        <w:t>Form</w:t>
      </w:r>
      <w:r w:rsidRPr="009C2AE0" w:rsidR="00CC28E6">
        <w:t xml:space="preserve"> HUD</w:t>
      </w:r>
      <w:r w:rsidRPr="009C2AE0">
        <w:t xml:space="preserve">-96008 Benchmark Standards (36 Months) </w:t>
      </w:r>
      <w:r w:rsidRPr="009C2AE0">
        <w:rPr>
          <w:sz w:val="18"/>
        </w:rPr>
        <w:t>(OMB Approval</w:t>
      </w:r>
      <w:r w:rsidRPr="009C2AE0" w:rsidR="00487E73">
        <w:rPr>
          <w:sz w:val="18"/>
        </w:rPr>
        <w:t xml:space="preserve"> 2539-0015)</w:t>
      </w:r>
    </w:p>
    <w:p w:rsidRPr="009C2AE0" w:rsidR="004918A2" w:rsidP="0064761A" w:rsidRDefault="004918A2" w14:paraId="2483BD2D" w14:textId="77777777">
      <w:pPr>
        <w:pStyle w:val="Paperwork"/>
        <w:numPr>
          <w:ilvl w:val="0"/>
          <w:numId w:val="1"/>
        </w:numPr>
        <w:tabs>
          <w:tab w:val="left" w:pos="720"/>
        </w:tabs>
      </w:pPr>
      <w:r w:rsidRPr="009C2AE0">
        <w:t xml:space="preserve">Form SF-LLL Disclosure of Lobbying Activities </w:t>
      </w:r>
      <w:proofErr w:type="gramStart"/>
      <w:r w:rsidRPr="009C2AE0">
        <w:t xml:space="preserve">Required  </w:t>
      </w:r>
      <w:r w:rsidRPr="009C2AE0">
        <w:rPr>
          <w:sz w:val="18"/>
        </w:rPr>
        <w:t>(</w:t>
      </w:r>
      <w:proofErr w:type="gramEnd"/>
      <w:r w:rsidRPr="009C2AE0">
        <w:rPr>
          <w:sz w:val="18"/>
        </w:rPr>
        <w:t>OMB Approval 0348-0046)</w:t>
      </w:r>
    </w:p>
    <w:p w:rsidRPr="009C2AE0" w:rsidR="004918A2" w:rsidP="0064761A" w:rsidRDefault="004918A2" w14:paraId="085D7C1F" w14:textId="77777777">
      <w:pPr>
        <w:pStyle w:val="Paperwork"/>
        <w:numPr>
          <w:ilvl w:val="0"/>
          <w:numId w:val="1"/>
        </w:numPr>
        <w:tabs>
          <w:tab w:val="left" w:pos="720"/>
        </w:tabs>
      </w:pPr>
      <w:r w:rsidRPr="009C2AE0">
        <w:t xml:space="preserve">Narrative response to the rating factors which describe the need, proposed approach, and capabilities. These rating factors are described in the </w:t>
      </w:r>
      <w:r w:rsidR="003839E1">
        <w:t>NOFA</w:t>
      </w:r>
      <w:r w:rsidR="00536E25">
        <w:t>.</w:t>
      </w:r>
    </w:p>
    <w:p w:rsidRPr="009C2AE0" w:rsidR="001509DF" w:rsidP="001509DF" w:rsidRDefault="001509DF" w14:paraId="056F741A" w14:textId="77777777">
      <w:pPr>
        <w:pStyle w:val="Paperwork"/>
        <w:tabs>
          <w:tab w:val="left" w:pos="1440"/>
        </w:tabs>
      </w:pPr>
    </w:p>
    <w:p w:rsidRPr="009C2AE0" w:rsidR="001509DF" w:rsidP="0064761A" w:rsidRDefault="00173D0E" w14:paraId="1F299314" w14:textId="2F73AC92">
      <w:pPr>
        <w:pStyle w:val="Paperwork"/>
        <w:numPr>
          <w:ilvl w:val="12"/>
          <w:numId w:val="0"/>
        </w:numPr>
      </w:pPr>
      <w:bookmarkStart w:name="_Hlk499903346" w:id="1"/>
      <w:r>
        <w:rPr>
          <w:iCs/>
        </w:rPr>
        <w:t xml:space="preserve">All grantees generally use the HUD-96008 </w:t>
      </w:r>
      <w:r w:rsidRPr="009C2AE0" w:rsidR="001509DF">
        <w:t xml:space="preserve">when applying for </w:t>
      </w:r>
      <w:r>
        <w:t xml:space="preserve">a </w:t>
      </w:r>
      <w:proofErr w:type="gramStart"/>
      <w:r>
        <w:t>3</w:t>
      </w:r>
      <w:r w:rsidRPr="009C2AE0" w:rsidR="001509DF">
        <w:t>6 month</w:t>
      </w:r>
      <w:proofErr w:type="gramEnd"/>
      <w:r w:rsidRPr="009C2AE0" w:rsidR="001509DF">
        <w:t xml:space="preserve"> grant</w:t>
      </w:r>
      <w:r w:rsidRPr="00EE25E5">
        <w:t>.</w:t>
      </w:r>
      <w:r w:rsidRPr="00EE25E5" w:rsidR="00CC28E6">
        <w:t xml:space="preserve"> </w:t>
      </w:r>
    </w:p>
    <w:bookmarkEnd w:id="1"/>
    <w:p w:rsidR="001D6D5E" w:rsidP="0064761A" w:rsidRDefault="001D6D5E" w14:paraId="18FC25C6" w14:textId="77777777">
      <w:pPr>
        <w:pStyle w:val="Paperwork"/>
        <w:numPr>
          <w:ilvl w:val="12"/>
          <w:numId w:val="0"/>
        </w:numPr>
      </w:pPr>
    </w:p>
    <w:p w:rsidRPr="009C2AE0" w:rsidR="004918A2" w:rsidP="0064761A" w:rsidRDefault="004918A2" w14:paraId="1C41D1F2" w14:textId="77777777">
      <w:pPr>
        <w:pStyle w:val="Paperwork"/>
        <w:numPr>
          <w:ilvl w:val="12"/>
          <w:numId w:val="0"/>
        </w:numPr>
      </w:pPr>
      <w:r w:rsidRPr="009C2AE0">
        <w:t>The information listed above submitted by the applicants will be evaluated by the application review panel as part of the selection process for grant award.</w:t>
      </w:r>
    </w:p>
    <w:p w:rsidRPr="009C2AE0" w:rsidR="004918A2" w:rsidP="0064761A" w:rsidRDefault="004918A2" w14:paraId="241FE4CE" w14:textId="77777777">
      <w:pPr>
        <w:pStyle w:val="Paperwork"/>
        <w:numPr>
          <w:ilvl w:val="12"/>
          <w:numId w:val="0"/>
        </w:numPr>
      </w:pPr>
    </w:p>
    <w:p w:rsidRPr="009C2AE0" w:rsidR="004918A2" w:rsidP="0064761A" w:rsidRDefault="004918A2" w14:paraId="76997149" w14:textId="77777777">
      <w:pPr>
        <w:pStyle w:val="Paperwork"/>
        <w:numPr>
          <w:ilvl w:val="12"/>
          <w:numId w:val="0"/>
        </w:numPr>
      </w:pPr>
      <w:r w:rsidRPr="009C2AE0">
        <w:t>Applicants selected for grant award are required to prepare and submit the following forms to establish the grant program:</w:t>
      </w:r>
    </w:p>
    <w:p w:rsidRPr="009C2AE0" w:rsidR="004918A2" w:rsidRDefault="004918A2" w14:paraId="779BF9C9" w14:textId="77777777">
      <w:pPr>
        <w:pStyle w:val="Paperwork"/>
        <w:numPr>
          <w:ilvl w:val="12"/>
          <w:numId w:val="0"/>
        </w:numPr>
        <w:ind w:left="720" w:hanging="720"/>
        <w:rPr>
          <w:sz w:val="20"/>
        </w:rPr>
      </w:pPr>
    </w:p>
    <w:p w:rsidRPr="009C2AE0" w:rsidR="004918A2" w:rsidP="0064761A" w:rsidRDefault="00AF2616" w14:paraId="35CA8AC8" w14:textId="77777777">
      <w:pPr>
        <w:pStyle w:val="Paperwork"/>
        <w:numPr>
          <w:ilvl w:val="0"/>
          <w:numId w:val="1"/>
        </w:numPr>
        <w:tabs>
          <w:tab w:val="left" w:pos="720"/>
        </w:tabs>
      </w:pPr>
      <w:r w:rsidRPr="009C2AE0">
        <w:t>B</w:t>
      </w:r>
      <w:r w:rsidRPr="009C2AE0" w:rsidR="004918A2">
        <w:t>udget documents (HUD Form-424</w:t>
      </w:r>
      <w:r w:rsidRPr="009C2AE0" w:rsidR="00BC6D2B">
        <w:t xml:space="preserve"> CBW</w:t>
      </w:r>
      <w:r w:rsidRPr="009C2AE0" w:rsidR="004918A2">
        <w:t xml:space="preserve">) </w:t>
      </w:r>
      <w:r w:rsidRPr="0064761A" w:rsidR="004918A2">
        <w:rPr>
          <w:szCs w:val="24"/>
        </w:rPr>
        <w:t>(OMB Approval 2501-0017)</w:t>
      </w:r>
    </w:p>
    <w:p w:rsidRPr="0064761A" w:rsidR="004918A2" w:rsidP="0064761A" w:rsidRDefault="004918A2" w14:paraId="363AF0C0" w14:textId="77777777">
      <w:pPr>
        <w:pStyle w:val="Paperwork"/>
        <w:numPr>
          <w:ilvl w:val="0"/>
          <w:numId w:val="1"/>
        </w:numPr>
        <w:tabs>
          <w:tab w:val="left" w:pos="720"/>
        </w:tabs>
        <w:rPr>
          <w:szCs w:val="24"/>
        </w:rPr>
      </w:pPr>
      <w:r w:rsidRPr="009C2AE0">
        <w:t xml:space="preserve">Standard Form 1199A, Direct Deposit Sign-Up Form </w:t>
      </w:r>
      <w:r w:rsidRPr="0064761A">
        <w:rPr>
          <w:szCs w:val="24"/>
        </w:rPr>
        <w:t>(OMB Approval 1510-007)</w:t>
      </w:r>
    </w:p>
    <w:p w:rsidRPr="009C2AE0" w:rsidR="004918A2" w:rsidP="00D5766B" w:rsidRDefault="004918A2" w14:paraId="0E32C447" w14:textId="77777777">
      <w:pPr>
        <w:pStyle w:val="Paperwork"/>
        <w:numPr>
          <w:ilvl w:val="0"/>
          <w:numId w:val="1"/>
        </w:numPr>
        <w:tabs>
          <w:tab w:val="left" w:pos="720"/>
        </w:tabs>
        <w:rPr>
          <w:sz w:val="18"/>
        </w:rPr>
      </w:pPr>
      <w:r w:rsidRPr="009C2AE0">
        <w:t>HUD Form 27054</w:t>
      </w:r>
      <w:r w:rsidR="00AB580A">
        <w:t>E</w:t>
      </w:r>
      <w:r w:rsidRPr="009C2AE0">
        <w:t xml:space="preserve">, </w:t>
      </w:r>
      <w:proofErr w:type="spellStart"/>
      <w:r w:rsidR="00AB580A">
        <w:t>e</w:t>
      </w:r>
      <w:r w:rsidRPr="009C2AE0">
        <w:t>LOCCS</w:t>
      </w:r>
      <w:proofErr w:type="spellEnd"/>
      <w:r w:rsidRPr="009C2AE0">
        <w:t xml:space="preserve"> Access Authorization </w:t>
      </w:r>
      <w:proofErr w:type="gramStart"/>
      <w:r w:rsidR="00AB580A">
        <w:t>Form</w:t>
      </w:r>
      <w:r w:rsidRPr="0064761A">
        <w:rPr>
          <w:szCs w:val="24"/>
        </w:rPr>
        <w:t>(</w:t>
      </w:r>
      <w:proofErr w:type="gramEnd"/>
      <w:r w:rsidRPr="0064761A">
        <w:rPr>
          <w:szCs w:val="24"/>
        </w:rPr>
        <w:t xml:space="preserve">OMB Approval 2535-0102) </w:t>
      </w:r>
    </w:p>
    <w:p w:rsidRPr="009C2AE0" w:rsidR="004918A2" w:rsidRDefault="004918A2" w14:paraId="4CA0990E" w14:textId="77777777">
      <w:pPr>
        <w:pStyle w:val="Paperwork"/>
        <w:tabs>
          <w:tab w:val="left" w:pos="1440"/>
        </w:tabs>
        <w:rPr>
          <w:sz w:val="18"/>
        </w:rPr>
      </w:pPr>
    </w:p>
    <w:p w:rsidRPr="009C2AE0" w:rsidR="004918A2" w:rsidP="0064761A" w:rsidRDefault="004918A2" w14:paraId="481C8FF1" w14:textId="1C6045F8">
      <w:pPr>
        <w:pStyle w:val="Paperwork"/>
        <w:tabs>
          <w:tab w:val="left" w:pos="1440"/>
        </w:tabs>
        <w:ind w:left="0" w:firstLine="0"/>
        <w:rPr>
          <w:sz w:val="18"/>
        </w:rPr>
      </w:pPr>
      <w:r w:rsidRPr="009C2AE0">
        <w:rPr>
          <w:iCs/>
        </w:rPr>
        <w:t xml:space="preserve">The Quality Assurance Plan reporting requirement applies </w:t>
      </w:r>
      <w:r w:rsidRPr="009C2AE0" w:rsidR="003332BA">
        <w:rPr>
          <w:iCs/>
        </w:rPr>
        <w:t>to</w:t>
      </w:r>
      <w:r w:rsidRPr="00A30E59" w:rsidR="003332BA">
        <w:rPr>
          <w:iCs/>
        </w:rPr>
        <w:t xml:space="preserve"> </w:t>
      </w:r>
      <w:r w:rsidR="00A42839">
        <w:t>the</w:t>
      </w:r>
      <w:r w:rsidRPr="009C2AE0" w:rsidR="003332BA">
        <w:rPr>
          <w:iCs/>
        </w:rPr>
        <w:t xml:space="preserve"> </w:t>
      </w:r>
      <w:r w:rsidRPr="009C2AE0" w:rsidR="006F42CA">
        <w:rPr>
          <w:iCs/>
        </w:rPr>
        <w:t xml:space="preserve">Lead </w:t>
      </w:r>
      <w:r w:rsidRPr="009C2AE0" w:rsidR="00E61963">
        <w:rPr>
          <w:iCs/>
        </w:rPr>
        <w:t xml:space="preserve">Technical Studies </w:t>
      </w:r>
      <w:r w:rsidRPr="009C2AE0" w:rsidR="006F42CA">
        <w:rPr>
          <w:iCs/>
        </w:rPr>
        <w:t xml:space="preserve">and </w:t>
      </w:r>
      <w:r w:rsidRPr="009C2AE0">
        <w:rPr>
          <w:iCs/>
        </w:rPr>
        <w:t>Healthy Homes Technical Stud</w:t>
      </w:r>
      <w:r w:rsidRPr="009C2AE0" w:rsidR="006F42CA">
        <w:rPr>
          <w:iCs/>
        </w:rPr>
        <w:t xml:space="preserve">ies </w:t>
      </w:r>
      <w:r w:rsidRPr="009C2AE0">
        <w:rPr>
          <w:iCs/>
        </w:rPr>
        <w:t xml:space="preserve">grantees, and contractors that are conducting research or formal project evaluations. The submitted information is reviewed by </w:t>
      </w:r>
      <w:r w:rsidR="00313155">
        <w:rPr>
          <w:iCs/>
        </w:rPr>
        <w:t>OLHCHH</w:t>
      </w:r>
      <w:r w:rsidRPr="009C2AE0">
        <w:rPr>
          <w:iCs/>
        </w:rPr>
        <w:t xml:space="preserve"> staff to ensure that the implementing organizations have incorporated appropriate and sufficient quality assurance/quality control (QA/QC) procedures into their projects.  This requirement helps HUD ensure the </w:t>
      </w:r>
      <w:r w:rsidRPr="009C2AE0">
        <w:t xml:space="preserve">quality, objectivity, utility, and integrity of the information </w:t>
      </w:r>
      <w:r w:rsidRPr="009C2AE0">
        <w:rPr>
          <w:iCs/>
        </w:rPr>
        <w:t>that is generated by these sponsored projects.</w:t>
      </w:r>
    </w:p>
    <w:bookmarkEnd w:id="0"/>
    <w:p w:rsidRPr="009C2AE0" w:rsidR="004918A2" w:rsidRDefault="004918A2" w14:paraId="0ACAF2EF" w14:textId="77777777">
      <w:pPr>
        <w:pStyle w:val="Paperwork"/>
        <w:numPr>
          <w:ilvl w:val="12"/>
          <w:numId w:val="0"/>
        </w:numPr>
        <w:ind w:left="720"/>
        <w:rPr>
          <w:sz w:val="20"/>
        </w:rPr>
      </w:pPr>
    </w:p>
    <w:p w:rsidRPr="009C2AE0" w:rsidR="004918A2" w:rsidRDefault="004918A2" w14:paraId="26D68142" w14:textId="77777777">
      <w:pPr>
        <w:pStyle w:val="Paperwork"/>
        <w:numPr>
          <w:ilvl w:val="12"/>
          <w:numId w:val="0"/>
        </w:numPr>
        <w:ind w:left="720" w:hanging="720"/>
      </w:pPr>
      <w:r w:rsidRPr="009C2AE0">
        <w:rPr>
          <w:b/>
        </w:rPr>
        <w:t>3.</w:t>
      </w:r>
      <w:r w:rsidRPr="009C2AE0">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Pr="009C2AE0" w:rsidR="004918A2" w:rsidRDefault="004918A2" w14:paraId="0E2990EE" w14:textId="77777777">
      <w:pPr>
        <w:pStyle w:val="Paperwork"/>
        <w:numPr>
          <w:ilvl w:val="12"/>
          <w:numId w:val="0"/>
        </w:numPr>
        <w:ind w:left="720" w:hanging="720"/>
      </w:pPr>
    </w:p>
    <w:p w:rsidRPr="009C2AE0" w:rsidR="004918A2" w:rsidP="0064761A" w:rsidRDefault="00313155" w14:paraId="6BA9A6AB" w14:textId="77777777">
      <w:pPr>
        <w:pStyle w:val="Paperwork"/>
        <w:numPr>
          <w:ilvl w:val="12"/>
          <w:numId w:val="0"/>
        </w:numPr>
      </w:pPr>
      <w:r w:rsidRPr="009C2AE0">
        <w:lastRenderedPageBreak/>
        <w:t xml:space="preserve">Applicants </w:t>
      </w:r>
      <w:r w:rsidRPr="009C2AE0" w:rsidR="00BC6D2B">
        <w:t xml:space="preserve">submit their applications packages through Grants.gov, an electronic submission process.  The progress reports </w:t>
      </w:r>
      <w:r w:rsidR="003C665D">
        <w:t xml:space="preserve">are </w:t>
      </w:r>
      <w:r w:rsidRPr="009C2AE0" w:rsidR="00BC6D2B">
        <w:t xml:space="preserve">submitted via the </w:t>
      </w:r>
      <w:r w:rsidR="003C665D">
        <w:t>I</w:t>
      </w:r>
      <w:r w:rsidRPr="009C2AE0" w:rsidR="00BC6D2B">
        <w:t xml:space="preserve">nternet.  </w:t>
      </w:r>
      <w:proofErr w:type="gramStart"/>
      <w:r w:rsidRPr="009C2AE0" w:rsidR="004918A2">
        <w:t>All of</w:t>
      </w:r>
      <w:proofErr w:type="gramEnd"/>
      <w:r w:rsidRPr="009C2AE0" w:rsidR="004918A2">
        <w:t xml:space="preserve"> the forms are fillable and can be completed using the widely available, free Adobe Acrobat portable document file software, or the widely available Microsoft Excel spreadsheet software used in the Department’s electronic grants submission process.  The </w:t>
      </w:r>
      <w:r w:rsidR="003C665D">
        <w:t xml:space="preserve">OLHCHH </w:t>
      </w:r>
      <w:r w:rsidRPr="009C2AE0" w:rsidR="004918A2">
        <w:t xml:space="preserve">has made many of the required forms available as spreadsheets or as word processing documents for the use of applicants. </w:t>
      </w:r>
    </w:p>
    <w:p w:rsidRPr="009C2AE0" w:rsidR="004918A2" w:rsidRDefault="004918A2" w14:paraId="666BCE67" w14:textId="77777777">
      <w:pPr>
        <w:pStyle w:val="Paperwork"/>
        <w:numPr>
          <w:ilvl w:val="12"/>
          <w:numId w:val="0"/>
        </w:numPr>
        <w:ind w:left="720" w:hanging="720"/>
      </w:pPr>
    </w:p>
    <w:p w:rsidRPr="009C2AE0" w:rsidR="004918A2" w:rsidRDefault="004918A2" w14:paraId="50DA2EFE" w14:textId="77777777">
      <w:pPr>
        <w:pStyle w:val="Paperwork"/>
        <w:numPr>
          <w:ilvl w:val="12"/>
          <w:numId w:val="0"/>
        </w:numPr>
        <w:ind w:left="720" w:hanging="720"/>
      </w:pPr>
      <w:r w:rsidRPr="009C2AE0">
        <w:rPr>
          <w:b/>
        </w:rPr>
        <w:t>4.</w:t>
      </w:r>
      <w:r w:rsidRPr="009C2AE0">
        <w:rPr>
          <w:b/>
        </w:rPr>
        <w:tab/>
        <w:t>Describe efforts to identify duplication. Show specifically why similar information already available cannot be used or modified for use for the purposes described in Item 2, above.</w:t>
      </w:r>
    </w:p>
    <w:p w:rsidRPr="009C2AE0" w:rsidR="004918A2" w:rsidRDefault="004918A2" w14:paraId="5D499D7D" w14:textId="77777777">
      <w:pPr>
        <w:pStyle w:val="Paperwork"/>
        <w:numPr>
          <w:ilvl w:val="12"/>
          <w:numId w:val="0"/>
        </w:numPr>
        <w:ind w:left="720" w:hanging="720"/>
      </w:pPr>
    </w:p>
    <w:p w:rsidRPr="009C2AE0" w:rsidR="004918A2" w:rsidP="0064761A" w:rsidRDefault="004918A2" w14:paraId="6C2BAEBB" w14:textId="34690174">
      <w:pPr>
        <w:pStyle w:val="Paperwork"/>
        <w:numPr>
          <w:ilvl w:val="12"/>
          <w:numId w:val="0"/>
        </w:numPr>
      </w:pPr>
      <w:r w:rsidRPr="009C2AE0">
        <w:t xml:space="preserve">The </w:t>
      </w:r>
      <w:r w:rsidR="00BD5547">
        <w:t xml:space="preserve">NOFAs </w:t>
      </w:r>
      <w:r w:rsidRPr="009C2AE0">
        <w:t xml:space="preserve">for Lead Hazard </w:t>
      </w:r>
      <w:r w:rsidR="00661AAE">
        <w:t xml:space="preserve">Control </w:t>
      </w:r>
      <w:r w:rsidR="00223F29">
        <w:t xml:space="preserve">and </w:t>
      </w:r>
      <w:r w:rsidRPr="009C2AE0" w:rsidR="00223F29">
        <w:t xml:space="preserve">Healthy Homes </w:t>
      </w:r>
      <w:r w:rsidRPr="009C2AE0" w:rsidR="00BD5547">
        <w:t xml:space="preserve">programs </w:t>
      </w:r>
      <w:r w:rsidRPr="009C2AE0">
        <w:t xml:space="preserve">are issued on an annual basis. There are no </w:t>
      </w:r>
      <w:r w:rsidRPr="009C2AE0" w:rsidR="000768C0">
        <w:t xml:space="preserve">similar </w:t>
      </w:r>
      <w:r w:rsidRPr="009C2AE0">
        <w:t>programs in the Department (</w:t>
      </w:r>
      <w:r w:rsidR="003C665D">
        <w:t>n</w:t>
      </w:r>
      <w:r w:rsidRPr="009C2AE0">
        <w:t>or elsewhere in the Federal Government)</w:t>
      </w:r>
      <w:r w:rsidR="000768C0">
        <w:t>.</w:t>
      </w:r>
      <w:r w:rsidRPr="009C2AE0">
        <w:t xml:space="preserve"> Since the application and reporting requirements are program- and project-specific, there is no duplication.  Collection of information </w:t>
      </w:r>
      <w:r w:rsidR="003C665D">
        <w:t xml:space="preserve">on technical studies proposals </w:t>
      </w:r>
      <w:r w:rsidRPr="009C2AE0">
        <w:t xml:space="preserve">through the QAP templates for the applicants’ proposed projects </w:t>
      </w:r>
      <w:r w:rsidR="000768C0">
        <w:t xml:space="preserve">is project-specific, </w:t>
      </w:r>
      <w:r w:rsidRPr="009C2AE0">
        <w:t>does not duplicate any other effort and will not cause any information duplication.</w:t>
      </w:r>
    </w:p>
    <w:p w:rsidRPr="009C2AE0" w:rsidR="004918A2" w:rsidRDefault="004918A2" w14:paraId="62DB3278" w14:textId="77777777">
      <w:pPr>
        <w:pStyle w:val="Paperwork"/>
        <w:numPr>
          <w:ilvl w:val="12"/>
          <w:numId w:val="0"/>
        </w:numPr>
        <w:ind w:left="720" w:hanging="720"/>
      </w:pPr>
    </w:p>
    <w:p w:rsidRPr="009C2AE0" w:rsidR="004918A2" w:rsidP="00E80B1D" w:rsidRDefault="004918A2" w14:paraId="0E2C0D39" w14:textId="77777777">
      <w:pPr>
        <w:pStyle w:val="Paperwork"/>
        <w:numPr>
          <w:ilvl w:val="12"/>
          <w:numId w:val="0"/>
        </w:numPr>
        <w:ind w:left="720" w:hanging="720"/>
        <w:rPr>
          <w:b/>
        </w:rPr>
      </w:pPr>
      <w:r w:rsidRPr="009C2AE0">
        <w:rPr>
          <w:b/>
        </w:rPr>
        <w:t>5.</w:t>
      </w:r>
      <w:r w:rsidRPr="009C2AE0">
        <w:rPr>
          <w:b/>
        </w:rPr>
        <w:tab/>
        <w:t>If the collection of information impacts small businesse</w:t>
      </w:r>
      <w:r w:rsidR="004223AA">
        <w:rPr>
          <w:b/>
        </w:rPr>
        <w:t>s or other small entities (Item </w:t>
      </w:r>
      <w:r w:rsidRPr="009C2AE0">
        <w:rPr>
          <w:b/>
        </w:rPr>
        <w:t>5 of OMB Form 83-I), describe any methods used to minimize burden.</w:t>
      </w:r>
    </w:p>
    <w:p w:rsidRPr="009C2AE0" w:rsidR="004918A2" w:rsidRDefault="004918A2" w14:paraId="4B03FF33" w14:textId="77777777">
      <w:pPr>
        <w:pStyle w:val="Paperwork"/>
        <w:numPr>
          <w:ilvl w:val="12"/>
          <w:numId w:val="0"/>
        </w:numPr>
        <w:ind w:left="720" w:hanging="720"/>
      </w:pPr>
    </w:p>
    <w:p w:rsidRPr="009C2AE0" w:rsidR="004918A2" w:rsidP="0064761A" w:rsidRDefault="004918A2" w14:paraId="736229E8" w14:textId="5A97E3F4">
      <w:pPr>
        <w:pStyle w:val="Paperwork"/>
        <w:numPr>
          <w:ilvl w:val="12"/>
          <w:numId w:val="0"/>
        </w:numPr>
      </w:pPr>
      <w:r w:rsidRPr="009C2AE0">
        <w:t xml:space="preserve">Potential applicants to several lead hazard </w:t>
      </w:r>
      <w:r w:rsidR="008F01FB">
        <w:t xml:space="preserve">control </w:t>
      </w:r>
      <w:r w:rsidR="008D416F">
        <w:t xml:space="preserve">and </w:t>
      </w:r>
      <w:r w:rsidRPr="009C2AE0" w:rsidR="0041013D">
        <w:t xml:space="preserve">healthy homes </w:t>
      </w:r>
      <w:r w:rsidRPr="009C2AE0" w:rsidR="008F01FB">
        <w:t xml:space="preserve">programs </w:t>
      </w:r>
      <w:r w:rsidRPr="009C2AE0">
        <w:t xml:space="preserve">include not-for-profit institutions and for-profit firms located in the </w:t>
      </w:r>
      <w:smartTag w:uri="urn:schemas-microsoft-com:office:smarttags" w:element="country-region">
        <w:smartTag w:uri="urn:schemas-microsoft-com:office:smarttags" w:element="place">
          <w:r w:rsidRPr="009C2AE0">
            <w:t>U.S.</w:t>
          </w:r>
        </w:smartTag>
      </w:smartTag>
      <w:r w:rsidRPr="009C2AE0">
        <w:t xml:space="preserve">  The NOFA includes comprehensive guidance, electronic forms, and ready-to-fill tables to facilitate responding to the NOFA.</w:t>
      </w:r>
    </w:p>
    <w:p w:rsidRPr="009C2AE0" w:rsidR="004918A2" w:rsidP="0064761A" w:rsidRDefault="004918A2" w14:paraId="17EE9614" w14:textId="77777777">
      <w:pPr>
        <w:pStyle w:val="Paperwork"/>
        <w:numPr>
          <w:ilvl w:val="12"/>
          <w:numId w:val="0"/>
        </w:numPr>
      </w:pPr>
    </w:p>
    <w:p w:rsidRPr="009C2AE0" w:rsidR="004918A2" w:rsidP="0064761A" w:rsidRDefault="004223AA" w14:paraId="37004D37" w14:textId="77777777">
      <w:pPr>
        <w:pStyle w:val="BodyTextIndent"/>
        <w:spacing w:line="240" w:lineRule="auto"/>
        <w:rPr>
          <w:sz w:val="24"/>
          <w:szCs w:val="24"/>
        </w:rPr>
      </w:pPr>
      <w:r w:rsidRPr="009C2AE0">
        <w:rPr>
          <w:sz w:val="24"/>
          <w:szCs w:val="24"/>
        </w:rPr>
        <w:t xml:space="preserve">A </w:t>
      </w:r>
      <w:r w:rsidRPr="009C2AE0" w:rsidR="004918A2">
        <w:rPr>
          <w:sz w:val="24"/>
          <w:szCs w:val="24"/>
        </w:rPr>
        <w:t xml:space="preserve">small business awarded a grant or contract to conduct research or formal project </w:t>
      </w:r>
      <w:proofErr w:type="spellStart"/>
      <w:r w:rsidRPr="009C2AE0" w:rsidR="004918A2">
        <w:rPr>
          <w:sz w:val="24"/>
          <w:szCs w:val="24"/>
        </w:rPr>
        <w:t>evaluationsis</w:t>
      </w:r>
      <w:proofErr w:type="spellEnd"/>
      <w:r w:rsidRPr="009C2AE0" w:rsidR="004918A2">
        <w:rPr>
          <w:sz w:val="24"/>
          <w:szCs w:val="24"/>
        </w:rPr>
        <w:t xml:space="preserve"> required to submit a QAP</w:t>
      </w:r>
      <w:r>
        <w:rPr>
          <w:sz w:val="24"/>
          <w:szCs w:val="24"/>
        </w:rPr>
        <w:t xml:space="preserve"> (as is any other grantee)</w:t>
      </w:r>
      <w:r w:rsidRPr="009C2AE0" w:rsidR="004918A2">
        <w:rPr>
          <w:sz w:val="24"/>
          <w:szCs w:val="24"/>
        </w:rPr>
        <w:t xml:space="preserve">.  Burden reduction is reflected in the formats of the two QAP templates.  The </w:t>
      </w:r>
      <w:r w:rsidR="00313155">
        <w:rPr>
          <w:sz w:val="24"/>
          <w:szCs w:val="24"/>
        </w:rPr>
        <w:t>OLHCHH</w:t>
      </w:r>
      <w:r w:rsidRPr="009C2AE0" w:rsidR="004918A2">
        <w:rPr>
          <w:sz w:val="24"/>
          <w:szCs w:val="24"/>
        </w:rPr>
        <w:t xml:space="preserve"> created the templates by streamlining existing QAP formats used by other federal </w:t>
      </w:r>
      <w:r w:rsidRPr="009C2AE0" w:rsidR="00383213">
        <w:rPr>
          <w:sz w:val="24"/>
          <w:szCs w:val="24"/>
        </w:rPr>
        <w:t xml:space="preserve">agencies </w:t>
      </w:r>
      <w:proofErr w:type="gramStart"/>
      <w:r w:rsidRPr="009C2AE0" w:rsidR="00383213">
        <w:rPr>
          <w:sz w:val="24"/>
          <w:szCs w:val="24"/>
        </w:rPr>
        <w:t>in</w:t>
      </w:r>
      <w:r w:rsidRPr="009C2AE0" w:rsidR="004918A2">
        <w:rPr>
          <w:sz w:val="24"/>
          <w:szCs w:val="24"/>
        </w:rPr>
        <w:t xml:space="preserve"> order to</w:t>
      </w:r>
      <w:proofErr w:type="gramEnd"/>
      <w:r w:rsidRPr="009C2AE0" w:rsidR="004918A2">
        <w:rPr>
          <w:sz w:val="24"/>
          <w:szCs w:val="24"/>
        </w:rPr>
        <w:t xml:space="preserve"> reduce the burden on grantees and contractors, including small businesses.  The Office also created separate QAP templates for Technical Studies</w:t>
      </w:r>
      <w:r>
        <w:rPr>
          <w:sz w:val="24"/>
          <w:szCs w:val="24"/>
        </w:rPr>
        <w:t xml:space="preserve"> grantees</w:t>
      </w:r>
      <w:r w:rsidRPr="009C2AE0" w:rsidR="004918A2">
        <w:rPr>
          <w:sz w:val="24"/>
          <w:szCs w:val="24"/>
        </w:rPr>
        <w:t xml:space="preserve"> </w:t>
      </w:r>
      <w:r w:rsidRPr="00F877E1" w:rsidR="004918A2">
        <w:rPr>
          <w:sz w:val="24"/>
          <w:szCs w:val="24"/>
        </w:rPr>
        <w:t xml:space="preserve">and </w:t>
      </w:r>
      <w:r w:rsidRPr="00F877E1" w:rsidR="006F42CA">
        <w:rPr>
          <w:sz w:val="24"/>
        </w:rPr>
        <w:t>Asthma Interventions in Public and Assisted Multifamily Housing</w:t>
      </w:r>
      <w:r w:rsidRPr="00F877E1" w:rsidR="004918A2">
        <w:rPr>
          <w:sz w:val="24"/>
          <w:szCs w:val="24"/>
        </w:rPr>
        <w:t xml:space="preserve"> g</w:t>
      </w:r>
      <w:r w:rsidRPr="009C2AE0" w:rsidR="004918A2">
        <w:rPr>
          <w:sz w:val="24"/>
          <w:szCs w:val="24"/>
        </w:rPr>
        <w:t xml:space="preserve">rantees in order to reflect the different quality assurance requirements for </w:t>
      </w:r>
      <w:r w:rsidRPr="00F877E1" w:rsidR="004918A2">
        <w:rPr>
          <w:sz w:val="24"/>
          <w:szCs w:val="24"/>
        </w:rPr>
        <w:t>the two types</w:t>
      </w:r>
      <w:r w:rsidRPr="009C2AE0" w:rsidR="004918A2">
        <w:rPr>
          <w:sz w:val="24"/>
          <w:szCs w:val="24"/>
        </w:rPr>
        <w:t xml:space="preserve"> of grant programs (i.e., more information from grantees under the Technical Studies Programs because</w:t>
      </w:r>
      <w:r w:rsidRPr="009C2AE0" w:rsidR="009C2AE0">
        <w:rPr>
          <w:rFonts w:cs="Courier New"/>
          <w:sz w:val="24"/>
          <w:szCs w:val="24"/>
        </w:rPr>
        <w:t xml:space="preserve"> </w:t>
      </w:r>
      <w:r w:rsidRPr="009C2AE0" w:rsidR="004918A2">
        <w:rPr>
          <w:sz w:val="24"/>
          <w:szCs w:val="24"/>
        </w:rPr>
        <w:t xml:space="preserve">they are conducting research, which has more stringent quality requirements regarding newly discovered types of knowledge, </w:t>
      </w:r>
      <w:r w:rsidRPr="00F877E1" w:rsidR="004918A2">
        <w:rPr>
          <w:sz w:val="24"/>
          <w:szCs w:val="24"/>
        </w:rPr>
        <w:t xml:space="preserve">and less information from grantees under the </w:t>
      </w:r>
      <w:r w:rsidRPr="00F877E1" w:rsidR="006F42CA">
        <w:rPr>
          <w:sz w:val="24"/>
        </w:rPr>
        <w:t>Asthma Interventions in Public and Assisted Multifamily Housing Programs</w:t>
      </w:r>
      <w:r w:rsidRPr="00F877E1" w:rsidR="004918A2">
        <w:rPr>
          <w:sz w:val="24"/>
          <w:szCs w:val="24"/>
        </w:rPr>
        <w:t xml:space="preserve"> because they are conducting program evaluation).</w:t>
      </w:r>
      <w:r w:rsidRPr="001C20B6" w:rsidR="004918A2">
        <w:rPr>
          <w:sz w:val="24"/>
          <w:szCs w:val="24"/>
        </w:rPr>
        <w:t xml:space="preserve"> </w:t>
      </w:r>
      <w:r w:rsidRPr="009C2AE0" w:rsidR="004918A2">
        <w:rPr>
          <w:sz w:val="24"/>
          <w:szCs w:val="24"/>
        </w:rPr>
        <w:t xml:space="preserve">This appropriately reduces the burden on the small businesses and other organizations that are recipients of </w:t>
      </w:r>
      <w:r w:rsidRPr="009C2AE0" w:rsidR="006F42CA">
        <w:rPr>
          <w:sz w:val="24"/>
        </w:rPr>
        <w:t>Asthma Interventions in Public and Assisted Multifamily Housing</w:t>
      </w:r>
      <w:r w:rsidRPr="009C2AE0" w:rsidR="004918A2">
        <w:rPr>
          <w:sz w:val="24"/>
          <w:szCs w:val="24"/>
        </w:rPr>
        <w:t xml:space="preserve"> grants. </w:t>
      </w:r>
    </w:p>
    <w:p w:rsidRPr="009C2AE0" w:rsidR="004918A2" w:rsidRDefault="004918A2" w14:paraId="219F098E" w14:textId="77777777">
      <w:pPr>
        <w:pStyle w:val="Paperwork"/>
        <w:numPr>
          <w:ilvl w:val="12"/>
          <w:numId w:val="0"/>
        </w:numPr>
        <w:ind w:left="720" w:hanging="720"/>
      </w:pPr>
      <w:r w:rsidRPr="009C2AE0">
        <w:rPr>
          <w:b/>
        </w:rPr>
        <w:t>6.</w:t>
      </w:r>
      <w:r w:rsidRPr="009C2AE0">
        <w:rPr>
          <w:b/>
        </w:rPr>
        <w:tab/>
        <w:t>Describe the consequences to Federal program or policy activities if the collection is not conducted or is conducted less frequently, as well as any technical or legal obstacles to reducing burden.</w:t>
      </w:r>
    </w:p>
    <w:p w:rsidRPr="009C2AE0" w:rsidR="004918A2" w:rsidRDefault="004918A2" w14:paraId="6D3E4681" w14:textId="77777777">
      <w:pPr>
        <w:pStyle w:val="Paperwork"/>
        <w:numPr>
          <w:ilvl w:val="12"/>
          <w:numId w:val="0"/>
        </w:numPr>
        <w:ind w:left="720" w:hanging="720"/>
      </w:pPr>
    </w:p>
    <w:p w:rsidRPr="009C2AE0" w:rsidR="004918A2" w:rsidP="0064761A" w:rsidRDefault="004918A2" w14:paraId="0923AC5E" w14:textId="77777777">
      <w:pPr>
        <w:pStyle w:val="Paperwork"/>
        <w:numPr>
          <w:ilvl w:val="12"/>
          <w:numId w:val="0"/>
        </w:numPr>
      </w:pPr>
      <w:r w:rsidRPr="009C2AE0">
        <w:t>If the solicitation for grant applications is not conducted (or is conducted less frequently), the funds appropriated for healthy homes and lead hazard grants would not be available to state and local governments, and the private sector.  Under HUD’s appropriations</w:t>
      </w:r>
      <w:r w:rsidRPr="009C2AE0" w:rsidR="005310CD">
        <w:t xml:space="preserve"> in recent years (e.g., </w:t>
      </w:r>
      <w:r w:rsidRPr="009C2AE0" w:rsidR="005310CD">
        <w:lastRenderedPageBreak/>
        <w:t xml:space="preserve">P.L. </w:t>
      </w:r>
      <w:r w:rsidR="00EF3BFE">
        <w:t>11</w:t>
      </w:r>
      <w:r w:rsidR="003B15EB">
        <w:t>4</w:t>
      </w:r>
      <w:r w:rsidR="00EF3BFE">
        <w:t>-</w:t>
      </w:r>
      <w:r w:rsidR="003B15EB">
        <w:t>113</w:t>
      </w:r>
      <w:r w:rsidRPr="009C2AE0" w:rsidR="005310CD">
        <w:t>; Consolidated Appropriations Act</w:t>
      </w:r>
      <w:r w:rsidRPr="009C2AE0">
        <w:t>, 20</w:t>
      </w:r>
      <w:r w:rsidRPr="009C2AE0" w:rsidR="005310CD">
        <w:t>1</w:t>
      </w:r>
      <w:r w:rsidR="003B15EB">
        <w:t>7</w:t>
      </w:r>
      <w:r w:rsidRPr="009C2AE0">
        <w:t>), non-competitive grant awards are not permitted.  Under Section 515 of the Treasury and General Government Appropriations Act for Fiscal Year 2001, the Department has implemented Information Quality Guidelines, which require the Quality Assurance Plan information being collected by research and program evaluation grantees and contractors.</w:t>
      </w:r>
    </w:p>
    <w:p w:rsidRPr="009C2AE0" w:rsidR="004918A2" w:rsidRDefault="004918A2" w14:paraId="38983C09" w14:textId="77777777">
      <w:pPr>
        <w:pStyle w:val="Paperwork"/>
        <w:numPr>
          <w:ilvl w:val="12"/>
          <w:numId w:val="0"/>
        </w:numPr>
        <w:ind w:left="720" w:hanging="720"/>
      </w:pPr>
    </w:p>
    <w:p w:rsidRPr="009C2AE0" w:rsidR="004918A2" w:rsidRDefault="004918A2" w14:paraId="4343ED5A" w14:textId="77777777">
      <w:pPr>
        <w:pStyle w:val="Paperwork"/>
        <w:numPr>
          <w:ilvl w:val="12"/>
          <w:numId w:val="0"/>
        </w:numPr>
        <w:ind w:left="720" w:hanging="720"/>
      </w:pPr>
      <w:r w:rsidRPr="009C2AE0">
        <w:rPr>
          <w:b/>
        </w:rPr>
        <w:t>7.</w:t>
      </w:r>
      <w:r w:rsidRPr="009C2AE0">
        <w:rPr>
          <w:b/>
        </w:rPr>
        <w:tab/>
        <w:t>Explain any special circumstances that would cause an information collection to be conducted in a specific manner.</w:t>
      </w:r>
    </w:p>
    <w:p w:rsidRPr="009C2AE0" w:rsidR="004918A2" w:rsidRDefault="004918A2" w14:paraId="1FF5657F" w14:textId="77777777">
      <w:pPr>
        <w:pStyle w:val="Paperwork"/>
        <w:numPr>
          <w:ilvl w:val="12"/>
          <w:numId w:val="0"/>
        </w:numPr>
        <w:ind w:left="720" w:hanging="720"/>
      </w:pPr>
    </w:p>
    <w:p w:rsidRPr="009C2AE0" w:rsidR="004918A2" w:rsidP="0064761A" w:rsidRDefault="004918A2" w14:paraId="24437DC6" w14:textId="77777777">
      <w:pPr>
        <w:pStyle w:val="Paperwork"/>
        <w:numPr>
          <w:ilvl w:val="12"/>
          <w:numId w:val="0"/>
        </w:numPr>
      </w:pPr>
      <w:r w:rsidRPr="009C2AE0">
        <w:t>The requirements for application are such that there are no conditions that would require applicants to conform to any specific method of information collection.</w:t>
      </w:r>
    </w:p>
    <w:p w:rsidRPr="009C2AE0" w:rsidR="004918A2" w:rsidRDefault="004918A2" w14:paraId="4C3CD717" w14:textId="77777777">
      <w:pPr>
        <w:pStyle w:val="Paperwork"/>
        <w:numPr>
          <w:ilvl w:val="12"/>
          <w:numId w:val="0"/>
        </w:numPr>
        <w:ind w:left="720" w:hanging="720"/>
      </w:pPr>
    </w:p>
    <w:p w:rsidRPr="009C2AE0" w:rsidR="004918A2" w:rsidRDefault="004918A2" w14:paraId="5514761B" w14:textId="77777777">
      <w:pPr>
        <w:pStyle w:val="Paperwork"/>
        <w:numPr>
          <w:ilvl w:val="12"/>
          <w:numId w:val="0"/>
        </w:numPr>
        <w:ind w:left="720" w:hanging="720"/>
      </w:pPr>
      <w:r w:rsidRPr="009C2AE0">
        <w:rPr>
          <w:b/>
        </w:rPr>
        <w:t>8.</w:t>
      </w:r>
      <w:r w:rsidRPr="009C2AE0">
        <w:rPr>
          <w:b/>
        </w:rPr>
        <w:tab/>
        <w:t xml:space="preserve">If applicable, provide a copy and identify the date and page number of </w:t>
      </w:r>
      <w:proofErr w:type="gramStart"/>
      <w:r w:rsidRPr="009C2AE0">
        <w:rPr>
          <w:b/>
        </w:rPr>
        <w:t>publication</w:t>
      </w:r>
      <w:proofErr w:type="gramEnd"/>
      <w:r w:rsidRPr="009C2AE0">
        <w:rPr>
          <w:b/>
        </w:rPr>
        <w:t xml:space="preserve"> in the Federal Register of the agency's notice, as required by 5 CFR 1320.8(3), soliciting comments on the information collection prior to submission to OMB. Summarize public comments received in response to that notice and actions by the agency.</w:t>
      </w:r>
    </w:p>
    <w:p w:rsidRPr="009C2AE0" w:rsidR="004918A2" w:rsidRDefault="004918A2" w14:paraId="0D03C11A" w14:textId="77777777">
      <w:pPr>
        <w:pStyle w:val="Paperwork"/>
        <w:numPr>
          <w:ilvl w:val="12"/>
          <w:numId w:val="0"/>
        </w:numPr>
        <w:ind w:left="720" w:hanging="720"/>
      </w:pPr>
    </w:p>
    <w:p w:rsidRPr="006D3A5C" w:rsidR="004918A2" w:rsidP="004701D3" w:rsidRDefault="004918A2" w14:paraId="6413CD5F" w14:textId="4D31C9A5">
      <w:r w:rsidRPr="009C2AE0">
        <w:t xml:space="preserve">Our </w:t>
      </w:r>
      <w:r w:rsidR="00E375FA">
        <w:t xml:space="preserve">60-day </w:t>
      </w:r>
      <w:r w:rsidRPr="009C2AE0">
        <w:t xml:space="preserve">notice appeared on page </w:t>
      </w:r>
      <w:r w:rsidRPr="004701D3" w:rsidR="00F07D33">
        <w:t xml:space="preserve">19951 </w:t>
      </w:r>
      <w:r w:rsidR="002A45A0">
        <w:t xml:space="preserve">of volume </w:t>
      </w:r>
      <w:r w:rsidRPr="004701D3" w:rsidR="00115F7C">
        <w:t>85</w:t>
      </w:r>
      <w:r w:rsidR="004F6339">
        <w:t xml:space="preserve"> </w:t>
      </w:r>
      <w:r w:rsidR="002A45A0">
        <w:t xml:space="preserve">of </w:t>
      </w:r>
      <w:r w:rsidRPr="009C2AE0" w:rsidR="00FD3D1C">
        <w:t>the</w:t>
      </w:r>
      <w:r w:rsidRPr="004701D3" w:rsidR="00FD3D1C">
        <w:t xml:space="preserve"> </w:t>
      </w:r>
      <w:r w:rsidRPr="004701D3" w:rsidR="00FD3D1C">
        <w:rPr>
          <w:iCs/>
        </w:rPr>
        <w:t>Federal Register</w:t>
      </w:r>
      <w:r w:rsidRPr="004701D3" w:rsidR="004016D2">
        <w:rPr>
          <w:iCs/>
        </w:rPr>
        <w:t xml:space="preserve">, </w:t>
      </w:r>
      <w:r w:rsidRPr="004701D3" w:rsidR="00F07D33">
        <w:rPr>
          <w:iCs/>
        </w:rPr>
        <w:t>Thursday, April 9, 2020</w:t>
      </w:r>
      <w:r w:rsidRPr="004701D3" w:rsidR="004016D2">
        <w:t>.</w:t>
      </w:r>
      <w:r w:rsidRPr="004701D3" w:rsidR="00FD3D1C">
        <w:t xml:space="preserve"> </w:t>
      </w:r>
      <w:r w:rsidR="004016D2">
        <w:t>(</w:t>
      </w:r>
      <w:hyperlink w:history="1" r:id="rId11">
        <w:r w:rsidR="00894996">
          <w:rPr>
            <w:rStyle w:val="Hyperlink"/>
          </w:rPr>
          <w:t>https://www.govinfo.gov/content/pkg/FR-2020-04-09/pdf/2020-07465.pdf</w:t>
        </w:r>
      </w:hyperlink>
      <w:r w:rsidRPr="004701D3" w:rsidR="004016D2">
        <w:t>)</w:t>
      </w:r>
      <w:r w:rsidRPr="004701D3" w:rsidR="0044033F">
        <w:rPr>
          <w:i/>
          <w:iCs/>
        </w:rPr>
        <w:t>,</w:t>
      </w:r>
      <w:r w:rsidRPr="004701D3" w:rsidR="00280D38">
        <w:t xml:space="preserve"> </w:t>
      </w:r>
      <w:r w:rsidRPr="009C2AE0">
        <w:t xml:space="preserve">that solicited public comment regarding this request to OMB to </w:t>
      </w:r>
      <w:r w:rsidR="000768C0">
        <w:t>renew</w:t>
      </w:r>
      <w:r w:rsidRPr="009C2AE0" w:rsidR="000768C0">
        <w:t xml:space="preserve"> </w:t>
      </w:r>
      <w:r w:rsidRPr="009C2AE0">
        <w:t>its approval concerning the Notices of Funding Availability for Lead Hazard</w:t>
      </w:r>
      <w:r w:rsidR="007E36D6">
        <w:t xml:space="preserve"> Control and</w:t>
      </w:r>
      <w:r w:rsidRPr="009C2AE0">
        <w:t xml:space="preserve"> </w:t>
      </w:r>
      <w:r w:rsidRPr="009C2AE0" w:rsidR="007E36D6">
        <w:t xml:space="preserve">Healthy Homes </w:t>
      </w:r>
      <w:r w:rsidR="007A4B5C">
        <w:t>Programs.</w:t>
      </w:r>
      <w:r w:rsidR="0089102A">
        <w:t xml:space="preserve">  </w:t>
      </w:r>
      <w:r w:rsidR="006557A8">
        <w:t>A single question was received and responded to regarding the forms listed in OMB 2539-0015.</w:t>
      </w:r>
    </w:p>
    <w:p w:rsidRPr="009C2AE0" w:rsidR="004918A2" w:rsidRDefault="004918A2" w14:paraId="66BAA7ED" w14:textId="77777777">
      <w:pPr>
        <w:pStyle w:val="Paperwork"/>
        <w:numPr>
          <w:ilvl w:val="12"/>
          <w:numId w:val="0"/>
        </w:numPr>
        <w:ind w:left="720" w:hanging="720"/>
      </w:pPr>
    </w:p>
    <w:p w:rsidRPr="009C2AE0" w:rsidR="004918A2" w:rsidRDefault="004918A2" w14:paraId="21C916F3" w14:textId="77777777">
      <w:pPr>
        <w:pStyle w:val="Paperwork"/>
        <w:numPr>
          <w:ilvl w:val="12"/>
          <w:numId w:val="0"/>
        </w:numPr>
        <w:ind w:left="720" w:hanging="720"/>
      </w:pPr>
      <w:r w:rsidRPr="009C2AE0">
        <w:rPr>
          <w:b/>
        </w:rPr>
        <w:t>9.</w:t>
      </w:r>
      <w:r w:rsidRPr="009C2AE0">
        <w:rPr>
          <w:b/>
        </w:rPr>
        <w:tab/>
        <w:t>Explain any decision to provide any payment or gift to respondents, other than remuneration of contractors or grantees.</w:t>
      </w:r>
    </w:p>
    <w:p w:rsidRPr="009C2AE0" w:rsidR="004918A2" w:rsidRDefault="004918A2" w14:paraId="3A8238AD" w14:textId="77777777">
      <w:pPr>
        <w:pStyle w:val="Paperwork"/>
        <w:numPr>
          <w:ilvl w:val="12"/>
          <w:numId w:val="0"/>
        </w:numPr>
        <w:ind w:left="720" w:hanging="720"/>
      </w:pPr>
    </w:p>
    <w:p w:rsidRPr="009C2AE0" w:rsidR="004918A2" w:rsidRDefault="004918A2" w14:paraId="30C51ADE" w14:textId="77777777">
      <w:pPr>
        <w:pStyle w:val="Paperwork"/>
        <w:numPr>
          <w:ilvl w:val="12"/>
          <w:numId w:val="0"/>
        </w:numPr>
        <w:ind w:left="720" w:hanging="720"/>
      </w:pPr>
      <w:r w:rsidRPr="009C2AE0">
        <w:t>There will be no payment or gift to respondents.</w:t>
      </w:r>
    </w:p>
    <w:p w:rsidRPr="009C2AE0" w:rsidR="004918A2" w:rsidRDefault="004918A2" w14:paraId="14A47E35" w14:textId="77777777">
      <w:pPr>
        <w:pStyle w:val="Paperwork"/>
        <w:numPr>
          <w:ilvl w:val="12"/>
          <w:numId w:val="0"/>
        </w:numPr>
        <w:ind w:left="720" w:hanging="720"/>
      </w:pPr>
    </w:p>
    <w:p w:rsidRPr="009C2AE0" w:rsidR="00D77BE0" w:rsidP="00D77BE0" w:rsidRDefault="004918A2" w14:paraId="058A7CA4" w14:textId="77777777">
      <w:pPr>
        <w:pStyle w:val="Paperwork"/>
        <w:numPr>
          <w:ilvl w:val="12"/>
          <w:numId w:val="0"/>
        </w:numPr>
        <w:ind w:left="720" w:hanging="720"/>
        <w:rPr>
          <w:b/>
        </w:rPr>
      </w:pPr>
      <w:r w:rsidRPr="009C2AE0">
        <w:rPr>
          <w:b/>
        </w:rPr>
        <w:t>10.</w:t>
      </w:r>
      <w:r w:rsidRPr="009C2AE0">
        <w:rPr>
          <w:b/>
        </w:rPr>
        <w:tab/>
        <w:t>Describe any assurance of confidentiality provided to respondents and the basis for the assurance in statute, regulations, or agency policy.</w:t>
      </w:r>
    </w:p>
    <w:p w:rsidRPr="009C2AE0" w:rsidR="00D77BE0" w:rsidP="00D77BE0" w:rsidRDefault="00D77BE0" w14:paraId="2CDC5AB3" w14:textId="77777777">
      <w:pPr>
        <w:pStyle w:val="Paperwork"/>
        <w:numPr>
          <w:ilvl w:val="12"/>
          <w:numId w:val="0"/>
        </w:numPr>
        <w:ind w:left="720" w:hanging="720"/>
        <w:rPr>
          <w:b/>
        </w:rPr>
      </w:pPr>
    </w:p>
    <w:p w:rsidRPr="009C2AE0" w:rsidR="004918A2" w:rsidP="0064761A" w:rsidRDefault="004918A2" w14:paraId="1C904492" w14:textId="77777777">
      <w:pPr>
        <w:pStyle w:val="Paperwork"/>
        <w:numPr>
          <w:ilvl w:val="12"/>
          <w:numId w:val="0"/>
        </w:numPr>
      </w:pPr>
      <w:r w:rsidRPr="009C2AE0">
        <w:t>All HUD staff members assigned to evaluate applications are subject to Section 103 of the H</w:t>
      </w:r>
      <w:r w:rsidR="00B075E0">
        <w:t xml:space="preserve">ousing and </w:t>
      </w:r>
      <w:r w:rsidRPr="009C2AE0">
        <w:t>U</w:t>
      </w:r>
      <w:r w:rsidR="00B075E0">
        <w:t xml:space="preserve">rban </w:t>
      </w:r>
      <w:r w:rsidRPr="009C2AE0">
        <w:t>D</w:t>
      </w:r>
      <w:r w:rsidR="00B075E0">
        <w:t>evelopment</w:t>
      </w:r>
      <w:r w:rsidRPr="009C2AE0">
        <w:t xml:space="preserve"> Reform Act</w:t>
      </w:r>
      <w:r w:rsidR="00B075E0">
        <w:t xml:space="preserve"> of 1989 (P.L. 101-235)</w:t>
      </w:r>
      <w:r w:rsidRPr="009C2AE0">
        <w:t xml:space="preserve">. That </w:t>
      </w:r>
      <w:proofErr w:type="gramStart"/>
      <w:r w:rsidRPr="009C2AE0">
        <w:t>section,  “</w:t>
      </w:r>
      <w:proofErr w:type="gramEnd"/>
      <w:r w:rsidRPr="009C2AE0">
        <w:t xml:space="preserve">Prohibitions Against Advance Disclosures of Funding Decisions,” imposes civil and other sanctions on </w:t>
      </w:r>
      <w:r w:rsidR="00B075E0">
        <w:t xml:space="preserve">HUD </w:t>
      </w:r>
      <w:r w:rsidRPr="009C2AE0">
        <w:t xml:space="preserve">employees </w:t>
      </w:r>
      <w:r w:rsidR="00F7598A">
        <w:t xml:space="preserve">who </w:t>
      </w:r>
      <w:r w:rsidRPr="009C2AE0">
        <w:t>improperly disclose covered information</w:t>
      </w:r>
      <w:r w:rsidR="00B075E0">
        <w:t xml:space="preserve"> during the selection process (</w:t>
      </w:r>
      <w:r w:rsidRPr="00B075E0" w:rsidR="00B075E0">
        <w:t>42 USC 3537a</w:t>
      </w:r>
      <w:r w:rsidR="00B075E0">
        <w:t>)</w:t>
      </w:r>
      <w:r w:rsidRPr="009C2AE0">
        <w:t xml:space="preserve">. Applicants and grantees may identify specific sections of their applications that they claim to be protected as confidential or proprietary. </w:t>
      </w:r>
      <w:r w:rsidRPr="009C2AE0" w:rsidR="007941B7">
        <w:rPr>
          <w:bCs/>
          <w:color w:val="000000"/>
        </w:rPr>
        <w:t>Applications for grant assistance submitted to HUD will be subject to Freedom of Information Act (FOIA) requirements. “Trade secret</w:t>
      </w:r>
      <w:r w:rsidR="009C2AE0">
        <w:rPr>
          <w:bCs/>
          <w:color w:val="000000"/>
        </w:rPr>
        <w:t xml:space="preserve">s and commercial </w:t>
      </w:r>
      <w:r w:rsidRPr="009C2AE0" w:rsidR="007941B7">
        <w:rPr>
          <w:bCs/>
          <w:color w:val="000000"/>
        </w:rPr>
        <w:t xml:space="preserve">or financial information obtained from a person </w:t>
      </w:r>
      <w:r w:rsidR="001362BD">
        <w:rPr>
          <w:bCs/>
          <w:color w:val="000000"/>
        </w:rPr>
        <w:t>(that is)</w:t>
      </w:r>
      <w:r w:rsidRPr="009C2AE0" w:rsidR="007941B7">
        <w:rPr>
          <w:bCs/>
          <w:color w:val="000000"/>
        </w:rPr>
        <w:t xml:space="preserve"> privileged or confidential” are specifically exempted from release under</w:t>
      </w:r>
      <w:r w:rsidRPr="009C2AE0" w:rsidR="006F42CA">
        <w:rPr>
          <w:bCs/>
          <w:color w:val="000000"/>
        </w:rPr>
        <w:t xml:space="preserve"> FOIA pursuant to 5 U.S.C. 552(b)</w:t>
      </w:r>
      <w:r w:rsidRPr="009C2AE0" w:rsidR="007941B7">
        <w:rPr>
          <w:bCs/>
          <w:color w:val="000000"/>
        </w:rPr>
        <w:t xml:space="preserve">(4).  </w:t>
      </w:r>
      <w:r w:rsidRPr="009C2AE0">
        <w:t>Certain aspects of a recipient’s reports may not be released if they are determined to possess confidential or proprietary information. Applications not otherwise protected may be released under the Freedom of Information Act.</w:t>
      </w:r>
    </w:p>
    <w:p w:rsidRPr="009C2AE0" w:rsidR="004918A2" w:rsidP="00ED39A1" w:rsidRDefault="004918A2" w14:paraId="65A349B6" w14:textId="77777777">
      <w:pPr>
        <w:pStyle w:val="Paperwork"/>
        <w:numPr>
          <w:ilvl w:val="12"/>
          <w:numId w:val="0"/>
        </w:numPr>
        <w:ind w:left="432" w:hanging="720"/>
      </w:pPr>
    </w:p>
    <w:p w:rsidRPr="009C2AE0" w:rsidR="004918A2" w:rsidRDefault="004918A2" w14:paraId="444FBF8E" w14:textId="77777777">
      <w:pPr>
        <w:pStyle w:val="Paperwork"/>
        <w:numPr>
          <w:ilvl w:val="12"/>
          <w:numId w:val="0"/>
        </w:numPr>
        <w:ind w:left="720" w:hanging="720"/>
      </w:pPr>
      <w:r w:rsidRPr="009C2AE0">
        <w:rPr>
          <w:b/>
        </w:rPr>
        <w:lastRenderedPageBreak/>
        <w:t>11.</w:t>
      </w:r>
      <w:r w:rsidRPr="009C2AE0">
        <w:rPr>
          <w:b/>
        </w:rPr>
        <w:tab/>
        <w:t>Provide additional justification for any questions of a sensitive nature, such as sexual behavior and attitudes, religious beliefs, and other matters that are commonly considered private.</w:t>
      </w:r>
    </w:p>
    <w:p w:rsidRPr="009C2AE0" w:rsidR="004918A2" w:rsidRDefault="004918A2" w14:paraId="42748EC4" w14:textId="77777777">
      <w:pPr>
        <w:pStyle w:val="Paperwork"/>
        <w:numPr>
          <w:ilvl w:val="12"/>
          <w:numId w:val="0"/>
        </w:numPr>
        <w:ind w:left="720" w:hanging="720"/>
      </w:pPr>
    </w:p>
    <w:p w:rsidRPr="009C2AE0" w:rsidR="004918A2" w:rsidRDefault="004918A2" w14:paraId="0C95C96D" w14:textId="77777777">
      <w:pPr>
        <w:pStyle w:val="Paperwork"/>
        <w:numPr>
          <w:ilvl w:val="12"/>
          <w:numId w:val="0"/>
        </w:numPr>
        <w:ind w:left="720" w:hanging="720"/>
      </w:pPr>
      <w:r w:rsidRPr="009C2AE0">
        <w:t>No questions of a sensitive nature are asked during either the application or post-award process.</w:t>
      </w:r>
    </w:p>
    <w:p w:rsidRPr="009C2AE0" w:rsidR="004918A2" w:rsidRDefault="004918A2" w14:paraId="695D145D" w14:textId="77777777">
      <w:pPr>
        <w:pStyle w:val="Paperwork"/>
        <w:numPr>
          <w:ilvl w:val="12"/>
          <w:numId w:val="0"/>
        </w:numPr>
        <w:ind w:left="720" w:hanging="720"/>
      </w:pPr>
    </w:p>
    <w:p w:rsidRPr="009C2AE0" w:rsidR="004918A2" w:rsidRDefault="004918A2" w14:paraId="32E335B6" w14:textId="77777777">
      <w:pPr>
        <w:pStyle w:val="Paperwork"/>
        <w:numPr>
          <w:ilvl w:val="12"/>
          <w:numId w:val="0"/>
        </w:numPr>
        <w:ind w:left="720" w:hanging="720"/>
      </w:pPr>
      <w:r w:rsidRPr="009C2AE0">
        <w:rPr>
          <w:b/>
        </w:rPr>
        <w:t>12.</w:t>
      </w:r>
      <w:r w:rsidRPr="009C2AE0">
        <w:rPr>
          <w:b/>
        </w:rPr>
        <w:tab/>
        <w:t>Provide estimates of the hour burden of the collection of information.</w:t>
      </w:r>
    </w:p>
    <w:p w:rsidR="0064761A" w:rsidRDefault="004918A2" w14:paraId="51905F9B" w14:textId="77777777">
      <w:pPr>
        <w:pStyle w:val="Paperwork"/>
        <w:numPr>
          <w:ilvl w:val="12"/>
          <w:numId w:val="0"/>
        </w:numPr>
        <w:ind w:left="720" w:hanging="720"/>
      </w:pPr>
      <w:r w:rsidRPr="009C2AE0">
        <w:tab/>
      </w:r>
    </w:p>
    <w:tbl>
      <w:tblPr>
        <w:tblW w:w="9990" w:type="dxa"/>
        <w:tblInd w:w="-370" w:type="dxa"/>
        <w:tblLayout w:type="fixed"/>
        <w:tblLook w:val="04A0" w:firstRow="1" w:lastRow="0" w:firstColumn="1" w:lastColumn="0" w:noHBand="0" w:noVBand="1"/>
      </w:tblPr>
      <w:tblGrid>
        <w:gridCol w:w="1530"/>
        <w:gridCol w:w="1350"/>
        <w:gridCol w:w="1237"/>
        <w:gridCol w:w="1103"/>
        <w:gridCol w:w="990"/>
        <w:gridCol w:w="990"/>
        <w:gridCol w:w="1260"/>
        <w:gridCol w:w="1530"/>
      </w:tblGrid>
      <w:tr w:rsidR="00026424" w:rsidTr="00153604" w14:paraId="257C7830" w14:textId="77777777">
        <w:trPr>
          <w:trHeight w:val="780"/>
        </w:trPr>
        <w:tc>
          <w:tcPr>
            <w:tcW w:w="153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53604" w:rsidR="000414D2" w:rsidRDefault="000414D2" w14:paraId="60C2A215" w14:textId="77777777">
            <w:pPr>
              <w:jc w:val="center"/>
              <w:rPr>
                <w:b/>
                <w:bCs/>
                <w:color w:val="000000"/>
                <w:sz w:val="18"/>
                <w:szCs w:val="18"/>
              </w:rPr>
            </w:pPr>
            <w:r w:rsidRPr="00153604">
              <w:rPr>
                <w:b/>
                <w:bCs/>
                <w:color w:val="000000"/>
                <w:sz w:val="18"/>
                <w:szCs w:val="18"/>
              </w:rPr>
              <w:t>Information Collection</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P="008B1A9F" w:rsidRDefault="000414D2" w14:paraId="25D0E42F" w14:textId="77777777">
            <w:pPr>
              <w:jc w:val="center"/>
              <w:rPr>
                <w:b/>
                <w:bCs/>
                <w:color w:val="000000"/>
                <w:sz w:val="18"/>
                <w:szCs w:val="18"/>
              </w:rPr>
            </w:pPr>
            <w:r w:rsidRPr="00153604">
              <w:rPr>
                <w:b/>
                <w:bCs/>
                <w:color w:val="000000"/>
                <w:sz w:val="18"/>
                <w:szCs w:val="18"/>
              </w:rPr>
              <w:t>Number of Respondents</w:t>
            </w:r>
          </w:p>
        </w:tc>
        <w:tc>
          <w:tcPr>
            <w:tcW w:w="1237"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RDefault="000414D2" w14:paraId="59CEAFC5" w14:textId="5E8AEF93">
            <w:pPr>
              <w:jc w:val="center"/>
              <w:rPr>
                <w:b/>
                <w:bCs/>
                <w:color w:val="000000"/>
                <w:sz w:val="18"/>
                <w:szCs w:val="18"/>
              </w:rPr>
            </w:pPr>
            <w:r w:rsidRPr="00153604">
              <w:rPr>
                <w:b/>
                <w:bCs/>
                <w:color w:val="000000"/>
                <w:sz w:val="18"/>
                <w:szCs w:val="18"/>
              </w:rPr>
              <w:t>Frequency of</w:t>
            </w:r>
            <w:r w:rsidRPr="00153604" w:rsidR="00781A97">
              <w:rPr>
                <w:b/>
                <w:bCs/>
                <w:color w:val="000000"/>
                <w:sz w:val="18"/>
                <w:szCs w:val="18"/>
              </w:rPr>
              <w:t xml:space="preserve"> </w:t>
            </w:r>
            <w:r w:rsidRPr="00153604">
              <w:rPr>
                <w:b/>
                <w:bCs/>
                <w:color w:val="000000"/>
                <w:sz w:val="18"/>
                <w:szCs w:val="18"/>
              </w:rPr>
              <w:t xml:space="preserve">Response </w:t>
            </w:r>
            <w:r w:rsidRPr="00153604" w:rsidR="00D539A0">
              <w:rPr>
                <w:b/>
                <w:bCs/>
                <w:color w:val="000000"/>
                <w:sz w:val="18"/>
                <w:szCs w:val="18"/>
              </w:rPr>
              <w:t>p</w:t>
            </w:r>
            <w:r w:rsidRPr="00153604" w:rsidR="003021D0">
              <w:rPr>
                <w:b/>
                <w:bCs/>
                <w:color w:val="000000"/>
                <w:sz w:val="18"/>
                <w:szCs w:val="18"/>
              </w:rPr>
              <w:t>.</w:t>
            </w:r>
            <w:r w:rsidRPr="00153604" w:rsidR="00D539A0">
              <w:rPr>
                <w:b/>
                <w:bCs/>
                <w:color w:val="000000"/>
                <w:sz w:val="18"/>
                <w:szCs w:val="18"/>
              </w:rPr>
              <w:t>a</w:t>
            </w:r>
            <w:r w:rsidRPr="00153604" w:rsidR="003021D0">
              <w:rPr>
                <w:b/>
                <w:bCs/>
                <w:color w:val="000000"/>
                <w:sz w:val="18"/>
                <w:szCs w:val="18"/>
              </w:rPr>
              <w:t>.</w:t>
            </w:r>
          </w:p>
        </w:tc>
        <w:tc>
          <w:tcPr>
            <w:tcW w:w="1103"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P="004701D3" w:rsidRDefault="000414D2" w14:paraId="693A0A75" w14:textId="08790DB2">
            <w:pPr>
              <w:rPr>
                <w:b/>
                <w:bCs/>
                <w:color w:val="000000"/>
                <w:sz w:val="18"/>
                <w:szCs w:val="18"/>
              </w:rPr>
            </w:pPr>
            <w:r w:rsidRPr="00153604">
              <w:rPr>
                <w:b/>
                <w:bCs/>
                <w:color w:val="000000"/>
                <w:sz w:val="18"/>
                <w:szCs w:val="18"/>
              </w:rPr>
              <w:t>Respons</w:t>
            </w:r>
            <w:r w:rsidRPr="00153604" w:rsidR="00057E28">
              <w:rPr>
                <w:b/>
                <w:bCs/>
                <w:color w:val="000000"/>
                <w:sz w:val="18"/>
                <w:szCs w:val="18"/>
              </w:rPr>
              <w:t>e</w:t>
            </w:r>
            <w:r w:rsidRPr="00153604">
              <w:rPr>
                <w:b/>
                <w:bCs/>
                <w:color w:val="000000"/>
                <w:sz w:val="18"/>
                <w:szCs w:val="18"/>
              </w:rPr>
              <w:t xml:space="preserve">s </w:t>
            </w:r>
            <w:r w:rsidRPr="00153604">
              <w:rPr>
                <w:b/>
                <w:bCs/>
                <w:color w:val="000000"/>
                <w:sz w:val="18"/>
                <w:szCs w:val="18"/>
              </w:rPr>
              <w:br/>
            </w:r>
            <w:r w:rsidRPr="00153604" w:rsidR="003021D0">
              <w:rPr>
                <w:b/>
                <w:bCs/>
                <w:color w:val="000000"/>
                <w:sz w:val="18"/>
                <w:szCs w:val="18"/>
              </w:rPr>
              <w:t>p.a.</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RDefault="000414D2" w14:paraId="72B007F0" w14:textId="77777777">
            <w:pPr>
              <w:jc w:val="center"/>
              <w:rPr>
                <w:b/>
                <w:bCs/>
                <w:color w:val="000000"/>
                <w:sz w:val="18"/>
                <w:szCs w:val="18"/>
              </w:rPr>
            </w:pPr>
            <w:r w:rsidRPr="00153604">
              <w:rPr>
                <w:b/>
                <w:bCs/>
                <w:color w:val="000000"/>
                <w:sz w:val="18"/>
                <w:szCs w:val="18"/>
              </w:rPr>
              <w:t>Burden Hour Per Response</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RDefault="000414D2" w14:paraId="662D6F6E" w14:textId="77777777">
            <w:pPr>
              <w:jc w:val="center"/>
              <w:rPr>
                <w:b/>
                <w:bCs/>
                <w:color w:val="000000"/>
                <w:sz w:val="18"/>
                <w:szCs w:val="18"/>
              </w:rPr>
            </w:pPr>
            <w:r w:rsidRPr="00153604">
              <w:rPr>
                <w:b/>
                <w:bCs/>
                <w:color w:val="000000"/>
                <w:sz w:val="18"/>
                <w:szCs w:val="18"/>
              </w:rPr>
              <w:t>Annual Burden Hours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RDefault="000414D2" w14:paraId="7818C8DE" w14:textId="77777777">
            <w:pPr>
              <w:jc w:val="center"/>
              <w:rPr>
                <w:b/>
                <w:bCs/>
                <w:color w:val="000000"/>
                <w:sz w:val="18"/>
                <w:szCs w:val="18"/>
              </w:rPr>
            </w:pPr>
            <w:r w:rsidRPr="00153604">
              <w:rPr>
                <w:b/>
                <w:bCs/>
                <w:color w:val="000000"/>
                <w:sz w:val="18"/>
                <w:szCs w:val="18"/>
              </w:rPr>
              <w:t>Hourly Cost Per Response</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153604" w:rsidR="000414D2" w:rsidRDefault="000414D2" w14:paraId="69DEDACA" w14:textId="77777777">
            <w:pPr>
              <w:jc w:val="center"/>
              <w:rPr>
                <w:b/>
                <w:bCs/>
                <w:color w:val="000000"/>
                <w:sz w:val="18"/>
                <w:szCs w:val="18"/>
              </w:rPr>
            </w:pPr>
            <w:r w:rsidRPr="00153604">
              <w:rPr>
                <w:b/>
                <w:bCs/>
                <w:color w:val="000000"/>
                <w:sz w:val="18"/>
                <w:szCs w:val="18"/>
              </w:rPr>
              <w:t>Annual Cost</w:t>
            </w:r>
          </w:p>
        </w:tc>
      </w:tr>
      <w:tr w:rsidR="00026424" w:rsidTr="00153604" w14:paraId="303D3AD8" w14:textId="77777777">
        <w:trPr>
          <w:trHeight w:val="645"/>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153604" w:rsidR="000414D2" w:rsidRDefault="000414D2" w14:paraId="331B8621" w14:textId="0BFD4537">
            <w:pPr>
              <w:rPr>
                <w:color w:val="000000"/>
                <w:sz w:val="18"/>
                <w:szCs w:val="18"/>
              </w:rPr>
            </w:pPr>
            <w:r w:rsidRPr="00153604">
              <w:rPr>
                <w:color w:val="000000"/>
                <w:sz w:val="18"/>
                <w:szCs w:val="18"/>
              </w:rPr>
              <w:t>Pre</w:t>
            </w:r>
            <w:r w:rsidRPr="00153604" w:rsidR="00E868AA">
              <w:rPr>
                <w:color w:val="000000"/>
                <w:sz w:val="18"/>
                <w:szCs w:val="18"/>
              </w:rPr>
              <w:t>-</w:t>
            </w:r>
            <w:r w:rsidRPr="00153604">
              <w:rPr>
                <w:color w:val="000000"/>
                <w:sz w:val="18"/>
                <w:szCs w:val="18"/>
              </w:rPr>
              <w:t>Application Preparation</w:t>
            </w:r>
          </w:p>
        </w:tc>
        <w:tc>
          <w:tcPr>
            <w:tcW w:w="135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9D76A0" w14:paraId="41F57EC6" w14:textId="448EE214">
            <w:pPr>
              <w:ind w:firstLine="360" w:firstLineChars="200"/>
              <w:jc w:val="right"/>
              <w:rPr>
                <w:color w:val="000000"/>
                <w:sz w:val="18"/>
                <w:szCs w:val="18"/>
              </w:rPr>
            </w:pPr>
            <w:r w:rsidRPr="00153604">
              <w:rPr>
                <w:color w:val="000000"/>
                <w:sz w:val="18"/>
                <w:szCs w:val="18"/>
              </w:rPr>
              <w:t>3</w:t>
            </w:r>
            <w:r w:rsidRPr="00153604" w:rsidR="000414D2">
              <w:rPr>
                <w:color w:val="000000"/>
                <w:sz w:val="18"/>
                <w:szCs w:val="18"/>
              </w:rPr>
              <w:t>80</w:t>
            </w:r>
            <w:r w:rsidRPr="00153604" w:rsidR="003E632D">
              <w:rPr>
                <w:color w:val="000000"/>
                <w:sz w:val="18"/>
                <w:szCs w:val="18"/>
              </w:rPr>
              <w:t>.00</w:t>
            </w:r>
          </w:p>
        </w:tc>
        <w:tc>
          <w:tcPr>
            <w:tcW w:w="1237"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020D4328" w14:textId="5B47ECD2">
            <w:pPr>
              <w:ind w:firstLine="360" w:firstLineChars="200"/>
              <w:jc w:val="right"/>
              <w:rPr>
                <w:color w:val="000000"/>
                <w:sz w:val="18"/>
                <w:szCs w:val="18"/>
              </w:rPr>
            </w:pPr>
            <w:r w:rsidRPr="00153604">
              <w:rPr>
                <w:color w:val="000000"/>
                <w:sz w:val="18"/>
                <w:szCs w:val="18"/>
              </w:rPr>
              <w:t>1</w:t>
            </w:r>
            <w:r w:rsidRPr="00153604" w:rsidR="003E632D">
              <w:rPr>
                <w:color w:val="000000"/>
                <w:sz w:val="18"/>
                <w:szCs w:val="18"/>
              </w:rPr>
              <w:t>.00</w:t>
            </w:r>
          </w:p>
        </w:tc>
        <w:tc>
          <w:tcPr>
            <w:tcW w:w="1103"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9D76A0" w14:paraId="51D6051C" w14:textId="0DC6DBB0">
            <w:pPr>
              <w:ind w:firstLine="360" w:firstLineChars="200"/>
              <w:jc w:val="right"/>
              <w:rPr>
                <w:color w:val="000000"/>
                <w:sz w:val="18"/>
                <w:szCs w:val="18"/>
              </w:rPr>
            </w:pPr>
            <w:r w:rsidRPr="00153604">
              <w:rPr>
                <w:color w:val="000000"/>
                <w:sz w:val="18"/>
                <w:szCs w:val="18"/>
              </w:rPr>
              <w:t>3</w:t>
            </w:r>
            <w:r w:rsidRPr="00153604" w:rsidR="000414D2">
              <w:rPr>
                <w:color w:val="000000"/>
                <w:sz w:val="18"/>
                <w:szCs w:val="18"/>
              </w:rPr>
              <w:t>80</w:t>
            </w:r>
            <w:r w:rsidRPr="00153604" w:rsidR="003E632D">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1A8EEA21" w14:textId="1703FDF3">
            <w:pPr>
              <w:ind w:firstLine="360" w:firstLineChars="200"/>
              <w:jc w:val="right"/>
              <w:rPr>
                <w:color w:val="000000"/>
                <w:sz w:val="18"/>
                <w:szCs w:val="18"/>
              </w:rPr>
            </w:pPr>
            <w:r w:rsidRPr="00153604">
              <w:rPr>
                <w:color w:val="000000"/>
                <w:sz w:val="18"/>
                <w:szCs w:val="18"/>
              </w:rPr>
              <w:t>24</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8B1A9F" w:rsidP="00153604" w:rsidRDefault="005E19B4" w14:paraId="77B8AE21" w14:textId="7FC1D0A6">
            <w:pPr>
              <w:jc w:val="right"/>
              <w:rPr>
                <w:color w:val="000000"/>
                <w:sz w:val="18"/>
                <w:szCs w:val="18"/>
              </w:rPr>
            </w:pPr>
            <w:r w:rsidRPr="00153604">
              <w:rPr>
                <w:color w:val="000000"/>
                <w:sz w:val="18"/>
                <w:szCs w:val="18"/>
              </w:rPr>
              <w:t>9,120</w:t>
            </w:r>
            <w:r w:rsidRPr="00153604" w:rsidR="00153604">
              <w:rPr>
                <w:color w:val="000000"/>
                <w:sz w:val="18"/>
                <w:szCs w:val="18"/>
              </w:rPr>
              <w:t>.00</w:t>
            </w:r>
          </w:p>
        </w:tc>
        <w:tc>
          <w:tcPr>
            <w:tcW w:w="126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02FD2665" w14:textId="77777777">
            <w:pPr>
              <w:jc w:val="right"/>
              <w:rPr>
                <w:color w:val="000000"/>
                <w:sz w:val="18"/>
                <w:szCs w:val="18"/>
              </w:rPr>
            </w:pPr>
            <w:r w:rsidRPr="00153604">
              <w:rPr>
                <w:color w:val="000000"/>
                <w:sz w:val="18"/>
                <w:szCs w:val="18"/>
              </w:rPr>
              <w:t>$49.54</w:t>
            </w:r>
          </w:p>
        </w:tc>
        <w:tc>
          <w:tcPr>
            <w:tcW w:w="153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4B6B4A7" w14:textId="447DA982">
            <w:pPr>
              <w:jc w:val="right"/>
              <w:rPr>
                <w:color w:val="000000"/>
                <w:sz w:val="18"/>
                <w:szCs w:val="18"/>
              </w:rPr>
            </w:pPr>
            <w:commentRangeStart w:id="2"/>
            <w:r w:rsidRPr="00153604">
              <w:rPr>
                <w:color w:val="000000"/>
                <w:sz w:val="18"/>
                <w:szCs w:val="18"/>
              </w:rPr>
              <w:t>$</w:t>
            </w:r>
            <w:r w:rsidRPr="00153604" w:rsidR="005E19B4">
              <w:rPr>
                <w:color w:val="000000"/>
                <w:sz w:val="18"/>
                <w:szCs w:val="18"/>
              </w:rPr>
              <w:t>451,80</w:t>
            </w:r>
            <w:r w:rsidR="001A31DA">
              <w:rPr>
                <w:color w:val="000000"/>
                <w:sz w:val="18"/>
                <w:szCs w:val="18"/>
              </w:rPr>
              <w:t>4.8</w:t>
            </w:r>
            <w:r w:rsidRPr="00153604" w:rsidR="00153604">
              <w:rPr>
                <w:color w:val="000000"/>
                <w:sz w:val="18"/>
                <w:szCs w:val="18"/>
              </w:rPr>
              <w:t>0</w:t>
            </w:r>
            <w:commentRangeEnd w:id="2"/>
            <w:r w:rsidR="00B965AD">
              <w:rPr>
                <w:rStyle w:val="CommentReference"/>
              </w:rPr>
              <w:commentReference w:id="2"/>
            </w:r>
          </w:p>
        </w:tc>
      </w:tr>
      <w:tr w:rsidR="00026424" w:rsidTr="00153604" w14:paraId="077182C3" w14:textId="77777777">
        <w:trPr>
          <w:trHeight w:val="645"/>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153604" w:rsidR="000414D2" w:rsidRDefault="000414D2" w14:paraId="38074896" w14:textId="77777777">
            <w:pPr>
              <w:rPr>
                <w:color w:val="000000"/>
                <w:sz w:val="18"/>
                <w:szCs w:val="18"/>
              </w:rPr>
            </w:pPr>
            <w:r w:rsidRPr="00153604">
              <w:rPr>
                <w:color w:val="000000"/>
                <w:sz w:val="18"/>
                <w:szCs w:val="18"/>
              </w:rPr>
              <w:t>Full Application Preparation</w:t>
            </w:r>
          </w:p>
        </w:tc>
        <w:tc>
          <w:tcPr>
            <w:tcW w:w="135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0A786D59" w14:textId="52A35F88">
            <w:pPr>
              <w:ind w:firstLine="360" w:firstLineChars="200"/>
              <w:jc w:val="right"/>
              <w:rPr>
                <w:color w:val="000000"/>
                <w:sz w:val="18"/>
                <w:szCs w:val="18"/>
              </w:rPr>
            </w:pPr>
            <w:r w:rsidRPr="00153604">
              <w:rPr>
                <w:color w:val="000000"/>
                <w:sz w:val="18"/>
                <w:szCs w:val="18"/>
              </w:rPr>
              <w:t>300</w:t>
            </w:r>
            <w:r w:rsidRPr="00153604" w:rsidR="003E632D">
              <w:rPr>
                <w:color w:val="000000"/>
                <w:sz w:val="18"/>
                <w:szCs w:val="18"/>
              </w:rPr>
              <w:t>.00</w:t>
            </w:r>
          </w:p>
        </w:tc>
        <w:tc>
          <w:tcPr>
            <w:tcW w:w="1237"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907B46A" w14:textId="076C5333">
            <w:pPr>
              <w:ind w:firstLine="360" w:firstLineChars="200"/>
              <w:jc w:val="right"/>
              <w:rPr>
                <w:color w:val="000000"/>
                <w:sz w:val="18"/>
                <w:szCs w:val="18"/>
              </w:rPr>
            </w:pPr>
            <w:r w:rsidRPr="00153604">
              <w:rPr>
                <w:color w:val="000000"/>
                <w:sz w:val="18"/>
                <w:szCs w:val="18"/>
              </w:rPr>
              <w:t>1</w:t>
            </w:r>
            <w:r w:rsidRPr="00153604" w:rsidR="003E632D">
              <w:rPr>
                <w:color w:val="000000"/>
                <w:sz w:val="18"/>
                <w:szCs w:val="18"/>
              </w:rPr>
              <w:t>.00</w:t>
            </w:r>
          </w:p>
        </w:tc>
        <w:tc>
          <w:tcPr>
            <w:tcW w:w="1103"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7A1327B" w14:textId="63FFE735">
            <w:pPr>
              <w:ind w:firstLine="360" w:firstLineChars="200"/>
              <w:jc w:val="right"/>
              <w:rPr>
                <w:color w:val="000000"/>
                <w:sz w:val="18"/>
                <w:szCs w:val="18"/>
              </w:rPr>
            </w:pPr>
            <w:r w:rsidRPr="00153604">
              <w:rPr>
                <w:color w:val="000000"/>
                <w:sz w:val="18"/>
                <w:szCs w:val="18"/>
              </w:rPr>
              <w:t>300</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0E1A68B6" w14:textId="6A89F800">
            <w:pPr>
              <w:ind w:firstLine="360" w:firstLineChars="200"/>
              <w:jc w:val="right"/>
              <w:rPr>
                <w:color w:val="000000"/>
                <w:sz w:val="18"/>
                <w:szCs w:val="18"/>
              </w:rPr>
            </w:pPr>
            <w:r w:rsidRPr="00153604">
              <w:rPr>
                <w:color w:val="000000"/>
                <w:sz w:val="18"/>
                <w:szCs w:val="18"/>
              </w:rPr>
              <w:t>60</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262FC14C" w14:textId="4512B224">
            <w:pPr>
              <w:jc w:val="right"/>
              <w:rPr>
                <w:color w:val="000000"/>
                <w:sz w:val="18"/>
                <w:szCs w:val="18"/>
              </w:rPr>
            </w:pPr>
            <w:r w:rsidRPr="00153604">
              <w:rPr>
                <w:color w:val="000000"/>
                <w:sz w:val="18"/>
                <w:szCs w:val="18"/>
              </w:rPr>
              <w:t>18,000</w:t>
            </w:r>
            <w:r w:rsidRPr="00153604" w:rsidR="00153604">
              <w:rPr>
                <w:color w:val="000000"/>
                <w:sz w:val="18"/>
                <w:szCs w:val="18"/>
              </w:rPr>
              <w:t>.00</w:t>
            </w:r>
          </w:p>
        </w:tc>
        <w:tc>
          <w:tcPr>
            <w:tcW w:w="126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11173669" w14:textId="77777777">
            <w:pPr>
              <w:jc w:val="right"/>
              <w:rPr>
                <w:color w:val="000000"/>
                <w:sz w:val="18"/>
                <w:szCs w:val="18"/>
              </w:rPr>
            </w:pPr>
            <w:r w:rsidRPr="00153604">
              <w:rPr>
                <w:color w:val="000000"/>
                <w:sz w:val="18"/>
                <w:szCs w:val="18"/>
              </w:rPr>
              <w:t>$49.54</w:t>
            </w:r>
          </w:p>
        </w:tc>
        <w:tc>
          <w:tcPr>
            <w:tcW w:w="153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28F1DA8" w14:textId="661316EF">
            <w:pPr>
              <w:jc w:val="right"/>
              <w:rPr>
                <w:color w:val="000000"/>
                <w:sz w:val="18"/>
                <w:szCs w:val="18"/>
              </w:rPr>
            </w:pPr>
            <w:r w:rsidRPr="00153604">
              <w:rPr>
                <w:color w:val="000000"/>
                <w:sz w:val="18"/>
                <w:szCs w:val="18"/>
              </w:rPr>
              <w:t>$891,720</w:t>
            </w:r>
            <w:r w:rsidRPr="00153604" w:rsidR="00153604">
              <w:rPr>
                <w:color w:val="000000"/>
                <w:sz w:val="18"/>
                <w:szCs w:val="18"/>
              </w:rPr>
              <w:t>.00</w:t>
            </w:r>
          </w:p>
        </w:tc>
      </w:tr>
      <w:tr w:rsidR="00026424" w:rsidTr="00153604" w14:paraId="7795153C" w14:textId="77777777">
        <w:trPr>
          <w:trHeight w:val="645"/>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153604" w:rsidR="000414D2" w:rsidRDefault="000414D2" w14:paraId="28B22651" w14:textId="77777777">
            <w:pPr>
              <w:rPr>
                <w:color w:val="000000"/>
                <w:sz w:val="18"/>
                <w:szCs w:val="18"/>
              </w:rPr>
            </w:pPr>
            <w:r w:rsidRPr="00153604">
              <w:rPr>
                <w:color w:val="000000"/>
                <w:sz w:val="18"/>
                <w:szCs w:val="18"/>
              </w:rPr>
              <w:t>Finalizing the Grant Award</w:t>
            </w:r>
          </w:p>
        </w:tc>
        <w:tc>
          <w:tcPr>
            <w:tcW w:w="135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5574C319" w14:textId="4A869B8F">
            <w:pPr>
              <w:ind w:firstLine="360" w:firstLineChars="200"/>
              <w:jc w:val="right"/>
              <w:rPr>
                <w:color w:val="000000"/>
                <w:sz w:val="18"/>
                <w:szCs w:val="18"/>
              </w:rPr>
            </w:pPr>
            <w:r w:rsidRPr="00153604">
              <w:rPr>
                <w:color w:val="000000"/>
                <w:sz w:val="18"/>
                <w:szCs w:val="18"/>
              </w:rPr>
              <w:t>147</w:t>
            </w:r>
            <w:r w:rsidRPr="00153604" w:rsidR="003E632D">
              <w:rPr>
                <w:color w:val="000000"/>
                <w:sz w:val="18"/>
                <w:szCs w:val="18"/>
              </w:rPr>
              <w:t>.00</w:t>
            </w:r>
          </w:p>
        </w:tc>
        <w:tc>
          <w:tcPr>
            <w:tcW w:w="1237"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7B6D6F78" w14:textId="172F5A0B">
            <w:pPr>
              <w:ind w:firstLine="360" w:firstLineChars="200"/>
              <w:jc w:val="right"/>
              <w:rPr>
                <w:color w:val="000000"/>
                <w:sz w:val="18"/>
                <w:szCs w:val="18"/>
              </w:rPr>
            </w:pPr>
            <w:r w:rsidRPr="00153604">
              <w:rPr>
                <w:color w:val="000000"/>
                <w:sz w:val="18"/>
                <w:szCs w:val="18"/>
              </w:rPr>
              <w:t>1</w:t>
            </w:r>
            <w:r w:rsidRPr="00153604" w:rsidR="003E632D">
              <w:rPr>
                <w:color w:val="000000"/>
                <w:sz w:val="18"/>
                <w:szCs w:val="18"/>
              </w:rPr>
              <w:t>.00</w:t>
            </w:r>
          </w:p>
        </w:tc>
        <w:tc>
          <w:tcPr>
            <w:tcW w:w="1103"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305A432F" w14:textId="64767E3F">
            <w:pPr>
              <w:ind w:firstLine="360" w:firstLineChars="200"/>
              <w:jc w:val="right"/>
              <w:rPr>
                <w:color w:val="000000"/>
                <w:sz w:val="18"/>
                <w:szCs w:val="18"/>
              </w:rPr>
            </w:pPr>
            <w:r w:rsidRPr="00153604">
              <w:rPr>
                <w:color w:val="000000"/>
                <w:sz w:val="18"/>
                <w:szCs w:val="18"/>
              </w:rPr>
              <w:t>147</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11D02DD4" w14:textId="6308F79C">
            <w:pPr>
              <w:ind w:firstLine="360" w:firstLineChars="200"/>
              <w:jc w:val="right"/>
              <w:rPr>
                <w:color w:val="000000"/>
                <w:sz w:val="18"/>
                <w:szCs w:val="18"/>
              </w:rPr>
            </w:pPr>
            <w:r w:rsidRPr="00153604">
              <w:rPr>
                <w:color w:val="000000"/>
                <w:sz w:val="18"/>
                <w:szCs w:val="18"/>
              </w:rPr>
              <w:t>16</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7A7AE9FD" w14:textId="2544180C">
            <w:pPr>
              <w:jc w:val="right"/>
              <w:rPr>
                <w:color w:val="000000"/>
                <w:sz w:val="18"/>
                <w:szCs w:val="18"/>
              </w:rPr>
            </w:pPr>
            <w:r w:rsidRPr="00153604">
              <w:rPr>
                <w:color w:val="000000"/>
                <w:sz w:val="18"/>
                <w:szCs w:val="18"/>
              </w:rPr>
              <w:t>2,352</w:t>
            </w:r>
            <w:r w:rsidRPr="00153604" w:rsidR="00153604">
              <w:rPr>
                <w:color w:val="000000"/>
                <w:sz w:val="18"/>
                <w:szCs w:val="18"/>
              </w:rPr>
              <w:t>.00</w:t>
            </w:r>
          </w:p>
        </w:tc>
        <w:tc>
          <w:tcPr>
            <w:tcW w:w="126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586F9628" w14:textId="77777777">
            <w:pPr>
              <w:jc w:val="right"/>
              <w:rPr>
                <w:color w:val="000000"/>
                <w:sz w:val="18"/>
                <w:szCs w:val="18"/>
              </w:rPr>
            </w:pPr>
            <w:r w:rsidRPr="00153604">
              <w:rPr>
                <w:color w:val="000000"/>
                <w:sz w:val="18"/>
                <w:szCs w:val="18"/>
              </w:rPr>
              <w:t>$49.54</w:t>
            </w:r>
          </w:p>
        </w:tc>
        <w:tc>
          <w:tcPr>
            <w:tcW w:w="153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BE05120" w14:textId="6B0111E7">
            <w:pPr>
              <w:jc w:val="right"/>
              <w:rPr>
                <w:color w:val="000000"/>
                <w:sz w:val="18"/>
                <w:szCs w:val="18"/>
              </w:rPr>
            </w:pPr>
            <w:commentRangeStart w:id="3"/>
            <w:r w:rsidRPr="00153604">
              <w:rPr>
                <w:color w:val="000000"/>
                <w:sz w:val="18"/>
                <w:szCs w:val="18"/>
              </w:rPr>
              <w:t>$116,518</w:t>
            </w:r>
            <w:r w:rsidRPr="00153604" w:rsidR="00153604">
              <w:rPr>
                <w:color w:val="000000"/>
                <w:sz w:val="18"/>
                <w:szCs w:val="18"/>
              </w:rPr>
              <w:t>.0</w:t>
            </w:r>
            <w:commentRangeEnd w:id="3"/>
            <w:r w:rsidR="003E184E">
              <w:rPr>
                <w:rStyle w:val="CommentReference"/>
              </w:rPr>
              <w:commentReference w:id="3"/>
            </w:r>
            <w:r w:rsidR="001A31DA">
              <w:rPr>
                <w:color w:val="000000"/>
                <w:sz w:val="18"/>
                <w:szCs w:val="18"/>
              </w:rPr>
              <w:t>8</w:t>
            </w:r>
          </w:p>
        </w:tc>
      </w:tr>
      <w:tr w:rsidR="00026424" w:rsidTr="00153604" w14:paraId="32103B4C" w14:textId="77777777">
        <w:trPr>
          <w:trHeight w:val="330"/>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153604" w:rsidR="000414D2" w:rsidRDefault="000414D2" w14:paraId="2D5C8C1E" w14:textId="77777777">
            <w:pPr>
              <w:rPr>
                <w:color w:val="000000"/>
                <w:sz w:val="18"/>
                <w:szCs w:val="18"/>
              </w:rPr>
            </w:pPr>
            <w:r w:rsidRPr="00153604">
              <w:rPr>
                <w:color w:val="000000"/>
                <w:sz w:val="18"/>
                <w:szCs w:val="18"/>
              </w:rPr>
              <w:t>Quality Assurance Plans</w:t>
            </w:r>
          </w:p>
        </w:tc>
        <w:tc>
          <w:tcPr>
            <w:tcW w:w="135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D30B51" w14:paraId="52783556" w14:textId="3FCBD384">
            <w:pPr>
              <w:ind w:firstLine="360" w:firstLineChars="200"/>
              <w:jc w:val="right"/>
              <w:rPr>
                <w:color w:val="000000"/>
                <w:sz w:val="18"/>
                <w:szCs w:val="18"/>
              </w:rPr>
            </w:pPr>
            <w:r w:rsidRPr="00153604">
              <w:rPr>
                <w:color w:val="000000"/>
                <w:sz w:val="18"/>
                <w:szCs w:val="18"/>
              </w:rPr>
              <w:t>47</w:t>
            </w:r>
            <w:r w:rsidRPr="00153604" w:rsidR="003E632D">
              <w:rPr>
                <w:color w:val="000000"/>
                <w:sz w:val="18"/>
                <w:szCs w:val="18"/>
              </w:rPr>
              <w:t>.00</w:t>
            </w:r>
          </w:p>
        </w:tc>
        <w:tc>
          <w:tcPr>
            <w:tcW w:w="1237"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68A3074C" w14:textId="17A0846B">
            <w:pPr>
              <w:ind w:firstLine="360" w:firstLineChars="200"/>
              <w:jc w:val="right"/>
              <w:rPr>
                <w:color w:val="000000"/>
                <w:sz w:val="18"/>
                <w:szCs w:val="18"/>
              </w:rPr>
            </w:pPr>
            <w:r w:rsidRPr="00153604">
              <w:rPr>
                <w:color w:val="000000"/>
                <w:sz w:val="18"/>
                <w:szCs w:val="18"/>
              </w:rPr>
              <w:t>1</w:t>
            </w:r>
            <w:r w:rsidRPr="00153604" w:rsidR="003E632D">
              <w:rPr>
                <w:color w:val="000000"/>
                <w:sz w:val="18"/>
                <w:szCs w:val="18"/>
              </w:rPr>
              <w:t>.00</w:t>
            </w:r>
          </w:p>
        </w:tc>
        <w:tc>
          <w:tcPr>
            <w:tcW w:w="1103"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D30B51" w14:paraId="515BCD65" w14:textId="42F5DBB7">
            <w:pPr>
              <w:ind w:firstLine="360" w:firstLineChars="200"/>
              <w:jc w:val="right"/>
              <w:rPr>
                <w:color w:val="000000"/>
                <w:sz w:val="18"/>
                <w:szCs w:val="18"/>
              </w:rPr>
            </w:pPr>
            <w:r w:rsidRPr="00153604">
              <w:rPr>
                <w:color w:val="000000"/>
                <w:sz w:val="18"/>
                <w:szCs w:val="18"/>
              </w:rPr>
              <w:t>47</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49E36CEA" w14:textId="6B0F284B">
            <w:pPr>
              <w:ind w:firstLine="360" w:firstLineChars="200"/>
              <w:jc w:val="right"/>
              <w:rPr>
                <w:color w:val="000000"/>
                <w:sz w:val="18"/>
                <w:szCs w:val="18"/>
              </w:rPr>
            </w:pPr>
            <w:r w:rsidRPr="00153604">
              <w:rPr>
                <w:color w:val="000000"/>
                <w:sz w:val="18"/>
                <w:szCs w:val="18"/>
              </w:rPr>
              <w:t>24</w:t>
            </w:r>
            <w:r w:rsidRPr="00153604" w:rsidR="00153604">
              <w:rPr>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5E33B5" w14:paraId="34D622F4" w14:textId="49C1C0BE">
            <w:pPr>
              <w:jc w:val="right"/>
              <w:rPr>
                <w:color w:val="000000"/>
                <w:sz w:val="18"/>
                <w:szCs w:val="18"/>
              </w:rPr>
            </w:pPr>
            <w:r w:rsidRPr="00153604">
              <w:rPr>
                <w:color w:val="000000"/>
                <w:sz w:val="18"/>
                <w:szCs w:val="18"/>
              </w:rPr>
              <w:t>1,128</w:t>
            </w:r>
            <w:r w:rsidRPr="00153604" w:rsidR="00153604">
              <w:rPr>
                <w:color w:val="000000"/>
                <w:sz w:val="18"/>
                <w:szCs w:val="18"/>
              </w:rPr>
              <w:t>.00</w:t>
            </w:r>
          </w:p>
        </w:tc>
        <w:tc>
          <w:tcPr>
            <w:tcW w:w="126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1607AB3B" w14:textId="77777777">
            <w:pPr>
              <w:jc w:val="right"/>
              <w:rPr>
                <w:color w:val="000000"/>
                <w:sz w:val="18"/>
                <w:szCs w:val="18"/>
              </w:rPr>
            </w:pPr>
            <w:r w:rsidRPr="00153604">
              <w:rPr>
                <w:color w:val="000000"/>
                <w:sz w:val="18"/>
                <w:szCs w:val="18"/>
              </w:rPr>
              <w:t>$49.54</w:t>
            </w:r>
          </w:p>
        </w:tc>
        <w:tc>
          <w:tcPr>
            <w:tcW w:w="153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3F40BFF0" w14:textId="68C4BE94">
            <w:pPr>
              <w:jc w:val="right"/>
              <w:rPr>
                <w:color w:val="000000"/>
                <w:sz w:val="18"/>
                <w:szCs w:val="18"/>
              </w:rPr>
            </w:pPr>
            <w:commentRangeStart w:id="5"/>
            <w:r w:rsidRPr="00153604">
              <w:rPr>
                <w:color w:val="000000"/>
                <w:sz w:val="18"/>
                <w:szCs w:val="18"/>
              </w:rPr>
              <w:t>$</w:t>
            </w:r>
            <w:r w:rsidRPr="00153604" w:rsidR="005E33B5">
              <w:rPr>
                <w:color w:val="000000"/>
                <w:sz w:val="18"/>
                <w:szCs w:val="18"/>
              </w:rPr>
              <w:t>55</w:t>
            </w:r>
            <w:r w:rsidRPr="00153604" w:rsidR="0099758C">
              <w:rPr>
                <w:color w:val="000000"/>
                <w:sz w:val="18"/>
                <w:szCs w:val="18"/>
              </w:rPr>
              <w:t>,</w:t>
            </w:r>
            <w:r w:rsidRPr="00153604" w:rsidR="005E33B5">
              <w:rPr>
                <w:color w:val="000000"/>
                <w:sz w:val="18"/>
                <w:szCs w:val="18"/>
              </w:rPr>
              <w:t>881</w:t>
            </w:r>
            <w:r w:rsidRPr="00153604" w:rsidR="00153604">
              <w:rPr>
                <w:color w:val="000000"/>
                <w:sz w:val="18"/>
                <w:szCs w:val="18"/>
              </w:rPr>
              <w:t>.</w:t>
            </w:r>
            <w:r w:rsidR="001A31DA">
              <w:rPr>
                <w:color w:val="000000"/>
                <w:sz w:val="18"/>
                <w:szCs w:val="18"/>
              </w:rPr>
              <w:t>12</w:t>
            </w:r>
            <w:commentRangeEnd w:id="5"/>
            <w:r w:rsidR="003E184E">
              <w:rPr>
                <w:rStyle w:val="CommentReference"/>
              </w:rPr>
              <w:commentReference w:id="5"/>
            </w:r>
          </w:p>
        </w:tc>
      </w:tr>
      <w:tr w:rsidR="00026424" w:rsidTr="00153604" w14:paraId="25C43E15" w14:textId="77777777">
        <w:trPr>
          <w:trHeight w:val="330"/>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153604" w:rsidR="000414D2" w:rsidRDefault="000414D2" w14:paraId="33BF95AC" w14:textId="77777777">
            <w:pPr>
              <w:rPr>
                <w:color w:val="000000"/>
                <w:sz w:val="18"/>
                <w:szCs w:val="18"/>
              </w:rPr>
            </w:pPr>
            <w:r w:rsidRPr="00153604">
              <w:rPr>
                <w:b/>
                <w:bCs/>
                <w:color w:val="000000"/>
                <w:sz w:val="18"/>
                <w:szCs w:val="18"/>
              </w:rPr>
              <w:t>Totals</w:t>
            </w:r>
            <w:r w:rsidRPr="00153604">
              <w:rPr>
                <w:color w:val="000000"/>
                <w:sz w:val="18"/>
                <w:szCs w:val="18"/>
              </w:rPr>
              <w:t xml:space="preserve"> or Averages</w:t>
            </w:r>
          </w:p>
        </w:tc>
        <w:tc>
          <w:tcPr>
            <w:tcW w:w="135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57DDB0C3" w14:textId="4048C673">
            <w:pPr>
              <w:ind w:firstLine="361" w:firstLineChars="200"/>
              <w:jc w:val="right"/>
              <w:rPr>
                <w:b/>
                <w:bCs/>
                <w:color w:val="000000"/>
                <w:sz w:val="18"/>
                <w:szCs w:val="18"/>
              </w:rPr>
            </w:pPr>
            <w:r w:rsidRPr="00153604">
              <w:rPr>
                <w:b/>
                <w:bCs/>
                <w:color w:val="000000"/>
                <w:sz w:val="18"/>
                <w:szCs w:val="18"/>
              </w:rPr>
              <w:t>380</w:t>
            </w:r>
            <w:r w:rsidRPr="00153604" w:rsidR="003E632D">
              <w:rPr>
                <w:b/>
                <w:bCs/>
                <w:color w:val="000000"/>
                <w:sz w:val="18"/>
                <w:szCs w:val="18"/>
              </w:rPr>
              <w:t>.00</w:t>
            </w:r>
          </w:p>
        </w:tc>
        <w:tc>
          <w:tcPr>
            <w:tcW w:w="1237"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6ED31B67" w14:textId="5271F55F">
            <w:pPr>
              <w:ind w:firstLine="360" w:firstLineChars="200"/>
              <w:jc w:val="right"/>
              <w:rPr>
                <w:color w:val="000000"/>
                <w:sz w:val="18"/>
                <w:szCs w:val="18"/>
              </w:rPr>
            </w:pPr>
            <w:r w:rsidRPr="00153604">
              <w:rPr>
                <w:color w:val="000000"/>
                <w:sz w:val="18"/>
                <w:szCs w:val="18"/>
              </w:rPr>
              <w:t>1</w:t>
            </w:r>
            <w:r w:rsidRPr="00153604" w:rsidR="003E632D">
              <w:rPr>
                <w:color w:val="000000"/>
                <w:sz w:val="18"/>
                <w:szCs w:val="18"/>
              </w:rPr>
              <w:t>.00</w:t>
            </w:r>
          </w:p>
        </w:tc>
        <w:tc>
          <w:tcPr>
            <w:tcW w:w="1103"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33CF3435" w14:textId="27179117">
            <w:pPr>
              <w:ind w:firstLine="361" w:firstLineChars="200"/>
              <w:jc w:val="right"/>
              <w:rPr>
                <w:b/>
                <w:bCs/>
                <w:color w:val="000000"/>
                <w:sz w:val="18"/>
                <w:szCs w:val="18"/>
              </w:rPr>
            </w:pPr>
            <w:r w:rsidRPr="00153604">
              <w:rPr>
                <w:b/>
                <w:bCs/>
                <w:color w:val="000000"/>
                <w:sz w:val="18"/>
                <w:szCs w:val="18"/>
              </w:rPr>
              <w:t>874</w:t>
            </w:r>
            <w:r w:rsidRPr="00153604" w:rsidR="00153604">
              <w:rPr>
                <w:b/>
                <w:bCs/>
                <w:color w:val="000000"/>
                <w:sz w:val="18"/>
                <w:szCs w:val="18"/>
              </w:rPr>
              <w:t>.00</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2F129D69" w14:textId="77777777">
            <w:pPr>
              <w:jc w:val="right"/>
              <w:rPr>
                <w:color w:val="000000"/>
                <w:sz w:val="18"/>
                <w:szCs w:val="18"/>
              </w:rPr>
            </w:pPr>
            <w:r w:rsidRPr="00153604">
              <w:rPr>
                <w:color w:val="000000"/>
                <w:sz w:val="18"/>
                <w:szCs w:val="18"/>
              </w:rPr>
              <w:t>35.01</w:t>
            </w:r>
          </w:p>
        </w:tc>
        <w:tc>
          <w:tcPr>
            <w:tcW w:w="99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782D9BE9" w14:textId="123D1D96">
            <w:pPr>
              <w:jc w:val="right"/>
              <w:rPr>
                <w:b/>
                <w:bCs/>
                <w:color w:val="000000"/>
                <w:sz w:val="18"/>
                <w:szCs w:val="18"/>
              </w:rPr>
            </w:pPr>
            <w:r w:rsidRPr="00153604">
              <w:rPr>
                <w:b/>
                <w:bCs/>
                <w:color w:val="000000"/>
                <w:sz w:val="18"/>
                <w:szCs w:val="18"/>
              </w:rPr>
              <w:t>30,600</w:t>
            </w:r>
            <w:r w:rsidRPr="00153604" w:rsidR="00153604">
              <w:rPr>
                <w:b/>
                <w:bCs/>
                <w:color w:val="000000"/>
                <w:sz w:val="18"/>
                <w:szCs w:val="18"/>
              </w:rPr>
              <w:t>.00</w:t>
            </w:r>
          </w:p>
        </w:tc>
        <w:tc>
          <w:tcPr>
            <w:tcW w:w="1260" w:type="dxa"/>
            <w:tcBorders>
              <w:top w:val="nil"/>
              <w:left w:val="nil"/>
              <w:bottom w:val="single" w:color="auto" w:sz="8" w:space="0"/>
              <w:right w:val="single" w:color="auto" w:sz="8" w:space="0"/>
            </w:tcBorders>
            <w:shd w:val="clear" w:color="auto" w:fill="auto"/>
            <w:vAlign w:val="center"/>
            <w:hideMark/>
          </w:tcPr>
          <w:p w:rsidRPr="00153604" w:rsidR="000414D2" w:rsidP="00153604" w:rsidRDefault="000414D2" w14:paraId="08C32086" w14:textId="77777777">
            <w:pPr>
              <w:jc w:val="right"/>
              <w:rPr>
                <w:color w:val="000000"/>
                <w:sz w:val="18"/>
                <w:szCs w:val="18"/>
              </w:rPr>
            </w:pPr>
            <w:r w:rsidRPr="00153604">
              <w:rPr>
                <w:color w:val="000000"/>
                <w:sz w:val="18"/>
                <w:szCs w:val="18"/>
              </w:rPr>
              <w:t>$49.54</w:t>
            </w:r>
          </w:p>
        </w:tc>
        <w:tc>
          <w:tcPr>
            <w:tcW w:w="1530" w:type="dxa"/>
            <w:tcBorders>
              <w:top w:val="nil"/>
              <w:left w:val="nil"/>
              <w:bottom w:val="single" w:color="auto" w:sz="8" w:space="0"/>
              <w:right w:val="single" w:color="auto" w:sz="8" w:space="0"/>
            </w:tcBorders>
            <w:shd w:val="clear" w:color="auto" w:fill="auto"/>
            <w:vAlign w:val="center"/>
            <w:hideMark/>
          </w:tcPr>
          <w:p w:rsidRPr="00153604" w:rsidR="00D848EE" w:rsidP="00153604" w:rsidRDefault="000414D2" w14:paraId="40C3774B" w14:textId="20C02118">
            <w:pPr>
              <w:jc w:val="right"/>
              <w:rPr>
                <w:b/>
                <w:bCs/>
                <w:color w:val="000000"/>
                <w:sz w:val="18"/>
                <w:szCs w:val="18"/>
              </w:rPr>
            </w:pPr>
            <w:r w:rsidRPr="00153604">
              <w:rPr>
                <w:b/>
                <w:bCs/>
                <w:color w:val="000000"/>
                <w:sz w:val="18"/>
                <w:szCs w:val="18"/>
              </w:rPr>
              <w:t>$</w:t>
            </w:r>
            <w:r w:rsidRPr="00153604" w:rsidR="00D848EE">
              <w:rPr>
                <w:b/>
                <w:bCs/>
                <w:color w:val="000000"/>
                <w:sz w:val="18"/>
                <w:szCs w:val="18"/>
              </w:rPr>
              <w:t>1,</w:t>
            </w:r>
            <w:r w:rsidRPr="00153604" w:rsidR="005E33B5">
              <w:rPr>
                <w:b/>
                <w:bCs/>
                <w:color w:val="000000"/>
                <w:sz w:val="18"/>
                <w:szCs w:val="18"/>
              </w:rPr>
              <w:t>515</w:t>
            </w:r>
            <w:r w:rsidRPr="00153604" w:rsidR="00D848EE">
              <w:rPr>
                <w:b/>
                <w:bCs/>
                <w:color w:val="000000"/>
                <w:sz w:val="18"/>
                <w:szCs w:val="18"/>
              </w:rPr>
              <w:t>,</w:t>
            </w:r>
            <w:r w:rsidRPr="00153604" w:rsidR="005E33B5">
              <w:rPr>
                <w:b/>
                <w:bCs/>
                <w:color w:val="000000"/>
                <w:sz w:val="18"/>
                <w:szCs w:val="18"/>
              </w:rPr>
              <w:t>924</w:t>
            </w:r>
            <w:r w:rsidRPr="00153604" w:rsidR="00153604">
              <w:rPr>
                <w:b/>
                <w:bCs/>
                <w:color w:val="000000"/>
                <w:sz w:val="18"/>
                <w:szCs w:val="18"/>
              </w:rPr>
              <w:t>.00</w:t>
            </w:r>
          </w:p>
        </w:tc>
      </w:tr>
    </w:tbl>
    <w:p w:rsidR="009F20AF" w:rsidP="000C27D1" w:rsidRDefault="009F20AF" w14:paraId="574A4D28" w14:textId="77777777">
      <w:pPr>
        <w:pStyle w:val="Paperwork"/>
        <w:numPr>
          <w:ilvl w:val="12"/>
          <w:numId w:val="0"/>
        </w:numPr>
        <w:rPr>
          <w:u w:val="single"/>
        </w:rPr>
      </w:pPr>
    </w:p>
    <w:p w:rsidR="009F20AF" w:rsidP="000C27D1" w:rsidRDefault="009F20AF" w14:paraId="1CE52E39" w14:textId="77777777">
      <w:pPr>
        <w:pStyle w:val="Paperwork"/>
        <w:numPr>
          <w:ilvl w:val="12"/>
          <w:numId w:val="0"/>
        </w:numPr>
        <w:rPr>
          <w:u w:val="single"/>
        </w:rPr>
      </w:pPr>
    </w:p>
    <w:p w:rsidRPr="009C2AE0" w:rsidR="000C27D1" w:rsidP="000C27D1" w:rsidRDefault="00CA044C" w14:paraId="2AB0AB01" w14:textId="0F4E1D6D">
      <w:pPr>
        <w:pStyle w:val="Paperwork"/>
        <w:numPr>
          <w:ilvl w:val="12"/>
          <w:numId w:val="0"/>
        </w:numPr>
      </w:pPr>
      <w:r>
        <w:rPr>
          <w:u w:val="single"/>
        </w:rPr>
        <w:t>Pre-</w:t>
      </w:r>
      <w:r w:rsidRPr="009C2AE0" w:rsidR="000C27D1">
        <w:rPr>
          <w:u w:val="single"/>
        </w:rPr>
        <w:t>Applications</w:t>
      </w:r>
      <w:r w:rsidRPr="009C2AE0" w:rsidR="000C27D1">
        <w:t xml:space="preserve">:  </w:t>
      </w:r>
      <w:r w:rsidR="008B2E5F">
        <w:t>Based on history and the new programs introduced</w:t>
      </w:r>
      <w:r w:rsidRPr="009C2AE0" w:rsidR="000C27D1">
        <w:t xml:space="preserve">, an average of </w:t>
      </w:r>
      <w:r w:rsidR="00E12F46">
        <w:t>3</w:t>
      </w:r>
      <w:r w:rsidR="00E76550">
        <w:t>80</w:t>
      </w:r>
      <w:r w:rsidRPr="009C2AE0" w:rsidR="000C27D1">
        <w:t xml:space="preserve"> </w:t>
      </w:r>
      <w:r w:rsidR="000C27D1">
        <w:t>pre-</w:t>
      </w:r>
      <w:r w:rsidRPr="009C2AE0" w:rsidR="000C27D1">
        <w:t xml:space="preserve">applications are </w:t>
      </w:r>
      <w:r w:rsidR="00E12F46">
        <w:t>expected</w:t>
      </w:r>
      <w:r w:rsidRPr="009C2AE0" w:rsidR="00E12F46">
        <w:t xml:space="preserve"> </w:t>
      </w:r>
      <w:r w:rsidR="000C27D1">
        <w:t xml:space="preserve">annually </w:t>
      </w:r>
      <w:r w:rsidRPr="009C2AE0" w:rsidR="000C27D1">
        <w:t xml:space="preserve">for </w:t>
      </w:r>
      <w:r w:rsidR="000C27D1">
        <w:t xml:space="preserve">the </w:t>
      </w:r>
      <w:r w:rsidRPr="009C2AE0" w:rsidR="000C27D1">
        <w:t xml:space="preserve">Lead </w:t>
      </w:r>
      <w:r w:rsidR="00BB554A">
        <w:t xml:space="preserve">Hazard and </w:t>
      </w:r>
      <w:r w:rsidRPr="009C2AE0" w:rsidR="00D334F5">
        <w:t xml:space="preserve">Healthy Homes </w:t>
      </w:r>
      <w:r w:rsidRPr="009C2AE0" w:rsidR="000C27D1">
        <w:t xml:space="preserve">Programs.  The costs estimated below are based on an estimated labor rate of </w:t>
      </w:r>
      <w:r w:rsidRPr="004701D3" w:rsidR="000C27D1">
        <w:t>$</w:t>
      </w:r>
      <w:r w:rsidRPr="004701D3" w:rsidR="00CE23C3">
        <w:t xml:space="preserve">49.54 </w:t>
      </w:r>
      <w:r w:rsidRPr="009C2AE0" w:rsidR="000C27D1">
        <w:t>(GS-13</w:t>
      </w:r>
      <w:r w:rsidR="000C27D1">
        <w:t>, Step 5</w:t>
      </w:r>
      <w:r w:rsidRPr="009C2AE0" w:rsidR="000C27D1">
        <w:t xml:space="preserve"> equivalent</w:t>
      </w:r>
      <w:r w:rsidR="00ED43C9">
        <w:t xml:space="preserve">, </w:t>
      </w:r>
      <w:hyperlink w:history="1" r:id="rId16">
        <w:r w:rsidRPr="004701D3" w:rsidR="00B408F8">
          <w:rPr>
            <w:rStyle w:val="Hyperlink"/>
          </w:rPr>
          <w:t>https://www.opm.gov/policy-data-oversight/pay-leave/salaries-wages/salary-tables/pdf/2020/GS_h.pdf</w:t>
        </w:r>
      </w:hyperlink>
      <w:r w:rsidR="00ED2CFE">
        <w:t>).</w:t>
      </w:r>
      <w:r w:rsidRPr="004701D3" w:rsidR="000C27D1">
        <w:rPr>
          <w:color w:val="FF0000"/>
        </w:rPr>
        <w:t xml:space="preserve"> </w:t>
      </w:r>
    </w:p>
    <w:p w:rsidR="009D4AE3" w:rsidP="000C27D1" w:rsidRDefault="009D4AE3" w14:paraId="2E0DD524" w14:textId="77777777">
      <w:pPr>
        <w:pStyle w:val="Paperwork"/>
        <w:numPr>
          <w:ilvl w:val="12"/>
          <w:numId w:val="0"/>
        </w:numPr>
      </w:pPr>
    </w:p>
    <w:p w:rsidR="000C27D1" w:rsidP="000C27D1" w:rsidRDefault="000C27D1" w14:paraId="63B68936" w14:textId="77777777">
      <w:pPr>
        <w:pStyle w:val="Paperwork"/>
        <w:numPr>
          <w:ilvl w:val="12"/>
          <w:numId w:val="0"/>
        </w:numPr>
      </w:pPr>
      <w:r>
        <w:rPr>
          <w:u w:val="single"/>
        </w:rPr>
        <w:t>Pre-</w:t>
      </w:r>
      <w:r w:rsidRPr="0064761A">
        <w:rPr>
          <w:u w:val="single"/>
        </w:rPr>
        <w:t>Application Preparation</w:t>
      </w:r>
      <w:r w:rsidRPr="009C2AE0">
        <w:t>: It takes</w:t>
      </w:r>
      <w:r>
        <w:t xml:space="preserve"> each applicant approximately 2</w:t>
      </w:r>
      <w:r w:rsidR="00E76550">
        <w:t>4</w:t>
      </w:r>
      <w:r>
        <w:t xml:space="preserve"> labor hours to prepare a</w:t>
      </w:r>
      <w:r w:rsidRPr="009C2AE0">
        <w:t xml:space="preserve"> </w:t>
      </w:r>
      <w:r>
        <w:t>pre-</w:t>
      </w:r>
      <w:r w:rsidRPr="009C2AE0">
        <w:t xml:space="preserve">application. </w:t>
      </w:r>
    </w:p>
    <w:p w:rsidRPr="009C2AE0" w:rsidR="000C27D1" w:rsidP="000C27D1" w:rsidRDefault="000C27D1" w14:paraId="6CBAD33A" w14:textId="77777777">
      <w:pPr>
        <w:pStyle w:val="Paperwork"/>
        <w:numPr>
          <w:ilvl w:val="12"/>
          <w:numId w:val="0"/>
        </w:numPr>
        <w:ind w:left="720" w:hanging="720"/>
      </w:pPr>
    </w:p>
    <w:p w:rsidRPr="009C2AE0" w:rsidR="000C27D1" w:rsidP="000C27D1" w:rsidRDefault="000C27D1" w14:paraId="56464683" w14:textId="161D69A9">
      <w:pPr>
        <w:pStyle w:val="Paperwork"/>
        <w:numPr>
          <w:ilvl w:val="12"/>
          <w:numId w:val="0"/>
        </w:numPr>
        <w:ind w:left="720" w:hanging="720"/>
      </w:pPr>
      <w:r>
        <w:tab/>
      </w:r>
      <w:r w:rsidR="00486558">
        <w:t>3</w:t>
      </w:r>
      <w:r w:rsidR="00E76550">
        <w:t>80</w:t>
      </w:r>
      <w:r w:rsidRPr="009C2AE0">
        <w:t xml:space="preserve"> </w:t>
      </w:r>
      <w:r>
        <w:t xml:space="preserve">pre-applications </w:t>
      </w:r>
      <w:r w:rsidR="00280D38">
        <w:t>x</w:t>
      </w:r>
      <w:r>
        <w:t xml:space="preserve"> 2</w:t>
      </w:r>
      <w:r w:rsidR="00E76550">
        <w:t>4</w:t>
      </w:r>
      <w:r w:rsidRPr="009C2AE0">
        <w:t xml:space="preserve"> hours/application </w:t>
      </w:r>
      <w:r w:rsidRPr="009C2AE0">
        <w:tab/>
        <w:t xml:space="preserve">= </w:t>
      </w:r>
      <w:r w:rsidR="00DC78ED">
        <w:t>9</w:t>
      </w:r>
      <w:r w:rsidR="00153D19">
        <w:t>,1</w:t>
      </w:r>
      <w:r w:rsidR="00DC78ED">
        <w:t>20</w:t>
      </w:r>
      <w:r w:rsidRPr="009C2AE0">
        <w:t xml:space="preserve"> labor hours</w:t>
      </w:r>
    </w:p>
    <w:p w:rsidRPr="009C2AE0" w:rsidR="000C27D1" w:rsidP="0060362F" w:rsidRDefault="00DC78ED" w14:paraId="610C05E6" w14:textId="619253A0">
      <w:pPr>
        <w:pStyle w:val="Paperwork"/>
        <w:numPr>
          <w:ilvl w:val="12"/>
          <w:numId w:val="0"/>
        </w:numPr>
        <w:ind w:left="720"/>
      </w:pPr>
      <w:r>
        <w:t>9</w:t>
      </w:r>
      <w:r w:rsidR="00153D19">
        <w:t>,1</w:t>
      </w:r>
      <w:r>
        <w:t>20</w:t>
      </w:r>
      <w:r w:rsidRPr="009C2AE0" w:rsidR="000C27D1">
        <w:t xml:space="preserve"> labor hours </w:t>
      </w:r>
      <w:r w:rsidR="00280D38">
        <w:t>x</w:t>
      </w:r>
      <w:r w:rsidRPr="009C2AE0" w:rsidR="000C27D1">
        <w:t xml:space="preserve"> $ </w:t>
      </w:r>
      <w:r w:rsidR="00210FD7">
        <w:t>49.54</w:t>
      </w:r>
      <w:r w:rsidRPr="009C2AE0" w:rsidR="000C27D1">
        <w:t xml:space="preserve"> per hour </w:t>
      </w:r>
      <w:r w:rsidRPr="009C2AE0" w:rsidR="000C27D1">
        <w:tab/>
      </w:r>
      <w:r w:rsidRPr="009C2AE0" w:rsidR="000C27D1">
        <w:tab/>
        <w:t xml:space="preserve">= </w:t>
      </w:r>
      <w:commentRangeStart w:id="6"/>
      <w:r w:rsidRPr="009C2AE0" w:rsidR="000C27D1">
        <w:t>$</w:t>
      </w:r>
      <w:r w:rsidR="00153D19">
        <w:t>451</w:t>
      </w:r>
      <w:r w:rsidRPr="004701D3">
        <w:rPr>
          <w:color w:val="000000"/>
          <w:szCs w:val="24"/>
        </w:rPr>
        <w:t>,</w:t>
      </w:r>
      <w:r w:rsidR="00153D19">
        <w:rPr>
          <w:color w:val="000000"/>
          <w:szCs w:val="24"/>
        </w:rPr>
        <w:t>80</w:t>
      </w:r>
      <w:commentRangeEnd w:id="6"/>
      <w:r w:rsidR="003E184E">
        <w:rPr>
          <w:rStyle w:val="CommentReference"/>
        </w:rPr>
        <w:commentReference w:id="6"/>
      </w:r>
      <w:r w:rsidR="001A31DA">
        <w:rPr>
          <w:color w:val="000000"/>
          <w:szCs w:val="24"/>
        </w:rPr>
        <w:t>4.80</w:t>
      </w:r>
    </w:p>
    <w:p w:rsidR="004B24BF" w:rsidP="0064761A" w:rsidRDefault="004B24BF" w14:paraId="254B417E" w14:textId="77777777">
      <w:pPr>
        <w:pStyle w:val="Paperwork"/>
        <w:numPr>
          <w:ilvl w:val="12"/>
          <w:numId w:val="0"/>
        </w:numPr>
        <w:rPr>
          <w:u w:val="single"/>
        </w:rPr>
      </w:pPr>
    </w:p>
    <w:p w:rsidRPr="009C2AE0" w:rsidR="004918A2" w:rsidP="0064761A" w:rsidRDefault="004918A2" w14:paraId="531C38B1" w14:textId="0A51A9A6">
      <w:pPr>
        <w:pStyle w:val="Paperwork"/>
        <w:numPr>
          <w:ilvl w:val="12"/>
          <w:numId w:val="0"/>
        </w:numPr>
      </w:pPr>
      <w:r w:rsidRPr="009C2AE0">
        <w:rPr>
          <w:u w:val="single"/>
        </w:rPr>
        <w:t>Applications</w:t>
      </w:r>
      <w:r w:rsidRPr="009C2AE0">
        <w:t xml:space="preserve">:  </w:t>
      </w:r>
      <w:r w:rsidR="00685498">
        <w:t>Based on history and the new programs introduced</w:t>
      </w:r>
      <w:r w:rsidRPr="009C2AE0">
        <w:t xml:space="preserve">, an average of </w:t>
      </w:r>
      <w:r w:rsidR="00FA5FFD">
        <w:t>30</w:t>
      </w:r>
      <w:r w:rsidRPr="009C2AE0">
        <w:t xml:space="preserve">0 applications are </w:t>
      </w:r>
      <w:r w:rsidR="00FA5FFD">
        <w:t>expected</w:t>
      </w:r>
      <w:r w:rsidRPr="009C2AE0" w:rsidR="00FA5FFD">
        <w:t xml:space="preserve"> </w:t>
      </w:r>
      <w:r w:rsidR="000768C0">
        <w:t xml:space="preserve">annually </w:t>
      </w:r>
      <w:r w:rsidRPr="009C2AE0">
        <w:t xml:space="preserve">for all Lead Hazard </w:t>
      </w:r>
      <w:r w:rsidR="00685F82">
        <w:t xml:space="preserve">and </w:t>
      </w:r>
      <w:r w:rsidRPr="009C2AE0" w:rsidR="00BB554A">
        <w:t xml:space="preserve">Healthy Homes </w:t>
      </w:r>
      <w:r w:rsidRPr="009C2AE0">
        <w:t>Programs.  The costs estimated below are based on an estimated labor rate of $</w:t>
      </w:r>
      <w:r w:rsidR="001761D5">
        <w:t>4</w:t>
      </w:r>
      <w:r w:rsidR="00FA5FFD">
        <w:t>9.54</w:t>
      </w:r>
      <w:r w:rsidR="004E2FE8">
        <w:t xml:space="preserve"> </w:t>
      </w:r>
      <w:r w:rsidRPr="009C2AE0">
        <w:t>(GS-13</w:t>
      </w:r>
      <w:r w:rsidR="00D210D9">
        <w:t>, Step 5</w:t>
      </w:r>
      <w:r w:rsidRPr="009C2AE0">
        <w:t xml:space="preserve"> equivalent). </w:t>
      </w:r>
    </w:p>
    <w:p w:rsidR="0064761A" w:rsidP="0064761A" w:rsidRDefault="0064761A" w14:paraId="7CB7C7CC" w14:textId="77777777">
      <w:pPr>
        <w:pStyle w:val="Paperwork"/>
        <w:numPr>
          <w:ilvl w:val="12"/>
          <w:numId w:val="0"/>
        </w:numPr>
      </w:pPr>
    </w:p>
    <w:p w:rsidR="004918A2" w:rsidP="0064761A" w:rsidRDefault="004918A2" w14:paraId="3178D3B9" w14:textId="77777777">
      <w:pPr>
        <w:pStyle w:val="Paperwork"/>
        <w:numPr>
          <w:ilvl w:val="12"/>
          <w:numId w:val="0"/>
        </w:numPr>
      </w:pPr>
      <w:r w:rsidRPr="0064761A">
        <w:rPr>
          <w:u w:val="single"/>
        </w:rPr>
        <w:t>Application Preparation</w:t>
      </w:r>
      <w:r w:rsidRPr="009C2AE0">
        <w:t xml:space="preserve">: It takes each applicant approximately </w:t>
      </w:r>
      <w:r w:rsidR="008F3E9E">
        <w:t>6</w:t>
      </w:r>
      <w:r w:rsidRPr="009C2AE0">
        <w:t xml:space="preserve">0 labor hours to prepare an application. </w:t>
      </w:r>
    </w:p>
    <w:p w:rsidRPr="009C2AE0" w:rsidR="009C2AE0" w:rsidRDefault="009C2AE0" w14:paraId="035F285E" w14:textId="77777777">
      <w:pPr>
        <w:pStyle w:val="Paperwork"/>
        <w:numPr>
          <w:ilvl w:val="12"/>
          <w:numId w:val="0"/>
        </w:numPr>
        <w:ind w:left="720" w:hanging="720"/>
      </w:pPr>
    </w:p>
    <w:p w:rsidRPr="009C2AE0" w:rsidR="004918A2" w:rsidRDefault="004918A2" w14:paraId="749C4E8D" w14:textId="06B6C022">
      <w:pPr>
        <w:pStyle w:val="Paperwork"/>
        <w:numPr>
          <w:ilvl w:val="12"/>
          <w:numId w:val="0"/>
        </w:numPr>
        <w:ind w:left="720" w:hanging="720"/>
      </w:pPr>
      <w:r w:rsidRPr="009C2AE0">
        <w:tab/>
      </w:r>
      <w:r w:rsidR="001F77BD">
        <w:t>300</w:t>
      </w:r>
      <w:r w:rsidRPr="009C2AE0" w:rsidR="001F77BD">
        <w:t xml:space="preserve"> </w:t>
      </w:r>
      <w:r w:rsidRPr="009C2AE0">
        <w:t xml:space="preserve">applications </w:t>
      </w:r>
      <w:r w:rsidR="00280D38">
        <w:t>x</w:t>
      </w:r>
      <w:r w:rsidRPr="009C2AE0">
        <w:t xml:space="preserve"> </w:t>
      </w:r>
      <w:r w:rsidR="003B15EB">
        <w:t>6</w:t>
      </w:r>
      <w:r w:rsidRPr="009C2AE0">
        <w:t xml:space="preserve">0 hours/application </w:t>
      </w:r>
      <w:r w:rsidRPr="009C2AE0">
        <w:tab/>
        <w:t>=</w:t>
      </w:r>
      <w:r w:rsidRPr="009C2AE0" w:rsidR="00D24527">
        <w:t xml:space="preserve"> </w:t>
      </w:r>
      <w:r w:rsidR="001C53AB">
        <w:t>1</w:t>
      </w:r>
      <w:r w:rsidR="005A649B">
        <w:t>8</w:t>
      </w:r>
      <w:r w:rsidRPr="009C2AE0">
        <w:t>,000 labor hours</w:t>
      </w:r>
    </w:p>
    <w:p w:rsidRPr="009C2AE0" w:rsidR="004918A2" w:rsidRDefault="001C53AB" w14:paraId="2B7E5E1A" w14:textId="4CB9EB4B">
      <w:pPr>
        <w:pStyle w:val="Paperwork"/>
        <w:numPr>
          <w:ilvl w:val="12"/>
          <w:numId w:val="0"/>
        </w:numPr>
        <w:ind w:left="720"/>
      </w:pPr>
      <w:r>
        <w:t>1</w:t>
      </w:r>
      <w:r w:rsidR="005A649B">
        <w:t>8</w:t>
      </w:r>
      <w:r w:rsidRPr="009C2AE0" w:rsidR="004918A2">
        <w:t xml:space="preserve">,000 labor hours </w:t>
      </w:r>
      <w:r w:rsidR="00280D38">
        <w:t>x</w:t>
      </w:r>
      <w:r w:rsidRPr="009C2AE0" w:rsidR="004918A2">
        <w:t xml:space="preserve"> $</w:t>
      </w:r>
      <w:r w:rsidR="00DA0DE3">
        <w:t>4</w:t>
      </w:r>
      <w:r w:rsidR="005A649B">
        <w:t>9.54</w:t>
      </w:r>
      <w:r w:rsidRPr="009C2AE0" w:rsidR="004918A2">
        <w:t xml:space="preserve"> per hour </w:t>
      </w:r>
      <w:r w:rsidRPr="009C2AE0" w:rsidR="004918A2">
        <w:tab/>
        <w:t>= $</w:t>
      </w:r>
      <w:r w:rsidR="005A649B">
        <w:t>891,720</w:t>
      </w:r>
    </w:p>
    <w:p w:rsidRPr="009C2AE0" w:rsidR="004918A2" w:rsidRDefault="004918A2" w14:paraId="29ECCE0F" w14:textId="77777777">
      <w:pPr>
        <w:pStyle w:val="Paperwork"/>
        <w:numPr>
          <w:ilvl w:val="12"/>
          <w:numId w:val="0"/>
        </w:numPr>
        <w:ind w:left="720" w:hanging="720"/>
      </w:pPr>
    </w:p>
    <w:p w:rsidRPr="009C2AE0" w:rsidR="004918A2" w:rsidP="0060362F" w:rsidRDefault="004918A2" w14:paraId="7CA9DB47" w14:textId="13847BA2">
      <w:pPr>
        <w:pStyle w:val="Paperwork"/>
        <w:keepNext/>
        <w:keepLines/>
        <w:numPr>
          <w:ilvl w:val="12"/>
          <w:numId w:val="0"/>
        </w:numPr>
      </w:pPr>
      <w:r w:rsidRPr="0060362F">
        <w:rPr>
          <w:u w:val="single"/>
        </w:rPr>
        <w:lastRenderedPageBreak/>
        <w:t>Finalizing the Grant Award</w:t>
      </w:r>
      <w:r w:rsidRPr="009C2AE0">
        <w:t xml:space="preserve">: Following award, each </w:t>
      </w:r>
      <w:r w:rsidR="00536E25">
        <w:t xml:space="preserve">of the approximately </w:t>
      </w:r>
      <w:r w:rsidR="00E62A6D">
        <w:t xml:space="preserve">147 </w:t>
      </w:r>
      <w:r w:rsidRPr="009C2AE0">
        <w:t xml:space="preserve">grant </w:t>
      </w:r>
      <w:proofErr w:type="gramStart"/>
      <w:r w:rsidRPr="009C2AE0">
        <w:t>recipient</w:t>
      </w:r>
      <w:proofErr w:type="gramEnd"/>
      <w:r w:rsidRPr="009C2AE0">
        <w:t xml:space="preserve"> would spend approximately 16 labor hours to finalize the grant award.</w:t>
      </w:r>
    </w:p>
    <w:p w:rsidRPr="009C2AE0" w:rsidR="004918A2" w:rsidP="009C2AE0" w:rsidRDefault="004918A2" w14:paraId="1B4E3E16" w14:textId="77777777">
      <w:pPr>
        <w:pStyle w:val="Paperwork"/>
        <w:keepNext/>
        <w:keepLines/>
        <w:numPr>
          <w:ilvl w:val="12"/>
          <w:numId w:val="0"/>
        </w:numPr>
        <w:ind w:left="720" w:hanging="720"/>
      </w:pPr>
    </w:p>
    <w:p w:rsidRPr="009C2AE0" w:rsidR="004918A2" w:rsidRDefault="004918A2" w14:paraId="23B09F3F" w14:textId="5CC81E0E">
      <w:pPr>
        <w:pStyle w:val="Paperwork"/>
        <w:numPr>
          <w:ilvl w:val="12"/>
          <w:numId w:val="0"/>
        </w:numPr>
        <w:ind w:left="720" w:hanging="720"/>
      </w:pPr>
      <w:r w:rsidRPr="009C2AE0">
        <w:tab/>
      </w:r>
      <w:r w:rsidR="00A557A7">
        <w:t>147</w:t>
      </w:r>
      <w:r w:rsidRPr="009C2AE0">
        <w:t xml:space="preserve"> grant recipients </w:t>
      </w:r>
      <w:r w:rsidR="00280D38">
        <w:t>x</w:t>
      </w:r>
      <w:r w:rsidRPr="009C2AE0">
        <w:t xml:space="preserve"> 16 hours/recipient</w:t>
      </w:r>
      <w:r w:rsidRPr="009C2AE0">
        <w:tab/>
      </w:r>
      <w:r w:rsidRPr="009C2AE0" w:rsidR="00D24527">
        <w:t xml:space="preserve">= </w:t>
      </w:r>
      <w:r w:rsidR="006A5BC8">
        <w:t>2,352</w:t>
      </w:r>
      <w:r w:rsidRPr="009C2AE0">
        <w:t xml:space="preserve"> labor hours</w:t>
      </w:r>
    </w:p>
    <w:p w:rsidRPr="009C2AE0" w:rsidR="004918A2" w:rsidRDefault="006A5BC8" w14:paraId="49D9F1C7" w14:textId="6423F584">
      <w:pPr>
        <w:pStyle w:val="Paperwork"/>
        <w:numPr>
          <w:ilvl w:val="12"/>
          <w:numId w:val="0"/>
        </w:numPr>
        <w:ind w:left="720"/>
      </w:pPr>
      <w:r>
        <w:t>2</w:t>
      </w:r>
      <w:r w:rsidR="00491A36">
        <w:t>,352</w:t>
      </w:r>
      <w:r w:rsidRPr="009C2AE0" w:rsidR="004918A2">
        <w:t xml:space="preserve"> labor hours </w:t>
      </w:r>
      <w:r w:rsidR="00280D38">
        <w:t>x</w:t>
      </w:r>
      <w:r w:rsidRPr="009C2AE0" w:rsidR="004918A2">
        <w:t xml:space="preserve"> $</w:t>
      </w:r>
      <w:r w:rsidR="00DA0DE3">
        <w:t>4</w:t>
      </w:r>
      <w:r w:rsidR="00491A36">
        <w:t>9.54</w:t>
      </w:r>
      <w:r w:rsidRPr="009C2AE0" w:rsidR="004918A2">
        <w:t xml:space="preserve"> per hour</w:t>
      </w:r>
      <w:r w:rsidRPr="009C2AE0" w:rsidR="004918A2">
        <w:tab/>
      </w:r>
      <w:r w:rsidRPr="009C2AE0" w:rsidR="004918A2">
        <w:tab/>
      </w:r>
      <w:r w:rsidRPr="009C2AE0" w:rsidR="00D24527">
        <w:t>= $</w:t>
      </w:r>
      <w:r w:rsidR="000A7BEE">
        <w:t>116,518</w:t>
      </w:r>
    </w:p>
    <w:p w:rsidRPr="009C2AE0" w:rsidR="004918A2" w:rsidRDefault="004918A2" w14:paraId="491D3A7B" w14:textId="77777777">
      <w:pPr>
        <w:pStyle w:val="Paperwork"/>
        <w:numPr>
          <w:ilvl w:val="12"/>
          <w:numId w:val="0"/>
        </w:numPr>
        <w:ind w:left="720" w:hanging="720"/>
      </w:pPr>
    </w:p>
    <w:p w:rsidRPr="009C2AE0" w:rsidR="004918A2" w:rsidP="0064761A" w:rsidRDefault="004918A2" w14:paraId="01595CB3" w14:textId="53D5647A">
      <w:pPr>
        <w:pStyle w:val="Paperwork"/>
        <w:numPr>
          <w:ilvl w:val="12"/>
          <w:numId w:val="0"/>
        </w:numPr>
      </w:pPr>
      <w:r w:rsidRPr="009C2AE0">
        <w:rPr>
          <w:u w:val="single"/>
        </w:rPr>
        <w:t>Quality Assurance Plans</w:t>
      </w:r>
      <w:r w:rsidRPr="009C2AE0">
        <w:t xml:space="preserve">:  For the approximately </w:t>
      </w:r>
      <w:r w:rsidR="00583BBD">
        <w:t>47</w:t>
      </w:r>
      <w:r w:rsidRPr="009C2AE0">
        <w:t xml:space="preserve"> awards </w:t>
      </w:r>
      <w:r w:rsidRPr="009C2AE0" w:rsidR="00FC2DDB">
        <w:t xml:space="preserve">to Lead </w:t>
      </w:r>
      <w:r w:rsidRPr="009C2AE0" w:rsidR="008F3E9E">
        <w:t xml:space="preserve">Technical Studies </w:t>
      </w:r>
      <w:r w:rsidRPr="009C2AE0" w:rsidR="00FC2DDB">
        <w:t xml:space="preserve">and </w:t>
      </w:r>
      <w:r w:rsidRPr="009C2AE0">
        <w:t>Healthy Homes Technical Studies, and contractors conducting research and evaluation activities, preparation of the QAP takes an average of 24 hours.</w:t>
      </w:r>
    </w:p>
    <w:p w:rsidRPr="009C2AE0" w:rsidR="004918A2" w:rsidRDefault="004918A2" w14:paraId="5C45F49A" w14:textId="77777777">
      <w:pPr>
        <w:pStyle w:val="Paperwork"/>
        <w:numPr>
          <w:ilvl w:val="12"/>
          <w:numId w:val="0"/>
        </w:numPr>
        <w:ind w:left="720" w:hanging="720"/>
      </w:pPr>
    </w:p>
    <w:p w:rsidRPr="009C2AE0" w:rsidR="004918A2" w:rsidRDefault="007A0A0A" w14:paraId="02C58CEB" w14:textId="31BAEEAF">
      <w:pPr>
        <w:pStyle w:val="Paperwork"/>
        <w:numPr>
          <w:ilvl w:val="12"/>
          <w:numId w:val="0"/>
        </w:numPr>
        <w:ind w:left="1440" w:hanging="720"/>
      </w:pPr>
      <w:r>
        <w:t>47</w:t>
      </w:r>
      <w:r w:rsidRPr="009C2AE0" w:rsidR="004918A2">
        <w:t xml:space="preserve"> responses </w:t>
      </w:r>
      <w:r w:rsidR="00280D38">
        <w:t>x</w:t>
      </w:r>
      <w:r w:rsidRPr="009C2AE0" w:rsidR="004918A2">
        <w:t xml:space="preserve"> 24 hours/response</w:t>
      </w:r>
      <w:r w:rsidRPr="009C2AE0" w:rsidR="004918A2">
        <w:tab/>
      </w:r>
      <w:r w:rsidRPr="009C2AE0" w:rsidR="008255A5">
        <w:tab/>
      </w:r>
      <w:r w:rsidRPr="009C2AE0" w:rsidR="004918A2">
        <w:t>=</w:t>
      </w:r>
      <w:r w:rsidRPr="009C2AE0" w:rsidR="00D24527">
        <w:t xml:space="preserve"> </w:t>
      </w:r>
      <w:r w:rsidR="002F3919">
        <w:t>1,128</w:t>
      </w:r>
      <w:r w:rsidRPr="009C2AE0" w:rsidR="00916873">
        <w:t xml:space="preserve"> </w:t>
      </w:r>
      <w:r w:rsidRPr="009C2AE0" w:rsidR="004918A2">
        <w:t>labor hours</w:t>
      </w:r>
    </w:p>
    <w:p w:rsidR="0064761A" w:rsidP="0064761A" w:rsidRDefault="0079658D" w14:paraId="6FBBD18F" w14:textId="40F46E97">
      <w:pPr>
        <w:pStyle w:val="Paperwork"/>
        <w:numPr>
          <w:ilvl w:val="12"/>
          <w:numId w:val="0"/>
        </w:numPr>
        <w:ind w:left="1440" w:hanging="720"/>
      </w:pPr>
      <w:r>
        <w:t>1,128</w:t>
      </w:r>
      <w:r w:rsidRPr="009C2AE0" w:rsidR="004918A2">
        <w:t xml:space="preserve"> labor hours </w:t>
      </w:r>
      <w:r w:rsidR="00280D38">
        <w:t>x</w:t>
      </w:r>
      <w:r w:rsidRPr="009C2AE0" w:rsidR="004918A2">
        <w:t xml:space="preserve"> </w:t>
      </w:r>
      <w:r w:rsidR="00D210D9">
        <w:t>$</w:t>
      </w:r>
      <w:r w:rsidR="005D22B8">
        <w:t>49.54</w:t>
      </w:r>
      <w:r w:rsidRPr="009C2AE0" w:rsidR="004918A2">
        <w:t xml:space="preserve"> per hour</w:t>
      </w:r>
      <w:r w:rsidRPr="009C2AE0" w:rsidR="004918A2">
        <w:tab/>
      </w:r>
      <w:r w:rsidR="00B80231">
        <w:tab/>
      </w:r>
      <w:r w:rsidRPr="009C2AE0" w:rsidR="004918A2">
        <w:t>=</w:t>
      </w:r>
      <w:r w:rsidRPr="009C2AE0" w:rsidR="00D24527">
        <w:t xml:space="preserve"> </w:t>
      </w:r>
      <w:r w:rsidRPr="009C2AE0" w:rsidR="004918A2">
        <w:t>$</w:t>
      </w:r>
      <w:r>
        <w:t>55,581</w:t>
      </w:r>
    </w:p>
    <w:p w:rsidR="00FE4A94" w:rsidP="0064761A" w:rsidRDefault="00FE4A94" w14:paraId="13635204" w14:textId="77777777">
      <w:pPr>
        <w:pStyle w:val="Paperwork"/>
        <w:numPr>
          <w:ilvl w:val="12"/>
          <w:numId w:val="0"/>
        </w:numPr>
      </w:pPr>
    </w:p>
    <w:p w:rsidRPr="009C2AE0" w:rsidR="004918A2" w:rsidP="0064761A" w:rsidRDefault="004918A2" w14:paraId="644E1F9E" w14:textId="73E14C77">
      <w:pPr>
        <w:pStyle w:val="Paperwork"/>
        <w:numPr>
          <w:ilvl w:val="12"/>
          <w:numId w:val="0"/>
        </w:numPr>
      </w:pPr>
      <w:r w:rsidRPr="009C2AE0">
        <w:t xml:space="preserve">The total application and start-up cost including application preparation and, for certain </w:t>
      </w:r>
      <w:r w:rsidRPr="009C2AE0" w:rsidR="005E769E">
        <w:t>grantee</w:t>
      </w:r>
      <w:r w:rsidRPr="009C2AE0" w:rsidR="008255A5">
        <w:t>s</w:t>
      </w:r>
      <w:r w:rsidRPr="009C2AE0" w:rsidR="005E769E">
        <w:t xml:space="preserve">, QAP response, based on </w:t>
      </w:r>
      <w:r w:rsidR="00682D20">
        <w:t>30,600</w:t>
      </w:r>
      <w:r w:rsidRPr="009C2AE0" w:rsidR="005E769E">
        <w:t xml:space="preserve"> labor hours</w:t>
      </w:r>
      <w:r w:rsidR="009C2AE0">
        <w:t>,</w:t>
      </w:r>
      <w:r w:rsidRPr="009C2AE0" w:rsidR="005E769E">
        <w:t xml:space="preserve"> is</w:t>
      </w:r>
      <w:r w:rsidRPr="009C2AE0">
        <w:t xml:space="preserve"> </w:t>
      </w:r>
      <w:r w:rsidRPr="004701D3" w:rsidR="00787746">
        <w:rPr>
          <w:color w:val="000000"/>
          <w:szCs w:val="24"/>
        </w:rPr>
        <w:t>$1,</w:t>
      </w:r>
      <w:r w:rsidR="005413A7">
        <w:rPr>
          <w:color w:val="000000"/>
          <w:szCs w:val="24"/>
        </w:rPr>
        <w:t>515,924</w:t>
      </w:r>
      <w:r w:rsidR="00787746">
        <w:rPr>
          <w:b/>
          <w:bCs/>
          <w:color w:val="000000"/>
          <w:sz w:val="20"/>
        </w:rPr>
        <w:t xml:space="preserve"> </w:t>
      </w:r>
      <w:r w:rsidRPr="009C2AE0" w:rsidR="00E13D99">
        <w:t>per year</w:t>
      </w:r>
      <w:r w:rsidRPr="009C2AE0">
        <w:t xml:space="preserve">. </w:t>
      </w:r>
    </w:p>
    <w:p w:rsidRPr="009C2AE0" w:rsidR="004918A2" w:rsidRDefault="004918A2" w14:paraId="241FEB22" w14:textId="77777777">
      <w:pPr>
        <w:pStyle w:val="Paperwork"/>
        <w:numPr>
          <w:ilvl w:val="12"/>
          <w:numId w:val="0"/>
        </w:numPr>
        <w:ind w:left="720"/>
      </w:pPr>
    </w:p>
    <w:p w:rsidRPr="009C2AE0" w:rsidR="004918A2" w:rsidRDefault="004918A2" w14:paraId="778C3F0E" w14:textId="77777777">
      <w:pPr>
        <w:pStyle w:val="Paperwork"/>
        <w:numPr>
          <w:ilvl w:val="12"/>
          <w:numId w:val="0"/>
        </w:numPr>
        <w:ind w:left="720" w:hanging="720"/>
      </w:pPr>
      <w:r w:rsidRPr="009C2AE0">
        <w:rPr>
          <w:b/>
        </w:rPr>
        <w:t>13.</w:t>
      </w:r>
      <w:r w:rsidRPr="009C2AE0">
        <w:rPr>
          <w:b/>
        </w:rPr>
        <w:tab/>
        <w:t>Provide an estimate of the total annual cost burden to respondents or record keepers resulting from the collection of information.</w:t>
      </w:r>
    </w:p>
    <w:p w:rsidRPr="009C2AE0" w:rsidR="004918A2" w:rsidRDefault="004918A2" w14:paraId="5A5BF5C5" w14:textId="77777777">
      <w:pPr>
        <w:pStyle w:val="Paperwork"/>
        <w:numPr>
          <w:ilvl w:val="12"/>
          <w:numId w:val="0"/>
        </w:numPr>
        <w:ind w:left="720" w:hanging="720"/>
      </w:pPr>
    </w:p>
    <w:p w:rsidRPr="009C2AE0" w:rsidR="004918A2" w:rsidRDefault="00E91E83" w14:paraId="14F05FCF" w14:textId="253F7196">
      <w:pPr>
        <w:pStyle w:val="Paperwork"/>
        <w:numPr>
          <w:ilvl w:val="12"/>
          <w:numId w:val="0"/>
        </w:numPr>
        <w:ind w:left="720" w:hanging="720"/>
      </w:pPr>
      <w:r>
        <w:t xml:space="preserve">See </w:t>
      </w:r>
      <w:r w:rsidR="007824EF">
        <w:t>12. A</w:t>
      </w:r>
      <w:r>
        <w:t>bove</w:t>
      </w:r>
      <w:r w:rsidR="007824EF">
        <w:t>.</w:t>
      </w:r>
      <w:r>
        <w:t xml:space="preserve"> </w:t>
      </w:r>
      <w:r w:rsidRPr="009C2AE0" w:rsidR="004918A2">
        <w:t>No start</w:t>
      </w:r>
      <w:r w:rsidR="00D055AB">
        <w:t>-</w:t>
      </w:r>
      <w:r w:rsidRPr="009C2AE0" w:rsidR="004918A2">
        <w:t>up or operations and maintenance costs are anticipated.</w:t>
      </w:r>
    </w:p>
    <w:p w:rsidRPr="009C2AE0" w:rsidR="004918A2" w:rsidRDefault="004918A2" w14:paraId="6498487C" w14:textId="77777777">
      <w:pPr>
        <w:pStyle w:val="Paperwork"/>
        <w:numPr>
          <w:ilvl w:val="12"/>
          <w:numId w:val="0"/>
        </w:numPr>
        <w:ind w:left="720" w:hanging="720"/>
      </w:pPr>
    </w:p>
    <w:p w:rsidR="00CD6AF1" w:rsidRDefault="004918A2" w14:paraId="4121B768" w14:textId="10F9805E">
      <w:pPr>
        <w:pStyle w:val="Paperwork"/>
        <w:numPr>
          <w:ilvl w:val="12"/>
          <w:numId w:val="0"/>
        </w:numPr>
        <w:ind w:left="720" w:hanging="720"/>
        <w:rPr>
          <w:b/>
        </w:rPr>
      </w:pPr>
      <w:r w:rsidRPr="009C2AE0">
        <w:rPr>
          <w:b/>
        </w:rPr>
        <w:t>14.</w:t>
      </w:r>
      <w:r w:rsidRPr="009C2AE0">
        <w:rPr>
          <w:b/>
        </w:rPr>
        <w:tab/>
        <w:t>Provide estimates of annualized cost to the Federal government.</w:t>
      </w:r>
    </w:p>
    <w:p w:rsidR="00917D52" w:rsidRDefault="00917D52" w14:paraId="4EBE4AD3" w14:textId="77777777">
      <w:pPr>
        <w:pStyle w:val="Paperwork"/>
        <w:numPr>
          <w:ilvl w:val="12"/>
          <w:numId w:val="0"/>
        </w:numPr>
        <w:ind w:left="720" w:hanging="720"/>
        <w:rPr>
          <w:b/>
        </w:rPr>
      </w:pPr>
    </w:p>
    <w:tbl>
      <w:tblPr>
        <w:tblW w:w="9815"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5"/>
        <w:gridCol w:w="1350"/>
        <w:gridCol w:w="1170"/>
        <w:gridCol w:w="1170"/>
        <w:gridCol w:w="1170"/>
        <w:gridCol w:w="990"/>
        <w:gridCol w:w="1080"/>
        <w:gridCol w:w="1440"/>
      </w:tblGrid>
      <w:tr w:rsidRPr="00153604" w:rsidR="008710F9" w:rsidTr="004E4F6D" w14:paraId="6F6AA130" w14:textId="77777777">
        <w:trPr>
          <w:trHeight w:val="690"/>
        </w:trPr>
        <w:tc>
          <w:tcPr>
            <w:tcW w:w="1445" w:type="dxa"/>
            <w:shd w:val="clear" w:color="auto" w:fill="auto"/>
            <w:vAlign w:val="center"/>
            <w:hideMark/>
          </w:tcPr>
          <w:p w:rsidRPr="00153604" w:rsidR="00A06779" w:rsidRDefault="00A06779" w14:paraId="06D09C97" w14:textId="77777777">
            <w:pPr>
              <w:jc w:val="center"/>
              <w:rPr>
                <w:b/>
                <w:bCs/>
                <w:color w:val="000000"/>
                <w:sz w:val="18"/>
                <w:szCs w:val="18"/>
              </w:rPr>
            </w:pPr>
            <w:r w:rsidRPr="00153604">
              <w:rPr>
                <w:b/>
                <w:bCs/>
                <w:color w:val="000000"/>
                <w:sz w:val="18"/>
                <w:szCs w:val="18"/>
              </w:rPr>
              <w:t>Information Collection</w:t>
            </w:r>
          </w:p>
        </w:tc>
        <w:tc>
          <w:tcPr>
            <w:tcW w:w="1350" w:type="dxa"/>
            <w:shd w:val="clear" w:color="auto" w:fill="auto"/>
            <w:vAlign w:val="center"/>
            <w:hideMark/>
          </w:tcPr>
          <w:p w:rsidRPr="00153604" w:rsidR="00A06779" w:rsidRDefault="00A06779" w14:paraId="0C13F685" w14:textId="77777777">
            <w:pPr>
              <w:jc w:val="center"/>
              <w:rPr>
                <w:b/>
                <w:bCs/>
                <w:color w:val="000000"/>
                <w:sz w:val="18"/>
                <w:szCs w:val="18"/>
              </w:rPr>
            </w:pPr>
            <w:r w:rsidRPr="00153604">
              <w:rPr>
                <w:b/>
                <w:bCs/>
                <w:color w:val="000000"/>
                <w:sz w:val="18"/>
                <w:szCs w:val="18"/>
              </w:rPr>
              <w:t>Number of Respondents</w:t>
            </w:r>
          </w:p>
        </w:tc>
        <w:tc>
          <w:tcPr>
            <w:tcW w:w="1170" w:type="dxa"/>
            <w:shd w:val="clear" w:color="auto" w:fill="auto"/>
            <w:vAlign w:val="center"/>
            <w:hideMark/>
          </w:tcPr>
          <w:p w:rsidRPr="00153604" w:rsidR="00A06779" w:rsidRDefault="00A06779" w14:paraId="74E4FF7D" w14:textId="77777777">
            <w:pPr>
              <w:jc w:val="center"/>
              <w:rPr>
                <w:b/>
                <w:bCs/>
                <w:color w:val="000000"/>
                <w:sz w:val="18"/>
                <w:szCs w:val="18"/>
              </w:rPr>
            </w:pPr>
            <w:r w:rsidRPr="00153604">
              <w:rPr>
                <w:b/>
                <w:bCs/>
                <w:color w:val="000000"/>
                <w:sz w:val="18"/>
                <w:szCs w:val="18"/>
              </w:rPr>
              <w:t>Frequency of Response</w:t>
            </w:r>
          </w:p>
        </w:tc>
        <w:tc>
          <w:tcPr>
            <w:tcW w:w="1170" w:type="dxa"/>
            <w:shd w:val="clear" w:color="auto" w:fill="auto"/>
            <w:vAlign w:val="center"/>
            <w:hideMark/>
          </w:tcPr>
          <w:p w:rsidRPr="00153604" w:rsidR="00A06779" w:rsidP="005B7A6E" w:rsidRDefault="00A06779" w14:paraId="14F9CA87" w14:textId="77777777">
            <w:pPr>
              <w:jc w:val="center"/>
              <w:rPr>
                <w:b/>
                <w:bCs/>
                <w:color w:val="000000"/>
                <w:sz w:val="18"/>
                <w:szCs w:val="18"/>
              </w:rPr>
            </w:pPr>
            <w:r w:rsidRPr="00153604">
              <w:rPr>
                <w:b/>
                <w:bCs/>
                <w:color w:val="000000"/>
                <w:sz w:val="18"/>
                <w:szCs w:val="18"/>
              </w:rPr>
              <w:t>Responses</w:t>
            </w:r>
          </w:p>
          <w:p w:rsidRPr="00153604" w:rsidR="00A06779" w:rsidP="004701D3" w:rsidRDefault="00A06779" w14:paraId="102A60F0" w14:textId="4DDB4F52">
            <w:pPr>
              <w:jc w:val="center"/>
              <w:rPr>
                <w:b/>
                <w:bCs/>
                <w:color w:val="000000"/>
                <w:sz w:val="18"/>
                <w:szCs w:val="18"/>
              </w:rPr>
            </w:pPr>
            <w:r w:rsidRPr="00153604">
              <w:rPr>
                <w:b/>
                <w:bCs/>
                <w:color w:val="000000"/>
                <w:sz w:val="18"/>
                <w:szCs w:val="18"/>
              </w:rPr>
              <w:t>Per Annum</w:t>
            </w:r>
          </w:p>
        </w:tc>
        <w:tc>
          <w:tcPr>
            <w:tcW w:w="1170" w:type="dxa"/>
            <w:shd w:val="clear" w:color="auto" w:fill="auto"/>
            <w:vAlign w:val="center"/>
            <w:hideMark/>
          </w:tcPr>
          <w:p w:rsidRPr="00153604" w:rsidR="00A06779" w:rsidRDefault="00A06779" w14:paraId="44D59AD9" w14:textId="77777777">
            <w:pPr>
              <w:jc w:val="center"/>
              <w:rPr>
                <w:b/>
                <w:bCs/>
                <w:color w:val="000000"/>
                <w:sz w:val="18"/>
                <w:szCs w:val="18"/>
              </w:rPr>
            </w:pPr>
            <w:r w:rsidRPr="00153604">
              <w:rPr>
                <w:b/>
                <w:bCs/>
                <w:color w:val="000000"/>
                <w:sz w:val="18"/>
                <w:szCs w:val="18"/>
              </w:rPr>
              <w:t>Burden Hour Per Response</w:t>
            </w:r>
          </w:p>
        </w:tc>
        <w:tc>
          <w:tcPr>
            <w:tcW w:w="990" w:type="dxa"/>
            <w:shd w:val="clear" w:color="auto" w:fill="auto"/>
            <w:vAlign w:val="center"/>
            <w:hideMark/>
          </w:tcPr>
          <w:p w:rsidRPr="00153604" w:rsidR="00A06779" w:rsidRDefault="00A06779" w14:paraId="51A2517F" w14:textId="77777777">
            <w:pPr>
              <w:jc w:val="center"/>
              <w:rPr>
                <w:b/>
                <w:bCs/>
                <w:color w:val="000000"/>
                <w:sz w:val="18"/>
                <w:szCs w:val="18"/>
              </w:rPr>
            </w:pPr>
            <w:r w:rsidRPr="00153604">
              <w:rPr>
                <w:b/>
                <w:bCs/>
                <w:color w:val="000000"/>
                <w:sz w:val="18"/>
                <w:szCs w:val="18"/>
              </w:rPr>
              <w:t>Annual Burden Hours</w:t>
            </w:r>
          </w:p>
        </w:tc>
        <w:tc>
          <w:tcPr>
            <w:tcW w:w="1080" w:type="dxa"/>
            <w:shd w:val="clear" w:color="auto" w:fill="auto"/>
            <w:vAlign w:val="center"/>
            <w:hideMark/>
          </w:tcPr>
          <w:p w:rsidRPr="00153604" w:rsidR="00A06779" w:rsidRDefault="00A06779" w14:paraId="5B1D46BB" w14:textId="77777777">
            <w:pPr>
              <w:jc w:val="center"/>
              <w:rPr>
                <w:b/>
                <w:bCs/>
                <w:color w:val="000000"/>
                <w:sz w:val="18"/>
                <w:szCs w:val="18"/>
              </w:rPr>
            </w:pPr>
            <w:r w:rsidRPr="00153604">
              <w:rPr>
                <w:b/>
                <w:bCs/>
                <w:color w:val="000000"/>
                <w:sz w:val="18"/>
                <w:szCs w:val="18"/>
              </w:rPr>
              <w:t>Hourly Cost Per Response</w:t>
            </w:r>
          </w:p>
        </w:tc>
        <w:tc>
          <w:tcPr>
            <w:tcW w:w="1440" w:type="dxa"/>
            <w:shd w:val="clear" w:color="auto" w:fill="auto"/>
            <w:vAlign w:val="center"/>
            <w:hideMark/>
          </w:tcPr>
          <w:p w:rsidRPr="00153604" w:rsidR="00A06779" w:rsidRDefault="00A06779" w14:paraId="0D2F6CB9" w14:textId="77777777">
            <w:pPr>
              <w:jc w:val="center"/>
              <w:rPr>
                <w:b/>
                <w:bCs/>
                <w:color w:val="000000"/>
                <w:sz w:val="18"/>
                <w:szCs w:val="18"/>
              </w:rPr>
            </w:pPr>
            <w:r w:rsidRPr="00153604">
              <w:rPr>
                <w:b/>
                <w:bCs/>
                <w:color w:val="000000"/>
                <w:sz w:val="18"/>
                <w:szCs w:val="18"/>
              </w:rPr>
              <w:t>Annual Cost</w:t>
            </w:r>
          </w:p>
        </w:tc>
      </w:tr>
      <w:tr w:rsidRPr="00153604" w:rsidR="008710F9" w:rsidTr="004E4F6D" w14:paraId="2BCB69B9" w14:textId="77777777">
        <w:trPr>
          <w:trHeight w:val="645"/>
        </w:trPr>
        <w:tc>
          <w:tcPr>
            <w:tcW w:w="1445" w:type="dxa"/>
            <w:shd w:val="clear" w:color="auto" w:fill="auto"/>
            <w:vAlign w:val="center"/>
            <w:hideMark/>
          </w:tcPr>
          <w:p w:rsidRPr="00153604" w:rsidR="006F32BC" w:rsidRDefault="006F32BC" w14:paraId="6F139E98" w14:textId="77777777">
            <w:pPr>
              <w:rPr>
                <w:color w:val="000000"/>
                <w:sz w:val="18"/>
                <w:szCs w:val="18"/>
              </w:rPr>
            </w:pPr>
            <w:r w:rsidRPr="00153604">
              <w:rPr>
                <w:color w:val="000000"/>
                <w:sz w:val="18"/>
                <w:szCs w:val="18"/>
              </w:rPr>
              <w:t xml:space="preserve">Pre-Application Review </w:t>
            </w:r>
          </w:p>
        </w:tc>
        <w:tc>
          <w:tcPr>
            <w:tcW w:w="1350" w:type="dxa"/>
            <w:shd w:val="clear" w:color="auto" w:fill="auto"/>
            <w:vAlign w:val="center"/>
            <w:hideMark/>
          </w:tcPr>
          <w:p w:rsidRPr="00153604" w:rsidR="006F32BC" w:rsidP="00153604" w:rsidRDefault="00F4017B" w14:paraId="5EB816DE" w14:textId="5AF910E6">
            <w:pPr>
              <w:jc w:val="right"/>
              <w:rPr>
                <w:color w:val="000000"/>
                <w:sz w:val="18"/>
                <w:szCs w:val="18"/>
              </w:rPr>
            </w:pPr>
            <w:r w:rsidRPr="00153604">
              <w:rPr>
                <w:color w:val="000000"/>
                <w:sz w:val="18"/>
                <w:szCs w:val="18"/>
              </w:rPr>
              <w:t>3</w:t>
            </w:r>
            <w:r w:rsidRPr="00153604" w:rsidR="006F32BC">
              <w:rPr>
                <w:color w:val="000000"/>
                <w:sz w:val="18"/>
                <w:szCs w:val="18"/>
              </w:rPr>
              <w:t>80</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575220FB" w14:textId="75182EAF">
            <w:pPr>
              <w:jc w:val="right"/>
              <w:rPr>
                <w:color w:val="000000"/>
                <w:sz w:val="18"/>
                <w:szCs w:val="18"/>
              </w:rPr>
            </w:pPr>
            <w:r w:rsidRPr="00153604">
              <w:rPr>
                <w:color w:val="000000"/>
                <w:sz w:val="18"/>
                <w:szCs w:val="18"/>
              </w:rPr>
              <w:t>1</w:t>
            </w:r>
            <w:r w:rsidRPr="00153604" w:rsidR="00153604">
              <w:rPr>
                <w:color w:val="000000"/>
                <w:sz w:val="18"/>
                <w:szCs w:val="18"/>
              </w:rPr>
              <w:t>.00</w:t>
            </w:r>
          </w:p>
        </w:tc>
        <w:tc>
          <w:tcPr>
            <w:tcW w:w="1170" w:type="dxa"/>
            <w:shd w:val="clear" w:color="auto" w:fill="auto"/>
            <w:vAlign w:val="center"/>
            <w:hideMark/>
          </w:tcPr>
          <w:p w:rsidRPr="00153604" w:rsidR="006F32BC" w:rsidP="00153604" w:rsidRDefault="00F4017B" w14:paraId="04C83154" w14:textId="2DD1FDE9">
            <w:pPr>
              <w:jc w:val="right"/>
              <w:rPr>
                <w:color w:val="000000"/>
                <w:sz w:val="18"/>
                <w:szCs w:val="18"/>
              </w:rPr>
            </w:pPr>
            <w:r w:rsidRPr="00153604">
              <w:rPr>
                <w:color w:val="000000"/>
                <w:sz w:val="18"/>
                <w:szCs w:val="18"/>
              </w:rPr>
              <w:t>3</w:t>
            </w:r>
            <w:r w:rsidRPr="00153604" w:rsidR="006F32BC">
              <w:rPr>
                <w:color w:val="000000"/>
                <w:sz w:val="18"/>
                <w:szCs w:val="18"/>
              </w:rPr>
              <w:t>80</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0F190576" w14:textId="408CE3CD">
            <w:pPr>
              <w:jc w:val="right"/>
              <w:rPr>
                <w:color w:val="000000"/>
                <w:sz w:val="18"/>
                <w:szCs w:val="18"/>
              </w:rPr>
            </w:pPr>
            <w:r w:rsidRPr="00153604">
              <w:rPr>
                <w:color w:val="000000"/>
                <w:sz w:val="18"/>
                <w:szCs w:val="18"/>
              </w:rPr>
              <w:t>6</w:t>
            </w:r>
            <w:r w:rsidRPr="00153604" w:rsidR="00153604">
              <w:rPr>
                <w:color w:val="000000"/>
                <w:sz w:val="18"/>
                <w:szCs w:val="18"/>
              </w:rPr>
              <w:t>.00</w:t>
            </w:r>
          </w:p>
        </w:tc>
        <w:tc>
          <w:tcPr>
            <w:tcW w:w="990" w:type="dxa"/>
            <w:shd w:val="clear" w:color="auto" w:fill="auto"/>
            <w:vAlign w:val="center"/>
            <w:hideMark/>
          </w:tcPr>
          <w:p w:rsidRPr="00153604" w:rsidR="006F32BC" w:rsidP="00153604" w:rsidRDefault="00F4017B" w14:paraId="4DF33E35" w14:textId="574C3244">
            <w:pPr>
              <w:jc w:val="right"/>
              <w:rPr>
                <w:color w:val="000000"/>
                <w:sz w:val="18"/>
                <w:szCs w:val="18"/>
              </w:rPr>
            </w:pPr>
            <w:r w:rsidRPr="00153604">
              <w:rPr>
                <w:color w:val="000000"/>
                <w:sz w:val="18"/>
                <w:szCs w:val="18"/>
              </w:rPr>
              <w:t>2</w:t>
            </w:r>
            <w:r w:rsidRPr="00153604" w:rsidR="008D24DA">
              <w:rPr>
                <w:color w:val="000000"/>
                <w:sz w:val="18"/>
                <w:szCs w:val="18"/>
              </w:rPr>
              <w:t>,</w:t>
            </w:r>
            <w:r w:rsidRPr="00153604">
              <w:rPr>
                <w:color w:val="000000"/>
                <w:sz w:val="18"/>
                <w:szCs w:val="18"/>
              </w:rPr>
              <w:t>2</w:t>
            </w:r>
            <w:r w:rsidRPr="00153604" w:rsidR="00AC4A03">
              <w:rPr>
                <w:color w:val="000000"/>
                <w:sz w:val="18"/>
                <w:szCs w:val="18"/>
              </w:rPr>
              <w:t>80</w:t>
            </w:r>
            <w:r w:rsidRPr="00153604" w:rsidR="00153604">
              <w:rPr>
                <w:color w:val="000000"/>
                <w:sz w:val="18"/>
                <w:szCs w:val="18"/>
              </w:rPr>
              <w:t>.00</w:t>
            </w:r>
          </w:p>
        </w:tc>
        <w:tc>
          <w:tcPr>
            <w:tcW w:w="1080" w:type="dxa"/>
            <w:shd w:val="clear" w:color="auto" w:fill="auto"/>
            <w:vAlign w:val="center"/>
            <w:hideMark/>
          </w:tcPr>
          <w:p w:rsidRPr="00153604" w:rsidR="006F32BC" w:rsidP="00153604" w:rsidRDefault="006F32BC" w14:paraId="07A655E4" w14:textId="77777777">
            <w:pPr>
              <w:jc w:val="right"/>
              <w:rPr>
                <w:color w:val="000000"/>
                <w:sz w:val="18"/>
                <w:szCs w:val="18"/>
              </w:rPr>
            </w:pPr>
            <w:r w:rsidRPr="00153604">
              <w:rPr>
                <w:color w:val="000000"/>
                <w:sz w:val="18"/>
                <w:szCs w:val="18"/>
              </w:rPr>
              <w:t xml:space="preserve">$55.75 </w:t>
            </w:r>
          </w:p>
        </w:tc>
        <w:tc>
          <w:tcPr>
            <w:tcW w:w="1440" w:type="dxa"/>
            <w:shd w:val="clear" w:color="auto" w:fill="auto"/>
            <w:vAlign w:val="center"/>
            <w:hideMark/>
          </w:tcPr>
          <w:p w:rsidRPr="00153604" w:rsidR="006F32BC" w:rsidP="00153604" w:rsidRDefault="00F31FB9" w14:paraId="1339CF1E" w14:textId="78F059A2">
            <w:pPr>
              <w:jc w:val="right"/>
              <w:rPr>
                <w:color w:val="000000"/>
                <w:sz w:val="18"/>
                <w:szCs w:val="18"/>
              </w:rPr>
            </w:pPr>
            <w:r w:rsidRPr="00153604">
              <w:rPr>
                <w:color w:val="000000"/>
                <w:sz w:val="18"/>
                <w:szCs w:val="18"/>
              </w:rPr>
              <w:t>$</w:t>
            </w:r>
            <w:r w:rsidRPr="00153604" w:rsidR="00F4017B">
              <w:rPr>
                <w:color w:val="000000"/>
                <w:sz w:val="18"/>
                <w:szCs w:val="18"/>
              </w:rPr>
              <w:t>127</w:t>
            </w:r>
            <w:r w:rsidRPr="00153604" w:rsidR="006F32BC">
              <w:rPr>
                <w:color w:val="000000"/>
                <w:sz w:val="18"/>
                <w:szCs w:val="18"/>
              </w:rPr>
              <w:t>,</w:t>
            </w:r>
            <w:r w:rsidRPr="00153604" w:rsidR="00F4017B">
              <w:rPr>
                <w:color w:val="000000"/>
                <w:sz w:val="18"/>
                <w:szCs w:val="18"/>
              </w:rPr>
              <w:t>110</w:t>
            </w:r>
            <w:r w:rsidR="004E4F6D">
              <w:rPr>
                <w:color w:val="000000"/>
                <w:sz w:val="18"/>
                <w:szCs w:val="18"/>
              </w:rPr>
              <w:t>.00</w:t>
            </w:r>
          </w:p>
        </w:tc>
      </w:tr>
      <w:tr w:rsidRPr="00153604" w:rsidR="00670C91" w:rsidTr="004E4F6D" w14:paraId="25D29204" w14:textId="77777777">
        <w:trPr>
          <w:trHeight w:val="645"/>
        </w:trPr>
        <w:tc>
          <w:tcPr>
            <w:tcW w:w="1445" w:type="dxa"/>
            <w:shd w:val="clear" w:color="auto" w:fill="auto"/>
            <w:vAlign w:val="center"/>
            <w:hideMark/>
          </w:tcPr>
          <w:p w:rsidRPr="00153604" w:rsidR="006F32BC" w:rsidRDefault="006F32BC" w14:paraId="35A39E0C" w14:textId="77777777">
            <w:pPr>
              <w:rPr>
                <w:color w:val="000000"/>
                <w:sz w:val="18"/>
                <w:szCs w:val="18"/>
              </w:rPr>
            </w:pPr>
            <w:r w:rsidRPr="00153604">
              <w:rPr>
                <w:color w:val="000000"/>
                <w:sz w:val="18"/>
                <w:szCs w:val="18"/>
              </w:rPr>
              <w:t>Full Application Review</w:t>
            </w:r>
          </w:p>
        </w:tc>
        <w:tc>
          <w:tcPr>
            <w:tcW w:w="1350" w:type="dxa"/>
            <w:shd w:val="clear" w:color="auto" w:fill="auto"/>
            <w:vAlign w:val="center"/>
            <w:hideMark/>
          </w:tcPr>
          <w:p w:rsidRPr="00153604" w:rsidR="006F32BC" w:rsidP="00153604" w:rsidRDefault="006F32BC" w14:paraId="60F302E8" w14:textId="0E75A2E8">
            <w:pPr>
              <w:jc w:val="right"/>
              <w:rPr>
                <w:color w:val="000000"/>
                <w:sz w:val="18"/>
                <w:szCs w:val="18"/>
              </w:rPr>
            </w:pPr>
            <w:r w:rsidRPr="00153604">
              <w:rPr>
                <w:color w:val="000000"/>
                <w:sz w:val="18"/>
                <w:szCs w:val="18"/>
              </w:rPr>
              <w:t>300</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65C3623C" w14:textId="4CE018AD">
            <w:pPr>
              <w:jc w:val="right"/>
              <w:rPr>
                <w:color w:val="000000"/>
                <w:sz w:val="18"/>
                <w:szCs w:val="18"/>
              </w:rPr>
            </w:pPr>
            <w:r w:rsidRPr="00153604">
              <w:rPr>
                <w:color w:val="000000"/>
                <w:sz w:val="18"/>
                <w:szCs w:val="18"/>
              </w:rPr>
              <w:t>1</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139C7D7A" w14:textId="476459CA">
            <w:pPr>
              <w:jc w:val="right"/>
              <w:rPr>
                <w:color w:val="000000"/>
                <w:sz w:val="18"/>
                <w:szCs w:val="18"/>
              </w:rPr>
            </w:pPr>
            <w:r w:rsidRPr="00153604">
              <w:rPr>
                <w:color w:val="000000"/>
                <w:sz w:val="18"/>
                <w:szCs w:val="18"/>
              </w:rPr>
              <w:t>300</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75867773" w14:textId="4B980F98">
            <w:pPr>
              <w:jc w:val="right"/>
              <w:rPr>
                <w:color w:val="000000"/>
                <w:sz w:val="18"/>
                <w:szCs w:val="18"/>
              </w:rPr>
            </w:pPr>
            <w:r w:rsidRPr="00153604">
              <w:rPr>
                <w:color w:val="000000"/>
                <w:sz w:val="18"/>
                <w:szCs w:val="18"/>
              </w:rPr>
              <w:t>10</w:t>
            </w:r>
            <w:r w:rsidRPr="00153604" w:rsidR="00153604">
              <w:rPr>
                <w:color w:val="000000"/>
                <w:sz w:val="18"/>
                <w:szCs w:val="18"/>
              </w:rPr>
              <w:t>.00</w:t>
            </w:r>
          </w:p>
        </w:tc>
        <w:tc>
          <w:tcPr>
            <w:tcW w:w="990" w:type="dxa"/>
            <w:shd w:val="clear" w:color="auto" w:fill="auto"/>
            <w:vAlign w:val="center"/>
            <w:hideMark/>
          </w:tcPr>
          <w:p w:rsidRPr="00153604" w:rsidR="006F32BC" w:rsidP="00153604" w:rsidRDefault="006F32BC" w14:paraId="42A17794" w14:textId="41B4ED0A">
            <w:pPr>
              <w:jc w:val="right"/>
              <w:rPr>
                <w:color w:val="000000"/>
                <w:sz w:val="18"/>
                <w:szCs w:val="18"/>
              </w:rPr>
            </w:pPr>
            <w:r w:rsidRPr="00153604">
              <w:rPr>
                <w:color w:val="000000"/>
                <w:sz w:val="18"/>
                <w:szCs w:val="18"/>
              </w:rPr>
              <w:t>3</w:t>
            </w:r>
            <w:r w:rsidRPr="00153604" w:rsidR="00C022BF">
              <w:rPr>
                <w:color w:val="000000"/>
                <w:sz w:val="18"/>
                <w:szCs w:val="18"/>
              </w:rPr>
              <w:t>,</w:t>
            </w:r>
            <w:r w:rsidRPr="00153604">
              <w:rPr>
                <w:color w:val="000000"/>
                <w:sz w:val="18"/>
                <w:szCs w:val="18"/>
              </w:rPr>
              <w:t>000</w:t>
            </w:r>
            <w:r w:rsidRPr="00153604" w:rsidR="00153604">
              <w:rPr>
                <w:color w:val="000000"/>
                <w:sz w:val="18"/>
                <w:szCs w:val="18"/>
              </w:rPr>
              <w:t>.00</w:t>
            </w:r>
          </w:p>
        </w:tc>
        <w:tc>
          <w:tcPr>
            <w:tcW w:w="1080" w:type="dxa"/>
            <w:shd w:val="clear" w:color="auto" w:fill="auto"/>
            <w:vAlign w:val="center"/>
            <w:hideMark/>
          </w:tcPr>
          <w:p w:rsidRPr="00153604" w:rsidR="006F32BC" w:rsidP="00153604" w:rsidRDefault="006F32BC" w14:paraId="47754BE5" w14:textId="77777777">
            <w:pPr>
              <w:jc w:val="right"/>
              <w:rPr>
                <w:color w:val="000000"/>
                <w:sz w:val="18"/>
                <w:szCs w:val="18"/>
              </w:rPr>
            </w:pPr>
            <w:r w:rsidRPr="00153604">
              <w:rPr>
                <w:color w:val="000000"/>
                <w:sz w:val="18"/>
                <w:szCs w:val="18"/>
              </w:rPr>
              <w:t xml:space="preserve">$55.75 </w:t>
            </w:r>
          </w:p>
        </w:tc>
        <w:tc>
          <w:tcPr>
            <w:tcW w:w="1440" w:type="dxa"/>
            <w:shd w:val="clear" w:color="auto" w:fill="auto"/>
            <w:vAlign w:val="center"/>
            <w:hideMark/>
          </w:tcPr>
          <w:p w:rsidRPr="00153604" w:rsidR="006F32BC" w:rsidP="00153604" w:rsidRDefault="00F31FB9" w14:paraId="79ED75F1" w14:textId="5149B33F">
            <w:pPr>
              <w:jc w:val="right"/>
              <w:rPr>
                <w:color w:val="000000"/>
                <w:sz w:val="18"/>
                <w:szCs w:val="18"/>
              </w:rPr>
            </w:pPr>
            <w:r w:rsidRPr="00153604">
              <w:rPr>
                <w:color w:val="000000"/>
                <w:sz w:val="18"/>
                <w:szCs w:val="18"/>
              </w:rPr>
              <w:t>$</w:t>
            </w:r>
            <w:r w:rsidRPr="00153604" w:rsidR="006F32BC">
              <w:rPr>
                <w:color w:val="000000"/>
                <w:sz w:val="18"/>
                <w:szCs w:val="18"/>
              </w:rPr>
              <w:t>167,250</w:t>
            </w:r>
            <w:r w:rsidR="004E4F6D">
              <w:rPr>
                <w:color w:val="000000"/>
                <w:sz w:val="18"/>
                <w:szCs w:val="18"/>
              </w:rPr>
              <w:t>.00</w:t>
            </w:r>
          </w:p>
        </w:tc>
      </w:tr>
      <w:tr w:rsidRPr="00153604" w:rsidR="00670C91" w:rsidTr="004E4F6D" w14:paraId="58AA8DE4" w14:textId="77777777">
        <w:trPr>
          <w:trHeight w:val="645"/>
        </w:trPr>
        <w:tc>
          <w:tcPr>
            <w:tcW w:w="1445" w:type="dxa"/>
            <w:shd w:val="clear" w:color="auto" w:fill="auto"/>
            <w:vAlign w:val="center"/>
            <w:hideMark/>
          </w:tcPr>
          <w:p w:rsidRPr="00153604" w:rsidR="006F32BC" w:rsidRDefault="006F32BC" w14:paraId="1A3879D9" w14:textId="77777777">
            <w:pPr>
              <w:rPr>
                <w:color w:val="000000"/>
                <w:sz w:val="18"/>
                <w:szCs w:val="18"/>
              </w:rPr>
            </w:pPr>
            <w:r w:rsidRPr="00153604">
              <w:rPr>
                <w:color w:val="000000"/>
                <w:sz w:val="18"/>
                <w:szCs w:val="18"/>
              </w:rPr>
              <w:t xml:space="preserve">Negotiating the Grant </w:t>
            </w:r>
          </w:p>
        </w:tc>
        <w:tc>
          <w:tcPr>
            <w:tcW w:w="1350" w:type="dxa"/>
            <w:shd w:val="clear" w:color="auto" w:fill="auto"/>
            <w:vAlign w:val="center"/>
            <w:hideMark/>
          </w:tcPr>
          <w:p w:rsidRPr="00153604" w:rsidR="006F32BC" w:rsidP="00153604" w:rsidRDefault="006F32BC" w14:paraId="03A73DDF" w14:textId="3127CAC0">
            <w:pPr>
              <w:jc w:val="right"/>
              <w:rPr>
                <w:color w:val="000000"/>
                <w:sz w:val="18"/>
                <w:szCs w:val="18"/>
              </w:rPr>
            </w:pPr>
            <w:r w:rsidRPr="00153604">
              <w:rPr>
                <w:color w:val="000000"/>
                <w:sz w:val="18"/>
                <w:szCs w:val="18"/>
              </w:rPr>
              <w:t>147</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41FD44CA" w14:textId="67F45478">
            <w:pPr>
              <w:jc w:val="right"/>
              <w:rPr>
                <w:color w:val="000000"/>
                <w:sz w:val="18"/>
                <w:szCs w:val="18"/>
              </w:rPr>
            </w:pPr>
            <w:r w:rsidRPr="00153604">
              <w:rPr>
                <w:color w:val="000000"/>
                <w:sz w:val="18"/>
                <w:szCs w:val="18"/>
              </w:rPr>
              <w:t>1</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2C44DCBD" w14:textId="182539EB">
            <w:pPr>
              <w:jc w:val="right"/>
              <w:rPr>
                <w:color w:val="000000"/>
                <w:sz w:val="18"/>
                <w:szCs w:val="18"/>
              </w:rPr>
            </w:pPr>
            <w:r w:rsidRPr="00153604">
              <w:rPr>
                <w:color w:val="000000"/>
                <w:sz w:val="18"/>
                <w:szCs w:val="18"/>
              </w:rPr>
              <w:t>147</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68D512F4" w14:textId="516DBD58">
            <w:pPr>
              <w:jc w:val="right"/>
              <w:rPr>
                <w:color w:val="000000"/>
                <w:sz w:val="18"/>
                <w:szCs w:val="18"/>
              </w:rPr>
            </w:pPr>
            <w:r w:rsidRPr="00153604">
              <w:rPr>
                <w:color w:val="000000"/>
                <w:sz w:val="18"/>
                <w:szCs w:val="18"/>
              </w:rPr>
              <w:t>4</w:t>
            </w:r>
            <w:r w:rsidRPr="00153604" w:rsidR="00153604">
              <w:rPr>
                <w:color w:val="000000"/>
                <w:sz w:val="18"/>
                <w:szCs w:val="18"/>
              </w:rPr>
              <w:t>.00</w:t>
            </w:r>
          </w:p>
        </w:tc>
        <w:tc>
          <w:tcPr>
            <w:tcW w:w="990" w:type="dxa"/>
            <w:shd w:val="clear" w:color="auto" w:fill="auto"/>
            <w:vAlign w:val="center"/>
            <w:hideMark/>
          </w:tcPr>
          <w:p w:rsidRPr="00153604" w:rsidR="006F32BC" w:rsidP="00153604" w:rsidRDefault="006F32BC" w14:paraId="514501BE" w14:textId="0E4F57E0">
            <w:pPr>
              <w:jc w:val="right"/>
              <w:rPr>
                <w:color w:val="000000"/>
                <w:sz w:val="18"/>
                <w:szCs w:val="18"/>
              </w:rPr>
            </w:pPr>
            <w:r w:rsidRPr="00153604">
              <w:rPr>
                <w:color w:val="000000"/>
                <w:sz w:val="18"/>
                <w:szCs w:val="18"/>
              </w:rPr>
              <w:t>588</w:t>
            </w:r>
            <w:r w:rsidRPr="00153604" w:rsidR="00153604">
              <w:rPr>
                <w:color w:val="000000"/>
                <w:sz w:val="18"/>
                <w:szCs w:val="18"/>
              </w:rPr>
              <w:t>.00</w:t>
            </w:r>
          </w:p>
        </w:tc>
        <w:tc>
          <w:tcPr>
            <w:tcW w:w="1080" w:type="dxa"/>
            <w:shd w:val="clear" w:color="auto" w:fill="auto"/>
            <w:vAlign w:val="center"/>
            <w:hideMark/>
          </w:tcPr>
          <w:p w:rsidRPr="00153604" w:rsidR="006F32BC" w:rsidP="00153604" w:rsidRDefault="006F32BC" w14:paraId="5F60AD77" w14:textId="77777777">
            <w:pPr>
              <w:jc w:val="right"/>
              <w:rPr>
                <w:color w:val="000000"/>
                <w:sz w:val="18"/>
                <w:szCs w:val="18"/>
              </w:rPr>
            </w:pPr>
            <w:r w:rsidRPr="00153604">
              <w:rPr>
                <w:color w:val="000000"/>
                <w:sz w:val="18"/>
                <w:szCs w:val="18"/>
              </w:rPr>
              <w:t xml:space="preserve">$55.75 </w:t>
            </w:r>
          </w:p>
        </w:tc>
        <w:tc>
          <w:tcPr>
            <w:tcW w:w="1440" w:type="dxa"/>
            <w:shd w:val="clear" w:color="auto" w:fill="auto"/>
            <w:vAlign w:val="center"/>
            <w:hideMark/>
          </w:tcPr>
          <w:p w:rsidRPr="00153604" w:rsidR="006F32BC" w:rsidP="00153604" w:rsidRDefault="00F31FB9" w14:paraId="1AEB8719" w14:textId="62B4B3D1">
            <w:pPr>
              <w:jc w:val="right"/>
              <w:rPr>
                <w:color w:val="000000"/>
                <w:sz w:val="18"/>
                <w:szCs w:val="18"/>
              </w:rPr>
            </w:pPr>
            <w:r w:rsidRPr="00153604">
              <w:rPr>
                <w:color w:val="000000"/>
                <w:sz w:val="18"/>
                <w:szCs w:val="18"/>
              </w:rPr>
              <w:t>$</w:t>
            </w:r>
            <w:r w:rsidRPr="00153604" w:rsidR="006F32BC">
              <w:rPr>
                <w:color w:val="000000"/>
                <w:sz w:val="18"/>
                <w:szCs w:val="18"/>
              </w:rPr>
              <w:t>32,781</w:t>
            </w:r>
            <w:r w:rsidR="004E4F6D">
              <w:rPr>
                <w:color w:val="000000"/>
                <w:sz w:val="18"/>
                <w:szCs w:val="18"/>
              </w:rPr>
              <w:t>.00</w:t>
            </w:r>
          </w:p>
        </w:tc>
      </w:tr>
      <w:tr w:rsidRPr="00153604" w:rsidR="00670C91" w:rsidTr="004E4F6D" w14:paraId="12C21509" w14:textId="77777777">
        <w:trPr>
          <w:trHeight w:val="645"/>
        </w:trPr>
        <w:tc>
          <w:tcPr>
            <w:tcW w:w="1445" w:type="dxa"/>
            <w:shd w:val="clear" w:color="auto" w:fill="auto"/>
            <w:vAlign w:val="center"/>
            <w:hideMark/>
          </w:tcPr>
          <w:p w:rsidRPr="00153604" w:rsidR="006F32BC" w:rsidRDefault="006F32BC" w14:paraId="22124C6E" w14:textId="77777777">
            <w:pPr>
              <w:rPr>
                <w:color w:val="000000"/>
                <w:sz w:val="18"/>
                <w:szCs w:val="18"/>
              </w:rPr>
            </w:pPr>
            <w:r w:rsidRPr="00153604">
              <w:rPr>
                <w:color w:val="000000"/>
                <w:sz w:val="18"/>
                <w:szCs w:val="18"/>
              </w:rPr>
              <w:t>Quality Assurance Plan Review</w:t>
            </w:r>
          </w:p>
        </w:tc>
        <w:tc>
          <w:tcPr>
            <w:tcW w:w="1350" w:type="dxa"/>
            <w:shd w:val="clear" w:color="auto" w:fill="auto"/>
            <w:vAlign w:val="center"/>
            <w:hideMark/>
          </w:tcPr>
          <w:p w:rsidRPr="00153604" w:rsidR="006F32BC" w:rsidP="00153604" w:rsidRDefault="0057592A" w14:paraId="330AE151" w14:textId="2F7CB720">
            <w:pPr>
              <w:jc w:val="right"/>
              <w:rPr>
                <w:color w:val="000000"/>
                <w:sz w:val="18"/>
                <w:szCs w:val="18"/>
              </w:rPr>
            </w:pPr>
            <w:r w:rsidRPr="00153604">
              <w:rPr>
                <w:color w:val="000000"/>
                <w:sz w:val="18"/>
                <w:szCs w:val="18"/>
              </w:rPr>
              <w:t>47</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4372B399" w14:textId="6CE7401D">
            <w:pPr>
              <w:jc w:val="right"/>
              <w:rPr>
                <w:color w:val="000000"/>
                <w:sz w:val="18"/>
                <w:szCs w:val="18"/>
              </w:rPr>
            </w:pPr>
            <w:r w:rsidRPr="00153604">
              <w:rPr>
                <w:color w:val="000000"/>
                <w:sz w:val="18"/>
                <w:szCs w:val="18"/>
              </w:rPr>
              <w:t>1</w:t>
            </w:r>
            <w:r w:rsidRPr="00153604" w:rsidR="00153604">
              <w:rPr>
                <w:color w:val="000000"/>
                <w:sz w:val="18"/>
                <w:szCs w:val="18"/>
              </w:rPr>
              <w:t>.00</w:t>
            </w:r>
          </w:p>
        </w:tc>
        <w:tc>
          <w:tcPr>
            <w:tcW w:w="1170" w:type="dxa"/>
            <w:shd w:val="clear" w:color="auto" w:fill="auto"/>
            <w:vAlign w:val="center"/>
            <w:hideMark/>
          </w:tcPr>
          <w:p w:rsidRPr="00153604" w:rsidR="006F32BC" w:rsidP="00153604" w:rsidRDefault="0057592A" w14:paraId="2260BFE3" w14:textId="5A812BF2">
            <w:pPr>
              <w:jc w:val="right"/>
              <w:rPr>
                <w:color w:val="000000"/>
                <w:sz w:val="18"/>
                <w:szCs w:val="18"/>
              </w:rPr>
            </w:pPr>
            <w:r w:rsidRPr="00153604">
              <w:rPr>
                <w:color w:val="000000"/>
                <w:sz w:val="18"/>
                <w:szCs w:val="18"/>
              </w:rPr>
              <w:t>47</w:t>
            </w:r>
            <w:r w:rsidRPr="00153604" w:rsidR="00153604">
              <w:rPr>
                <w:color w:val="000000"/>
                <w:sz w:val="18"/>
                <w:szCs w:val="18"/>
              </w:rPr>
              <w:t>.00</w:t>
            </w:r>
          </w:p>
        </w:tc>
        <w:tc>
          <w:tcPr>
            <w:tcW w:w="1170" w:type="dxa"/>
            <w:shd w:val="clear" w:color="auto" w:fill="auto"/>
            <w:vAlign w:val="center"/>
            <w:hideMark/>
          </w:tcPr>
          <w:p w:rsidRPr="00153604" w:rsidR="006F32BC" w:rsidP="00153604" w:rsidRDefault="006F32BC" w14:paraId="74AE2FFE" w14:textId="6C09D13E">
            <w:pPr>
              <w:jc w:val="right"/>
              <w:rPr>
                <w:color w:val="000000"/>
                <w:sz w:val="18"/>
                <w:szCs w:val="18"/>
              </w:rPr>
            </w:pPr>
            <w:r w:rsidRPr="00153604">
              <w:rPr>
                <w:color w:val="000000"/>
                <w:sz w:val="18"/>
                <w:szCs w:val="18"/>
              </w:rPr>
              <w:t>4</w:t>
            </w:r>
            <w:r w:rsidRPr="00153604" w:rsidR="00153604">
              <w:rPr>
                <w:color w:val="000000"/>
                <w:sz w:val="18"/>
                <w:szCs w:val="18"/>
              </w:rPr>
              <w:t>.00</w:t>
            </w:r>
          </w:p>
        </w:tc>
        <w:tc>
          <w:tcPr>
            <w:tcW w:w="990" w:type="dxa"/>
            <w:shd w:val="clear" w:color="auto" w:fill="auto"/>
            <w:vAlign w:val="center"/>
            <w:hideMark/>
          </w:tcPr>
          <w:p w:rsidRPr="00153604" w:rsidR="006F32BC" w:rsidP="00153604" w:rsidRDefault="0057592A" w14:paraId="59741CE1" w14:textId="3C209CFD">
            <w:pPr>
              <w:jc w:val="right"/>
              <w:rPr>
                <w:color w:val="000000"/>
                <w:sz w:val="18"/>
                <w:szCs w:val="18"/>
              </w:rPr>
            </w:pPr>
            <w:r w:rsidRPr="00153604">
              <w:rPr>
                <w:color w:val="000000"/>
                <w:sz w:val="18"/>
                <w:szCs w:val="18"/>
              </w:rPr>
              <w:t>188</w:t>
            </w:r>
            <w:r w:rsidRPr="00153604" w:rsidR="00153604">
              <w:rPr>
                <w:color w:val="000000"/>
                <w:sz w:val="18"/>
                <w:szCs w:val="18"/>
              </w:rPr>
              <w:t>.00</w:t>
            </w:r>
          </w:p>
        </w:tc>
        <w:tc>
          <w:tcPr>
            <w:tcW w:w="1080" w:type="dxa"/>
            <w:shd w:val="clear" w:color="auto" w:fill="auto"/>
            <w:vAlign w:val="center"/>
            <w:hideMark/>
          </w:tcPr>
          <w:p w:rsidRPr="00153604" w:rsidR="006F32BC" w:rsidP="00153604" w:rsidRDefault="006F32BC" w14:paraId="5684DC72" w14:textId="77777777">
            <w:pPr>
              <w:jc w:val="right"/>
              <w:rPr>
                <w:color w:val="000000"/>
                <w:sz w:val="18"/>
                <w:szCs w:val="18"/>
              </w:rPr>
            </w:pPr>
            <w:r w:rsidRPr="00153604">
              <w:rPr>
                <w:color w:val="000000"/>
                <w:sz w:val="18"/>
                <w:szCs w:val="18"/>
              </w:rPr>
              <w:t xml:space="preserve">$63.94 </w:t>
            </w:r>
          </w:p>
        </w:tc>
        <w:tc>
          <w:tcPr>
            <w:tcW w:w="1440" w:type="dxa"/>
            <w:shd w:val="clear" w:color="auto" w:fill="auto"/>
            <w:vAlign w:val="center"/>
            <w:hideMark/>
          </w:tcPr>
          <w:p w:rsidRPr="00153604" w:rsidR="006F32BC" w:rsidP="00153604" w:rsidRDefault="00F31FB9" w14:paraId="4209F328" w14:textId="7D3DEC71">
            <w:pPr>
              <w:jc w:val="right"/>
              <w:rPr>
                <w:color w:val="000000"/>
                <w:sz w:val="18"/>
                <w:szCs w:val="18"/>
              </w:rPr>
            </w:pPr>
            <w:commentRangeStart w:id="7"/>
            <w:r w:rsidRPr="00153604">
              <w:rPr>
                <w:color w:val="000000"/>
                <w:sz w:val="18"/>
                <w:szCs w:val="18"/>
              </w:rPr>
              <w:t>$</w:t>
            </w:r>
            <w:r w:rsidRPr="00153604" w:rsidR="0057592A">
              <w:rPr>
                <w:color w:val="000000"/>
                <w:sz w:val="18"/>
                <w:szCs w:val="18"/>
              </w:rPr>
              <w:t>12</w:t>
            </w:r>
            <w:r w:rsidRPr="00153604" w:rsidR="006F32BC">
              <w:rPr>
                <w:color w:val="000000"/>
                <w:sz w:val="18"/>
                <w:szCs w:val="18"/>
              </w:rPr>
              <w:t>,</w:t>
            </w:r>
            <w:r w:rsidRPr="00153604" w:rsidR="0058635B">
              <w:rPr>
                <w:color w:val="000000"/>
                <w:sz w:val="18"/>
                <w:szCs w:val="18"/>
              </w:rPr>
              <w:t>02</w:t>
            </w:r>
            <w:r w:rsidR="001A31DA">
              <w:rPr>
                <w:color w:val="000000"/>
                <w:sz w:val="18"/>
                <w:szCs w:val="18"/>
              </w:rPr>
              <w:t>0</w:t>
            </w:r>
            <w:r w:rsidR="004E4F6D">
              <w:rPr>
                <w:color w:val="000000"/>
                <w:sz w:val="18"/>
                <w:szCs w:val="18"/>
              </w:rPr>
              <w:t>.</w:t>
            </w:r>
            <w:r w:rsidR="001A31DA">
              <w:rPr>
                <w:color w:val="000000"/>
                <w:sz w:val="18"/>
                <w:szCs w:val="18"/>
              </w:rPr>
              <w:t>72</w:t>
            </w:r>
            <w:commentRangeEnd w:id="7"/>
            <w:r w:rsidR="003E184E">
              <w:rPr>
                <w:rStyle w:val="CommentReference"/>
              </w:rPr>
              <w:commentReference w:id="7"/>
            </w:r>
          </w:p>
        </w:tc>
      </w:tr>
      <w:tr w:rsidRPr="00153604" w:rsidR="00670C91" w:rsidTr="004E4F6D" w14:paraId="4C60D475" w14:textId="77777777">
        <w:trPr>
          <w:trHeight w:val="315"/>
        </w:trPr>
        <w:tc>
          <w:tcPr>
            <w:tcW w:w="1445" w:type="dxa"/>
            <w:shd w:val="clear" w:color="auto" w:fill="auto"/>
            <w:vAlign w:val="center"/>
            <w:hideMark/>
          </w:tcPr>
          <w:p w:rsidRPr="00153604" w:rsidR="006F32BC" w:rsidRDefault="00153604" w14:paraId="3AADA308" w14:textId="30A69CF8">
            <w:pPr>
              <w:rPr>
                <w:color w:val="000000"/>
                <w:sz w:val="18"/>
                <w:szCs w:val="18"/>
              </w:rPr>
            </w:pPr>
            <w:r w:rsidRPr="00153604">
              <w:rPr>
                <w:b/>
                <w:bCs/>
                <w:color w:val="000000"/>
                <w:sz w:val="18"/>
                <w:szCs w:val="18"/>
              </w:rPr>
              <w:t>Totals</w:t>
            </w:r>
          </w:p>
        </w:tc>
        <w:tc>
          <w:tcPr>
            <w:tcW w:w="1350" w:type="dxa"/>
            <w:shd w:val="clear" w:color="auto" w:fill="auto"/>
            <w:vAlign w:val="center"/>
            <w:hideMark/>
          </w:tcPr>
          <w:p w:rsidRPr="00153604" w:rsidR="006F32BC" w:rsidP="004E4F6D" w:rsidRDefault="006F32BC" w14:paraId="32543C8E" w14:textId="62A437FC">
            <w:pPr>
              <w:jc w:val="right"/>
              <w:rPr>
                <w:color w:val="000000"/>
                <w:sz w:val="18"/>
                <w:szCs w:val="18"/>
              </w:rPr>
            </w:pPr>
          </w:p>
        </w:tc>
        <w:tc>
          <w:tcPr>
            <w:tcW w:w="1170" w:type="dxa"/>
            <w:shd w:val="clear" w:color="auto" w:fill="auto"/>
            <w:vAlign w:val="center"/>
            <w:hideMark/>
          </w:tcPr>
          <w:p w:rsidRPr="00153604" w:rsidR="006F32BC" w:rsidP="004E4F6D" w:rsidRDefault="006F32BC" w14:paraId="64A3D479" w14:textId="67FBC8F7">
            <w:pPr>
              <w:jc w:val="right"/>
              <w:rPr>
                <w:color w:val="000000"/>
                <w:sz w:val="18"/>
                <w:szCs w:val="18"/>
              </w:rPr>
            </w:pPr>
          </w:p>
        </w:tc>
        <w:tc>
          <w:tcPr>
            <w:tcW w:w="1170" w:type="dxa"/>
            <w:shd w:val="clear" w:color="auto" w:fill="auto"/>
            <w:vAlign w:val="center"/>
            <w:hideMark/>
          </w:tcPr>
          <w:p w:rsidRPr="00153604" w:rsidR="006F32BC" w:rsidP="004E4F6D" w:rsidRDefault="006F32BC" w14:paraId="7C1B0B55" w14:textId="5116679B">
            <w:pPr>
              <w:jc w:val="right"/>
              <w:rPr>
                <w:color w:val="000000"/>
                <w:sz w:val="18"/>
                <w:szCs w:val="18"/>
              </w:rPr>
            </w:pPr>
          </w:p>
        </w:tc>
        <w:tc>
          <w:tcPr>
            <w:tcW w:w="1170" w:type="dxa"/>
            <w:shd w:val="clear" w:color="auto" w:fill="auto"/>
            <w:vAlign w:val="center"/>
            <w:hideMark/>
          </w:tcPr>
          <w:p w:rsidRPr="00153604" w:rsidR="006F32BC" w:rsidP="004E4F6D" w:rsidRDefault="006F32BC" w14:paraId="348EB2DE" w14:textId="450E0E20">
            <w:pPr>
              <w:jc w:val="right"/>
              <w:rPr>
                <w:b/>
                <w:bCs/>
                <w:color w:val="000000"/>
                <w:sz w:val="18"/>
                <w:szCs w:val="18"/>
              </w:rPr>
            </w:pPr>
          </w:p>
        </w:tc>
        <w:tc>
          <w:tcPr>
            <w:tcW w:w="990" w:type="dxa"/>
            <w:shd w:val="clear" w:color="auto" w:fill="auto"/>
            <w:vAlign w:val="center"/>
            <w:hideMark/>
          </w:tcPr>
          <w:p w:rsidRPr="00153604" w:rsidR="006F32BC" w:rsidP="004E4F6D" w:rsidRDefault="00F129F6" w14:paraId="6170B335" w14:textId="7B038156">
            <w:pPr>
              <w:jc w:val="right"/>
              <w:rPr>
                <w:color w:val="000000"/>
                <w:sz w:val="18"/>
                <w:szCs w:val="18"/>
              </w:rPr>
            </w:pPr>
            <w:r w:rsidRPr="00153604">
              <w:rPr>
                <w:color w:val="000000"/>
                <w:sz w:val="18"/>
                <w:szCs w:val="18"/>
              </w:rPr>
              <w:t>6,056</w:t>
            </w:r>
            <w:r w:rsidRPr="00153604" w:rsidR="00153604">
              <w:rPr>
                <w:color w:val="000000"/>
                <w:sz w:val="18"/>
                <w:szCs w:val="18"/>
              </w:rPr>
              <w:t>.00</w:t>
            </w:r>
          </w:p>
        </w:tc>
        <w:tc>
          <w:tcPr>
            <w:tcW w:w="1080" w:type="dxa"/>
            <w:shd w:val="clear" w:color="auto" w:fill="auto"/>
            <w:vAlign w:val="center"/>
          </w:tcPr>
          <w:p w:rsidRPr="00153604" w:rsidR="006F32BC" w:rsidP="004E4F6D" w:rsidRDefault="006F32BC" w14:paraId="3B97D9D0" w14:textId="704DB472">
            <w:pPr>
              <w:jc w:val="right"/>
              <w:rPr>
                <w:color w:val="000000"/>
                <w:sz w:val="18"/>
                <w:szCs w:val="18"/>
              </w:rPr>
            </w:pPr>
          </w:p>
        </w:tc>
        <w:tc>
          <w:tcPr>
            <w:tcW w:w="1440" w:type="dxa"/>
            <w:shd w:val="clear" w:color="auto" w:fill="auto"/>
            <w:vAlign w:val="center"/>
            <w:hideMark/>
          </w:tcPr>
          <w:p w:rsidRPr="004E4F6D" w:rsidR="006F32BC" w:rsidP="004E4F6D" w:rsidRDefault="004E4F6D" w14:paraId="4B8BC712" w14:textId="6BB1AD5B">
            <w:pPr>
              <w:jc w:val="right"/>
              <w:rPr>
                <w:sz w:val="18"/>
                <w:szCs w:val="18"/>
              </w:rPr>
            </w:pPr>
            <w:commentRangeStart w:id="8"/>
            <w:r w:rsidRPr="004E4F6D">
              <w:rPr>
                <w:sz w:val="18"/>
                <w:szCs w:val="18"/>
              </w:rPr>
              <w:t>$339,16</w:t>
            </w:r>
            <w:r w:rsidR="001A31DA">
              <w:rPr>
                <w:sz w:val="18"/>
                <w:szCs w:val="18"/>
              </w:rPr>
              <w:t>1</w:t>
            </w:r>
            <w:r>
              <w:rPr>
                <w:sz w:val="18"/>
                <w:szCs w:val="18"/>
              </w:rPr>
              <w:t>.</w:t>
            </w:r>
            <w:commentRangeEnd w:id="8"/>
            <w:r w:rsidR="00336325">
              <w:rPr>
                <w:rStyle w:val="CommentReference"/>
              </w:rPr>
              <w:commentReference w:id="8"/>
            </w:r>
            <w:r w:rsidR="001A31DA">
              <w:rPr>
                <w:sz w:val="18"/>
                <w:szCs w:val="18"/>
              </w:rPr>
              <w:t>72</w:t>
            </w:r>
          </w:p>
        </w:tc>
      </w:tr>
    </w:tbl>
    <w:p w:rsidR="00CD6AF1" w:rsidRDefault="00CD6AF1" w14:paraId="07AE49A5" w14:textId="77777777">
      <w:pPr>
        <w:rPr>
          <w:b/>
          <w:szCs w:val="20"/>
        </w:rPr>
      </w:pPr>
      <w:r>
        <w:rPr>
          <w:b/>
        </w:rPr>
        <w:br w:type="page"/>
      </w:r>
    </w:p>
    <w:p w:rsidRPr="009C2AE0" w:rsidR="00E53C84" w:rsidRDefault="00E53C84" w14:paraId="15AEFED9" w14:textId="77777777">
      <w:pPr>
        <w:pStyle w:val="Paperwork"/>
        <w:numPr>
          <w:ilvl w:val="12"/>
          <w:numId w:val="0"/>
        </w:numPr>
        <w:ind w:left="720" w:hanging="720"/>
      </w:pPr>
    </w:p>
    <w:p w:rsidRPr="009C2AE0" w:rsidR="002C12B7" w:rsidP="002C12B7" w:rsidRDefault="00F44D58" w14:paraId="3B5620A7" w14:textId="6707DEE6">
      <w:pPr>
        <w:pStyle w:val="Paperwork"/>
        <w:numPr>
          <w:ilvl w:val="12"/>
          <w:numId w:val="0"/>
        </w:numPr>
      </w:pPr>
      <w:r>
        <w:t>Based on history and the new programs introduced</w:t>
      </w:r>
      <w:r w:rsidRPr="009C2AE0">
        <w:t xml:space="preserve">, an average of </w:t>
      </w:r>
      <w:r w:rsidR="00C3628D">
        <w:t>3</w:t>
      </w:r>
      <w:r>
        <w:t>80</w:t>
      </w:r>
      <w:r w:rsidRPr="009C2AE0">
        <w:t xml:space="preserve"> </w:t>
      </w:r>
      <w:r>
        <w:t>pre-</w:t>
      </w:r>
      <w:r w:rsidRPr="009C2AE0">
        <w:t xml:space="preserve">applications are </w:t>
      </w:r>
      <w:r>
        <w:t>expected</w:t>
      </w:r>
      <w:r w:rsidRPr="009C2AE0">
        <w:t xml:space="preserve"> </w:t>
      </w:r>
      <w:r>
        <w:t xml:space="preserve">annually </w:t>
      </w:r>
      <w:r w:rsidRPr="009C2AE0">
        <w:t xml:space="preserve">for </w:t>
      </w:r>
      <w:r>
        <w:t xml:space="preserve">the </w:t>
      </w:r>
      <w:r w:rsidRPr="009C2AE0">
        <w:t xml:space="preserve">Lead </w:t>
      </w:r>
      <w:r w:rsidR="008744E3">
        <w:t xml:space="preserve">Hazard and </w:t>
      </w:r>
      <w:r w:rsidRPr="009C2AE0" w:rsidR="008D3A6C">
        <w:t xml:space="preserve">Healthy Homes </w:t>
      </w:r>
      <w:r w:rsidRPr="009C2AE0">
        <w:t>Programs</w:t>
      </w:r>
      <w:r w:rsidRPr="009C2AE0" w:rsidR="002C12B7">
        <w:t xml:space="preserve">. Each </w:t>
      </w:r>
      <w:r w:rsidR="00670661">
        <w:t>pre-</w:t>
      </w:r>
      <w:r w:rsidRPr="009C2AE0" w:rsidR="002C12B7">
        <w:t>application is reviewed by two people (GS 13,</w:t>
      </w:r>
      <w:r w:rsidR="003E4D2A">
        <w:t xml:space="preserve"> step 5,</w:t>
      </w:r>
      <w:r w:rsidRPr="009C2AE0" w:rsidR="002C12B7">
        <w:t xml:space="preserve"> $</w:t>
      </w:r>
      <w:r w:rsidR="00625E3C">
        <w:t>5</w:t>
      </w:r>
      <w:r w:rsidR="00D56F14">
        <w:t>5.75</w:t>
      </w:r>
      <w:r w:rsidRPr="009C2AE0" w:rsidR="002C12B7">
        <w:t xml:space="preserve"> per hour</w:t>
      </w:r>
      <w:r w:rsidR="006A7412">
        <w:t xml:space="preserve">. Washington D.C. </w:t>
      </w:r>
      <w:hyperlink w:history="1" r:id="rId17">
        <w:r w:rsidR="00EC1A47">
          <w:rPr>
            <w:rStyle w:val="Hyperlink"/>
          </w:rPr>
          <w:t>https://www.opm.gov/policy-data-oversight/pay-leave/salaries-wages/salary-tables/pdf/2020/DCB_h.pdf</w:t>
        </w:r>
      </w:hyperlink>
      <w:r w:rsidRPr="004701D3" w:rsidR="002C12B7">
        <w:rPr>
          <w:color w:val="FF0000"/>
        </w:rPr>
        <w:t>).</w:t>
      </w:r>
      <w:r w:rsidRPr="009C2AE0" w:rsidR="002C12B7">
        <w:t xml:space="preserve">  Each </w:t>
      </w:r>
      <w:r w:rsidR="00C25297">
        <w:t>pre-</w:t>
      </w:r>
      <w:r w:rsidRPr="009C2AE0" w:rsidR="002C12B7">
        <w:t xml:space="preserve">application requires the individual reviewers approximately </w:t>
      </w:r>
      <w:r w:rsidR="008B2408">
        <w:t>three</w:t>
      </w:r>
      <w:r w:rsidRPr="009C2AE0" w:rsidR="00887550">
        <w:t xml:space="preserve"> </w:t>
      </w:r>
      <w:r w:rsidRPr="009C2AE0" w:rsidR="002C12B7">
        <w:t>(</w:t>
      </w:r>
      <w:r w:rsidR="00791DA8">
        <w:t>3</w:t>
      </w:r>
      <w:r w:rsidR="002C12B7">
        <w:t>)</w:t>
      </w:r>
      <w:r w:rsidRPr="009C2AE0" w:rsidR="002C12B7">
        <w:t xml:space="preserve"> labor hours to process and review. The cost to the Federal government is:</w:t>
      </w:r>
    </w:p>
    <w:p w:rsidRPr="009C2AE0" w:rsidR="002C12B7" w:rsidP="002C12B7" w:rsidRDefault="002C12B7" w14:paraId="722F7E08" w14:textId="77777777">
      <w:pPr>
        <w:pStyle w:val="Paperwork"/>
        <w:numPr>
          <w:ilvl w:val="12"/>
          <w:numId w:val="0"/>
        </w:numPr>
        <w:ind w:left="720" w:hanging="720"/>
      </w:pPr>
    </w:p>
    <w:p w:rsidRPr="009C2AE0" w:rsidR="002C12B7" w:rsidP="002C12B7" w:rsidRDefault="002C12B7" w14:paraId="2302F12B" w14:textId="1A3AD278">
      <w:pPr>
        <w:pStyle w:val="Paperwork"/>
        <w:numPr>
          <w:ilvl w:val="12"/>
          <w:numId w:val="0"/>
        </w:numPr>
        <w:ind w:left="720" w:hanging="720"/>
      </w:pPr>
      <w:r w:rsidRPr="009C2AE0">
        <w:tab/>
      </w:r>
      <w:r w:rsidR="008D24DA">
        <w:t>3</w:t>
      </w:r>
      <w:r w:rsidR="00E76550">
        <w:t>8</w:t>
      </w:r>
      <w:r w:rsidR="00670661">
        <w:t>0</w:t>
      </w:r>
      <w:r w:rsidRPr="009C2AE0">
        <w:t xml:space="preserve"> </w:t>
      </w:r>
      <w:r w:rsidR="00370DE7">
        <w:t>pre-</w:t>
      </w:r>
      <w:r w:rsidRPr="009C2AE0">
        <w:t xml:space="preserve">applications </w:t>
      </w:r>
      <w:r w:rsidR="0077409C">
        <w:t>x</w:t>
      </w:r>
      <w:r w:rsidRPr="009C2AE0">
        <w:t xml:space="preserve"> </w:t>
      </w:r>
      <w:r w:rsidR="00791DA8">
        <w:t>3</w:t>
      </w:r>
      <w:r w:rsidRPr="009C2AE0">
        <w:t xml:space="preserve"> </w:t>
      </w:r>
      <w:r>
        <w:t xml:space="preserve">hours/application </w:t>
      </w:r>
      <w:r w:rsidR="0019590E">
        <w:t>x</w:t>
      </w:r>
      <w:r>
        <w:t xml:space="preserve"> 2 readers</w:t>
      </w:r>
      <w:r>
        <w:tab/>
        <w:t xml:space="preserve">= </w:t>
      </w:r>
      <w:r w:rsidR="008D24DA">
        <w:t>2,2</w:t>
      </w:r>
      <w:r w:rsidR="00F22A37">
        <w:t>80</w:t>
      </w:r>
      <w:r w:rsidRPr="009C2AE0">
        <w:t xml:space="preserve"> labor hours</w:t>
      </w:r>
    </w:p>
    <w:p w:rsidR="002C12B7" w:rsidP="00C55201" w:rsidRDefault="002D5071" w14:paraId="43D2D752" w14:textId="24E41F14">
      <w:pPr>
        <w:pStyle w:val="Paperwork"/>
        <w:numPr>
          <w:ilvl w:val="12"/>
          <w:numId w:val="0"/>
        </w:numPr>
        <w:ind w:left="720"/>
      </w:pPr>
      <w:r>
        <w:t>2,</w:t>
      </w:r>
      <w:r w:rsidR="00F22A37">
        <w:t>80</w:t>
      </w:r>
      <w:r w:rsidRPr="009C2AE0" w:rsidR="00121381">
        <w:t xml:space="preserve"> </w:t>
      </w:r>
      <w:r w:rsidRPr="009C2AE0" w:rsidR="002C12B7">
        <w:t xml:space="preserve">labor hours </w:t>
      </w:r>
      <w:r w:rsidR="0077409C">
        <w:t>x</w:t>
      </w:r>
      <w:r w:rsidRPr="009C2AE0" w:rsidR="002C12B7">
        <w:t xml:space="preserve"> $</w:t>
      </w:r>
      <w:r w:rsidR="000B5B80">
        <w:t>55.75</w:t>
      </w:r>
      <w:r w:rsidRPr="009C2AE0" w:rsidR="002C12B7">
        <w:t xml:space="preserve"> per hour</w:t>
      </w:r>
      <w:r w:rsidRPr="009C2AE0" w:rsidR="002C12B7">
        <w:tab/>
      </w:r>
      <w:r w:rsidRPr="009C2AE0" w:rsidR="002C12B7">
        <w:tab/>
      </w:r>
      <w:r w:rsidRPr="009C2AE0" w:rsidR="002C12B7">
        <w:tab/>
      </w:r>
      <w:r w:rsidR="00370DE7">
        <w:tab/>
      </w:r>
      <w:r w:rsidRPr="009C2AE0" w:rsidR="002C12B7">
        <w:t>=</w:t>
      </w:r>
      <w:r w:rsidR="002C12B7">
        <w:t xml:space="preserve"> </w:t>
      </w:r>
      <w:r w:rsidRPr="009C2AE0" w:rsidR="002C12B7">
        <w:t>$</w:t>
      </w:r>
      <w:r>
        <w:t>127,110</w:t>
      </w:r>
    </w:p>
    <w:p w:rsidR="00B17294" w:rsidP="004701D3" w:rsidRDefault="00B17294" w14:paraId="2B33444E" w14:textId="77777777">
      <w:pPr>
        <w:pStyle w:val="Paperwork"/>
        <w:numPr>
          <w:ilvl w:val="12"/>
          <w:numId w:val="0"/>
        </w:numPr>
        <w:ind w:left="720"/>
      </w:pPr>
    </w:p>
    <w:p w:rsidRPr="009C2AE0" w:rsidR="004918A2" w:rsidP="0064761A" w:rsidRDefault="00EC6C3E" w14:paraId="0A9B2D8C" w14:textId="680C2329">
      <w:pPr>
        <w:pStyle w:val="Paperwork"/>
        <w:numPr>
          <w:ilvl w:val="12"/>
          <w:numId w:val="0"/>
        </w:numPr>
      </w:pPr>
      <w:r>
        <w:t>Based on history and the new programs introduced</w:t>
      </w:r>
      <w:r w:rsidRPr="009C2AE0">
        <w:t xml:space="preserve">, an average of </w:t>
      </w:r>
      <w:r>
        <w:t>30</w:t>
      </w:r>
      <w:r w:rsidRPr="009C2AE0">
        <w:t xml:space="preserve">0 applications are </w:t>
      </w:r>
      <w:r>
        <w:t>expected</w:t>
      </w:r>
      <w:r w:rsidRPr="009C2AE0">
        <w:t xml:space="preserve"> </w:t>
      </w:r>
      <w:r>
        <w:t xml:space="preserve">annually </w:t>
      </w:r>
      <w:r w:rsidRPr="009C2AE0">
        <w:t xml:space="preserve">for all Lead Hazard </w:t>
      </w:r>
      <w:r w:rsidR="007857D1">
        <w:t xml:space="preserve">and </w:t>
      </w:r>
      <w:r w:rsidRPr="009C2AE0" w:rsidR="00955C33">
        <w:t xml:space="preserve">Healthy Homes </w:t>
      </w:r>
      <w:r w:rsidRPr="009C2AE0">
        <w:t>Programs</w:t>
      </w:r>
      <w:r w:rsidRPr="009C2AE0" w:rsidR="004918A2">
        <w:t xml:space="preserve">. Each application is reviewed by two people (GS 13, </w:t>
      </w:r>
      <w:r w:rsidR="003E4D2A">
        <w:t xml:space="preserve">step 5, </w:t>
      </w:r>
      <w:r w:rsidRPr="009C2AE0" w:rsidR="004918A2">
        <w:t>$</w:t>
      </w:r>
      <w:r w:rsidR="00CB7B82">
        <w:t>55.75</w:t>
      </w:r>
      <w:r w:rsidRPr="009C2AE0" w:rsidR="00625E3C">
        <w:t xml:space="preserve"> </w:t>
      </w:r>
      <w:r w:rsidRPr="009C2AE0" w:rsidR="004918A2">
        <w:t xml:space="preserve">per hour).  Each application requires the individual reviewers approximately </w:t>
      </w:r>
      <w:r w:rsidR="002C12B7">
        <w:t>five</w:t>
      </w:r>
      <w:r w:rsidRPr="009C2AE0" w:rsidR="002C12B7">
        <w:t xml:space="preserve"> </w:t>
      </w:r>
      <w:r w:rsidRPr="009C2AE0" w:rsidR="004918A2">
        <w:t>(</w:t>
      </w:r>
      <w:r w:rsidR="002C12B7">
        <w:t>5)</w:t>
      </w:r>
      <w:r w:rsidRPr="009C2AE0" w:rsidR="004918A2">
        <w:t xml:space="preserve"> labor hours to process and review. The cost to the Federal government is:</w:t>
      </w:r>
    </w:p>
    <w:p w:rsidRPr="009C2AE0" w:rsidR="004918A2" w:rsidRDefault="004918A2" w14:paraId="7E2F15A5" w14:textId="77777777">
      <w:pPr>
        <w:pStyle w:val="Paperwork"/>
        <w:numPr>
          <w:ilvl w:val="12"/>
          <w:numId w:val="0"/>
        </w:numPr>
        <w:ind w:left="720" w:hanging="720"/>
      </w:pPr>
    </w:p>
    <w:p w:rsidRPr="009C2AE0" w:rsidR="004918A2" w:rsidRDefault="004918A2" w14:paraId="6F5E4736" w14:textId="77250841">
      <w:pPr>
        <w:pStyle w:val="Paperwork"/>
        <w:numPr>
          <w:ilvl w:val="12"/>
          <w:numId w:val="0"/>
        </w:numPr>
        <w:ind w:left="720" w:hanging="720"/>
      </w:pPr>
      <w:r w:rsidRPr="009C2AE0">
        <w:tab/>
      </w:r>
      <w:r w:rsidR="00AA0CDE">
        <w:t>300</w:t>
      </w:r>
      <w:r w:rsidRPr="009C2AE0" w:rsidR="00AA0CDE">
        <w:t xml:space="preserve"> </w:t>
      </w:r>
      <w:r w:rsidR="001F0F1F">
        <w:t xml:space="preserve">full </w:t>
      </w:r>
      <w:r w:rsidRPr="009C2AE0">
        <w:t xml:space="preserve">applications </w:t>
      </w:r>
      <w:r w:rsidR="0077409C">
        <w:t>x</w:t>
      </w:r>
      <w:r w:rsidRPr="009C2AE0">
        <w:t xml:space="preserve"> </w:t>
      </w:r>
      <w:r w:rsidR="00625E3C">
        <w:t>5</w:t>
      </w:r>
      <w:r w:rsidRPr="009C2AE0" w:rsidR="002C12B7">
        <w:t xml:space="preserve"> </w:t>
      </w:r>
      <w:r w:rsidR="00BD5547">
        <w:t xml:space="preserve">hours/application </w:t>
      </w:r>
      <w:r w:rsidR="00955423">
        <w:t>x</w:t>
      </w:r>
      <w:r w:rsidR="00BD5547">
        <w:t xml:space="preserve"> 2 readers</w:t>
      </w:r>
      <w:r w:rsidR="00BD5547">
        <w:tab/>
        <w:t xml:space="preserve">= </w:t>
      </w:r>
      <w:r w:rsidR="00A444A1">
        <w:t>3,000</w:t>
      </w:r>
      <w:r w:rsidR="00100F07">
        <w:t xml:space="preserve"> </w:t>
      </w:r>
      <w:r w:rsidRPr="009C2AE0">
        <w:t>labor hours</w:t>
      </w:r>
    </w:p>
    <w:p w:rsidRPr="009C2AE0" w:rsidR="004918A2" w:rsidRDefault="002F181E" w14:paraId="0EDECE98" w14:textId="430A9BA1">
      <w:pPr>
        <w:pStyle w:val="Paperwork"/>
        <w:numPr>
          <w:ilvl w:val="12"/>
          <w:numId w:val="0"/>
        </w:numPr>
        <w:ind w:left="720"/>
      </w:pPr>
      <w:r>
        <w:t>3,0</w:t>
      </w:r>
      <w:r w:rsidR="00857967">
        <w:t>00</w:t>
      </w:r>
      <w:r w:rsidRPr="009C2AE0" w:rsidR="004918A2">
        <w:t xml:space="preserve"> labor hours </w:t>
      </w:r>
      <w:r w:rsidR="0077409C">
        <w:t>x</w:t>
      </w:r>
      <w:r w:rsidRPr="009C2AE0" w:rsidR="004918A2">
        <w:t xml:space="preserve"> $</w:t>
      </w:r>
      <w:r w:rsidR="00AF721F">
        <w:t xml:space="preserve">55.75 </w:t>
      </w:r>
      <w:r w:rsidRPr="009C2AE0" w:rsidR="004918A2">
        <w:t>per hour</w:t>
      </w:r>
      <w:r w:rsidRPr="009C2AE0" w:rsidR="004918A2">
        <w:tab/>
      </w:r>
      <w:r w:rsidR="001F0F1F">
        <w:tab/>
      </w:r>
      <w:r w:rsidRPr="009C2AE0" w:rsidR="004918A2">
        <w:tab/>
      </w:r>
      <w:r w:rsidRPr="009C2AE0" w:rsidR="004918A2">
        <w:tab/>
        <w:t>=</w:t>
      </w:r>
      <w:r w:rsidR="00BD5547">
        <w:t xml:space="preserve"> </w:t>
      </w:r>
      <w:r w:rsidRPr="009C2AE0" w:rsidR="004918A2">
        <w:t>$</w:t>
      </w:r>
      <w:r w:rsidR="00E7596E">
        <w:t>167,250</w:t>
      </w:r>
    </w:p>
    <w:p w:rsidRPr="009C2AE0" w:rsidR="004918A2" w:rsidRDefault="004918A2" w14:paraId="14A846F5" w14:textId="77777777">
      <w:pPr>
        <w:pStyle w:val="Paperwork"/>
        <w:numPr>
          <w:ilvl w:val="12"/>
          <w:numId w:val="0"/>
        </w:numPr>
        <w:ind w:left="720" w:hanging="720"/>
      </w:pPr>
    </w:p>
    <w:p w:rsidRPr="009C2AE0" w:rsidR="004918A2" w:rsidP="0064761A" w:rsidRDefault="004918A2" w14:paraId="16B6DF27" w14:textId="77777777">
      <w:pPr>
        <w:pStyle w:val="Paperwork"/>
        <w:numPr>
          <w:ilvl w:val="12"/>
          <w:numId w:val="0"/>
        </w:numPr>
      </w:pPr>
      <w:r w:rsidRPr="009C2AE0">
        <w:t xml:space="preserve">Negotiation and finalizing the grant awards is expected to </w:t>
      </w:r>
      <w:r w:rsidR="0064761A">
        <w:t xml:space="preserve">require 4 labor hours per grant </w:t>
      </w:r>
      <w:r w:rsidRPr="009C2AE0">
        <w:t>recipient.</w:t>
      </w:r>
      <w:r w:rsidR="006F5F9F">
        <w:t xml:space="preserve"> </w:t>
      </w:r>
      <w:r w:rsidRPr="009C2AE0" w:rsidR="006F5F9F">
        <w:t>The cost to the Federal government is:</w:t>
      </w:r>
    </w:p>
    <w:p w:rsidRPr="009C2AE0" w:rsidR="004918A2" w:rsidRDefault="004918A2" w14:paraId="009B8CDA" w14:textId="77777777">
      <w:pPr>
        <w:pStyle w:val="Paperwork"/>
        <w:numPr>
          <w:ilvl w:val="12"/>
          <w:numId w:val="0"/>
        </w:numPr>
        <w:ind w:left="720" w:hanging="720"/>
      </w:pPr>
      <w:r w:rsidRPr="009C2AE0">
        <w:tab/>
      </w:r>
    </w:p>
    <w:p w:rsidRPr="009C2AE0" w:rsidR="004918A2" w:rsidRDefault="00460005" w14:paraId="6A7724B7" w14:textId="20C76F71">
      <w:pPr>
        <w:pStyle w:val="Paperwork"/>
        <w:numPr>
          <w:ilvl w:val="12"/>
          <w:numId w:val="0"/>
        </w:numPr>
        <w:ind w:firstLine="720"/>
      </w:pPr>
      <w:r>
        <w:t>147</w:t>
      </w:r>
      <w:r w:rsidRPr="009C2AE0" w:rsidR="004918A2">
        <w:t xml:space="preserve"> grantees </w:t>
      </w:r>
      <w:r w:rsidR="0077409C">
        <w:t>x</w:t>
      </w:r>
      <w:r w:rsidRPr="009C2AE0" w:rsidR="004918A2">
        <w:t xml:space="preserve"> 4 hours/grantee </w:t>
      </w:r>
      <w:r w:rsidRPr="009C2AE0" w:rsidR="004918A2">
        <w:tab/>
      </w:r>
      <w:r w:rsidR="001F0F1F">
        <w:tab/>
      </w:r>
      <w:r w:rsidR="001F0F1F">
        <w:tab/>
      </w:r>
      <w:r w:rsidR="001F0F1F">
        <w:tab/>
      </w:r>
      <w:r w:rsidRPr="009C2AE0" w:rsidR="005E769E">
        <w:t xml:space="preserve">= </w:t>
      </w:r>
      <w:r w:rsidR="00920200">
        <w:t>58</w:t>
      </w:r>
      <w:r w:rsidRPr="009C2AE0" w:rsidR="005E769E">
        <w:t>8</w:t>
      </w:r>
      <w:r w:rsidRPr="009C2AE0" w:rsidR="004918A2">
        <w:t xml:space="preserve"> labor hours</w:t>
      </w:r>
    </w:p>
    <w:p w:rsidRPr="009C2AE0" w:rsidR="004918A2" w:rsidRDefault="00920200" w14:paraId="77C8700C" w14:textId="4DDEC01F">
      <w:pPr>
        <w:pStyle w:val="Paperwork"/>
        <w:numPr>
          <w:ilvl w:val="12"/>
          <w:numId w:val="0"/>
        </w:numPr>
        <w:ind w:left="720"/>
      </w:pPr>
      <w:r>
        <w:t>588</w:t>
      </w:r>
      <w:r w:rsidRPr="009C2AE0">
        <w:t xml:space="preserve"> </w:t>
      </w:r>
      <w:r w:rsidRPr="009C2AE0" w:rsidR="004918A2">
        <w:t xml:space="preserve">labor hours </w:t>
      </w:r>
      <w:r w:rsidR="0077409C">
        <w:t>x</w:t>
      </w:r>
      <w:r w:rsidRPr="009C2AE0" w:rsidR="004918A2">
        <w:t xml:space="preserve"> $</w:t>
      </w:r>
      <w:r w:rsidR="00D049EB">
        <w:t>55.75</w:t>
      </w:r>
      <w:r w:rsidRPr="009C2AE0" w:rsidR="004918A2">
        <w:t xml:space="preserve"> per hour</w:t>
      </w:r>
      <w:r w:rsidRPr="009C2AE0" w:rsidR="004918A2">
        <w:tab/>
      </w:r>
      <w:r w:rsidR="001F0F1F">
        <w:tab/>
      </w:r>
      <w:r w:rsidR="001F0F1F">
        <w:tab/>
      </w:r>
      <w:r w:rsidR="001F0F1F">
        <w:tab/>
      </w:r>
      <w:r w:rsidRPr="009C2AE0" w:rsidR="004918A2">
        <w:t>= $</w:t>
      </w:r>
      <w:r w:rsidR="00A82DDF">
        <w:t>32,781</w:t>
      </w:r>
    </w:p>
    <w:p w:rsidRPr="009C2AE0" w:rsidR="004918A2" w:rsidRDefault="004918A2" w14:paraId="5F7F736B" w14:textId="77777777">
      <w:pPr>
        <w:pStyle w:val="Paperwork"/>
        <w:numPr>
          <w:ilvl w:val="12"/>
          <w:numId w:val="0"/>
        </w:numPr>
        <w:ind w:left="720" w:hanging="720"/>
      </w:pPr>
    </w:p>
    <w:p w:rsidRPr="009C2AE0" w:rsidR="004918A2" w:rsidP="0064761A" w:rsidRDefault="004918A2" w14:paraId="377BC1D6" w14:textId="0F2A54AD">
      <w:pPr>
        <w:tabs>
          <w:tab w:val="left" w:pos="0"/>
        </w:tabs>
      </w:pPr>
      <w:r w:rsidRPr="009C2AE0">
        <w:t xml:space="preserve">Approximately </w:t>
      </w:r>
      <w:r w:rsidR="007B7711">
        <w:t>20</w:t>
      </w:r>
      <w:r w:rsidRPr="009C2AE0">
        <w:t xml:space="preserve"> grantees</w:t>
      </w:r>
      <w:r w:rsidR="00B451C5">
        <w:t>’</w:t>
      </w:r>
      <w:r w:rsidRPr="009C2AE0">
        <w:t xml:space="preserve"> and four contractors</w:t>
      </w:r>
      <w:r w:rsidR="00B451C5">
        <w:t>’</w:t>
      </w:r>
      <w:r w:rsidRPr="009C2AE0">
        <w:t xml:space="preserve"> Quality Assurance Plan</w:t>
      </w:r>
      <w:r w:rsidR="00D57F51">
        <w:t>s</w:t>
      </w:r>
      <w:r w:rsidRPr="009C2AE0">
        <w:t xml:space="preserve"> will be reviewed each year.  Responses are reviewed by a qualified Governmental Technical Representative (GTR) or a Governmental Technical Monitor (GTM</w:t>
      </w:r>
      <w:r w:rsidRPr="009C2AE0" w:rsidR="005E769E">
        <w:t>) (</w:t>
      </w:r>
      <w:r w:rsidRPr="009C2AE0">
        <w:t>GS-</w:t>
      </w:r>
      <w:r w:rsidRPr="009C2AE0" w:rsidR="007915FE">
        <w:t>13</w:t>
      </w:r>
      <w:r w:rsidR="00D53DAF">
        <w:t>, Step 10</w:t>
      </w:r>
      <w:r w:rsidRPr="009C2AE0" w:rsidR="007915FE">
        <w:t>/</w:t>
      </w:r>
      <w:r w:rsidR="00970CF1">
        <w:t>GS-</w:t>
      </w:r>
      <w:r w:rsidRPr="009C2AE0">
        <w:t>14</w:t>
      </w:r>
      <w:r w:rsidR="00970CF1">
        <w:t>,</w:t>
      </w:r>
      <w:r w:rsidR="00D53DAF">
        <w:t xml:space="preserve"> Step </w:t>
      </w:r>
      <w:proofErr w:type="gramStart"/>
      <w:r w:rsidR="00D53DAF">
        <w:t xml:space="preserve">4 </w:t>
      </w:r>
      <w:r w:rsidRPr="009C2AE0">
        <w:t xml:space="preserve"> grade</w:t>
      </w:r>
      <w:proofErr w:type="gramEnd"/>
      <w:r w:rsidRPr="009C2AE0">
        <w:t xml:space="preserve"> level at approximately $</w:t>
      </w:r>
      <w:r w:rsidR="00236651">
        <w:t>63.94</w:t>
      </w:r>
      <w:r w:rsidRPr="009C2AE0" w:rsidR="00D53DAF">
        <w:t xml:space="preserve"> </w:t>
      </w:r>
      <w:r w:rsidRPr="009C2AE0">
        <w:t xml:space="preserve">per hour). Each review requires approximately 4 hours. </w:t>
      </w:r>
      <w:r w:rsidRPr="009C2AE0" w:rsidR="006F5F9F">
        <w:t>The cost to the Federal government is:</w:t>
      </w:r>
    </w:p>
    <w:p w:rsidRPr="009C2AE0" w:rsidR="004918A2" w:rsidRDefault="004918A2" w14:paraId="21C81326" w14:textId="77777777">
      <w:pPr>
        <w:pStyle w:val="Paperwork"/>
        <w:numPr>
          <w:ilvl w:val="12"/>
          <w:numId w:val="0"/>
        </w:numPr>
        <w:ind w:left="1440" w:hanging="720"/>
        <w:rPr>
          <w:highlight w:val="yellow"/>
        </w:rPr>
      </w:pPr>
    </w:p>
    <w:p w:rsidRPr="009C2AE0" w:rsidR="004918A2" w:rsidRDefault="00C55201" w14:paraId="13935B92" w14:textId="75AB57DE">
      <w:pPr>
        <w:pStyle w:val="Paperwork"/>
        <w:numPr>
          <w:ilvl w:val="12"/>
          <w:numId w:val="0"/>
        </w:numPr>
        <w:ind w:left="1440" w:hanging="720"/>
      </w:pPr>
      <w:r>
        <w:t>47</w:t>
      </w:r>
      <w:r w:rsidRPr="009C2AE0" w:rsidR="004918A2">
        <w:t xml:space="preserve"> respondents </w:t>
      </w:r>
      <w:r w:rsidR="00E91E83">
        <w:t>x</w:t>
      </w:r>
      <w:r w:rsidRPr="009C2AE0" w:rsidR="004918A2">
        <w:t xml:space="preserve"> 4 </w:t>
      </w:r>
      <w:proofErr w:type="spellStart"/>
      <w:r w:rsidRPr="009C2AE0" w:rsidR="004918A2">
        <w:t>hrs</w:t>
      </w:r>
      <w:proofErr w:type="spellEnd"/>
      <w:r w:rsidRPr="009C2AE0" w:rsidR="004918A2">
        <w:t xml:space="preserve"> per </w:t>
      </w:r>
      <w:r w:rsidRPr="009C2AE0" w:rsidR="00065940">
        <w:t>Quality Assurance Plan</w:t>
      </w:r>
      <w:r w:rsidR="00065940">
        <w:tab/>
      </w:r>
      <w:r w:rsidR="001F0F1F">
        <w:tab/>
      </w:r>
      <w:r w:rsidRPr="009C2AE0" w:rsidR="004918A2">
        <w:t xml:space="preserve">= </w:t>
      </w:r>
      <w:r w:rsidR="009735F9">
        <w:t>188</w:t>
      </w:r>
      <w:r w:rsidRPr="009C2AE0" w:rsidR="009735F9">
        <w:t xml:space="preserve"> </w:t>
      </w:r>
      <w:r w:rsidRPr="009C2AE0" w:rsidR="004918A2">
        <w:t>labor hours</w:t>
      </w:r>
    </w:p>
    <w:p w:rsidR="001E3E4F" w:rsidRDefault="004918A2" w14:paraId="172C9D73" w14:textId="751CF827">
      <w:pPr>
        <w:pStyle w:val="Paperwork"/>
        <w:numPr>
          <w:ilvl w:val="12"/>
          <w:numId w:val="0"/>
        </w:numPr>
        <w:ind w:left="1440" w:hanging="720"/>
      </w:pPr>
      <w:r w:rsidRPr="009C2AE0">
        <w:t xml:space="preserve">80 labor hours </w:t>
      </w:r>
      <w:r w:rsidR="00E91E83">
        <w:t>x</w:t>
      </w:r>
      <w:r w:rsidRPr="009C2AE0">
        <w:t xml:space="preserve"> </w:t>
      </w:r>
      <w:r w:rsidR="006770F1">
        <w:t>$</w:t>
      </w:r>
      <w:r w:rsidR="00E72E30">
        <w:t>63.94</w:t>
      </w:r>
      <w:r w:rsidRPr="009C2AE0">
        <w:t xml:space="preserve"> per hour</w:t>
      </w:r>
      <w:r w:rsidRPr="009C2AE0">
        <w:tab/>
      </w:r>
      <w:r w:rsidR="00065940">
        <w:tab/>
      </w:r>
      <w:r w:rsidRPr="009C2AE0">
        <w:tab/>
      </w:r>
      <w:r w:rsidR="001F0F1F">
        <w:tab/>
      </w:r>
      <w:r w:rsidRPr="009C2AE0">
        <w:t>= $</w:t>
      </w:r>
      <w:r w:rsidR="00081FD7">
        <w:t>12</w:t>
      </w:r>
      <w:r w:rsidR="00E25A6F">
        <w:t>,</w:t>
      </w:r>
      <w:r w:rsidR="00081FD7">
        <w:t>021</w:t>
      </w:r>
    </w:p>
    <w:p w:rsidR="005F68AE" w:rsidP="00D5766B" w:rsidRDefault="005F68AE" w14:paraId="5CE3E650" w14:textId="77777777">
      <w:pPr>
        <w:pStyle w:val="Paperwork"/>
        <w:numPr>
          <w:ilvl w:val="12"/>
          <w:numId w:val="0"/>
        </w:numPr>
      </w:pPr>
    </w:p>
    <w:p w:rsidRPr="009C2AE0" w:rsidR="004918A2" w:rsidP="00D5766B" w:rsidRDefault="004918A2" w14:paraId="2BCDE25F" w14:textId="2DF44EC5">
      <w:pPr>
        <w:pStyle w:val="Paperwork"/>
        <w:numPr>
          <w:ilvl w:val="12"/>
          <w:numId w:val="0"/>
        </w:numPr>
      </w:pPr>
      <w:r w:rsidRPr="009C2AE0">
        <w:t>The total</w:t>
      </w:r>
      <w:r w:rsidR="00D5766B">
        <w:t xml:space="preserve"> estimated</w:t>
      </w:r>
      <w:r w:rsidRPr="009C2AE0">
        <w:t xml:space="preserve"> cost to the Federal government </w:t>
      </w:r>
      <w:r w:rsidR="00D7194A">
        <w:t>based on an estimated</w:t>
      </w:r>
      <w:r w:rsidRPr="009C2AE0">
        <w:t xml:space="preserve"> </w:t>
      </w:r>
      <w:r w:rsidR="00947EFE">
        <w:t>6,056</w:t>
      </w:r>
      <w:r w:rsidRPr="009C2AE0">
        <w:t xml:space="preserve"> labor</w:t>
      </w:r>
      <w:r w:rsidR="00D5766B">
        <w:t xml:space="preserve"> </w:t>
      </w:r>
      <w:r w:rsidRPr="009C2AE0">
        <w:t xml:space="preserve">hours </w:t>
      </w:r>
      <w:r w:rsidR="00D5766B">
        <w:t>is $</w:t>
      </w:r>
      <w:r w:rsidR="00947EFE">
        <w:t>339,162</w:t>
      </w:r>
      <w:r w:rsidR="00535D1D">
        <w:t>.</w:t>
      </w:r>
    </w:p>
    <w:p w:rsidRPr="009C2AE0" w:rsidR="007915FE" w:rsidRDefault="007915FE" w14:paraId="14722CC2" w14:textId="77777777">
      <w:pPr>
        <w:pStyle w:val="Paperwork"/>
        <w:numPr>
          <w:ilvl w:val="12"/>
          <w:numId w:val="0"/>
        </w:numPr>
        <w:ind w:left="720" w:hanging="720"/>
      </w:pPr>
    </w:p>
    <w:p w:rsidRPr="009C2AE0" w:rsidR="004918A2" w:rsidRDefault="004918A2" w14:paraId="7B2BC492" w14:textId="77777777">
      <w:pPr>
        <w:pStyle w:val="Paperwork"/>
        <w:numPr>
          <w:ilvl w:val="12"/>
          <w:numId w:val="0"/>
        </w:numPr>
        <w:ind w:left="720" w:hanging="720"/>
      </w:pPr>
      <w:r w:rsidRPr="009C2AE0">
        <w:rPr>
          <w:b/>
        </w:rPr>
        <w:t>15.</w:t>
      </w:r>
      <w:r w:rsidRPr="009C2AE0">
        <w:rPr>
          <w:b/>
        </w:rPr>
        <w:tab/>
        <w:t>Explain the reasons for any program changes or adjustments reported in Item</w:t>
      </w:r>
      <w:r w:rsidR="003E45A3">
        <w:rPr>
          <w:b/>
        </w:rPr>
        <w:t>s 13 and 14</w:t>
      </w:r>
      <w:r w:rsidRPr="009C2AE0">
        <w:rPr>
          <w:b/>
        </w:rPr>
        <w:t>.</w:t>
      </w:r>
    </w:p>
    <w:p w:rsidR="001E3E4F" w:rsidP="0064761A" w:rsidRDefault="001E3E4F" w14:paraId="59211AC9" w14:textId="77777777">
      <w:pPr>
        <w:pStyle w:val="Paperwork"/>
        <w:numPr>
          <w:ilvl w:val="12"/>
          <w:numId w:val="0"/>
        </w:numPr>
      </w:pPr>
    </w:p>
    <w:p w:rsidRPr="009C2AE0" w:rsidR="001B340D" w:rsidP="001B340D" w:rsidRDefault="004740C9" w14:paraId="660D73B3" w14:textId="22D69BBE">
      <w:pPr>
        <w:pStyle w:val="Paperwork"/>
        <w:numPr>
          <w:ilvl w:val="12"/>
          <w:numId w:val="0"/>
        </w:numPr>
      </w:pPr>
      <w:r w:rsidRPr="009C2AE0">
        <w:t xml:space="preserve">The </w:t>
      </w:r>
      <w:r>
        <w:t xml:space="preserve">total respondent and </w:t>
      </w:r>
      <w:r w:rsidRPr="009C2AE0">
        <w:t xml:space="preserve">Federal cost </w:t>
      </w:r>
      <w:r>
        <w:t xml:space="preserve">burdens have increased </w:t>
      </w:r>
      <w:r w:rsidR="0098260F">
        <w:t>because of additional funding for the</w:t>
      </w:r>
      <w:r w:rsidR="00E95BCA">
        <w:t xml:space="preserve"> Lead Hazard Control programs and the addition of </w:t>
      </w:r>
      <w:r w:rsidR="007F7DB7">
        <w:t xml:space="preserve">two new grant programs, </w:t>
      </w:r>
      <w:r w:rsidRPr="000E2C6E" w:rsidR="00CF3A64">
        <w:rPr>
          <w:szCs w:val="24"/>
        </w:rPr>
        <w:t xml:space="preserve">Older Adult Home Modification Program, and </w:t>
      </w:r>
      <w:r w:rsidRPr="000E2C6E" w:rsidR="00CF3A64">
        <w:rPr>
          <w:rFonts w:eastAsia="Times"/>
          <w:szCs w:val="24"/>
        </w:rPr>
        <w:t>Healthy Homes and Weatherization Cooperation Demonstration</w:t>
      </w:r>
      <w:r w:rsidR="00D25C77">
        <w:rPr>
          <w:rFonts w:eastAsia="Times"/>
          <w:szCs w:val="24"/>
        </w:rPr>
        <w:t>.</w:t>
      </w:r>
      <w:r>
        <w:t xml:space="preserve"> </w:t>
      </w:r>
      <w:r w:rsidRPr="009C2AE0" w:rsidR="001B340D">
        <w:t xml:space="preserve">The </w:t>
      </w:r>
      <w:r w:rsidR="001B340D">
        <w:t xml:space="preserve">respondent and </w:t>
      </w:r>
      <w:r w:rsidRPr="009C2AE0" w:rsidR="001B340D">
        <w:t xml:space="preserve">Federal cost </w:t>
      </w:r>
      <w:r w:rsidR="001B340D">
        <w:t xml:space="preserve">burdens </w:t>
      </w:r>
      <w:r w:rsidR="0083735A">
        <w:t xml:space="preserve">were </w:t>
      </w:r>
      <w:r w:rsidR="003B61B0">
        <w:t>decreased</w:t>
      </w:r>
      <w:r w:rsidR="0004742F">
        <w:t xml:space="preserve"> </w:t>
      </w:r>
      <w:r w:rsidR="0033311C">
        <w:t xml:space="preserve">somewhat </w:t>
      </w:r>
      <w:r w:rsidR="003B61B0">
        <w:t>because of the elimination of certain application and review criteria</w:t>
      </w:r>
      <w:r w:rsidR="0004742F">
        <w:t xml:space="preserve"> (Rating Factors)</w:t>
      </w:r>
      <w:r w:rsidR="005833A0">
        <w:t xml:space="preserve"> </w:t>
      </w:r>
      <w:r w:rsidR="00D5766B">
        <w:t xml:space="preserve">for the Lead Hazard </w:t>
      </w:r>
      <w:r w:rsidR="00D5766B">
        <w:lastRenderedPageBreak/>
        <w:t xml:space="preserve">Control </w:t>
      </w:r>
      <w:r w:rsidR="00B330F9">
        <w:t xml:space="preserve">Grant </w:t>
      </w:r>
      <w:r w:rsidR="00D5766B">
        <w:t xml:space="preserve">Program </w:t>
      </w:r>
      <w:r w:rsidR="0004742F">
        <w:t xml:space="preserve">and Lead Hazard Reduction Demonstration </w:t>
      </w:r>
      <w:r w:rsidR="00224B49">
        <w:t xml:space="preserve">Grant Program </w:t>
      </w:r>
      <w:r w:rsidR="00D5766B">
        <w:t>applications</w:t>
      </w:r>
      <w:r w:rsidR="001819C7">
        <w:t>; there is</w:t>
      </w:r>
      <w:r w:rsidR="00D5766B">
        <w:t xml:space="preserve"> </w:t>
      </w:r>
      <w:r w:rsidRPr="0060362F" w:rsidR="001B340D">
        <w:t>a</w:t>
      </w:r>
      <w:r w:rsidR="00D5766B">
        <w:t xml:space="preserve"> </w:t>
      </w:r>
      <w:r w:rsidR="00F11195">
        <w:t>cost-of-living</w:t>
      </w:r>
      <w:r w:rsidR="00C74B59">
        <w:t xml:space="preserve">-based </w:t>
      </w:r>
      <w:r w:rsidRPr="0060362F" w:rsidR="001B340D">
        <w:t>increase in the hourly wages</w:t>
      </w:r>
      <w:r w:rsidRPr="009C2AE0" w:rsidR="001B340D">
        <w:t xml:space="preserve">. </w:t>
      </w:r>
    </w:p>
    <w:p w:rsidRPr="009C2AE0" w:rsidR="001B340D" w:rsidP="0064761A" w:rsidRDefault="001B340D" w14:paraId="2D1C7C56" w14:textId="77777777">
      <w:pPr>
        <w:pStyle w:val="Paperwork"/>
        <w:numPr>
          <w:ilvl w:val="12"/>
          <w:numId w:val="0"/>
        </w:numPr>
      </w:pPr>
    </w:p>
    <w:p w:rsidRPr="009C2AE0" w:rsidR="004918A2" w:rsidRDefault="004918A2" w14:paraId="38DAAEB5" w14:textId="77777777">
      <w:pPr>
        <w:pStyle w:val="Paperwork"/>
      </w:pPr>
      <w:r w:rsidRPr="009C2AE0">
        <w:rPr>
          <w:b/>
        </w:rPr>
        <w:t>16.</w:t>
      </w:r>
      <w:r w:rsidRPr="009C2AE0">
        <w:rPr>
          <w:b/>
        </w:rPr>
        <w:tab/>
        <w:t>For collections of information whose results will be published, outline plans for tabulation and publications.</w:t>
      </w:r>
    </w:p>
    <w:p w:rsidRPr="009C2AE0" w:rsidR="004918A2" w:rsidRDefault="004918A2" w14:paraId="386D29D3" w14:textId="77777777">
      <w:pPr>
        <w:pStyle w:val="Paperwork"/>
      </w:pPr>
    </w:p>
    <w:p w:rsidRPr="009C2AE0" w:rsidR="004918A2" w:rsidP="0064761A" w:rsidRDefault="004918A2" w14:paraId="4EEA55D9" w14:textId="77777777">
      <w:pPr>
        <w:pStyle w:val="Paperwork"/>
        <w:ind w:left="0" w:firstLine="0"/>
      </w:pPr>
      <w:r w:rsidRPr="009C2AE0">
        <w:t>The results of the information collection will not be published.</w:t>
      </w:r>
    </w:p>
    <w:p w:rsidRPr="009C2AE0" w:rsidR="004918A2" w:rsidRDefault="004918A2" w14:paraId="0EEC49A4" w14:textId="77777777">
      <w:pPr>
        <w:pStyle w:val="Paperwork"/>
      </w:pPr>
    </w:p>
    <w:p w:rsidRPr="009C2AE0" w:rsidR="004918A2" w:rsidRDefault="004918A2" w14:paraId="19D1C9F5" w14:textId="77777777">
      <w:pPr>
        <w:pStyle w:val="Paperwork"/>
      </w:pPr>
      <w:r w:rsidRPr="009C2AE0">
        <w:rPr>
          <w:b/>
        </w:rPr>
        <w:t>17.</w:t>
      </w:r>
      <w:r w:rsidRPr="009C2AE0">
        <w:rPr>
          <w:b/>
        </w:rPr>
        <w:tab/>
        <w:t>If seeking approval to not display the expiration date for OMB approval of the information collection, explain the reasons that display would be inappropriate.</w:t>
      </w:r>
    </w:p>
    <w:p w:rsidRPr="009C2AE0" w:rsidR="004918A2" w:rsidRDefault="004918A2" w14:paraId="203D8A62" w14:textId="77777777">
      <w:pPr>
        <w:pStyle w:val="Paperwork"/>
      </w:pPr>
    </w:p>
    <w:p w:rsidRPr="009C2AE0" w:rsidR="004918A2" w:rsidP="00FD2826" w:rsidRDefault="004918A2" w14:paraId="73F284ED" w14:textId="77777777">
      <w:pPr>
        <w:pStyle w:val="Paperwork"/>
        <w:ind w:left="0" w:firstLine="0"/>
      </w:pPr>
      <w:r w:rsidRPr="009C2AE0">
        <w:t>The Department is not seeking approval to not display the expiration date on the information collection documents.</w:t>
      </w:r>
    </w:p>
    <w:p w:rsidRPr="009C2AE0" w:rsidR="004918A2" w:rsidRDefault="004918A2" w14:paraId="39E26232" w14:textId="77777777">
      <w:pPr>
        <w:pStyle w:val="Paperwork"/>
      </w:pPr>
    </w:p>
    <w:p w:rsidRPr="009C2AE0" w:rsidR="004918A2" w:rsidRDefault="004918A2" w14:paraId="3CDDF9CC" w14:textId="77777777">
      <w:pPr>
        <w:pStyle w:val="Paperwork"/>
        <w:rPr>
          <w:b/>
        </w:rPr>
      </w:pPr>
      <w:r w:rsidRPr="009C2AE0">
        <w:rPr>
          <w:b/>
        </w:rPr>
        <w:t>18.</w:t>
      </w:r>
      <w:r w:rsidRPr="009C2AE0">
        <w:rPr>
          <w:b/>
        </w:rPr>
        <w:tab/>
        <w:t>Explain each exception to the certification statement identified in Item 19 of OMB Form 83-I, Certification for Paperwork Reduction Act Submission.</w:t>
      </w:r>
    </w:p>
    <w:p w:rsidRPr="009C2AE0" w:rsidR="004918A2" w:rsidRDefault="004918A2" w14:paraId="2AC4D496" w14:textId="77777777">
      <w:pPr>
        <w:pStyle w:val="Paperwork"/>
      </w:pPr>
    </w:p>
    <w:p w:rsidRPr="009C2AE0" w:rsidR="004918A2" w:rsidP="009C2AE0" w:rsidRDefault="004918A2" w14:paraId="5C1C5149" w14:textId="77777777">
      <w:pPr>
        <w:pStyle w:val="Paperwork"/>
      </w:pPr>
      <w:r w:rsidRPr="009C2AE0">
        <w:t>There are no exceptions to the certification stateme</w:t>
      </w:r>
      <w:r w:rsidR="00E37670">
        <w:t>nt.</w:t>
      </w:r>
    </w:p>
    <w:sectPr w:rsidRPr="009C2AE0" w:rsidR="004918A2" w:rsidSect="004701D3">
      <w:footerReference w:type="default" r:id="rId18"/>
      <w:pgSz w:w="12240" w:h="15840"/>
      <w:pgMar w:top="1440" w:right="1440" w:bottom="1296"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Watts-Mitchell, Wynee V" w:date="2020-06-26T11:36:00Z" w:initials="WWV">
    <w:p w14:paraId="0B7CFC48" w14:textId="0E26B04D" w:rsidR="00B965AD" w:rsidRDefault="00B965AD">
      <w:pPr>
        <w:pStyle w:val="CommentText"/>
      </w:pPr>
      <w:r>
        <w:rPr>
          <w:rStyle w:val="CommentReference"/>
        </w:rPr>
        <w:annotationRef/>
      </w:r>
      <w:r>
        <w:t>Th</w:t>
      </w:r>
      <w:r w:rsidR="003E184E">
        <w:t>is</w:t>
      </w:r>
      <w:r>
        <w:t xml:space="preserve"> figure </w:t>
      </w:r>
      <w:r w:rsidR="003E184E">
        <w:t>does not mathematically compute</w:t>
      </w:r>
    </w:p>
  </w:comment>
  <w:comment w:id="3" w:author="Watts-Mitchell, Wynee V" w:date="2020-06-26T11:51:00Z" w:initials="WWV">
    <w:p w14:paraId="5B65FB11" w14:textId="0A1371E4" w:rsidR="003E184E" w:rsidRDefault="003E184E">
      <w:pPr>
        <w:pStyle w:val="CommentText"/>
      </w:pPr>
      <w:r>
        <w:rPr>
          <w:rStyle w:val="CommentReference"/>
        </w:rPr>
        <w:annotationRef/>
      </w:r>
      <w:bookmarkStart w:id="4" w:name="_Hlk44064785"/>
      <w:r>
        <w:t>This figure does not mathematically compute</w:t>
      </w:r>
      <w:bookmarkEnd w:id="4"/>
    </w:p>
  </w:comment>
  <w:comment w:id="5" w:author="Watts-Mitchell, Wynee V" w:date="2020-06-26T11:52:00Z" w:initials="WWV">
    <w:p w14:paraId="2704E7DC" w14:textId="60B750CB" w:rsidR="003E184E" w:rsidRDefault="003E184E">
      <w:pPr>
        <w:pStyle w:val="CommentText"/>
      </w:pPr>
      <w:r>
        <w:rPr>
          <w:rStyle w:val="CommentReference"/>
        </w:rPr>
        <w:annotationRef/>
      </w:r>
      <w:r>
        <w:t>This figure does not mathematically compute</w:t>
      </w:r>
    </w:p>
  </w:comment>
  <w:comment w:id="6" w:author="Watts-Mitchell, Wynee V" w:date="2020-06-26T11:54:00Z" w:initials="WWV">
    <w:p w14:paraId="73A35DD3" w14:textId="6FBE8BFB" w:rsidR="003E184E" w:rsidRDefault="003E184E">
      <w:pPr>
        <w:pStyle w:val="CommentText"/>
      </w:pPr>
      <w:r>
        <w:rPr>
          <w:rStyle w:val="CommentReference"/>
        </w:rPr>
        <w:annotationRef/>
      </w:r>
      <w:r>
        <w:t>This figure does not mathematically compute</w:t>
      </w:r>
    </w:p>
  </w:comment>
  <w:comment w:id="7" w:author="Watts-Mitchell, Wynee V" w:date="2020-06-26T11:58:00Z" w:initials="WWV">
    <w:p w14:paraId="7C0D1617" w14:textId="277CA739" w:rsidR="003E184E" w:rsidRDefault="003E184E">
      <w:pPr>
        <w:pStyle w:val="CommentText"/>
      </w:pPr>
      <w:r>
        <w:rPr>
          <w:rStyle w:val="CommentReference"/>
        </w:rPr>
        <w:annotationRef/>
      </w:r>
      <w:r>
        <w:t>This figure does not mathematically compute</w:t>
      </w:r>
    </w:p>
  </w:comment>
  <w:comment w:id="8" w:author="Watts-Mitchell, Wynee V" w:date="2020-06-26T12:01:00Z" w:initials="WWV">
    <w:p w14:paraId="42F52BAB" w14:textId="2B2DF90E" w:rsidR="00336325" w:rsidRDefault="00336325">
      <w:pPr>
        <w:pStyle w:val="CommentText"/>
      </w:pPr>
      <w:r>
        <w:rPr>
          <w:rStyle w:val="CommentReference"/>
        </w:rPr>
        <w:annotationRef/>
      </w:r>
      <w:r>
        <w:t>This figure does not mathematically compute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7CFC48" w15:done="0"/>
  <w15:commentEx w15:paraId="5B65FB11" w15:done="0"/>
  <w15:commentEx w15:paraId="2704E7DC" w15:done="0"/>
  <w15:commentEx w15:paraId="73A35DD3" w15:done="0"/>
  <w15:commentEx w15:paraId="7C0D1617" w15:done="0"/>
  <w15:commentEx w15:paraId="42F52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05C4E" w16cex:dateUtc="2020-06-26T15:36:00Z"/>
  <w16cex:commentExtensible w16cex:durableId="22A05FBE" w16cex:dateUtc="2020-06-26T15:51:00Z"/>
  <w16cex:commentExtensible w16cex:durableId="22A05FFF" w16cex:dateUtc="2020-06-26T15:52:00Z"/>
  <w16cex:commentExtensible w16cex:durableId="22A0605C" w16cex:dateUtc="2020-06-26T15:54:00Z"/>
  <w16cex:commentExtensible w16cex:durableId="22A06165" w16cex:dateUtc="2020-06-26T15:58:00Z"/>
  <w16cex:commentExtensible w16cex:durableId="22A06228" w16cex:dateUtc="2020-06-26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CFC48" w16cid:durableId="22A05C4E"/>
  <w16cid:commentId w16cid:paraId="5B65FB11" w16cid:durableId="22A05FBE"/>
  <w16cid:commentId w16cid:paraId="2704E7DC" w16cid:durableId="22A05FFF"/>
  <w16cid:commentId w16cid:paraId="73A35DD3" w16cid:durableId="22A0605C"/>
  <w16cid:commentId w16cid:paraId="7C0D1617" w16cid:durableId="22A06165"/>
  <w16cid:commentId w16cid:paraId="42F52BAB" w16cid:durableId="22A062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38D2F" w14:textId="77777777" w:rsidR="009335DC" w:rsidRDefault="009335DC">
      <w:r>
        <w:separator/>
      </w:r>
    </w:p>
  </w:endnote>
  <w:endnote w:type="continuationSeparator" w:id="0">
    <w:p w14:paraId="0BD96294" w14:textId="77777777" w:rsidR="009335DC" w:rsidRDefault="0093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122E" w14:textId="77777777" w:rsidR="00F7598A" w:rsidRDefault="00F7598A">
    <w:pPr>
      <w:pStyle w:val="Footer"/>
      <w:tabs>
        <w:tab w:val="clear" w:pos="8640"/>
        <w:tab w:val="right" w:pos="9270"/>
      </w:tabs>
      <w:rPr>
        <w:sz w:val="16"/>
      </w:rPr>
    </w:pPr>
    <w:r>
      <w:rPr>
        <w:sz w:val="16"/>
      </w:rPr>
      <w:t>Supporting Statement for Paperwork Reduction Act Submission 2539-0015</w:t>
    </w:r>
    <w:r>
      <w:rPr>
        <w:sz w:val="16"/>
      </w:rPr>
      <w:tab/>
      <w:t xml:space="preserve">HUD Office of Lead Hazard Control and Healthy Homes </w:t>
    </w:r>
  </w:p>
  <w:p w14:paraId="13525B5C" w14:textId="42A92BFB" w:rsidR="00F7598A" w:rsidRDefault="007373E6">
    <w:pPr>
      <w:pStyle w:val="Footer"/>
      <w:tabs>
        <w:tab w:val="clear" w:pos="8640"/>
        <w:tab w:val="right" w:pos="9270"/>
      </w:tabs>
    </w:pPr>
    <w:r>
      <w:rPr>
        <w:sz w:val="16"/>
      </w:rPr>
      <w:tab/>
    </w:r>
    <w:r>
      <w:rPr>
        <w:sz w:val="16"/>
      </w:rPr>
      <w:tab/>
    </w:r>
    <w:r w:rsidR="00F7598A">
      <w:rPr>
        <w:sz w:val="16"/>
      </w:rPr>
      <w:t xml:space="preserve">Page </w:t>
    </w:r>
    <w:r w:rsidR="00F7598A">
      <w:rPr>
        <w:rStyle w:val="PageNumber"/>
        <w:sz w:val="16"/>
      </w:rPr>
      <w:fldChar w:fldCharType="begin"/>
    </w:r>
    <w:r w:rsidR="00F7598A">
      <w:rPr>
        <w:rStyle w:val="PageNumber"/>
        <w:sz w:val="16"/>
      </w:rPr>
      <w:instrText xml:space="preserve"> PAGE </w:instrText>
    </w:r>
    <w:r w:rsidR="00F7598A">
      <w:rPr>
        <w:rStyle w:val="PageNumber"/>
        <w:sz w:val="16"/>
      </w:rPr>
      <w:fldChar w:fldCharType="separate"/>
    </w:r>
    <w:r w:rsidR="00712F29">
      <w:rPr>
        <w:rStyle w:val="PageNumber"/>
        <w:noProof/>
        <w:sz w:val="16"/>
      </w:rPr>
      <w:t>2</w:t>
    </w:r>
    <w:r w:rsidR="00F7598A">
      <w:rPr>
        <w:rStyle w:val="PageNumber"/>
        <w:sz w:val="16"/>
      </w:rPr>
      <w:fldChar w:fldCharType="end"/>
    </w:r>
    <w:r w:rsidR="00F7598A">
      <w:rPr>
        <w:sz w:val="16"/>
      </w:rPr>
      <w:tab/>
    </w:r>
    <w:r w:rsidR="00F7598A">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984B8" w14:textId="77777777" w:rsidR="009335DC" w:rsidRDefault="009335DC">
      <w:r>
        <w:separator/>
      </w:r>
    </w:p>
  </w:footnote>
  <w:footnote w:type="continuationSeparator" w:id="0">
    <w:p w14:paraId="71F9E642" w14:textId="77777777" w:rsidR="009335DC" w:rsidRDefault="00933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C12151E"/>
    <w:lvl w:ilvl="0">
      <w:numFmt w:val="bullet"/>
      <w:lvlText w:val="*"/>
      <w:lvlJc w:val="left"/>
    </w:lvl>
  </w:abstractNum>
  <w:abstractNum w:abstractNumId="1" w15:restartNumberingAfterBreak="0">
    <w:nsid w:val="3AB15362"/>
    <w:multiLevelType w:val="hybridMultilevel"/>
    <w:tmpl w:val="4F0ACAC0"/>
    <w:lvl w:ilvl="0" w:tplc="EC12151E">
      <w:start w:val="1"/>
      <w:numFmt w:val="bullet"/>
      <w:lvlText w:val=""/>
      <w:legacy w:legacy="1" w:legacySpace="120" w:legacyIndent="360"/>
      <w:lvlJc w:val="left"/>
      <w:pPr>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AC7894"/>
    <w:multiLevelType w:val="hybridMultilevel"/>
    <w:tmpl w:val="14742022"/>
    <w:lvl w:ilvl="0" w:tplc="EC12151E">
      <w:start w:val="1"/>
      <w:numFmt w:val="bullet"/>
      <w:lvlText w:val=""/>
      <w:lvlJc w:val="left"/>
      <w:pPr>
        <w:ind w:left="1440" w:hanging="360"/>
      </w:pPr>
      <w:rPr>
        <w:rFonts w:ascii="Symbol"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cs="Times New Roman"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tts-Mitchell, Wynee V">
    <w15:presenceInfo w15:providerId="AD" w15:userId="S::wynee.wattsmitchell@hud.gov::b56559cf-f2c1-4e0c-ad64-663c8fb5a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69E"/>
    <w:rsid w:val="00000FC7"/>
    <w:rsid w:val="000132CF"/>
    <w:rsid w:val="000135B1"/>
    <w:rsid w:val="00015926"/>
    <w:rsid w:val="000176D1"/>
    <w:rsid w:val="0002581A"/>
    <w:rsid w:val="00026424"/>
    <w:rsid w:val="000414D2"/>
    <w:rsid w:val="00041857"/>
    <w:rsid w:val="000420D0"/>
    <w:rsid w:val="0004742F"/>
    <w:rsid w:val="00047F8B"/>
    <w:rsid w:val="000524AA"/>
    <w:rsid w:val="00057E28"/>
    <w:rsid w:val="00065940"/>
    <w:rsid w:val="0007496C"/>
    <w:rsid w:val="000768C0"/>
    <w:rsid w:val="00076DA3"/>
    <w:rsid w:val="00081FD7"/>
    <w:rsid w:val="00084511"/>
    <w:rsid w:val="000970E8"/>
    <w:rsid w:val="000A7BEE"/>
    <w:rsid w:val="000B5B80"/>
    <w:rsid w:val="000C27D1"/>
    <w:rsid w:val="000C6860"/>
    <w:rsid w:val="000E348F"/>
    <w:rsid w:val="000E6CB1"/>
    <w:rsid w:val="00100F07"/>
    <w:rsid w:val="0010220D"/>
    <w:rsid w:val="00103056"/>
    <w:rsid w:val="00115F7C"/>
    <w:rsid w:val="00121381"/>
    <w:rsid w:val="001362BD"/>
    <w:rsid w:val="0014053F"/>
    <w:rsid w:val="001509DF"/>
    <w:rsid w:val="001509FE"/>
    <w:rsid w:val="00153604"/>
    <w:rsid w:val="00153D19"/>
    <w:rsid w:val="001562AB"/>
    <w:rsid w:val="0016124C"/>
    <w:rsid w:val="00162B55"/>
    <w:rsid w:val="00164830"/>
    <w:rsid w:val="00170CF5"/>
    <w:rsid w:val="00173D0E"/>
    <w:rsid w:val="001761D5"/>
    <w:rsid w:val="001819C7"/>
    <w:rsid w:val="0019590E"/>
    <w:rsid w:val="001A071A"/>
    <w:rsid w:val="001A31DA"/>
    <w:rsid w:val="001B340D"/>
    <w:rsid w:val="001B5822"/>
    <w:rsid w:val="001C20B6"/>
    <w:rsid w:val="001C53AB"/>
    <w:rsid w:val="001D3C31"/>
    <w:rsid w:val="001D6D5E"/>
    <w:rsid w:val="001E007B"/>
    <w:rsid w:val="001E12E0"/>
    <w:rsid w:val="001E3E4F"/>
    <w:rsid w:val="001F0F1F"/>
    <w:rsid w:val="001F2617"/>
    <w:rsid w:val="001F333D"/>
    <w:rsid w:val="001F543E"/>
    <w:rsid w:val="001F77BD"/>
    <w:rsid w:val="001F7DFE"/>
    <w:rsid w:val="00200178"/>
    <w:rsid w:val="00207A9D"/>
    <w:rsid w:val="00210FD7"/>
    <w:rsid w:val="0021595D"/>
    <w:rsid w:val="00223F29"/>
    <w:rsid w:val="00224B49"/>
    <w:rsid w:val="00236651"/>
    <w:rsid w:val="0024094B"/>
    <w:rsid w:val="00255347"/>
    <w:rsid w:val="00256B4A"/>
    <w:rsid w:val="00280D38"/>
    <w:rsid w:val="00284906"/>
    <w:rsid w:val="0028628D"/>
    <w:rsid w:val="002920D7"/>
    <w:rsid w:val="002929C3"/>
    <w:rsid w:val="002A45A0"/>
    <w:rsid w:val="002A47B2"/>
    <w:rsid w:val="002C12B7"/>
    <w:rsid w:val="002C26C2"/>
    <w:rsid w:val="002C4A63"/>
    <w:rsid w:val="002C694C"/>
    <w:rsid w:val="002D4012"/>
    <w:rsid w:val="002D4B7E"/>
    <w:rsid w:val="002D5071"/>
    <w:rsid w:val="002E3F66"/>
    <w:rsid w:val="002F181E"/>
    <w:rsid w:val="002F3919"/>
    <w:rsid w:val="002F664C"/>
    <w:rsid w:val="003021D0"/>
    <w:rsid w:val="00310FE0"/>
    <w:rsid w:val="00313155"/>
    <w:rsid w:val="00317F3A"/>
    <w:rsid w:val="00326A52"/>
    <w:rsid w:val="00330884"/>
    <w:rsid w:val="0033311C"/>
    <w:rsid w:val="003332BA"/>
    <w:rsid w:val="00336325"/>
    <w:rsid w:val="003367CD"/>
    <w:rsid w:val="00352F93"/>
    <w:rsid w:val="0037070F"/>
    <w:rsid w:val="00370DE7"/>
    <w:rsid w:val="00383213"/>
    <w:rsid w:val="003839E1"/>
    <w:rsid w:val="003931F7"/>
    <w:rsid w:val="00393FF5"/>
    <w:rsid w:val="003B1080"/>
    <w:rsid w:val="003B15EB"/>
    <w:rsid w:val="003B1C2F"/>
    <w:rsid w:val="003B61B0"/>
    <w:rsid w:val="003C3958"/>
    <w:rsid w:val="003C51B3"/>
    <w:rsid w:val="003C665D"/>
    <w:rsid w:val="003D6723"/>
    <w:rsid w:val="003E184E"/>
    <w:rsid w:val="003E4141"/>
    <w:rsid w:val="003E45A3"/>
    <w:rsid w:val="003E4D2A"/>
    <w:rsid w:val="003E632D"/>
    <w:rsid w:val="004016D2"/>
    <w:rsid w:val="0040188D"/>
    <w:rsid w:val="0040473F"/>
    <w:rsid w:val="0041013D"/>
    <w:rsid w:val="004223AA"/>
    <w:rsid w:val="004247A1"/>
    <w:rsid w:val="0044033F"/>
    <w:rsid w:val="00444840"/>
    <w:rsid w:val="00450173"/>
    <w:rsid w:val="00460005"/>
    <w:rsid w:val="00461F24"/>
    <w:rsid w:val="004701D3"/>
    <w:rsid w:val="004706A9"/>
    <w:rsid w:val="004740C9"/>
    <w:rsid w:val="00486558"/>
    <w:rsid w:val="00487E73"/>
    <w:rsid w:val="004918A2"/>
    <w:rsid w:val="00491A36"/>
    <w:rsid w:val="004A3B8E"/>
    <w:rsid w:val="004A533E"/>
    <w:rsid w:val="004A7C2E"/>
    <w:rsid w:val="004B24BF"/>
    <w:rsid w:val="004B2707"/>
    <w:rsid w:val="004C5F81"/>
    <w:rsid w:val="004D7315"/>
    <w:rsid w:val="004E2FE8"/>
    <w:rsid w:val="004E4F6D"/>
    <w:rsid w:val="004F6339"/>
    <w:rsid w:val="00501E38"/>
    <w:rsid w:val="00502820"/>
    <w:rsid w:val="00510C87"/>
    <w:rsid w:val="00511F9F"/>
    <w:rsid w:val="00524ABD"/>
    <w:rsid w:val="00527668"/>
    <w:rsid w:val="005310CD"/>
    <w:rsid w:val="00535D1D"/>
    <w:rsid w:val="00536E25"/>
    <w:rsid w:val="005413A7"/>
    <w:rsid w:val="005636BC"/>
    <w:rsid w:val="0057074B"/>
    <w:rsid w:val="0057592A"/>
    <w:rsid w:val="0057709F"/>
    <w:rsid w:val="005833A0"/>
    <w:rsid w:val="00583BBD"/>
    <w:rsid w:val="0058635B"/>
    <w:rsid w:val="00594C70"/>
    <w:rsid w:val="005A649B"/>
    <w:rsid w:val="005A6823"/>
    <w:rsid w:val="005B1011"/>
    <w:rsid w:val="005B2871"/>
    <w:rsid w:val="005B7A6E"/>
    <w:rsid w:val="005C15F0"/>
    <w:rsid w:val="005C72F2"/>
    <w:rsid w:val="005D22B8"/>
    <w:rsid w:val="005D4E6D"/>
    <w:rsid w:val="005E19B4"/>
    <w:rsid w:val="005E260F"/>
    <w:rsid w:val="005E33B5"/>
    <w:rsid w:val="005E769E"/>
    <w:rsid w:val="005F68AE"/>
    <w:rsid w:val="0060362F"/>
    <w:rsid w:val="00616D86"/>
    <w:rsid w:val="00625E3C"/>
    <w:rsid w:val="00643990"/>
    <w:rsid w:val="0064761A"/>
    <w:rsid w:val="00653688"/>
    <w:rsid w:val="006557A8"/>
    <w:rsid w:val="00656D78"/>
    <w:rsid w:val="0065799B"/>
    <w:rsid w:val="00661AAE"/>
    <w:rsid w:val="00670661"/>
    <w:rsid w:val="00670C91"/>
    <w:rsid w:val="006770F1"/>
    <w:rsid w:val="006826AE"/>
    <w:rsid w:val="00682D20"/>
    <w:rsid w:val="00685498"/>
    <w:rsid w:val="00685F82"/>
    <w:rsid w:val="0069562D"/>
    <w:rsid w:val="006A02FB"/>
    <w:rsid w:val="006A5BC8"/>
    <w:rsid w:val="006A7412"/>
    <w:rsid w:val="006D3A5C"/>
    <w:rsid w:val="006D4F55"/>
    <w:rsid w:val="006E6829"/>
    <w:rsid w:val="006F1C58"/>
    <w:rsid w:val="006F32BC"/>
    <w:rsid w:val="006F42CA"/>
    <w:rsid w:val="006F4D66"/>
    <w:rsid w:val="006F5F9F"/>
    <w:rsid w:val="00701157"/>
    <w:rsid w:val="0070542E"/>
    <w:rsid w:val="0070684D"/>
    <w:rsid w:val="00712F29"/>
    <w:rsid w:val="00723580"/>
    <w:rsid w:val="007309B8"/>
    <w:rsid w:val="00733734"/>
    <w:rsid w:val="00736740"/>
    <w:rsid w:val="007373E6"/>
    <w:rsid w:val="007456B3"/>
    <w:rsid w:val="00745A2A"/>
    <w:rsid w:val="00753F04"/>
    <w:rsid w:val="00756977"/>
    <w:rsid w:val="00760202"/>
    <w:rsid w:val="00760FD3"/>
    <w:rsid w:val="00761513"/>
    <w:rsid w:val="0077409C"/>
    <w:rsid w:val="00781A97"/>
    <w:rsid w:val="007824EF"/>
    <w:rsid w:val="007857D1"/>
    <w:rsid w:val="00787746"/>
    <w:rsid w:val="007915FE"/>
    <w:rsid w:val="00791DA8"/>
    <w:rsid w:val="00791F04"/>
    <w:rsid w:val="007941B7"/>
    <w:rsid w:val="007943AC"/>
    <w:rsid w:val="00794491"/>
    <w:rsid w:val="0079658D"/>
    <w:rsid w:val="007A0A0A"/>
    <w:rsid w:val="007A4B5C"/>
    <w:rsid w:val="007B1E92"/>
    <w:rsid w:val="007B4488"/>
    <w:rsid w:val="007B7711"/>
    <w:rsid w:val="007C1861"/>
    <w:rsid w:val="007C521B"/>
    <w:rsid w:val="007E36D6"/>
    <w:rsid w:val="007F681A"/>
    <w:rsid w:val="007F7DB7"/>
    <w:rsid w:val="008018A4"/>
    <w:rsid w:val="00806A6D"/>
    <w:rsid w:val="008106B6"/>
    <w:rsid w:val="00816398"/>
    <w:rsid w:val="008255A5"/>
    <w:rsid w:val="0083735A"/>
    <w:rsid w:val="008559FC"/>
    <w:rsid w:val="00857967"/>
    <w:rsid w:val="00867169"/>
    <w:rsid w:val="0087057B"/>
    <w:rsid w:val="008710F9"/>
    <w:rsid w:val="008744E3"/>
    <w:rsid w:val="00875C49"/>
    <w:rsid w:val="00881688"/>
    <w:rsid w:val="00882021"/>
    <w:rsid w:val="00887550"/>
    <w:rsid w:val="0089102A"/>
    <w:rsid w:val="00893747"/>
    <w:rsid w:val="00894996"/>
    <w:rsid w:val="008A20AE"/>
    <w:rsid w:val="008B1A9F"/>
    <w:rsid w:val="008B2408"/>
    <w:rsid w:val="008B2E5F"/>
    <w:rsid w:val="008B77FD"/>
    <w:rsid w:val="008C6EC2"/>
    <w:rsid w:val="008C7BBA"/>
    <w:rsid w:val="008D24DA"/>
    <w:rsid w:val="008D3A6C"/>
    <w:rsid w:val="008D416F"/>
    <w:rsid w:val="008D4B46"/>
    <w:rsid w:val="008E15E7"/>
    <w:rsid w:val="008F01FB"/>
    <w:rsid w:val="008F3E9E"/>
    <w:rsid w:val="00904EFD"/>
    <w:rsid w:val="0090690E"/>
    <w:rsid w:val="00916873"/>
    <w:rsid w:val="00917CD9"/>
    <w:rsid w:val="00917D52"/>
    <w:rsid w:val="00920200"/>
    <w:rsid w:val="009335DC"/>
    <w:rsid w:val="00937B05"/>
    <w:rsid w:val="00947EFE"/>
    <w:rsid w:val="00955423"/>
    <w:rsid w:val="00955C33"/>
    <w:rsid w:val="00956A76"/>
    <w:rsid w:val="00970CF1"/>
    <w:rsid w:val="009735F9"/>
    <w:rsid w:val="0097664B"/>
    <w:rsid w:val="0098260F"/>
    <w:rsid w:val="0098531B"/>
    <w:rsid w:val="00994F3A"/>
    <w:rsid w:val="00996185"/>
    <w:rsid w:val="009961A1"/>
    <w:rsid w:val="0099758C"/>
    <w:rsid w:val="009B4062"/>
    <w:rsid w:val="009B662F"/>
    <w:rsid w:val="009C2AE0"/>
    <w:rsid w:val="009C319E"/>
    <w:rsid w:val="009D0A9E"/>
    <w:rsid w:val="009D4AE3"/>
    <w:rsid w:val="009D76A0"/>
    <w:rsid w:val="009E5B46"/>
    <w:rsid w:val="009F20AF"/>
    <w:rsid w:val="009F32A8"/>
    <w:rsid w:val="009F5E64"/>
    <w:rsid w:val="00A06779"/>
    <w:rsid w:val="00A11A1C"/>
    <w:rsid w:val="00A14356"/>
    <w:rsid w:val="00A30DA9"/>
    <w:rsid w:val="00A30E59"/>
    <w:rsid w:val="00A31A55"/>
    <w:rsid w:val="00A42839"/>
    <w:rsid w:val="00A42855"/>
    <w:rsid w:val="00A444A1"/>
    <w:rsid w:val="00A557A7"/>
    <w:rsid w:val="00A569BD"/>
    <w:rsid w:val="00A654AB"/>
    <w:rsid w:val="00A70365"/>
    <w:rsid w:val="00A80F43"/>
    <w:rsid w:val="00A82DDF"/>
    <w:rsid w:val="00A91B13"/>
    <w:rsid w:val="00AA0CDE"/>
    <w:rsid w:val="00AA69A5"/>
    <w:rsid w:val="00AB3639"/>
    <w:rsid w:val="00AB580A"/>
    <w:rsid w:val="00AC4A03"/>
    <w:rsid w:val="00AE12CD"/>
    <w:rsid w:val="00AE1E6C"/>
    <w:rsid w:val="00AE70EE"/>
    <w:rsid w:val="00AE7151"/>
    <w:rsid w:val="00AF2450"/>
    <w:rsid w:val="00AF2616"/>
    <w:rsid w:val="00AF650A"/>
    <w:rsid w:val="00AF721F"/>
    <w:rsid w:val="00B001A1"/>
    <w:rsid w:val="00B075E0"/>
    <w:rsid w:val="00B124AF"/>
    <w:rsid w:val="00B1452C"/>
    <w:rsid w:val="00B17294"/>
    <w:rsid w:val="00B330F9"/>
    <w:rsid w:val="00B408F8"/>
    <w:rsid w:val="00B416D5"/>
    <w:rsid w:val="00B451C5"/>
    <w:rsid w:val="00B725ED"/>
    <w:rsid w:val="00B80231"/>
    <w:rsid w:val="00B82E50"/>
    <w:rsid w:val="00B8334A"/>
    <w:rsid w:val="00B93922"/>
    <w:rsid w:val="00B95E73"/>
    <w:rsid w:val="00B965AD"/>
    <w:rsid w:val="00B96CB8"/>
    <w:rsid w:val="00BB397B"/>
    <w:rsid w:val="00BB554A"/>
    <w:rsid w:val="00BC1A15"/>
    <w:rsid w:val="00BC4916"/>
    <w:rsid w:val="00BC4E12"/>
    <w:rsid w:val="00BC552E"/>
    <w:rsid w:val="00BC6D2B"/>
    <w:rsid w:val="00BD5547"/>
    <w:rsid w:val="00BE1E58"/>
    <w:rsid w:val="00BE49AE"/>
    <w:rsid w:val="00C022BF"/>
    <w:rsid w:val="00C1559E"/>
    <w:rsid w:val="00C25297"/>
    <w:rsid w:val="00C30F14"/>
    <w:rsid w:val="00C35019"/>
    <w:rsid w:val="00C3628D"/>
    <w:rsid w:val="00C40488"/>
    <w:rsid w:val="00C51622"/>
    <w:rsid w:val="00C55201"/>
    <w:rsid w:val="00C67EB8"/>
    <w:rsid w:val="00C74B59"/>
    <w:rsid w:val="00C75969"/>
    <w:rsid w:val="00C919D0"/>
    <w:rsid w:val="00C95497"/>
    <w:rsid w:val="00C967F3"/>
    <w:rsid w:val="00C97D62"/>
    <w:rsid w:val="00CA044C"/>
    <w:rsid w:val="00CA10B5"/>
    <w:rsid w:val="00CA736E"/>
    <w:rsid w:val="00CB7B82"/>
    <w:rsid w:val="00CC0ED4"/>
    <w:rsid w:val="00CC28E6"/>
    <w:rsid w:val="00CD2B6C"/>
    <w:rsid w:val="00CD6AF1"/>
    <w:rsid w:val="00CE106A"/>
    <w:rsid w:val="00CE23C3"/>
    <w:rsid w:val="00CF3A64"/>
    <w:rsid w:val="00D049EB"/>
    <w:rsid w:val="00D055AB"/>
    <w:rsid w:val="00D059E3"/>
    <w:rsid w:val="00D210D9"/>
    <w:rsid w:val="00D24527"/>
    <w:rsid w:val="00D25C77"/>
    <w:rsid w:val="00D30B51"/>
    <w:rsid w:val="00D334F5"/>
    <w:rsid w:val="00D479B5"/>
    <w:rsid w:val="00D539A0"/>
    <w:rsid w:val="00D53DAF"/>
    <w:rsid w:val="00D56F14"/>
    <w:rsid w:val="00D5766B"/>
    <w:rsid w:val="00D57F51"/>
    <w:rsid w:val="00D70E2B"/>
    <w:rsid w:val="00D7194A"/>
    <w:rsid w:val="00D72B69"/>
    <w:rsid w:val="00D77BE0"/>
    <w:rsid w:val="00D848EE"/>
    <w:rsid w:val="00D909A6"/>
    <w:rsid w:val="00DA0DE3"/>
    <w:rsid w:val="00DB4902"/>
    <w:rsid w:val="00DC12A5"/>
    <w:rsid w:val="00DC52B7"/>
    <w:rsid w:val="00DC78ED"/>
    <w:rsid w:val="00DD49DE"/>
    <w:rsid w:val="00DE1235"/>
    <w:rsid w:val="00DE4139"/>
    <w:rsid w:val="00DF7287"/>
    <w:rsid w:val="00E024C4"/>
    <w:rsid w:val="00E05424"/>
    <w:rsid w:val="00E0625A"/>
    <w:rsid w:val="00E064E9"/>
    <w:rsid w:val="00E065C1"/>
    <w:rsid w:val="00E1121F"/>
    <w:rsid w:val="00E12F46"/>
    <w:rsid w:val="00E130CF"/>
    <w:rsid w:val="00E13D99"/>
    <w:rsid w:val="00E17E1A"/>
    <w:rsid w:val="00E25A6F"/>
    <w:rsid w:val="00E375FA"/>
    <w:rsid w:val="00E37670"/>
    <w:rsid w:val="00E37677"/>
    <w:rsid w:val="00E42154"/>
    <w:rsid w:val="00E53612"/>
    <w:rsid w:val="00E53C84"/>
    <w:rsid w:val="00E60675"/>
    <w:rsid w:val="00E61358"/>
    <w:rsid w:val="00E61963"/>
    <w:rsid w:val="00E62A6D"/>
    <w:rsid w:val="00E63D16"/>
    <w:rsid w:val="00E67D4B"/>
    <w:rsid w:val="00E72E30"/>
    <w:rsid w:val="00E7596E"/>
    <w:rsid w:val="00E76550"/>
    <w:rsid w:val="00E76633"/>
    <w:rsid w:val="00E80B1D"/>
    <w:rsid w:val="00E81169"/>
    <w:rsid w:val="00E868AA"/>
    <w:rsid w:val="00E9002F"/>
    <w:rsid w:val="00E91E83"/>
    <w:rsid w:val="00E95BCA"/>
    <w:rsid w:val="00EC1A47"/>
    <w:rsid w:val="00EC6C3E"/>
    <w:rsid w:val="00EC747C"/>
    <w:rsid w:val="00ED2CFE"/>
    <w:rsid w:val="00ED39A1"/>
    <w:rsid w:val="00ED43C9"/>
    <w:rsid w:val="00EE25E5"/>
    <w:rsid w:val="00EE396B"/>
    <w:rsid w:val="00EF1F67"/>
    <w:rsid w:val="00EF3BFE"/>
    <w:rsid w:val="00EF765E"/>
    <w:rsid w:val="00F00F97"/>
    <w:rsid w:val="00F07D33"/>
    <w:rsid w:val="00F11195"/>
    <w:rsid w:val="00F129F6"/>
    <w:rsid w:val="00F171B9"/>
    <w:rsid w:val="00F22A37"/>
    <w:rsid w:val="00F25F7E"/>
    <w:rsid w:val="00F30603"/>
    <w:rsid w:val="00F30728"/>
    <w:rsid w:val="00F31FB9"/>
    <w:rsid w:val="00F34E15"/>
    <w:rsid w:val="00F35077"/>
    <w:rsid w:val="00F4017B"/>
    <w:rsid w:val="00F44D58"/>
    <w:rsid w:val="00F45263"/>
    <w:rsid w:val="00F535DB"/>
    <w:rsid w:val="00F556E9"/>
    <w:rsid w:val="00F566E1"/>
    <w:rsid w:val="00F7598A"/>
    <w:rsid w:val="00F877E1"/>
    <w:rsid w:val="00F95F1B"/>
    <w:rsid w:val="00FA5FFD"/>
    <w:rsid w:val="00FC113C"/>
    <w:rsid w:val="00FC1F0E"/>
    <w:rsid w:val="00FC2DDB"/>
    <w:rsid w:val="00FC3539"/>
    <w:rsid w:val="00FD2826"/>
    <w:rsid w:val="00FD2D21"/>
    <w:rsid w:val="00FD3D1C"/>
    <w:rsid w:val="00FD54E4"/>
    <w:rsid w:val="00FE41B3"/>
    <w:rsid w:val="00FE4A94"/>
    <w:rsid w:val="00FE71C0"/>
    <w:rsid w:val="00FF24B5"/>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1856E6F"/>
  <w15:chartTrackingRefBased/>
  <w15:docId w15:val="{B303F4CF-7530-41B4-9AEA-F4DFD1D0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ork">
    <w:name w:val="Paperwork"/>
    <w:basedOn w:val="Normal"/>
    <w:pPr>
      <w:overflowPunct w:val="0"/>
      <w:autoSpaceDE w:val="0"/>
      <w:autoSpaceDN w:val="0"/>
      <w:adjustRightInd w:val="0"/>
      <w:ind w:left="720" w:hanging="720"/>
      <w:textAlignment w:val="baseline"/>
    </w:pPr>
    <w:rPr>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rPr>
      <w:rFonts w:ascii="Times New Roman" w:hAnsi="Times New Roman" w:cs="Times New Roman"/>
    </w:rPr>
  </w:style>
  <w:style w:type="paragraph" w:styleId="PlainText">
    <w:name w:val="Plain Text"/>
    <w:basedOn w:val="Normal"/>
    <w:pPr>
      <w:widowControl w:val="0"/>
      <w:overflowPunct w:val="0"/>
      <w:autoSpaceDE w:val="0"/>
      <w:autoSpaceDN w:val="0"/>
      <w:adjustRightInd w:val="0"/>
      <w:textAlignment w:val="baseline"/>
    </w:pPr>
    <w:rPr>
      <w:rFonts w:ascii="Courier New" w:hAnsi="Courier New" w:cs="Courier New"/>
      <w:sz w:val="20"/>
      <w:szCs w:val="20"/>
    </w:rPr>
  </w:style>
  <w:style w:type="paragraph" w:styleId="BodyTextIndent">
    <w:name w:val="Body Text Indent"/>
    <w:basedOn w:val="Normal"/>
    <w:pPr>
      <w:overflowPunct w:val="0"/>
      <w:autoSpaceDE w:val="0"/>
      <w:autoSpaceDN w:val="0"/>
      <w:adjustRightInd w:val="0"/>
      <w:spacing w:after="120" w:line="480" w:lineRule="auto"/>
      <w:textAlignment w:val="baseline"/>
    </w:pPr>
    <w:rPr>
      <w:sz w:val="20"/>
      <w:szCs w:val="20"/>
    </w:rPr>
  </w:style>
  <w:style w:type="paragraph" w:styleId="BalloonText">
    <w:name w:val="Balloon Text"/>
    <w:basedOn w:val="Normal"/>
    <w:link w:val="BalloonTextChar"/>
    <w:rsid w:val="0064761A"/>
    <w:rPr>
      <w:rFonts w:ascii="Tahoma" w:hAnsi="Tahoma" w:cs="Tahoma"/>
      <w:sz w:val="16"/>
      <w:szCs w:val="16"/>
    </w:rPr>
  </w:style>
  <w:style w:type="character" w:customStyle="1" w:styleId="BalloonTextChar">
    <w:name w:val="Balloon Text Char"/>
    <w:link w:val="BalloonText"/>
    <w:rsid w:val="0064761A"/>
    <w:rPr>
      <w:rFonts w:ascii="Tahoma" w:hAnsi="Tahoma" w:cs="Tahoma"/>
      <w:sz w:val="16"/>
      <w:szCs w:val="16"/>
    </w:rPr>
  </w:style>
  <w:style w:type="character" w:styleId="CommentReference">
    <w:name w:val="annotation reference"/>
    <w:uiPriority w:val="99"/>
    <w:rsid w:val="00904EFD"/>
    <w:rPr>
      <w:sz w:val="16"/>
      <w:szCs w:val="16"/>
    </w:rPr>
  </w:style>
  <w:style w:type="paragraph" w:styleId="CommentText">
    <w:name w:val="annotation text"/>
    <w:basedOn w:val="Normal"/>
    <w:link w:val="CommentTextChar"/>
    <w:rsid w:val="00904EFD"/>
    <w:rPr>
      <w:sz w:val="20"/>
      <w:szCs w:val="20"/>
    </w:rPr>
  </w:style>
  <w:style w:type="character" w:customStyle="1" w:styleId="CommentTextChar">
    <w:name w:val="Comment Text Char"/>
    <w:basedOn w:val="DefaultParagraphFont"/>
    <w:link w:val="CommentText"/>
    <w:rsid w:val="00904EFD"/>
  </w:style>
  <w:style w:type="paragraph" w:styleId="CommentSubject">
    <w:name w:val="annotation subject"/>
    <w:basedOn w:val="CommentText"/>
    <w:next w:val="CommentText"/>
    <w:link w:val="CommentSubjectChar"/>
    <w:rsid w:val="00904EFD"/>
    <w:rPr>
      <w:b/>
      <w:bCs/>
    </w:rPr>
  </w:style>
  <w:style w:type="character" w:customStyle="1" w:styleId="CommentSubjectChar">
    <w:name w:val="Comment Subject Char"/>
    <w:link w:val="CommentSubject"/>
    <w:rsid w:val="00904EFD"/>
    <w:rPr>
      <w:b/>
      <w:bCs/>
    </w:rPr>
  </w:style>
  <w:style w:type="paragraph" w:styleId="Header">
    <w:name w:val="header"/>
    <w:basedOn w:val="Normal"/>
    <w:link w:val="HeaderChar"/>
    <w:rsid w:val="0040473F"/>
    <w:pPr>
      <w:tabs>
        <w:tab w:val="center" w:pos="4680"/>
        <w:tab w:val="right" w:pos="9360"/>
      </w:tabs>
    </w:pPr>
  </w:style>
  <w:style w:type="character" w:customStyle="1" w:styleId="HeaderChar">
    <w:name w:val="Header Char"/>
    <w:link w:val="Header"/>
    <w:rsid w:val="0040473F"/>
    <w:rPr>
      <w:sz w:val="24"/>
      <w:szCs w:val="24"/>
    </w:rPr>
  </w:style>
  <w:style w:type="character" w:styleId="Hyperlink">
    <w:name w:val="Hyperlink"/>
    <w:rsid w:val="0057074B"/>
    <w:rPr>
      <w:color w:val="0000FF"/>
      <w:u w:val="single"/>
    </w:rPr>
  </w:style>
  <w:style w:type="character" w:styleId="Mention">
    <w:name w:val="Mention"/>
    <w:basedOn w:val="DefaultParagraphFont"/>
    <w:uiPriority w:val="99"/>
    <w:semiHidden/>
    <w:unhideWhenUsed/>
    <w:rsid w:val="004016D2"/>
    <w:rPr>
      <w:color w:val="2B579A"/>
      <w:shd w:val="clear" w:color="auto" w:fill="E6E6E6"/>
    </w:rPr>
  </w:style>
  <w:style w:type="character" w:styleId="FollowedHyperlink">
    <w:name w:val="FollowedHyperlink"/>
    <w:basedOn w:val="DefaultParagraphFont"/>
    <w:rsid w:val="00502820"/>
    <w:rPr>
      <w:color w:val="954F72" w:themeColor="followedHyperlink"/>
      <w:u w:val="single"/>
    </w:rPr>
  </w:style>
  <w:style w:type="paragraph" w:styleId="Revision">
    <w:name w:val="Revision"/>
    <w:hidden/>
    <w:uiPriority w:val="99"/>
    <w:semiHidden/>
    <w:rsid w:val="001F543E"/>
    <w:rPr>
      <w:sz w:val="24"/>
      <w:szCs w:val="24"/>
    </w:rPr>
  </w:style>
  <w:style w:type="character" w:styleId="UnresolvedMention">
    <w:name w:val="Unresolved Mention"/>
    <w:basedOn w:val="DefaultParagraphFont"/>
    <w:uiPriority w:val="99"/>
    <w:semiHidden/>
    <w:unhideWhenUsed/>
    <w:rsid w:val="00ED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509986">
      <w:bodyDiv w:val="1"/>
      <w:marLeft w:val="0"/>
      <w:marRight w:val="0"/>
      <w:marTop w:val="0"/>
      <w:marBottom w:val="0"/>
      <w:divBdr>
        <w:top w:val="none" w:sz="0" w:space="0" w:color="auto"/>
        <w:left w:val="none" w:sz="0" w:space="0" w:color="auto"/>
        <w:bottom w:val="none" w:sz="0" w:space="0" w:color="auto"/>
        <w:right w:val="none" w:sz="0" w:space="0" w:color="auto"/>
      </w:divBdr>
    </w:div>
    <w:div w:id="873882774">
      <w:bodyDiv w:val="1"/>
      <w:marLeft w:val="0"/>
      <w:marRight w:val="0"/>
      <w:marTop w:val="0"/>
      <w:marBottom w:val="0"/>
      <w:divBdr>
        <w:top w:val="none" w:sz="0" w:space="0" w:color="auto"/>
        <w:left w:val="none" w:sz="0" w:space="0" w:color="auto"/>
        <w:bottom w:val="none" w:sz="0" w:space="0" w:color="auto"/>
        <w:right w:val="none" w:sz="0" w:space="0" w:color="auto"/>
      </w:divBdr>
    </w:div>
    <w:div w:id="938174926">
      <w:bodyDiv w:val="1"/>
      <w:marLeft w:val="0"/>
      <w:marRight w:val="0"/>
      <w:marTop w:val="0"/>
      <w:marBottom w:val="0"/>
      <w:divBdr>
        <w:top w:val="none" w:sz="0" w:space="0" w:color="auto"/>
        <w:left w:val="none" w:sz="0" w:space="0" w:color="auto"/>
        <w:bottom w:val="none" w:sz="0" w:space="0" w:color="auto"/>
        <w:right w:val="none" w:sz="0" w:space="0" w:color="auto"/>
      </w:divBdr>
    </w:div>
    <w:div w:id="1110784721">
      <w:bodyDiv w:val="1"/>
      <w:marLeft w:val="0"/>
      <w:marRight w:val="0"/>
      <w:marTop w:val="0"/>
      <w:marBottom w:val="0"/>
      <w:divBdr>
        <w:top w:val="none" w:sz="0" w:space="0" w:color="auto"/>
        <w:left w:val="none" w:sz="0" w:space="0" w:color="auto"/>
        <w:bottom w:val="none" w:sz="0" w:space="0" w:color="auto"/>
        <w:right w:val="none" w:sz="0" w:space="0" w:color="auto"/>
      </w:divBdr>
    </w:div>
    <w:div w:id="1561283453">
      <w:bodyDiv w:val="1"/>
      <w:marLeft w:val="0"/>
      <w:marRight w:val="0"/>
      <w:marTop w:val="0"/>
      <w:marBottom w:val="0"/>
      <w:divBdr>
        <w:top w:val="none" w:sz="0" w:space="0" w:color="auto"/>
        <w:left w:val="none" w:sz="0" w:space="0" w:color="auto"/>
        <w:bottom w:val="none" w:sz="0" w:space="0" w:color="auto"/>
        <w:right w:val="none" w:sz="0" w:space="0" w:color="auto"/>
      </w:divBdr>
      <w:divsChild>
        <w:div w:id="1567955455">
          <w:marLeft w:val="0"/>
          <w:marRight w:val="0"/>
          <w:marTop w:val="0"/>
          <w:marBottom w:val="0"/>
          <w:divBdr>
            <w:top w:val="none" w:sz="0" w:space="0" w:color="auto"/>
            <w:left w:val="none" w:sz="0" w:space="0" w:color="auto"/>
            <w:bottom w:val="none" w:sz="0" w:space="0" w:color="auto"/>
            <w:right w:val="none" w:sz="0" w:space="0" w:color="auto"/>
          </w:divBdr>
          <w:divsChild>
            <w:div w:id="1681928561">
              <w:marLeft w:val="0"/>
              <w:marRight w:val="0"/>
              <w:marTop w:val="0"/>
              <w:marBottom w:val="0"/>
              <w:divBdr>
                <w:top w:val="none" w:sz="0" w:space="0" w:color="auto"/>
                <w:left w:val="none" w:sz="0" w:space="0" w:color="auto"/>
                <w:bottom w:val="none" w:sz="0" w:space="0" w:color="auto"/>
                <w:right w:val="none" w:sz="0" w:space="0" w:color="auto"/>
              </w:divBdr>
              <w:divsChild>
                <w:div w:id="266231524">
                  <w:marLeft w:val="0"/>
                  <w:marRight w:val="0"/>
                  <w:marTop w:val="0"/>
                  <w:marBottom w:val="0"/>
                  <w:divBdr>
                    <w:top w:val="none" w:sz="0" w:space="0" w:color="auto"/>
                    <w:left w:val="none" w:sz="0" w:space="0" w:color="auto"/>
                    <w:bottom w:val="none" w:sz="0" w:space="0" w:color="auto"/>
                    <w:right w:val="none" w:sz="0" w:space="0" w:color="auto"/>
                  </w:divBdr>
                  <w:divsChild>
                    <w:div w:id="8083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GS_h.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0-04-09/pdf/2020-07465.pdf"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4995254D51D74F86CDF0434C71C393" ma:contentTypeVersion="0" ma:contentTypeDescription="Create a new document." ma:contentTypeScope="" ma:versionID="307419e084776b1a9780776a6d92be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1F581-E9D7-4165-86E0-D1B83D0B66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7738E-7CBE-4A03-822C-28EBA8B2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96E8026-7803-43BB-ADA8-6CF9A0390A1E}">
  <ds:schemaRefs>
    <ds:schemaRef ds:uri="http://schemas.openxmlformats.org/officeDocument/2006/bibliography"/>
  </ds:schemaRefs>
</ds:datastoreItem>
</file>

<file path=customXml/itemProps4.xml><?xml version="1.0" encoding="utf-8"?>
<ds:datastoreItem xmlns:ds="http://schemas.openxmlformats.org/officeDocument/2006/customXml" ds:itemID="{3195602A-37A4-4C54-B8A6-9F44606E9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2742</Words>
  <Characters>16655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Housing and Urban Development</Company>
  <LinksUpToDate>false</LinksUpToDate>
  <CharactersWithSpaces>19359</CharactersWithSpaces>
  <SharedDoc>false</SharedDoc>
  <HLinks>
    <vt:vector size="6" baseType="variant">
      <vt:variant>
        <vt:i4>327680</vt:i4>
      </vt:variant>
      <vt:variant>
        <vt:i4>0</vt:i4>
      </vt:variant>
      <vt:variant>
        <vt:i4>0</vt:i4>
      </vt:variant>
      <vt:variant>
        <vt:i4>5</vt:i4>
      </vt:variant>
      <vt:variant>
        <vt:lpwstr>https://federalregister.gov/a/2014-20988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Pinzer, Eugene A</dc:creator>
  <cp:keywords/>
  <cp:lastModifiedBy>Guido, Anna P</cp:lastModifiedBy>
  <cp:revision>2</cp:revision>
  <cp:lastPrinted>2017-11-02T14:21:00Z</cp:lastPrinted>
  <dcterms:created xsi:type="dcterms:W3CDTF">2020-06-26T18:23:00Z</dcterms:created>
  <dcterms:modified xsi:type="dcterms:W3CDTF">2020-06-26T18:23:00Z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