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21CA" w:rsidRDefault="00D221CA" w14:paraId="19C3769E" w14:textId="77777777">
      <w:pPr>
        <w:pStyle w:val="Title"/>
      </w:pPr>
      <w:r>
        <w:t>Paperwork Reduction Act Submission</w:t>
      </w:r>
    </w:p>
    <w:p w:rsidR="00D221CA" w:rsidRDefault="00D221CA" w14:paraId="7AAA5008" w14:textId="77777777">
      <w:pPr>
        <w:pBdr>
          <w:top w:val="single" w:color="auto" w:sz="6" w:space="4"/>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725 Seventeenth St. </w:t>
      </w:r>
      <w:r w:rsidR="00D41FB3">
        <w:rPr>
          <w:sz w:val="18"/>
        </w:rPr>
        <w:t>NW, Washington</w:t>
      </w:r>
      <w:r>
        <w:rPr>
          <w:sz w:val="18"/>
        </w:rPr>
        <w:t>, DC  20503.</w:t>
      </w:r>
    </w:p>
    <w:tbl>
      <w:tblPr>
        <w:tblW w:w="0" w:type="auto"/>
        <w:tblLayout w:type="fixed"/>
        <w:tblLook w:val="0000" w:firstRow="0" w:lastRow="0" w:firstColumn="0" w:lastColumn="0" w:noHBand="0" w:noVBand="0"/>
      </w:tblPr>
      <w:tblGrid>
        <w:gridCol w:w="5508"/>
        <w:gridCol w:w="1920"/>
        <w:gridCol w:w="1800"/>
        <w:gridCol w:w="1788"/>
      </w:tblGrid>
      <w:tr w:rsidR="00D221CA" w14:paraId="22632C20" w14:textId="77777777">
        <w:tc>
          <w:tcPr>
            <w:tcW w:w="7428" w:type="dxa"/>
            <w:gridSpan w:val="2"/>
            <w:tcBorders>
              <w:top w:val="single" w:color="auto" w:sz="6" w:space="0"/>
            </w:tcBorders>
          </w:tcPr>
          <w:p w:rsidR="00D221CA" w:rsidRDefault="00D221CA" w14:paraId="72CD2B6E" w14:textId="77777777">
            <w:pPr>
              <w:rPr>
                <w:rFonts w:ascii="Helvetica" w:hAnsi="Helvetica"/>
                <w:sz w:val="14"/>
              </w:rPr>
            </w:pPr>
            <w:r>
              <w:rPr>
                <w:rFonts w:ascii="Helvetica" w:hAnsi="Helvetica"/>
                <w:sz w:val="16"/>
              </w:rPr>
              <w:t>1</w:t>
            </w:r>
            <w:r>
              <w:rPr>
                <w:rFonts w:ascii="Helvetica" w:hAnsi="Helvetica"/>
                <w:sz w:val="14"/>
              </w:rPr>
              <w:t>. Agency/Subagency Originating Request:</w:t>
            </w:r>
          </w:p>
          <w:p w:rsidR="00D221CA" w:rsidRDefault="00D221CA" w14:paraId="440803C9" w14:textId="77777777">
            <w:pPr>
              <w:ind w:left="120"/>
              <w:rPr>
                <w:rFonts w:ascii="Helvetica" w:hAnsi="Helvetica"/>
                <w:b/>
                <w:sz w:val="18"/>
              </w:rPr>
            </w:pPr>
            <w:r>
              <w:rPr>
                <w:rFonts w:ascii="Helvetica" w:hAnsi="Helvetica"/>
                <w:b/>
                <w:sz w:val="18"/>
              </w:rPr>
              <w:t>U.S. Department of Housing and Urban Development</w:t>
            </w:r>
          </w:p>
          <w:p w:rsidR="00D221CA" w:rsidRDefault="00D221CA" w14:paraId="0286145C" w14:textId="77777777">
            <w:pPr>
              <w:spacing w:before="40" w:after="40"/>
              <w:ind w:left="120"/>
              <w:rPr>
                <w:rFonts w:ascii="Helvetica" w:hAnsi="Helvetica"/>
                <w:color w:val="000080"/>
                <w:sz w:val="18"/>
              </w:rPr>
            </w:pPr>
            <w:r>
              <w:rPr>
                <w:rFonts w:ascii="Helvetica" w:hAnsi="Helvetica"/>
                <w:color w:val="000080"/>
                <w:sz w:val="18"/>
              </w:rPr>
              <w:t>Office of Public and Indian Housing</w:t>
            </w:r>
          </w:p>
          <w:p w:rsidR="00D221CA" w:rsidRDefault="00D221CA" w14:paraId="6CC7B4D5" w14:textId="77777777">
            <w:pPr>
              <w:spacing w:before="40" w:after="40"/>
              <w:ind w:left="120"/>
              <w:rPr>
                <w:rFonts w:ascii="Helvetica" w:hAnsi="Helvetica"/>
                <w:sz w:val="16"/>
              </w:rPr>
            </w:pPr>
          </w:p>
        </w:tc>
        <w:tc>
          <w:tcPr>
            <w:tcW w:w="1800" w:type="dxa"/>
            <w:tcBorders>
              <w:top w:val="single" w:color="auto" w:sz="6" w:space="0"/>
              <w:left w:val="single" w:color="auto" w:sz="6" w:space="0"/>
            </w:tcBorders>
          </w:tcPr>
          <w:p w:rsidR="00D221CA" w:rsidRDefault="00D221CA" w14:paraId="44713E0D" w14:textId="77777777">
            <w:pPr>
              <w:rPr>
                <w:rFonts w:ascii="Helvetica" w:hAnsi="Helvetica"/>
                <w:sz w:val="16"/>
              </w:rPr>
            </w:pPr>
            <w:r>
              <w:rPr>
                <w:rFonts w:ascii="Helvetica" w:hAnsi="Helvetica"/>
                <w:sz w:val="16"/>
              </w:rPr>
              <w:t xml:space="preserve">2. </w:t>
            </w:r>
            <w:r>
              <w:rPr>
                <w:rFonts w:ascii="Helvetica" w:hAnsi="Helvetica"/>
                <w:sz w:val="14"/>
              </w:rPr>
              <w:t>OMB Control Number:</w:t>
            </w:r>
          </w:p>
          <w:p w:rsidR="00D221CA" w:rsidRDefault="00D221CA" w14:paraId="47664E11" w14:textId="77777777">
            <w:pPr>
              <w:spacing w:before="40" w:after="40"/>
              <w:ind w:left="132"/>
              <w:rPr>
                <w:rFonts w:ascii="Helvetica" w:hAnsi="Helvetica"/>
                <w:sz w:val="16"/>
              </w:rPr>
            </w:pPr>
            <w:r>
              <w:rPr>
                <w:rFonts w:ascii="Helvetica" w:hAnsi="Helvetica"/>
                <w:sz w:val="16"/>
              </w:rPr>
              <w:t>a. 2577-0029</w:t>
            </w:r>
          </w:p>
          <w:p w:rsidR="00D221CA" w:rsidRDefault="00D221CA" w14:paraId="3ACDB7BF" w14:textId="77777777">
            <w:pPr>
              <w:ind w:left="-120"/>
              <w:rPr>
                <w:rFonts w:ascii="Helvetica" w:hAnsi="Helvetica"/>
                <w:sz w:val="16"/>
              </w:rPr>
            </w:pPr>
          </w:p>
        </w:tc>
        <w:tc>
          <w:tcPr>
            <w:tcW w:w="1788" w:type="dxa"/>
            <w:tcBorders>
              <w:top w:val="single" w:color="auto" w:sz="6" w:space="0"/>
            </w:tcBorders>
          </w:tcPr>
          <w:p w:rsidR="00D221CA" w:rsidRDefault="00D221CA" w14:paraId="010EDE80" w14:textId="77777777">
            <w:pPr>
              <w:spacing w:before="120"/>
              <w:rPr>
                <w:rFonts w:ascii="Helvetica" w:hAnsi="Helvetica"/>
                <w:sz w:val="18"/>
              </w:rPr>
            </w:pPr>
            <w:r>
              <w:rPr>
                <w:rFonts w:ascii="Helvetica" w:hAnsi="Helvetica"/>
                <w:sz w:val="16"/>
              </w:rPr>
              <w:t xml:space="preserve">b. </w:t>
            </w:r>
            <w:r>
              <w:rPr>
                <w:rFonts w:ascii="Helvetica" w:hAnsi="Helvetica"/>
                <w:b/>
                <w:color w:val="800000"/>
              </w:rPr>
              <w:t xml:space="preserve">  </w:t>
            </w:r>
            <w:r>
              <w:rPr>
                <w:rFonts w:ascii="Helvetica" w:hAnsi="Helvetica"/>
                <w:sz w:val="18"/>
              </w:rPr>
              <w:t>None</w:t>
            </w:r>
          </w:p>
          <w:p w:rsidR="00D221CA" w:rsidP="00561D93" w:rsidRDefault="00D221CA" w14:paraId="327A8C3F" w14:textId="77777777">
            <w:pPr>
              <w:spacing w:before="40" w:after="40"/>
              <w:ind w:left="252"/>
              <w:rPr>
                <w:rFonts w:ascii="Helvetica" w:hAnsi="Helvetica"/>
                <w:bCs/>
                <w:color w:val="000080"/>
              </w:rPr>
            </w:pPr>
            <w:r>
              <w:rPr>
                <w:rFonts w:ascii="Helvetica" w:hAnsi="Helvetica"/>
                <w:sz w:val="16"/>
              </w:rPr>
              <w:t xml:space="preserve"> </w:t>
            </w:r>
          </w:p>
        </w:tc>
      </w:tr>
      <w:tr w:rsidR="00D221CA" w14:paraId="50EAC98B" w14:textId="77777777">
        <w:tc>
          <w:tcPr>
            <w:tcW w:w="5508" w:type="dxa"/>
            <w:tcBorders>
              <w:top w:val="single" w:color="auto" w:sz="6" w:space="0"/>
            </w:tcBorders>
          </w:tcPr>
          <w:p w:rsidR="00D221CA" w:rsidRDefault="00D221CA" w14:paraId="51A0816E" w14:textId="77777777">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D221CA" w:rsidRDefault="00D221CA" w14:paraId="15924B31" w14:textId="77777777">
            <w:pPr>
              <w:numPr>
                <w:ilvl w:val="0"/>
                <w:numId w:val="1"/>
              </w:numPr>
              <w:tabs>
                <w:tab w:val="left" w:pos="240"/>
                <w:tab w:val="left" w:pos="480"/>
              </w:tabs>
              <w:ind w:right="2532"/>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New Collection </w:t>
            </w:r>
          </w:p>
          <w:p w:rsidR="00D221CA" w:rsidRDefault="00FF4C7B" w14:paraId="285B5A17"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name="Check10" w:id="0"/>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bookmarkEnd w:id="0"/>
            <w:r w:rsidR="00D221CA">
              <w:rPr>
                <w:rFonts w:ascii="Helvetica" w:hAnsi="Helvetica"/>
                <w:b/>
                <w:color w:val="800000"/>
              </w:rPr>
              <w:t xml:space="preserve">  </w:t>
            </w:r>
            <w:r w:rsidR="00D221CA">
              <w:rPr>
                <w:rFonts w:ascii="Helvetica" w:hAnsi="Helvetica"/>
                <w:sz w:val="16"/>
              </w:rPr>
              <w:t>Revision of a currently approved collection</w:t>
            </w:r>
          </w:p>
          <w:p w:rsidR="00D221CA" w:rsidRDefault="00D17C92" w14:paraId="539BDC2D"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sidR="00EB271F">
              <w:rPr>
                <w:rFonts w:ascii="Helvetica" w:hAnsi="Helvetica"/>
                <w:b/>
                <w:color w:val="800000"/>
              </w:rPr>
              <w:t xml:space="preserve"> </w:t>
            </w:r>
            <w:r w:rsidR="00D41FB3">
              <w:rPr>
                <w:rFonts w:ascii="Helvetica" w:hAnsi="Helvetica"/>
                <w:b/>
                <w:color w:val="800000"/>
              </w:rPr>
              <w:t xml:space="preserve"> </w:t>
            </w:r>
            <w:r w:rsidR="00D221CA">
              <w:rPr>
                <w:rFonts w:ascii="Helvetica" w:hAnsi="Helvetica"/>
                <w:sz w:val="16"/>
              </w:rPr>
              <w:t>Extension of a currently approved collection</w:t>
            </w:r>
          </w:p>
          <w:p w:rsidR="00D221CA" w:rsidRDefault="00D221CA" w14:paraId="1D5A908D"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Reinstatement, </w:t>
            </w:r>
            <w:r>
              <w:rPr>
                <w:rFonts w:ascii="Helvetica" w:hAnsi="Helvetica"/>
                <w:b/>
                <w:sz w:val="16"/>
              </w:rPr>
              <w:t>without change</w:t>
            </w:r>
            <w:r>
              <w:rPr>
                <w:rFonts w:ascii="Helvetica" w:hAnsi="Helvetica"/>
                <w:sz w:val="16"/>
              </w:rPr>
              <w:t xml:space="preserve">, of previously approved </w:t>
            </w:r>
          </w:p>
          <w:p w:rsidR="00D221CA" w:rsidRDefault="00D221CA" w14:paraId="366841C5" w14:textId="77777777">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D221CA" w:rsidRDefault="00410F7B" w14:paraId="58B00685"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sidR="00D221CA">
              <w:rPr>
                <w:rFonts w:ascii="Helvetica" w:hAnsi="Helvetica"/>
                <w:b/>
                <w:color w:val="800000"/>
              </w:rPr>
              <w:t xml:space="preserve">  </w:t>
            </w:r>
            <w:r w:rsidR="00D221CA">
              <w:rPr>
                <w:rFonts w:ascii="Helvetica" w:hAnsi="Helvetica"/>
                <w:sz w:val="16"/>
              </w:rPr>
              <w:t xml:space="preserve">Reinstatement, </w:t>
            </w:r>
            <w:r w:rsidR="00D221CA">
              <w:rPr>
                <w:rFonts w:ascii="Helvetica" w:hAnsi="Helvetica"/>
                <w:b/>
                <w:sz w:val="16"/>
              </w:rPr>
              <w:t>with change</w:t>
            </w:r>
            <w:r w:rsidR="00D221CA">
              <w:rPr>
                <w:rFonts w:ascii="Helvetica" w:hAnsi="Helvetica"/>
                <w:sz w:val="16"/>
              </w:rPr>
              <w:t xml:space="preserve">, of previously approved collection </w:t>
            </w:r>
          </w:p>
          <w:p w:rsidR="00D221CA" w:rsidRDefault="00D221CA" w14:paraId="73F701FE" w14:textId="77777777">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D221CA" w:rsidRDefault="00D221CA" w14:paraId="661459C5" w14:textId="77777777">
            <w:pPr>
              <w:numPr>
                <w:ilvl w:val="0"/>
                <w:numId w:val="1"/>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Existing collection in use without an OMB control number</w:t>
            </w:r>
          </w:p>
          <w:p w:rsidR="00D221CA" w:rsidRDefault="00D221CA" w14:paraId="35C4B501" w14:textId="77777777">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color="auto" w:sz="6" w:space="0"/>
              <w:left w:val="single" w:color="auto" w:sz="6" w:space="0"/>
            </w:tcBorders>
          </w:tcPr>
          <w:p w:rsidR="00D221CA" w:rsidRDefault="00D221CA" w14:paraId="5660CA6B" w14:textId="77777777">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D221CA" w:rsidRDefault="00D221CA" w14:paraId="5A4249A7" w14:textId="77777777">
            <w:pPr>
              <w:numPr>
                <w:ilvl w:val="0"/>
                <w:numId w:val="2"/>
              </w:numPr>
              <w:tabs>
                <w:tab w:val="left" w:pos="492"/>
                <w:tab w:val="left" w:pos="732"/>
              </w:tabs>
              <w:rPr>
                <w:rFonts w:ascii="Helvetica" w:hAnsi="Helvetica"/>
                <w:sz w:val="16"/>
              </w:rPr>
            </w:pPr>
            <w:r>
              <w:rPr>
                <w:rFonts w:ascii="Helvetica" w:hAnsi="Helvetica"/>
                <w:b/>
              </w:rPr>
              <w:t>X</w:t>
            </w:r>
            <w:r>
              <w:rPr>
                <w:rFonts w:ascii="Helvetica" w:hAnsi="Helvetica"/>
                <w:b/>
                <w:color w:val="800000"/>
              </w:rPr>
              <w:t xml:space="preserve">  </w:t>
            </w:r>
            <w:r>
              <w:rPr>
                <w:rFonts w:ascii="Helvetica" w:hAnsi="Helvetica"/>
                <w:sz w:val="16"/>
              </w:rPr>
              <w:t xml:space="preserve">Regular </w:t>
            </w:r>
          </w:p>
          <w:p w:rsidR="00D221CA" w:rsidRDefault="00D221CA" w14:paraId="3C108341" w14:textId="7777777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name="Text4" w:id="1"/>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1"/>
          </w:p>
          <w:p w:rsidR="00D221CA" w:rsidRDefault="00D221CA" w14:paraId="60882A8E" w14:textId="77777777">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sz w:val="18"/>
              </w:rPr>
              <w:t xml:space="preserve"> </w:t>
            </w:r>
            <w:r>
              <w:rPr>
                <w:rFonts w:ascii="Helvetica" w:hAnsi="Helvetica"/>
                <w:b/>
                <w:color w:val="800000"/>
              </w:rPr>
              <w:t xml:space="preserve"> </w:t>
            </w:r>
            <w:r>
              <w:rPr>
                <w:rFonts w:ascii="Helvetica" w:hAnsi="Helvetica"/>
                <w:sz w:val="16"/>
              </w:rPr>
              <w:t>Delegated</w:t>
            </w:r>
          </w:p>
          <w:p w:rsidR="00D221CA" w:rsidRDefault="00D221CA" w14:paraId="62D57089" w14:textId="77777777">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D221CA" w:rsidRDefault="00D221CA" w14:paraId="314B27A4" w14:textId="77777777">
            <w:pPr>
              <w:tabs>
                <w:tab w:val="left" w:pos="240"/>
              </w:tabs>
              <w:ind w:left="252"/>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Pr>
                <w:rFonts w:ascii="Helvetica" w:hAnsi="Helvetica"/>
                <w:b/>
                <w:sz w:val="18"/>
              </w:rPr>
              <w:t>X</w:t>
            </w:r>
            <w:r>
              <w:rPr>
                <w:rFonts w:ascii="Helvetica" w:hAnsi="Helvetica"/>
                <w:b/>
                <w:color w:val="800000"/>
              </w:rPr>
              <w:t xml:space="preserve"> </w:t>
            </w:r>
            <w:r>
              <w:rPr>
                <w:rFonts w:ascii="Helvetica" w:hAnsi="Helvetica"/>
                <w:sz w:val="18"/>
              </w:rPr>
              <w:t>No</w:t>
            </w:r>
          </w:p>
          <w:p w:rsidR="00D221CA" w:rsidRDefault="00D221CA" w14:paraId="2B3C7953" w14:textId="77777777">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D221CA" w:rsidRDefault="00D221CA" w14:paraId="4A072836" w14:textId="77777777">
            <w:pPr>
              <w:tabs>
                <w:tab w:val="left" w:pos="240"/>
                <w:tab w:val="left" w:pos="3132"/>
              </w:tabs>
              <w:ind w:left="252"/>
              <w:rPr>
                <w:rFonts w:ascii="Helvetica" w:hAnsi="Helvetica"/>
                <w:sz w:val="16"/>
              </w:rPr>
            </w:pPr>
            <w:r>
              <w:rPr>
                <w:rFonts w:ascii="Helvetica" w:hAnsi="Helvetica"/>
                <w:sz w:val="16"/>
              </w:rPr>
              <w:t xml:space="preserve">a. </w:t>
            </w:r>
            <w:r>
              <w:rPr>
                <w:rFonts w:ascii="Helvetica" w:hAnsi="Helvetica"/>
                <w:b/>
                <w:sz w:val="18"/>
              </w:rPr>
              <w:t>X</w:t>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D221CA" w:rsidRDefault="00D221CA" w14:paraId="0F9E8F43" w14:textId="77777777">
            <w:pPr>
              <w:tabs>
                <w:tab w:val="left" w:pos="3252"/>
              </w:tabs>
              <w:spacing w:after="60"/>
              <w:rPr>
                <w:rFonts w:ascii="Helvetica" w:hAnsi="Helvetica"/>
                <w:color w:val="000080"/>
                <w:sz w:val="16"/>
              </w:rPr>
            </w:pPr>
            <w:r>
              <w:rPr>
                <w:rFonts w:ascii="Helvetica" w:hAnsi="Helvetica"/>
                <w:sz w:val="18"/>
              </w:rPr>
              <w:tab/>
              <w:t xml:space="preserve"> </w:t>
            </w:r>
            <w:r>
              <w:rPr>
                <w:rFonts w:ascii="Helvetica" w:hAnsi="Helvetica"/>
                <w:color w:val="000080"/>
                <w:sz w:val="18"/>
              </w:rPr>
              <w:fldChar w:fldCharType="begin">
                <w:ffData>
                  <w:name w:val="Text5"/>
                  <w:enabled/>
                  <w:calcOnExit w:val="0"/>
                  <w:textInput/>
                </w:ffData>
              </w:fldChar>
            </w:r>
            <w:bookmarkStart w:name="Text5" w:id="2"/>
            <w:r>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noProof/>
                <w:color w:val="000080"/>
                <w:sz w:val="18"/>
              </w:rPr>
              <w:t> </w:t>
            </w:r>
            <w:r>
              <w:rPr>
                <w:rFonts w:ascii="Helvetica" w:hAnsi="Helvetica"/>
                <w:color w:val="000080"/>
                <w:sz w:val="18"/>
              </w:rPr>
              <w:fldChar w:fldCharType="end"/>
            </w:r>
            <w:bookmarkEnd w:id="2"/>
          </w:p>
        </w:tc>
      </w:tr>
    </w:tbl>
    <w:p w:rsidR="00D221CA" w:rsidRDefault="00D221CA" w14:paraId="5A42A8EB" w14:textId="77777777">
      <w:pPr>
        <w:pBdr>
          <w:top w:val="single" w:color="auto" w:sz="6" w:space="0"/>
        </w:pBdr>
        <w:tabs>
          <w:tab w:val="left" w:pos="240"/>
        </w:tabs>
        <w:ind w:right="-120"/>
        <w:rPr>
          <w:rFonts w:ascii="Helvetica" w:hAnsi="Helvetica"/>
          <w:sz w:val="16"/>
        </w:rPr>
      </w:pPr>
      <w:r>
        <w:rPr>
          <w:rFonts w:ascii="Helvetica" w:hAnsi="Helvetica"/>
          <w:sz w:val="16"/>
        </w:rPr>
        <w:t xml:space="preserve">7. </w:t>
      </w:r>
      <w:r>
        <w:rPr>
          <w:rFonts w:ascii="Helvetica" w:hAnsi="Helvetica"/>
          <w:sz w:val="14"/>
        </w:rPr>
        <w:t>Title:</w:t>
      </w:r>
    </w:p>
    <w:p w:rsidR="00D221CA" w:rsidRDefault="00CB3C8A" w14:paraId="4A572DE4" w14:textId="77777777">
      <w:pPr>
        <w:tabs>
          <w:tab w:val="left" w:pos="240"/>
        </w:tabs>
        <w:spacing w:after="40"/>
        <w:ind w:left="120" w:right="-120"/>
        <w:rPr>
          <w:rFonts w:ascii="Helvetica" w:hAnsi="Helvetica"/>
          <w:b/>
          <w:color w:val="000080"/>
          <w:sz w:val="18"/>
        </w:rPr>
      </w:pPr>
      <w:r>
        <w:rPr>
          <w:rFonts w:ascii="Helvetica" w:hAnsi="Helvetica"/>
          <w:b/>
          <w:color w:val="000080"/>
          <w:sz w:val="18"/>
        </w:rPr>
        <w:t xml:space="preserve">Allocation of Operating </w:t>
      </w:r>
      <w:r w:rsidR="00BA4292">
        <w:rPr>
          <w:rFonts w:ascii="Helvetica" w:hAnsi="Helvetica"/>
          <w:b/>
          <w:color w:val="000080"/>
          <w:sz w:val="18"/>
        </w:rPr>
        <w:t>Fund Grant</w:t>
      </w:r>
      <w:r>
        <w:rPr>
          <w:rFonts w:ascii="Helvetica" w:hAnsi="Helvetica"/>
          <w:b/>
          <w:color w:val="000080"/>
          <w:sz w:val="18"/>
        </w:rPr>
        <w:t xml:space="preserve"> under the Operating Fund Formula:  Data Collection</w:t>
      </w:r>
    </w:p>
    <w:p w:rsidR="00D221CA" w:rsidRDefault="00D221CA" w14:paraId="0D885A99" w14:textId="77777777">
      <w:pPr>
        <w:tabs>
          <w:tab w:val="left" w:pos="240"/>
        </w:tabs>
        <w:spacing w:after="40"/>
        <w:ind w:left="120" w:right="-120"/>
        <w:rPr>
          <w:rFonts w:ascii="Helvetica" w:hAnsi="Helvetica"/>
          <w:sz w:val="18"/>
        </w:rPr>
      </w:pPr>
    </w:p>
    <w:p w:rsidR="00D221CA" w:rsidRDefault="00D221CA" w14:paraId="43086018" w14:textId="77777777">
      <w:pPr>
        <w:pBdr>
          <w:top w:val="single" w:color="auto" w:sz="6" w:space="0"/>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D221CA" w:rsidRDefault="00D221CA" w14:paraId="335B619F" w14:textId="77777777">
      <w:pPr>
        <w:spacing w:after="40"/>
        <w:ind w:right="-120"/>
        <w:rPr>
          <w:rFonts w:ascii="Helvetica" w:hAnsi="Helvetica"/>
          <w:sz w:val="18"/>
        </w:rPr>
      </w:pPr>
    </w:p>
    <w:p w:rsidR="00D221CA" w:rsidRDefault="00D221CA" w14:paraId="53BCCFA0" w14:textId="77777777">
      <w:pPr>
        <w:spacing w:after="40"/>
        <w:ind w:right="-120"/>
        <w:rPr>
          <w:rFonts w:ascii="Helvetica" w:hAnsi="Helvetica"/>
          <w:sz w:val="18"/>
        </w:rPr>
      </w:pPr>
      <w:r>
        <w:rPr>
          <w:rFonts w:ascii="Helvetica" w:hAnsi="Helvetica"/>
          <w:sz w:val="18"/>
        </w:rPr>
        <w:t>(1)</w:t>
      </w:r>
      <w:r w:rsidR="000D20DA">
        <w:rPr>
          <w:rFonts w:ascii="Helvetica" w:hAnsi="Helvetica"/>
          <w:sz w:val="18"/>
        </w:rPr>
        <w:t xml:space="preserve"> HUD-52722, (2) HUD-52723 </w:t>
      </w:r>
    </w:p>
    <w:p w:rsidR="00D221CA" w:rsidRDefault="00D221CA" w14:paraId="0D76162E" w14:textId="77777777">
      <w:pPr>
        <w:spacing w:after="40"/>
        <w:ind w:left="120" w:right="-120"/>
        <w:rPr>
          <w:rFonts w:ascii="Helvetica" w:hAnsi="Helvetica"/>
          <w:color w:val="000080"/>
          <w:sz w:val="18"/>
        </w:rPr>
      </w:pPr>
    </w:p>
    <w:p w:rsidR="00D221CA" w:rsidRDefault="00D221CA" w14:paraId="063D8927" w14:textId="77777777">
      <w:pPr>
        <w:pBdr>
          <w:top w:val="single" w:color="auto" w:sz="6" w:space="0"/>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D221CA" w:rsidRDefault="00D221CA" w14:paraId="01C3579E" w14:textId="77777777">
      <w:pPr>
        <w:spacing w:after="40"/>
        <w:ind w:left="120" w:right="-120"/>
        <w:rPr>
          <w:rFonts w:ascii="Helvetica" w:hAnsi="Helvetica"/>
          <w:color w:val="000080"/>
          <w:sz w:val="18"/>
        </w:rPr>
      </w:pPr>
      <w:r>
        <w:rPr>
          <w:rFonts w:ascii="Helvetica" w:hAnsi="Helvetica"/>
          <w:sz w:val="18"/>
        </w:rPr>
        <w:t xml:space="preserve">Housing, public housing, operating </w:t>
      </w:r>
      <w:r w:rsidR="00BA4292">
        <w:rPr>
          <w:rFonts w:ascii="Helvetica" w:hAnsi="Helvetica"/>
          <w:sz w:val="18"/>
        </w:rPr>
        <w:t>fund grant</w:t>
      </w:r>
      <w:r>
        <w:rPr>
          <w:rFonts w:ascii="Helvetica" w:hAnsi="Helvetica"/>
          <w:sz w:val="18"/>
        </w:rPr>
        <w:t>, utilities</w:t>
      </w:r>
    </w:p>
    <w:p w:rsidR="00D221CA" w:rsidRDefault="00D221CA" w14:paraId="3E04EF96" w14:textId="77777777">
      <w:pPr>
        <w:pBdr>
          <w:top w:val="single" w:color="auto" w:sz="6" w:space="0"/>
        </w:pBdr>
        <w:tabs>
          <w:tab w:val="left" w:pos="240"/>
        </w:tabs>
        <w:ind w:left="-120" w:right="-120"/>
        <w:rPr>
          <w:rFonts w:ascii="Helvetica" w:hAnsi="Helvetica"/>
          <w:sz w:val="16"/>
        </w:rPr>
      </w:pPr>
    </w:p>
    <w:p w:rsidR="00D221CA" w:rsidRDefault="00D221CA" w14:paraId="5E682742" w14:textId="77777777">
      <w:pPr>
        <w:pBdr>
          <w:top w:val="single" w:color="auto" w:sz="6" w:space="0"/>
        </w:pBdr>
        <w:tabs>
          <w:tab w:val="left" w:pos="240"/>
        </w:tabs>
        <w:ind w:left="-120" w:right="-120"/>
        <w:rPr>
          <w:rFonts w:ascii="Helvetica" w:hAnsi="Helvetica"/>
          <w:sz w:val="16"/>
        </w:rPr>
      </w:pPr>
      <w:r>
        <w:rPr>
          <w:rFonts w:ascii="Helvetica" w:hAnsi="Helvetica"/>
          <w:sz w:val="16"/>
        </w:rPr>
        <w:t xml:space="preserve">10. </w:t>
      </w:r>
      <w:r>
        <w:rPr>
          <w:rFonts w:ascii="Helvetica" w:hAnsi="Helvetica"/>
          <w:sz w:val="14"/>
        </w:rPr>
        <w:t xml:space="preserve">Abstract:  </w:t>
      </w:r>
      <w:r>
        <w:rPr>
          <w:rFonts w:ascii="Helvetica" w:hAnsi="Helvetica"/>
          <w:sz w:val="16"/>
        </w:rPr>
        <w:t>Public Housing Agencies (PHAs) use this information in budget submissions which are reviewed and approved by HUD field offices as the</w:t>
      </w:r>
    </w:p>
    <w:p w:rsidR="00D221CA" w:rsidRDefault="00D221CA" w14:paraId="5CB6F0AE" w14:textId="77777777">
      <w:pPr>
        <w:pBdr>
          <w:top w:val="single" w:color="auto" w:sz="6" w:space="0"/>
        </w:pBdr>
        <w:tabs>
          <w:tab w:val="left" w:pos="240"/>
        </w:tabs>
        <w:ind w:left="-120" w:right="-120"/>
        <w:rPr>
          <w:rFonts w:ascii="Helvetica" w:hAnsi="Helvetica"/>
          <w:sz w:val="16"/>
        </w:rPr>
      </w:pPr>
      <w:r>
        <w:rPr>
          <w:rFonts w:ascii="Helvetica" w:hAnsi="Helvetica"/>
          <w:sz w:val="16"/>
        </w:rPr>
        <w:t xml:space="preserve">basis for obligating operating </w:t>
      </w:r>
      <w:r w:rsidR="00D17C92">
        <w:rPr>
          <w:rFonts w:ascii="Helvetica" w:hAnsi="Helvetica"/>
          <w:sz w:val="16"/>
        </w:rPr>
        <w:t>grants</w:t>
      </w:r>
      <w:r>
        <w:rPr>
          <w:rFonts w:ascii="Helvetica" w:hAnsi="Helvetica"/>
          <w:sz w:val="16"/>
        </w:rPr>
        <w:t xml:space="preserve">.  This information is necessary to calculate the eligibility for operating </w:t>
      </w:r>
      <w:r w:rsidR="00D17C92">
        <w:rPr>
          <w:rFonts w:ascii="Helvetica" w:hAnsi="Helvetica"/>
          <w:sz w:val="16"/>
        </w:rPr>
        <w:t>grants</w:t>
      </w:r>
      <w:r>
        <w:rPr>
          <w:rFonts w:ascii="Helvetica" w:hAnsi="Helvetica"/>
          <w:sz w:val="16"/>
        </w:rPr>
        <w:t xml:space="preserve"> under the Operating Fund Program </w:t>
      </w:r>
    </w:p>
    <w:p w:rsidR="00D221CA" w:rsidRDefault="00D221CA" w14:paraId="713C3E04" w14:textId="77777777">
      <w:pPr>
        <w:pBdr>
          <w:top w:val="single" w:color="auto" w:sz="6" w:space="0"/>
        </w:pBdr>
        <w:tabs>
          <w:tab w:val="left" w:pos="240"/>
        </w:tabs>
        <w:ind w:left="-120" w:right="-120"/>
        <w:rPr>
          <w:rFonts w:ascii="Helvetica" w:hAnsi="Helvetica"/>
          <w:color w:val="000080"/>
          <w:sz w:val="16"/>
        </w:rPr>
      </w:pPr>
      <w:r>
        <w:rPr>
          <w:rFonts w:ascii="Helvetica" w:hAnsi="Helvetica"/>
          <w:sz w:val="16"/>
        </w:rPr>
        <w:t xml:space="preserve">regulation.  The Operating Fund Program is designed to provide the amount of operating </w:t>
      </w:r>
      <w:r w:rsidR="00BA4292">
        <w:rPr>
          <w:rFonts w:ascii="Helvetica" w:hAnsi="Helvetica"/>
          <w:sz w:val="16"/>
        </w:rPr>
        <w:t>funds</w:t>
      </w:r>
      <w:r>
        <w:rPr>
          <w:rFonts w:ascii="Helvetica" w:hAnsi="Helvetica"/>
          <w:sz w:val="16"/>
        </w:rPr>
        <w:t xml:space="preserve"> that would be needed for well-managed PHAs.  PHAs will submit the information </w:t>
      </w:r>
      <w:r w:rsidR="00CB3C8A">
        <w:rPr>
          <w:rFonts w:ascii="Helvetica" w:hAnsi="Helvetica"/>
          <w:sz w:val="16"/>
        </w:rPr>
        <w:t xml:space="preserve">electronically with </w:t>
      </w:r>
      <w:r w:rsidR="006A7448">
        <w:rPr>
          <w:rFonts w:ascii="Helvetica" w:hAnsi="Helvetica"/>
          <w:sz w:val="16"/>
        </w:rPr>
        <w:t>the</w:t>
      </w:r>
      <w:r w:rsidR="00CB3C8A">
        <w:rPr>
          <w:rFonts w:ascii="Helvetica" w:hAnsi="Helvetica"/>
          <w:sz w:val="16"/>
        </w:rPr>
        <w:t xml:space="preserve"> form</w:t>
      </w:r>
      <w:r w:rsidR="006A7448">
        <w:rPr>
          <w:rFonts w:ascii="Helvetica" w:hAnsi="Helvetica"/>
          <w:sz w:val="16"/>
        </w:rPr>
        <w:t>s</w:t>
      </w:r>
      <w:r w:rsidR="00CB3C8A">
        <w:rPr>
          <w:rFonts w:ascii="Helvetica" w:hAnsi="Helvetica"/>
          <w:sz w:val="16"/>
        </w:rPr>
        <w:t>.</w:t>
      </w:r>
    </w:p>
    <w:tbl>
      <w:tblPr>
        <w:tblW w:w="0" w:type="auto"/>
        <w:tblLayout w:type="fixed"/>
        <w:tblLook w:val="0000" w:firstRow="0" w:lastRow="0" w:firstColumn="0" w:lastColumn="0" w:noHBand="0" w:noVBand="0"/>
      </w:tblPr>
      <w:tblGrid>
        <w:gridCol w:w="4908"/>
        <w:gridCol w:w="720"/>
        <w:gridCol w:w="5388"/>
      </w:tblGrid>
      <w:tr w:rsidR="00D221CA" w14:paraId="4FEE070D" w14:textId="77777777">
        <w:trPr>
          <w:trHeight w:val="1129"/>
        </w:trPr>
        <w:tc>
          <w:tcPr>
            <w:tcW w:w="5628" w:type="dxa"/>
            <w:gridSpan w:val="2"/>
            <w:tcBorders>
              <w:top w:val="single" w:color="auto" w:sz="6" w:space="0"/>
              <w:right w:val="single" w:color="auto" w:sz="6" w:space="0"/>
            </w:tcBorders>
          </w:tcPr>
          <w:p w:rsidR="00D221CA" w:rsidRDefault="00D221CA" w14:paraId="2F24147E" w14:textId="77777777">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D221CA" w:rsidRDefault="00D221CA" w14:paraId="1632F520"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fldChar w:fldCharType="begin">
                <w:ffData>
                  <w:name w:val="Text17"/>
                  <w:enabled/>
                  <w:calcOnExit w:val="0"/>
                  <w:textInput>
                    <w:maxLength w:val="1"/>
                  </w:textInput>
                </w:ffData>
              </w:fldChar>
            </w:r>
            <w:bookmarkStart w:name="Text17" w:id="3"/>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3"/>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Farms</w:t>
            </w:r>
          </w:p>
          <w:p w:rsidR="00D221CA" w:rsidRDefault="00D221CA" w14:paraId="3BF28DD0" w14:textId="77777777">
            <w:pPr>
              <w:keepLines/>
              <w:pBdr>
                <w:between w:val="single" w:color="auto" w:sz="6" w:space="1"/>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Federal Government</w:t>
            </w:r>
          </w:p>
          <w:p w:rsidR="00D221CA" w:rsidRDefault="00D221CA" w14:paraId="63373F73" w14:textId="77777777">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proofErr w:type="spellStart"/>
            <w:r>
              <w:rPr>
                <w:rFonts w:ascii="Helvetica" w:hAnsi="Helvetica"/>
                <w:b/>
                <w:sz w:val="18"/>
              </w:rPr>
              <w:t>P</w:t>
            </w:r>
            <w:r>
              <w:rPr>
                <w:rFonts w:ascii="Helvetica" w:hAnsi="Helvetica"/>
                <w:sz w:val="16"/>
              </w:rPr>
              <w:t>State</w:t>
            </w:r>
            <w:proofErr w:type="spellEnd"/>
            <w:r>
              <w:rPr>
                <w:rFonts w:ascii="Helvetica" w:hAnsi="Helvetica"/>
                <w:sz w:val="16"/>
              </w:rPr>
              <w:t>, Local or Tribal Government</w:t>
            </w:r>
          </w:p>
        </w:tc>
        <w:tc>
          <w:tcPr>
            <w:tcW w:w="5388" w:type="dxa"/>
            <w:tcBorders>
              <w:top w:val="single" w:color="auto" w:sz="6" w:space="0"/>
              <w:left w:val="nil"/>
            </w:tcBorders>
          </w:tcPr>
          <w:p w:rsidR="00D221CA" w:rsidRDefault="00D221CA" w14:paraId="598A0547" w14:textId="77777777">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D221CA" w:rsidRDefault="00D221CA" w14:paraId="1EF96137" w14:textId="77777777">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Pr>
                <w:rFonts w:ascii="Helvetica" w:hAnsi="Helvetica"/>
                <w:b/>
                <w:sz w:val="18"/>
              </w:rPr>
              <w:fldChar w:fldCharType="begin">
                <w:ffData>
                  <w:name w:val="Text25"/>
                  <w:enabled/>
                  <w:calcOnExit w:val="0"/>
                  <w:textInput>
                    <w:maxLength w:val="1"/>
                  </w:textInput>
                </w:ffData>
              </w:fldChar>
            </w:r>
            <w:bookmarkStart w:name="Text25" w:id="4"/>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4"/>
            <w:r>
              <w:rPr>
                <w:rFonts w:ascii="Helvetica" w:hAnsi="Helvetica"/>
                <w:sz w:val="14"/>
              </w:rPr>
              <w:tab/>
            </w:r>
            <w:r>
              <w:rPr>
                <w:rFonts w:ascii="Helvetica" w:hAnsi="Helvetica"/>
                <w:sz w:val="16"/>
              </w:rPr>
              <w:t>Voluntary</w:t>
            </w:r>
          </w:p>
          <w:p w:rsidR="00D221CA" w:rsidRDefault="00D221CA" w14:paraId="60134E73" w14:textId="77777777">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bCs/>
                <w:sz w:val="16"/>
              </w:rPr>
              <w:t>P</w:t>
            </w:r>
            <w:r>
              <w:rPr>
                <w:rFonts w:ascii="Helvetica" w:hAnsi="Helvetica"/>
                <w:sz w:val="16"/>
              </w:rPr>
              <w:t xml:space="preserve">  Required to obtain or retain benefits</w:t>
            </w:r>
          </w:p>
          <w:p w:rsidR="00D221CA" w:rsidRDefault="00D221CA" w14:paraId="5FB578F4" w14:textId="77777777">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fldChar w:fldCharType="begin">
                <w:ffData>
                  <w:name w:val="Text27"/>
                  <w:enabled/>
                  <w:calcOnExit w:val="0"/>
                  <w:textInput>
                    <w:maxLength w:val="1"/>
                  </w:textInput>
                </w:ffData>
              </w:fldChar>
            </w:r>
            <w:bookmarkStart w:name="Text27" w:id="5"/>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5"/>
            <w:r>
              <w:rPr>
                <w:rFonts w:ascii="Helvetica" w:hAnsi="Helvetica"/>
                <w:sz w:val="16"/>
              </w:rPr>
              <w:tab/>
              <w:t>Mandatory</w:t>
            </w:r>
          </w:p>
        </w:tc>
      </w:tr>
      <w:tr w:rsidR="00D221CA" w14:paraId="52B913D6" w14:textId="77777777">
        <w:trPr>
          <w:trHeight w:val="2146"/>
        </w:trPr>
        <w:tc>
          <w:tcPr>
            <w:tcW w:w="5628" w:type="dxa"/>
            <w:gridSpan w:val="2"/>
            <w:tcBorders>
              <w:top w:val="single" w:color="auto" w:sz="6" w:space="0"/>
              <w:right w:val="single" w:color="auto" w:sz="6" w:space="0"/>
            </w:tcBorders>
          </w:tcPr>
          <w:p w:rsidR="00D221CA" w:rsidRDefault="00D221CA" w14:paraId="79915277" w14:textId="77777777">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D221CA" w:rsidRDefault="00D221CA" w14:paraId="571589C7" w14:textId="77777777">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sidR="00C855A6">
              <w:rPr>
                <w:rFonts w:ascii="Helvetica" w:hAnsi="Helvetica"/>
                <w:sz w:val="16"/>
              </w:rPr>
              <w:t>7,000</w:t>
            </w:r>
          </w:p>
          <w:p w:rsidR="00D221CA" w:rsidRDefault="00D221CA" w14:paraId="70537C85" w14:textId="77777777">
            <w:pPr>
              <w:keepLines/>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sidR="00C855A6">
              <w:rPr>
                <w:rFonts w:ascii="Helvetica" w:hAnsi="Helvetica"/>
                <w:sz w:val="16"/>
              </w:rPr>
              <w:t>14,000</w:t>
            </w:r>
          </w:p>
          <w:p w:rsidR="00D221CA" w:rsidRDefault="00D221CA" w14:paraId="4DDCE35E" w14:textId="77777777">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w:t>
            </w:r>
            <w:r w:rsidR="00AE730E">
              <w:rPr>
                <w:rFonts w:ascii="Helvetica" w:hAnsi="Helvetica"/>
                <w:sz w:val="16"/>
              </w:rPr>
              <w:t>via template</w:t>
            </w:r>
            <w:r>
              <w:rPr>
                <w:rFonts w:ascii="Helvetica" w:hAnsi="Helvetica"/>
                <w:sz w:val="16"/>
              </w:rPr>
              <w:t xml:space="preserve"> </w:t>
            </w:r>
            <w:r>
              <w:rPr>
                <w:rFonts w:ascii="Helvetica" w:hAnsi="Helvetica"/>
                <w:sz w:val="16"/>
              </w:rPr>
              <w:tab/>
            </w:r>
            <w:r w:rsidR="00AE730E">
              <w:rPr>
                <w:rFonts w:ascii="Helvetica" w:hAnsi="Helvetica"/>
                <w:sz w:val="16"/>
              </w:rPr>
              <w:t>99.9</w:t>
            </w:r>
            <w:r>
              <w:rPr>
                <w:rFonts w:ascii="Helvetica" w:hAnsi="Helvetica"/>
                <w:sz w:val="18"/>
              </w:rPr>
              <w:t>%</w:t>
            </w:r>
          </w:p>
          <w:p w:rsidR="00D221CA" w:rsidRDefault="00D221CA" w14:paraId="2E0B5A1A" w14:textId="77777777">
            <w:pPr>
              <w:keepLines/>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t>1</w:t>
            </w:r>
            <w:r w:rsidR="006F1ECE">
              <w:rPr>
                <w:rFonts w:ascii="Helvetica" w:hAnsi="Helvetica"/>
                <w:sz w:val="16"/>
              </w:rPr>
              <w:t>0</w:t>
            </w:r>
            <w:r>
              <w:rPr>
                <w:rFonts w:ascii="Helvetica" w:hAnsi="Helvetica"/>
                <w:sz w:val="16"/>
              </w:rPr>
              <w:t>,</w:t>
            </w:r>
            <w:r w:rsidR="00C855A6">
              <w:rPr>
                <w:rFonts w:ascii="Helvetica" w:hAnsi="Helvetica"/>
                <w:sz w:val="16"/>
              </w:rPr>
              <w:t>500</w:t>
            </w:r>
          </w:p>
          <w:p w:rsidR="00D221CA" w:rsidRDefault="00D221CA" w14:paraId="048C5FD4" w14:textId="77777777">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CB3C8A">
              <w:rPr>
                <w:rFonts w:ascii="Helvetica" w:hAnsi="Helvetica"/>
                <w:sz w:val="16"/>
                <w:szCs w:val="16"/>
              </w:rPr>
              <w:t>10,</w:t>
            </w:r>
            <w:r w:rsidR="00111DC9">
              <w:rPr>
                <w:rFonts w:ascii="Helvetica" w:hAnsi="Helvetica"/>
                <w:sz w:val="16"/>
                <w:szCs w:val="16"/>
              </w:rPr>
              <w:t>50</w:t>
            </w:r>
            <w:r w:rsidR="007237C2">
              <w:rPr>
                <w:rFonts w:ascii="Helvetica" w:hAnsi="Helvetica"/>
                <w:sz w:val="16"/>
                <w:szCs w:val="16"/>
              </w:rPr>
              <w:t>0</w:t>
            </w:r>
          </w:p>
          <w:p w:rsidR="00D221CA" w:rsidRDefault="00D221CA" w14:paraId="18450D54" w14:textId="77777777">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7237C2">
              <w:rPr>
                <w:rFonts w:ascii="Helvetica" w:hAnsi="Helvetica"/>
                <w:sz w:val="16"/>
              </w:rPr>
              <w:t>0</w:t>
            </w:r>
          </w:p>
          <w:p w:rsidR="00D221CA" w:rsidRDefault="00D221CA" w14:paraId="2C1D03AB" w14:textId="77777777">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D221CA" w:rsidRDefault="00D221CA" w14:paraId="70227AC7" w14:textId="77777777">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FF5A7D">
              <w:rPr>
                <w:rFonts w:ascii="Helvetica" w:hAnsi="Helvetica"/>
                <w:sz w:val="16"/>
              </w:rPr>
              <w:t>additional projects</w:t>
            </w:r>
          </w:p>
          <w:p w:rsidR="00D221CA" w:rsidRDefault="00D221CA" w14:paraId="75CD2551" w14:textId="77777777">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t>0</w:t>
            </w:r>
          </w:p>
        </w:tc>
        <w:tc>
          <w:tcPr>
            <w:tcW w:w="5388" w:type="dxa"/>
            <w:tcBorders>
              <w:top w:val="single" w:color="auto" w:sz="6" w:space="0"/>
              <w:left w:val="nil"/>
            </w:tcBorders>
          </w:tcPr>
          <w:p w:rsidR="00D221CA" w:rsidRDefault="00D221CA" w14:paraId="5A1D8C89" w14:textId="77777777">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D221CA" w:rsidRDefault="00D221CA" w14:paraId="3AA54434" w14:textId="77777777">
            <w:pPr>
              <w:tabs>
                <w:tab w:val="left" w:pos="240"/>
              </w:tabs>
              <w:rPr>
                <w:rFonts w:ascii="Helvetica" w:hAnsi="Helvetica"/>
                <w:sz w:val="14"/>
              </w:rPr>
            </w:pPr>
            <w:r>
              <w:rPr>
                <w:rFonts w:ascii="Helvetica" w:hAnsi="Helvetica"/>
                <w:sz w:val="14"/>
              </w:rPr>
              <w:tab/>
              <w:t>Do not include costs based on the hours in item 13.</w:t>
            </w:r>
          </w:p>
          <w:p w:rsidR="00D221CA" w:rsidRDefault="00D221CA" w14:paraId="71364FF6" w14:textId="77777777">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4BA67EBC" w14:textId="77777777">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4D58E191" w14:textId="77777777">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65D24766" w14:textId="77777777">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4F09F815" w14:textId="77777777">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4C7F2A46" w14:textId="77777777">
            <w:pPr>
              <w:tabs>
                <w:tab w:val="left" w:pos="240"/>
                <w:tab w:val="right" w:pos="4800"/>
              </w:tabs>
              <w:ind w:left="132"/>
              <w:rPr>
                <w:rFonts w:ascii="Helvetica" w:hAnsi="Helvetica"/>
                <w:sz w:val="16"/>
              </w:rPr>
            </w:pPr>
            <w:r>
              <w:rPr>
                <w:rFonts w:ascii="Helvetica" w:hAnsi="Helvetica"/>
                <w:sz w:val="16"/>
              </w:rPr>
              <w:t>f. Explanation of difference:</w:t>
            </w:r>
          </w:p>
          <w:p w:rsidR="00D221CA" w:rsidRDefault="00D221CA" w14:paraId="4585A7CE" w14:textId="77777777">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p w:rsidR="00D221CA" w:rsidRDefault="00D221CA" w14:paraId="338364A6" w14:textId="77777777">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r>
      <w:tr w:rsidR="00D221CA" w14:paraId="022E141D" w14:textId="77777777">
        <w:trPr>
          <w:trHeight w:val="1474"/>
        </w:trPr>
        <w:tc>
          <w:tcPr>
            <w:tcW w:w="5628" w:type="dxa"/>
            <w:gridSpan w:val="2"/>
            <w:tcBorders>
              <w:top w:val="single" w:color="auto" w:sz="6" w:space="0"/>
              <w:right w:val="single" w:color="auto" w:sz="6" w:space="0"/>
            </w:tcBorders>
          </w:tcPr>
          <w:p w:rsidR="00D221CA" w:rsidRDefault="00D221CA" w14:paraId="213AE949" w14:textId="77777777">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D221CA" w:rsidRDefault="00D221CA" w14:paraId="6C14689D" w14:textId="77777777">
            <w:pPr>
              <w:keepLines/>
              <w:tabs>
                <w:tab w:val="left" w:pos="480"/>
                <w:tab w:val="left" w:pos="2520"/>
                <w:tab w:val="left" w:pos="2880"/>
              </w:tabs>
              <w:ind w:left="120"/>
              <w:rPr>
                <w:rFonts w:ascii="Helvetica" w:hAnsi="Helvetica"/>
                <w:sz w:val="16"/>
              </w:rPr>
            </w:pPr>
            <w:r>
              <w:rPr>
                <w:rFonts w:ascii="Helvetica" w:hAnsi="Helvetica"/>
                <w:sz w:val="16"/>
              </w:rPr>
              <w:t xml:space="preserve">a. </w:t>
            </w:r>
            <w:r>
              <w:rPr>
                <w:rFonts w:ascii="Helvetica" w:hAnsi="Helvetica"/>
                <w:b/>
                <w:color w:val="800000"/>
              </w:rPr>
              <w:t xml:space="preserve">P </w:t>
            </w:r>
            <w:r>
              <w:rPr>
                <w:rFonts w:ascii="Helvetica" w:hAnsi="Helvetica"/>
                <w:sz w:val="16"/>
              </w:rPr>
              <w:t>Application for benefits</w:t>
            </w:r>
            <w:r>
              <w:rPr>
                <w:rFonts w:ascii="Helvetica" w:hAnsi="Helvetica"/>
                <w:sz w:val="16"/>
              </w:rPr>
              <w:tab/>
              <w:t xml:space="preserve">e.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w:t>
            </w:r>
          </w:p>
          <w:p w:rsidR="00D221CA" w:rsidRDefault="00D221CA" w14:paraId="65FE39BB" w14:textId="77777777">
            <w:pPr>
              <w:keepLines/>
              <w:tabs>
                <w:tab w:val="left" w:pos="480"/>
                <w:tab w:val="left" w:pos="2520"/>
                <w:tab w:val="left" w:pos="2880"/>
              </w:tabs>
              <w:ind w:left="120"/>
              <w:rPr>
                <w:rFonts w:ascii="Helvetica" w:hAnsi="Helvetica"/>
                <w:sz w:val="16"/>
              </w:rPr>
            </w:pPr>
            <w:r>
              <w:rPr>
                <w:rFonts w:ascii="Helvetica" w:hAnsi="Helvetica"/>
                <w:sz w:val="16"/>
              </w:rPr>
              <w:t xml:space="preserve">                                                                 management</w:t>
            </w:r>
          </w:p>
          <w:p w:rsidR="00D221CA" w:rsidRDefault="00D221CA" w14:paraId="64F9ADF2" w14:textId="77777777">
            <w:pPr>
              <w:keepLines/>
              <w:pBdr>
                <w:between w:val="single" w:color="auto" w:sz="6" w:space="1"/>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D221CA" w:rsidRDefault="00D221CA" w14:paraId="59931626" w14:textId="77777777">
            <w:pPr>
              <w:keepLines/>
              <w:tabs>
                <w:tab w:val="left" w:pos="480"/>
                <w:tab w:val="left" w:pos="2520"/>
                <w:tab w:val="left" w:pos="2880"/>
              </w:tabs>
              <w:ind w:left="120"/>
              <w:rPr>
                <w:rFonts w:ascii="Helvetica" w:hAnsi="Helvetica"/>
                <w:sz w:val="16"/>
              </w:rPr>
            </w:pPr>
            <w:r>
              <w:rPr>
                <w:rFonts w:ascii="Helvetica" w:hAnsi="Helvetica"/>
                <w:sz w:val="16"/>
              </w:rPr>
              <w:t xml:space="preserve">c.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Pr>
                <w:rFonts w:ascii="Helvetica" w:hAnsi="Helvetica"/>
                <w:b/>
                <w:color w:val="800000"/>
              </w:rPr>
              <w:t xml:space="preserve">X </w:t>
            </w:r>
            <w:proofErr w:type="spellStart"/>
            <w:r>
              <w:rPr>
                <w:rFonts w:ascii="Helvetica" w:hAnsi="Helvetica"/>
                <w:sz w:val="16"/>
              </w:rPr>
              <w:t>Requlatory</w:t>
            </w:r>
            <w:proofErr w:type="spellEnd"/>
            <w:r>
              <w:rPr>
                <w:rFonts w:ascii="Helvetica" w:hAnsi="Helvetica"/>
                <w:sz w:val="16"/>
              </w:rPr>
              <w:t xml:space="preserve"> or compliance</w:t>
            </w:r>
          </w:p>
          <w:p w:rsidR="00D221CA" w:rsidRDefault="00D221CA" w14:paraId="7AC58598" w14:textId="77777777">
            <w:pPr>
              <w:keepLines/>
              <w:tabs>
                <w:tab w:val="left" w:pos="480"/>
                <w:tab w:val="left" w:pos="2880"/>
              </w:tabs>
              <w:spacing w:after="60"/>
              <w:ind w:left="120"/>
              <w:rPr>
                <w:rFonts w:ascii="Helvetica" w:hAnsi="Helvetica"/>
                <w:sz w:val="16"/>
              </w:rPr>
            </w:pPr>
            <w:r>
              <w:rPr>
                <w:rFonts w:ascii="Helvetica" w:hAnsi="Helvetica"/>
                <w:sz w:val="16"/>
              </w:rPr>
              <w:t xml:space="preserve">d. </w:t>
            </w:r>
            <w:r>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Pr>
                <w:rFonts w:ascii="Helvetica" w:hAnsi="Helvetica"/>
                <w:b/>
                <w:color w:val="800000"/>
              </w:rPr>
            </w:r>
            <w:r>
              <w:rPr>
                <w:rFonts w:ascii="Helvetica" w:hAnsi="Helvetica"/>
                <w:b/>
                <w:color w:val="800000"/>
              </w:rPr>
              <w:fldChar w:fldCharType="separate"/>
            </w:r>
            <w:r>
              <w:rPr>
                <w:rFonts w:ascii="Helvetica" w:hAnsi="Helvetica"/>
                <w:b/>
                <w:noProof/>
                <w:color w:val="800000"/>
              </w:rPr>
              <w:t> </w:t>
            </w:r>
            <w:r>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color="auto" w:sz="6" w:space="0"/>
              <w:left w:val="nil"/>
            </w:tcBorders>
          </w:tcPr>
          <w:p w:rsidR="00D221CA" w:rsidRDefault="00D221CA" w14:paraId="06A3179A" w14:textId="77777777">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D221CA" w:rsidRDefault="00D221CA" w14:paraId="39CD1A54" w14:textId="77777777">
            <w:pPr>
              <w:tabs>
                <w:tab w:val="left" w:pos="240"/>
                <w:tab w:val="left" w:pos="1932"/>
              </w:tabs>
              <w:ind w:left="120"/>
              <w:rPr>
                <w:rFonts w:ascii="Helvetica" w:hAnsi="Helvetica"/>
                <w:sz w:val="16"/>
              </w:rPr>
            </w:pPr>
            <w:r>
              <w:rPr>
                <w:rFonts w:ascii="Helvetica" w:hAnsi="Helvetica"/>
                <w:sz w:val="16"/>
              </w:rPr>
              <w:t xml:space="preserve">a. </w:t>
            </w:r>
            <w:r>
              <w:rPr>
                <w:rFonts w:ascii="Helvetica" w:hAnsi="Helvetica"/>
                <w:b/>
                <w:bCs/>
                <w:sz w:val="16"/>
              </w:rPr>
              <w:t>X</w:t>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D221CA" w:rsidRDefault="00D221CA" w14:paraId="0C77E8E0" w14:textId="77777777">
            <w:pPr>
              <w:pBdr>
                <w:between w:val="single" w:color="auto" w:sz="6" w:space="1"/>
              </w:pBdr>
              <w:tabs>
                <w:tab w:val="left" w:pos="240"/>
                <w:tab w:val="left" w:pos="1932"/>
                <w:tab w:val="left" w:pos="2520"/>
              </w:tabs>
              <w:ind w:left="132"/>
              <w:rPr>
                <w:rFonts w:ascii="Helvetica" w:hAnsi="Helvetica"/>
                <w:sz w:val="16"/>
              </w:rPr>
            </w:pPr>
            <w:r>
              <w:rPr>
                <w:rFonts w:ascii="Helvetica" w:hAnsi="Helvetica"/>
                <w:sz w:val="16"/>
              </w:rPr>
              <w:t xml:space="preserve">c. </w:t>
            </w:r>
            <w:r>
              <w:rPr>
                <w:rFonts w:ascii="Helvetica" w:hAnsi="Helvetica"/>
                <w:b/>
                <w:sz w:val="18"/>
              </w:rPr>
              <w:t>X</w:t>
            </w:r>
            <w:r>
              <w:rPr>
                <w:rFonts w:ascii="Helvetica" w:hAnsi="Helvetica"/>
                <w:b/>
                <w:color w:val="800000"/>
              </w:rPr>
              <w:t xml:space="preserve"> </w:t>
            </w:r>
            <w:r>
              <w:rPr>
                <w:rFonts w:ascii="Helvetica" w:hAnsi="Helvetica"/>
                <w:sz w:val="16"/>
              </w:rPr>
              <w:t>Reporting:</w:t>
            </w:r>
          </w:p>
          <w:p w:rsidR="00D221CA" w:rsidRDefault="00D221CA" w14:paraId="6F2DA37A" w14:textId="77777777">
            <w:pPr>
              <w:tabs>
                <w:tab w:val="left" w:pos="240"/>
                <w:tab w:val="left" w:pos="2052"/>
                <w:tab w:val="left" w:pos="3732"/>
              </w:tabs>
              <w:ind w:left="492"/>
              <w:rPr>
                <w:rFonts w:ascii="Helvetica" w:hAnsi="Helvetica"/>
                <w:sz w:val="16"/>
              </w:rPr>
            </w:pPr>
            <w:r>
              <w:rPr>
                <w:rFonts w:ascii="Helvetica" w:hAnsi="Helvetica"/>
                <w:sz w:val="16"/>
              </w:rPr>
              <w:t xml:space="preserve">1.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D221CA" w:rsidRDefault="00D221CA" w14:paraId="44E571D0" w14:textId="77777777">
            <w:pPr>
              <w:tabs>
                <w:tab w:val="left" w:pos="240"/>
                <w:tab w:val="left" w:pos="2052"/>
                <w:tab w:val="left" w:pos="3732"/>
              </w:tabs>
              <w:ind w:left="492"/>
              <w:rPr>
                <w:rFonts w:ascii="Helvetica" w:hAnsi="Helvetica"/>
                <w:sz w:val="16"/>
              </w:rPr>
            </w:pPr>
            <w:r>
              <w:rPr>
                <w:rFonts w:ascii="Helvetica" w:hAnsi="Helvetica"/>
                <w:sz w:val="16"/>
              </w:rPr>
              <w:t xml:space="preserve">4.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Pr>
                <w:rFonts w:ascii="Helvetica" w:hAnsi="Helvetica"/>
                <w:b/>
                <w:bCs/>
                <w:sz w:val="16"/>
              </w:rPr>
              <w:t>X</w:t>
            </w:r>
            <w:r>
              <w:rPr>
                <w:rFonts w:ascii="Helvetica" w:hAnsi="Helvetica"/>
                <w:b/>
                <w:color w:val="800000"/>
              </w:rPr>
              <w:t xml:space="preserve">  </w:t>
            </w:r>
            <w:r>
              <w:rPr>
                <w:rFonts w:ascii="Helvetica" w:hAnsi="Helvetica"/>
                <w:sz w:val="16"/>
              </w:rPr>
              <w:t>Annually</w:t>
            </w:r>
          </w:p>
          <w:p w:rsidR="00D221CA" w:rsidRDefault="00D221CA" w14:paraId="314C0105" w14:textId="77777777">
            <w:pPr>
              <w:tabs>
                <w:tab w:val="left" w:pos="240"/>
                <w:tab w:val="left" w:pos="2052"/>
                <w:tab w:val="left" w:pos="3732"/>
              </w:tabs>
              <w:ind w:left="2412" w:hanging="1920"/>
              <w:rPr>
                <w:rFonts w:ascii="Helvetica" w:hAnsi="Helvetica"/>
                <w:sz w:val="16"/>
              </w:rPr>
            </w:pPr>
            <w:r>
              <w:rPr>
                <w:rFonts w:ascii="Helvetica" w:hAnsi="Helvetica"/>
                <w:sz w:val="16"/>
              </w:rPr>
              <w:t xml:space="preserve">7.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proofErr w:type="spellStart"/>
            <w:r>
              <w:rPr>
                <w:rFonts w:ascii="Helvetica" w:hAnsi="Helvetica"/>
                <w:sz w:val="16"/>
              </w:rPr>
              <w:t>Biennually</w:t>
            </w:r>
            <w:proofErr w:type="spellEnd"/>
            <w:r>
              <w:rPr>
                <w:rFonts w:ascii="Helvetica" w:hAnsi="Helvetica"/>
                <w:sz w:val="16"/>
              </w:rPr>
              <w:tab/>
              <w:t xml:space="preserve">8. </w:t>
            </w: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Pr>
                <w:rFonts w:ascii="Helvetica" w:hAnsi="Helvetica"/>
                <w:color w:val="000080"/>
                <w:sz w:val="16"/>
              </w:rPr>
              <w:fldChar w:fldCharType="begin">
                <w:ffData>
                  <w:name w:val="Text18"/>
                  <w:enabled/>
                  <w:calcOnExit w:val="0"/>
                  <w:textInput/>
                </w:ffData>
              </w:fldChar>
            </w:r>
            <w:bookmarkStart w:name="Text18" w:id="6"/>
            <w:r>
              <w:rPr>
                <w:rFonts w:ascii="Helvetica" w:hAnsi="Helvetica"/>
                <w:color w:val="000080"/>
                <w:sz w:val="16"/>
              </w:rPr>
              <w:instrText xml:space="preserve"> FORMTEXT </w:instrText>
            </w:r>
            <w:r>
              <w:rPr>
                <w:rFonts w:ascii="Helvetica" w:hAnsi="Helvetica"/>
                <w:color w:val="000080"/>
                <w:sz w:val="16"/>
              </w:rPr>
            </w:r>
            <w:r>
              <w:rPr>
                <w:rFonts w:ascii="Helvetica" w:hAnsi="Helvetica"/>
                <w:color w:val="000080"/>
                <w:sz w:val="16"/>
              </w:rPr>
              <w:fldChar w:fldCharType="separate"/>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noProof/>
                <w:color w:val="000080"/>
                <w:sz w:val="16"/>
              </w:rPr>
              <w:t> </w:t>
            </w:r>
            <w:r>
              <w:rPr>
                <w:rFonts w:ascii="Helvetica" w:hAnsi="Helvetica"/>
                <w:color w:val="000080"/>
                <w:sz w:val="16"/>
              </w:rPr>
              <w:fldChar w:fldCharType="end"/>
            </w:r>
            <w:bookmarkEnd w:id="6"/>
          </w:p>
          <w:p w:rsidR="00D221CA" w:rsidRDefault="00D221CA" w14:paraId="4BCFE918" w14:textId="77777777">
            <w:pPr>
              <w:tabs>
                <w:tab w:val="left" w:pos="240"/>
              </w:tabs>
              <w:rPr>
                <w:rFonts w:ascii="Helvetica" w:hAnsi="Helvetica"/>
                <w:sz w:val="16"/>
              </w:rPr>
            </w:pPr>
          </w:p>
        </w:tc>
      </w:tr>
      <w:tr w:rsidR="00D221CA" w14:paraId="4A656F0D" w14:textId="77777777">
        <w:tc>
          <w:tcPr>
            <w:tcW w:w="4908" w:type="dxa"/>
            <w:tcBorders>
              <w:top w:val="single" w:color="auto" w:sz="6" w:space="0"/>
              <w:bottom w:val="single" w:color="auto" w:sz="6" w:space="0"/>
            </w:tcBorders>
          </w:tcPr>
          <w:p w:rsidR="00D221CA" w:rsidRDefault="00D221CA" w14:paraId="3CC66092" w14:textId="77777777">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D221CA" w:rsidRDefault="00D221CA" w14:paraId="2173982F" w14:textId="77777777">
            <w:pPr>
              <w:keepLines/>
              <w:ind w:left="240"/>
              <w:rPr>
                <w:rFonts w:ascii="Helvetica" w:hAnsi="Helvetica"/>
                <w:sz w:val="16"/>
              </w:rPr>
            </w:pPr>
            <w:r>
              <w:rPr>
                <w:rFonts w:ascii="Helvetica" w:hAnsi="Helvetica"/>
                <w:sz w:val="16"/>
              </w:rPr>
              <w:t>Does this information collection employ statistical methods?</w:t>
            </w:r>
          </w:p>
          <w:p w:rsidR="00D221CA" w:rsidRDefault="00D221CA" w14:paraId="6AA21711" w14:textId="77777777">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471120">
              <w:rPr>
                <w:rFonts w:ascii="Helvetica" w:hAnsi="Helvetica"/>
                <w:b/>
                <w:sz w:val="18"/>
              </w:rPr>
            </w:r>
            <w:r w:rsidR="00471120">
              <w:rPr>
                <w:rFonts w:ascii="Helvetica" w:hAnsi="Helvetica"/>
                <w:b/>
                <w:sz w:val="18"/>
              </w:rPr>
              <w:fldChar w:fldCharType="separate"/>
            </w:r>
            <w:r>
              <w:rPr>
                <w:rFonts w:ascii="Helvetica" w:hAnsi="Helvetica"/>
                <w:b/>
                <w:sz w:val="18"/>
              </w:rPr>
              <w:fldChar w:fldCharType="end"/>
            </w:r>
            <w:r>
              <w:rPr>
                <w:rFonts w:ascii="Helvetica" w:hAnsi="Helvetica"/>
                <w:b/>
                <w:color w:val="800000"/>
              </w:rPr>
              <w:t xml:space="preserve">  </w:t>
            </w:r>
            <w:r>
              <w:rPr>
                <w:rFonts w:ascii="Helvetica" w:hAnsi="Helvetica"/>
                <w:sz w:val="18"/>
              </w:rPr>
              <w:t xml:space="preserve">Yes    </w:t>
            </w:r>
            <w:r>
              <w:rPr>
                <w:rFonts w:ascii="Helvetica" w:hAnsi="Helvetica"/>
                <w:b/>
                <w:bCs/>
                <w:sz w:val="18"/>
              </w:rPr>
              <w:t>X</w:t>
            </w:r>
            <w:r>
              <w:rPr>
                <w:rFonts w:ascii="Helvetica" w:hAnsi="Helvetica"/>
                <w:b/>
                <w:bCs/>
                <w:color w:val="800000"/>
              </w:rPr>
              <w:t xml:space="preserve"> </w:t>
            </w:r>
            <w:r>
              <w:rPr>
                <w:rFonts w:ascii="Helvetica" w:hAnsi="Helvetica"/>
                <w:b/>
                <w:color w:val="800000"/>
              </w:rPr>
              <w:t xml:space="preserve"> </w:t>
            </w:r>
            <w:r>
              <w:rPr>
                <w:rFonts w:ascii="Helvetica" w:hAnsi="Helvetica"/>
                <w:sz w:val="18"/>
              </w:rPr>
              <w:t>No</w:t>
            </w:r>
          </w:p>
          <w:p w:rsidR="00D221CA" w:rsidRDefault="00D221CA" w14:paraId="675BD8C4" w14:textId="77777777">
            <w:pPr>
              <w:keepLines/>
              <w:tabs>
                <w:tab w:val="left" w:pos="240"/>
              </w:tabs>
              <w:rPr>
                <w:rFonts w:ascii="Helvetica" w:hAnsi="Helvetica"/>
                <w:sz w:val="16"/>
              </w:rPr>
            </w:pPr>
          </w:p>
        </w:tc>
        <w:tc>
          <w:tcPr>
            <w:tcW w:w="6108" w:type="dxa"/>
            <w:gridSpan w:val="2"/>
            <w:tcBorders>
              <w:top w:val="single" w:color="auto" w:sz="6" w:space="0"/>
              <w:left w:val="single" w:color="auto" w:sz="6" w:space="0"/>
              <w:bottom w:val="single" w:color="auto" w:sz="6" w:space="0"/>
            </w:tcBorders>
          </w:tcPr>
          <w:p w:rsidR="00D221CA" w:rsidRDefault="00D221CA" w14:paraId="4997BF21" w14:textId="77777777">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D221CA" w:rsidRDefault="00D221CA" w14:paraId="5D8C2C5A" w14:textId="77777777">
            <w:pPr>
              <w:ind w:left="252"/>
              <w:rPr>
                <w:rFonts w:ascii="Helvetica" w:hAnsi="Helvetica"/>
                <w:sz w:val="16"/>
              </w:rPr>
            </w:pPr>
            <w:r>
              <w:rPr>
                <w:rFonts w:ascii="Helvetica" w:hAnsi="Helvetica"/>
                <w:sz w:val="16"/>
              </w:rPr>
              <w:t xml:space="preserve">Name: </w:t>
            </w:r>
            <w:r>
              <w:rPr>
                <w:rFonts w:ascii="Helvetica" w:hAnsi="Helvetica"/>
                <w:color w:val="800000"/>
                <w:sz w:val="18"/>
              </w:rPr>
              <w:t xml:space="preserve"> </w:t>
            </w:r>
            <w:r w:rsidR="00600D8E">
              <w:rPr>
                <w:rFonts w:ascii="Helvetica" w:hAnsi="Helvetica"/>
                <w:color w:val="800000"/>
                <w:sz w:val="18"/>
              </w:rPr>
              <w:t>Mehul Patel</w:t>
            </w:r>
            <w:r w:rsidR="000D20DA">
              <w:rPr>
                <w:rFonts w:ascii="Helvetica" w:hAnsi="Helvetica"/>
                <w:color w:val="800000"/>
                <w:sz w:val="18"/>
              </w:rPr>
              <w:t xml:space="preserve"> </w:t>
            </w:r>
          </w:p>
          <w:p w:rsidR="00D221CA" w:rsidRDefault="00D221CA" w14:paraId="658E70F4" w14:textId="77777777">
            <w:pPr>
              <w:ind w:left="252"/>
              <w:rPr>
                <w:rFonts w:ascii="Helvetica" w:hAnsi="Helvetica"/>
                <w:sz w:val="16"/>
              </w:rPr>
            </w:pPr>
            <w:r>
              <w:rPr>
                <w:rFonts w:ascii="Helvetica" w:hAnsi="Helvetica"/>
                <w:sz w:val="16"/>
              </w:rPr>
              <w:t xml:space="preserve">Phone: </w:t>
            </w:r>
            <w:r>
              <w:rPr>
                <w:rFonts w:ascii="Helvetica" w:hAnsi="Helvetica"/>
                <w:color w:val="800000"/>
                <w:sz w:val="18"/>
              </w:rPr>
              <w:t>202-</w:t>
            </w:r>
            <w:r w:rsidR="00600D8E">
              <w:rPr>
                <w:rFonts w:ascii="Helvetica" w:hAnsi="Helvetica"/>
                <w:color w:val="800000"/>
                <w:sz w:val="18"/>
              </w:rPr>
              <w:t>402-3024</w:t>
            </w:r>
          </w:p>
          <w:p w:rsidR="00D221CA" w:rsidRDefault="00D221CA" w14:paraId="24902EF0" w14:textId="77777777">
            <w:pPr>
              <w:tabs>
                <w:tab w:val="left" w:pos="240"/>
              </w:tabs>
              <w:rPr>
                <w:rFonts w:ascii="Helvetica" w:hAnsi="Helvetica"/>
                <w:sz w:val="16"/>
              </w:rPr>
            </w:pPr>
          </w:p>
        </w:tc>
      </w:tr>
    </w:tbl>
    <w:p w:rsidR="00D221CA" w:rsidRDefault="00D221CA" w14:paraId="3062129A" w14:textId="77777777">
      <w:pPr>
        <w:tabs>
          <w:tab w:val="left" w:pos="240"/>
        </w:tabs>
        <w:rPr>
          <w:rFonts w:ascii="Helvetica" w:hAnsi="Helvetica"/>
          <w:sz w:val="16"/>
        </w:rPr>
      </w:pPr>
    </w:p>
    <w:p w:rsidR="00D221CA" w:rsidRDefault="00D221CA" w14:paraId="3D705F5C" w14:textId="77777777">
      <w:pPr>
        <w:pBdr>
          <w:top w:val="single" w:color="auto" w:sz="6" w:space="1"/>
        </w:pBdr>
        <w:tabs>
          <w:tab w:val="left" w:pos="240"/>
        </w:tabs>
        <w:jc w:val="center"/>
        <w:rPr>
          <w:rFonts w:ascii="Helvetica" w:hAnsi="Helvetica"/>
          <w:sz w:val="16"/>
        </w:rPr>
        <w:sectPr w:rsidR="00D221CA">
          <w:footerReference w:type="default" r:id="rId8"/>
          <w:pgSz w:w="12240" w:h="15840"/>
          <w:pgMar w:top="480" w:right="600" w:bottom="480" w:left="720" w:header="480" w:footer="480" w:gutter="0"/>
          <w:cols w:equalWidth="0" w:space="480">
            <w:col w:w="10920"/>
          </w:cols>
        </w:sectPr>
      </w:pPr>
    </w:p>
    <w:p w:rsidR="00D221CA" w:rsidRDefault="00D221CA" w14:paraId="1B0715DB" w14:textId="77777777">
      <w:pPr>
        <w:pBdr>
          <w:top w:val="single" w:color="auto" w:sz="6" w:space="1"/>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D221CA" w:rsidRDefault="00D221CA" w14:paraId="79DE2655" w14:textId="77777777">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D221CA" w:rsidRDefault="00D221CA" w14:paraId="5A71786C" w14:textId="77777777">
      <w:pPr>
        <w:tabs>
          <w:tab w:val="left" w:pos="240"/>
        </w:tabs>
        <w:spacing w:line="280" w:lineRule="exact"/>
        <w:rPr>
          <w:sz w:val="22"/>
        </w:rPr>
      </w:pPr>
      <w:r>
        <w:rPr>
          <w:b/>
          <w:sz w:val="22"/>
        </w:rPr>
        <w:t>Note:</w:t>
      </w:r>
      <w:r>
        <w:rPr>
          <w:sz w:val="22"/>
        </w:rPr>
        <w:t xml:space="preserve"> The text of 5 CFR 1320.9, and the related provisions of 5 CFR 1320/8(b)(3)</w:t>
      </w:r>
      <w:r w:rsidR="00263121">
        <w:rPr>
          <w:sz w:val="22"/>
        </w:rPr>
        <w:t>,</w:t>
      </w:r>
      <w:r>
        <w:rPr>
          <w:sz w:val="22"/>
        </w:rPr>
        <w:t xml:space="preserve"> appear at the end of the instructions.  The certification is to be made with reference to those regulatory provisions as set forth in the instructions.</w:t>
      </w:r>
    </w:p>
    <w:p w:rsidR="00D221CA" w:rsidRDefault="00D221CA" w14:paraId="4E25B6A7" w14:textId="77777777">
      <w:pPr>
        <w:tabs>
          <w:tab w:val="left" w:pos="240"/>
        </w:tabs>
        <w:spacing w:line="280" w:lineRule="exact"/>
        <w:rPr>
          <w:sz w:val="22"/>
        </w:rPr>
      </w:pPr>
    </w:p>
    <w:p w:rsidR="00D221CA" w:rsidRDefault="00D221CA" w14:paraId="17DD0255" w14:textId="77777777">
      <w:pPr>
        <w:tabs>
          <w:tab w:val="left" w:pos="240"/>
        </w:tabs>
        <w:spacing w:line="280" w:lineRule="exact"/>
        <w:rPr>
          <w:sz w:val="22"/>
        </w:rPr>
      </w:pPr>
      <w:r>
        <w:rPr>
          <w:sz w:val="22"/>
        </w:rPr>
        <w:t>The following is a summary of the topics, regarding the proposed collections of information that the certification covers:</w:t>
      </w:r>
    </w:p>
    <w:p w:rsidR="00D221CA" w:rsidRDefault="00D221CA" w14:paraId="14AF2C4E" w14:textId="77777777">
      <w:pPr>
        <w:numPr>
          <w:ilvl w:val="0"/>
          <w:numId w:val="3"/>
        </w:numPr>
        <w:tabs>
          <w:tab w:val="left" w:pos="720"/>
        </w:tabs>
        <w:spacing w:line="280" w:lineRule="exact"/>
        <w:rPr>
          <w:sz w:val="22"/>
        </w:rPr>
      </w:pPr>
      <w:r>
        <w:rPr>
          <w:sz w:val="22"/>
        </w:rPr>
        <w:t>It is necessary for the proper performance of agency functions;</w:t>
      </w:r>
    </w:p>
    <w:p w:rsidR="00D221CA" w:rsidRDefault="00D221CA" w14:paraId="1F43735F" w14:textId="77777777">
      <w:pPr>
        <w:numPr>
          <w:ilvl w:val="0"/>
          <w:numId w:val="3"/>
        </w:numPr>
        <w:tabs>
          <w:tab w:val="left" w:pos="720"/>
        </w:tabs>
        <w:spacing w:line="280" w:lineRule="exact"/>
        <w:rPr>
          <w:sz w:val="22"/>
        </w:rPr>
      </w:pPr>
      <w:r>
        <w:rPr>
          <w:sz w:val="22"/>
        </w:rPr>
        <w:t>It avoids unnecessary duplication;</w:t>
      </w:r>
    </w:p>
    <w:p w:rsidR="00D221CA" w:rsidRDefault="00D221CA" w14:paraId="79ADBE7A" w14:textId="77777777">
      <w:pPr>
        <w:numPr>
          <w:ilvl w:val="0"/>
          <w:numId w:val="3"/>
        </w:numPr>
        <w:tabs>
          <w:tab w:val="left" w:pos="720"/>
        </w:tabs>
        <w:spacing w:line="280" w:lineRule="exact"/>
        <w:rPr>
          <w:sz w:val="22"/>
        </w:rPr>
      </w:pPr>
      <w:r>
        <w:rPr>
          <w:sz w:val="22"/>
        </w:rPr>
        <w:t>It reduces burden on small entities;</w:t>
      </w:r>
    </w:p>
    <w:p w:rsidR="00D221CA" w:rsidRDefault="00D221CA" w14:paraId="19714CA7" w14:textId="77777777">
      <w:pPr>
        <w:numPr>
          <w:ilvl w:val="0"/>
          <w:numId w:val="3"/>
        </w:numPr>
        <w:tabs>
          <w:tab w:val="left" w:pos="720"/>
        </w:tabs>
        <w:spacing w:line="280" w:lineRule="exact"/>
        <w:rPr>
          <w:sz w:val="22"/>
        </w:rPr>
      </w:pPr>
      <w:r>
        <w:rPr>
          <w:sz w:val="22"/>
        </w:rPr>
        <w:t>It uses plain, coherent, and unambiguous terminology that is understandable to respondents;</w:t>
      </w:r>
    </w:p>
    <w:p w:rsidR="00D221CA" w:rsidRDefault="00D221CA" w14:paraId="2A965FBC" w14:textId="77777777">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D221CA" w:rsidRDefault="00D221CA" w14:paraId="65E38A8F" w14:textId="77777777">
      <w:pPr>
        <w:numPr>
          <w:ilvl w:val="0"/>
          <w:numId w:val="3"/>
        </w:numPr>
        <w:tabs>
          <w:tab w:val="left" w:pos="720"/>
        </w:tabs>
        <w:spacing w:line="280" w:lineRule="exact"/>
        <w:rPr>
          <w:sz w:val="22"/>
        </w:rPr>
      </w:pPr>
      <w:r>
        <w:rPr>
          <w:sz w:val="22"/>
        </w:rPr>
        <w:t>It indicates the retention periods for recordkeeping requirements;</w:t>
      </w:r>
    </w:p>
    <w:p w:rsidR="00D221CA" w:rsidRDefault="00D221CA" w14:paraId="654772ED" w14:textId="77777777">
      <w:pPr>
        <w:numPr>
          <w:ilvl w:val="0"/>
          <w:numId w:val="3"/>
        </w:numPr>
        <w:tabs>
          <w:tab w:val="left" w:pos="720"/>
        </w:tabs>
        <w:spacing w:line="280" w:lineRule="exact"/>
        <w:rPr>
          <w:sz w:val="22"/>
        </w:rPr>
      </w:pPr>
      <w:r>
        <w:rPr>
          <w:sz w:val="22"/>
        </w:rPr>
        <w:t>It informs respondents of the information called for under 5 CFR 1320.8(b)(3):</w:t>
      </w:r>
    </w:p>
    <w:p w:rsidR="00D221CA" w:rsidRDefault="00D221CA" w14:paraId="0110EC48" w14:textId="77777777">
      <w:pPr>
        <w:numPr>
          <w:ilvl w:val="0"/>
          <w:numId w:val="4"/>
        </w:numPr>
        <w:tabs>
          <w:tab w:val="left" w:pos="720"/>
        </w:tabs>
        <w:spacing w:line="280" w:lineRule="exact"/>
        <w:rPr>
          <w:sz w:val="22"/>
        </w:rPr>
      </w:pPr>
      <w:r>
        <w:rPr>
          <w:sz w:val="22"/>
        </w:rPr>
        <w:t>Why the information is being collected;</w:t>
      </w:r>
    </w:p>
    <w:p w:rsidR="00D221CA" w:rsidRDefault="00D221CA" w14:paraId="01453524" w14:textId="77777777">
      <w:pPr>
        <w:numPr>
          <w:ilvl w:val="0"/>
          <w:numId w:val="4"/>
        </w:numPr>
        <w:tabs>
          <w:tab w:val="left" w:pos="720"/>
        </w:tabs>
        <w:spacing w:line="280" w:lineRule="exact"/>
        <w:rPr>
          <w:sz w:val="22"/>
        </w:rPr>
      </w:pPr>
      <w:r>
        <w:rPr>
          <w:sz w:val="22"/>
        </w:rPr>
        <w:t>Use of the information;</w:t>
      </w:r>
    </w:p>
    <w:p w:rsidR="00D221CA" w:rsidRDefault="00D221CA" w14:paraId="57145548" w14:textId="77777777">
      <w:pPr>
        <w:numPr>
          <w:ilvl w:val="0"/>
          <w:numId w:val="4"/>
        </w:numPr>
        <w:tabs>
          <w:tab w:val="left" w:pos="720"/>
        </w:tabs>
        <w:spacing w:line="280" w:lineRule="exact"/>
        <w:rPr>
          <w:sz w:val="22"/>
        </w:rPr>
      </w:pPr>
      <w:r>
        <w:rPr>
          <w:sz w:val="22"/>
        </w:rPr>
        <w:t>Burden estimate;</w:t>
      </w:r>
    </w:p>
    <w:p w:rsidR="00D221CA" w:rsidRDefault="00D221CA" w14:paraId="4218A121" w14:textId="77777777">
      <w:pPr>
        <w:numPr>
          <w:ilvl w:val="0"/>
          <w:numId w:val="4"/>
        </w:numPr>
        <w:tabs>
          <w:tab w:val="left" w:pos="720"/>
        </w:tabs>
        <w:spacing w:line="280" w:lineRule="exact"/>
        <w:rPr>
          <w:sz w:val="22"/>
        </w:rPr>
      </w:pPr>
      <w:r>
        <w:rPr>
          <w:sz w:val="22"/>
        </w:rPr>
        <w:t>Nature of response (voluntary, required for a benefit, or mandatory);</w:t>
      </w:r>
    </w:p>
    <w:p w:rsidR="00D221CA" w:rsidRDefault="00D221CA" w14:paraId="45EA44C8" w14:textId="77777777">
      <w:pPr>
        <w:numPr>
          <w:ilvl w:val="0"/>
          <w:numId w:val="4"/>
        </w:numPr>
        <w:tabs>
          <w:tab w:val="left" w:pos="720"/>
        </w:tabs>
        <w:spacing w:line="280" w:lineRule="exact"/>
        <w:rPr>
          <w:sz w:val="22"/>
        </w:rPr>
      </w:pPr>
      <w:r>
        <w:rPr>
          <w:sz w:val="22"/>
        </w:rPr>
        <w:t>Nature and extent of confidentiality; and</w:t>
      </w:r>
    </w:p>
    <w:p w:rsidR="00D221CA" w:rsidRDefault="00D221CA" w14:paraId="475D85AC" w14:textId="77777777">
      <w:pPr>
        <w:numPr>
          <w:ilvl w:val="0"/>
          <w:numId w:val="4"/>
        </w:numPr>
        <w:tabs>
          <w:tab w:val="left" w:pos="720"/>
        </w:tabs>
        <w:spacing w:line="280" w:lineRule="exact"/>
        <w:rPr>
          <w:sz w:val="22"/>
        </w:rPr>
      </w:pPr>
      <w:r>
        <w:rPr>
          <w:sz w:val="22"/>
        </w:rPr>
        <w:t>Need to display currently valid OMB control number;</w:t>
      </w:r>
    </w:p>
    <w:p w:rsidR="00D221CA" w:rsidRDefault="00D221CA" w14:paraId="69DDE93B" w14:textId="77777777">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D221CA" w:rsidRDefault="00D221CA" w14:paraId="01495CCC" w14:textId="77777777">
      <w:pPr>
        <w:numPr>
          <w:ilvl w:val="0"/>
          <w:numId w:val="6"/>
        </w:numPr>
        <w:tabs>
          <w:tab w:val="left" w:pos="720"/>
        </w:tabs>
        <w:spacing w:line="280" w:lineRule="exact"/>
        <w:rPr>
          <w:sz w:val="22"/>
        </w:rPr>
      </w:pPr>
      <w:r>
        <w:rPr>
          <w:sz w:val="22"/>
        </w:rPr>
        <w:t>It uses effective and efficient statistical survey methodology; and</w:t>
      </w:r>
    </w:p>
    <w:p w:rsidR="00D221CA" w:rsidRDefault="00D221CA" w14:paraId="7679A1D9" w14:textId="77777777">
      <w:pPr>
        <w:numPr>
          <w:ilvl w:val="0"/>
          <w:numId w:val="6"/>
        </w:numPr>
        <w:tabs>
          <w:tab w:val="left" w:pos="720"/>
        </w:tabs>
        <w:spacing w:line="280" w:lineRule="exact"/>
        <w:rPr>
          <w:sz w:val="22"/>
        </w:rPr>
      </w:pPr>
      <w:r>
        <w:rPr>
          <w:sz w:val="22"/>
        </w:rPr>
        <w:t>It makes appropriate use of information technology.</w:t>
      </w:r>
    </w:p>
    <w:p w:rsidR="00D221CA" w:rsidRDefault="00D221CA" w14:paraId="3342F453" w14:textId="77777777">
      <w:pPr>
        <w:tabs>
          <w:tab w:val="left" w:pos="600"/>
        </w:tabs>
        <w:spacing w:line="280" w:lineRule="exact"/>
        <w:rPr>
          <w:sz w:val="22"/>
        </w:rPr>
      </w:pPr>
    </w:p>
    <w:p w:rsidR="00D221CA" w:rsidRDefault="00D221CA" w14:paraId="2AA3E826" w14:textId="77777777">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D221CA" w:rsidRDefault="00D221CA" w14:paraId="6D0DC508" w14:textId="77777777">
      <w:pPr>
        <w:tabs>
          <w:tab w:val="left" w:pos="240"/>
        </w:tabs>
        <w:ind w:left="240"/>
      </w:pPr>
      <w:r>
        <w:fldChar w:fldCharType="begin">
          <w:ffData>
            <w:name w:val="Text20"/>
            <w:enabled/>
            <w:calcOnExit w:val="0"/>
            <w:textInput/>
          </w:ffData>
        </w:fldChar>
      </w:r>
      <w:bookmarkStart w:name="Text20"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D221CA" w:rsidRDefault="00D221CA" w14:paraId="444CABD5" w14:textId="77777777">
      <w:pPr>
        <w:tabs>
          <w:tab w:val="left" w:pos="240"/>
        </w:tabs>
      </w:pPr>
    </w:p>
    <w:tbl>
      <w:tblPr>
        <w:tblW w:w="0" w:type="auto"/>
        <w:tblLayout w:type="fixed"/>
        <w:tblLook w:val="0000" w:firstRow="0" w:lastRow="0" w:firstColumn="0" w:lastColumn="0" w:noHBand="0" w:noVBand="0"/>
      </w:tblPr>
      <w:tblGrid>
        <w:gridCol w:w="8388"/>
        <w:gridCol w:w="2628"/>
      </w:tblGrid>
      <w:tr w:rsidR="00D221CA" w14:paraId="58D31505" w14:textId="77777777">
        <w:tc>
          <w:tcPr>
            <w:tcW w:w="8388" w:type="dxa"/>
            <w:tcBorders>
              <w:top w:val="single" w:color="auto" w:sz="6" w:space="0"/>
              <w:bottom w:val="single" w:color="auto" w:sz="6" w:space="0"/>
            </w:tcBorders>
          </w:tcPr>
          <w:p w:rsidR="00D221CA" w:rsidRDefault="00D221CA" w14:paraId="4C68E1D2" w14:textId="77777777">
            <w:pPr>
              <w:tabs>
                <w:tab w:val="left" w:pos="240"/>
              </w:tabs>
              <w:rPr>
                <w:rFonts w:ascii="Helvetica" w:hAnsi="Helvetica"/>
                <w:sz w:val="16"/>
              </w:rPr>
            </w:pPr>
            <w:r>
              <w:rPr>
                <w:rFonts w:ascii="Helvetica" w:hAnsi="Helvetica"/>
                <w:sz w:val="16"/>
              </w:rPr>
              <w:t>Signature of Program Official:</w:t>
            </w:r>
          </w:p>
          <w:p w:rsidR="00D221CA" w:rsidRDefault="00D221CA" w14:paraId="6EAC0E27" w14:textId="77777777">
            <w:pPr>
              <w:tabs>
                <w:tab w:val="left" w:pos="240"/>
              </w:tabs>
              <w:rPr>
                <w:rFonts w:ascii="Helvetica" w:hAnsi="Helvetica"/>
                <w:sz w:val="16"/>
              </w:rPr>
            </w:pPr>
          </w:p>
          <w:p w:rsidR="00D221CA" w:rsidRDefault="00D221CA" w14:paraId="59A7D857" w14:textId="77777777">
            <w:pPr>
              <w:tabs>
                <w:tab w:val="left" w:pos="240"/>
              </w:tabs>
              <w:rPr>
                <w:rFonts w:ascii="Helvetica" w:hAnsi="Helvetica"/>
                <w:sz w:val="16"/>
              </w:rPr>
            </w:pPr>
          </w:p>
          <w:p w:rsidR="00D221CA" w:rsidRDefault="00D221CA" w14:paraId="17236A48" w14:textId="77777777">
            <w:pPr>
              <w:tabs>
                <w:tab w:val="left" w:pos="240"/>
              </w:tabs>
              <w:rPr>
                <w:rFonts w:ascii="Helvetica" w:hAnsi="Helvetica"/>
                <w:sz w:val="16"/>
              </w:rPr>
            </w:pPr>
          </w:p>
          <w:p w:rsidR="00D221CA" w:rsidRDefault="00D221CA" w14:paraId="44B11C7B" w14:textId="77777777">
            <w:pPr>
              <w:tabs>
                <w:tab w:val="left" w:pos="240"/>
              </w:tabs>
              <w:rPr>
                <w:rFonts w:ascii="Helvetica" w:hAnsi="Helvetica"/>
                <w:sz w:val="16"/>
              </w:rPr>
            </w:pPr>
            <w:r>
              <w:rPr>
                <w:rFonts w:ascii="Helvetica" w:hAnsi="Helvetica"/>
                <w:sz w:val="16"/>
              </w:rPr>
              <w:t>X</w:t>
            </w:r>
          </w:p>
          <w:p w:rsidR="00D221CA" w:rsidRDefault="00D41FB3" w14:paraId="599E69BB" w14:textId="77777777">
            <w:pPr>
              <w:tabs>
                <w:tab w:val="left" w:pos="240"/>
              </w:tabs>
              <w:rPr>
                <w:rFonts w:ascii="Helvetica" w:hAnsi="Helvetica"/>
                <w:sz w:val="16"/>
              </w:rPr>
            </w:pPr>
            <w:r>
              <w:rPr>
                <w:rFonts w:ascii="Helvetica" w:hAnsi="Helvetica"/>
                <w:sz w:val="16"/>
              </w:rPr>
              <w:t>Kevin J. Gallagher</w:t>
            </w:r>
            <w:r w:rsidR="00196D06">
              <w:rPr>
                <w:rFonts w:ascii="Helvetica" w:hAnsi="Helvetica"/>
                <w:sz w:val="16"/>
              </w:rPr>
              <w:t xml:space="preserve">, </w:t>
            </w:r>
            <w:r>
              <w:rPr>
                <w:rFonts w:ascii="Helvetica" w:hAnsi="Helvetica"/>
                <w:sz w:val="16"/>
              </w:rPr>
              <w:t>Director</w:t>
            </w:r>
          </w:p>
          <w:p w:rsidR="00D221CA" w:rsidP="00D41FB3" w:rsidRDefault="00561D93" w14:paraId="2D4B1CFA" w14:textId="77777777">
            <w:pPr>
              <w:tabs>
                <w:tab w:val="left" w:pos="240"/>
              </w:tabs>
              <w:rPr>
                <w:rFonts w:ascii="Helvetica" w:hAnsi="Helvetica"/>
                <w:sz w:val="16"/>
              </w:rPr>
            </w:pPr>
            <w:r>
              <w:rPr>
                <w:rFonts w:ascii="Helvetica" w:hAnsi="Helvetica"/>
                <w:sz w:val="16"/>
              </w:rPr>
              <w:t>Office of Pub</w:t>
            </w:r>
            <w:r w:rsidR="00196D06">
              <w:rPr>
                <w:rFonts w:ascii="Helvetica" w:hAnsi="Helvetica"/>
                <w:sz w:val="16"/>
              </w:rPr>
              <w:t xml:space="preserve">lic and Indian Housing, </w:t>
            </w:r>
            <w:r w:rsidR="00D41FB3">
              <w:rPr>
                <w:rFonts w:ascii="Helvetica" w:hAnsi="Helvetica"/>
                <w:sz w:val="16"/>
              </w:rPr>
              <w:t>Public Housing Financial Management Division</w:t>
            </w:r>
          </w:p>
        </w:tc>
        <w:tc>
          <w:tcPr>
            <w:tcW w:w="2628" w:type="dxa"/>
            <w:tcBorders>
              <w:top w:val="single" w:color="auto" w:sz="6" w:space="0"/>
              <w:left w:val="single" w:color="auto" w:sz="6" w:space="0"/>
              <w:bottom w:val="single" w:color="auto" w:sz="6" w:space="0"/>
            </w:tcBorders>
          </w:tcPr>
          <w:p w:rsidR="00D221CA" w:rsidRDefault="00D221CA" w14:paraId="35A367D5" w14:textId="77777777">
            <w:pPr>
              <w:tabs>
                <w:tab w:val="left" w:pos="240"/>
              </w:tabs>
              <w:rPr>
                <w:rFonts w:ascii="Helvetica" w:hAnsi="Helvetica"/>
                <w:sz w:val="16"/>
              </w:rPr>
            </w:pPr>
            <w:r>
              <w:rPr>
                <w:rFonts w:ascii="Helvetica" w:hAnsi="Helvetica"/>
                <w:sz w:val="16"/>
              </w:rPr>
              <w:t>Date:</w:t>
            </w:r>
          </w:p>
        </w:tc>
      </w:tr>
    </w:tbl>
    <w:p w:rsidR="00D221CA" w:rsidRDefault="00D221CA" w14:paraId="34DA34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rsidR="00D221CA" w:rsidRDefault="00D221CA" w14:paraId="322E9A8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D221CA" w:rsidRDefault="00D221CA" w14:paraId="40EB3317" w14:textId="77777777">
      <w:pPr>
        <w:rPr>
          <w:b/>
          <w:bCs/>
          <w:color w:val="000000"/>
          <w:sz w:val="24"/>
        </w:rPr>
      </w:pPr>
      <w:r>
        <w:rPr>
          <w:b/>
          <w:bCs/>
          <w:sz w:val="24"/>
        </w:rPr>
        <w:t>A.  Justi</w:t>
      </w:r>
      <w:r>
        <w:rPr>
          <w:b/>
          <w:bCs/>
          <w:color w:val="000000"/>
          <w:sz w:val="24"/>
        </w:rPr>
        <w:t>fication</w:t>
      </w:r>
    </w:p>
    <w:p w:rsidR="00D221CA" w:rsidRDefault="00D221CA" w14:paraId="1A13D179" w14:textId="77777777">
      <w:pPr>
        <w:rPr>
          <w:color w:val="000000"/>
          <w:sz w:val="24"/>
        </w:rPr>
      </w:pPr>
    </w:p>
    <w:p w:rsidRPr="00F15617" w:rsidR="00152F7C" w:rsidP="00152F7C" w:rsidRDefault="00D221CA" w14:paraId="0557D9D0" w14:textId="77777777">
      <w:pPr>
        <w:numPr>
          <w:ilvl w:val="0"/>
          <w:numId w:val="32"/>
        </w:numPr>
        <w:rPr>
          <w:sz w:val="24"/>
          <w:szCs w:val="24"/>
        </w:rPr>
      </w:pPr>
      <w:r w:rsidRPr="00F15617">
        <w:rPr>
          <w:sz w:val="24"/>
          <w:szCs w:val="24"/>
        </w:rPr>
        <w:t>This is a</w:t>
      </w:r>
      <w:r w:rsidRPr="00F15617" w:rsidR="007904A8">
        <w:rPr>
          <w:sz w:val="24"/>
          <w:szCs w:val="24"/>
        </w:rPr>
        <w:t>n extension</w:t>
      </w:r>
      <w:r w:rsidRPr="00F15617">
        <w:rPr>
          <w:sz w:val="24"/>
          <w:szCs w:val="24"/>
        </w:rPr>
        <w:t xml:space="preserve"> of a currently approved information collection, the Allocation of </w:t>
      </w:r>
      <w:r w:rsidRPr="00F15617">
        <w:rPr>
          <w:bCs/>
          <w:sz w:val="24"/>
          <w:szCs w:val="24"/>
        </w:rPr>
        <w:t xml:space="preserve">Operating </w:t>
      </w:r>
      <w:r w:rsidR="00D17C92">
        <w:rPr>
          <w:bCs/>
          <w:sz w:val="24"/>
          <w:szCs w:val="24"/>
        </w:rPr>
        <w:t>Fund Grants</w:t>
      </w:r>
      <w:r w:rsidRPr="00F15617">
        <w:rPr>
          <w:bCs/>
          <w:sz w:val="24"/>
          <w:szCs w:val="24"/>
        </w:rPr>
        <w:t xml:space="preserve"> under the Operating Fund Formula:  Data Collection</w:t>
      </w:r>
      <w:r w:rsidRPr="00F15617">
        <w:rPr>
          <w:sz w:val="24"/>
          <w:szCs w:val="24"/>
        </w:rPr>
        <w:t xml:space="preserve">. </w:t>
      </w:r>
      <w:r w:rsidRPr="00F15617" w:rsidR="000D20DA">
        <w:rPr>
          <w:sz w:val="24"/>
          <w:szCs w:val="24"/>
        </w:rPr>
        <w:t>The t</w:t>
      </w:r>
      <w:r w:rsidRPr="00F15617" w:rsidR="009F5AF3">
        <w:rPr>
          <w:sz w:val="24"/>
          <w:szCs w:val="24"/>
        </w:rPr>
        <w:t xml:space="preserve">wo </w:t>
      </w:r>
      <w:r w:rsidRPr="00F15617">
        <w:rPr>
          <w:sz w:val="24"/>
          <w:szCs w:val="24"/>
        </w:rPr>
        <w:t xml:space="preserve">forms listed in this collection </w:t>
      </w:r>
      <w:r w:rsidRPr="00F15617" w:rsidR="00CB3C8A">
        <w:rPr>
          <w:sz w:val="24"/>
          <w:szCs w:val="24"/>
        </w:rPr>
        <w:t>are electronic templates that Public Housing Agencies (PHAs) will send to HUD.</w:t>
      </w:r>
      <w:r w:rsidRPr="00F15617" w:rsidR="009F5AF3">
        <w:rPr>
          <w:sz w:val="24"/>
          <w:szCs w:val="24"/>
        </w:rPr>
        <w:t xml:space="preserve"> </w:t>
      </w:r>
      <w:r w:rsidRPr="00F15617" w:rsidR="002C2166">
        <w:rPr>
          <w:sz w:val="24"/>
          <w:szCs w:val="24"/>
        </w:rPr>
        <w:t xml:space="preserve"> PHAs submit forms HUD-52723, Operating </w:t>
      </w:r>
      <w:r w:rsidR="00D17C92">
        <w:rPr>
          <w:sz w:val="24"/>
          <w:szCs w:val="24"/>
        </w:rPr>
        <w:t>Fund Grant: Calculation of Total Program Expenses</w:t>
      </w:r>
      <w:r w:rsidRPr="00F15617" w:rsidR="002C2166">
        <w:rPr>
          <w:sz w:val="24"/>
          <w:szCs w:val="24"/>
        </w:rPr>
        <w:t xml:space="preserve"> and HUD-52722, </w:t>
      </w:r>
      <w:r w:rsidRPr="00F15617" w:rsidR="00D17C92">
        <w:rPr>
          <w:sz w:val="24"/>
          <w:szCs w:val="24"/>
        </w:rPr>
        <w:t xml:space="preserve">Operating </w:t>
      </w:r>
      <w:r w:rsidR="00D17C92">
        <w:rPr>
          <w:sz w:val="24"/>
          <w:szCs w:val="24"/>
        </w:rPr>
        <w:t xml:space="preserve">Fund Grant: </w:t>
      </w:r>
      <w:r w:rsidRPr="00F15617" w:rsidR="002C2166">
        <w:rPr>
          <w:sz w:val="24"/>
          <w:szCs w:val="24"/>
        </w:rPr>
        <w:t>Calculation of Utilities Expense Level through an electronic template</w:t>
      </w:r>
      <w:r w:rsidRPr="00F15617" w:rsidR="000D20DA">
        <w:rPr>
          <w:sz w:val="24"/>
          <w:szCs w:val="24"/>
        </w:rPr>
        <w:t>.</w:t>
      </w:r>
    </w:p>
    <w:p w:rsidRPr="00F15617" w:rsidR="00152F7C" w:rsidP="00152F7C" w:rsidRDefault="00152F7C" w14:paraId="164BC5A6" w14:textId="77777777">
      <w:pPr>
        <w:ind w:left="720"/>
        <w:rPr>
          <w:sz w:val="24"/>
          <w:szCs w:val="24"/>
        </w:rPr>
      </w:pPr>
    </w:p>
    <w:p w:rsidRPr="00F15617" w:rsidR="00152F7C" w:rsidP="00152F7C" w:rsidRDefault="002F5C2B" w14:paraId="73EA36E9" w14:textId="77777777">
      <w:pPr>
        <w:ind w:left="720"/>
        <w:rPr>
          <w:sz w:val="24"/>
          <w:szCs w:val="24"/>
        </w:rPr>
      </w:pPr>
      <w:r w:rsidRPr="00F15617">
        <w:rPr>
          <w:sz w:val="24"/>
          <w:szCs w:val="24"/>
        </w:rPr>
        <w:t xml:space="preserve">Section 9 (42 USC 1437g) of the United States Housing Act of 1937 (the Act) established the operating fund for purposes of making assistance available to PHAs for the operation and management of public housing (see </w:t>
      </w:r>
      <w:r w:rsidRPr="00F15617">
        <w:rPr>
          <w:b/>
          <w:sz w:val="24"/>
          <w:szCs w:val="24"/>
        </w:rPr>
        <w:t>Exhibit A</w:t>
      </w:r>
      <w:r w:rsidRPr="00F15617">
        <w:rPr>
          <w:sz w:val="24"/>
          <w:szCs w:val="24"/>
        </w:rPr>
        <w:t xml:space="preserve">).  </w:t>
      </w:r>
      <w:r w:rsidRPr="00F15617" w:rsidR="00D221CA">
        <w:rPr>
          <w:sz w:val="24"/>
          <w:szCs w:val="24"/>
        </w:rPr>
        <w:t xml:space="preserve">The Operating Fund Program </w:t>
      </w:r>
      <w:r w:rsidRPr="00F15617">
        <w:rPr>
          <w:sz w:val="24"/>
          <w:szCs w:val="24"/>
        </w:rPr>
        <w:t xml:space="preserve">then </w:t>
      </w:r>
      <w:r w:rsidRPr="00F15617" w:rsidR="00D221CA">
        <w:rPr>
          <w:sz w:val="24"/>
          <w:szCs w:val="24"/>
        </w:rPr>
        <w:t xml:space="preserve">provides operating </w:t>
      </w:r>
      <w:r w:rsidR="00D17C92">
        <w:rPr>
          <w:sz w:val="24"/>
          <w:szCs w:val="24"/>
        </w:rPr>
        <w:t>funds</w:t>
      </w:r>
      <w:r w:rsidRPr="00F15617" w:rsidR="00D221CA">
        <w:rPr>
          <w:sz w:val="24"/>
          <w:szCs w:val="24"/>
        </w:rPr>
        <w:t xml:space="preserve"> of roughly $</w:t>
      </w:r>
      <w:r w:rsidRPr="00F15617" w:rsidR="007904A8">
        <w:rPr>
          <w:sz w:val="24"/>
          <w:szCs w:val="24"/>
        </w:rPr>
        <w:t>4.</w:t>
      </w:r>
      <w:r w:rsidRPr="00F15617" w:rsidR="00152F7C">
        <w:rPr>
          <w:sz w:val="24"/>
          <w:szCs w:val="24"/>
        </w:rPr>
        <w:t>5</w:t>
      </w:r>
      <w:r w:rsidRPr="00F15617" w:rsidR="00D221CA">
        <w:rPr>
          <w:sz w:val="24"/>
          <w:szCs w:val="24"/>
        </w:rPr>
        <w:t xml:space="preserve"> billion annually to </w:t>
      </w:r>
      <w:r w:rsidRPr="00F15617">
        <w:rPr>
          <w:sz w:val="24"/>
          <w:szCs w:val="24"/>
        </w:rPr>
        <w:t xml:space="preserve">approximately </w:t>
      </w:r>
      <w:r w:rsidRPr="00F15617" w:rsidR="00F15617">
        <w:rPr>
          <w:sz w:val="24"/>
          <w:szCs w:val="24"/>
        </w:rPr>
        <w:t>3,0</w:t>
      </w:r>
      <w:r w:rsidRPr="00F15617">
        <w:rPr>
          <w:sz w:val="24"/>
          <w:szCs w:val="24"/>
        </w:rPr>
        <w:t>00</w:t>
      </w:r>
      <w:r w:rsidRPr="00F15617" w:rsidR="00F93156">
        <w:rPr>
          <w:sz w:val="24"/>
          <w:szCs w:val="24"/>
        </w:rPr>
        <w:t xml:space="preserve"> </w:t>
      </w:r>
      <w:r w:rsidRPr="00F15617" w:rsidR="00D221CA">
        <w:rPr>
          <w:sz w:val="24"/>
          <w:szCs w:val="24"/>
        </w:rPr>
        <w:t>PHAs to fund the</w:t>
      </w:r>
      <w:r w:rsidRPr="00F15617">
        <w:rPr>
          <w:sz w:val="24"/>
          <w:szCs w:val="24"/>
        </w:rPr>
        <w:t>ir</w:t>
      </w:r>
      <w:r w:rsidRPr="00F15617" w:rsidR="00D221CA">
        <w:rPr>
          <w:sz w:val="24"/>
          <w:szCs w:val="24"/>
        </w:rPr>
        <w:t xml:space="preserve"> operating and maintena</w:t>
      </w:r>
      <w:r w:rsidRPr="00F15617" w:rsidR="00F15617">
        <w:rPr>
          <w:sz w:val="24"/>
          <w:szCs w:val="24"/>
        </w:rPr>
        <w:t>nce expenses associated with 1</w:t>
      </w:r>
      <w:r w:rsidRPr="00F15617" w:rsidR="00D221CA">
        <w:rPr>
          <w:sz w:val="24"/>
          <w:szCs w:val="24"/>
        </w:rPr>
        <w:t xml:space="preserve"> million public housing units.  The 1937 Act limits eligibility for public housing to low-income families and caps the public housing rents at 30 percent of a family’s income.  Accordingly, PHAs rely on the HUD operating </w:t>
      </w:r>
      <w:r w:rsidR="00D17C92">
        <w:rPr>
          <w:sz w:val="24"/>
          <w:szCs w:val="24"/>
        </w:rPr>
        <w:t>funds</w:t>
      </w:r>
      <w:r w:rsidRPr="00F15617" w:rsidR="00D221CA">
        <w:rPr>
          <w:sz w:val="24"/>
          <w:szCs w:val="24"/>
        </w:rPr>
        <w:t xml:space="preserve">, </w:t>
      </w:r>
      <w:r w:rsidRPr="00F15617" w:rsidR="007B5BEF">
        <w:rPr>
          <w:sz w:val="24"/>
          <w:szCs w:val="24"/>
        </w:rPr>
        <w:t>as well as</w:t>
      </w:r>
      <w:r w:rsidRPr="00F15617" w:rsidR="00D221CA">
        <w:rPr>
          <w:sz w:val="24"/>
          <w:szCs w:val="24"/>
        </w:rPr>
        <w:t xml:space="preserve"> rental income, to cover a significant amount of the costs associated with operating their public housing units.</w:t>
      </w:r>
    </w:p>
    <w:p w:rsidRPr="00F15617" w:rsidR="00152F7C" w:rsidP="00152F7C" w:rsidRDefault="00152F7C" w14:paraId="7B497F07" w14:textId="77777777">
      <w:pPr>
        <w:ind w:left="720"/>
        <w:rPr>
          <w:sz w:val="24"/>
          <w:szCs w:val="24"/>
        </w:rPr>
      </w:pPr>
    </w:p>
    <w:p w:rsidRPr="00F15617" w:rsidR="00F15617" w:rsidP="00F15617" w:rsidRDefault="00D221CA" w14:paraId="4D9B2F72" w14:textId="77777777">
      <w:pPr>
        <w:ind w:left="720"/>
        <w:rPr>
          <w:sz w:val="24"/>
          <w:szCs w:val="24"/>
        </w:rPr>
      </w:pPr>
      <w:r w:rsidRPr="00F15617">
        <w:rPr>
          <w:sz w:val="24"/>
          <w:szCs w:val="24"/>
        </w:rPr>
        <w:t xml:space="preserve">The </w:t>
      </w:r>
      <w:r w:rsidRPr="00F15617" w:rsidR="005D3D03">
        <w:rPr>
          <w:sz w:val="24"/>
          <w:szCs w:val="24"/>
        </w:rPr>
        <w:t xml:space="preserve">funding formula in the </w:t>
      </w:r>
      <w:r w:rsidRPr="00F15617">
        <w:rPr>
          <w:sz w:val="24"/>
          <w:szCs w:val="24"/>
        </w:rPr>
        <w:t>Operating Fund Program rule</w:t>
      </w:r>
      <w:r w:rsidRPr="00F15617" w:rsidR="001B1484">
        <w:rPr>
          <w:sz w:val="24"/>
          <w:szCs w:val="24"/>
        </w:rPr>
        <w:t xml:space="preserve">, 24 CFR part 990 (See </w:t>
      </w:r>
      <w:r w:rsidRPr="00F15617" w:rsidR="001B1484">
        <w:rPr>
          <w:b/>
          <w:sz w:val="24"/>
          <w:szCs w:val="24"/>
        </w:rPr>
        <w:t>Exhibit B</w:t>
      </w:r>
      <w:r w:rsidRPr="00F15617" w:rsidR="00152F7C">
        <w:rPr>
          <w:sz w:val="24"/>
          <w:szCs w:val="24"/>
        </w:rPr>
        <w:t>), provides</w:t>
      </w:r>
      <w:r w:rsidRPr="00F15617" w:rsidR="002C2166">
        <w:rPr>
          <w:sz w:val="24"/>
          <w:szCs w:val="24"/>
        </w:rPr>
        <w:t xml:space="preserve"> </w:t>
      </w:r>
      <w:r w:rsidRPr="00F15617" w:rsidR="005D3D03">
        <w:rPr>
          <w:sz w:val="24"/>
          <w:szCs w:val="24"/>
        </w:rPr>
        <w:t xml:space="preserve">for </w:t>
      </w:r>
      <w:r w:rsidRPr="00F15617" w:rsidR="002C2166">
        <w:rPr>
          <w:sz w:val="24"/>
          <w:szCs w:val="24"/>
        </w:rPr>
        <w:t xml:space="preserve">funding directly to </w:t>
      </w:r>
      <w:r w:rsidRPr="00F15617" w:rsidR="005D3D03">
        <w:rPr>
          <w:sz w:val="24"/>
          <w:szCs w:val="24"/>
        </w:rPr>
        <w:t xml:space="preserve">each of the </w:t>
      </w:r>
      <w:r w:rsidRPr="00F15617" w:rsidR="00F15617">
        <w:rPr>
          <w:sz w:val="24"/>
          <w:szCs w:val="24"/>
        </w:rPr>
        <w:t xml:space="preserve">approximately 7,000 </w:t>
      </w:r>
      <w:r w:rsidRPr="00F15617" w:rsidR="002C2166">
        <w:rPr>
          <w:sz w:val="24"/>
          <w:szCs w:val="24"/>
        </w:rPr>
        <w:t>asset management properties (or projects)</w:t>
      </w:r>
      <w:r w:rsidRPr="00F15617" w:rsidR="005D3D03">
        <w:rPr>
          <w:sz w:val="24"/>
          <w:szCs w:val="24"/>
        </w:rPr>
        <w:t xml:space="preserve"> and in accordance with the</w:t>
      </w:r>
      <w:r w:rsidRPr="00F15617">
        <w:rPr>
          <w:sz w:val="24"/>
          <w:szCs w:val="24"/>
        </w:rPr>
        <w:t xml:space="preserve"> </w:t>
      </w:r>
      <w:r w:rsidRPr="00F15617" w:rsidR="00152F7C">
        <w:rPr>
          <w:sz w:val="24"/>
          <w:szCs w:val="24"/>
        </w:rPr>
        <w:t>rule HUD</w:t>
      </w:r>
      <w:r w:rsidRPr="00F15617" w:rsidR="00561D93">
        <w:rPr>
          <w:sz w:val="24"/>
          <w:szCs w:val="24"/>
        </w:rPr>
        <w:t xml:space="preserve"> </w:t>
      </w:r>
      <w:r w:rsidRPr="00F15617">
        <w:rPr>
          <w:sz w:val="24"/>
          <w:szCs w:val="24"/>
        </w:rPr>
        <w:t>allocate</w:t>
      </w:r>
      <w:r w:rsidRPr="00F15617" w:rsidR="005D3D03">
        <w:rPr>
          <w:sz w:val="24"/>
          <w:szCs w:val="24"/>
        </w:rPr>
        <w:t>s</w:t>
      </w:r>
      <w:r w:rsidRPr="00F15617">
        <w:rPr>
          <w:sz w:val="24"/>
          <w:szCs w:val="24"/>
        </w:rPr>
        <w:t xml:space="preserve"> the </w:t>
      </w:r>
      <w:r w:rsidRPr="00F15617" w:rsidR="00F15617">
        <w:rPr>
          <w:sz w:val="24"/>
          <w:szCs w:val="24"/>
        </w:rPr>
        <w:t>funding directly</w:t>
      </w:r>
      <w:r w:rsidRPr="00F15617">
        <w:rPr>
          <w:sz w:val="24"/>
          <w:szCs w:val="24"/>
        </w:rPr>
        <w:t xml:space="preserve"> to </w:t>
      </w:r>
      <w:r w:rsidRPr="00F15617" w:rsidR="005D3D03">
        <w:rPr>
          <w:sz w:val="24"/>
          <w:szCs w:val="24"/>
        </w:rPr>
        <w:t xml:space="preserve">the </w:t>
      </w:r>
      <w:r w:rsidRPr="00F15617">
        <w:rPr>
          <w:sz w:val="24"/>
          <w:szCs w:val="24"/>
        </w:rPr>
        <w:t xml:space="preserve">approximately </w:t>
      </w:r>
      <w:r w:rsidRPr="00F15617" w:rsidR="00F15617">
        <w:rPr>
          <w:sz w:val="24"/>
          <w:szCs w:val="24"/>
        </w:rPr>
        <w:t>7,000</w:t>
      </w:r>
      <w:r w:rsidRPr="00F15617">
        <w:rPr>
          <w:sz w:val="24"/>
          <w:szCs w:val="24"/>
        </w:rPr>
        <w:t xml:space="preserve"> asset management properties</w:t>
      </w:r>
      <w:r w:rsidRPr="00F15617" w:rsidR="003F4B24">
        <w:rPr>
          <w:sz w:val="24"/>
          <w:szCs w:val="24"/>
        </w:rPr>
        <w:t xml:space="preserve"> (or projects)</w:t>
      </w:r>
      <w:r w:rsidRPr="00F15617">
        <w:rPr>
          <w:sz w:val="24"/>
          <w:szCs w:val="24"/>
        </w:rPr>
        <w:t>.</w:t>
      </w:r>
    </w:p>
    <w:p w:rsidRPr="00F15617" w:rsidR="00F15617" w:rsidP="00F15617" w:rsidRDefault="00F15617" w14:paraId="557804A6" w14:textId="77777777">
      <w:pPr>
        <w:ind w:left="720"/>
        <w:rPr>
          <w:sz w:val="24"/>
          <w:szCs w:val="24"/>
        </w:rPr>
      </w:pPr>
    </w:p>
    <w:p w:rsidRPr="00F15617" w:rsidR="00D221CA" w:rsidP="00F15617" w:rsidRDefault="00D221CA" w14:paraId="78574525" w14:textId="77777777">
      <w:pPr>
        <w:numPr>
          <w:ilvl w:val="0"/>
          <w:numId w:val="32"/>
        </w:numPr>
        <w:rPr>
          <w:sz w:val="24"/>
          <w:szCs w:val="24"/>
        </w:rPr>
      </w:pPr>
      <w:r w:rsidRPr="00F15617">
        <w:rPr>
          <w:sz w:val="24"/>
          <w:szCs w:val="24"/>
        </w:rPr>
        <w:t xml:space="preserve">HUD is requesting Paperwork Reduction Act </w:t>
      </w:r>
      <w:r w:rsidRPr="00F15617" w:rsidR="00600D8E">
        <w:rPr>
          <w:sz w:val="24"/>
          <w:szCs w:val="24"/>
        </w:rPr>
        <w:t>approval to</w:t>
      </w:r>
      <w:r w:rsidRPr="00F15617" w:rsidR="00AC006F">
        <w:rPr>
          <w:sz w:val="24"/>
          <w:szCs w:val="24"/>
        </w:rPr>
        <w:t xml:space="preserve"> </w:t>
      </w:r>
      <w:r w:rsidRPr="00F15617">
        <w:rPr>
          <w:sz w:val="24"/>
          <w:szCs w:val="24"/>
        </w:rPr>
        <w:t xml:space="preserve">collect from each PHA, </w:t>
      </w:r>
      <w:r w:rsidRPr="00F15617" w:rsidR="001B1484">
        <w:rPr>
          <w:sz w:val="24"/>
          <w:szCs w:val="24"/>
        </w:rPr>
        <w:t xml:space="preserve">by </w:t>
      </w:r>
      <w:r w:rsidRPr="00F15617" w:rsidR="003F4B24">
        <w:rPr>
          <w:sz w:val="24"/>
          <w:szCs w:val="24"/>
        </w:rPr>
        <w:t>project</w:t>
      </w:r>
      <w:r w:rsidRPr="00F15617" w:rsidR="001B1484">
        <w:rPr>
          <w:sz w:val="24"/>
          <w:szCs w:val="24"/>
        </w:rPr>
        <w:t>,</w:t>
      </w:r>
      <w:r w:rsidRPr="00F15617" w:rsidR="00AC006F">
        <w:rPr>
          <w:sz w:val="24"/>
          <w:szCs w:val="24"/>
        </w:rPr>
        <w:t xml:space="preserve"> information</w:t>
      </w:r>
      <w:r w:rsidRPr="00F15617">
        <w:rPr>
          <w:sz w:val="24"/>
          <w:szCs w:val="24"/>
        </w:rPr>
        <w:t xml:space="preserve"> to </w:t>
      </w:r>
      <w:r w:rsidR="006968C3">
        <w:rPr>
          <w:sz w:val="24"/>
          <w:szCs w:val="24"/>
        </w:rPr>
        <w:t>calculate</w:t>
      </w:r>
      <w:r w:rsidRPr="00F15617" w:rsidR="00AC006F">
        <w:rPr>
          <w:sz w:val="24"/>
          <w:szCs w:val="24"/>
        </w:rPr>
        <w:t xml:space="preserve"> and fund </w:t>
      </w:r>
      <w:r w:rsidRPr="00F15617">
        <w:rPr>
          <w:sz w:val="24"/>
          <w:szCs w:val="24"/>
        </w:rPr>
        <w:t>the PHA’s share of the operating fund appropriation amount.</w:t>
      </w:r>
      <w:r w:rsidRPr="00F15617" w:rsidR="00F15617">
        <w:rPr>
          <w:sz w:val="24"/>
          <w:szCs w:val="24"/>
        </w:rPr>
        <w:t xml:space="preserve"> </w:t>
      </w:r>
      <w:r w:rsidRPr="00F15617">
        <w:rPr>
          <w:sz w:val="24"/>
          <w:szCs w:val="24"/>
        </w:rPr>
        <w:t xml:space="preserve">The table below </w:t>
      </w:r>
      <w:r w:rsidRPr="00F15617" w:rsidR="00AC006F">
        <w:rPr>
          <w:sz w:val="24"/>
          <w:szCs w:val="24"/>
        </w:rPr>
        <w:t>describe</w:t>
      </w:r>
      <w:r w:rsidRPr="00F15617" w:rsidR="001B1484">
        <w:rPr>
          <w:sz w:val="24"/>
          <w:szCs w:val="24"/>
        </w:rPr>
        <w:t>s</w:t>
      </w:r>
      <w:r w:rsidRPr="00F15617" w:rsidR="00AC006F">
        <w:rPr>
          <w:sz w:val="24"/>
          <w:szCs w:val="24"/>
        </w:rPr>
        <w:t xml:space="preserve"> the two forms covered by this collection: </w:t>
      </w:r>
      <w:r w:rsidRPr="00F15617">
        <w:rPr>
          <w:sz w:val="24"/>
          <w:szCs w:val="24"/>
        </w:rPr>
        <w:t xml:space="preserve"> </w:t>
      </w:r>
    </w:p>
    <w:p w:rsidR="00D221CA" w:rsidRDefault="00D221CA" w14:paraId="47048B69" w14:textId="77777777">
      <w:pPr>
        <w:rPr>
          <w:sz w:val="24"/>
        </w:rPr>
      </w:pPr>
    </w:p>
    <w:p w:rsidR="00766C7B" w:rsidRDefault="00766C7B" w14:paraId="14651570" w14:textId="77777777">
      <w:pPr>
        <w:rPr>
          <w:sz w:val="24"/>
        </w:rPr>
      </w:pPr>
    </w:p>
    <w:tbl>
      <w:tblPr>
        <w:tblW w:w="1089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70"/>
        <w:gridCol w:w="1500"/>
        <w:gridCol w:w="1800"/>
        <w:gridCol w:w="7020"/>
      </w:tblGrid>
      <w:tr w:rsidR="00D221CA" w14:paraId="640965BD" w14:textId="77777777">
        <w:trPr>
          <w:cantSplit/>
          <w:tblHeader/>
        </w:trPr>
        <w:tc>
          <w:tcPr>
            <w:tcW w:w="10890" w:type="dxa"/>
            <w:gridSpan w:val="4"/>
          </w:tcPr>
          <w:p w:rsidR="00D221CA" w:rsidRDefault="00D221CA" w14:paraId="04F41872" w14:textId="77777777">
            <w:pPr>
              <w:jc w:val="center"/>
              <w:rPr>
                <w:b/>
                <w:bCs/>
                <w:color w:val="000000"/>
                <w:sz w:val="24"/>
              </w:rPr>
            </w:pPr>
            <w:r>
              <w:rPr>
                <w:sz w:val="24"/>
              </w:rPr>
              <w:br w:type="page"/>
            </w:r>
            <w:r>
              <w:rPr>
                <w:b/>
                <w:bCs/>
                <w:color w:val="000000"/>
                <w:sz w:val="24"/>
              </w:rPr>
              <w:t xml:space="preserve">Allocation of Operating </w:t>
            </w:r>
            <w:r w:rsidR="00BA4292">
              <w:rPr>
                <w:b/>
                <w:bCs/>
                <w:color w:val="000000"/>
                <w:sz w:val="24"/>
              </w:rPr>
              <w:t>Fund Grants</w:t>
            </w:r>
            <w:r>
              <w:rPr>
                <w:b/>
                <w:bCs/>
                <w:color w:val="000000"/>
                <w:sz w:val="24"/>
              </w:rPr>
              <w:t xml:space="preserve"> under the Operating Fund Formula: Data Collection</w:t>
            </w:r>
          </w:p>
          <w:p w:rsidR="00D221CA" w:rsidRDefault="00D221CA" w14:paraId="235A8E14" w14:textId="77777777">
            <w:pPr>
              <w:pStyle w:val="Heading6"/>
              <w:overflowPunct w:val="0"/>
              <w:autoSpaceDE w:val="0"/>
              <w:autoSpaceDN w:val="0"/>
              <w:adjustRightInd w:val="0"/>
              <w:textAlignment w:val="baseline"/>
            </w:pPr>
            <w:r>
              <w:t>OMB Control Number: 2577-0029</w:t>
            </w:r>
          </w:p>
        </w:tc>
      </w:tr>
      <w:tr w:rsidR="00D221CA" w14:paraId="6D1DD990" w14:textId="77777777">
        <w:trPr>
          <w:tblHeader/>
        </w:trPr>
        <w:tc>
          <w:tcPr>
            <w:tcW w:w="570" w:type="dxa"/>
          </w:tcPr>
          <w:p w:rsidR="00D221CA" w:rsidRDefault="00D221CA" w14:paraId="5790E0A5" w14:textId="77777777">
            <w:pPr>
              <w:jc w:val="center"/>
              <w:rPr>
                <w:b/>
                <w:bCs/>
                <w:sz w:val="24"/>
              </w:rPr>
            </w:pPr>
            <w:r>
              <w:rPr>
                <w:b/>
                <w:bCs/>
                <w:sz w:val="24"/>
              </w:rPr>
              <w:t>No.</w:t>
            </w:r>
          </w:p>
        </w:tc>
        <w:tc>
          <w:tcPr>
            <w:tcW w:w="1500" w:type="dxa"/>
          </w:tcPr>
          <w:p w:rsidR="00D221CA" w:rsidRDefault="00D221CA" w14:paraId="6C0703BD" w14:textId="77777777">
            <w:pPr>
              <w:pStyle w:val="Heading6"/>
              <w:overflowPunct w:val="0"/>
              <w:autoSpaceDE w:val="0"/>
              <w:autoSpaceDN w:val="0"/>
              <w:adjustRightInd w:val="0"/>
              <w:textAlignment w:val="baseline"/>
            </w:pPr>
            <w:r>
              <w:t>Form No.</w:t>
            </w:r>
          </w:p>
        </w:tc>
        <w:tc>
          <w:tcPr>
            <w:tcW w:w="1800" w:type="dxa"/>
          </w:tcPr>
          <w:p w:rsidR="00D221CA" w:rsidRDefault="00D221CA" w14:paraId="642755C8" w14:textId="77777777">
            <w:pPr>
              <w:pStyle w:val="Heading6"/>
              <w:overflowPunct w:val="0"/>
              <w:autoSpaceDE w:val="0"/>
              <w:autoSpaceDN w:val="0"/>
              <w:adjustRightInd w:val="0"/>
              <w:textAlignment w:val="baseline"/>
            </w:pPr>
            <w:r>
              <w:t>Form Name</w:t>
            </w:r>
          </w:p>
        </w:tc>
        <w:tc>
          <w:tcPr>
            <w:tcW w:w="7020" w:type="dxa"/>
          </w:tcPr>
          <w:p w:rsidR="00D221CA" w:rsidRDefault="00D221CA" w14:paraId="5412B7B1" w14:textId="77777777">
            <w:pPr>
              <w:pStyle w:val="Heading6"/>
              <w:overflowPunct w:val="0"/>
              <w:autoSpaceDE w:val="0"/>
              <w:autoSpaceDN w:val="0"/>
              <w:adjustRightInd w:val="0"/>
              <w:textAlignment w:val="baseline"/>
            </w:pPr>
            <w:r>
              <w:t>Form Description</w:t>
            </w:r>
          </w:p>
        </w:tc>
      </w:tr>
      <w:tr w:rsidR="00D221CA" w14:paraId="784F187F" w14:textId="77777777">
        <w:tc>
          <w:tcPr>
            <w:tcW w:w="570" w:type="dxa"/>
          </w:tcPr>
          <w:p w:rsidR="00D221CA" w:rsidRDefault="00D221CA" w14:paraId="2D306878" w14:textId="77777777">
            <w:pPr>
              <w:jc w:val="center"/>
              <w:rPr>
                <w:sz w:val="24"/>
              </w:rPr>
            </w:pPr>
            <w:r>
              <w:rPr>
                <w:sz w:val="24"/>
              </w:rPr>
              <w:t>1</w:t>
            </w:r>
          </w:p>
        </w:tc>
        <w:tc>
          <w:tcPr>
            <w:tcW w:w="1500" w:type="dxa"/>
          </w:tcPr>
          <w:p w:rsidR="00D221CA" w:rsidRDefault="00D221CA" w14:paraId="35248083" w14:textId="77777777">
            <w:pPr>
              <w:jc w:val="center"/>
              <w:rPr>
                <w:sz w:val="24"/>
              </w:rPr>
            </w:pPr>
            <w:r>
              <w:rPr>
                <w:sz w:val="24"/>
              </w:rPr>
              <w:t>HUD-52722</w:t>
            </w:r>
          </w:p>
        </w:tc>
        <w:tc>
          <w:tcPr>
            <w:tcW w:w="1800" w:type="dxa"/>
          </w:tcPr>
          <w:p w:rsidR="00D221CA" w:rsidRDefault="00D17C92" w14:paraId="5462EEEA" w14:textId="77777777">
            <w:pPr>
              <w:rPr>
                <w:sz w:val="24"/>
              </w:rPr>
            </w:pPr>
            <w:r w:rsidRPr="00F15617">
              <w:rPr>
                <w:sz w:val="24"/>
                <w:szCs w:val="24"/>
              </w:rPr>
              <w:t xml:space="preserve">Operating </w:t>
            </w:r>
            <w:r>
              <w:rPr>
                <w:sz w:val="24"/>
                <w:szCs w:val="24"/>
              </w:rPr>
              <w:t xml:space="preserve">Fund Grant: </w:t>
            </w:r>
            <w:r w:rsidRPr="00F15617">
              <w:rPr>
                <w:sz w:val="24"/>
                <w:szCs w:val="24"/>
              </w:rPr>
              <w:t>Calculation of Utilities Expense Level</w:t>
            </w:r>
          </w:p>
        </w:tc>
        <w:tc>
          <w:tcPr>
            <w:tcW w:w="7020" w:type="dxa"/>
          </w:tcPr>
          <w:p w:rsidR="00D221CA" w:rsidP="00AC006F" w:rsidRDefault="00D221CA" w14:paraId="7274723A" w14:textId="77777777">
            <w:pPr>
              <w:rPr>
                <w:sz w:val="24"/>
              </w:rPr>
            </w:pPr>
            <w:r>
              <w:rPr>
                <w:sz w:val="24"/>
              </w:rPr>
              <w:t>This form c</w:t>
            </w:r>
            <w:r w:rsidR="00BE0639">
              <w:rPr>
                <w:sz w:val="24"/>
              </w:rPr>
              <w:t>apture</w:t>
            </w:r>
            <w:r w:rsidR="00AC006F">
              <w:rPr>
                <w:sz w:val="24"/>
              </w:rPr>
              <w:t>s</w:t>
            </w:r>
            <w:r>
              <w:rPr>
                <w:sz w:val="24"/>
              </w:rPr>
              <w:t xml:space="preserve"> the utilities consumption levels by type of utility.  The current utility rate is applied to the </w:t>
            </w:r>
            <w:r w:rsidR="00BE0639">
              <w:rPr>
                <w:sz w:val="24"/>
              </w:rPr>
              <w:t xml:space="preserve">average </w:t>
            </w:r>
            <w:r>
              <w:rPr>
                <w:sz w:val="24"/>
              </w:rPr>
              <w:t xml:space="preserve">consumption amounts </w:t>
            </w:r>
            <w:r w:rsidR="00BE0639">
              <w:rPr>
                <w:sz w:val="24"/>
              </w:rPr>
              <w:t xml:space="preserve">over a four-year period </w:t>
            </w:r>
            <w:r>
              <w:rPr>
                <w:sz w:val="24"/>
              </w:rPr>
              <w:t xml:space="preserve">to determine the </w:t>
            </w:r>
            <w:r w:rsidR="00F93156">
              <w:rPr>
                <w:sz w:val="24"/>
              </w:rPr>
              <w:t xml:space="preserve">PHA’s/project’s </w:t>
            </w:r>
            <w:r>
              <w:rPr>
                <w:sz w:val="24"/>
              </w:rPr>
              <w:t>utilit</w:t>
            </w:r>
            <w:r w:rsidR="00F93156">
              <w:rPr>
                <w:sz w:val="24"/>
              </w:rPr>
              <w:t>ies</w:t>
            </w:r>
            <w:r>
              <w:rPr>
                <w:sz w:val="24"/>
              </w:rPr>
              <w:t xml:space="preserve"> </w:t>
            </w:r>
            <w:r w:rsidR="00BE0639">
              <w:rPr>
                <w:sz w:val="24"/>
              </w:rPr>
              <w:t>expense level.</w:t>
            </w:r>
          </w:p>
        </w:tc>
      </w:tr>
      <w:tr w:rsidR="00D221CA" w14:paraId="3FFFAFF4" w14:textId="77777777">
        <w:tc>
          <w:tcPr>
            <w:tcW w:w="570" w:type="dxa"/>
          </w:tcPr>
          <w:p w:rsidR="00D221CA" w:rsidRDefault="00D221CA" w14:paraId="0D6BC30A" w14:textId="77777777">
            <w:pPr>
              <w:jc w:val="center"/>
              <w:rPr>
                <w:sz w:val="24"/>
              </w:rPr>
            </w:pPr>
            <w:r>
              <w:rPr>
                <w:sz w:val="24"/>
              </w:rPr>
              <w:t>2</w:t>
            </w:r>
          </w:p>
        </w:tc>
        <w:tc>
          <w:tcPr>
            <w:tcW w:w="1500" w:type="dxa"/>
          </w:tcPr>
          <w:p w:rsidR="00D221CA" w:rsidRDefault="00D221CA" w14:paraId="7A2616B1" w14:textId="77777777">
            <w:pPr>
              <w:jc w:val="center"/>
              <w:rPr>
                <w:sz w:val="24"/>
              </w:rPr>
            </w:pPr>
            <w:r>
              <w:rPr>
                <w:sz w:val="24"/>
              </w:rPr>
              <w:t>HUD-52723</w:t>
            </w:r>
          </w:p>
        </w:tc>
        <w:tc>
          <w:tcPr>
            <w:tcW w:w="1800" w:type="dxa"/>
          </w:tcPr>
          <w:p w:rsidR="00D221CA" w:rsidRDefault="00D17C92" w14:paraId="2241901E" w14:textId="77777777">
            <w:pPr>
              <w:rPr>
                <w:sz w:val="24"/>
              </w:rPr>
            </w:pPr>
            <w:r w:rsidRPr="00F15617">
              <w:rPr>
                <w:sz w:val="24"/>
                <w:szCs w:val="24"/>
              </w:rPr>
              <w:t xml:space="preserve">Operating </w:t>
            </w:r>
            <w:r>
              <w:rPr>
                <w:sz w:val="24"/>
                <w:szCs w:val="24"/>
              </w:rPr>
              <w:t>Fund Grant: Calculation of Total Program Expenses</w:t>
            </w:r>
          </w:p>
        </w:tc>
        <w:tc>
          <w:tcPr>
            <w:tcW w:w="7020" w:type="dxa"/>
          </w:tcPr>
          <w:p w:rsidR="00D221CA" w:rsidP="00AC006F" w:rsidRDefault="00D221CA" w14:paraId="4842A6A4" w14:textId="77777777">
            <w:pPr>
              <w:rPr>
                <w:sz w:val="24"/>
              </w:rPr>
            </w:pPr>
            <w:r>
              <w:rPr>
                <w:sz w:val="24"/>
              </w:rPr>
              <w:t>This form determine</w:t>
            </w:r>
            <w:r w:rsidR="00AC006F">
              <w:rPr>
                <w:sz w:val="24"/>
              </w:rPr>
              <w:t>s</w:t>
            </w:r>
            <w:r>
              <w:rPr>
                <w:sz w:val="24"/>
              </w:rPr>
              <w:t xml:space="preserve"> a PHA’s</w:t>
            </w:r>
            <w:r w:rsidR="00F93156">
              <w:rPr>
                <w:sz w:val="24"/>
              </w:rPr>
              <w:t>/project’s</w:t>
            </w:r>
            <w:r>
              <w:rPr>
                <w:sz w:val="24"/>
              </w:rPr>
              <w:t xml:space="preserve"> eligibility for operating </w:t>
            </w:r>
            <w:r w:rsidR="00BA4292">
              <w:rPr>
                <w:sz w:val="24"/>
              </w:rPr>
              <w:t>funds</w:t>
            </w:r>
            <w:r w:rsidR="00F93156">
              <w:rPr>
                <w:sz w:val="24"/>
              </w:rPr>
              <w:t>, based on its non-utilities and utilities expense levels and rental income,</w:t>
            </w:r>
            <w:r>
              <w:rPr>
                <w:sz w:val="24"/>
              </w:rPr>
              <w:t xml:space="preserve"> and it is the document by which HUD obligates operating </w:t>
            </w:r>
            <w:r w:rsidR="00D17C92">
              <w:rPr>
                <w:sz w:val="24"/>
              </w:rPr>
              <w:t>funds</w:t>
            </w:r>
            <w:r>
              <w:rPr>
                <w:sz w:val="24"/>
              </w:rPr>
              <w:t xml:space="preserve"> to PHAs</w:t>
            </w:r>
            <w:r w:rsidR="00F93156">
              <w:rPr>
                <w:sz w:val="24"/>
              </w:rPr>
              <w:t>.</w:t>
            </w:r>
            <w:r>
              <w:rPr>
                <w:sz w:val="24"/>
              </w:rPr>
              <w:t xml:space="preserve"> </w:t>
            </w:r>
          </w:p>
        </w:tc>
      </w:tr>
    </w:tbl>
    <w:p w:rsidR="00D221CA" w:rsidRDefault="00D221CA" w14:paraId="4F0DFD54" w14:textId="77777777">
      <w:pPr>
        <w:rPr>
          <w:sz w:val="24"/>
        </w:rPr>
      </w:pPr>
    </w:p>
    <w:p w:rsidR="00F15617" w:rsidP="00F15617" w:rsidRDefault="00DB0310" w14:paraId="66BC699D" w14:textId="77777777">
      <w:pPr>
        <w:pStyle w:val="BodyTextIndent2"/>
        <w:numPr>
          <w:ilvl w:val="0"/>
          <w:numId w:val="32"/>
        </w:numPr>
      </w:pPr>
      <w:bookmarkStart w:name="_Hlk30489458" w:id="8"/>
      <w:r>
        <w:t>HUD collects</w:t>
      </w:r>
      <w:r w:rsidR="00D221CA">
        <w:t xml:space="preserve"> information for </w:t>
      </w:r>
      <w:r w:rsidR="00B44953">
        <w:t xml:space="preserve">HUD-52723 and HUD-52722 </w:t>
      </w:r>
      <w:r>
        <w:t xml:space="preserve">through VBA enhanced Microsoft Excel Tools. </w:t>
      </w:r>
      <w:r w:rsidR="007B4821">
        <w:t>In fiscal year</w:t>
      </w:r>
      <w:r>
        <w:t xml:space="preserve"> 2021, HUD </w:t>
      </w:r>
      <w:r w:rsidR="007B4821">
        <w:t>plans to transition to</w:t>
      </w:r>
      <w:r>
        <w:t xml:space="preserve"> web-based</w:t>
      </w:r>
      <w:r w:rsidR="007B4821">
        <w:t xml:space="preserve"> forms</w:t>
      </w:r>
      <w:r>
        <w:t xml:space="preserve"> HUD-52723 and HUD-52722. </w:t>
      </w:r>
      <w:r w:rsidR="007B4821">
        <w:t>HUD planned a phased</w:t>
      </w:r>
      <w:r>
        <w:t xml:space="preserve"> launch </w:t>
      </w:r>
      <w:r w:rsidR="007B4821">
        <w:t>of the</w:t>
      </w:r>
      <w:r>
        <w:t xml:space="preserve"> web-based collection</w:t>
      </w:r>
      <w:r w:rsidR="007B4821">
        <w:t>. Initially the collection by web-based forms is limited to subset</w:t>
      </w:r>
      <w:r>
        <w:t xml:space="preserve"> PHAs</w:t>
      </w:r>
      <w:r w:rsidR="007B4821">
        <w:t xml:space="preserve"> that HUD expands each subsequent year until all PHAs exclusively use the web-based forms. </w:t>
      </w:r>
      <w:r>
        <w:t xml:space="preserve">PHAs </w:t>
      </w:r>
      <w:r w:rsidR="007B4821">
        <w:t xml:space="preserve">without access to the web-based forms </w:t>
      </w:r>
      <w:r>
        <w:t>continue to use the Excel based forms.</w:t>
      </w:r>
      <w:r w:rsidR="007B4821">
        <w:t xml:space="preserve"> Web-based forms improves the availability of the forms</w:t>
      </w:r>
      <w:r w:rsidR="0020201B">
        <w:t xml:space="preserve"> to PHAs</w:t>
      </w:r>
      <w:r w:rsidR="007B4821">
        <w:t xml:space="preserve">, improves </w:t>
      </w:r>
      <w:r w:rsidR="0020201B">
        <w:t xml:space="preserve">data integrity, and secure transfer of the data from the PHA to HUD. Web-based forms should not increase the burden to complete. </w:t>
      </w:r>
    </w:p>
    <w:bookmarkEnd w:id="8"/>
    <w:p w:rsidR="00F15617" w:rsidP="00F15617" w:rsidRDefault="00F15617" w14:paraId="652C8DAA" w14:textId="77777777">
      <w:pPr>
        <w:pStyle w:val="BodyTextIndent2"/>
        <w:ind w:left="720"/>
      </w:pPr>
    </w:p>
    <w:p w:rsidR="002D6D36" w:rsidP="002D6D36" w:rsidRDefault="00D221CA" w14:paraId="7943A698" w14:textId="77777777">
      <w:pPr>
        <w:pStyle w:val="BodyTextIndent2"/>
        <w:numPr>
          <w:ilvl w:val="0"/>
          <w:numId w:val="32"/>
        </w:numPr>
      </w:pPr>
      <w:r>
        <w:lastRenderedPageBreak/>
        <w:t xml:space="preserve">Currently, HUD’s Public Housing Information Center </w:t>
      </w:r>
      <w:r w:rsidR="00AC006F">
        <w:t>(PIC) system</w:t>
      </w:r>
      <w:r>
        <w:t xml:space="preserve">, </w:t>
      </w:r>
      <w:r w:rsidR="005D3D03">
        <w:t xml:space="preserve">and </w:t>
      </w:r>
      <w:r>
        <w:t xml:space="preserve">specifically the Building and Unit module, captures some of the data elements used </w:t>
      </w:r>
      <w:r w:rsidR="005D3D03">
        <w:t>in the operating fund formula calculation for each project</w:t>
      </w:r>
      <w:r>
        <w:t xml:space="preserve"> (e.g., number of PHA units).  </w:t>
      </w:r>
      <w:r w:rsidR="005D3D03">
        <w:t>And, t</w:t>
      </w:r>
      <w:r w:rsidR="000B1894">
        <w:t xml:space="preserve">he templates </w:t>
      </w:r>
      <w:r w:rsidR="00AC006F">
        <w:t>on the</w:t>
      </w:r>
      <w:r w:rsidR="005D3D03">
        <w:t xml:space="preserve"> required</w:t>
      </w:r>
      <w:r w:rsidR="00AC006F">
        <w:t xml:space="preserve"> HUD forms are</w:t>
      </w:r>
      <w:r w:rsidR="000B1894">
        <w:t xml:space="preserve"> pre-populated with</w:t>
      </w:r>
      <w:r w:rsidR="00AC006F">
        <w:t xml:space="preserve"> this</w:t>
      </w:r>
      <w:r w:rsidR="000B1894">
        <w:t xml:space="preserve"> information.  </w:t>
      </w:r>
      <w:r>
        <w:t xml:space="preserve">However, the majority of elements that comprise the operating fund formula are not captured </w:t>
      </w:r>
      <w:r w:rsidR="007A6387">
        <w:t>elsewhere;</w:t>
      </w:r>
      <w:r w:rsidR="00AC006F">
        <w:t xml:space="preserve"> therefore</w:t>
      </w:r>
      <w:r w:rsidR="005D3D03">
        <w:t>,</w:t>
      </w:r>
      <w:r w:rsidR="00AC006F">
        <w:t xml:space="preserve"> </w:t>
      </w:r>
      <w:r>
        <w:t xml:space="preserve">the submission of data contained in these forms </w:t>
      </w:r>
      <w:r w:rsidR="002C2166">
        <w:t xml:space="preserve">is not duplicated elsewhere. </w:t>
      </w:r>
    </w:p>
    <w:p w:rsidR="002D6D36" w:rsidP="002D6D36" w:rsidRDefault="002D6D36" w14:paraId="335B0E61" w14:textId="77777777">
      <w:pPr>
        <w:pStyle w:val="ListParagraph"/>
      </w:pPr>
    </w:p>
    <w:p w:rsidR="002D6D36" w:rsidP="002D6D36" w:rsidRDefault="00D221CA" w14:paraId="47436E23" w14:textId="77777777">
      <w:pPr>
        <w:pStyle w:val="BodyTextIndent2"/>
        <w:numPr>
          <w:ilvl w:val="0"/>
          <w:numId w:val="32"/>
        </w:numPr>
      </w:pPr>
      <w:r w:rsidRPr="002D6D36">
        <w:t>The information being collected has no significant impact on small businesses or other small entities.</w:t>
      </w:r>
    </w:p>
    <w:p w:rsidR="002D6D36" w:rsidP="002D6D36" w:rsidRDefault="002D6D36" w14:paraId="00E518D3" w14:textId="77777777">
      <w:pPr>
        <w:pStyle w:val="ListParagraph"/>
      </w:pPr>
    </w:p>
    <w:p w:rsidR="002D6D36" w:rsidP="002D6D36" w:rsidRDefault="00D221CA" w14:paraId="6FF5FD8A" w14:textId="77777777">
      <w:pPr>
        <w:pStyle w:val="BodyTextIndent2"/>
        <w:numPr>
          <w:ilvl w:val="0"/>
          <w:numId w:val="32"/>
        </w:numPr>
      </w:pPr>
      <w:r w:rsidRPr="002D6D36">
        <w:t xml:space="preserve">PHAs use the operating fund forms annually to request operating </w:t>
      </w:r>
      <w:r w:rsidR="00BA4292">
        <w:t>funds</w:t>
      </w:r>
      <w:r w:rsidRPr="002D6D36">
        <w:t xml:space="preserve"> and these funds are obligated to PHAs annually.  Without the information provided in these forms, HUD would not be able to distribute the operating fund appropriations it receives each fiscal year.</w:t>
      </w:r>
    </w:p>
    <w:p w:rsidR="002D6D36" w:rsidP="002D6D36" w:rsidRDefault="002D6D36" w14:paraId="4B0C7B63" w14:textId="77777777">
      <w:pPr>
        <w:pStyle w:val="ListParagraph"/>
      </w:pPr>
    </w:p>
    <w:p w:rsidR="002D6D36" w:rsidP="002D6D36" w:rsidRDefault="00D221CA" w14:paraId="38E66BB1" w14:textId="77777777">
      <w:pPr>
        <w:pStyle w:val="BodyTextIndent2"/>
        <w:numPr>
          <w:ilvl w:val="0"/>
          <w:numId w:val="32"/>
        </w:numPr>
      </w:pPr>
      <w:r w:rsidRPr="002D6D36">
        <w:t>There are no special circumstances that require the collection to be conducted in a manner that is incon</w:t>
      </w:r>
      <w:r w:rsidRPr="002D6D36">
        <w:softHyphen/>
        <w:t>sistent with the guidelines in 5 CFR 1320.6.</w:t>
      </w:r>
      <w:r w:rsidR="00FA0D16">
        <w:t xml:space="preserve">  </w:t>
      </w:r>
    </w:p>
    <w:p w:rsidR="00FA0D16" w:rsidP="00FA0D16" w:rsidRDefault="00FA0D16" w14:paraId="7ABE4043" w14:textId="77777777">
      <w:pPr>
        <w:pStyle w:val="ListParagraph"/>
      </w:pPr>
    </w:p>
    <w:p w:rsidRPr="00B86C7A" w:rsidR="00FA0D16" w:rsidP="00FA0D16" w:rsidRDefault="00FA0D16" w14:paraId="6FB437CF" w14:textId="77777777">
      <w:pPr>
        <w:keepLines/>
        <w:numPr>
          <w:ilvl w:val="0"/>
          <w:numId w:val="33"/>
        </w:numPr>
        <w:tabs>
          <w:tab w:val="left" w:pos="360"/>
        </w:tabs>
        <w:spacing w:after="80"/>
        <w:rPr>
          <w:rFonts w:eastAsia="Calibri"/>
          <w:sz w:val="22"/>
          <w:szCs w:val="22"/>
        </w:rPr>
      </w:pPr>
      <w:bookmarkStart w:name="_Hlk494808620" w:id="9"/>
      <w:r w:rsidRPr="007617D9">
        <w:rPr>
          <w:rFonts w:eastAsia="Calibri"/>
          <w:sz w:val="22"/>
          <w:szCs w:val="22"/>
        </w:rPr>
        <w:t xml:space="preserve">requiring respondents to report information to the agency more than quarterly; </w:t>
      </w:r>
      <w:r w:rsidRPr="00FA0D16">
        <w:rPr>
          <w:rFonts w:eastAsia="Calibri"/>
          <w:b/>
          <w:bCs/>
          <w:sz w:val="22"/>
          <w:szCs w:val="22"/>
        </w:rPr>
        <w:t>Not Applicable</w:t>
      </w:r>
    </w:p>
    <w:p w:rsidRPr="00FA0D16" w:rsidR="00B86C7A" w:rsidP="00B86C7A" w:rsidRDefault="00B86C7A" w14:paraId="6FCDE892" w14:textId="77777777">
      <w:pPr>
        <w:keepLines/>
        <w:tabs>
          <w:tab w:val="left" w:pos="360"/>
        </w:tabs>
        <w:spacing w:after="80"/>
        <w:ind w:left="720"/>
        <w:rPr>
          <w:rFonts w:eastAsia="Calibri"/>
          <w:sz w:val="22"/>
          <w:szCs w:val="22"/>
        </w:rPr>
      </w:pPr>
    </w:p>
    <w:p w:rsidRPr="00B86C7A" w:rsidR="00FA0D16" w:rsidP="00FA0D16" w:rsidRDefault="00FA0D16" w14:paraId="49602A4A" w14:textId="77777777">
      <w:pPr>
        <w:keepLines/>
        <w:numPr>
          <w:ilvl w:val="0"/>
          <w:numId w:val="33"/>
        </w:numPr>
        <w:tabs>
          <w:tab w:val="left" w:pos="360"/>
        </w:tabs>
        <w:spacing w:after="80"/>
        <w:rPr>
          <w:rFonts w:eastAsia="Calibri"/>
          <w:sz w:val="22"/>
          <w:szCs w:val="22"/>
        </w:rPr>
      </w:pPr>
      <w:r w:rsidRPr="007617D9">
        <w:rPr>
          <w:rFonts w:eastAsia="Calibri"/>
          <w:sz w:val="22"/>
          <w:szCs w:val="22"/>
        </w:rPr>
        <w:t>requiring respondents to prepare a written response to a collection of information in fewer than 30 days after receipt of it;</w:t>
      </w:r>
      <w:r>
        <w:rPr>
          <w:rFonts w:eastAsia="Calibri"/>
          <w:sz w:val="22"/>
          <w:szCs w:val="22"/>
        </w:rPr>
        <w:t xml:space="preserve"> </w:t>
      </w:r>
      <w:r w:rsidRPr="00FA0D16">
        <w:rPr>
          <w:rFonts w:eastAsia="Calibri"/>
          <w:b/>
          <w:bCs/>
          <w:sz w:val="22"/>
          <w:szCs w:val="22"/>
        </w:rPr>
        <w:t>Not Applicable</w:t>
      </w:r>
    </w:p>
    <w:p w:rsidRPr="00FA0D16" w:rsidR="00B86C7A" w:rsidP="00B86C7A" w:rsidRDefault="00B86C7A" w14:paraId="09433F77" w14:textId="77777777">
      <w:pPr>
        <w:keepLines/>
        <w:tabs>
          <w:tab w:val="left" w:pos="360"/>
        </w:tabs>
        <w:spacing w:after="80"/>
        <w:rPr>
          <w:rFonts w:eastAsia="Calibri"/>
          <w:sz w:val="22"/>
          <w:szCs w:val="22"/>
        </w:rPr>
      </w:pPr>
    </w:p>
    <w:p w:rsidRPr="00B86C7A" w:rsidR="00FA0D16" w:rsidP="00FA0D16" w:rsidRDefault="00FA0D16" w14:paraId="73E65EE4" w14:textId="77777777">
      <w:pPr>
        <w:keepLines/>
        <w:numPr>
          <w:ilvl w:val="0"/>
          <w:numId w:val="33"/>
        </w:numPr>
        <w:tabs>
          <w:tab w:val="left" w:pos="360"/>
        </w:tabs>
        <w:spacing w:after="80"/>
        <w:rPr>
          <w:rFonts w:eastAsia="Calibri"/>
          <w:sz w:val="22"/>
          <w:szCs w:val="22"/>
        </w:rPr>
      </w:pPr>
      <w:r w:rsidRPr="007617D9">
        <w:rPr>
          <w:rFonts w:eastAsia="Calibri"/>
          <w:sz w:val="22"/>
          <w:szCs w:val="22"/>
        </w:rPr>
        <w:t>requiring respondents to submit more than an original and two copies of any document;</w:t>
      </w:r>
      <w:r>
        <w:rPr>
          <w:rFonts w:eastAsia="Calibri"/>
          <w:sz w:val="22"/>
          <w:szCs w:val="22"/>
        </w:rPr>
        <w:t xml:space="preserve"> </w:t>
      </w:r>
      <w:r w:rsidRPr="00FA0D16">
        <w:rPr>
          <w:rFonts w:eastAsia="Calibri"/>
          <w:b/>
          <w:bCs/>
          <w:sz w:val="22"/>
          <w:szCs w:val="22"/>
        </w:rPr>
        <w:t>Not Applicable</w:t>
      </w:r>
    </w:p>
    <w:p w:rsidRPr="00FA0D16" w:rsidR="00B86C7A" w:rsidP="00B86C7A" w:rsidRDefault="00B86C7A" w14:paraId="67D3468A" w14:textId="77777777">
      <w:pPr>
        <w:keepLines/>
        <w:tabs>
          <w:tab w:val="left" w:pos="360"/>
        </w:tabs>
        <w:spacing w:after="80"/>
        <w:rPr>
          <w:rFonts w:eastAsia="Calibri"/>
          <w:sz w:val="22"/>
          <w:szCs w:val="22"/>
        </w:rPr>
      </w:pPr>
    </w:p>
    <w:p w:rsidRPr="00B86C7A" w:rsidR="00FA0D16" w:rsidP="00FA0D16" w:rsidRDefault="00FA0D16" w14:paraId="2F4603C3" w14:textId="77777777">
      <w:pPr>
        <w:keepLines/>
        <w:numPr>
          <w:ilvl w:val="0"/>
          <w:numId w:val="33"/>
        </w:numPr>
        <w:tabs>
          <w:tab w:val="left" w:pos="360"/>
        </w:tabs>
        <w:spacing w:after="80"/>
        <w:rPr>
          <w:rFonts w:eastAsia="Calibri"/>
          <w:sz w:val="22"/>
          <w:szCs w:val="22"/>
        </w:rPr>
      </w:pPr>
      <w:r w:rsidRPr="007617D9">
        <w:rPr>
          <w:rFonts w:eastAsia="Calibri"/>
          <w:sz w:val="22"/>
          <w:szCs w:val="22"/>
        </w:rPr>
        <w:t>requiring respondents to retain records other than health, medical, government contract, grant-in-aid, or tax records for more than three years;</w:t>
      </w:r>
      <w:r>
        <w:rPr>
          <w:rFonts w:eastAsia="Calibri"/>
          <w:sz w:val="22"/>
          <w:szCs w:val="22"/>
        </w:rPr>
        <w:t xml:space="preserve"> </w:t>
      </w:r>
      <w:r w:rsidRPr="00FA0D16">
        <w:rPr>
          <w:rFonts w:eastAsia="Calibri"/>
          <w:b/>
          <w:bCs/>
          <w:sz w:val="22"/>
          <w:szCs w:val="22"/>
        </w:rPr>
        <w:t>Not Applicable</w:t>
      </w:r>
    </w:p>
    <w:p w:rsidRPr="00FA0D16" w:rsidR="00B86C7A" w:rsidP="00B86C7A" w:rsidRDefault="00B86C7A" w14:paraId="2C0B0B56" w14:textId="77777777">
      <w:pPr>
        <w:keepLines/>
        <w:tabs>
          <w:tab w:val="left" w:pos="360"/>
        </w:tabs>
        <w:spacing w:after="80"/>
        <w:rPr>
          <w:rFonts w:eastAsia="Calibri"/>
          <w:sz w:val="22"/>
          <w:szCs w:val="22"/>
        </w:rPr>
      </w:pPr>
    </w:p>
    <w:p w:rsidRPr="00B86C7A" w:rsidR="00FA0D16" w:rsidP="00FA0D16" w:rsidRDefault="00FA0D16" w14:paraId="3EBE9E43" w14:textId="77777777">
      <w:pPr>
        <w:keepLines/>
        <w:numPr>
          <w:ilvl w:val="0"/>
          <w:numId w:val="33"/>
        </w:numPr>
        <w:tabs>
          <w:tab w:val="left" w:pos="360"/>
        </w:tabs>
        <w:spacing w:after="80"/>
        <w:rPr>
          <w:rFonts w:eastAsia="Calibri"/>
          <w:sz w:val="22"/>
          <w:szCs w:val="22"/>
        </w:rPr>
      </w:pPr>
      <w:r w:rsidRPr="007617D9">
        <w:rPr>
          <w:rFonts w:eastAsia="Calibri"/>
          <w:sz w:val="22"/>
          <w:szCs w:val="22"/>
        </w:rPr>
        <w:t>in connection with a statistical survey, that is not designed to produce valid and reliable results than can be generalized to the universe of the study;</w:t>
      </w:r>
      <w:r>
        <w:rPr>
          <w:rFonts w:eastAsia="Calibri"/>
          <w:sz w:val="22"/>
          <w:szCs w:val="22"/>
        </w:rPr>
        <w:t xml:space="preserve"> </w:t>
      </w:r>
      <w:r w:rsidRPr="00FA0D16">
        <w:rPr>
          <w:rFonts w:eastAsia="Calibri"/>
          <w:b/>
          <w:bCs/>
          <w:sz w:val="22"/>
          <w:szCs w:val="22"/>
        </w:rPr>
        <w:t>Not Applicable</w:t>
      </w:r>
    </w:p>
    <w:p w:rsidRPr="00FA0D16" w:rsidR="00B86C7A" w:rsidP="00B86C7A" w:rsidRDefault="00B86C7A" w14:paraId="31CA36C6" w14:textId="77777777">
      <w:pPr>
        <w:keepLines/>
        <w:tabs>
          <w:tab w:val="left" w:pos="360"/>
        </w:tabs>
        <w:spacing w:after="80"/>
        <w:rPr>
          <w:rFonts w:eastAsia="Calibri"/>
          <w:sz w:val="22"/>
          <w:szCs w:val="22"/>
        </w:rPr>
      </w:pPr>
    </w:p>
    <w:p w:rsidRPr="00B86C7A" w:rsidR="00FA0D16" w:rsidP="00FA0D16" w:rsidRDefault="00FA0D16" w14:paraId="35A419E1" w14:textId="77777777">
      <w:pPr>
        <w:keepLines/>
        <w:numPr>
          <w:ilvl w:val="0"/>
          <w:numId w:val="33"/>
        </w:numPr>
        <w:tabs>
          <w:tab w:val="left" w:pos="360"/>
        </w:tabs>
        <w:spacing w:after="80"/>
        <w:rPr>
          <w:rFonts w:eastAsia="Calibri"/>
          <w:sz w:val="22"/>
          <w:szCs w:val="22"/>
        </w:rPr>
      </w:pPr>
      <w:r w:rsidRPr="007617D9">
        <w:rPr>
          <w:rFonts w:eastAsia="Calibri"/>
          <w:sz w:val="22"/>
          <w:szCs w:val="22"/>
        </w:rPr>
        <w:t>requiring the use of statistical data classification that has not been reviewed and approved by OMB;</w:t>
      </w:r>
      <w:r>
        <w:rPr>
          <w:rFonts w:eastAsia="Calibri"/>
          <w:sz w:val="22"/>
          <w:szCs w:val="22"/>
        </w:rPr>
        <w:t xml:space="preserve"> </w:t>
      </w:r>
      <w:r w:rsidRPr="00FA0D16">
        <w:rPr>
          <w:rFonts w:eastAsia="Calibri"/>
          <w:b/>
          <w:bCs/>
          <w:sz w:val="22"/>
          <w:szCs w:val="22"/>
        </w:rPr>
        <w:t>Not Applicable</w:t>
      </w:r>
    </w:p>
    <w:p w:rsidRPr="00FA0D16" w:rsidR="00B86C7A" w:rsidP="00B86C7A" w:rsidRDefault="00B86C7A" w14:paraId="73819F4E" w14:textId="77777777">
      <w:pPr>
        <w:keepLines/>
        <w:tabs>
          <w:tab w:val="left" w:pos="360"/>
        </w:tabs>
        <w:spacing w:after="80"/>
        <w:rPr>
          <w:rFonts w:eastAsia="Calibri"/>
          <w:sz w:val="22"/>
          <w:szCs w:val="22"/>
        </w:rPr>
      </w:pPr>
    </w:p>
    <w:p w:rsidRPr="00B86C7A" w:rsidR="00FA0D16" w:rsidP="00FA0D16" w:rsidRDefault="00FA0D16" w14:paraId="4EC979FB" w14:textId="77777777">
      <w:pPr>
        <w:keepLines/>
        <w:numPr>
          <w:ilvl w:val="0"/>
          <w:numId w:val="33"/>
        </w:numPr>
        <w:tabs>
          <w:tab w:val="left" w:pos="360"/>
        </w:tabs>
        <w:spacing w:after="80"/>
        <w:rPr>
          <w:rFonts w:eastAsia="Calibri"/>
          <w:sz w:val="22"/>
          <w:szCs w:val="22"/>
        </w:rPr>
      </w:pPr>
      <w:r w:rsidRPr="007617D9">
        <w:rPr>
          <w:rFonts w:eastAsia="Calibri"/>
          <w:sz w:val="22"/>
          <w:szCs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Pr>
          <w:rFonts w:eastAsia="Calibri"/>
          <w:sz w:val="22"/>
          <w:szCs w:val="22"/>
        </w:rPr>
        <w:t xml:space="preserve"> </w:t>
      </w:r>
      <w:r w:rsidRPr="00FA0D16">
        <w:rPr>
          <w:rFonts w:eastAsia="Calibri"/>
          <w:b/>
          <w:bCs/>
          <w:sz w:val="22"/>
          <w:szCs w:val="22"/>
        </w:rPr>
        <w:t>Not Applicable</w:t>
      </w:r>
    </w:p>
    <w:p w:rsidRPr="00FA0D16" w:rsidR="00B86C7A" w:rsidP="00B86C7A" w:rsidRDefault="00B86C7A" w14:paraId="22597BC2" w14:textId="77777777">
      <w:pPr>
        <w:keepLines/>
        <w:tabs>
          <w:tab w:val="left" w:pos="360"/>
        </w:tabs>
        <w:spacing w:after="80"/>
        <w:rPr>
          <w:rFonts w:eastAsia="Calibri"/>
          <w:sz w:val="22"/>
          <w:szCs w:val="22"/>
        </w:rPr>
      </w:pPr>
    </w:p>
    <w:p w:rsidRPr="00FA0D16" w:rsidR="00FA0D16" w:rsidP="00FA0D16" w:rsidRDefault="00FA0D16" w14:paraId="5DED98B1" w14:textId="77777777">
      <w:pPr>
        <w:keepLines/>
        <w:numPr>
          <w:ilvl w:val="0"/>
          <w:numId w:val="33"/>
        </w:numPr>
        <w:tabs>
          <w:tab w:val="left" w:pos="360"/>
        </w:tabs>
        <w:spacing w:after="80"/>
        <w:rPr>
          <w:rFonts w:eastAsia="Calibri"/>
          <w:sz w:val="22"/>
          <w:szCs w:val="22"/>
        </w:rPr>
      </w:pPr>
      <w:r w:rsidRPr="007617D9">
        <w:rPr>
          <w:rFonts w:eastAsia="Calibri"/>
          <w:sz w:val="22"/>
          <w:szCs w:val="22"/>
        </w:rPr>
        <w:t>requiring respondents to submit proprietary trade secret, or other confidential information unless the agency can demonstrate that it has instituted procedures to protect the information’s confidentiality to the extent permitted by law.</w:t>
      </w:r>
      <w:bookmarkEnd w:id="9"/>
      <w:r w:rsidRPr="00FA0D16">
        <w:rPr>
          <w:rFonts w:eastAsia="Calibri"/>
          <w:b/>
          <w:bCs/>
          <w:sz w:val="22"/>
          <w:szCs w:val="22"/>
        </w:rPr>
        <w:t xml:space="preserve"> Not Applicable</w:t>
      </w:r>
    </w:p>
    <w:p w:rsidR="002D6D36" w:rsidP="002D6D36" w:rsidRDefault="002D6D36" w14:paraId="7F07A89F" w14:textId="77777777">
      <w:pPr>
        <w:pStyle w:val="ListParagraph"/>
        <w:rPr>
          <w:color w:val="000000"/>
        </w:rPr>
      </w:pPr>
    </w:p>
    <w:p w:rsidRPr="002D6D36" w:rsidR="002D6D36" w:rsidP="002D6D36" w:rsidRDefault="00FA0D16" w14:paraId="63DCD24C" w14:textId="538A03A5">
      <w:pPr>
        <w:pStyle w:val="BodyTextIndent2"/>
        <w:numPr>
          <w:ilvl w:val="0"/>
          <w:numId w:val="32"/>
        </w:numPr>
      </w:pPr>
      <w:r w:rsidRPr="00FA0D16">
        <w:rPr>
          <w:color w:val="000000"/>
        </w:rPr>
        <w:t>HUD published a Notice of Proposed Information Collection for Public Comments in the Federal Register, Volume 8</w:t>
      </w:r>
      <w:r>
        <w:rPr>
          <w:color w:val="000000"/>
        </w:rPr>
        <w:t>5</w:t>
      </w:r>
      <w:r w:rsidRPr="00FA0D16">
        <w:rPr>
          <w:color w:val="000000"/>
        </w:rPr>
        <w:t xml:space="preserve">; Number </w:t>
      </w:r>
      <w:r>
        <w:rPr>
          <w:color w:val="000000"/>
        </w:rPr>
        <w:t>95</w:t>
      </w:r>
      <w:r w:rsidRPr="00FA0D16">
        <w:rPr>
          <w:color w:val="000000"/>
        </w:rPr>
        <w:t xml:space="preserve">; Page </w:t>
      </w:r>
      <w:r>
        <w:rPr>
          <w:color w:val="000000"/>
        </w:rPr>
        <w:t>2947</w:t>
      </w:r>
      <w:r w:rsidRPr="00FA0D16">
        <w:rPr>
          <w:color w:val="000000"/>
        </w:rPr>
        <w:t xml:space="preserve">3, dated </w:t>
      </w:r>
      <w:r>
        <w:rPr>
          <w:color w:val="000000"/>
        </w:rPr>
        <w:t>May</w:t>
      </w:r>
      <w:r w:rsidRPr="00FA0D16">
        <w:rPr>
          <w:color w:val="000000"/>
        </w:rPr>
        <w:t xml:space="preserve"> 1</w:t>
      </w:r>
      <w:r>
        <w:rPr>
          <w:color w:val="000000"/>
        </w:rPr>
        <w:t>5</w:t>
      </w:r>
      <w:r w:rsidRPr="00FA0D16">
        <w:rPr>
          <w:color w:val="000000"/>
        </w:rPr>
        <w:t>, 20</w:t>
      </w:r>
      <w:r>
        <w:rPr>
          <w:color w:val="000000"/>
        </w:rPr>
        <w:t>20</w:t>
      </w:r>
      <w:r w:rsidRPr="00FA0D16">
        <w:rPr>
          <w:color w:val="000000"/>
        </w:rPr>
        <w:t xml:space="preserve">.  The public was given </w:t>
      </w:r>
      <w:r>
        <w:rPr>
          <w:color w:val="000000"/>
        </w:rPr>
        <w:t>July</w:t>
      </w:r>
      <w:r w:rsidRPr="00FA0D16">
        <w:rPr>
          <w:color w:val="000000"/>
        </w:rPr>
        <w:t xml:space="preserve"> 1</w:t>
      </w:r>
      <w:r>
        <w:rPr>
          <w:color w:val="000000"/>
        </w:rPr>
        <w:t>4</w:t>
      </w:r>
      <w:r w:rsidRPr="00FA0D16">
        <w:rPr>
          <w:color w:val="000000"/>
        </w:rPr>
        <w:t>, 20</w:t>
      </w:r>
      <w:r>
        <w:rPr>
          <w:color w:val="000000"/>
        </w:rPr>
        <w:t>20</w:t>
      </w:r>
      <w:r w:rsidRPr="00FA0D16">
        <w:rPr>
          <w:color w:val="000000"/>
        </w:rPr>
        <w:t xml:space="preserve"> to submit comments on the proposed information collection.  </w:t>
      </w:r>
      <w:r w:rsidRPr="002D6D36" w:rsidR="001D3E9F">
        <w:rPr>
          <w:color w:val="000000"/>
        </w:rPr>
        <w:t xml:space="preserve"> </w:t>
      </w:r>
      <w:r w:rsidR="00471120">
        <w:rPr>
          <w:color w:val="000000"/>
        </w:rPr>
        <w:t xml:space="preserve">HUD also reached out to industry groups via the Operating Fund Web Portal.  </w:t>
      </w:r>
      <w:r w:rsidRPr="002D6D36" w:rsidR="00095E79">
        <w:rPr>
          <w:color w:val="000000"/>
        </w:rPr>
        <w:t>No comments were received.</w:t>
      </w:r>
    </w:p>
    <w:p w:rsidR="002D6D36" w:rsidP="002D6D36" w:rsidRDefault="002D6D36" w14:paraId="297C953D" w14:textId="77777777">
      <w:pPr>
        <w:pStyle w:val="ListParagraph"/>
      </w:pPr>
    </w:p>
    <w:p w:rsidR="002D6D36" w:rsidP="002D6D36" w:rsidRDefault="00D221CA" w14:paraId="2B7600A8" w14:textId="77777777">
      <w:pPr>
        <w:pStyle w:val="BodyTextIndent2"/>
        <w:numPr>
          <w:ilvl w:val="0"/>
          <w:numId w:val="32"/>
        </w:numPr>
      </w:pPr>
      <w:r w:rsidRPr="002D6D36">
        <w:t>No payments or gifts to respondents are provided.</w:t>
      </w:r>
    </w:p>
    <w:p w:rsidR="002D6D36" w:rsidP="002D6D36" w:rsidRDefault="002D6D36" w14:paraId="6903E90C" w14:textId="77777777">
      <w:pPr>
        <w:pStyle w:val="ListParagraph"/>
      </w:pPr>
    </w:p>
    <w:p w:rsidR="002D6D36" w:rsidP="002D6D36" w:rsidRDefault="00D221CA" w14:paraId="56105E27" w14:textId="59CBB6C5">
      <w:pPr>
        <w:pStyle w:val="BodyTextIndent2"/>
        <w:numPr>
          <w:ilvl w:val="0"/>
          <w:numId w:val="32"/>
        </w:numPr>
      </w:pPr>
      <w:r w:rsidRPr="002D6D36">
        <w:t>No assurance of confidentiality is needed nor are any provided.</w:t>
      </w:r>
    </w:p>
    <w:p w:rsidR="00854322" w:rsidP="00854322" w:rsidRDefault="00854322" w14:paraId="73BCD285" w14:textId="77777777">
      <w:pPr>
        <w:pStyle w:val="ListParagraph"/>
      </w:pPr>
    </w:p>
    <w:p w:rsidR="00854322" w:rsidP="00854322" w:rsidRDefault="00854322" w14:paraId="772F7C34" w14:textId="5EA1C947">
      <w:pPr>
        <w:pStyle w:val="BodyTextIndent2"/>
        <w:ind w:left="720"/>
      </w:pPr>
      <w:r>
        <w:rPr>
          <w:szCs w:val="24"/>
        </w:rPr>
        <w:t>The Privacy Act of 1974 (Pub. L. No. 93-579, 88 Stat. 1896, 5 U.S.C. 552a) protects respondents who meet the information reporting requirements.) </w:t>
      </w:r>
    </w:p>
    <w:p w:rsidR="002D6D36" w:rsidP="002D6D36" w:rsidRDefault="002D6D36" w14:paraId="4CF8F47B" w14:textId="77777777">
      <w:pPr>
        <w:pStyle w:val="ListParagraph"/>
      </w:pPr>
    </w:p>
    <w:p w:rsidR="002D6D36" w:rsidP="002D6D36" w:rsidRDefault="00D221CA" w14:paraId="05C7E542" w14:textId="77777777">
      <w:pPr>
        <w:pStyle w:val="BodyTextIndent2"/>
        <w:numPr>
          <w:ilvl w:val="0"/>
          <w:numId w:val="32"/>
        </w:numPr>
      </w:pPr>
      <w:r w:rsidRPr="002D6D36">
        <w:t>No sensitive questions are being asked.</w:t>
      </w:r>
    </w:p>
    <w:p w:rsidR="002D6D36" w:rsidP="002D6D36" w:rsidRDefault="002D6D36" w14:paraId="60B2CEE5" w14:textId="77777777">
      <w:pPr>
        <w:pStyle w:val="ListParagraph"/>
      </w:pPr>
    </w:p>
    <w:p w:rsidRPr="002D6D36" w:rsidR="00D221CA" w:rsidP="002D6D36" w:rsidRDefault="00D221CA" w14:paraId="46B810B1" w14:textId="77777777">
      <w:pPr>
        <w:pStyle w:val="BodyTextIndent2"/>
        <w:numPr>
          <w:ilvl w:val="0"/>
          <w:numId w:val="32"/>
        </w:numPr>
      </w:pPr>
      <w:r w:rsidRPr="002D6D36">
        <w:t xml:space="preserve">The estimated burden hours for the collection of this data reflect the PHAs’ experience with inputting data into the form and the fact that PHAs maintain some of this information as part of their operations.  </w:t>
      </w:r>
      <w:r w:rsidRPr="002D6D36" w:rsidR="00AC006F">
        <w:t xml:space="preserve">HUD </w:t>
      </w:r>
      <w:r w:rsidRPr="002D6D36">
        <w:t xml:space="preserve">estimates that the annual information collection requirements for this collection for two forms (forms HUD-52722 and </w:t>
      </w:r>
      <w:r w:rsidRPr="002D6D36" w:rsidR="00F1519E">
        <w:t>HUD</w:t>
      </w:r>
      <w:r w:rsidRPr="002D6D36">
        <w:t>-</w:t>
      </w:r>
      <w:r w:rsidRPr="002D6D36" w:rsidR="00F1519E">
        <w:t>5</w:t>
      </w:r>
      <w:r w:rsidRPr="002D6D36">
        <w:t xml:space="preserve">2723) averages .75 hours per form (45 minutes per form) for each of the approximately </w:t>
      </w:r>
      <w:r w:rsidR="002D6D36">
        <w:t>7,000</w:t>
      </w:r>
      <w:r w:rsidRPr="002D6D36">
        <w:t xml:space="preserve"> affected pro</w:t>
      </w:r>
      <w:r w:rsidRPr="002D6D36" w:rsidR="003F4B24">
        <w:t>jects</w:t>
      </w:r>
      <w:r w:rsidRPr="002D6D36">
        <w:t xml:space="preserve">, for a total of </w:t>
      </w:r>
      <w:r w:rsidRPr="002D6D36" w:rsidR="00FA5C62">
        <w:t>10,</w:t>
      </w:r>
      <w:r w:rsidR="002D6D36">
        <w:t>500</w:t>
      </w:r>
      <w:r w:rsidRPr="002D6D36">
        <w:t xml:space="preserve"> burden hours.  The estimated response time includes the time for preparation of the forms and any recordkeeping burden.</w:t>
      </w:r>
    </w:p>
    <w:p w:rsidR="00D221CA" w:rsidRDefault="00D221CA" w14:paraId="1E65268D" w14:textId="77777777">
      <w:pPr>
        <w:rPr>
          <w:sz w:val="24"/>
        </w:rPr>
      </w:pPr>
    </w:p>
    <w:tbl>
      <w:tblPr>
        <w:tblW w:w="927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30"/>
        <w:gridCol w:w="1620"/>
        <w:gridCol w:w="1440"/>
        <w:gridCol w:w="1710"/>
        <w:gridCol w:w="1260"/>
        <w:gridCol w:w="1710"/>
      </w:tblGrid>
      <w:tr w:rsidR="00E177E5" w:rsidTr="00E177E5" w14:paraId="3347325A" w14:textId="77777777">
        <w:trPr>
          <w:cantSplit/>
        </w:trPr>
        <w:tc>
          <w:tcPr>
            <w:tcW w:w="1530" w:type="dxa"/>
          </w:tcPr>
          <w:p w:rsidR="00E177E5" w:rsidRDefault="00E177E5" w14:paraId="2984B74E" w14:textId="77777777">
            <w:pPr>
              <w:pStyle w:val="Heading6"/>
              <w:overflowPunct w:val="0"/>
              <w:autoSpaceDE w:val="0"/>
              <w:autoSpaceDN w:val="0"/>
              <w:adjustRightInd w:val="0"/>
              <w:textAlignment w:val="baseline"/>
            </w:pPr>
          </w:p>
        </w:tc>
        <w:tc>
          <w:tcPr>
            <w:tcW w:w="7740" w:type="dxa"/>
            <w:gridSpan w:val="5"/>
          </w:tcPr>
          <w:p w:rsidR="00E177E5" w:rsidRDefault="00E177E5" w14:paraId="6378FB22" w14:textId="77777777">
            <w:pPr>
              <w:pStyle w:val="Heading6"/>
              <w:overflowPunct w:val="0"/>
              <w:autoSpaceDE w:val="0"/>
              <w:autoSpaceDN w:val="0"/>
              <w:adjustRightInd w:val="0"/>
              <w:textAlignment w:val="baseline"/>
            </w:pPr>
            <w:r>
              <w:t>Total Estimated Annual Burden Hours</w:t>
            </w:r>
          </w:p>
        </w:tc>
      </w:tr>
      <w:tr w:rsidR="00E177E5" w:rsidTr="00B86C7A" w14:paraId="3AFC5FBF" w14:textId="77777777">
        <w:tc>
          <w:tcPr>
            <w:tcW w:w="1530" w:type="dxa"/>
          </w:tcPr>
          <w:p w:rsidR="00E177E5" w:rsidRDefault="00E177E5" w14:paraId="4D6368DB" w14:textId="77777777">
            <w:pPr>
              <w:jc w:val="center"/>
              <w:rPr>
                <w:b/>
                <w:bCs/>
                <w:sz w:val="24"/>
              </w:rPr>
            </w:pPr>
          </w:p>
          <w:p w:rsidR="00E177E5" w:rsidRDefault="00E177E5" w14:paraId="79BA824E" w14:textId="77777777">
            <w:pPr>
              <w:jc w:val="center"/>
              <w:rPr>
                <w:b/>
                <w:bCs/>
                <w:sz w:val="24"/>
              </w:rPr>
            </w:pPr>
            <w:r>
              <w:rPr>
                <w:b/>
                <w:bCs/>
                <w:sz w:val="24"/>
              </w:rPr>
              <w:t>HUD Form Number</w:t>
            </w:r>
          </w:p>
        </w:tc>
        <w:tc>
          <w:tcPr>
            <w:tcW w:w="1620" w:type="dxa"/>
          </w:tcPr>
          <w:p w:rsidR="00E177E5" w:rsidRDefault="00E177E5" w14:paraId="0325E7FF" w14:textId="77777777">
            <w:pPr>
              <w:jc w:val="center"/>
              <w:rPr>
                <w:b/>
                <w:bCs/>
                <w:sz w:val="24"/>
              </w:rPr>
            </w:pPr>
            <w:r>
              <w:rPr>
                <w:b/>
                <w:bCs/>
                <w:sz w:val="24"/>
              </w:rPr>
              <w:t>Number of Respondents</w:t>
            </w:r>
          </w:p>
        </w:tc>
        <w:tc>
          <w:tcPr>
            <w:tcW w:w="1440" w:type="dxa"/>
          </w:tcPr>
          <w:p w:rsidR="00E177E5" w:rsidRDefault="00E177E5" w14:paraId="6041C646" w14:textId="77777777">
            <w:pPr>
              <w:jc w:val="center"/>
              <w:rPr>
                <w:b/>
                <w:bCs/>
                <w:sz w:val="24"/>
              </w:rPr>
            </w:pPr>
            <w:r>
              <w:rPr>
                <w:b/>
                <w:bCs/>
                <w:sz w:val="24"/>
              </w:rPr>
              <w:t>Frequency of Response</w:t>
            </w:r>
          </w:p>
        </w:tc>
        <w:tc>
          <w:tcPr>
            <w:tcW w:w="1710" w:type="dxa"/>
          </w:tcPr>
          <w:p w:rsidR="00E177E5" w:rsidRDefault="00E177E5" w14:paraId="566064D1" w14:textId="77777777">
            <w:pPr>
              <w:jc w:val="center"/>
              <w:rPr>
                <w:b/>
                <w:bCs/>
                <w:sz w:val="24"/>
              </w:rPr>
            </w:pPr>
            <w:r>
              <w:rPr>
                <w:b/>
                <w:bCs/>
                <w:sz w:val="24"/>
              </w:rPr>
              <w:t>Total Number of Responses</w:t>
            </w:r>
            <w:r w:rsidR="00B86C7A">
              <w:rPr>
                <w:b/>
                <w:bCs/>
                <w:sz w:val="24"/>
              </w:rPr>
              <w:t xml:space="preserve"> by Respondents</w:t>
            </w:r>
          </w:p>
        </w:tc>
        <w:tc>
          <w:tcPr>
            <w:tcW w:w="1260" w:type="dxa"/>
          </w:tcPr>
          <w:p w:rsidR="00E177E5" w:rsidRDefault="00E177E5" w14:paraId="4B087A4B" w14:textId="77777777">
            <w:pPr>
              <w:jc w:val="center"/>
              <w:rPr>
                <w:b/>
                <w:bCs/>
                <w:sz w:val="24"/>
              </w:rPr>
            </w:pPr>
            <w:r>
              <w:rPr>
                <w:b/>
                <w:bCs/>
                <w:sz w:val="24"/>
              </w:rPr>
              <w:t>Estimated Hours</w:t>
            </w:r>
          </w:p>
        </w:tc>
        <w:tc>
          <w:tcPr>
            <w:tcW w:w="1710" w:type="dxa"/>
          </w:tcPr>
          <w:p w:rsidR="00E177E5" w:rsidRDefault="00E177E5" w14:paraId="1F487D51" w14:textId="77777777">
            <w:pPr>
              <w:jc w:val="center"/>
              <w:rPr>
                <w:b/>
                <w:bCs/>
                <w:sz w:val="24"/>
              </w:rPr>
            </w:pPr>
            <w:r>
              <w:rPr>
                <w:b/>
                <w:bCs/>
                <w:sz w:val="24"/>
              </w:rPr>
              <w:t>Total Annual Burden Hours</w:t>
            </w:r>
          </w:p>
        </w:tc>
      </w:tr>
      <w:tr w:rsidR="00E177E5" w:rsidTr="00B86C7A" w14:paraId="2521776A" w14:textId="77777777">
        <w:tc>
          <w:tcPr>
            <w:tcW w:w="1530" w:type="dxa"/>
          </w:tcPr>
          <w:p w:rsidR="00E177E5" w:rsidRDefault="00E177E5" w14:paraId="7EF1FB9F" w14:textId="77777777">
            <w:pPr>
              <w:pStyle w:val="Heading3"/>
            </w:pPr>
            <w:r>
              <w:t>HUD</w:t>
            </w:r>
            <w:r>
              <w:noBreakHyphen/>
              <w:t>52722</w:t>
            </w:r>
          </w:p>
        </w:tc>
        <w:tc>
          <w:tcPr>
            <w:tcW w:w="1620" w:type="dxa"/>
          </w:tcPr>
          <w:p w:rsidR="00E177E5" w:rsidP="00D030BC" w:rsidRDefault="00E177E5" w14:paraId="244F0FC7" w14:textId="77777777">
            <w:pPr>
              <w:jc w:val="center"/>
              <w:rPr>
                <w:sz w:val="24"/>
              </w:rPr>
            </w:pPr>
            <w:r>
              <w:rPr>
                <w:sz w:val="24"/>
              </w:rPr>
              <w:t>7,000</w:t>
            </w:r>
          </w:p>
        </w:tc>
        <w:tc>
          <w:tcPr>
            <w:tcW w:w="1440" w:type="dxa"/>
          </w:tcPr>
          <w:p w:rsidR="00E177E5" w:rsidRDefault="00E177E5" w14:paraId="081D1971" w14:textId="77777777">
            <w:pPr>
              <w:jc w:val="center"/>
              <w:rPr>
                <w:sz w:val="24"/>
              </w:rPr>
            </w:pPr>
            <w:r>
              <w:rPr>
                <w:sz w:val="24"/>
              </w:rPr>
              <w:t>1</w:t>
            </w:r>
          </w:p>
        </w:tc>
        <w:tc>
          <w:tcPr>
            <w:tcW w:w="1710" w:type="dxa"/>
          </w:tcPr>
          <w:p w:rsidR="00E177E5" w:rsidRDefault="00E177E5" w14:paraId="5F65B6DA" w14:textId="77777777">
            <w:pPr>
              <w:jc w:val="center"/>
              <w:rPr>
                <w:sz w:val="24"/>
              </w:rPr>
            </w:pPr>
            <w:r>
              <w:rPr>
                <w:sz w:val="24"/>
              </w:rPr>
              <w:t>7,000</w:t>
            </w:r>
          </w:p>
        </w:tc>
        <w:tc>
          <w:tcPr>
            <w:tcW w:w="1260" w:type="dxa"/>
          </w:tcPr>
          <w:p w:rsidR="00E177E5" w:rsidRDefault="00E177E5" w14:paraId="5C24A8E1" w14:textId="77777777">
            <w:pPr>
              <w:jc w:val="center"/>
              <w:rPr>
                <w:sz w:val="24"/>
              </w:rPr>
            </w:pPr>
            <w:r>
              <w:rPr>
                <w:sz w:val="24"/>
              </w:rPr>
              <w:t>.75</w:t>
            </w:r>
          </w:p>
        </w:tc>
        <w:tc>
          <w:tcPr>
            <w:tcW w:w="1710" w:type="dxa"/>
          </w:tcPr>
          <w:p w:rsidR="00E177E5" w:rsidP="002D6D36" w:rsidRDefault="00E177E5" w14:paraId="056F97DC" w14:textId="77777777">
            <w:pPr>
              <w:jc w:val="center"/>
              <w:rPr>
                <w:sz w:val="24"/>
              </w:rPr>
            </w:pPr>
            <w:r>
              <w:rPr>
                <w:sz w:val="24"/>
              </w:rPr>
              <w:t>5,250</w:t>
            </w:r>
          </w:p>
        </w:tc>
      </w:tr>
      <w:tr w:rsidR="00E177E5" w:rsidTr="00B86C7A" w14:paraId="22EA9528" w14:textId="77777777">
        <w:tc>
          <w:tcPr>
            <w:tcW w:w="1530" w:type="dxa"/>
          </w:tcPr>
          <w:p w:rsidR="00E177E5" w:rsidRDefault="00E177E5" w14:paraId="0FEEE298" w14:textId="77777777">
            <w:pPr>
              <w:rPr>
                <w:sz w:val="24"/>
              </w:rPr>
            </w:pPr>
            <w:r>
              <w:rPr>
                <w:sz w:val="24"/>
              </w:rPr>
              <w:t>HUD-52723</w:t>
            </w:r>
          </w:p>
        </w:tc>
        <w:tc>
          <w:tcPr>
            <w:tcW w:w="1620" w:type="dxa"/>
          </w:tcPr>
          <w:p w:rsidR="00E177E5" w:rsidP="00D030BC" w:rsidRDefault="00E177E5" w14:paraId="5A77A6D3" w14:textId="77777777">
            <w:pPr>
              <w:jc w:val="center"/>
              <w:rPr>
                <w:sz w:val="24"/>
              </w:rPr>
            </w:pPr>
            <w:r>
              <w:rPr>
                <w:sz w:val="24"/>
              </w:rPr>
              <w:t>7,000</w:t>
            </w:r>
          </w:p>
        </w:tc>
        <w:tc>
          <w:tcPr>
            <w:tcW w:w="1440" w:type="dxa"/>
          </w:tcPr>
          <w:p w:rsidR="00E177E5" w:rsidRDefault="00E177E5" w14:paraId="3B47E30A" w14:textId="77777777">
            <w:pPr>
              <w:jc w:val="center"/>
              <w:rPr>
                <w:sz w:val="24"/>
              </w:rPr>
            </w:pPr>
            <w:r>
              <w:rPr>
                <w:sz w:val="24"/>
              </w:rPr>
              <w:t>1</w:t>
            </w:r>
          </w:p>
        </w:tc>
        <w:tc>
          <w:tcPr>
            <w:tcW w:w="1710" w:type="dxa"/>
          </w:tcPr>
          <w:p w:rsidR="00E177E5" w:rsidRDefault="00E177E5" w14:paraId="4FDDD02C" w14:textId="77777777">
            <w:pPr>
              <w:jc w:val="center"/>
              <w:rPr>
                <w:sz w:val="24"/>
              </w:rPr>
            </w:pPr>
            <w:r>
              <w:rPr>
                <w:sz w:val="24"/>
              </w:rPr>
              <w:t>7,000</w:t>
            </w:r>
          </w:p>
        </w:tc>
        <w:tc>
          <w:tcPr>
            <w:tcW w:w="1260" w:type="dxa"/>
          </w:tcPr>
          <w:p w:rsidR="00E177E5" w:rsidRDefault="00E177E5" w14:paraId="0B880426" w14:textId="77777777">
            <w:pPr>
              <w:jc w:val="center"/>
              <w:rPr>
                <w:sz w:val="24"/>
              </w:rPr>
            </w:pPr>
            <w:r>
              <w:rPr>
                <w:sz w:val="24"/>
              </w:rPr>
              <w:t>.75</w:t>
            </w:r>
          </w:p>
        </w:tc>
        <w:tc>
          <w:tcPr>
            <w:tcW w:w="1710" w:type="dxa"/>
          </w:tcPr>
          <w:p w:rsidR="00E177E5" w:rsidP="009A64D0" w:rsidRDefault="00E177E5" w14:paraId="7C13E950" w14:textId="77777777">
            <w:pPr>
              <w:jc w:val="center"/>
              <w:rPr>
                <w:sz w:val="24"/>
              </w:rPr>
            </w:pPr>
            <w:r>
              <w:rPr>
                <w:sz w:val="24"/>
              </w:rPr>
              <w:t>5,250</w:t>
            </w:r>
          </w:p>
        </w:tc>
      </w:tr>
      <w:tr w:rsidRPr="00E177E5" w:rsidR="00E177E5" w:rsidTr="00B86C7A" w14:paraId="5AFF7AD0" w14:textId="77777777">
        <w:tc>
          <w:tcPr>
            <w:tcW w:w="1530" w:type="dxa"/>
          </w:tcPr>
          <w:p w:rsidRPr="00E177E5" w:rsidR="00E177E5" w:rsidRDefault="00E177E5" w14:paraId="1C68D302" w14:textId="77777777">
            <w:pPr>
              <w:rPr>
                <w:b/>
                <w:bCs/>
                <w:sz w:val="24"/>
              </w:rPr>
            </w:pPr>
            <w:r w:rsidRPr="00E177E5">
              <w:rPr>
                <w:b/>
                <w:bCs/>
                <w:sz w:val="24"/>
              </w:rPr>
              <w:t>Totals</w:t>
            </w:r>
          </w:p>
        </w:tc>
        <w:tc>
          <w:tcPr>
            <w:tcW w:w="1620" w:type="dxa"/>
          </w:tcPr>
          <w:p w:rsidRPr="00E177E5" w:rsidR="00E177E5" w:rsidP="00D030BC" w:rsidRDefault="00E177E5" w14:paraId="7C73C565" w14:textId="77777777">
            <w:pPr>
              <w:jc w:val="center"/>
              <w:rPr>
                <w:b/>
                <w:bCs/>
                <w:sz w:val="24"/>
              </w:rPr>
            </w:pPr>
          </w:p>
        </w:tc>
        <w:tc>
          <w:tcPr>
            <w:tcW w:w="1440" w:type="dxa"/>
          </w:tcPr>
          <w:p w:rsidRPr="00E177E5" w:rsidR="00E177E5" w:rsidRDefault="00E177E5" w14:paraId="0068B373" w14:textId="77777777">
            <w:pPr>
              <w:jc w:val="center"/>
              <w:rPr>
                <w:b/>
                <w:bCs/>
                <w:sz w:val="24"/>
              </w:rPr>
            </w:pPr>
          </w:p>
        </w:tc>
        <w:tc>
          <w:tcPr>
            <w:tcW w:w="1710" w:type="dxa"/>
          </w:tcPr>
          <w:p w:rsidRPr="00E177E5" w:rsidR="00E177E5" w:rsidRDefault="00B86C7A" w14:paraId="4BB8EAB7" w14:textId="77777777">
            <w:pPr>
              <w:jc w:val="center"/>
              <w:rPr>
                <w:b/>
                <w:bCs/>
                <w:sz w:val="24"/>
              </w:rPr>
            </w:pPr>
            <w:r>
              <w:rPr>
                <w:b/>
                <w:bCs/>
                <w:sz w:val="24"/>
              </w:rPr>
              <w:t>14</w:t>
            </w:r>
            <w:r w:rsidRPr="00E177E5" w:rsidR="00E177E5">
              <w:rPr>
                <w:b/>
                <w:bCs/>
                <w:sz w:val="24"/>
              </w:rPr>
              <w:t>,000</w:t>
            </w:r>
          </w:p>
        </w:tc>
        <w:tc>
          <w:tcPr>
            <w:tcW w:w="1260" w:type="dxa"/>
          </w:tcPr>
          <w:p w:rsidRPr="00E177E5" w:rsidR="00E177E5" w:rsidRDefault="00B86C7A" w14:paraId="10114135" w14:textId="77777777">
            <w:pPr>
              <w:jc w:val="center"/>
              <w:rPr>
                <w:b/>
                <w:bCs/>
                <w:sz w:val="24"/>
              </w:rPr>
            </w:pPr>
            <w:r>
              <w:rPr>
                <w:b/>
                <w:bCs/>
                <w:sz w:val="24"/>
              </w:rPr>
              <w:t>.75</w:t>
            </w:r>
          </w:p>
        </w:tc>
        <w:tc>
          <w:tcPr>
            <w:tcW w:w="1710" w:type="dxa"/>
          </w:tcPr>
          <w:p w:rsidRPr="00E177E5" w:rsidR="00E177E5" w:rsidP="009A64D0" w:rsidRDefault="00E177E5" w14:paraId="00FF3E23" w14:textId="77777777">
            <w:pPr>
              <w:jc w:val="center"/>
              <w:rPr>
                <w:b/>
                <w:bCs/>
                <w:sz w:val="24"/>
              </w:rPr>
            </w:pPr>
            <w:r w:rsidRPr="00E177E5">
              <w:rPr>
                <w:b/>
                <w:bCs/>
                <w:sz w:val="24"/>
              </w:rPr>
              <w:t>10,500</w:t>
            </w:r>
          </w:p>
        </w:tc>
      </w:tr>
    </w:tbl>
    <w:p w:rsidR="00D221CA" w:rsidRDefault="00D221CA" w14:paraId="16175CF3" w14:textId="77777777"/>
    <w:p w:rsidRPr="00531A9C" w:rsidR="00D221CA" w:rsidP="002D6D36" w:rsidRDefault="00D221CA" w14:paraId="19559DFD" w14:textId="36514315">
      <w:pPr>
        <w:pStyle w:val="BodyTextIndent2"/>
        <w:ind w:left="810"/>
      </w:pPr>
      <w:r>
        <w:t>The estimated annualized cost to respondents is based on</w:t>
      </w:r>
      <w:r w:rsidRPr="00531A9C">
        <w:t xml:space="preserve"> the 20</w:t>
      </w:r>
      <w:r w:rsidR="007845AE">
        <w:t>20</w:t>
      </w:r>
      <w:r w:rsidRPr="00531A9C">
        <w:t xml:space="preserve"> general pay schedule for a GS-11, Step 1, rate </w:t>
      </w:r>
      <w:r w:rsidR="0017199E">
        <w:t xml:space="preserve">for Washington-Baltimore-Arlington, DC-MD-WV-PA </w:t>
      </w:r>
      <w:r w:rsidRPr="00531A9C">
        <w:t>(an average salary for a financial analyst) that is $</w:t>
      </w:r>
      <w:r w:rsidR="00EB40AF">
        <w:t>3</w:t>
      </w:r>
      <w:r w:rsidR="007845AE">
        <w:t>4</w:t>
      </w:r>
      <w:r w:rsidR="00EB40AF">
        <w:t>.</w:t>
      </w:r>
      <w:r w:rsidR="007845AE">
        <w:t>51</w:t>
      </w:r>
      <w:r w:rsidRPr="00531A9C">
        <w:t xml:space="preserve"> per hour.</w:t>
      </w:r>
    </w:p>
    <w:p w:rsidR="00D221CA" w:rsidRDefault="00D221CA" w14:paraId="049A9FDF" w14:textId="77777777">
      <w:pPr>
        <w:pStyle w:val="Header"/>
        <w:tabs>
          <w:tab w:val="clear" w:pos="4320"/>
          <w:tab w:val="clear" w:pos="8640"/>
        </w:tabs>
      </w:pPr>
    </w:p>
    <w:tbl>
      <w:tblPr>
        <w:tblpPr w:leftFromText="180" w:rightFromText="180" w:vertAnchor="text" w:tblpX="1075" w:tblpY="1"/>
        <w:tblOverlap w:val="never"/>
        <w:tblW w:w="7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00"/>
        <w:gridCol w:w="1348"/>
        <w:gridCol w:w="1082"/>
        <w:gridCol w:w="227"/>
        <w:gridCol w:w="943"/>
        <w:gridCol w:w="360"/>
        <w:gridCol w:w="2160"/>
      </w:tblGrid>
      <w:tr w:rsidR="00D221CA" w:rsidTr="00F56747" w14:paraId="39074B1E" w14:textId="77777777">
        <w:trPr>
          <w:cantSplit/>
          <w:trHeight w:val="288"/>
        </w:trPr>
        <w:tc>
          <w:tcPr>
            <w:tcW w:w="7920" w:type="dxa"/>
            <w:gridSpan w:val="7"/>
            <w:vAlign w:val="center"/>
          </w:tcPr>
          <w:p w:rsidR="00D221CA" w:rsidP="00F56747" w:rsidRDefault="00D221CA" w14:paraId="3AF3E0E3" w14:textId="77777777">
            <w:pPr>
              <w:pStyle w:val="Heading6"/>
              <w:overflowPunct w:val="0"/>
              <w:autoSpaceDE w:val="0"/>
              <w:autoSpaceDN w:val="0"/>
              <w:adjustRightInd w:val="0"/>
              <w:textAlignment w:val="baseline"/>
            </w:pPr>
            <w:r>
              <w:t>Total Estimated Annual Costs to Respondents</w:t>
            </w:r>
          </w:p>
        </w:tc>
      </w:tr>
      <w:tr w:rsidR="00D221CA" w:rsidTr="00F56747" w14:paraId="495642E8" w14:textId="77777777">
        <w:trPr>
          <w:trHeight w:val="510"/>
        </w:trPr>
        <w:tc>
          <w:tcPr>
            <w:tcW w:w="1800" w:type="dxa"/>
            <w:vAlign w:val="center"/>
          </w:tcPr>
          <w:p w:rsidR="00D221CA" w:rsidP="00F56747" w:rsidRDefault="00D221CA" w14:paraId="67D991E4" w14:textId="77777777">
            <w:pPr>
              <w:jc w:val="center"/>
              <w:rPr>
                <w:b/>
                <w:bCs/>
                <w:sz w:val="24"/>
              </w:rPr>
            </w:pPr>
            <w:r>
              <w:rPr>
                <w:b/>
                <w:bCs/>
                <w:sz w:val="24"/>
              </w:rPr>
              <w:t>HUD Form Number</w:t>
            </w:r>
          </w:p>
        </w:tc>
        <w:tc>
          <w:tcPr>
            <w:tcW w:w="1348" w:type="dxa"/>
            <w:vAlign w:val="center"/>
          </w:tcPr>
          <w:p w:rsidR="00D221CA" w:rsidP="00F56747" w:rsidRDefault="00D221CA" w14:paraId="20BEC96C" w14:textId="77777777">
            <w:pPr>
              <w:jc w:val="center"/>
              <w:rPr>
                <w:b/>
                <w:bCs/>
                <w:sz w:val="24"/>
              </w:rPr>
            </w:pPr>
            <w:r>
              <w:rPr>
                <w:b/>
                <w:bCs/>
                <w:sz w:val="24"/>
              </w:rPr>
              <w:t>Number of Respondents</w:t>
            </w:r>
          </w:p>
        </w:tc>
        <w:tc>
          <w:tcPr>
            <w:tcW w:w="1082" w:type="dxa"/>
            <w:vAlign w:val="center"/>
          </w:tcPr>
          <w:p w:rsidR="00D221CA" w:rsidP="00F56747" w:rsidRDefault="00D221CA" w14:paraId="5241F5CC" w14:textId="77777777">
            <w:pPr>
              <w:jc w:val="center"/>
              <w:rPr>
                <w:b/>
                <w:bCs/>
                <w:sz w:val="24"/>
              </w:rPr>
            </w:pPr>
            <w:r>
              <w:rPr>
                <w:b/>
                <w:bCs/>
                <w:sz w:val="24"/>
              </w:rPr>
              <w:t>Total Burden Hours</w:t>
            </w:r>
          </w:p>
        </w:tc>
        <w:tc>
          <w:tcPr>
            <w:tcW w:w="227" w:type="dxa"/>
            <w:vAlign w:val="center"/>
          </w:tcPr>
          <w:p w:rsidR="00D221CA" w:rsidP="00F56747" w:rsidRDefault="00D221CA" w14:paraId="477F6A7A" w14:textId="77777777">
            <w:pPr>
              <w:jc w:val="center"/>
              <w:rPr>
                <w:b/>
                <w:bCs/>
                <w:sz w:val="24"/>
              </w:rPr>
            </w:pPr>
            <w:r>
              <w:rPr>
                <w:b/>
                <w:bCs/>
                <w:sz w:val="24"/>
              </w:rPr>
              <w:t>X</w:t>
            </w:r>
          </w:p>
        </w:tc>
        <w:tc>
          <w:tcPr>
            <w:tcW w:w="943" w:type="dxa"/>
            <w:vAlign w:val="center"/>
          </w:tcPr>
          <w:p w:rsidR="00D221CA" w:rsidP="00F56747" w:rsidRDefault="00D221CA" w14:paraId="7E249C37" w14:textId="77777777">
            <w:pPr>
              <w:jc w:val="center"/>
              <w:rPr>
                <w:b/>
                <w:bCs/>
                <w:sz w:val="24"/>
              </w:rPr>
            </w:pPr>
            <w:r>
              <w:rPr>
                <w:b/>
                <w:bCs/>
                <w:sz w:val="24"/>
              </w:rPr>
              <w:t>Hourly Rate</w:t>
            </w:r>
          </w:p>
        </w:tc>
        <w:tc>
          <w:tcPr>
            <w:tcW w:w="360" w:type="dxa"/>
            <w:vAlign w:val="center"/>
          </w:tcPr>
          <w:p w:rsidR="00D221CA" w:rsidP="00F56747" w:rsidRDefault="00D221CA" w14:paraId="5D89D846" w14:textId="77777777">
            <w:pPr>
              <w:jc w:val="center"/>
              <w:rPr>
                <w:b/>
                <w:bCs/>
                <w:sz w:val="24"/>
              </w:rPr>
            </w:pPr>
            <w:r>
              <w:rPr>
                <w:b/>
                <w:bCs/>
                <w:sz w:val="24"/>
              </w:rPr>
              <w:t>=</w:t>
            </w:r>
          </w:p>
        </w:tc>
        <w:tc>
          <w:tcPr>
            <w:tcW w:w="2160" w:type="dxa"/>
            <w:vAlign w:val="center"/>
          </w:tcPr>
          <w:p w:rsidR="00D221CA" w:rsidP="00F56747" w:rsidRDefault="00D221CA" w14:paraId="0C3ADDA9" w14:textId="77777777">
            <w:pPr>
              <w:jc w:val="center"/>
              <w:rPr>
                <w:b/>
                <w:bCs/>
                <w:sz w:val="24"/>
              </w:rPr>
            </w:pPr>
            <w:r>
              <w:rPr>
                <w:b/>
                <w:bCs/>
                <w:sz w:val="24"/>
              </w:rPr>
              <w:t>Annualized Cost</w:t>
            </w:r>
          </w:p>
        </w:tc>
      </w:tr>
      <w:tr w:rsidR="00D221CA" w:rsidTr="00F56747" w14:paraId="2F76DCB9" w14:textId="77777777">
        <w:trPr>
          <w:trHeight w:val="255"/>
        </w:trPr>
        <w:tc>
          <w:tcPr>
            <w:tcW w:w="1800" w:type="dxa"/>
          </w:tcPr>
          <w:p w:rsidR="00D221CA" w:rsidP="00F56747" w:rsidRDefault="00D221CA" w14:paraId="0D51A60F" w14:textId="77777777">
            <w:pPr>
              <w:jc w:val="center"/>
              <w:rPr>
                <w:sz w:val="24"/>
              </w:rPr>
            </w:pPr>
            <w:r>
              <w:rPr>
                <w:sz w:val="24"/>
              </w:rPr>
              <w:t>HUD-52722</w:t>
            </w:r>
          </w:p>
        </w:tc>
        <w:tc>
          <w:tcPr>
            <w:tcW w:w="1348" w:type="dxa"/>
            <w:vAlign w:val="center"/>
          </w:tcPr>
          <w:p w:rsidR="00D221CA" w:rsidP="00F56747" w:rsidRDefault="002D6D36" w14:paraId="105C56E2" w14:textId="77777777">
            <w:pPr>
              <w:jc w:val="center"/>
              <w:rPr>
                <w:sz w:val="24"/>
              </w:rPr>
            </w:pPr>
            <w:r>
              <w:rPr>
                <w:sz w:val="24"/>
              </w:rPr>
              <w:t>7,000</w:t>
            </w:r>
          </w:p>
        </w:tc>
        <w:tc>
          <w:tcPr>
            <w:tcW w:w="1082" w:type="dxa"/>
            <w:vAlign w:val="center"/>
          </w:tcPr>
          <w:p w:rsidR="00D221CA" w:rsidP="00F56747" w:rsidRDefault="002D6D36" w14:paraId="417DCFE1" w14:textId="77777777">
            <w:pPr>
              <w:jc w:val="center"/>
              <w:rPr>
                <w:sz w:val="24"/>
              </w:rPr>
            </w:pPr>
            <w:r>
              <w:rPr>
                <w:sz w:val="24"/>
              </w:rPr>
              <w:t>5,250</w:t>
            </w:r>
          </w:p>
        </w:tc>
        <w:tc>
          <w:tcPr>
            <w:tcW w:w="227" w:type="dxa"/>
            <w:vAlign w:val="center"/>
          </w:tcPr>
          <w:p w:rsidR="00D221CA" w:rsidP="00F56747" w:rsidRDefault="00D221CA" w14:paraId="129CB1EC" w14:textId="77777777">
            <w:pPr>
              <w:jc w:val="center"/>
              <w:rPr>
                <w:sz w:val="24"/>
              </w:rPr>
            </w:pPr>
          </w:p>
        </w:tc>
        <w:tc>
          <w:tcPr>
            <w:tcW w:w="943" w:type="dxa"/>
            <w:vAlign w:val="center"/>
          </w:tcPr>
          <w:p w:rsidRPr="009A64D0" w:rsidR="00D221CA" w:rsidP="00F56747" w:rsidRDefault="00D221CA" w14:paraId="206273A4" w14:textId="3EA4BFBD">
            <w:pPr>
              <w:jc w:val="center"/>
              <w:rPr>
                <w:sz w:val="24"/>
                <w:highlight w:val="yellow"/>
              </w:rPr>
            </w:pPr>
            <w:r w:rsidRPr="007B5BEF">
              <w:rPr>
                <w:sz w:val="24"/>
              </w:rPr>
              <w:t>$</w:t>
            </w:r>
            <w:r w:rsidR="002776B2">
              <w:rPr>
                <w:sz w:val="24"/>
              </w:rPr>
              <w:t>3</w:t>
            </w:r>
            <w:r w:rsidR="007845AE">
              <w:rPr>
                <w:sz w:val="24"/>
              </w:rPr>
              <w:t>4</w:t>
            </w:r>
            <w:r w:rsidR="002776B2">
              <w:rPr>
                <w:sz w:val="24"/>
              </w:rPr>
              <w:t>.</w:t>
            </w:r>
            <w:r w:rsidR="007845AE">
              <w:rPr>
                <w:sz w:val="24"/>
              </w:rPr>
              <w:t>51</w:t>
            </w:r>
          </w:p>
        </w:tc>
        <w:tc>
          <w:tcPr>
            <w:tcW w:w="360" w:type="dxa"/>
            <w:vAlign w:val="center"/>
          </w:tcPr>
          <w:p w:rsidR="00D221CA" w:rsidP="00F56747" w:rsidRDefault="00D221CA" w14:paraId="7BFB2A4C" w14:textId="77777777">
            <w:pPr>
              <w:jc w:val="center"/>
              <w:rPr>
                <w:sz w:val="24"/>
              </w:rPr>
            </w:pPr>
          </w:p>
        </w:tc>
        <w:tc>
          <w:tcPr>
            <w:tcW w:w="2160" w:type="dxa"/>
            <w:vAlign w:val="center"/>
          </w:tcPr>
          <w:p w:rsidRPr="00531A9C" w:rsidR="00D221CA" w:rsidP="00F56747" w:rsidRDefault="007845AE" w14:paraId="6D92B000" w14:textId="0E3C1ABE">
            <w:pPr>
              <w:jc w:val="center"/>
              <w:rPr>
                <w:sz w:val="24"/>
              </w:rPr>
            </w:pPr>
            <w:r w:rsidRPr="007845AE">
              <w:rPr>
                <w:sz w:val="24"/>
              </w:rPr>
              <w:t>$181,177.50</w:t>
            </w:r>
          </w:p>
        </w:tc>
      </w:tr>
      <w:tr w:rsidR="00D221CA" w:rsidTr="00F56747" w14:paraId="0E1A8482" w14:textId="77777777">
        <w:trPr>
          <w:trHeight w:val="255"/>
        </w:trPr>
        <w:tc>
          <w:tcPr>
            <w:tcW w:w="1800" w:type="dxa"/>
          </w:tcPr>
          <w:p w:rsidR="00D221CA" w:rsidP="00F56747" w:rsidRDefault="00D221CA" w14:paraId="7DFE6E42" w14:textId="77777777">
            <w:pPr>
              <w:jc w:val="center"/>
              <w:rPr>
                <w:sz w:val="24"/>
              </w:rPr>
            </w:pPr>
            <w:r>
              <w:rPr>
                <w:sz w:val="24"/>
              </w:rPr>
              <w:t>HUD-52723</w:t>
            </w:r>
          </w:p>
        </w:tc>
        <w:tc>
          <w:tcPr>
            <w:tcW w:w="1348" w:type="dxa"/>
            <w:vAlign w:val="center"/>
          </w:tcPr>
          <w:p w:rsidR="00D221CA" w:rsidP="00F56747" w:rsidRDefault="002D6D36" w14:paraId="24D8DE01" w14:textId="77777777">
            <w:pPr>
              <w:jc w:val="center"/>
              <w:rPr>
                <w:sz w:val="24"/>
              </w:rPr>
            </w:pPr>
            <w:r>
              <w:rPr>
                <w:sz w:val="24"/>
              </w:rPr>
              <w:t>7,000</w:t>
            </w:r>
          </w:p>
        </w:tc>
        <w:tc>
          <w:tcPr>
            <w:tcW w:w="1082" w:type="dxa"/>
            <w:vAlign w:val="center"/>
          </w:tcPr>
          <w:p w:rsidR="00D221CA" w:rsidP="00F56747" w:rsidRDefault="002D6D36" w14:paraId="2EC981F0" w14:textId="77777777">
            <w:pPr>
              <w:jc w:val="center"/>
              <w:rPr>
                <w:sz w:val="24"/>
              </w:rPr>
            </w:pPr>
            <w:r>
              <w:rPr>
                <w:sz w:val="24"/>
              </w:rPr>
              <w:t>5,250</w:t>
            </w:r>
          </w:p>
        </w:tc>
        <w:tc>
          <w:tcPr>
            <w:tcW w:w="227" w:type="dxa"/>
            <w:vAlign w:val="center"/>
          </w:tcPr>
          <w:p w:rsidR="00D221CA" w:rsidP="00F56747" w:rsidRDefault="00D221CA" w14:paraId="038AA929" w14:textId="77777777">
            <w:pPr>
              <w:jc w:val="center"/>
              <w:rPr>
                <w:sz w:val="24"/>
              </w:rPr>
            </w:pPr>
          </w:p>
        </w:tc>
        <w:tc>
          <w:tcPr>
            <w:tcW w:w="943" w:type="dxa"/>
            <w:vAlign w:val="center"/>
          </w:tcPr>
          <w:p w:rsidRPr="009A64D0" w:rsidR="00D221CA" w:rsidP="00F56747" w:rsidRDefault="00D221CA" w14:paraId="79883C9E" w14:textId="24024E64">
            <w:pPr>
              <w:jc w:val="center"/>
              <w:rPr>
                <w:sz w:val="24"/>
                <w:highlight w:val="yellow"/>
              </w:rPr>
            </w:pPr>
            <w:r w:rsidRPr="00531A9C">
              <w:rPr>
                <w:sz w:val="24"/>
              </w:rPr>
              <w:t>$</w:t>
            </w:r>
            <w:r w:rsidR="00531A9C">
              <w:rPr>
                <w:sz w:val="24"/>
              </w:rPr>
              <w:t>3</w:t>
            </w:r>
            <w:r w:rsidR="007845AE">
              <w:rPr>
                <w:sz w:val="24"/>
              </w:rPr>
              <w:t>4</w:t>
            </w:r>
            <w:r w:rsidR="002776B2">
              <w:rPr>
                <w:sz w:val="24"/>
              </w:rPr>
              <w:t>.</w:t>
            </w:r>
            <w:r w:rsidR="007845AE">
              <w:rPr>
                <w:sz w:val="24"/>
              </w:rPr>
              <w:t>51</w:t>
            </w:r>
          </w:p>
        </w:tc>
        <w:tc>
          <w:tcPr>
            <w:tcW w:w="360" w:type="dxa"/>
            <w:vAlign w:val="center"/>
          </w:tcPr>
          <w:p w:rsidR="00D221CA" w:rsidP="00F56747" w:rsidRDefault="00D221CA" w14:paraId="7A8A7879" w14:textId="77777777">
            <w:pPr>
              <w:jc w:val="center"/>
              <w:rPr>
                <w:sz w:val="24"/>
              </w:rPr>
            </w:pPr>
          </w:p>
        </w:tc>
        <w:tc>
          <w:tcPr>
            <w:tcW w:w="2160" w:type="dxa"/>
            <w:vAlign w:val="center"/>
          </w:tcPr>
          <w:p w:rsidRPr="00531A9C" w:rsidR="00D221CA" w:rsidP="00F56747" w:rsidRDefault="00D221CA" w14:paraId="2D3CBC8F" w14:textId="0B085F3C">
            <w:pPr>
              <w:jc w:val="center"/>
              <w:rPr>
                <w:sz w:val="24"/>
              </w:rPr>
            </w:pPr>
            <w:r w:rsidRPr="00531A9C">
              <w:rPr>
                <w:sz w:val="24"/>
              </w:rPr>
              <w:t>$</w:t>
            </w:r>
            <w:r w:rsidR="00E23623">
              <w:rPr>
                <w:sz w:val="24"/>
              </w:rPr>
              <w:t>1</w:t>
            </w:r>
            <w:r w:rsidR="007163D7">
              <w:rPr>
                <w:sz w:val="24"/>
              </w:rPr>
              <w:t>81,177.50</w:t>
            </w:r>
          </w:p>
        </w:tc>
      </w:tr>
      <w:tr w:rsidR="00D221CA" w:rsidTr="00F56747" w14:paraId="5B919D56" w14:textId="77777777">
        <w:trPr>
          <w:cantSplit/>
          <w:trHeight w:val="255"/>
        </w:trPr>
        <w:tc>
          <w:tcPr>
            <w:tcW w:w="1800" w:type="dxa"/>
          </w:tcPr>
          <w:p w:rsidR="00D221CA" w:rsidP="00F56747" w:rsidRDefault="00D221CA" w14:paraId="2A5A1870" w14:textId="77777777">
            <w:pPr>
              <w:pStyle w:val="Heading3"/>
              <w:rPr>
                <w:b/>
                <w:bCs/>
              </w:rPr>
            </w:pPr>
            <w:r>
              <w:rPr>
                <w:b/>
                <w:bCs/>
              </w:rPr>
              <w:t>Total</w:t>
            </w:r>
          </w:p>
        </w:tc>
        <w:tc>
          <w:tcPr>
            <w:tcW w:w="3960" w:type="dxa"/>
            <w:gridSpan w:val="5"/>
            <w:vAlign w:val="center"/>
          </w:tcPr>
          <w:p w:rsidRPr="00E177E5" w:rsidR="00D221CA" w:rsidP="00F56747" w:rsidRDefault="00D221CA" w14:paraId="5D6856C7" w14:textId="77777777">
            <w:pPr>
              <w:rPr>
                <w:b/>
                <w:bCs/>
                <w:sz w:val="24"/>
                <w:highlight w:val="yellow"/>
              </w:rPr>
            </w:pPr>
            <w:r w:rsidRPr="006F1ECE">
              <w:rPr>
                <w:sz w:val="24"/>
              </w:rPr>
              <w:t xml:space="preserve"> </w:t>
            </w:r>
            <w:r w:rsidR="00E177E5">
              <w:rPr>
                <w:sz w:val="24"/>
              </w:rPr>
              <w:t xml:space="preserve">                        </w:t>
            </w:r>
            <w:r w:rsidRPr="00E177E5" w:rsidR="00E177E5">
              <w:rPr>
                <w:b/>
                <w:bCs/>
                <w:sz w:val="24"/>
              </w:rPr>
              <w:t>10,500</w:t>
            </w:r>
          </w:p>
        </w:tc>
        <w:tc>
          <w:tcPr>
            <w:tcW w:w="2160" w:type="dxa"/>
            <w:vAlign w:val="center"/>
          </w:tcPr>
          <w:p w:rsidRPr="00E177E5" w:rsidR="00D221CA" w:rsidP="00F56747" w:rsidRDefault="007163D7" w14:paraId="06D6052F" w14:textId="46FCD495">
            <w:pPr>
              <w:jc w:val="center"/>
              <w:rPr>
                <w:b/>
                <w:bCs/>
                <w:sz w:val="24"/>
              </w:rPr>
            </w:pPr>
            <w:r w:rsidRPr="007163D7">
              <w:rPr>
                <w:b/>
                <w:bCs/>
                <w:sz w:val="24"/>
              </w:rPr>
              <w:t>$362,355.00</w:t>
            </w:r>
          </w:p>
        </w:tc>
      </w:tr>
    </w:tbl>
    <w:p w:rsidR="00325122" w:rsidRDefault="00325122" w14:paraId="4D209017" w14:textId="77777777">
      <w:pPr>
        <w:ind w:left="720"/>
        <w:rPr>
          <w:sz w:val="24"/>
        </w:rPr>
      </w:pPr>
    </w:p>
    <w:p w:rsidRPr="00325122" w:rsidR="00325122" w:rsidP="00325122" w:rsidRDefault="00325122" w14:paraId="6231F277" w14:textId="77777777">
      <w:pPr>
        <w:rPr>
          <w:sz w:val="24"/>
        </w:rPr>
      </w:pPr>
    </w:p>
    <w:p w:rsidRPr="00325122" w:rsidR="00325122" w:rsidP="00325122" w:rsidRDefault="00325122" w14:paraId="0E9964F7" w14:textId="77777777">
      <w:pPr>
        <w:rPr>
          <w:sz w:val="24"/>
        </w:rPr>
      </w:pPr>
    </w:p>
    <w:p w:rsidRPr="00325122" w:rsidR="00325122" w:rsidP="00325122" w:rsidRDefault="00325122" w14:paraId="31F5DADF" w14:textId="77777777">
      <w:pPr>
        <w:rPr>
          <w:sz w:val="24"/>
        </w:rPr>
      </w:pPr>
    </w:p>
    <w:p w:rsidR="00325122" w:rsidRDefault="00325122" w14:paraId="387378DF" w14:textId="77777777">
      <w:pPr>
        <w:ind w:left="720"/>
        <w:rPr>
          <w:sz w:val="24"/>
        </w:rPr>
      </w:pPr>
    </w:p>
    <w:p w:rsidR="00325122" w:rsidRDefault="00325122" w14:paraId="72D12ED0" w14:textId="77777777">
      <w:pPr>
        <w:ind w:left="720"/>
        <w:rPr>
          <w:sz w:val="24"/>
        </w:rPr>
      </w:pPr>
    </w:p>
    <w:p w:rsidR="00D221CA" w:rsidP="00325122" w:rsidRDefault="00325122" w14:paraId="7C4DCE18" w14:textId="40F0D968">
      <w:pPr>
        <w:ind w:left="720"/>
        <w:jc w:val="right"/>
        <w:rPr>
          <w:sz w:val="24"/>
        </w:rPr>
      </w:pPr>
      <w:r>
        <w:rPr>
          <w:sz w:val="24"/>
        </w:rPr>
        <w:br w:type="textWrapping" w:clear="all"/>
      </w:r>
    </w:p>
    <w:p w:rsidR="00215D4F" w:rsidP="00215D4F" w:rsidRDefault="00D221CA" w14:paraId="4FE87776" w14:textId="77777777">
      <w:pPr>
        <w:numPr>
          <w:ilvl w:val="0"/>
          <w:numId w:val="27"/>
        </w:numPr>
        <w:tabs>
          <w:tab w:val="clear" w:pos="360"/>
        </w:tabs>
        <w:ind w:left="720"/>
        <w:rPr>
          <w:sz w:val="24"/>
        </w:rPr>
      </w:pPr>
      <w:r>
        <w:rPr>
          <w:sz w:val="24"/>
        </w:rPr>
        <w:t>There will be no additional costs to the respondents.</w:t>
      </w:r>
    </w:p>
    <w:p w:rsidR="00215D4F" w:rsidP="00215D4F" w:rsidRDefault="00215D4F" w14:paraId="243BD6BD" w14:textId="77777777">
      <w:pPr>
        <w:ind w:left="360"/>
        <w:rPr>
          <w:sz w:val="24"/>
        </w:rPr>
      </w:pPr>
    </w:p>
    <w:p w:rsidR="00D221CA" w:rsidP="00215D4F" w:rsidRDefault="00D221CA" w14:paraId="26A9E794" w14:textId="57653D18">
      <w:pPr>
        <w:numPr>
          <w:ilvl w:val="0"/>
          <w:numId w:val="27"/>
        </w:numPr>
        <w:tabs>
          <w:tab w:val="clear" w:pos="360"/>
        </w:tabs>
        <w:ind w:left="720"/>
        <w:rPr>
          <w:sz w:val="24"/>
          <w:szCs w:val="24"/>
        </w:rPr>
      </w:pPr>
      <w:r w:rsidRPr="00215D4F">
        <w:rPr>
          <w:sz w:val="24"/>
          <w:szCs w:val="24"/>
        </w:rPr>
        <w:t>The estimated annualized cost to the federal government is based on the 20</w:t>
      </w:r>
      <w:r w:rsidR="007845AE">
        <w:rPr>
          <w:sz w:val="24"/>
          <w:szCs w:val="24"/>
        </w:rPr>
        <w:t>20</w:t>
      </w:r>
      <w:r w:rsidRPr="00215D4F">
        <w:rPr>
          <w:sz w:val="24"/>
          <w:szCs w:val="24"/>
        </w:rPr>
        <w:t xml:space="preserve"> general pay schedule for a GS-11, Step 1</w:t>
      </w:r>
      <w:r w:rsidRPr="00215D4F" w:rsidR="0017199E">
        <w:rPr>
          <w:sz w:val="24"/>
          <w:szCs w:val="24"/>
        </w:rPr>
        <w:t xml:space="preserve"> rate for Washington-Baltimore-Arlington, DC-MD-WV-PA</w:t>
      </w:r>
      <w:r w:rsidRPr="00215D4F">
        <w:rPr>
          <w:sz w:val="24"/>
          <w:szCs w:val="24"/>
        </w:rPr>
        <w:t xml:space="preserve"> (an average salary for a financial analyst) that is $</w:t>
      </w:r>
      <w:r w:rsidRPr="00215D4F" w:rsidR="00531A9C">
        <w:rPr>
          <w:sz w:val="24"/>
          <w:szCs w:val="24"/>
        </w:rPr>
        <w:t>3</w:t>
      </w:r>
      <w:r w:rsidR="007845AE">
        <w:rPr>
          <w:sz w:val="24"/>
          <w:szCs w:val="24"/>
        </w:rPr>
        <w:t>4</w:t>
      </w:r>
      <w:r w:rsidR="00717767">
        <w:rPr>
          <w:sz w:val="24"/>
          <w:szCs w:val="24"/>
        </w:rPr>
        <w:t>.</w:t>
      </w:r>
      <w:r w:rsidR="007845AE">
        <w:rPr>
          <w:sz w:val="24"/>
          <w:szCs w:val="24"/>
        </w:rPr>
        <w:t>51</w:t>
      </w:r>
      <w:r w:rsidRPr="00215D4F">
        <w:rPr>
          <w:sz w:val="24"/>
          <w:szCs w:val="24"/>
        </w:rPr>
        <w:t xml:space="preserve"> per hour.  It is estimated that it takes approximately 1 hour to review the submission package from each PHA.</w:t>
      </w:r>
    </w:p>
    <w:p w:rsidR="00215D4F" w:rsidP="00215D4F" w:rsidRDefault="00215D4F" w14:paraId="5F25E737" w14:textId="77777777">
      <w:pPr>
        <w:pStyle w:val="ListParagraph"/>
        <w:rPr>
          <w:sz w:val="24"/>
          <w:szCs w:val="24"/>
        </w:rPr>
      </w:pPr>
    </w:p>
    <w:p w:rsidRPr="00215D4F" w:rsidR="00215D4F" w:rsidP="00215D4F" w:rsidRDefault="00215D4F" w14:paraId="4C2409A3" w14:textId="77777777">
      <w:pPr>
        <w:ind w:left="720"/>
        <w:rPr>
          <w:sz w:val="24"/>
          <w:szCs w:val="24"/>
        </w:rPr>
      </w:pPr>
    </w:p>
    <w:p w:rsidR="00D221CA" w:rsidRDefault="00D221CA" w14:paraId="1D929832" w14:textId="77777777">
      <w:pPr>
        <w:rPr>
          <w:sz w:val="24"/>
        </w:rPr>
      </w:pPr>
    </w:p>
    <w:tbl>
      <w:tblPr>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50"/>
        <w:gridCol w:w="1800"/>
        <w:gridCol w:w="390"/>
        <w:gridCol w:w="1170"/>
        <w:gridCol w:w="360"/>
        <w:gridCol w:w="1590"/>
      </w:tblGrid>
      <w:tr w:rsidR="00D221CA" w14:paraId="4C4BDC27" w14:textId="77777777">
        <w:trPr>
          <w:cantSplit/>
        </w:trPr>
        <w:tc>
          <w:tcPr>
            <w:tcW w:w="7560" w:type="dxa"/>
            <w:gridSpan w:val="6"/>
          </w:tcPr>
          <w:p w:rsidR="00D221CA" w:rsidRDefault="00D221CA" w14:paraId="1BE571CF" w14:textId="77777777">
            <w:pPr>
              <w:pStyle w:val="Heading6"/>
              <w:overflowPunct w:val="0"/>
              <w:autoSpaceDE w:val="0"/>
              <w:autoSpaceDN w:val="0"/>
              <w:adjustRightInd w:val="0"/>
              <w:textAlignment w:val="baseline"/>
            </w:pPr>
            <w:r>
              <w:t>Total Estimated Annual Costs to the Federal Government</w:t>
            </w:r>
          </w:p>
        </w:tc>
      </w:tr>
      <w:tr w:rsidR="00D221CA" w14:paraId="6E4FB649" w14:textId="77777777">
        <w:tc>
          <w:tcPr>
            <w:tcW w:w="2250" w:type="dxa"/>
          </w:tcPr>
          <w:p w:rsidR="00D221CA" w:rsidRDefault="00D221CA" w14:paraId="1549A8BA" w14:textId="77777777">
            <w:pPr>
              <w:jc w:val="center"/>
              <w:rPr>
                <w:b/>
                <w:bCs/>
                <w:sz w:val="24"/>
              </w:rPr>
            </w:pPr>
            <w:r>
              <w:rPr>
                <w:b/>
                <w:bCs/>
                <w:sz w:val="24"/>
              </w:rPr>
              <w:t>No. of Respondents</w:t>
            </w:r>
          </w:p>
        </w:tc>
        <w:tc>
          <w:tcPr>
            <w:tcW w:w="1800" w:type="dxa"/>
          </w:tcPr>
          <w:p w:rsidR="00D221CA" w:rsidRDefault="00D221CA" w14:paraId="45DA91E8" w14:textId="77777777">
            <w:pPr>
              <w:jc w:val="center"/>
              <w:rPr>
                <w:b/>
                <w:bCs/>
                <w:sz w:val="24"/>
              </w:rPr>
            </w:pPr>
            <w:r>
              <w:rPr>
                <w:b/>
                <w:bCs/>
                <w:sz w:val="24"/>
              </w:rPr>
              <w:t>Burden Hours</w:t>
            </w:r>
          </w:p>
        </w:tc>
        <w:tc>
          <w:tcPr>
            <w:tcW w:w="390" w:type="dxa"/>
          </w:tcPr>
          <w:p w:rsidR="00D221CA" w:rsidRDefault="00D221CA" w14:paraId="6D1C3CCE" w14:textId="77777777">
            <w:pPr>
              <w:pStyle w:val="Heading7"/>
              <w:jc w:val="center"/>
            </w:pPr>
            <w:r>
              <w:t>X</w:t>
            </w:r>
          </w:p>
        </w:tc>
        <w:tc>
          <w:tcPr>
            <w:tcW w:w="1170" w:type="dxa"/>
          </w:tcPr>
          <w:p w:rsidR="00D221CA" w:rsidRDefault="00D221CA" w14:paraId="6F55AEA2" w14:textId="77777777">
            <w:pPr>
              <w:pStyle w:val="Heading7"/>
              <w:jc w:val="center"/>
            </w:pPr>
            <w:r>
              <w:t>Hr. Rate</w:t>
            </w:r>
          </w:p>
        </w:tc>
        <w:tc>
          <w:tcPr>
            <w:tcW w:w="360" w:type="dxa"/>
          </w:tcPr>
          <w:p w:rsidR="00D221CA" w:rsidRDefault="00D221CA" w14:paraId="45196A2C" w14:textId="77777777">
            <w:pPr>
              <w:jc w:val="center"/>
              <w:rPr>
                <w:sz w:val="24"/>
              </w:rPr>
            </w:pPr>
            <w:r>
              <w:rPr>
                <w:sz w:val="24"/>
              </w:rPr>
              <w:t>=</w:t>
            </w:r>
          </w:p>
        </w:tc>
        <w:tc>
          <w:tcPr>
            <w:tcW w:w="1590" w:type="dxa"/>
          </w:tcPr>
          <w:p w:rsidR="00D221CA" w:rsidRDefault="00D221CA" w14:paraId="7B0AF46B" w14:textId="77777777">
            <w:pPr>
              <w:pStyle w:val="Heading7"/>
              <w:jc w:val="center"/>
            </w:pPr>
            <w:r>
              <w:t>Annual Cost</w:t>
            </w:r>
          </w:p>
        </w:tc>
      </w:tr>
      <w:tr w:rsidR="00D221CA" w14:paraId="54FE43F8" w14:textId="77777777">
        <w:tc>
          <w:tcPr>
            <w:tcW w:w="2250" w:type="dxa"/>
            <w:vAlign w:val="center"/>
          </w:tcPr>
          <w:p w:rsidR="00D221CA" w:rsidP="00D030BC" w:rsidRDefault="002D6D36" w14:paraId="031113D2" w14:textId="77777777">
            <w:pPr>
              <w:jc w:val="center"/>
              <w:rPr>
                <w:sz w:val="24"/>
              </w:rPr>
            </w:pPr>
            <w:r>
              <w:rPr>
                <w:sz w:val="24"/>
              </w:rPr>
              <w:t>14,000</w:t>
            </w:r>
          </w:p>
        </w:tc>
        <w:tc>
          <w:tcPr>
            <w:tcW w:w="1800" w:type="dxa"/>
            <w:vAlign w:val="center"/>
          </w:tcPr>
          <w:p w:rsidR="00D221CA" w:rsidP="00D030BC" w:rsidRDefault="002D6D36" w14:paraId="41321829" w14:textId="77777777">
            <w:pPr>
              <w:jc w:val="center"/>
              <w:rPr>
                <w:sz w:val="24"/>
              </w:rPr>
            </w:pPr>
            <w:r>
              <w:rPr>
                <w:sz w:val="24"/>
              </w:rPr>
              <w:t>14,000</w:t>
            </w:r>
          </w:p>
        </w:tc>
        <w:tc>
          <w:tcPr>
            <w:tcW w:w="390" w:type="dxa"/>
            <w:vAlign w:val="center"/>
          </w:tcPr>
          <w:p w:rsidR="00D221CA" w:rsidRDefault="00D221CA" w14:paraId="39D5B191" w14:textId="77777777">
            <w:pPr>
              <w:jc w:val="center"/>
              <w:rPr>
                <w:sz w:val="24"/>
              </w:rPr>
            </w:pPr>
          </w:p>
        </w:tc>
        <w:tc>
          <w:tcPr>
            <w:tcW w:w="1170" w:type="dxa"/>
            <w:vAlign w:val="center"/>
          </w:tcPr>
          <w:p w:rsidRPr="00531A9C" w:rsidR="00D221CA" w:rsidP="0017199E" w:rsidRDefault="00D221CA" w14:paraId="5609DBE5" w14:textId="1FF91BA4">
            <w:pPr>
              <w:jc w:val="center"/>
              <w:rPr>
                <w:sz w:val="24"/>
              </w:rPr>
            </w:pPr>
            <w:r w:rsidRPr="00531A9C">
              <w:rPr>
                <w:sz w:val="24"/>
              </w:rPr>
              <w:t>$</w:t>
            </w:r>
            <w:r w:rsidR="00E23623">
              <w:rPr>
                <w:sz w:val="24"/>
              </w:rPr>
              <w:t>3</w:t>
            </w:r>
            <w:r w:rsidR="007163D7">
              <w:rPr>
                <w:sz w:val="24"/>
              </w:rPr>
              <w:t>4</w:t>
            </w:r>
            <w:r w:rsidRPr="00531A9C">
              <w:rPr>
                <w:sz w:val="24"/>
              </w:rPr>
              <w:t>.</w:t>
            </w:r>
            <w:r w:rsidR="007163D7">
              <w:rPr>
                <w:sz w:val="24"/>
              </w:rPr>
              <w:t>51</w:t>
            </w:r>
          </w:p>
        </w:tc>
        <w:tc>
          <w:tcPr>
            <w:tcW w:w="360" w:type="dxa"/>
            <w:vAlign w:val="center"/>
          </w:tcPr>
          <w:p w:rsidRPr="00531A9C" w:rsidR="00D221CA" w:rsidRDefault="00D221CA" w14:paraId="5345C053" w14:textId="77777777">
            <w:pPr>
              <w:jc w:val="center"/>
              <w:rPr>
                <w:sz w:val="24"/>
              </w:rPr>
            </w:pPr>
          </w:p>
        </w:tc>
        <w:tc>
          <w:tcPr>
            <w:tcW w:w="1590" w:type="dxa"/>
            <w:vAlign w:val="center"/>
          </w:tcPr>
          <w:p w:rsidRPr="00531A9C" w:rsidR="00D221CA" w:rsidP="002D6D36" w:rsidRDefault="007163D7" w14:paraId="35F00BB7" w14:textId="71773CC9">
            <w:pPr>
              <w:jc w:val="center"/>
              <w:rPr>
                <w:sz w:val="24"/>
              </w:rPr>
            </w:pPr>
            <w:r w:rsidRPr="007163D7">
              <w:rPr>
                <w:sz w:val="24"/>
              </w:rPr>
              <w:t>$483,140</w:t>
            </w:r>
          </w:p>
        </w:tc>
      </w:tr>
      <w:tr w:rsidR="00D221CA" w14:paraId="4E160284" w14:textId="77777777">
        <w:tc>
          <w:tcPr>
            <w:tcW w:w="2250" w:type="dxa"/>
            <w:vAlign w:val="center"/>
          </w:tcPr>
          <w:p w:rsidR="00D221CA" w:rsidP="00FA5C62" w:rsidRDefault="00FA5C62" w14:paraId="39826ECA" w14:textId="77777777">
            <w:pPr>
              <w:jc w:val="center"/>
              <w:rPr>
                <w:sz w:val="24"/>
              </w:rPr>
            </w:pPr>
            <w:r>
              <w:rPr>
                <w:sz w:val="24"/>
              </w:rPr>
              <w:t>9</w:t>
            </w:r>
          </w:p>
        </w:tc>
        <w:tc>
          <w:tcPr>
            <w:tcW w:w="1800" w:type="dxa"/>
            <w:vAlign w:val="center"/>
          </w:tcPr>
          <w:p w:rsidR="00D221CA" w:rsidP="00FA5C62" w:rsidRDefault="00FA5C62" w14:paraId="5BE11239" w14:textId="77777777">
            <w:pPr>
              <w:jc w:val="center"/>
              <w:rPr>
                <w:sz w:val="24"/>
              </w:rPr>
            </w:pPr>
            <w:r>
              <w:rPr>
                <w:sz w:val="24"/>
              </w:rPr>
              <w:t>9</w:t>
            </w:r>
          </w:p>
        </w:tc>
        <w:tc>
          <w:tcPr>
            <w:tcW w:w="390" w:type="dxa"/>
            <w:vAlign w:val="center"/>
          </w:tcPr>
          <w:p w:rsidR="00D221CA" w:rsidRDefault="00D221CA" w14:paraId="6485028D" w14:textId="77777777">
            <w:pPr>
              <w:jc w:val="center"/>
              <w:rPr>
                <w:sz w:val="24"/>
              </w:rPr>
            </w:pPr>
          </w:p>
        </w:tc>
        <w:tc>
          <w:tcPr>
            <w:tcW w:w="1170" w:type="dxa"/>
            <w:vAlign w:val="center"/>
          </w:tcPr>
          <w:p w:rsidRPr="00531A9C" w:rsidR="00D221CA" w:rsidP="00531A9C" w:rsidRDefault="00D221CA" w14:paraId="5DBFC000" w14:textId="61828B24">
            <w:pPr>
              <w:jc w:val="center"/>
              <w:rPr>
                <w:sz w:val="24"/>
              </w:rPr>
            </w:pPr>
            <w:r w:rsidRPr="00531A9C">
              <w:rPr>
                <w:sz w:val="24"/>
              </w:rPr>
              <w:t>$</w:t>
            </w:r>
            <w:r w:rsidR="00531A9C">
              <w:rPr>
                <w:sz w:val="24"/>
              </w:rPr>
              <w:t>3</w:t>
            </w:r>
            <w:r w:rsidR="007163D7">
              <w:rPr>
                <w:sz w:val="24"/>
              </w:rPr>
              <w:t>4</w:t>
            </w:r>
            <w:r w:rsidR="00E23623">
              <w:rPr>
                <w:sz w:val="24"/>
              </w:rPr>
              <w:t>.</w:t>
            </w:r>
            <w:r w:rsidR="007163D7">
              <w:rPr>
                <w:sz w:val="24"/>
              </w:rPr>
              <w:t>51</w:t>
            </w:r>
          </w:p>
        </w:tc>
        <w:tc>
          <w:tcPr>
            <w:tcW w:w="360" w:type="dxa"/>
            <w:vAlign w:val="center"/>
          </w:tcPr>
          <w:p w:rsidRPr="00531A9C" w:rsidR="00D221CA" w:rsidRDefault="00D221CA" w14:paraId="2035A59B" w14:textId="77777777">
            <w:pPr>
              <w:jc w:val="center"/>
              <w:rPr>
                <w:sz w:val="24"/>
              </w:rPr>
            </w:pPr>
          </w:p>
        </w:tc>
        <w:tc>
          <w:tcPr>
            <w:tcW w:w="1590" w:type="dxa"/>
            <w:vAlign w:val="center"/>
          </w:tcPr>
          <w:p w:rsidRPr="00531A9C" w:rsidR="00D221CA" w:rsidP="00F1519E" w:rsidRDefault="00F1519E" w14:paraId="451EEA79" w14:textId="3CD4F89C">
            <w:pPr>
              <w:jc w:val="center"/>
              <w:rPr>
                <w:sz w:val="24"/>
              </w:rPr>
            </w:pPr>
            <w:r>
              <w:rPr>
                <w:sz w:val="24"/>
              </w:rPr>
              <w:t xml:space="preserve">      </w:t>
            </w:r>
            <w:r w:rsidRPr="007163D7" w:rsidR="007163D7">
              <w:rPr>
                <w:sz w:val="24"/>
              </w:rPr>
              <w:t>$310.59</w:t>
            </w:r>
          </w:p>
        </w:tc>
      </w:tr>
      <w:tr w:rsidR="00D221CA" w14:paraId="19CE4D5D" w14:textId="77777777">
        <w:trPr>
          <w:cantSplit/>
        </w:trPr>
        <w:tc>
          <w:tcPr>
            <w:tcW w:w="5970" w:type="dxa"/>
            <w:gridSpan w:val="5"/>
            <w:vAlign w:val="center"/>
          </w:tcPr>
          <w:p w:rsidRPr="00531A9C" w:rsidR="00D221CA" w:rsidRDefault="00D221CA" w14:paraId="3D6B64A2" w14:textId="77777777">
            <w:pPr>
              <w:rPr>
                <w:sz w:val="24"/>
              </w:rPr>
            </w:pPr>
            <w:r w:rsidRPr="00531A9C">
              <w:rPr>
                <w:b/>
                <w:bCs/>
                <w:sz w:val="24"/>
              </w:rPr>
              <w:t>Total</w:t>
            </w:r>
          </w:p>
        </w:tc>
        <w:tc>
          <w:tcPr>
            <w:tcW w:w="1590" w:type="dxa"/>
            <w:vAlign w:val="center"/>
          </w:tcPr>
          <w:p w:rsidRPr="00531A9C" w:rsidR="00D221CA" w:rsidP="002D6D36" w:rsidRDefault="007163D7" w14:paraId="5C007D28" w14:textId="2EC49886">
            <w:pPr>
              <w:jc w:val="center"/>
              <w:rPr>
                <w:sz w:val="24"/>
              </w:rPr>
            </w:pPr>
            <w:r w:rsidRPr="007163D7">
              <w:rPr>
                <w:sz w:val="24"/>
              </w:rPr>
              <w:t>$483,450.59</w:t>
            </w:r>
          </w:p>
        </w:tc>
      </w:tr>
    </w:tbl>
    <w:p w:rsidR="00D221CA" w:rsidRDefault="00D221CA" w14:paraId="1A7A967E" w14:textId="77777777">
      <w:pPr>
        <w:rPr>
          <w:sz w:val="24"/>
        </w:rPr>
      </w:pPr>
    </w:p>
    <w:p w:rsidRPr="00976E86" w:rsidR="00C131F3" w:rsidP="00976E86" w:rsidRDefault="006D5C41" w14:paraId="6BEC31F8" w14:textId="77777777">
      <w:pPr>
        <w:numPr>
          <w:ilvl w:val="0"/>
          <w:numId w:val="14"/>
        </w:numPr>
        <w:tabs>
          <w:tab w:val="clear" w:pos="360"/>
        </w:tabs>
        <w:ind w:left="810"/>
        <w:rPr>
          <w:sz w:val="24"/>
          <w:szCs w:val="24"/>
        </w:rPr>
      </w:pPr>
      <w:bookmarkStart w:name="_Hlk30489271" w:id="10"/>
      <w:r>
        <w:rPr>
          <w:sz w:val="24"/>
          <w:szCs w:val="24"/>
        </w:rPr>
        <w:t>The following changes occurred in this submission. The form no longer includes</w:t>
      </w:r>
      <w:r w:rsidRPr="000D6C89" w:rsidR="00C131F3">
        <w:rPr>
          <w:sz w:val="24"/>
          <w:szCs w:val="24"/>
        </w:rPr>
        <w:t xml:space="preserve"> blocks 4. Unit Change Indicator and 5. Rate Reduction Incentive</w:t>
      </w:r>
      <w:r w:rsidR="00976E86">
        <w:rPr>
          <w:sz w:val="24"/>
          <w:szCs w:val="24"/>
        </w:rPr>
        <w:t>. The form includes a</w:t>
      </w:r>
      <w:r w:rsidRPr="00976E86" w:rsidR="00C131F3">
        <w:rPr>
          <w:sz w:val="24"/>
          <w:szCs w:val="24"/>
        </w:rPr>
        <w:t xml:space="preserve">djustments to improve the workflow of the form. Adjustments include changes to formatting and adding Line 19 Total base utilities expense level for respondents to clearly understand where to sum the results of data collected in columns.  </w:t>
      </w:r>
    </w:p>
    <w:bookmarkEnd w:id="10"/>
    <w:p w:rsidRPr="000D6C89" w:rsidR="00D56C14" w:rsidP="00D56C14" w:rsidRDefault="00D56C14" w14:paraId="5F45DAE6" w14:textId="77777777">
      <w:pPr>
        <w:ind w:left="810"/>
        <w:rPr>
          <w:sz w:val="24"/>
          <w:szCs w:val="24"/>
        </w:rPr>
      </w:pPr>
    </w:p>
    <w:p w:rsidRPr="000D6C89" w:rsidR="002D6D36" w:rsidP="002D6D36" w:rsidRDefault="00D221CA" w14:paraId="15EB814C" w14:textId="77777777">
      <w:pPr>
        <w:numPr>
          <w:ilvl w:val="0"/>
          <w:numId w:val="14"/>
        </w:numPr>
        <w:tabs>
          <w:tab w:val="clear" w:pos="360"/>
        </w:tabs>
        <w:ind w:left="810"/>
        <w:rPr>
          <w:sz w:val="24"/>
          <w:szCs w:val="24"/>
        </w:rPr>
      </w:pPr>
      <w:r w:rsidRPr="000D6C89">
        <w:rPr>
          <w:sz w:val="24"/>
          <w:szCs w:val="24"/>
        </w:rPr>
        <w:t>The information collection will not be published.</w:t>
      </w:r>
    </w:p>
    <w:p w:rsidRPr="000D6C89" w:rsidR="002D6D36" w:rsidP="002D6D36" w:rsidRDefault="002D6D36" w14:paraId="06CC0EFD" w14:textId="77777777">
      <w:pPr>
        <w:pStyle w:val="ListParagraph"/>
        <w:rPr>
          <w:sz w:val="24"/>
          <w:szCs w:val="24"/>
        </w:rPr>
      </w:pPr>
    </w:p>
    <w:p w:rsidR="002D6D36" w:rsidP="002D6D36" w:rsidRDefault="00D221CA" w14:paraId="5D67B33C" w14:textId="77777777">
      <w:pPr>
        <w:numPr>
          <w:ilvl w:val="0"/>
          <w:numId w:val="14"/>
        </w:numPr>
        <w:tabs>
          <w:tab w:val="clear" w:pos="360"/>
        </w:tabs>
        <w:ind w:left="810"/>
        <w:rPr>
          <w:sz w:val="24"/>
        </w:rPr>
      </w:pPr>
      <w:r w:rsidRPr="002D6D36">
        <w:rPr>
          <w:sz w:val="24"/>
        </w:rPr>
        <w:t xml:space="preserve">HUD is not seeking approval to not display the expiration date of the OMB approval.  The OMB number and expiration date will be displayed on a “Disclosure Statement” </w:t>
      </w:r>
      <w:r w:rsidRPr="002D6D36" w:rsidR="00D030BC">
        <w:rPr>
          <w:sz w:val="24"/>
        </w:rPr>
        <w:t xml:space="preserve">on each template </w:t>
      </w:r>
      <w:r w:rsidRPr="002D6D36">
        <w:rPr>
          <w:sz w:val="24"/>
        </w:rPr>
        <w:t>after OMB approval is received.</w:t>
      </w:r>
    </w:p>
    <w:p w:rsidR="002D6D36" w:rsidP="002D6D36" w:rsidRDefault="002D6D36" w14:paraId="6E53EEE5" w14:textId="77777777">
      <w:pPr>
        <w:pStyle w:val="ListParagraph"/>
        <w:rPr>
          <w:sz w:val="24"/>
        </w:rPr>
      </w:pPr>
    </w:p>
    <w:p w:rsidRPr="002D6D36" w:rsidR="00D221CA" w:rsidP="002D6D36" w:rsidRDefault="00D221CA" w14:paraId="2500A8D3" w14:textId="77777777">
      <w:pPr>
        <w:numPr>
          <w:ilvl w:val="0"/>
          <w:numId w:val="14"/>
        </w:numPr>
        <w:tabs>
          <w:tab w:val="clear" w:pos="360"/>
        </w:tabs>
        <w:ind w:left="810"/>
        <w:rPr>
          <w:sz w:val="24"/>
        </w:rPr>
      </w:pPr>
      <w:r w:rsidRPr="002D6D36">
        <w:rPr>
          <w:sz w:val="24"/>
        </w:rPr>
        <w:t>There are no exceptions to item 19 of the OMB 83-I.</w:t>
      </w:r>
    </w:p>
    <w:p w:rsidR="00D221CA" w:rsidRDefault="00D221CA" w14:paraId="25597435" w14:textId="77777777">
      <w:pPr>
        <w:rPr>
          <w:color w:val="000000"/>
          <w:sz w:val="24"/>
        </w:rPr>
      </w:pPr>
    </w:p>
    <w:p w:rsidR="00D221CA" w:rsidRDefault="00D221CA" w14:paraId="73CBC8A7" w14:textId="77777777">
      <w:pPr>
        <w:pStyle w:val="Heading2"/>
      </w:pPr>
      <w:r>
        <w:t>B.  Collections of Information Employing Statistical Methods</w:t>
      </w:r>
    </w:p>
    <w:p w:rsidR="00D221CA" w:rsidRDefault="00D221CA" w14:paraId="6BDD9FBB" w14:textId="77777777">
      <w:pPr>
        <w:rPr>
          <w:color w:val="000000"/>
          <w:sz w:val="24"/>
        </w:rPr>
      </w:pPr>
    </w:p>
    <w:p w:rsidR="00D221CA" w:rsidRDefault="00D221CA" w14:paraId="3045CCE2" w14:textId="77777777">
      <w:pPr>
        <w:rPr>
          <w:color w:val="000000"/>
          <w:sz w:val="24"/>
        </w:rPr>
      </w:pPr>
      <w:r>
        <w:rPr>
          <w:color w:val="000000"/>
          <w:sz w:val="24"/>
        </w:rPr>
        <w:t>There are no collections of information employing statistical methods.</w:t>
      </w:r>
    </w:p>
    <w:p w:rsidR="00D221CA" w:rsidRDefault="00D221CA" w14:paraId="00D1CF00" w14:textId="77777777">
      <w:pPr>
        <w:rPr>
          <w:color w:val="000000"/>
          <w:sz w:val="24"/>
        </w:rPr>
      </w:pPr>
    </w:p>
    <w:p w:rsidR="004958CA" w:rsidRDefault="004958CA" w14:paraId="0BFEDEC3" w14:textId="77777777">
      <w:pPr>
        <w:rPr>
          <w:color w:val="000000"/>
          <w:sz w:val="24"/>
        </w:rPr>
      </w:pPr>
    </w:p>
    <w:p w:rsidR="004958CA" w:rsidRDefault="004958CA" w14:paraId="4BB49550" w14:textId="77777777">
      <w:pPr>
        <w:rPr>
          <w:color w:val="000000"/>
          <w:sz w:val="24"/>
        </w:rPr>
      </w:pPr>
    </w:p>
    <w:sectPr w:rsidR="004958CA" w:rsidSect="00E177E5">
      <w:headerReference w:type="default" r:id="rId9"/>
      <w:footerReference w:type="default" r:id="rId10"/>
      <w:footerReference w:type="first" r:id="rId11"/>
      <w:pgSz w:w="12240" w:h="15840"/>
      <w:pgMar w:top="480" w:right="720" w:bottom="480" w:left="600" w:header="480" w:footer="480" w:gutter="0"/>
      <w:cols w:equalWidth="0" w:space="480">
        <w:col w:w="1080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5C4F9" w14:textId="77777777" w:rsidR="00C81536" w:rsidRDefault="00C81536">
      <w:r>
        <w:separator/>
      </w:r>
    </w:p>
  </w:endnote>
  <w:endnote w:type="continuationSeparator" w:id="0">
    <w:p w14:paraId="45993AFB" w14:textId="77777777" w:rsidR="00C81536" w:rsidRDefault="00C8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535B" w14:textId="77777777" w:rsidR="00B226EA" w:rsidRDefault="00B226E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A0285" w14:textId="77777777" w:rsidR="00B226EA" w:rsidRDefault="00B226E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B226EA" w14:paraId="0218885D" w14:textId="77777777">
      <w:tc>
        <w:tcPr>
          <w:tcW w:w="8388" w:type="dxa"/>
          <w:tcBorders>
            <w:top w:val="single" w:sz="6" w:space="0" w:color="auto"/>
            <w:left w:val="nil"/>
            <w:right w:val="single" w:sz="6" w:space="0" w:color="auto"/>
          </w:tcBorders>
        </w:tcPr>
        <w:p w14:paraId="17B238E0" w14:textId="77777777" w:rsidR="00B226EA" w:rsidRDefault="00B226EA">
          <w:pPr>
            <w:pStyle w:val="Footer"/>
            <w:rPr>
              <w:rFonts w:ascii="Helvetica" w:hAnsi="Helvetica"/>
              <w:sz w:val="16"/>
            </w:rPr>
          </w:pPr>
          <w:r>
            <w:rPr>
              <w:rFonts w:ascii="Helvetica" w:hAnsi="Helvetica"/>
              <w:sz w:val="16"/>
            </w:rPr>
            <w:t>Signature of Senior Officer or Designee:</w:t>
          </w:r>
        </w:p>
        <w:p w14:paraId="2B3CB3A1" w14:textId="77777777" w:rsidR="00B226EA" w:rsidRDefault="00B226EA">
          <w:pPr>
            <w:pStyle w:val="Footer"/>
            <w:rPr>
              <w:rFonts w:ascii="Helvetica" w:hAnsi="Helvetica"/>
              <w:sz w:val="16"/>
            </w:rPr>
          </w:pPr>
        </w:p>
        <w:p w14:paraId="52C4018D" w14:textId="77777777" w:rsidR="00B226EA" w:rsidRDefault="00B226EA">
          <w:pPr>
            <w:pStyle w:val="Footer"/>
            <w:rPr>
              <w:rFonts w:ascii="Helvetica" w:hAnsi="Helvetica"/>
              <w:sz w:val="16"/>
            </w:rPr>
          </w:pPr>
        </w:p>
        <w:p w14:paraId="447C64CD" w14:textId="77777777" w:rsidR="00B226EA" w:rsidRDefault="00B226EA">
          <w:pPr>
            <w:pStyle w:val="Footer"/>
            <w:rPr>
              <w:rFonts w:ascii="Helvetica" w:hAnsi="Helvetica"/>
              <w:sz w:val="16"/>
            </w:rPr>
          </w:pPr>
          <w:r>
            <w:rPr>
              <w:rFonts w:ascii="Helvetica" w:hAnsi="Helvetica"/>
              <w:sz w:val="16"/>
            </w:rPr>
            <w:t>X</w:t>
          </w:r>
        </w:p>
        <w:p w14:paraId="7333D97F" w14:textId="77777777" w:rsidR="00B226EA" w:rsidRDefault="00B226EA">
          <w:pPr>
            <w:pStyle w:val="Footer"/>
            <w:rPr>
              <w:rFonts w:ascii="Helvetica" w:hAnsi="Helvetica"/>
              <w:sz w:val="16"/>
            </w:rPr>
          </w:pPr>
          <w:r>
            <w:rPr>
              <w:rFonts w:ascii="Helvetica" w:hAnsi="Helvetica"/>
              <w:sz w:val="16"/>
            </w:rPr>
            <w:t>Collette Pollard, Departmental Reports Management Officer,</w:t>
          </w:r>
        </w:p>
        <w:p w14:paraId="272BD2DA" w14:textId="77777777" w:rsidR="00B226EA" w:rsidRDefault="00B226EA">
          <w:pPr>
            <w:pStyle w:val="Footer"/>
            <w:rPr>
              <w:rFonts w:ascii="Helvetica" w:hAnsi="Helvetica"/>
              <w:sz w:val="16"/>
            </w:rPr>
          </w:pPr>
          <w:r>
            <w:rPr>
              <w:rFonts w:ascii="Helvetica" w:hAnsi="Helvetica"/>
              <w:sz w:val="16"/>
            </w:rPr>
            <w:t xml:space="preserve">Office of the Chief Information Officer </w:t>
          </w:r>
        </w:p>
      </w:tc>
      <w:tc>
        <w:tcPr>
          <w:tcW w:w="2748" w:type="dxa"/>
          <w:tcBorders>
            <w:left w:val="nil"/>
          </w:tcBorders>
        </w:tcPr>
        <w:p w14:paraId="5744B675" w14:textId="77777777" w:rsidR="00B226EA" w:rsidRDefault="00B226EA">
          <w:pPr>
            <w:pStyle w:val="Footer"/>
            <w:rPr>
              <w:rFonts w:ascii="Helvetica" w:hAnsi="Helvetica"/>
              <w:sz w:val="16"/>
            </w:rPr>
          </w:pPr>
          <w:r>
            <w:rPr>
              <w:rFonts w:ascii="Helvetica" w:hAnsi="Helvetica"/>
              <w:sz w:val="16"/>
            </w:rPr>
            <w:t xml:space="preserve">Date: </w:t>
          </w:r>
        </w:p>
      </w:tc>
    </w:tr>
  </w:tbl>
  <w:p w14:paraId="023413CF" w14:textId="77777777" w:rsidR="00B226EA" w:rsidRDefault="00B226EA">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C2F3A" w14:textId="77777777" w:rsidR="00C81536" w:rsidRDefault="00C81536">
      <w:r>
        <w:separator/>
      </w:r>
    </w:p>
  </w:footnote>
  <w:footnote w:type="continuationSeparator" w:id="0">
    <w:p w14:paraId="11C2BF2B" w14:textId="77777777" w:rsidR="00C81536" w:rsidRDefault="00C8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6977" w14:textId="77777777" w:rsidR="00B226EA" w:rsidRDefault="00B22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61F0141"/>
    <w:multiLevelType w:val="hybridMultilevel"/>
    <w:tmpl w:val="656EB3E2"/>
    <w:lvl w:ilvl="0" w:tplc="7BACF9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6C2797"/>
    <w:multiLevelType w:val="hybridMultilevel"/>
    <w:tmpl w:val="F65E04FA"/>
    <w:lvl w:ilvl="0" w:tplc="551A3C4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C643D"/>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15:restartNumberingAfterBreak="0">
    <w:nsid w:val="263E41CC"/>
    <w:multiLevelType w:val="hybridMultilevel"/>
    <w:tmpl w:val="E098ADB8"/>
    <w:lvl w:ilvl="0" w:tplc="551A3C4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7F2396"/>
    <w:multiLevelType w:val="hybridMultilevel"/>
    <w:tmpl w:val="F67A6B8A"/>
    <w:lvl w:ilvl="0" w:tplc="F17CE686">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656F49"/>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372C4C9E"/>
    <w:multiLevelType w:val="hybridMultilevel"/>
    <w:tmpl w:val="ABD0C75E"/>
    <w:lvl w:ilvl="0" w:tplc="5FE8C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E3743"/>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950613F"/>
    <w:multiLevelType w:val="hybridMultilevel"/>
    <w:tmpl w:val="E250D536"/>
    <w:lvl w:ilvl="0" w:tplc="93BE7568">
      <w:start w:val="5"/>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53571A"/>
    <w:multiLevelType w:val="hybridMultilevel"/>
    <w:tmpl w:val="AB5C7136"/>
    <w:lvl w:ilvl="0" w:tplc="21C251EE">
      <w:start w:val="3"/>
      <w:numFmt w:val="decimal"/>
      <w:lvlText w:val="%1."/>
      <w:lvlJc w:val="left"/>
      <w:pPr>
        <w:tabs>
          <w:tab w:val="num" w:pos="360"/>
        </w:tabs>
        <w:ind w:left="360" w:hanging="360"/>
      </w:pPr>
      <w:rPr>
        <w:rFonts w:hint="default"/>
        <w:color w:val="000000"/>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005402D"/>
    <w:multiLevelType w:val="hybridMultilevel"/>
    <w:tmpl w:val="A01AB1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4F567D"/>
    <w:multiLevelType w:val="hybridMultilevel"/>
    <w:tmpl w:val="8FF0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B4BD8"/>
    <w:multiLevelType w:val="hybridMultilevel"/>
    <w:tmpl w:val="BE0E930E"/>
    <w:lvl w:ilvl="0" w:tplc="06A2E35A">
      <w:start w:val="1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7"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8A1B51"/>
    <w:multiLevelType w:val="hybridMultilevel"/>
    <w:tmpl w:val="3A822132"/>
    <w:lvl w:ilvl="0" w:tplc="0409000F">
      <w:start w:val="1"/>
      <w:numFmt w:val="decimal"/>
      <w:lvlText w:val="%1."/>
      <w:lvlJc w:val="left"/>
      <w:pPr>
        <w:tabs>
          <w:tab w:val="num" w:pos="360"/>
        </w:tabs>
        <w:ind w:left="360" w:hanging="360"/>
      </w:p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F2F69B9"/>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40AEB176">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610A045D"/>
    <w:multiLevelType w:val="hybridMultilevel"/>
    <w:tmpl w:val="56429A72"/>
    <w:lvl w:ilvl="0" w:tplc="11CC2168">
      <w:start w:val="7"/>
      <w:numFmt w:val="bullet"/>
      <w:lvlText w:val=""/>
      <w:lvlJc w:val="left"/>
      <w:pPr>
        <w:tabs>
          <w:tab w:val="num" w:pos="720"/>
        </w:tabs>
        <w:ind w:left="720" w:hanging="360"/>
      </w:pPr>
      <w:rPr>
        <w:rFonts w:ascii="Wingdings" w:eastAsia="Times New Roman" w:hAnsi="Wingdings" w:cs="Times New Roman" w:hint="default"/>
        <w:color w:val="auto"/>
      </w:rPr>
    </w:lvl>
    <w:lvl w:ilvl="1" w:tplc="40AEB176">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7BF5BD7"/>
    <w:multiLevelType w:val="hybridMultilevel"/>
    <w:tmpl w:val="1B4C9FE4"/>
    <w:lvl w:ilvl="0" w:tplc="42423612">
      <w:start w:val="15"/>
      <w:numFmt w:val="decimal"/>
      <w:lvlText w:val="%1."/>
      <w:lvlJc w:val="left"/>
      <w:pPr>
        <w:tabs>
          <w:tab w:val="num" w:pos="360"/>
        </w:tabs>
        <w:ind w:left="360" w:hanging="360"/>
      </w:pPr>
      <w:rPr>
        <w:rFonts w:hint="default"/>
      </w:rPr>
    </w:lvl>
    <w:lvl w:ilvl="1" w:tplc="F17CE686">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B64981"/>
    <w:multiLevelType w:val="hybridMultilevel"/>
    <w:tmpl w:val="40E88302"/>
    <w:lvl w:ilvl="0" w:tplc="551A3C4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1E4204"/>
    <w:multiLevelType w:val="hybridMultilevel"/>
    <w:tmpl w:val="A76E9F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B0855E5"/>
    <w:multiLevelType w:val="hybridMultilevel"/>
    <w:tmpl w:val="3A822132"/>
    <w:lvl w:ilvl="0" w:tplc="0409000F">
      <w:start w:val="1"/>
      <w:numFmt w:val="decimal"/>
      <w:lvlText w:val="%1."/>
      <w:lvlJc w:val="left"/>
      <w:pPr>
        <w:tabs>
          <w:tab w:val="num" w:pos="360"/>
        </w:tabs>
        <w:ind w:left="360" w:hanging="360"/>
      </w:p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4CC2091E">
      <w:start w:val="1"/>
      <w:numFmt w:val="bullet"/>
      <w:lvlText w:val=""/>
      <w:lvlJc w:val="left"/>
      <w:pPr>
        <w:tabs>
          <w:tab w:val="num" w:pos="1080"/>
        </w:tabs>
        <w:ind w:left="10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BAA21E2"/>
    <w:multiLevelType w:val="hybridMultilevel"/>
    <w:tmpl w:val="29BC6382"/>
    <w:lvl w:ilvl="0" w:tplc="F17CE686">
      <w:start w:val="1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DE40041"/>
    <w:multiLevelType w:val="hybridMultilevel"/>
    <w:tmpl w:val="D66C9666"/>
    <w:lvl w:ilvl="0" w:tplc="1F8C9E10">
      <w:start w:val="16"/>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8" w15:restartNumberingAfterBreak="0">
    <w:nsid w:val="73A83719"/>
    <w:multiLevelType w:val="hybridMultilevel"/>
    <w:tmpl w:val="16E6F462"/>
    <w:lvl w:ilvl="0" w:tplc="F17CE686">
      <w:start w:val="1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0"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1" w15:restartNumberingAfterBreak="0">
    <w:nsid w:val="7EF270D0"/>
    <w:multiLevelType w:val="hybridMultilevel"/>
    <w:tmpl w:val="3A822132"/>
    <w:lvl w:ilvl="0" w:tplc="0409000F">
      <w:start w:val="1"/>
      <w:numFmt w:val="decimal"/>
      <w:lvlText w:val="%1."/>
      <w:lvlJc w:val="left"/>
      <w:pPr>
        <w:tabs>
          <w:tab w:val="num" w:pos="360"/>
        </w:tabs>
        <w:ind w:left="360" w:hanging="360"/>
      </w:pPr>
    </w:lvl>
    <w:lvl w:ilvl="1" w:tplc="B7F2319E">
      <w:start w:val="1"/>
      <w:numFmt w:val="bullet"/>
      <w:lvlText w:val=""/>
      <w:lvlJc w:val="left"/>
      <w:pPr>
        <w:tabs>
          <w:tab w:val="num" w:pos="1080"/>
        </w:tabs>
        <w:ind w:left="1080" w:hanging="360"/>
      </w:pPr>
      <w:rPr>
        <w:rFonts w:ascii="Symbol" w:hAnsi="Symbol" w:hint="default"/>
        <w:b w:val="0"/>
        <w:i w:val="0"/>
        <w:sz w:val="20"/>
        <w:szCs w:val="20"/>
      </w:rPr>
    </w:lvl>
    <w:lvl w:ilvl="2" w:tplc="4CC2091E">
      <w:start w:val="1"/>
      <w:numFmt w:val="bullet"/>
      <w:lvlText w:val=""/>
      <w:lvlJc w:val="left"/>
      <w:pPr>
        <w:tabs>
          <w:tab w:val="num" w:pos="1080"/>
        </w:tabs>
        <w:ind w:left="10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0"/>
  </w:num>
  <w:num w:numId="3">
    <w:abstractNumId w:val="4"/>
  </w:num>
  <w:num w:numId="4">
    <w:abstractNumId w:val="29"/>
  </w:num>
  <w:num w:numId="5">
    <w:abstractNumId w:val="27"/>
  </w:num>
  <w:num w:numId="6">
    <w:abstractNumId w:val="2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6"/>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7"/>
  </w:num>
  <w:num w:numId="10">
    <w:abstractNumId w:val="13"/>
  </w:num>
  <w:num w:numId="11">
    <w:abstractNumId w:val="12"/>
  </w:num>
  <w:num w:numId="12">
    <w:abstractNumId w:val="31"/>
  </w:num>
  <w:num w:numId="13">
    <w:abstractNumId w:val="23"/>
  </w:num>
  <w:num w:numId="14">
    <w:abstractNumId w:val="21"/>
  </w:num>
  <w:num w:numId="15">
    <w:abstractNumId w:val="19"/>
  </w:num>
  <w:num w:numId="16">
    <w:abstractNumId w:val="20"/>
  </w:num>
  <w:num w:numId="17">
    <w:abstractNumId w:val="18"/>
  </w:num>
  <w:num w:numId="18">
    <w:abstractNumId w:val="10"/>
  </w:num>
  <w:num w:numId="19">
    <w:abstractNumId w:val="8"/>
  </w:num>
  <w:num w:numId="20">
    <w:abstractNumId w:val="3"/>
  </w:num>
  <w:num w:numId="21">
    <w:abstractNumId w:val="11"/>
  </w:num>
  <w:num w:numId="22">
    <w:abstractNumId w:val="1"/>
  </w:num>
  <w:num w:numId="23">
    <w:abstractNumId w:val="26"/>
  </w:num>
  <w:num w:numId="24">
    <w:abstractNumId w:val="2"/>
  </w:num>
  <w:num w:numId="25">
    <w:abstractNumId w:val="22"/>
  </w:num>
  <w:num w:numId="26">
    <w:abstractNumId w:val="6"/>
  </w:num>
  <w:num w:numId="27">
    <w:abstractNumId w:val="7"/>
  </w:num>
  <w:num w:numId="28">
    <w:abstractNumId w:val="28"/>
  </w:num>
  <w:num w:numId="29">
    <w:abstractNumId w:val="25"/>
  </w:num>
  <w:num w:numId="30">
    <w:abstractNumId w:val="15"/>
  </w:num>
  <w:num w:numId="31">
    <w:abstractNumId w:val="24"/>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proofState w:spelling="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A8"/>
    <w:rsid w:val="00034D42"/>
    <w:rsid w:val="0004553D"/>
    <w:rsid w:val="0006780C"/>
    <w:rsid w:val="0007652D"/>
    <w:rsid w:val="000808CE"/>
    <w:rsid w:val="000864FD"/>
    <w:rsid w:val="00095E79"/>
    <w:rsid w:val="000A383A"/>
    <w:rsid w:val="000B1894"/>
    <w:rsid w:val="000B5BA4"/>
    <w:rsid w:val="000D20DA"/>
    <w:rsid w:val="000D3A3D"/>
    <w:rsid w:val="000D6C89"/>
    <w:rsid w:val="00111DC9"/>
    <w:rsid w:val="00113AAE"/>
    <w:rsid w:val="00115B67"/>
    <w:rsid w:val="0012703F"/>
    <w:rsid w:val="0013457E"/>
    <w:rsid w:val="00141C48"/>
    <w:rsid w:val="00152F7C"/>
    <w:rsid w:val="00166098"/>
    <w:rsid w:val="0017199E"/>
    <w:rsid w:val="00196D06"/>
    <w:rsid w:val="00197482"/>
    <w:rsid w:val="001B1484"/>
    <w:rsid w:val="001B72C0"/>
    <w:rsid w:val="001D3E9F"/>
    <w:rsid w:val="001E6320"/>
    <w:rsid w:val="0020201B"/>
    <w:rsid w:val="00215D4F"/>
    <w:rsid w:val="00220942"/>
    <w:rsid w:val="00222566"/>
    <w:rsid w:val="002256A5"/>
    <w:rsid w:val="002431FC"/>
    <w:rsid w:val="00263121"/>
    <w:rsid w:val="00274133"/>
    <w:rsid w:val="002776B2"/>
    <w:rsid w:val="002C2166"/>
    <w:rsid w:val="002D6D36"/>
    <w:rsid w:val="002F5C2B"/>
    <w:rsid w:val="002F7077"/>
    <w:rsid w:val="00313E5C"/>
    <w:rsid w:val="00325122"/>
    <w:rsid w:val="00370526"/>
    <w:rsid w:val="0038196A"/>
    <w:rsid w:val="00393806"/>
    <w:rsid w:val="003C0DF4"/>
    <w:rsid w:val="003F4B24"/>
    <w:rsid w:val="003F71BA"/>
    <w:rsid w:val="003F7C69"/>
    <w:rsid w:val="00410F7B"/>
    <w:rsid w:val="00453CCA"/>
    <w:rsid w:val="00471120"/>
    <w:rsid w:val="004958CA"/>
    <w:rsid w:val="004B0EA4"/>
    <w:rsid w:val="004B4724"/>
    <w:rsid w:val="004C6503"/>
    <w:rsid w:val="004D7F05"/>
    <w:rsid w:val="004F699B"/>
    <w:rsid w:val="00503DD7"/>
    <w:rsid w:val="00531A9C"/>
    <w:rsid w:val="00533112"/>
    <w:rsid w:val="00561D93"/>
    <w:rsid w:val="00566FDF"/>
    <w:rsid w:val="005909EA"/>
    <w:rsid w:val="005C6FD1"/>
    <w:rsid w:val="005D3D03"/>
    <w:rsid w:val="005D6532"/>
    <w:rsid w:val="005F6AAA"/>
    <w:rsid w:val="00600D8E"/>
    <w:rsid w:val="0068462C"/>
    <w:rsid w:val="00694E2B"/>
    <w:rsid w:val="006968C3"/>
    <w:rsid w:val="006A7448"/>
    <w:rsid w:val="006B0E86"/>
    <w:rsid w:val="006D4260"/>
    <w:rsid w:val="006D5C41"/>
    <w:rsid w:val="006F1ECE"/>
    <w:rsid w:val="007047A4"/>
    <w:rsid w:val="0071511A"/>
    <w:rsid w:val="007163D7"/>
    <w:rsid w:val="00717767"/>
    <w:rsid w:val="007237C2"/>
    <w:rsid w:val="007470A0"/>
    <w:rsid w:val="00753F91"/>
    <w:rsid w:val="00766C7B"/>
    <w:rsid w:val="00774722"/>
    <w:rsid w:val="007845AE"/>
    <w:rsid w:val="007904A8"/>
    <w:rsid w:val="00792D4A"/>
    <w:rsid w:val="00793172"/>
    <w:rsid w:val="007A6387"/>
    <w:rsid w:val="007B4821"/>
    <w:rsid w:val="007B5BEF"/>
    <w:rsid w:val="007E79F5"/>
    <w:rsid w:val="008317D9"/>
    <w:rsid w:val="00854322"/>
    <w:rsid w:val="00864835"/>
    <w:rsid w:val="008E5880"/>
    <w:rsid w:val="00934437"/>
    <w:rsid w:val="00966808"/>
    <w:rsid w:val="00976E86"/>
    <w:rsid w:val="00997DD8"/>
    <w:rsid w:val="009A64D0"/>
    <w:rsid w:val="009F5AF3"/>
    <w:rsid w:val="009F5B29"/>
    <w:rsid w:val="009F6988"/>
    <w:rsid w:val="00A10D68"/>
    <w:rsid w:val="00A50166"/>
    <w:rsid w:val="00A544DC"/>
    <w:rsid w:val="00A812B4"/>
    <w:rsid w:val="00AC006F"/>
    <w:rsid w:val="00AD1DDC"/>
    <w:rsid w:val="00AE730E"/>
    <w:rsid w:val="00B01DC9"/>
    <w:rsid w:val="00B0279E"/>
    <w:rsid w:val="00B15F39"/>
    <w:rsid w:val="00B226EA"/>
    <w:rsid w:val="00B44953"/>
    <w:rsid w:val="00B56BE7"/>
    <w:rsid w:val="00B650AD"/>
    <w:rsid w:val="00B835EA"/>
    <w:rsid w:val="00B86C7A"/>
    <w:rsid w:val="00B96AEA"/>
    <w:rsid w:val="00BA2364"/>
    <w:rsid w:val="00BA2E79"/>
    <w:rsid w:val="00BA4292"/>
    <w:rsid w:val="00BD4911"/>
    <w:rsid w:val="00BE0639"/>
    <w:rsid w:val="00C131F3"/>
    <w:rsid w:val="00C648B6"/>
    <w:rsid w:val="00C66DA7"/>
    <w:rsid w:val="00C80EA0"/>
    <w:rsid w:val="00C81536"/>
    <w:rsid w:val="00C823D6"/>
    <w:rsid w:val="00C855A6"/>
    <w:rsid w:val="00CB0CC9"/>
    <w:rsid w:val="00CB3C8A"/>
    <w:rsid w:val="00D030BC"/>
    <w:rsid w:val="00D17C92"/>
    <w:rsid w:val="00D221CA"/>
    <w:rsid w:val="00D41FB3"/>
    <w:rsid w:val="00D56C14"/>
    <w:rsid w:val="00DA629C"/>
    <w:rsid w:val="00DB00B1"/>
    <w:rsid w:val="00DB0310"/>
    <w:rsid w:val="00DB0537"/>
    <w:rsid w:val="00E021AF"/>
    <w:rsid w:val="00E177E5"/>
    <w:rsid w:val="00E23623"/>
    <w:rsid w:val="00E3112B"/>
    <w:rsid w:val="00E3631C"/>
    <w:rsid w:val="00E53CF7"/>
    <w:rsid w:val="00E64239"/>
    <w:rsid w:val="00E941A0"/>
    <w:rsid w:val="00EA02FE"/>
    <w:rsid w:val="00EA0A73"/>
    <w:rsid w:val="00EB271F"/>
    <w:rsid w:val="00EB40AF"/>
    <w:rsid w:val="00EC5380"/>
    <w:rsid w:val="00EE4573"/>
    <w:rsid w:val="00EF249A"/>
    <w:rsid w:val="00F1519E"/>
    <w:rsid w:val="00F15617"/>
    <w:rsid w:val="00F24613"/>
    <w:rsid w:val="00F56747"/>
    <w:rsid w:val="00F579FD"/>
    <w:rsid w:val="00F61D8F"/>
    <w:rsid w:val="00F85A2A"/>
    <w:rsid w:val="00F93156"/>
    <w:rsid w:val="00FA0D16"/>
    <w:rsid w:val="00FA5C62"/>
    <w:rsid w:val="00FF4C7B"/>
    <w:rsid w:val="00FF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656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bCs/>
      <w:color w:val="000000"/>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b/>
      <w:bCs/>
      <w:color w:val="000000"/>
      <w:sz w:val="24"/>
    </w:rPr>
  </w:style>
  <w:style w:type="paragraph" w:styleId="Heading5">
    <w:name w:val="heading 5"/>
    <w:basedOn w:val="Normal"/>
    <w:next w:val="Normal"/>
    <w:qFormat/>
    <w:pPr>
      <w:keepNext/>
      <w:ind w:left="720"/>
      <w:jc w:val="center"/>
      <w:outlineLvl w:val="4"/>
    </w:pPr>
    <w:rPr>
      <w:b/>
      <w:bCs/>
      <w:sz w:val="24"/>
    </w:rPr>
  </w:style>
  <w:style w:type="paragraph" w:styleId="Heading6">
    <w:name w:val="heading 6"/>
    <w:basedOn w:val="Normal"/>
    <w:next w:val="Normal"/>
    <w:qFormat/>
    <w:pPr>
      <w:keepNext/>
      <w:overflowPunct/>
      <w:autoSpaceDE/>
      <w:autoSpaceDN/>
      <w:adjustRightInd/>
      <w:jc w:val="center"/>
      <w:textAlignment w:val="auto"/>
      <w:outlineLvl w:val="5"/>
    </w:pPr>
    <w:rPr>
      <w:b/>
      <w:bCs/>
      <w:sz w:val="24"/>
    </w:rPr>
  </w:style>
  <w:style w:type="paragraph" w:styleId="Heading7">
    <w:name w:val="heading 7"/>
    <w:basedOn w:val="Normal"/>
    <w:next w:val="Normal"/>
    <w:qFormat/>
    <w:pPr>
      <w:keepNext/>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keepLines/>
      <w:spacing w:after="80"/>
      <w:ind w:left="630"/>
    </w:pPr>
    <w:rPr>
      <w:sz w:val="24"/>
    </w:rPr>
  </w:style>
  <w:style w:type="paragraph" w:styleId="BodyTextIndent2">
    <w:name w:val="Body Text Indent 2"/>
    <w:basedOn w:val="Normal"/>
    <w:semiHidden/>
    <w:pPr>
      <w:ind w:left="360"/>
    </w:pPr>
    <w:rPr>
      <w:sz w:val="24"/>
    </w:rPr>
  </w:style>
  <w:style w:type="paragraph" w:styleId="BodyText">
    <w:name w:val="Body Text"/>
    <w:basedOn w:val="Normal"/>
    <w:semiHidden/>
    <w:rPr>
      <w:sz w:val="24"/>
    </w:rPr>
  </w:style>
  <w:style w:type="paragraph" w:styleId="BodyTextIndent3">
    <w:name w:val="Body Text Indent 3"/>
    <w:basedOn w:val="Normal"/>
    <w:semiHidden/>
    <w:pPr>
      <w:ind w:left="360" w:firstLine="360"/>
    </w:pPr>
    <w:rPr>
      <w:sz w:val="24"/>
    </w:rPr>
  </w:style>
  <w:style w:type="paragraph" w:styleId="Title">
    <w:name w:val="Title"/>
    <w:basedOn w:val="Normal"/>
    <w:qFormat/>
    <w:pPr>
      <w:jc w:val="center"/>
    </w:pPr>
    <w:rPr>
      <w:rFonts w:ascii="Helvetica" w:hAnsi="Helvetica"/>
      <w:b/>
      <w:sz w:val="28"/>
    </w:rPr>
  </w:style>
  <w:style w:type="paragraph" w:styleId="BalloonText">
    <w:name w:val="Balloon Text"/>
    <w:basedOn w:val="Normal"/>
    <w:link w:val="BalloonTextChar"/>
    <w:uiPriority w:val="99"/>
    <w:semiHidden/>
    <w:unhideWhenUsed/>
    <w:rsid w:val="007904A8"/>
    <w:rPr>
      <w:rFonts w:ascii="Tahoma" w:hAnsi="Tahoma" w:cs="Tahoma"/>
      <w:sz w:val="16"/>
      <w:szCs w:val="16"/>
    </w:rPr>
  </w:style>
  <w:style w:type="character" w:customStyle="1" w:styleId="BalloonTextChar">
    <w:name w:val="Balloon Text Char"/>
    <w:link w:val="BalloonText"/>
    <w:uiPriority w:val="99"/>
    <w:semiHidden/>
    <w:rsid w:val="007904A8"/>
    <w:rPr>
      <w:rFonts w:ascii="Tahoma" w:hAnsi="Tahoma" w:cs="Tahoma"/>
      <w:sz w:val="16"/>
      <w:szCs w:val="16"/>
    </w:rPr>
  </w:style>
  <w:style w:type="character" w:styleId="CommentReference">
    <w:name w:val="annotation reference"/>
    <w:uiPriority w:val="99"/>
    <w:semiHidden/>
    <w:unhideWhenUsed/>
    <w:rsid w:val="007904A8"/>
    <w:rPr>
      <w:sz w:val="16"/>
      <w:szCs w:val="16"/>
    </w:rPr>
  </w:style>
  <w:style w:type="paragraph" w:styleId="CommentText">
    <w:name w:val="annotation text"/>
    <w:basedOn w:val="Normal"/>
    <w:link w:val="CommentTextChar"/>
    <w:uiPriority w:val="99"/>
    <w:semiHidden/>
    <w:unhideWhenUsed/>
    <w:rsid w:val="007904A8"/>
  </w:style>
  <w:style w:type="character" w:customStyle="1" w:styleId="CommentTextChar">
    <w:name w:val="Comment Text Char"/>
    <w:basedOn w:val="DefaultParagraphFont"/>
    <w:link w:val="CommentText"/>
    <w:uiPriority w:val="99"/>
    <w:semiHidden/>
    <w:rsid w:val="007904A8"/>
  </w:style>
  <w:style w:type="paragraph" w:styleId="CommentSubject">
    <w:name w:val="annotation subject"/>
    <w:basedOn w:val="CommentText"/>
    <w:next w:val="CommentText"/>
    <w:link w:val="CommentSubjectChar"/>
    <w:uiPriority w:val="99"/>
    <w:semiHidden/>
    <w:unhideWhenUsed/>
    <w:rsid w:val="007904A8"/>
    <w:rPr>
      <w:b/>
      <w:bCs/>
    </w:rPr>
  </w:style>
  <w:style w:type="character" w:customStyle="1" w:styleId="CommentSubjectChar">
    <w:name w:val="Comment Subject Char"/>
    <w:link w:val="CommentSubject"/>
    <w:uiPriority w:val="99"/>
    <w:semiHidden/>
    <w:rsid w:val="007904A8"/>
    <w:rPr>
      <w:b/>
      <w:bCs/>
    </w:rPr>
  </w:style>
  <w:style w:type="paragraph" w:styleId="Revision">
    <w:name w:val="Revision"/>
    <w:hidden/>
    <w:uiPriority w:val="99"/>
    <w:semiHidden/>
    <w:rsid w:val="00034D42"/>
  </w:style>
  <w:style w:type="paragraph" w:styleId="ListParagraph">
    <w:name w:val="List Paragraph"/>
    <w:basedOn w:val="Normal"/>
    <w:uiPriority w:val="34"/>
    <w:qFormat/>
    <w:rsid w:val="002C2166"/>
    <w:pPr>
      <w:ind w:left="720"/>
    </w:pPr>
  </w:style>
  <w:style w:type="paragraph" w:customStyle="1" w:styleId="Default">
    <w:name w:val="Default"/>
    <w:rsid w:val="001719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9AC4-D766-4284-8D2A-8231A7D8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2020-08-27T16:51:00Z</dcterms:created>
  <dcterms:modified xsi:type="dcterms:W3CDTF">2020-08-31T15:03:00Z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