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5EC6E" w14:textId="77777777" w:rsidR="00642B6A" w:rsidRPr="00642B6A" w:rsidRDefault="00642B6A" w:rsidP="00642B6A">
      <w:pPr>
        <w:suppressAutoHyphens/>
        <w:jc w:val="center"/>
        <w:rPr>
          <w:rFonts w:eastAsia="Times New Roman" w:cs="Times New Roman"/>
          <w:b/>
          <w:szCs w:val="24"/>
        </w:rPr>
      </w:pPr>
      <w:r w:rsidRPr="00642B6A">
        <w:rPr>
          <w:rFonts w:eastAsia="Times New Roman" w:cs="Times New Roman"/>
          <w:b/>
          <w:szCs w:val="24"/>
        </w:rPr>
        <w:t>SUPPORTING STATEMENT FOR NEW AND</w:t>
      </w:r>
    </w:p>
    <w:p w14:paraId="5A55EC6F" w14:textId="77777777" w:rsidR="00642B6A" w:rsidRPr="00642B6A" w:rsidRDefault="00642B6A" w:rsidP="00642B6A">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14:paraId="5A55EC71" w14:textId="1CBE1A53" w:rsidR="00D12FEB" w:rsidRPr="00642B6A" w:rsidRDefault="00642B6A" w:rsidP="00CB0776">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D23D7B">
        <w:rPr>
          <w:rFonts w:eastAsia="Times New Roman" w:cs="Times New Roman"/>
          <w:b/>
          <w:szCs w:val="24"/>
        </w:rPr>
        <w:t>3038-</w:t>
      </w:r>
      <w:r w:rsidR="004F625D">
        <w:rPr>
          <w:rFonts w:eastAsia="Times New Roman" w:cs="Times New Roman"/>
          <w:b/>
          <w:szCs w:val="24"/>
        </w:rPr>
        <w:t>0093</w:t>
      </w:r>
    </w:p>
    <w:p w14:paraId="6B515A0B" w14:textId="77777777" w:rsidR="005F3881" w:rsidRDefault="005F3881" w:rsidP="00642B6A">
      <w:pPr>
        <w:spacing w:after="240"/>
        <w:outlineLvl w:val="0"/>
        <w:rPr>
          <w:rFonts w:eastAsia="Times New Roman" w:cs="Times New Roman"/>
          <w:b/>
          <w:szCs w:val="24"/>
        </w:rPr>
      </w:pPr>
    </w:p>
    <w:p w14:paraId="5A55EC72" w14:textId="77777777" w:rsidR="00642B6A" w:rsidRPr="00642B6A" w:rsidRDefault="00642B6A" w:rsidP="00642B6A">
      <w:pPr>
        <w:spacing w:after="240"/>
        <w:outlineLvl w:val="0"/>
        <w:rPr>
          <w:rFonts w:eastAsia="Times New Roman" w:cs="Times New Roman"/>
          <w:b/>
          <w:szCs w:val="24"/>
        </w:rPr>
      </w:pPr>
      <w:r w:rsidRPr="00642B6A">
        <w:rPr>
          <w:rFonts w:eastAsia="Times New Roman" w:cs="Times New Roman"/>
          <w:b/>
          <w:szCs w:val="24"/>
        </w:rPr>
        <w:t>Justification</w:t>
      </w:r>
    </w:p>
    <w:p w14:paraId="5A55EC73" w14:textId="77777777" w:rsidR="00642B6A" w:rsidRPr="00642B6A" w:rsidRDefault="00642B6A" w:rsidP="00D945B5">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 xml:space="preserve">Explain the circumstances that make the collection of information necessary.  Identify any legal or administrative requirements that necessitate the collection.  </w:t>
      </w:r>
      <w:r w:rsidRPr="00D23D7B">
        <w:rPr>
          <w:rFonts w:eastAsia="Times New Roman" w:cs="Times New Roman"/>
          <w:b/>
          <w:szCs w:val="24"/>
        </w:rPr>
        <w:t>Attach a copy of the appropriate</w:t>
      </w:r>
      <w:r w:rsidRPr="00642B6A">
        <w:rPr>
          <w:rFonts w:eastAsia="Times New Roman" w:cs="Times New Roman"/>
          <w:b/>
          <w:szCs w:val="24"/>
        </w:rPr>
        <w:t xml:space="preserve"> section of each statute and regulation mandating or authorizing the collection of information.</w:t>
      </w:r>
    </w:p>
    <w:p w14:paraId="547E0016" w14:textId="7EE58E65" w:rsidR="00082089" w:rsidRDefault="00082089" w:rsidP="00082089">
      <w:pPr>
        <w:ind w:firstLine="720"/>
        <w:rPr>
          <w:rFonts w:eastAsia="PMingLiU" w:cs="Times New Roman"/>
          <w:szCs w:val="24"/>
        </w:rPr>
      </w:pPr>
      <w:r>
        <w:rPr>
          <w:rFonts w:eastAsia="PMingLiU" w:cs="Times New Roman"/>
          <w:szCs w:val="24"/>
        </w:rPr>
        <w:t>D</w:t>
      </w:r>
      <w:r w:rsidRPr="00082089">
        <w:rPr>
          <w:rFonts w:eastAsia="PMingLiU" w:cs="Times New Roman"/>
          <w:szCs w:val="24"/>
          <w:lang w:eastAsia="zh-TW"/>
        </w:rPr>
        <w:t xml:space="preserve">erivatives markets have transitioned from the manual processes to highly </w:t>
      </w:r>
      <w:r w:rsidR="00850003">
        <w:rPr>
          <w:rFonts w:eastAsia="PMingLiU" w:cs="Times New Roman"/>
          <w:szCs w:val="24"/>
          <w:lang w:eastAsia="zh-TW"/>
        </w:rPr>
        <w:t>electronic</w:t>
      </w:r>
      <w:r w:rsidR="00850003" w:rsidRPr="00082089">
        <w:rPr>
          <w:rFonts w:eastAsia="PMingLiU" w:cs="Times New Roman"/>
          <w:szCs w:val="24"/>
          <w:lang w:eastAsia="zh-TW"/>
        </w:rPr>
        <w:t xml:space="preserve"> </w:t>
      </w:r>
      <w:r w:rsidRPr="00082089">
        <w:rPr>
          <w:rFonts w:eastAsia="PMingLiU" w:cs="Times New Roman"/>
          <w:szCs w:val="24"/>
          <w:lang w:eastAsia="zh-TW"/>
        </w:rPr>
        <w:t xml:space="preserve">trading and trade matching systems.  Modern DCMs and DCM market participants, in particular, are characterized by a wide array of </w:t>
      </w:r>
      <w:r w:rsidR="00A236DF">
        <w:rPr>
          <w:rFonts w:eastAsia="PMingLiU" w:cs="Times New Roman"/>
          <w:szCs w:val="24"/>
          <w:lang w:eastAsia="zh-TW"/>
        </w:rPr>
        <w:t xml:space="preserve">electronic </w:t>
      </w:r>
      <w:r w:rsidRPr="00082089">
        <w:rPr>
          <w:rFonts w:eastAsia="PMingLiU" w:cs="Times New Roman"/>
          <w:szCs w:val="24"/>
          <w:lang w:eastAsia="zh-TW"/>
        </w:rPr>
        <w:t xml:space="preserve">systems for the generation, transmission, management, and execution of orders, as well as systems used to confirm transactions, communicate market data, and link markets and market participants through high-speed networks.  </w:t>
      </w:r>
      <w:r w:rsidRPr="00082089">
        <w:rPr>
          <w:rFonts w:eastAsia="PMingLiU" w:cs="Times New Roman"/>
          <w:szCs w:val="24"/>
        </w:rPr>
        <w:t xml:space="preserve">While technologies have evolved, the underlying functions of derivatives markets remain the same, as do the Commission’s responsibilities under the Commodity Exchange Act (the “CEA” or “Act”).  Through proposed </w:t>
      </w:r>
      <w:r w:rsidR="00CA2439">
        <w:rPr>
          <w:rFonts w:eastAsia="PMingLiU" w:cs="Times New Roman"/>
          <w:szCs w:val="24"/>
        </w:rPr>
        <w:t xml:space="preserve">Electronic </w:t>
      </w:r>
      <w:r w:rsidR="001E1EBB">
        <w:rPr>
          <w:rFonts w:eastAsia="PMingLiU" w:cs="Times New Roman"/>
          <w:szCs w:val="24"/>
        </w:rPr>
        <w:t>Risk Trading Principles</w:t>
      </w:r>
      <w:r w:rsidRPr="00082089">
        <w:rPr>
          <w:rFonts w:eastAsia="PMingLiU" w:cs="Times New Roman"/>
          <w:szCs w:val="24"/>
        </w:rPr>
        <w:t xml:space="preserve">, the Commission is taking steps </w:t>
      </w:r>
      <w:r w:rsidR="00E35FB8">
        <w:rPr>
          <w:rFonts w:eastAsia="PMingLiU" w:cs="Times New Roman"/>
          <w:szCs w:val="24"/>
        </w:rPr>
        <w:t>to e</w:t>
      </w:r>
      <w:r w:rsidRPr="00082089">
        <w:rPr>
          <w:rFonts w:eastAsia="PMingLiU" w:cs="Times New Roman"/>
          <w:szCs w:val="24"/>
        </w:rPr>
        <w:t>nsur</w:t>
      </w:r>
      <w:r w:rsidR="00E35FB8">
        <w:rPr>
          <w:rFonts w:eastAsia="PMingLiU" w:cs="Times New Roman"/>
          <w:szCs w:val="24"/>
        </w:rPr>
        <w:t>e</w:t>
      </w:r>
      <w:r w:rsidRPr="00082089">
        <w:rPr>
          <w:rFonts w:eastAsia="PMingLiU" w:cs="Times New Roman"/>
          <w:szCs w:val="24"/>
        </w:rPr>
        <w:t xml:space="preserve"> that its regulatory standards and industry practices properly address current and foreseeable </w:t>
      </w:r>
      <w:r w:rsidR="00CA2439">
        <w:rPr>
          <w:rFonts w:eastAsia="PMingLiU" w:cs="Times New Roman"/>
          <w:szCs w:val="24"/>
        </w:rPr>
        <w:t xml:space="preserve">market disruption risks as well as other system anomalies </w:t>
      </w:r>
      <w:r w:rsidRPr="00082089">
        <w:rPr>
          <w:rFonts w:eastAsia="PMingLiU" w:cs="Times New Roman"/>
          <w:szCs w:val="24"/>
        </w:rPr>
        <w:t xml:space="preserve">arising from </w:t>
      </w:r>
      <w:r w:rsidR="00E35FB8">
        <w:rPr>
          <w:rFonts w:eastAsia="PMingLiU" w:cs="Times New Roman"/>
          <w:szCs w:val="24"/>
        </w:rPr>
        <w:t xml:space="preserve">electronic </w:t>
      </w:r>
      <w:r w:rsidRPr="00082089">
        <w:rPr>
          <w:rFonts w:eastAsia="PMingLiU" w:cs="Times New Roman"/>
          <w:szCs w:val="24"/>
        </w:rPr>
        <w:t>trading</w:t>
      </w:r>
      <w:r>
        <w:rPr>
          <w:rFonts w:eastAsia="PMingLiU" w:cs="Times New Roman"/>
          <w:szCs w:val="24"/>
        </w:rPr>
        <w:t>.</w:t>
      </w:r>
    </w:p>
    <w:p w14:paraId="00D63E69" w14:textId="77777777" w:rsidR="00082089" w:rsidRDefault="00082089" w:rsidP="00082089">
      <w:pPr>
        <w:ind w:firstLine="720"/>
        <w:rPr>
          <w:rFonts w:eastAsia="PMingLiU" w:cs="Times New Roman"/>
          <w:szCs w:val="24"/>
        </w:rPr>
      </w:pPr>
    </w:p>
    <w:p w14:paraId="09F56BFA" w14:textId="2849799B" w:rsidR="00082089" w:rsidRPr="008D0711" w:rsidRDefault="00082089" w:rsidP="00082089">
      <w:pPr>
        <w:ind w:firstLine="720"/>
        <w:rPr>
          <w:rFonts w:eastAsia="PMingLiU" w:cs="Times New Roman"/>
          <w:lang w:val="en"/>
        </w:rPr>
      </w:pPr>
      <w:r w:rsidRPr="004049D0">
        <w:rPr>
          <w:rFonts w:eastAsia="PMingLiU" w:cs="Times New Roman"/>
          <w:szCs w:val="24"/>
        </w:rPr>
        <w:t>The proposed regulations</w:t>
      </w:r>
      <w:r>
        <w:rPr>
          <w:rFonts w:eastAsia="PMingLiU" w:cs="Times New Roman"/>
          <w:szCs w:val="24"/>
        </w:rPr>
        <w:t xml:space="preserve"> are intended to </w:t>
      </w:r>
      <w:r w:rsidR="00F350FD" w:rsidRPr="00F350FD">
        <w:rPr>
          <w:rFonts w:eastAsia="PMingLiU" w:cs="Times New Roman"/>
          <w:szCs w:val="24"/>
        </w:rPr>
        <w:t>prevent, detect, and mitigate market disruptions or system anomalies associated with electronic trading</w:t>
      </w:r>
      <w:r w:rsidR="00A5113A">
        <w:rPr>
          <w:rFonts w:eastAsia="PMingLiU" w:cs="Times New Roman"/>
          <w:szCs w:val="24"/>
        </w:rPr>
        <w:t>.</w:t>
      </w:r>
      <w:r w:rsidR="00D025FD">
        <w:rPr>
          <w:rFonts w:eastAsia="PMingLiU" w:cs="Times New Roman"/>
          <w:szCs w:val="24"/>
        </w:rPr>
        <w:t xml:space="preserve">  The Commission believes that the </w:t>
      </w:r>
      <w:r>
        <w:rPr>
          <w:rFonts w:eastAsia="PMingLiU" w:cs="Times New Roman"/>
          <w:szCs w:val="24"/>
        </w:rPr>
        <w:t xml:space="preserve">obligations created by the proposed rules are essential to </w:t>
      </w:r>
      <w:r w:rsidR="00204921">
        <w:rPr>
          <w:rFonts w:eastAsia="PMingLiU" w:cs="Times New Roman"/>
          <w:szCs w:val="24"/>
        </w:rPr>
        <w:t>ensure</w:t>
      </w:r>
      <w:r w:rsidRPr="004049D0">
        <w:rPr>
          <w:rFonts w:eastAsia="PMingLiU" w:cs="Times New Roman"/>
          <w:lang w:val="en"/>
        </w:rPr>
        <w:t xml:space="preserve"> market inte</w:t>
      </w:r>
      <w:r w:rsidRPr="008D0711">
        <w:rPr>
          <w:rFonts w:eastAsia="PMingLiU" w:cs="Times New Roman"/>
          <w:lang w:val="en"/>
        </w:rPr>
        <w:t>grity</w:t>
      </w:r>
      <w:r w:rsidR="00D025FD">
        <w:rPr>
          <w:rFonts w:eastAsia="PMingLiU" w:cs="Times New Roman"/>
          <w:lang w:val="en"/>
        </w:rPr>
        <w:t xml:space="preserve"> and </w:t>
      </w:r>
      <w:r w:rsidRPr="008D0711">
        <w:rPr>
          <w:rFonts w:eastAsia="PMingLiU" w:cs="Times New Roman"/>
          <w:lang w:val="en"/>
        </w:rPr>
        <w:t>avoid</w:t>
      </w:r>
      <w:r w:rsidRPr="008D0711">
        <w:rPr>
          <w:rFonts w:eastAsia="PMingLiU" w:cs="Times New Roman"/>
          <w:szCs w:val="24"/>
        </w:rPr>
        <w:t xml:space="preserve"> systemic risk</w:t>
      </w:r>
      <w:r w:rsidRPr="008D0711">
        <w:rPr>
          <w:rFonts w:eastAsia="PMingLiU" w:cs="Times New Roman"/>
          <w:szCs w:val="24"/>
          <w:lang w:val="en"/>
        </w:rPr>
        <w:t xml:space="preserve">.  </w:t>
      </w:r>
    </w:p>
    <w:p w14:paraId="614303AF" w14:textId="77777777" w:rsidR="00082089" w:rsidRDefault="00082089" w:rsidP="004049D0">
      <w:pPr>
        <w:ind w:firstLine="720"/>
        <w:rPr>
          <w:rFonts w:eastAsia="PMingLiU" w:cs="Times New Roman"/>
          <w:szCs w:val="24"/>
        </w:rPr>
      </w:pPr>
    </w:p>
    <w:p w14:paraId="285879DD" w14:textId="25CAEF00" w:rsidR="004F625D" w:rsidRPr="004F625D" w:rsidRDefault="004F625D" w:rsidP="004F625D">
      <w:pPr>
        <w:ind w:firstLine="720"/>
        <w:rPr>
          <w:rFonts w:eastAsia="PMingLiU" w:cs="Times New Roman"/>
          <w:szCs w:val="24"/>
        </w:rPr>
      </w:pPr>
      <w:r>
        <w:rPr>
          <w:rFonts w:eastAsia="PMingLiU" w:cs="Times New Roman"/>
          <w:szCs w:val="24"/>
        </w:rPr>
        <w:t>The Commission is seeking to amend control number 3038-00</w:t>
      </w:r>
      <w:r w:rsidR="00A236DF">
        <w:rPr>
          <w:rFonts w:eastAsia="PMingLiU" w:cs="Times New Roman"/>
          <w:szCs w:val="24"/>
        </w:rPr>
        <w:t>93</w:t>
      </w:r>
      <w:r>
        <w:rPr>
          <w:rFonts w:eastAsia="PMingLiU" w:cs="Times New Roman"/>
          <w:szCs w:val="24"/>
        </w:rPr>
        <w:t xml:space="preserve">.  </w:t>
      </w:r>
      <w:r>
        <w:rPr>
          <w:rFonts w:cs="Times New Roman"/>
        </w:rPr>
        <w:t>The Commission’s existing regulations under Part 40 (inclu</w:t>
      </w:r>
      <w:r w:rsidR="00E779A1">
        <w:rPr>
          <w:rFonts w:cs="Times New Roman"/>
        </w:rPr>
        <w:t xml:space="preserve">ding </w:t>
      </w:r>
      <w:r w:rsidR="005F15AE">
        <w:rPr>
          <w:rFonts w:cs="Times New Roman"/>
        </w:rPr>
        <w:t>regulations</w:t>
      </w:r>
      <w:r w:rsidR="00E779A1">
        <w:rPr>
          <w:rFonts w:cs="Times New Roman"/>
        </w:rPr>
        <w:t xml:space="preserve"> 40.2, 40.3, 40.4, 40.5</w:t>
      </w:r>
      <w:r>
        <w:rPr>
          <w:rFonts w:cs="Times New Roman"/>
        </w:rPr>
        <w:t>, 40.6 and 40.10) provide procedures for the submission of rules and rule amendments by DCMs and other registered entities.  They establish the procedures for submitting the “written certification” required by Section 5c of the Act.  In connection with a product or rule certification, the registered entity must provide a concise explanation and analysis of the submission and its compliance with statutory provisions of the Act.  Accordingly, new rules or rule amendments must be accompanied by concise explanations and analyses of the purposes, operations, and effects of the submissions.  This information may be submitted as part of the same submission containing the required “written certification.”</w:t>
      </w:r>
      <w:r>
        <w:rPr>
          <w:rStyle w:val="FootnoteReference"/>
          <w:rFonts w:cs="Times New Roman"/>
        </w:rPr>
        <w:footnoteReference w:id="2"/>
      </w:r>
    </w:p>
    <w:p w14:paraId="6547D991" w14:textId="77777777" w:rsidR="004F625D" w:rsidRDefault="004F625D" w:rsidP="004F625D">
      <w:pPr>
        <w:pStyle w:val="Default"/>
        <w:rPr>
          <w:rFonts w:ascii="Times New Roman" w:hAnsi="Times New Roman" w:cs="Times New Roman"/>
        </w:rPr>
      </w:pPr>
    </w:p>
    <w:p w14:paraId="1072780E" w14:textId="77777777" w:rsidR="004F625D" w:rsidRDefault="004F625D" w:rsidP="004F625D">
      <w:pPr>
        <w:pStyle w:val="Default"/>
        <w:rPr>
          <w:rFonts w:ascii="Times New Roman" w:hAnsi="Times New Roman" w:cs="Times New Roman"/>
        </w:rPr>
      </w:pPr>
      <w:r>
        <w:rPr>
          <w:rFonts w:ascii="Times New Roman" w:hAnsi="Times New Roman" w:cs="Times New Roman"/>
        </w:rPr>
        <w:tab/>
        <w:t xml:space="preserve">The explanation and analysis is necessary for regulatory purposes.  Product and rule submissions sometimes include minimal </w:t>
      </w:r>
      <w:r>
        <w:rPr>
          <w:rFonts w:ascii="Times New Roman" w:hAnsi="Times New Roman"/>
        </w:rPr>
        <w:t xml:space="preserve">supporting analyses and, in certain cases, no evidentiary basis for certifications of compliance at all.  Without prompt receipt of supporting information, staff must expend significant resources and time to replicate an existing analysis or to otherwise independently establish a product or rule’s compliance with applicable law.  The regulations permit registered entities to support product and rule certifications in the manner that is most effective and least costly under the circumstances.   </w:t>
      </w:r>
    </w:p>
    <w:p w14:paraId="596FE7BF" w14:textId="77777777" w:rsidR="004F625D" w:rsidRDefault="004F625D" w:rsidP="004F625D">
      <w:pPr>
        <w:rPr>
          <w:rFonts w:eastAsia="PMingLiU" w:cs="Times New Roman"/>
          <w:szCs w:val="24"/>
        </w:rPr>
      </w:pPr>
    </w:p>
    <w:p w14:paraId="68ECC5B8" w14:textId="6A48FD01" w:rsidR="002E126F" w:rsidRDefault="00D91948" w:rsidP="004F625D">
      <w:pPr>
        <w:autoSpaceDE w:val="0"/>
        <w:autoSpaceDN w:val="0"/>
        <w:adjustRightInd w:val="0"/>
        <w:ind w:firstLine="720"/>
        <w:rPr>
          <w:rFonts w:eastAsia="PMingLiU"/>
          <w:highlight w:val="yellow"/>
        </w:rPr>
      </w:pPr>
      <w:r w:rsidRPr="00D91948">
        <w:rPr>
          <w:rFonts w:eastAsia="Calibri" w:cs="Times New Roman"/>
          <w:szCs w:val="24"/>
        </w:rPr>
        <w:t xml:space="preserve">Proposed regulation 38.251(e) provides that DCMs must adopt and implement rules </w:t>
      </w:r>
      <w:r w:rsidRPr="00D91948">
        <w:rPr>
          <w:rFonts w:eastAsia="PMingLiU" w:cs="Times New Roman"/>
          <w:szCs w:val="24"/>
          <w:lang w:eastAsia="zh-TW"/>
        </w:rPr>
        <w:t xml:space="preserve">governing market participants subject to their jurisdiction to prevent, detect, and mitigate market disruptions or system anomalies associated with electronic trading. As provided in the </w:t>
      </w:r>
      <w:r w:rsidRPr="00D91948">
        <w:rPr>
          <w:rFonts w:eastAsia="Garamond" w:cs="Times New Roman"/>
          <w:szCs w:val="24"/>
          <w:lang w:eastAsia="zh-TW"/>
        </w:rPr>
        <w:t>proposed Acceptable Practices in Appendix B to part 38, such rules must be reasonably designed to prevent, detect, and mitigate market disruptions or system anomalies associated with electronic trading.</w:t>
      </w:r>
      <w:r>
        <w:rPr>
          <w:rFonts w:eastAsia="Garamond" w:cs="Times New Roman"/>
          <w:szCs w:val="24"/>
          <w:lang w:eastAsia="zh-TW"/>
        </w:rPr>
        <w:t xml:space="preserve">  C</w:t>
      </w:r>
      <w:r w:rsidR="00D4483F">
        <w:rPr>
          <w:rFonts w:eastAsia="PMingLiU" w:cs="Times New Roman"/>
          <w:szCs w:val="24"/>
        </w:rPr>
        <w:t xml:space="preserve">onsistent with proposed </w:t>
      </w:r>
      <w:r w:rsidR="00204921">
        <w:rPr>
          <w:rFonts w:eastAsia="PMingLiU" w:cs="Times New Roman"/>
          <w:szCs w:val="24"/>
        </w:rPr>
        <w:t>regulation</w:t>
      </w:r>
      <w:r w:rsidR="00D4483F" w:rsidRPr="00D4483F">
        <w:rPr>
          <w:rFonts w:eastAsia="PMingLiU" w:cs="Times New Roman"/>
          <w:szCs w:val="24"/>
        </w:rPr>
        <w:t xml:space="preserve"> 38.251(</w:t>
      </w:r>
      <w:r>
        <w:rPr>
          <w:rFonts w:eastAsia="PMingLiU" w:cs="Times New Roman"/>
          <w:szCs w:val="24"/>
        </w:rPr>
        <w:t>e</w:t>
      </w:r>
      <w:r w:rsidR="00D4483F">
        <w:rPr>
          <w:rFonts w:eastAsia="PMingLiU" w:cs="Times New Roman"/>
          <w:szCs w:val="24"/>
        </w:rPr>
        <w:t xml:space="preserve">) and existing part 40, DCMs are required to submit any rules addressing </w:t>
      </w:r>
      <w:r w:rsidR="00AC06C8">
        <w:rPr>
          <w:rFonts w:eastAsia="PMingLiU" w:cs="Times New Roman"/>
          <w:szCs w:val="24"/>
        </w:rPr>
        <w:t xml:space="preserve">market disruption risks and other system anomalies resulting from electronic trading </w:t>
      </w:r>
      <w:r w:rsidR="00D4483F">
        <w:rPr>
          <w:rFonts w:eastAsia="PMingLiU" w:cs="Times New Roman"/>
          <w:szCs w:val="24"/>
        </w:rPr>
        <w:t xml:space="preserve">to the Commission for adoption pursuant to </w:t>
      </w:r>
      <w:r w:rsidR="00204921">
        <w:rPr>
          <w:rFonts w:eastAsia="PMingLiU" w:cs="Times New Roman"/>
          <w:szCs w:val="24"/>
        </w:rPr>
        <w:t xml:space="preserve">regulations </w:t>
      </w:r>
      <w:r w:rsidR="00D4483F">
        <w:rPr>
          <w:rFonts w:eastAsia="PMingLiU" w:cs="Times New Roman"/>
          <w:szCs w:val="24"/>
        </w:rPr>
        <w:t>40.5 or 40.6.  Accordingly, there would be an incremental increase in the burden hours and costs to DCMs, although such burden will largely be mitigated and/or de minimis because many DCMs currently have appropriate risk controls in place.</w:t>
      </w:r>
      <w:r w:rsidR="00D4483F" w:rsidDel="00D4483F">
        <w:rPr>
          <w:rFonts w:eastAsia="PMingLiU" w:cs="Times New Roman"/>
          <w:szCs w:val="24"/>
        </w:rPr>
        <w:t xml:space="preserve"> </w:t>
      </w:r>
    </w:p>
    <w:p w14:paraId="5E6C9414" w14:textId="2BCE7071" w:rsidR="004F625D" w:rsidRDefault="004F625D" w:rsidP="004F625D">
      <w:pPr>
        <w:autoSpaceDE w:val="0"/>
        <w:autoSpaceDN w:val="0"/>
        <w:adjustRightInd w:val="0"/>
        <w:ind w:firstLine="720"/>
        <w:rPr>
          <w:rFonts w:eastAsia="PMingLiU"/>
        </w:rPr>
      </w:pPr>
      <w:r>
        <w:rPr>
          <w:rFonts w:eastAsia="PMingLiU"/>
        </w:rPr>
        <w:t xml:space="preserve"> </w:t>
      </w:r>
      <w:r w:rsidRPr="00B1574B">
        <w:rPr>
          <w:rFonts w:eastAsia="PMingLiU"/>
        </w:rPr>
        <w:t xml:space="preserve"> </w:t>
      </w:r>
    </w:p>
    <w:p w14:paraId="3D41AE00" w14:textId="40042E6B" w:rsidR="00B1574B" w:rsidRPr="004F625D" w:rsidRDefault="00BF2E68" w:rsidP="004F625D">
      <w:pPr>
        <w:ind w:firstLine="720"/>
        <w:rPr>
          <w:rFonts w:cs="Times New Roman"/>
          <w:szCs w:val="24"/>
        </w:rPr>
      </w:pPr>
      <w:r w:rsidRPr="004049D0">
        <w:rPr>
          <w:rFonts w:eastAsia="PMingLiU" w:cs="Times New Roman"/>
          <w:szCs w:val="24"/>
        </w:rPr>
        <w:t xml:space="preserve">This collection of information is necessary to implement </w:t>
      </w:r>
      <w:r w:rsidR="002E126F">
        <w:rPr>
          <w:rFonts w:eastAsia="PMingLiU" w:cs="Times New Roman"/>
          <w:szCs w:val="24"/>
        </w:rPr>
        <w:t>section 5(d)(4) (Core Principle 4)</w:t>
      </w:r>
      <w:r w:rsidR="003B1768">
        <w:rPr>
          <w:rFonts w:eastAsia="PMingLiU" w:cs="Times New Roman"/>
          <w:szCs w:val="24"/>
        </w:rPr>
        <w:t xml:space="preserve"> </w:t>
      </w:r>
      <w:r w:rsidRPr="004049D0">
        <w:rPr>
          <w:rFonts w:eastAsia="PMingLiU" w:cs="Times New Roman"/>
          <w:szCs w:val="24"/>
        </w:rPr>
        <w:t xml:space="preserve">of </w:t>
      </w:r>
      <w:r w:rsidR="00B6544D" w:rsidRPr="004049D0">
        <w:rPr>
          <w:rFonts w:eastAsia="Times New Roman" w:cs="Times New Roman"/>
          <w:szCs w:val="24"/>
        </w:rPr>
        <w:t xml:space="preserve">the </w:t>
      </w:r>
      <w:r w:rsidR="00D56B0E" w:rsidRPr="004049D0">
        <w:rPr>
          <w:rFonts w:eastAsia="Times New Roman" w:cs="Times New Roman"/>
          <w:szCs w:val="24"/>
        </w:rPr>
        <w:t>Act</w:t>
      </w:r>
      <w:r w:rsidR="00B6544D" w:rsidRPr="004049D0">
        <w:rPr>
          <w:rFonts w:eastAsia="Times New Roman" w:cs="Times New Roman"/>
          <w:szCs w:val="24"/>
        </w:rPr>
        <w:t xml:space="preserve">.  </w:t>
      </w:r>
      <w:r w:rsidR="003B1768">
        <w:rPr>
          <w:rFonts w:eastAsia="Times New Roman" w:cs="Times New Roman"/>
          <w:szCs w:val="24"/>
        </w:rPr>
        <w:t>This section provides, in pertinent part, that DCMs “</w:t>
      </w:r>
      <w:r w:rsidR="003B1768" w:rsidRPr="003B1768">
        <w:rPr>
          <w:rFonts w:eastAsia="Times New Roman" w:cs="Times New Roman"/>
          <w:szCs w:val="24"/>
        </w:rPr>
        <w:t>shall have the capacity and responsibility to prevent manipulation, price distortion, and disruptions of the delivery or cash-settlement process through market surveillance, compliance, and enforcement practices and procedures,</w:t>
      </w:r>
      <w:r w:rsidR="003B1768">
        <w:rPr>
          <w:rFonts w:eastAsia="Times New Roman" w:cs="Times New Roman"/>
          <w:szCs w:val="24"/>
        </w:rPr>
        <w:t xml:space="preserve"> </w:t>
      </w:r>
      <w:r w:rsidR="003B1768" w:rsidRPr="003B1768">
        <w:rPr>
          <w:rFonts w:eastAsia="Times New Roman" w:cs="Times New Roman"/>
          <w:szCs w:val="24"/>
        </w:rPr>
        <w:t>.</w:t>
      </w:r>
      <w:r w:rsidR="003B1768">
        <w:rPr>
          <w:rFonts w:eastAsia="Times New Roman" w:cs="Times New Roman"/>
          <w:szCs w:val="24"/>
        </w:rPr>
        <w:t xml:space="preserve"> . .”  In addition, </w:t>
      </w:r>
      <w:r w:rsidR="004049D0" w:rsidRPr="004049D0">
        <w:rPr>
          <w:rFonts w:eastAsia="PMingLiU" w:cs="Times New Roman"/>
          <w:szCs w:val="24"/>
        </w:rPr>
        <w:t xml:space="preserve">Section 3(b) </w:t>
      </w:r>
      <w:r w:rsidR="003B1768">
        <w:rPr>
          <w:rFonts w:eastAsia="PMingLiU" w:cs="Times New Roman"/>
          <w:szCs w:val="24"/>
        </w:rPr>
        <w:t xml:space="preserve">of the Act further states that out of several purposes of the Act </w:t>
      </w:r>
      <w:r w:rsidR="004049D0" w:rsidRPr="004049D0">
        <w:rPr>
          <w:rFonts w:eastAsia="PMingLiU" w:cs="Times New Roman"/>
          <w:szCs w:val="24"/>
        </w:rPr>
        <w:t xml:space="preserve"> it is the purpose to</w:t>
      </w:r>
      <w:r w:rsidR="004049D0" w:rsidRPr="004049D0">
        <w:rPr>
          <w:rFonts w:eastAsia="PMingLiU" w:cs="Times New Roman"/>
          <w:lang w:val="en"/>
        </w:rPr>
        <w:t xml:space="preserve"> deter and prevent price manipulation or any other disruptions to market integrity; to ensure the financial integrity of all transactions and the avoidance of systemic risk</w:t>
      </w:r>
      <w:r w:rsidR="003B1768">
        <w:rPr>
          <w:rFonts w:eastAsia="PMingLiU" w:cs="Times New Roman"/>
          <w:lang w:val="en"/>
        </w:rPr>
        <w:t>.</w:t>
      </w:r>
      <w:r w:rsidR="004049D0" w:rsidRPr="004049D0">
        <w:rPr>
          <w:rFonts w:eastAsia="PMingLiU" w:cs="Times New Roman"/>
          <w:lang w:val="en"/>
        </w:rPr>
        <w:t>;</w:t>
      </w:r>
      <w:r w:rsidR="004049D0" w:rsidRPr="00D23D7B">
        <w:rPr>
          <w:rFonts w:eastAsia="PMingLiU" w:cs="Times New Roman"/>
          <w:szCs w:val="24"/>
          <w:lang w:val="en"/>
        </w:rPr>
        <w:t xml:space="preserve">  </w:t>
      </w:r>
      <w:r w:rsidR="003B1768">
        <w:rPr>
          <w:rFonts w:eastAsia="PMingLiU" w:cs="Times New Roman"/>
          <w:szCs w:val="24"/>
          <w:lang w:val="en"/>
        </w:rPr>
        <w:t xml:space="preserve">Together with these provisions of the Act, </w:t>
      </w:r>
      <w:r w:rsidRPr="00D23D7B">
        <w:rPr>
          <w:rFonts w:eastAsia="PMingLiU" w:cs="Times New Roman"/>
          <w:szCs w:val="24"/>
        </w:rPr>
        <w:t xml:space="preserve">Section 8a(5) provides the </w:t>
      </w:r>
      <w:r w:rsidR="00B6544D" w:rsidRPr="00D23D7B">
        <w:rPr>
          <w:rFonts w:eastAsia="PMingLiU" w:cs="Times New Roman"/>
          <w:szCs w:val="24"/>
        </w:rPr>
        <w:t>Commission</w:t>
      </w:r>
      <w:r w:rsidRPr="00D23D7B">
        <w:rPr>
          <w:rFonts w:eastAsia="PMingLiU" w:cs="Times New Roman"/>
          <w:szCs w:val="24"/>
        </w:rPr>
        <w:t xml:space="preserve"> with authority to promulgate rules as reasonably necessary to effectuate any of the provisions or to accomplish</w:t>
      </w:r>
      <w:r w:rsidR="00B6544D" w:rsidRPr="00D23D7B">
        <w:rPr>
          <w:rFonts w:eastAsia="PMingLiU" w:cs="Times New Roman"/>
          <w:szCs w:val="24"/>
        </w:rPr>
        <w:t xml:space="preserve"> any of the purposes of the Act.</w:t>
      </w:r>
      <w:r w:rsidR="00A14FF0">
        <w:rPr>
          <w:rStyle w:val="FootnoteReference"/>
          <w:rFonts w:eastAsia="PMingLiU" w:cs="Times New Roman"/>
          <w:szCs w:val="24"/>
        </w:rPr>
        <w:footnoteReference w:id="3"/>
      </w:r>
      <w:r w:rsidR="00B6544D" w:rsidRPr="00D23D7B">
        <w:rPr>
          <w:rFonts w:eastAsia="PMingLiU" w:cs="Times New Roman"/>
          <w:szCs w:val="24"/>
        </w:rPr>
        <w:t xml:space="preserve"> </w:t>
      </w:r>
      <w:r w:rsidRPr="00D23D7B">
        <w:rPr>
          <w:rFonts w:eastAsia="PMingLiU" w:cs="Times New Roman"/>
          <w:szCs w:val="24"/>
        </w:rPr>
        <w:t xml:space="preserve"> </w:t>
      </w:r>
    </w:p>
    <w:p w14:paraId="108C30C1" w14:textId="77777777" w:rsidR="00392E78" w:rsidRDefault="00392E78" w:rsidP="00D945B5">
      <w:pPr>
        <w:autoSpaceDE w:val="0"/>
        <w:autoSpaceDN w:val="0"/>
        <w:adjustRightInd w:val="0"/>
        <w:jc w:val="both"/>
        <w:rPr>
          <w:rFonts w:eastAsia="Times New Roman" w:cs="Times New Roman"/>
          <w:color w:val="000000"/>
          <w:szCs w:val="24"/>
        </w:rPr>
      </w:pPr>
    </w:p>
    <w:p w14:paraId="5A55EC7B" w14:textId="77777777" w:rsidR="00C032F4" w:rsidRPr="00B86819" w:rsidRDefault="00C032F4" w:rsidP="00642B6A">
      <w:pPr>
        <w:autoSpaceDE w:val="0"/>
        <w:autoSpaceDN w:val="0"/>
        <w:adjustRightInd w:val="0"/>
        <w:rPr>
          <w:rFonts w:eastAsia="Times New Roman" w:cs="Times New Roman"/>
          <w:color w:val="000000"/>
          <w:szCs w:val="24"/>
        </w:rPr>
      </w:pPr>
    </w:p>
    <w:p w14:paraId="75984FA8" w14:textId="067BC9EA" w:rsidR="002E0580" w:rsidRPr="004F625D" w:rsidRDefault="00642B6A" w:rsidP="004F625D">
      <w:pPr>
        <w:tabs>
          <w:tab w:val="left" w:pos="-720"/>
        </w:tabs>
        <w:spacing w:after="240"/>
        <w:ind w:left="720" w:hanging="720"/>
        <w:jc w:val="both"/>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purpose the data would be used.  Except for a new collection, indicate the actual use the agency has made of the information recei</w:t>
      </w:r>
      <w:r w:rsidR="002E0580">
        <w:rPr>
          <w:rFonts w:eastAsia="Times New Roman" w:cs="Times New Roman"/>
          <w:b/>
          <w:szCs w:val="24"/>
        </w:rPr>
        <w:t>ved from the current collection.</w:t>
      </w:r>
    </w:p>
    <w:p w14:paraId="2A876AE1" w14:textId="0D1EEF20" w:rsidR="005B7F59" w:rsidRPr="00892807" w:rsidRDefault="00892807" w:rsidP="00892807">
      <w:pPr>
        <w:ind w:firstLine="720"/>
        <w:rPr>
          <w:rFonts w:eastAsia="Times New Roman" w:cs="Times New Roman"/>
          <w:szCs w:val="20"/>
        </w:rPr>
      </w:pPr>
      <w:r w:rsidRPr="00892807">
        <w:rPr>
          <w:rFonts w:eastAsia="Times New Roman" w:cs="Times New Roman"/>
          <w:szCs w:val="20"/>
        </w:rPr>
        <w:t xml:space="preserve">The requested information is essential to the staff’s review of submissions and the Commission’s oversight of each </w:t>
      </w:r>
      <w:r>
        <w:rPr>
          <w:rFonts w:eastAsia="Times New Roman" w:cs="Times New Roman"/>
          <w:szCs w:val="20"/>
        </w:rPr>
        <w:t xml:space="preserve">DCM’s </w:t>
      </w:r>
      <w:r w:rsidR="0033140F">
        <w:rPr>
          <w:rFonts w:eastAsia="Times New Roman" w:cs="Times New Roman"/>
          <w:szCs w:val="20"/>
        </w:rPr>
        <w:t xml:space="preserve">compliance with Core Principle 4 set forth in section 5(d)(4) of the Act.  </w:t>
      </w:r>
      <w:r w:rsidR="00017E02">
        <w:rPr>
          <w:rFonts w:eastAsia="Times New Roman" w:cs="Times New Roman"/>
          <w:szCs w:val="20"/>
        </w:rPr>
        <w:t xml:space="preserve">In particular, the requested information permits the staff to access a DCM’s regulation of electronic trading consistent with proposed </w:t>
      </w:r>
      <w:r w:rsidR="00204921">
        <w:rPr>
          <w:rFonts w:eastAsia="Times New Roman" w:cs="Times New Roman"/>
          <w:szCs w:val="20"/>
        </w:rPr>
        <w:t>regulations</w:t>
      </w:r>
      <w:r w:rsidR="00017E02">
        <w:rPr>
          <w:rFonts w:eastAsia="Times New Roman" w:cs="Times New Roman"/>
          <w:szCs w:val="20"/>
        </w:rPr>
        <w:t xml:space="preserve"> 38.251(e) and (f) relating to </w:t>
      </w:r>
      <w:r w:rsidR="00D91948" w:rsidRPr="00D91948">
        <w:rPr>
          <w:rFonts w:eastAsia="Times New Roman" w:cs="Times New Roman"/>
          <w:szCs w:val="20"/>
        </w:rPr>
        <w:t>pre-trade risk controls to prevent, detect, and mitigate market disruptions or system anomalies associated with electronic trading</w:t>
      </w:r>
      <w:r w:rsidR="00017E02">
        <w:rPr>
          <w:rFonts w:eastAsia="Times New Roman" w:cs="Times New Roman"/>
          <w:szCs w:val="20"/>
        </w:rPr>
        <w:t>.</w:t>
      </w:r>
      <w:r w:rsidRPr="00892807">
        <w:rPr>
          <w:rFonts w:eastAsia="Times New Roman" w:cs="Times New Roman"/>
          <w:szCs w:val="20"/>
        </w:rPr>
        <w:t xml:space="preserve"> </w:t>
      </w:r>
      <w:r>
        <w:rPr>
          <w:rFonts w:eastAsia="Times New Roman" w:cs="Times New Roman"/>
          <w:szCs w:val="20"/>
        </w:rPr>
        <w:t xml:space="preserve"> </w:t>
      </w:r>
      <w:r w:rsidRPr="00892807">
        <w:rPr>
          <w:rFonts w:eastAsia="Times New Roman" w:cs="Times New Roman"/>
          <w:szCs w:val="20"/>
        </w:rPr>
        <w:t xml:space="preserve">Staff generally conducts a due diligence review of new </w:t>
      </w:r>
      <w:r>
        <w:rPr>
          <w:rFonts w:eastAsia="Times New Roman" w:cs="Times New Roman"/>
          <w:szCs w:val="20"/>
        </w:rPr>
        <w:t xml:space="preserve">rule </w:t>
      </w:r>
      <w:r w:rsidRPr="00892807">
        <w:rPr>
          <w:rFonts w:eastAsia="Times New Roman" w:cs="Times New Roman"/>
          <w:szCs w:val="20"/>
        </w:rPr>
        <w:t xml:space="preserve">submissions and makes an independent determination concerning the registered entity’s compliance with the Act and regulations thereunder.  </w:t>
      </w:r>
    </w:p>
    <w:p w14:paraId="6C621312" w14:textId="77777777" w:rsidR="000822F9" w:rsidRPr="00B86819" w:rsidRDefault="000822F9" w:rsidP="001577B2">
      <w:pPr>
        <w:rPr>
          <w:rFonts w:eastAsia="Times New Roman" w:cs="Times New Roman"/>
          <w:color w:val="000000"/>
          <w:szCs w:val="24"/>
        </w:rPr>
      </w:pPr>
    </w:p>
    <w:p w14:paraId="5A55EC81" w14:textId="77777777"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adopting this means of collection.  Also describe any consideration of using information technology to reduce burden.</w:t>
      </w:r>
    </w:p>
    <w:p w14:paraId="2A89D925" w14:textId="4479EA6F" w:rsidR="00CB0776" w:rsidRDefault="00836741" w:rsidP="00892807">
      <w:pPr>
        <w:tabs>
          <w:tab w:val="left" w:pos="-720"/>
          <w:tab w:val="left" w:pos="0"/>
        </w:tabs>
        <w:spacing w:after="240"/>
        <w:rPr>
          <w:rFonts w:eastAsia="Times New Roman" w:cs="Times New Roman"/>
          <w:szCs w:val="20"/>
        </w:rPr>
      </w:pPr>
      <w:r>
        <w:rPr>
          <w:rFonts w:eastAsia="Times New Roman" w:cs="Times New Roman"/>
          <w:szCs w:val="24"/>
        </w:rPr>
        <w:tab/>
      </w:r>
      <w:r w:rsidR="00892807" w:rsidRPr="00892807">
        <w:rPr>
          <w:rFonts w:eastAsia="Times New Roman" w:cs="Times New Roman"/>
          <w:szCs w:val="20"/>
        </w:rPr>
        <w:t xml:space="preserve">The Commission’s regulations require all submissions to be submitted to the Commission electronically.  </w:t>
      </w:r>
    </w:p>
    <w:p w14:paraId="4D5EAF5A" w14:textId="77777777" w:rsidR="00892807" w:rsidRPr="00892807" w:rsidRDefault="00892807" w:rsidP="00892807">
      <w:pPr>
        <w:tabs>
          <w:tab w:val="left" w:pos="-720"/>
          <w:tab w:val="left" w:pos="0"/>
        </w:tabs>
        <w:spacing w:after="240"/>
        <w:rPr>
          <w:rFonts w:eastAsia="Times New Roman" w:cs="Times New Roman"/>
          <w:szCs w:val="20"/>
        </w:rPr>
      </w:pPr>
    </w:p>
    <w:p w14:paraId="7F0395D5" w14:textId="65B7911B" w:rsidR="00AA0863" w:rsidRPr="007C3449" w:rsidRDefault="00642B6A" w:rsidP="007C3449">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efforts to identify duplication.  Show specifically why any similar information already available cannot be used or modified for use for the purposes described in Item 2 above.</w:t>
      </w:r>
      <w:r w:rsidR="00AA0863">
        <w:rPr>
          <w:rFonts w:eastAsia="PMingLiU"/>
          <w:bCs/>
        </w:rPr>
        <w:t xml:space="preserve"> </w:t>
      </w:r>
    </w:p>
    <w:p w14:paraId="1BEB2B46" w14:textId="43258FA0" w:rsidR="00B20669" w:rsidRDefault="0079756B" w:rsidP="00A051AF">
      <w:pPr>
        <w:tabs>
          <w:tab w:val="left" w:pos="-720"/>
        </w:tabs>
        <w:spacing w:after="240"/>
        <w:rPr>
          <w:rFonts w:eastAsia="Times New Roman" w:cs="Times New Roman"/>
          <w:b/>
          <w:szCs w:val="24"/>
        </w:rPr>
      </w:pPr>
      <w:r>
        <w:rPr>
          <w:rFonts w:eastAsia="PMingLiU"/>
          <w:bCs/>
        </w:rPr>
        <w:t xml:space="preserve"> </w:t>
      </w:r>
      <w:r w:rsidR="00AA0863">
        <w:rPr>
          <w:rFonts w:eastAsia="PMingLiU"/>
          <w:bCs/>
        </w:rPr>
        <w:tab/>
      </w:r>
      <w:r w:rsidR="00B20669">
        <w:rPr>
          <w:rFonts w:eastAsia="PMingLiU"/>
          <w:bCs/>
        </w:rPr>
        <w:t>The collection</w:t>
      </w:r>
      <w:r w:rsidR="00AA0863">
        <w:rPr>
          <w:rFonts w:eastAsia="PMingLiU"/>
          <w:bCs/>
        </w:rPr>
        <w:t xml:space="preserve"> of information pursuant to</w:t>
      </w:r>
      <w:r w:rsidR="00B20669">
        <w:rPr>
          <w:rFonts w:eastAsia="Times New Roman" w:cs="Times New Roman"/>
          <w:b/>
          <w:szCs w:val="24"/>
        </w:rPr>
        <w:t xml:space="preserve"> </w:t>
      </w:r>
      <w:r w:rsidR="002A09AB">
        <w:rPr>
          <w:rFonts w:eastAsia="Times New Roman" w:cs="Times New Roman"/>
          <w:szCs w:val="24"/>
        </w:rPr>
        <w:t xml:space="preserve">proposed </w:t>
      </w:r>
      <w:r w:rsidR="00204921">
        <w:rPr>
          <w:rFonts w:eastAsia="Times New Roman" w:cs="Times New Roman"/>
          <w:szCs w:val="24"/>
        </w:rPr>
        <w:t>regulation</w:t>
      </w:r>
      <w:r w:rsidR="00204921" w:rsidRPr="00A236DF">
        <w:rPr>
          <w:rFonts w:eastAsia="Times New Roman" w:cs="Times New Roman"/>
          <w:szCs w:val="24"/>
        </w:rPr>
        <w:t xml:space="preserve"> </w:t>
      </w:r>
      <w:r w:rsidR="002A09AB" w:rsidRPr="00A236DF">
        <w:rPr>
          <w:rFonts w:eastAsia="Times New Roman" w:cs="Times New Roman"/>
          <w:szCs w:val="24"/>
        </w:rPr>
        <w:t>38.</w:t>
      </w:r>
      <w:r w:rsidR="00C51BDD">
        <w:rPr>
          <w:rFonts w:eastAsia="Times New Roman" w:cs="Times New Roman"/>
          <w:szCs w:val="24"/>
        </w:rPr>
        <w:t>2</w:t>
      </w:r>
      <w:r w:rsidR="002A09AB" w:rsidRPr="00A236DF">
        <w:rPr>
          <w:rFonts w:eastAsia="Times New Roman" w:cs="Times New Roman"/>
          <w:szCs w:val="24"/>
        </w:rPr>
        <w:t>51(</w:t>
      </w:r>
      <w:r w:rsidR="00D91948">
        <w:rPr>
          <w:rFonts w:eastAsia="Times New Roman" w:cs="Times New Roman"/>
          <w:szCs w:val="24"/>
        </w:rPr>
        <w:t>e</w:t>
      </w:r>
      <w:r w:rsidR="002A09AB" w:rsidRPr="00A236DF">
        <w:rPr>
          <w:rFonts w:eastAsia="Times New Roman" w:cs="Times New Roman"/>
          <w:szCs w:val="24"/>
        </w:rPr>
        <w:t>)</w:t>
      </w:r>
      <w:r w:rsidR="002A09AB">
        <w:rPr>
          <w:rFonts w:eastAsia="Times New Roman" w:cs="Times New Roman"/>
          <w:b/>
          <w:szCs w:val="24"/>
        </w:rPr>
        <w:t xml:space="preserve"> </w:t>
      </w:r>
      <w:r w:rsidR="003B5288" w:rsidRPr="003B5288">
        <w:rPr>
          <w:rFonts w:eastAsia="PMingLiU"/>
          <w:lang w:eastAsia="zh-TW"/>
        </w:rPr>
        <w:t xml:space="preserve">would require information from DCMs regarding their </w:t>
      </w:r>
      <w:r w:rsidR="002A09AB">
        <w:rPr>
          <w:rFonts w:eastAsia="PMingLiU"/>
          <w:lang w:eastAsia="zh-TW"/>
        </w:rPr>
        <w:t xml:space="preserve">actions taken to </w:t>
      </w:r>
      <w:r w:rsidR="00204921">
        <w:rPr>
          <w:rFonts w:eastAsia="PMingLiU"/>
          <w:lang w:eastAsia="zh-TW"/>
        </w:rPr>
        <w:t xml:space="preserve">prevent, </w:t>
      </w:r>
      <w:r w:rsidR="002A09AB">
        <w:rPr>
          <w:rFonts w:eastAsia="PMingLiU"/>
          <w:lang w:eastAsia="zh-TW"/>
        </w:rPr>
        <w:t>detect, and mitigate market disruptions</w:t>
      </w:r>
      <w:r w:rsidR="00D91948">
        <w:rPr>
          <w:rFonts w:eastAsia="PMingLiU"/>
          <w:lang w:eastAsia="zh-TW"/>
        </w:rPr>
        <w:t xml:space="preserve"> and/or system anomalies associated with electronic trading</w:t>
      </w:r>
      <w:r w:rsidR="003B5288">
        <w:rPr>
          <w:rFonts w:eastAsia="PMingLiU"/>
          <w:lang w:eastAsia="zh-TW"/>
        </w:rPr>
        <w:t>.  T</w:t>
      </w:r>
      <w:r w:rsidR="003B5288" w:rsidRPr="003B5288">
        <w:rPr>
          <w:rFonts w:eastAsia="PMingLiU"/>
          <w:lang w:eastAsia="zh-TW"/>
        </w:rPr>
        <w:t xml:space="preserve">he Commission believes it largely incorporates existing rule filing requirements in part 40.  </w:t>
      </w:r>
      <w:r w:rsidR="003B5288">
        <w:rPr>
          <w:rFonts w:eastAsia="PMingLiU"/>
          <w:lang w:eastAsia="zh-TW"/>
        </w:rPr>
        <w:t xml:space="preserve">However, the proposed rule would </w:t>
      </w:r>
      <w:r w:rsidR="002A09AB">
        <w:rPr>
          <w:rFonts w:eastAsia="PMingLiU"/>
          <w:lang w:eastAsia="zh-TW"/>
        </w:rPr>
        <w:t xml:space="preserve">require DCMs to specifically address the trading risks posed by </w:t>
      </w:r>
      <w:r w:rsidR="00C51BDD">
        <w:rPr>
          <w:rFonts w:eastAsia="PMingLiU"/>
          <w:lang w:eastAsia="zh-TW"/>
        </w:rPr>
        <w:t xml:space="preserve">electronic trading in their markets and take reasonable measures to </w:t>
      </w:r>
      <w:r w:rsidR="00204921">
        <w:rPr>
          <w:rFonts w:eastAsia="PMingLiU"/>
          <w:lang w:eastAsia="zh-TW"/>
        </w:rPr>
        <w:t xml:space="preserve">prevent, </w:t>
      </w:r>
      <w:r w:rsidR="00C51BDD">
        <w:rPr>
          <w:rFonts w:eastAsia="PMingLiU"/>
          <w:lang w:eastAsia="zh-TW"/>
        </w:rPr>
        <w:t>detect, and mitigate market disruptions and system anomalies</w:t>
      </w:r>
      <w:r w:rsidR="002A09AB">
        <w:rPr>
          <w:rFonts w:eastAsia="PMingLiU"/>
          <w:lang w:eastAsia="zh-TW"/>
        </w:rPr>
        <w:t>.</w:t>
      </w:r>
      <w:r w:rsidR="003B5288" w:rsidRPr="003B5288">
        <w:rPr>
          <w:rFonts w:eastAsia="PMingLiU"/>
          <w:lang w:eastAsia="zh-TW"/>
        </w:rPr>
        <w:t xml:space="preserve">  </w:t>
      </w:r>
      <w:r w:rsidR="003B5288" w:rsidRPr="00B20669">
        <w:rPr>
          <w:rFonts w:eastAsia="PMingLiU"/>
          <w:lang w:eastAsia="zh-TW"/>
        </w:rPr>
        <w:t xml:space="preserve"> </w:t>
      </w:r>
    </w:p>
    <w:p w14:paraId="5A55EC85"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14:paraId="62778E02" w14:textId="781C35AA" w:rsidR="00892807" w:rsidRPr="00892807" w:rsidRDefault="004D1B4F" w:rsidP="00892807">
      <w:pPr>
        <w:tabs>
          <w:tab w:val="left" w:pos="-720"/>
        </w:tabs>
        <w:spacing w:after="240"/>
        <w:rPr>
          <w:rFonts w:eastAsia="Times New Roman" w:cs="Times New Roman"/>
          <w:szCs w:val="20"/>
        </w:rPr>
      </w:pPr>
      <w:r>
        <w:rPr>
          <w:rFonts w:eastAsia="Times New Roman" w:cs="Times New Roman"/>
          <w:szCs w:val="24"/>
        </w:rPr>
        <w:tab/>
      </w:r>
      <w:r w:rsidR="00C10808" w:rsidRPr="00C10808">
        <w:rPr>
          <w:rFonts w:eastAsia="Times New Roman" w:cs="Times New Roman"/>
          <w:szCs w:val="24"/>
        </w:rPr>
        <w:t xml:space="preserve">The Commission has established certain definitions of “small entities” to be used by the Commission in evaluating the impact of its regulations on such entities in accordance with the Regulatory Flexibility Act.  </w:t>
      </w:r>
      <w:r w:rsidR="00C10808">
        <w:rPr>
          <w:rFonts w:eastAsia="Times New Roman" w:cs="Times New Roman"/>
          <w:szCs w:val="24"/>
        </w:rPr>
        <w:t>DCMs have been deemed, and certified, by the Commission to not be “s</w:t>
      </w:r>
      <w:r w:rsidR="00C10808" w:rsidRPr="00C10808">
        <w:rPr>
          <w:rFonts w:eastAsia="Times New Roman" w:cs="Times New Roman"/>
          <w:szCs w:val="24"/>
        </w:rPr>
        <w:t>mall entities</w:t>
      </w:r>
      <w:r w:rsidR="00C10808">
        <w:rPr>
          <w:rFonts w:eastAsia="Times New Roman" w:cs="Times New Roman"/>
          <w:szCs w:val="24"/>
        </w:rPr>
        <w:t xml:space="preserve">.”  </w:t>
      </w:r>
    </w:p>
    <w:p w14:paraId="5A55EC87"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14:paraId="5A55EC8B" w14:textId="2D9F0F87" w:rsidR="00642B6A" w:rsidRDefault="00892807" w:rsidP="00642B6A">
      <w:pPr>
        <w:ind w:firstLine="720"/>
      </w:pPr>
      <w:r>
        <w:t xml:space="preserve">Proposed </w:t>
      </w:r>
      <w:r w:rsidR="00204921">
        <w:rPr>
          <w:rFonts w:cs="Times New Roman"/>
        </w:rPr>
        <w:t>regulation</w:t>
      </w:r>
      <w:r w:rsidR="00204921">
        <w:t xml:space="preserve"> </w:t>
      </w:r>
      <w:r w:rsidR="00C10808">
        <w:t>38.251(</w:t>
      </w:r>
      <w:r w:rsidR="00C51BDD">
        <w:t>e</w:t>
      </w:r>
      <w:r w:rsidR="00C10808">
        <w:t xml:space="preserve">) </w:t>
      </w:r>
      <w:r>
        <w:t xml:space="preserve">does not require the submission of information on a periodic basis.  Rather, submissions </w:t>
      </w:r>
      <w:r w:rsidR="00C10808">
        <w:t xml:space="preserve">will be required shortly after the adoption of the proposal by DCMs to comply with the requirements of the rule relating to market participants and </w:t>
      </w:r>
      <w:r w:rsidR="00AC06C8">
        <w:t>the prevention, detection</w:t>
      </w:r>
      <w:r w:rsidR="00204921">
        <w:t>,</w:t>
      </w:r>
      <w:r w:rsidR="00AC06C8">
        <w:t xml:space="preserve"> and mitigation of </w:t>
      </w:r>
      <w:r w:rsidR="00AC06C8" w:rsidRPr="00AC06C8">
        <w:t>market disruptions or system anomalies associated with electronic trading</w:t>
      </w:r>
      <w:r w:rsidR="00AC06C8">
        <w:t xml:space="preserve">.  </w:t>
      </w:r>
      <w:r w:rsidR="00C10808">
        <w:t>Thereafter, submission of information will only be required pursuant to part 40 when a DCM seeks to make amendments to its electron trading risk requirements.</w:t>
      </w:r>
      <w:r>
        <w:t xml:space="preserve">  </w:t>
      </w:r>
    </w:p>
    <w:p w14:paraId="489291A0" w14:textId="77777777" w:rsidR="00892807" w:rsidRPr="00642B6A" w:rsidRDefault="00892807" w:rsidP="00642B6A">
      <w:pPr>
        <w:ind w:firstLine="720"/>
        <w:rPr>
          <w:rFonts w:eastAsia="Times New Roman" w:cs="Times New Roman"/>
          <w:color w:val="000000"/>
          <w:szCs w:val="24"/>
        </w:rPr>
      </w:pPr>
    </w:p>
    <w:p w14:paraId="5A55EC8C"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14:paraId="5A55EC8D"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14:paraId="66AF14F9" w14:textId="3A4F5F83" w:rsidR="005E0ED0" w:rsidRPr="00A668B2" w:rsidRDefault="00642B6A" w:rsidP="00892807">
      <w:pPr>
        <w:tabs>
          <w:tab w:val="left" w:pos="-720"/>
        </w:tabs>
        <w:spacing w:after="240"/>
        <w:rPr>
          <w:bCs/>
        </w:rPr>
      </w:pPr>
      <w:r w:rsidRPr="00642B6A">
        <w:rPr>
          <w:rFonts w:eastAsia="Times New Roman" w:cs="Times New Roman"/>
          <w:szCs w:val="24"/>
        </w:rPr>
        <w:tab/>
      </w:r>
      <w:r w:rsidR="00892807">
        <w:rPr>
          <w:rFonts w:eastAsia="Times New Roman" w:cs="Times New Roman"/>
          <w:szCs w:val="24"/>
        </w:rPr>
        <w:t>Not applicable.</w:t>
      </w:r>
    </w:p>
    <w:p w14:paraId="5A55EC8F"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14:paraId="5A55EC90" w14:textId="77777777"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14:paraId="5A55EC91"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14:paraId="5A55EC92" w14:textId="77777777" w:rsidR="00642B6A" w:rsidRPr="00642B6A" w:rsidRDefault="00747BF5" w:rsidP="005E0ED0">
      <w:pPr>
        <w:tabs>
          <w:tab w:val="left" w:pos="-720"/>
          <w:tab w:val="left" w:pos="0"/>
          <w:tab w:val="left" w:pos="720"/>
        </w:tabs>
        <w:spacing w:after="240"/>
        <w:rPr>
          <w:rFonts w:eastAsia="Times New Roman" w:cs="Times New Roman"/>
          <w:b/>
          <w:szCs w:val="24"/>
        </w:rPr>
      </w:pPr>
      <w:r>
        <w:rPr>
          <w:rFonts w:eastAsia="Times New Roman" w:cs="Times New Roman"/>
          <w:szCs w:val="24"/>
        </w:rPr>
        <w:tab/>
      </w:r>
      <w:r w:rsidR="00642B6A" w:rsidRPr="00642B6A">
        <w:rPr>
          <w:rFonts w:eastAsia="Times New Roman" w:cs="Times New Roman"/>
          <w:szCs w:val="24"/>
        </w:rPr>
        <w:t>Respondents are not required to submit more than an original and two copies of any documents to the Commission or third parties.</w:t>
      </w:r>
    </w:p>
    <w:p w14:paraId="5A55EC93" w14:textId="77777777" w:rsidR="00642B6A" w:rsidRPr="00642B6A" w:rsidRDefault="00642B6A" w:rsidP="00FE503D">
      <w:pPr>
        <w:numPr>
          <w:ilvl w:val="0"/>
          <w:numId w:val="1"/>
        </w:numPr>
        <w:tabs>
          <w:tab w:val="clear" w:pos="936"/>
          <w:tab w:val="left" w:pos="-720"/>
          <w:tab w:val="left" w:pos="0"/>
          <w:tab w:val="left" w:pos="72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14:paraId="5A55EC94" w14:textId="77777777"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14:paraId="5A55EC95"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14:paraId="5A55EC96" w14:textId="77777777" w:rsidR="00642B6A" w:rsidRDefault="00642B6A" w:rsidP="00D945B5">
      <w:pPr>
        <w:tabs>
          <w:tab w:val="left" w:pos="-720"/>
          <w:tab w:val="left" w:pos="0"/>
          <w:tab w:val="left" w:pos="720"/>
        </w:tabs>
        <w:spacing w:after="240"/>
        <w:ind w:left="936" w:hanging="216"/>
        <w:contextualSpacing/>
        <w:rPr>
          <w:rFonts w:eastAsia="Times New Roman" w:cs="Times New Roman"/>
        </w:rPr>
      </w:pPr>
      <w:r w:rsidRPr="00642B6A">
        <w:rPr>
          <w:rFonts w:eastAsia="Times New Roman" w:cs="Times New Roman"/>
        </w:rPr>
        <w:t>Not applicable.</w:t>
      </w:r>
    </w:p>
    <w:p w14:paraId="5A55EC97" w14:textId="77777777" w:rsidR="00697065" w:rsidRPr="00642B6A" w:rsidRDefault="00697065" w:rsidP="00902356">
      <w:pPr>
        <w:tabs>
          <w:tab w:val="left" w:pos="-720"/>
          <w:tab w:val="left" w:pos="0"/>
          <w:tab w:val="left" w:pos="720"/>
        </w:tabs>
        <w:spacing w:after="240"/>
        <w:ind w:left="936"/>
        <w:contextualSpacing/>
        <w:rPr>
          <w:rFonts w:eastAsia="Times New Roman" w:cs="Times New Roman"/>
        </w:rPr>
      </w:pPr>
    </w:p>
    <w:p w14:paraId="5A55EC98" w14:textId="77777777" w:rsidR="00642B6A" w:rsidRPr="00642B6A" w:rsidRDefault="00642B6A" w:rsidP="00FE503D">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642B6A">
        <w:rPr>
          <w:rFonts w:eastAsia="Times New Roman" w:cs="Times New Roman"/>
          <w:b/>
          <w:szCs w:val="24"/>
        </w:rPr>
        <w:t>requiring the use of a statistical data classification that has not been reviewed and approved by OMB;</w:t>
      </w:r>
    </w:p>
    <w:p w14:paraId="5A55EC99" w14:textId="77777777"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14:paraId="5A55EC9A" w14:textId="77777777" w:rsidR="00642B6A" w:rsidRPr="003607A6"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14:paraId="5A55EC9B" w14:textId="77777777" w:rsidR="00642B6A" w:rsidRPr="00B86819" w:rsidRDefault="00642B6A" w:rsidP="00FE503D">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00B86819" w:rsidRP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14:paraId="5A55EC9C" w14:textId="1A7AE684" w:rsidR="00642B6A" w:rsidRPr="00C9497A" w:rsidRDefault="00642B6A" w:rsidP="004E06D9">
      <w:pPr>
        <w:tabs>
          <w:tab w:val="left" w:pos="-720"/>
          <w:tab w:val="left" w:pos="0"/>
          <w:tab w:val="left" w:pos="720"/>
        </w:tabs>
        <w:spacing w:after="240"/>
        <w:rPr>
          <w:rFonts w:eastAsia="Times New Roman" w:cs="Times New Roman"/>
          <w:b/>
          <w:szCs w:val="24"/>
        </w:rPr>
      </w:pPr>
      <w:r w:rsidRPr="00642B6A">
        <w:rPr>
          <w:rFonts w:eastAsia="Times New Roman" w:cs="Times New Roman"/>
          <w:szCs w:val="24"/>
        </w:rPr>
        <w:tab/>
        <w:t>The Commission has procedures to protect the confidentiality of an applicant’s or registrant’s data.  These are set forth in the Commission’s regulations at parts 145 and 147 of title 17 of the Code of Federal Regulations.</w:t>
      </w:r>
      <w:r w:rsidR="004E06D9">
        <w:rPr>
          <w:rFonts w:eastAsia="Times New Roman" w:cs="Times New Roman"/>
          <w:szCs w:val="24"/>
        </w:rPr>
        <w:t xml:space="preserve">  In addition, s</w:t>
      </w:r>
      <w:r w:rsidR="004E06D9" w:rsidRPr="004E06D9">
        <w:rPr>
          <w:rFonts w:eastAsia="Times New Roman" w:cs="Times New Roman"/>
          <w:szCs w:val="24"/>
        </w:rPr>
        <w:t>ection 8(a) of the Act provides that, “unless specifically authorized in this Act, the Commission may not publish data and information that would separately disclose the business transactions or market positions of any person and trade secrets or names of customers.”  A number of narrow exceptions are set forth in Sections 8(b) and (e) of the Act permitting the Commission to disclose “Section 8 material” for (</w:t>
      </w:r>
      <w:proofErr w:type="spellStart"/>
      <w:r w:rsidR="004E06D9" w:rsidRPr="004E06D9">
        <w:rPr>
          <w:rFonts w:eastAsia="Times New Roman" w:cs="Times New Roman"/>
          <w:szCs w:val="24"/>
        </w:rPr>
        <w:t>i</w:t>
      </w:r>
      <w:proofErr w:type="spellEnd"/>
      <w:r w:rsidR="004E06D9" w:rsidRPr="004E06D9">
        <w:rPr>
          <w:rFonts w:eastAsia="Times New Roman" w:cs="Times New Roman"/>
          <w:szCs w:val="24"/>
        </w:rPr>
        <w:t>) prior public disclosures, (ii) congressional, administrative and/or judicial proceedings, (iii) other federal departments and agencies, individual states and foreign futures authorities, and (iv) registered entity investigations.</w:t>
      </w:r>
    </w:p>
    <w:p w14:paraId="5A55EC9D"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A55EC9E" w14:textId="77777777" w:rsidR="00653547" w:rsidRDefault="00B86819" w:rsidP="005E0ED0">
      <w:pPr>
        <w:tabs>
          <w:tab w:val="left" w:pos="-720"/>
          <w:tab w:val="left" w:pos="0"/>
        </w:tabs>
        <w:overflowPunct w:val="0"/>
        <w:autoSpaceDE w:val="0"/>
        <w:autoSpaceDN w:val="0"/>
        <w:adjustRightInd w:val="0"/>
        <w:spacing w:after="240"/>
        <w:textAlignment w:val="baseline"/>
        <w:rPr>
          <w:rFonts w:eastAsia="Times New Roman" w:cs="Times New Roman"/>
          <w:szCs w:val="24"/>
        </w:rPr>
      </w:pPr>
      <w:r>
        <w:rPr>
          <w:rFonts w:eastAsia="Times New Roman" w:cs="Times New Roman"/>
          <w:szCs w:val="24"/>
        </w:rPr>
        <w:tab/>
      </w:r>
      <w:r w:rsidR="00554929" w:rsidRPr="00554929">
        <w:rPr>
          <w:rFonts w:eastAsia="Times New Roman" w:cs="Times New Roman"/>
          <w:szCs w:val="24"/>
        </w:rPr>
        <w:t xml:space="preserve">In the proposing Federal Register release, the Commission seeks public comment on any aspect of the proposed collection of information. </w:t>
      </w:r>
    </w:p>
    <w:p w14:paraId="40C53FDB" w14:textId="77777777" w:rsidR="00183707" w:rsidRPr="00642B6A" w:rsidRDefault="00183707" w:rsidP="005E0ED0">
      <w:pPr>
        <w:tabs>
          <w:tab w:val="left" w:pos="-720"/>
          <w:tab w:val="left" w:pos="0"/>
        </w:tabs>
        <w:overflowPunct w:val="0"/>
        <w:autoSpaceDE w:val="0"/>
        <w:autoSpaceDN w:val="0"/>
        <w:adjustRightInd w:val="0"/>
        <w:spacing w:after="240"/>
        <w:textAlignment w:val="baseline"/>
        <w:rPr>
          <w:rFonts w:eastAsia="Times New Roman" w:cs="Times New Roman"/>
          <w:szCs w:val="24"/>
        </w:rPr>
      </w:pPr>
    </w:p>
    <w:p w14:paraId="5A55EC9F"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14:paraId="2D063B1C" w14:textId="1BDAC67A" w:rsidR="00CB0776" w:rsidRDefault="0027708A" w:rsidP="005E0ED0">
      <w:pPr>
        <w:tabs>
          <w:tab w:val="left" w:pos="-720"/>
        </w:tabs>
        <w:spacing w:after="240"/>
        <w:rPr>
          <w:rFonts w:eastAsia="Times New Roman" w:cs="Times New Roman"/>
          <w:szCs w:val="24"/>
        </w:rPr>
      </w:pPr>
      <w:r>
        <w:rPr>
          <w:rFonts w:eastAsia="Times New Roman" w:cs="Times New Roman"/>
          <w:szCs w:val="24"/>
        </w:rPr>
        <w:tab/>
        <w:t>Not applicable.</w:t>
      </w:r>
      <w:r w:rsidR="002C7E70" w:rsidRPr="002C7E70">
        <w:t xml:space="preserve"> </w:t>
      </w:r>
      <w:r w:rsidR="002C7E70" w:rsidRPr="002C7E70">
        <w:rPr>
          <w:rFonts w:eastAsia="Times New Roman" w:cs="Times New Roman"/>
          <w:szCs w:val="24"/>
        </w:rPr>
        <w:t>The Commission has neither considered nor made any payment or gift to a respondent.</w:t>
      </w:r>
    </w:p>
    <w:p w14:paraId="5A55ECA1" w14:textId="77777777"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14:paraId="3FAA1761" w14:textId="32C2A6CF" w:rsidR="00183707" w:rsidRPr="00642B6A" w:rsidRDefault="00642B6A" w:rsidP="00CB0776">
      <w:pPr>
        <w:ind w:firstLine="720"/>
        <w:rPr>
          <w:rFonts w:eastAsia="Times New Roman" w:cs="Times New Roman"/>
          <w:szCs w:val="24"/>
        </w:rPr>
      </w:pPr>
      <w:r w:rsidRPr="00642B6A">
        <w:rPr>
          <w:rFonts w:eastAsia="Times New Roman" w:cs="Times New Roman"/>
          <w:szCs w:val="24"/>
        </w:rPr>
        <w:t xml:space="preserve">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w:t>
      </w:r>
      <w:r w:rsidR="00E15E4F" w:rsidRPr="00E15E4F">
        <w:rPr>
          <w:rFonts w:eastAsia="Times New Roman" w:cs="Times New Roman"/>
          <w:szCs w:val="24"/>
        </w:rPr>
        <w:t>The Commission has procedures to protect the confidentiality of an applicant’s or registrant’s data.  These are set forth in the Commission’s regulations at parts 145 and 147 of title 17 of the Code of Federal Regulations.</w:t>
      </w:r>
    </w:p>
    <w:p w14:paraId="5A55ECA3" w14:textId="77777777" w:rsidR="00D945B5" w:rsidRDefault="00D945B5" w:rsidP="00642B6A">
      <w:pPr>
        <w:tabs>
          <w:tab w:val="left" w:pos="-720"/>
        </w:tabs>
        <w:spacing w:after="240"/>
        <w:rPr>
          <w:rFonts w:eastAsia="Times New Roman" w:cs="Times New Roman"/>
          <w:b/>
          <w:szCs w:val="24"/>
        </w:rPr>
      </w:pPr>
    </w:p>
    <w:p w14:paraId="5A55ECA4" w14:textId="77777777"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A55ECA5" w14:textId="77777777" w:rsidR="00642B6A" w:rsidRDefault="00642B6A" w:rsidP="005E0ED0">
      <w:pPr>
        <w:tabs>
          <w:tab w:val="left" w:pos="-720"/>
        </w:tabs>
        <w:suppressAutoHyphens/>
        <w:ind w:firstLine="720"/>
        <w:rPr>
          <w:rFonts w:eastAsia="Times New Roman" w:cs="Times New Roman"/>
          <w:szCs w:val="24"/>
        </w:rPr>
      </w:pPr>
      <w:r w:rsidRPr="00642B6A">
        <w:rPr>
          <w:rFonts w:eastAsia="Times New Roman" w:cs="Times New Roman"/>
          <w:szCs w:val="24"/>
        </w:rPr>
        <w:t>The regulations covered by this collection do not require the giving of sensitive information, as that term is used in Question 11.</w:t>
      </w:r>
    </w:p>
    <w:p w14:paraId="7B4FBB87" w14:textId="77777777" w:rsidR="00183707" w:rsidRDefault="00183707" w:rsidP="005E0ED0">
      <w:pPr>
        <w:tabs>
          <w:tab w:val="left" w:pos="-720"/>
        </w:tabs>
        <w:suppressAutoHyphens/>
        <w:ind w:firstLine="720"/>
        <w:rPr>
          <w:rFonts w:eastAsia="Times New Roman" w:cs="Times New Roman"/>
          <w:szCs w:val="24"/>
        </w:rPr>
      </w:pPr>
    </w:p>
    <w:p w14:paraId="5A55ECA6" w14:textId="77777777" w:rsidR="0027708A" w:rsidRPr="00642B6A" w:rsidRDefault="0027708A" w:rsidP="00642B6A">
      <w:pPr>
        <w:tabs>
          <w:tab w:val="left" w:pos="-720"/>
        </w:tabs>
        <w:suppressAutoHyphens/>
        <w:ind w:firstLine="720"/>
        <w:rPr>
          <w:rFonts w:eastAsia="Times New Roman" w:cs="Times New Roman"/>
          <w:szCs w:val="24"/>
        </w:rPr>
      </w:pPr>
    </w:p>
    <w:p w14:paraId="5A55ECA7" w14:textId="77777777" w:rsidR="00642B6A" w:rsidRPr="00642B6A" w:rsidRDefault="00642B6A" w:rsidP="00FE503D">
      <w:pPr>
        <w:tabs>
          <w:tab w:val="left" w:pos="-720"/>
          <w:tab w:val="left" w:pos="0"/>
        </w:tabs>
        <w:spacing w:after="24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Provide estimates of the hour burden of the collection of information.  The Statement should:</w:t>
      </w:r>
    </w:p>
    <w:p w14:paraId="5A55ECA8" w14:textId="77777777" w:rsid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A55ECA9"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14:paraId="5A55ECAA"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5A55ECAB" w14:textId="65C48D3D" w:rsidR="00642B6A" w:rsidRDefault="00642B6A" w:rsidP="00FE503D">
      <w:pPr>
        <w:ind w:firstLine="720"/>
        <w:jc w:val="both"/>
      </w:pPr>
      <w:r w:rsidRPr="00642B6A">
        <w:rPr>
          <w:rFonts w:eastAsia="Times New Roman" w:cs="Times New Roman"/>
          <w:color w:val="000000"/>
          <w:szCs w:val="24"/>
        </w:rPr>
        <w:t>See Attachment A.</w:t>
      </w:r>
      <w:r w:rsidR="00B328FB" w:rsidRPr="00B328FB">
        <w:t xml:space="preserve"> </w:t>
      </w:r>
    </w:p>
    <w:p w14:paraId="3CDA1B56" w14:textId="77777777" w:rsidR="00183707" w:rsidRPr="00642B6A" w:rsidRDefault="00183707" w:rsidP="00FE503D">
      <w:pPr>
        <w:ind w:firstLine="720"/>
        <w:jc w:val="both"/>
        <w:rPr>
          <w:rFonts w:eastAsia="Times New Roman" w:cs="Times New Roman"/>
          <w:color w:val="000000"/>
          <w:szCs w:val="24"/>
        </w:rPr>
      </w:pPr>
    </w:p>
    <w:p w14:paraId="5A55ECAC" w14:textId="77777777" w:rsidR="00642B6A" w:rsidRPr="00642B6A" w:rsidRDefault="00642B6A" w:rsidP="00642B6A">
      <w:pPr>
        <w:ind w:firstLine="720"/>
        <w:rPr>
          <w:rFonts w:eastAsia="Times New Roman" w:cs="Times New Roman"/>
          <w:color w:val="000000"/>
          <w:szCs w:val="24"/>
        </w:rPr>
      </w:pPr>
    </w:p>
    <w:p w14:paraId="5A55ECAD" w14:textId="77777777"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Provide an estimate of the total annual cost burden to respondents or recordkeepers resulting from the collection of information.  (Do not include the cost of any hour burden shown in Items 12 and 14).</w:t>
      </w:r>
    </w:p>
    <w:p w14:paraId="5A55ECAE"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A55ECAF"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14:paraId="5A55ECB0"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4ADC8A94" w14:textId="31744D5D" w:rsidR="00DD44BA" w:rsidRDefault="00DD44BA" w:rsidP="00DD44BA">
      <w:pPr>
        <w:ind w:firstLine="720"/>
        <w:jc w:val="both"/>
      </w:pPr>
      <w:r w:rsidRPr="00DD44BA">
        <w:t xml:space="preserve"> </w:t>
      </w:r>
      <w:r>
        <w:t>Please see attachment A for the estimated hour burden for the proposed collections of information discussed in this supporting statement.</w:t>
      </w:r>
    </w:p>
    <w:p w14:paraId="09BD29C2" w14:textId="77777777" w:rsidR="00DD44BA" w:rsidRDefault="00DD44BA" w:rsidP="00DD44BA">
      <w:pPr>
        <w:ind w:firstLine="720"/>
        <w:jc w:val="both"/>
      </w:pPr>
    </w:p>
    <w:p w14:paraId="406B55DF" w14:textId="72363F9B" w:rsidR="005E0ED0" w:rsidRPr="00C51BDD" w:rsidRDefault="00DD44BA" w:rsidP="00DD44BA">
      <w:pPr>
        <w:ind w:firstLine="720"/>
        <w:jc w:val="both"/>
        <w:rPr>
          <w:rFonts w:eastAsia="Times New Roman" w:cs="Times New Roman"/>
          <w:color w:val="000000"/>
          <w:szCs w:val="24"/>
        </w:rPr>
      </w:pPr>
      <w:r w:rsidRPr="00C51BDD">
        <w:t>In</w:t>
      </w:r>
      <w:r w:rsidR="00A236DF" w:rsidRPr="00C51BDD">
        <w:t xml:space="preserve"> calculating this cost estimate, </w:t>
      </w:r>
      <w:r w:rsidRPr="00C51BDD">
        <w:t>the Commission estimates the appropriate wage rate based on salary information for the securities industry compiled by the Department of Labor’s Bureau of Labor Statistics (“BLS”). Commission staff arrived at an hourly rate of $</w:t>
      </w:r>
      <w:r w:rsidR="00A236DF" w:rsidRPr="00C51BDD">
        <w:t>89.89</w:t>
      </w:r>
      <w:r w:rsidRPr="00C51BDD">
        <w:t xml:space="preserve"> using figures from a weighted average of salaries and bonuses across different professions contained in the most recent BLS Occupational Employment and Wages Report (May 2018) multiplied by 1.3 to account for overhead and other benefits. The Commission estimated appropriate wage rate is a weighted national average of mean hourly wages for the following occupations (and their relative weight): “compliance officer – industry: securities, commodity contracts, and other financial investment and related activities” (</w:t>
      </w:r>
      <w:r w:rsidR="00A236DF" w:rsidRPr="00C51BDD">
        <w:t>50</w:t>
      </w:r>
      <w:r w:rsidRPr="00C51BDD">
        <w:t>%); and “lawyer – legal services” (</w:t>
      </w:r>
      <w:r w:rsidR="00A236DF" w:rsidRPr="00C51BDD">
        <w:t>50</w:t>
      </w:r>
      <w:r w:rsidRPr="00C51BDD">
        <w:t>%). Commission staff chose this methodology to account for the variance in skill sets that may be used to accomplish the collection of information.</w:t>
      </w:r>
    </w:p>
    <w:p w14:paraId="5A55ECB2" w14:textId="77777777" w:rsidR="00637711" w:rsidRPr="00642B6A" w:rsidRDefault="00637711" w:rsidP="00642B6A">
      <w:pPr>
        <w:ind w:firstLine="720"/>
        <w:rPr>
          <w:rFonts w:eastAsia="Times New Roman" w:cs="Times New Roman"/>
          <w:color w:val="000000"/>
          <w:szCs w:val="24"/>
        </w:rPr>
      </w:pPr>
    </w:p>
    <w:p w14:paraId="5A55ECB3" w14:textId="77777777"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14:paraId="16577E4C" w14:textId="55C8C758" w:rsidR="00183707" w:rsidRPr="00642B6A" w:rsidRDefault="00642B6A" w:rsidP="005E0ED0">
      <w:pPr>
        <w:tabs>
          <w:tab w:val="left" w:pos="-720"/>
        </w:tabs>
        <w:spacing w:after="240"/>
        <w:rPr>
          <w:rFonts w:eastAsia="Times New Roman" w:cs="Times New Roman"/>
          <w:szCs w:val="24"/>
        </w:rPr>
      </w:pPr>
      <w:r w:rsidRPr="00642B6A">
        <w:rPr>
          <w:rFonts w:eastAsia="Times New Roman" w:cs="Times New Roman"/>
          <w:szCs w:val="24"/>
        </w:rPr>
        <w:tab/>
      </w:r>
      <w:r w:rsidR="00C9497A">
        <w:rPr>
          <w:rFonts w:eastAsia="Times New Roman" w:cs="Times New Roman"/>
          <w:szCs w:val="24"/>
        </w:rPr>
        <w:t xml:space="preserve">It is not anticipated that the </w:t>
      </w:r>
      <w:r w:rsidR="004E06D9">
        <w:rPr>
          <w:rFonts w:eastAsia="Times New Roman" w:cs="Times New Roman"/>
          <w:szCs w:val="24"/>
        </w:rPr>
        <w:t>proposed</w:t>
      </w:r>
      <w:r w:rsidR="00C9497A">
        <w:rPr>
          <w:rFonts w:eastAsia="Times New Roman" w:cs="Times New Roman"/>
          <w:szCs w:val="24"/>
        </w:rPr>
        <w:t xml:space="preserve"> regulations will impose any additional costs to the Federal Government.</w:t>
      </w:r>
    </w:p>
    <w:p w14:paraId="5A55ECB5" w14:textId="77777777" w:rsidR="00642B6A" w:rsidRPr="00A434FF"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14:paraId="3B82694B" w14:textId="4259E896" w:rsidR="00A434FF" w:rsidRPr="00A434FF" w:rsidRDefault="005E0ED0" w:rsidP="00A434FF">
      <w:pPr>
        <w:rPr>
          <w:rFonts w:cs="Times New Roman"/>
          <w:szCs w:val="24"/>
        </w:rPr>
      </w:pPr>
      <w:r w:rsidRPr="00A434FF">
        <w:rPr>
          <w:rFonts w:eastAsia="Times New Roman" w:cs="Times New Roman"/>
          <w:szCs w:val="24"/>
        </w:rPr>
        <w:tab/>
      </w:r>
      <w:r w:rsidR="00A434FF" w:rsidRPr="00A434FF">
        <w:rPr>
          <w:rFonts w:eastAsia="Times New Roman" w:cs="Times New Roman"/>
          <w:szCs w:val="24"/>
        </w:rPr>
        <w:t xml:space="preserve"> </w:t>
      </w:r>
      <w:r w:rsidR="00A434FF" w:rsidRPr="00A434FF">
        <w:rPr>
          <w:rFonts w:cs="Times New Roman"/>
          <w:szCs w:val="24"/>
        </w:rPr>
        <w:t xml:space="preserve">Burden hours will increase because proposed § 38.251(e) will increase the analysis and number of filings required of DCMs in connection with the adoption and implementation of rules to prevent, detect, and mitigate market disruptions or system anomalies associated with electronic trading.  </w:t>
      </w:r>
    </w:p>
    <w:p w14:paraId="1B6CBF0F" w14:textId="27E29BDE" w:rsidR="00385AAF" w:rsidRPr="00A434FF" w:rsidRDefault="00385AAF" w:rsidP="00FE503D">
      <w:pPr>
        <w:tabs>
          <w:tab w:val="left" w:pos="-720"/>
        </w:tabs>
        <w:spacing w:after="240"/>
        <w:jc w:val="both"/>
        <w:rPr>
          <w:rFonts w:eastAsia="PMingLiU" w:cs="Times New Roman"/>
          <w:szCs w:val="24"/>
          <w:lang w:val="en"/>
        </w:rPr>
      </w:pPr>
    </w:p>
    <w:p w14:paraId="5A55ECB7"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2D0BEE7B" w14:textId="315BE5DA" w:rsidR="00183707"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8C2E2D">
        <w:rPr>
          <w:rFonts w:eastAsia="Times New Roman" w:cs="Times New Roman"/>
          <w:szCs w:val="24"/>
        </w:rPr>
        <w:t>Not applicable</w:t>
      </w:r>
      <w:r w:rsidRPr="00642B6A">
        <w:rPr>
          <w:rFonts w:eastAsia="Times New Roman" w:cs="Times New Roman"/>
          <w:szCs w:val="24"/>
        </w:rPr>
        <w:t>.</w:t>
      </w:r>
    </w:p>
    <w:p w14:paraId="5A55ECB9"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14:paraId="3DC8BAB4" w14:textId="2BF87DB5" w:rsidR="00183707"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8C2E2D">
        <w:rPr>
          <w:rFonts w:eastAsia="Times New Roman" w:cs="Times New Roman"/>
          <w:szCs w:val="24"/>
        </w:rPr>
        <w:t>Not applicable</w:t>
      </w:r>
      <w:r w:rsidRPr="00642B6A">
        <w:rPr>
          <w:rFonts w:eastAsia="Times New Roman" w:cs="Times New Roman"/>
          <w:szCs w:val="24"/>
        </w:rPr>
        <w:t>.</w:t>
      </w:r>
    </w:p>
    <w:p w14:paraId="5A55ECBB" w14:textId="77777777"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14:paraId="5A55ED68" w14:textId="23F3FF0D" w:rsidR="00585718" w:rsidRDefault="00642B6A" w:rsidP="00CB0776">
      <w:pPr>
        <w:tabs>
          <w:tab w:val="left" w:pos="-720"/>
        </w:tabs>
        <w:spacing w:after="240"/>
        <w:rPr>
          <w:rFonts w:eastAsia="Times New Roman" w:cs="Times New Roman"/>
          <w:szCs w:val="24"/>
        </w:rPr>
      </w:pPr>
      <w:r w:rsidRPr="00642B6A">
        <w:rPr>
          <w:rFonts w:eastAsia="Times New Roman" w:cs="Times New Roman"/>
          <w:szCs w:val="24"/>
        </w:rPr>
        <w:tab/>
      </w:r>
      <w:r w:rsidR="008C2E2D">
        <w:rPr>
          <w:rFonts w:eastAsia="Times New Roman" w:cs="Times New Roman"/>
          <w:szCs w:val="24"/>
        </w:rPr>
        <w:t>Not applicable</w:t>
      </w:r>
      <w:r w:rsidRPr="00642B6A">
        <w:rPr>
          <w:rFonts w:eastAsia="Times New Roman" w:cs="Times New Roman"/>
          <w:szCs w:val="24"/>
        </w:rPr>
        <w:t>.</w:t>
      </w:r>
    </w:p>
    <w:p w14:paraId="53AF2319" w14:textId="0105283E" w:rsidR="00166B38" w:rsidRDefault="00166B38" w:rsidP="00CB0776">
      <w:pPr>
        <w:tabs>
          <w:tab w:val="left" w:pos="-720"/>
        </w:tabs>
        <w:spacing w:after="240"/>
        <w:rPr>
          <w:rFonts w:eastAsia="Times New Roman" w:cs="Times New Roman"/>
          <w:szCs w:val="24"/>
        </w:rPr>
      </w:pPr>
    </w:p>
    <w:p w14:paraId="42C3E99E" w14:textId="77777777" w:rsidR="00166B38" w:rsidRDefault="00166B38">
      <w:pPr>
        <w:spacing w:after="200" w:line="276" w:lineRule="auto"/>
        <w:rPr>
          <w:rFonts w:eastAsia="Times New Roman" w:cs="Times New Roman"/>
          <w:szCs w:val="24"/>
        </w:rPr>
      </w:pPr>
      <w:r>
        <w:rPr>
          <w:rFonts w:eastAsia="Times New Roman" w:cs="Times New Roman"/>
          <w:szCs w:val="24"/>
        </w:rPr>
        <w:br w:type="page"/>
      </w:r>
    </w:p>
    <w:p w14:paraId="0D3DDC33" w14:textId="77777777" w:rsidR="00166B38" w:rsidRDefault="00166B38" w:rsidP="00166B38">
      <w:pPr>
        <w:tabs>
          <w:tab w:val="left" w:pos="-720"/>
        </w:tabs>
        <w:spacing w:after="240"/>
        <w:jc w:val="center"/>
        <w:rPr>
          <w:rFonts w:eastAsia="Times New Roman" w:cs="Times New Roman"/>
          <w:b/>
          <w:szCs w:val="24"/>
        </w:rPr>
      </w:pPr>
      <w:r>
        <w:rPr>
          <w:rFonts w:eastAsia="Times New Roman" w:cs="Times New Roman"/>
          <w:b/>
          <w:szCs w:val="24"/>
        </w:rPr>
        <w:t>Attachment A</w:t>
      </w:r>
    </w:p>
    <w:p w14:paraId="1935395E" w14:textId="77777777" w:rsidR="00166B38" w:rsidRDefault="00166B38" w:rsidP="00166B38">
      <w:pPr>
        <w:jc w:val="center"/>
        <w:rPr>
          <w:rFonts w:eastAsia="Times New Roman" w:cs="Times New Roman"/>
          <w:b/>
          <w:szCs w:val="24"/>
        </w:rPr>
      </w:pPr>
    </w:p>
    <w:p w14:paraId="29E67E67" w14:textId="77777777" w:rsidR="00166B38" w:rsidRDefault="00166B38" w:rsidP="00166B38">
      <w:pPr>
        <w:jc w:val="center"/>
        <w:rPr>
          <w:rFonts w:eastAsia="Times New Roman" w:cs="Times New Roman"/>
          <w:b/>
          <w:szCs w:val="24"/>
        </w:rPr>
      </w:pPr>
      <w:r>
        <w:rPr>
          <w:rFonts w:eastAsia="Times New Roman" w:cs="Times New Roman"/>
          <w:b/>
          <w:szCs w:val="24"/>
        </w:rPr>
        <w:t>OMB Control Number 3038-0093 (</w:t>
      </w:r>
      <w:r>
        <w:rPr>
          <w:rFonts w:cs="Times New Roman"/>
          <w:b/>
          <w:szCs w:val="24"/>
        </w:rPr>
        <w:t>Part 40, Provisions Common to Registered Entities)</w:t>
      </w:r>
    </w:p>
    <w:p w14:paraId="0A8BF230" w14:textId="77777777" w:rsidR="00166B38" w:rsidRDefault="00166B38" w:rsidP="00166B38">
      <w:pPr>
        <w:jc w:val="center"/>
        <w:rPr>
          <w:rFonts w:eastAsia="Times New Roman" w:cs="Times New Roman"/>
          <w:b/>
          <w:szCs w:val="24"/>
        </w:rPr>
      </w:pPr>
    </w:p>
    <w:p w14:paraId="35D6DAD4" w14:textId="77777777" w:rsidR="00166B38" w:rsidRDefault="00166B38" w:rsidP="00166B38">
      <w:pPr>
        <w:jc w:val="center"/>
        <w:rPr>
          <w:rFonts w:eastAsia="Times New Roman" w:cs="Times New Roman"/>
          <w:b/>
          <w:szCs w:val="24"/>
        </w:rPr>
      </w:pPr>
    </w:p>
    <w:p w14:paraId="0E95C41F" w14:textId="77777777" w:rsidR="00166B38" w:rsidRDefault="00166B38" w:rsidP="00166B38">
      <w:pPr>
        <w:jc w:val="center"/>
        <w:rPr>
          <w:rFonts w:eastAsia="Times New Roman" w:cs="Times New Roman"/>
          <w:szCs w:val="24"/>
        </w:rPr>
      </w:pPr>
      <w:r>
        <w:rPr>
          <w:rFonts w:eastAsia="Times New Roman" w:cs="Times New Roman"/>
          <w:szCs w:val="24"/>
        </w:rPr>
        <w:t xml:space="preserve">Reporting Burden </w:t>
      </w:r>
    </w:p>
    <w:p w14:paraId="22918938" w14:textId="77777777" w:rsidR="00166B38" w:rsidRDefault="00166B38" w:rsidP="00166B38">
      <w:pPr>
        <w:jc w:val="center"/>
        <w:rPr>
          <w:rFonts w:eastAsia="Times New Roman" w:cs="Times New Roman"/>
          <w:szCs w:val="24"/>
        </w:rPr>
      </w:pPr>
    </w:p>
    <w:tbl>
      <w:tblPr>
        <w:tblW w:w="5900"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
        <w:gridCol w:w="1254"/>
        <w:gridCol w:w="1168"/>
        <w:gridCol w:w="1166"/>
        <w:gridCol w:w="1166"/>
        <w:gridCol w:w="988"/>
        <w:gridCol w:w="1166"/>
        <w:gridCol w:w="1078"/>
        <w:gridCol w:w="890"/>
        <w:gridCol w:w="1166"/>
      </w:tblGrid>
      <w:tr w:rsidR="00166B38" w14:paraId="181D745F" w14:textId="77777777" w:rsidTr="00166B38">
        <w:trPr>
          <w:trHeight w:val="1427"/>
        </w:trPr>
        <w:tc>
          <w:tcPr>
            <w:tcW w:w="556" w:type="pct"/>
            <w:tcBorders>
              <w:top w:val="single" w:sz="4" w:space="0" w:color="000000"/>
              <w:left w:val="single" w:sz="4" w:space="0" w:color="000000"/>
              <w:bottom w:val="single" w:sz="4" w:space="0" w:color="000000"/>
              <w:right w:val="single" w:sz="4" w:space="0" w:color="000000"/>
            </w:tcBorders>
            <w:hideMark/>
          </w:tcPr>
          <w:p w14:paraId="4449E669"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w:t>
            </w:r>
          </w:p>
          <w:p w14:paraId="62192568"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Regulation(s)</w:t>
            </w:r>
          </w:p>
        </w:tc>
        <w:tc>
          <w:tcPr>
            <w:tcW w:w="555" w:type="pct"/>
            <w:tcBorders>
              <w:top w:val="single" w:sz="4" w:space="0" w:color="000000"/>
              <w:left w:val="single" w:sz="4" w:space="0" w:color="000000"/>
              <w:bottom w:val="single" w:sz="4" w:space="0" w:color="000000"/>
              <w:right w:val="single" w:sz="4" w:space="0" w:color="000000"/>
            </w:tcBorders>
          </w:tcPr>
          <w:p w14:paraId="79BCE9C2"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w:t>
            </w:r>
          </w:p>
          <w:p w14:paraId="5F60B5A7"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Estimated Number of Respondents </w:t>
            </w:r>
          </w:p>
          <w:p w14:paraId="1C25C361"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p>
        </w:tc>
        <w:tc>
          <w:tcPr>
            <w:tcW w:w="517" w:type="pct"/>
            <w:tcBorders>
              <w:top w:val="single" w:sz="4" w:space="0" w:color="000000"/>
              <w:left w:val="single" w:sz="4" w:space="0" w:color="000000"/>
              <w:bottom w:val="single" w:sz="4" w:space="0" w:color="000000"/>
              <w:right w:val="single" w:sz="4" w:space="0" w:color="000000"/>
            </w:tcBorders>
            <w:hideMark/>
          </w:tcPr>
          <w:p w14:paraId="6FC50F71"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w:t>
            </w:r>
          </w:p>
          <w:p w14:paraId="75EE4C85"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Number of Reports</w:t>
            </w:r>
          </w:p>
          <w:p w14:paraId="51FA8EDD"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by Each Respondent</w:t>
            </w:r>
          </w:p>
        </w:tc>
        <w:tc>
          <w:tcPr>
            <w:tcW w:w="516" w:type="pct"/>
            <w:tcBorders>
              <w:top w:val="single" w:sz="4" w:space="0" w:color="000000"/>
              <w:left w:val="single" w:sz="4" w:space="0" w:color="000000"/>
              <w:bottom w:val="single" w:sz="4" w:space="0" w:color="000000"/>
              <w:right w:val="single" w:sz="4" w:space="0" w:color="000000"/>
            </w:tcBorders>
            <w:hideMark/>
          </w:tcPr>
          <w:p w14:paraId="14479A91"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4.</w:t>
            </w:r>
          </w:p>
          <w:p w14:paraId="1A015DD5"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Average Number of Burden Hours per Response</w:t>
            </w:r>
          </w:p>
        </w:tc>
        <w:tc>
          <w:tcPr>
            <w:tcW w:w="516" w:type="pct"/>
            <w:tcBorders>
              <w:top w:val="single" w:sz="4" w:space="0" w:color="000000"/>
              <w:left w:val="single" w:sz="4" w:space="0" w:color="000000"/>
              <w:bottom w:val="single" w:sz="4" w:space="0" w:color="000000"/>
              <w:right w:val="single" w:sz="4" w:space="0" w:color="000000"/>
            </w:tcBorders>
            <w:hideMark/>
          </w:tcPr>
          <w:p w14:paraId="41796DD9"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5.</w:t>
            </w:r>
          </w:p>
          <w:p w14:paraId="6A7803E2"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Annual  Number of Burden Hours per Respondent</w:t>
            </w:r>
          </w:p>
          <w:p w14:paraId="1939DE14"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 x 4)</w:t>
            </w:r>
          </w:p>
        </w:tc>
        <w:tc>
          <w:tcPr>
            <w:tcW w:w="437" w:type="pct"/>
            <w:tcBorders>
              <w:top w:val="single" w:sz="4" w:space="0" w:color="000000"/>
              <w:left w:val="single" w:sz="4" w:space="0" w:color="000000"/>
              <w:bottom w:val="single" w:sz="4" w:space="0" w:color="000000"/>
              <w:right w:val="single" w:sz="4" w:space="0" w:color="000000"/>
            </w:tcBorders>
          </w:tcPr>
          <w:p w14:paraId="5C096B19"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6. </w:t>
            </w:r>
          </w:p>
          <w:p w14:paraId="705E8302"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Average Burden Hour Cost</w:t>
            </w:r>
          </w:p>
          <w:p w14:paraId="74D4D743"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p>
        </w:tc>
        <w:tc>
          <w:tcPr>
            <w:tcW w:w="516" w:type="pct"/>
            <w:tcBorders>
              <w:top w:val="single" w:sz="4" w:space="0" w:color="000000"/>
              <w:left w:val="single" w:sz="4" w:space="0" w:color="000000"/>
              <w:bottom w:val="single" w:sz="4" w:space="0" w:color="000000"/>
              <w:right w:val="single" w:sz="4" w:space="0" w:color="000000"/>
            </w:tcBorders>
            <w:hideMark/>
          </w:tcPr>
          <w:p w14:paraId="24532924" w14:textId="77777777" w:rsidR="00166B38" w:rsidRDefault="00166B38">
            <w:pPr>
              <w:spacing w:line="276" w:lineRule="auto"/>
              <w:jc w:val="center"/>
              <w:rPr>
                <w:rFonts w:ascii="Arial" w:hAnsi="Arial" w:cs="Arial"/>
                <w:b/>
                <w:sz w:val="16"/>
                <w:szCs w:val="16"/>
              </w:rPr>
            </w:pPr>
            <w:r>
              <w:rPr>
                <w:rFonts w:ascii="Arial" w:hAnsi="Arial" w:cs="Arial"/>
                <w:b/>
                <w:sz w:val="16"/>
                <w:szCs w:val="16"/>
              </w:rPr>
              <w:t>7.</w:t>
            </w:r>
          </w:p>
          <w:p w14:paraId="255E110A" w14:textId="77777777" w:rsidR="00166B38" w:rsidRDefault="00166B38">
            <w:pPr>
              <w:spacing w:line="276" w:lineRule="auto"/>
              <w:jc w:val="center"/>
              <w:rPr>
                <w:rFonts w:ascii="Arial" w:hAnsi="Arial" w:cs="Arial"/>
                <w:b/>
                <w:sz w:val="16"/>
                <w:szCs w:val="16"/>
              </w:rPr>
            </w:pPr>
            <w:r>
              <w:rPr>
                <w:rFonts w:ascii="Arial" w:hAnsi="Arial" w:cs="Arial"/>
                <w:b/>
                <w:sz w:val="16"/>
                <w:szCs w:val="16"/>
              </w:rPr>
              <w:t>Total Average Hour Burden Cost Per Respondent</w:t>
            </w:r>
          </w:p>
          <w:p w14:paraId="24C060A3" w14:textId="77777777" w:rsidR="00166B38" w:rsidRDefault="00166B38">
            <w:pPr>
              <w:spacing w:line="276" w:lineRule="auto"/>
              <w:jc w:val="center"/>
              <w:rPr>
                <w:rFonts w:ascii="Arial" w:hAnsi="Arial" w:cs="Arial"/>
                <w:b/>
                <w:sz w:val="16"/>
                <w:szCs w:val="16"/>
              </w:rPr>
            </w:pPr>
            <w:r>
              <w:rPr>
                <w:rFonts w:ascii="Arial" w:hAnsi="Arial" w:cs="Arial"/>
                <w:b/>
                <w:sz w:val="16"/>
                <w:szCs w:val="16"/>
              </w:rPr>
              <w:t>(5 x 6)</w:t>
            </w:r>
          </w:p>
        </w:tc>
        <w:tc>
          <w:tcPr>
            <w:tcW w:w="477" w:type="pct"/>
            <w:tcBorders>
              <w:top w:val="single" w:sz="4" w:space="0" w:color="000000"/>
              <w:left w:val="single" w:sz="4" w:space="0" w:color="000000"/>
              <w:bottom w:val="single" w:sz="4" w:space="0" w:color="000000"/>
              <w:right w:val="single" w:sz="4" w:space="0" w:color="000000"/>
            </w:tcBorders>
            <w:hideMark/>
          </w:tcPr>
          <w:p w14:paraId="034802F1"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8.</w:t>
            </w:r>
          </w:p>
          <w:p w14:paraId="7CA59417"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w:t>
            </w:r>
          </w:p>
          <w:p w14:paraId="772F2D91"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Responses</w:t>
            </w:r>
          </w:p>
          <w:p w14:paraId="67F40424"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3)</w:t>
            </w:r>
          </w:p>
        </w:tc>
        <w:tc>
          <w:tcPr>
            <w:tcW w:w="394" w:type="pct"/>
            <w:tcBorders>
              <w:top w:val="single" w:sz="4" w:space="0" w:color="000000"/>
              <w:left w:val="single" w:sz="4" w:space="0" w:color="000000"/>
              <w:bottom w:val="single" w:sz="4" w:space="0" w:color="000000"/>
              <w:right w:val="single" w:sz="4" w:space="0" w:color="000000"/>
            </w:tcBorders>
            <w:hideMark/>
          </w:tcPr>
          <w:p w14:paraId="174FCBA5"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9.</w:t>
            </w:r>
          </w:p>
          <w:p w14:paraId="6B44485D"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  Number of Burden Hours</w:t>
            </w:r>
          </w:p>
          <w:p w14:paraId="3599064E"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5)</w:t>
            </w:r>
          </w:p>
        </w:tc>
        <w:tc>
          <w:tcPr>
            <w:tcW w:w="516" w:type="pct"/>
            <w:tcBorders>
              <w:top w:val="single" w:sz="4" w:space="0" w:color="000000"/>
              <w:left w:val="single" w:sz="4" w:space="0" w:color="000000"/>
              <w:bottom w:val="single" w:sz="4" w:space="0" w:color="000000"/>
              <w:right w:val="single" w:sz="4" w:space="0" w:color="000000"/>
            </w:tcBorders>
            <w:hideMark/>
          </w:tcPr>
          <w:p w14:paraId="4A93B52D"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10.</w:t>
            </w:r>
          </w:p>
          <w:p w14:paraId="1F9A6D32"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 Burden Hour Cost of All Responses</w:t>
            </w:r>
          </w:p>
          <w:p w14:paraId="025BD595"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7)</w:t>
            </w:r>
          </w:p>
        </w:tc>
      </w:tr>
      <w:tr w:rsidR="00166B38" w14:paraId="3119F84C" w14:textId="77777777" w:rsidTr="00166B38">
        <w:trPr>
          <w:trHeight w:val="1222"/>
        </w:trPr>
        <w:tc>
          <w:tcPr>
            <w:tcW w:w="556" w:type="pct"/>
            <w:tcBorders>
              <w:top w:val="single" w:sz="4" w:space="0" w:color="000000"/>
              <w:left w:val="single" w:sz="4" w:space="0" w:color="000000"/>
              <w:bottom w:val="single" w:sz="4" w:space="0" w:color="000000"/>
              <w:right w:val="single" w:sz="4" w:space="0" w:color="000000"/>
            </w:tcBorders>
            <w:hideMark/>
          </w:tcPr>
          <w:p w14:paraId="3D061FAE" w14:textId="119E40BD" w:rsidR="00166B38" w:rsidRPr="00C51BDD" w:rsidRDefault="00AD755A" w:rsidP="00C51BDD">
            <w:pPr>
              <w:tabs>
                <w:tab w:val="left" w:pos="-720"/>
                <w:tab w:val="left" w:pos="0"/>
              </w:tabs>
              <w:suppressAutoHyphens/>
              <w:spacing w:line="276" w:lineRule="auto"/>
              <w:jc w:val="center"/>
              <w:rPr>
                <w:rFonts w:ascii="Arial" w:eastAsia="Times New Roman" w:hAnsi="Arial" w:cs="Times New Roman"/>
                <w:sz w:val="16"/>
                <w:szCs w:val="16"/>
              </w:rPr>
            </w:pPr>
            <w:r w:rsidRPr="00C51BDD">
              <w:rPr>
                <w:rFonts w:ascii="Arial" w:eastAsia="Times New Roman" w:hAnsi="Arial" w:cs="Times New Roman"/>
                <w:sz w:val="16"/>
                <w:szCs w:val="16"/>
              </w:rPr>
              <w:t>38.251(</w:t>
            </w:r>
            <w:r w:rsidR="00C51BDD" w:rsidRPr="00C51BDD">
              <w:rPr>
                <w:rFonts w:ascii="Arial" w:eastAsia="Times New Roman" w:hAnsi="Arial" w:cs="Times New Roman"/>
                <w:sz w:val="16"/>
                <w:szCs w:val="16"/>
              </w:rPr>
              <w:t>e</w:t>
            </w:r>
            <w:r w:rsidRPr="00C51BDD">
              <w:rPr>
                <w:rFonts w:ascii="Arial" w:eastAsia="Times New Roman" w:hAnsi="Arial" w:cs="Times New Roman"/>
                <w:sz w:val="16"/>
                <w:szCs w:val="16"/>
              </w:rPr>
              <w:t>)</w:t>
            </w:r>
          </w:p>
        </w:tc>
        <w:tc>
          <w:tcPr>
            <w:tcW w:w="555" w:type="pct"/>
            <w:tcBorders>
              <w:top w:val="single" w:sz="4" w:space="0" w:color="000000"/>
              <w:left w:val="single" w:sz="4" w:space="0" w:color="000000"/>
              <w:bottom w:val="single" w:sz="4" w:space="0" w:color="000000"/>
              <w:right w:val="single" w:sz="4" w:space="0" w:color="000000"/>
            </w:tcBorders>
            <w:hideMark/>
          </w:tcPr>
          <w:p w14:paraId="2EFA2569" w14:textId="73757B5B" w:rsidR="00166B38" w:rsidRPr="00C51BDD" w:rsidRDefault="00A236DF">
            <w:pPr>
              <w:tabs>
                <w:tab w:val="left" w:pos="-720"/>
                <w:tab w:val="left" w:pos="0"/>
              </w:tabs>
              <w:suppressAutoHyphens/>
              <w:spacing w:line="276" w:lineRule="auto"/>
              <w:jc w:val="center"/>
              <w:rPr>
                <w:rFonts w:ascii="Arial" w:eastAsia="Times New Roman" w:hAnsi="Arial" w:cs="Times New Roman"/>
                <w:sz w:val="16"/>
                <w:szCs w:val="16"/>
              </w:rPr>
            </w:pPr>
            <w:r w:rsidRPr="00C51BDD">
              <w:rPr>
                <w:rFonts w:ascii="Arial" w:eastAsia="Times New Roman" w:hAnsi="Arial" w:cs="Times New Roman"/>
                <w:sz w:val="16"/>
                <w:szCs w:val="16"/>
              </w:rPr>
              <w:t>15</w:t>
            </w:r>
            <w:r w:rsidR="005E7943">
              <w:rPr>
                <w:rStyle w:val="FootnoteReference"/>
                <w:rFonts w:ascii="Arial" w:eastAsia="Times New Roman" w:hAnsi="Arial" w:cs="Times New Roman"/>
                <w:sz w:val="16"/>
                <w:szCs w:val="16"/>
              </w:rPr>
              <w:footnoteReference w:id="4"/>
            </w:r>
          </w:p>
        </w:tc>
        <w:tc>
          <w:tcPr>
            <w:tcW w:w="517" w:type="pct"/>
            <w:tcBorders>
              <w:top w:val="single" w:sz="4" w:space="0" w:color="000000"/>
              <w:left w:val="single" w:sz="4" w:space="0" w:color="000000"/>
              <w:bottom w:val="single" w:sz="4" w:space="0" w:color="000000"/>
              <w:right w:val="single" w:sz="4" w:space="0" w:color="000000"/>
            </w:tcBorders>
            <w:hideMark/>
          </w:tcPr>
          <w:p w14:paraId="4D7A06C2" w14:textId="7BA191F4" w:rsidR="00166B38" w:rsidRPr="00C51BDD" w:rsidRDefault="00A236DF">
            <w:pPr>
              <w:tabs>
                <w:tab w:val="left" w:pos="-720"/>
                <w:tab w:val="left" w:pos="0"/>
              </w:tabs>
              <w:suppressAutoHyphens/>
              <w:spacing w:line="276" w:lineRule="auto"/>
              <w:jc w:val="center"/>
              <w:rPr>
                <w:rFonts w:ascii="Arial" w:eastAsia="Times New Roman" w:hAnsi="Arial" w:cs="Times New Roman"/>
                <w:sz w:val="16"/>
                <w:szCs w:val="16"/>
              </w:rPr>
            </w:pPr>
            <w:r w:rsidRPr="00C51BDD">
              <w:rPr>
                <w:rFonts w:ascii="Arial" w:eastAsia="Times New Roman" w:hAnsi="Arial" w:cs="Times New Roman"/>
                <w:sz w:val="16"/>
                <w:szCs w:val="16"/>
              </w:rPr>
              <w:t xml:space="preserve"> </w:t>
            </w:r>
            <w:r w:rsidR="00D36B7F" w:rsidRPr="00C51BDD">
              <w:rPr>
                <w:rFonts w:ascii="Arial" w:eastAsia="Times New Roman" w:hAnsi="Arial" w:cs="Times New Roman"/>
                <w:sz w:val="16"/>
                <w:szCs w:val="16"/>
              </w:rPr>
              <w:t>2</w:t>
            </w:r>
            <w:r w:rsidRPr="00C51BDD">
              <w:rPr>
                <w:rFonts w:ascii="Arial" w:eastAsia="Times New Roman" w:hAnsi="Arial" w:cs="Times New Roman"/>
                <w:sz w:val="16"/>
                <w:szCs w:val="16"/>
              </w:rPr>
              <w:t xml:space="preserve"> </w:t>
            </w:r>
            <w:r w:rsidR="00166B38" w:rsidRPr="00C51BDD">
              <w:rPr>
                <w:rFonts w:ascii="Arial" w:eastAsia="Times New Roman" w:hAnsi="Arial" w:cs="Times New Roman"/>
                <w:sz w:val="16"/>
                <w:szCs w:val="16"/>
              </w:rPr>
              <w:t xml:space="preserve"> </w:t>
            </w:r>
          </w:p>
          <w:p w14:paraId="5D62239B" w14:textId="23E07BE1" w:rsidR="00166B38" w:rsidRPr="00C51BDD" w:rsidRDefault="00166B38">
            <w:pPr>
              <w:tabs>
                <w:tab w:val="left" w:pos="-720"/>
                <w:tab w:val="left" w:pos="0"/>
              </w:tabs>
              <w:suppressAutoHyphens/>
              <w:spacing w:line="276" w:lineRule="auto"/>
              <w:jc w:val="center"/>
              <w:rPr>
                <w:rFonts w:ascii="Arial" w:eastAsia="Times New Roman" w:hAnsi="Arial" w:cs="Times New Roman"/>
                <w:sz w:val="16"/>
                <w:szCs w:val="16"/>
              </w:rPr>
            </w:pPr>
          </w:p>
        </w:tc>
        <w:tc>
          <w:tcPr>
            <w:tcW w:w="516" w:type="pct"/>
            <w:tcBorders>
              <w:top w:val="single" w:sz="4" w:space="0" w:color="000000"/>
              <w:left w:val="single" w:sz="4" w:space="0" w:color="000000"/>
              <w:bottom w:val="single" w:sz="4" w:space="0" w:color="000000"/>
              <w:right w:val="single" w:sz="4" w:space="0" w:color="000000"/>
            </w:tcBorders>
            <w:hideMark/>
          </w:tcPr>
          <w:p w14:paraId="18FCD710" w14:textId="5C5DCA32" w:rsidR="00166B38" w:rsidRPr="00C51BDD" w:rsidRDefault="00A236DF" w:rsidP="00C51BDD">
            <w:pPr>
              <w:tabs>
                <w:tab w:val="left" w:pos="-720"/>
                <w:tab w:val="left" w:pos="0"/>
              </w:tabs>
              <w:suppressAutoHyphens/>
              <w:spacing w:line="276" w:lineRule="auto"/>
              <w:jc w:val="center"/>
              <w:rPr>
                <w:rFonts w:ascii="Arial" w:eastAsia="Times New Roman" w:hAnsi="Arial" w:cs="Times New Roman"/>
                <w:sz w:val="16"/>
                <w:szCs w:val="16"/>
              </w:rPr>
            </w:pPr>
            <w:r w:rsidRPr="00C51BDD">
              <w:rPr>
                <w:rFonts w:ascii="Arial" w:eastAsia="Times New Roman" w:hAnsi="Arial" w:cs="Times New Roman"/>
                <w:sz w:val="16"/>
                <w:szCs w:val="16"/>
              </w:rPr>
              <w:t xml:space="preserve"> </w:t>
            </w:r>
            <w:r w:rsidR="00AF075D" w:rsidRPr="00C51BDD">
              <w:rPr>
                <w:rFonts w:ascii="Arial" w:eastAsia="Times New Roman" w:hAnsi="Arial" w:cs="Times New Roman"/>
                <w:sz w:val="16"/>
                <w:szCs w:val="16"/>
              </w:rPr>
              <w:t>24</w:t>
            </w:r>
          </w:p>
        </w:tc>
        <w:tc>
          <w:tcPr>
            <w:tcW w:w="516" w:type="pct"/>
            <w:tcBorders>
              <w:top w:val="single" w:sz="4" w:space="0" w:color="000000"/>
              <w:left w:val="single" w:sz="4" w:space="0" w:color="000000"/>
              <w:bottom w:val="single" w:sz="4" w:space="0" w:color="000000"/>
              <w:right w:val="single" w:sz="4" w:space="0" w:color="000000"/>
            </w:tcBorders>
            <w:hideMark/>
          </w:tcPr>
          <w:p w14:paraId="36D34DEA" w14:textId="31230BDA" w:rsidR="00166B38" w:rsidRPr="00C51BDD" w:rsidRDefault="00AF075D" w:rsidP="00C51BDD">
            <w:pPr>
              <w:tabs>
                <w:tab w:val="left" w:pos="-720"/>
                <w:tab w:val="left" w:pos="0"/>
              </w:tabs>
              <w:suppressAutoHyphens/>
              <w:spacing w:line="276" w:lineRule="auto"/>
              <w:jc w:val="center"/>
              <w:rPr>
                <w:rFonts w:ascii="Arial" w:eastAsia="Times New Roman" w:hAnsi="Arial" w:cs="Times New Roman"/>
                <w:sz w:val="16"/>
                <w:szCs w:val="16"/>
              </w:rPr>
            </w:pPr>
            <w:r w:rsidRPr="00C51BDD">
              <w:rPr>
                <w:rFonts w:ascii="Arial" w:eastAsia="Times New Roman" w:hAnsi="Arial" w:cs="Times New Roman"/>
                <w:sz w:val="16"/>
                <w:szCs w:val="16"/>
              </w:rPr>
              <w:t>48</w:t>
            </w:r>
          </w:p>
        </w:tc>
        <w:tc>
          <w:tcPr>
            <w:tcW w:w="437" w:type="pct"/>
            <w:tcBorders>
              <w:top w:val="single" w:sz="4" w:space="0" w:color="000000"/>
              <w:left w:val="single" w:sz="4" w:space="0" w:color="000000"/>
              <w:bottom w:val="single" w:sz="4" w:space="0" w:color="000000"/>
              <w:right w:val="single" w:sz="4" w:space="0" w:color="000000"/>
            </w:tcBorders>
            <w:hideMark/>
          </w:tcPr>
          <w:p w14:paraId="6360E053" w14:textId="288A860F" w:rsidR="00166B38" w:rsidRPr="00C51BDD" w:rsidRDefault="00166B38" w:rsidP="00C51BDD">
            <w:pPr>
              <w:tabs>
                <w:tab w:val="left" w:pos="-720"/>
                <w:tab w:val="left" w:pos="0"/>
              </w:tabs>
              <w:suppressAutoHyphens/>
              <w:spacing w:line="276" w:lineRule="auto"/>
              <w:jc w:val="center"/>
              <w:rPr>
                <w:rFonts w:ascii="Arial" w:eastAsia="Times New Roman" w:hAnsi="Arial" w:cs="Times New Roman"/>
                <w:sz w:val="16"/>
                <w:szCs w:val="16"/>
              </w:rPr>
            </w:pPr>
            <w:r w:rsidRPr="00C51BDD">
              <w:rPr>
                <w:rFonts w:ascii="Arial" w:eastAsia="Times New Roman" w:hAnsi="Arial" w:cs="Times New Roman"/>
                <w:sz w:val="16"/>
                <w:szCs w:val="16"/>
              </w:rPr>
              <w:t>$</w:t>
            </w:r>
            <w:r w:rsidR="00D36B7F" w:rsidRPr="00C51BDD">
              <w:rPr>
                <w:rFonts w:ascii="Arial" w:eastAsia="Times New Roman" w:hAnsi="Arial" w:cs="Times New Roman"/>
                <w:sz w:val="16"/>
                <w:szCs w:val="16"/>
              </w:rPr>
              <w:t>89.89</w:t>
            </w:r>
            <w:r w:rsidR="00D36B7F" w:rsidRPr="00C51BDD">
              <w:rPr>
                <w:rStyle w:val="FootnoteReference"/>
                <w:rFonts w:ascii="Arial" w:eastAsia="Times New Roman" w:hAnsi="Arial" w:cs="Times New Roman"/>
                <w:sz w:val="16"/>
                <w:szCs w:val="16"/>
              </w:rPr>
              <w:footnoteReference w:id="5"/>
            </w:r>
          </w:p>
        </w:tc>
        <w:tc>
          <w:tcPr>
            <w:tcW w:w="516" w:type="pct"/>
            <w:tcBorders>
              <w:top w:val="single" w:sz="4" w:space="0" w:color="000000"/>
              <w:left w:val="single" w:sz="4" w:space="0" w:color="000000"/>
              <w:bottom w:val="single" w:sz="4" w:space="0" w:color="000000"/>
              <w:right w:val="single" w:sz="4" w:space="0" w:color="000000"/>
            </w:tcBorders>
            <w:hideMark/>
          </w:tcPr>
          <w:p w14:paraId="168AB396" w14:textId="3F3507FD" w:rsidR="00166B38" w:rsidRPr="00C51BDD" w:rsidRDefault="00A236DF" w:rsidP="00C51BDD">
            <w:pPr>
              <w:spacing w:line="276" w:lineRule="auto"/>
              <w:jc w:val="center"/>
              <w:rPr>
                <w:rFonts w:ascii="Arial" w:hAnsi="Arial" w:cs="Arial"/>
                <w:sz w:val="16"/>
                <w:szCs w:val="16"/>
              </w:rPr>
            </w:pPr>
            <w:r w:rsidRPr="00C51BDD">
              <w:rPr>
                <w:rFonts w:ascii="Arial" w:hAnsi="Arial" w:cs="Arial"/>
                <w:sz w:val="16"/>
                <w:szCs w:val="16"/>
              </w:rPr>
              <w:t>$</w:t>
            </w:r>
            <w:r w:rsidR="00AF075D" w:rsidRPr="00C51BDD">
              <w:rPr>
                <w:rFonts w:ascii="Arial" w:hAnsi="Arial" w:cs="Arial"/>
                <w:sz w:val="16"/>
                <w:szCs w:val="16"/>
              </w:rPr>
              <w:t>4,314.72</w:t>
            </w:r>
          </w:p>
        </w:tc>
        <w:tc>
          <w:tcPr>
            <w:tcW w:w="477" w:type="pct"/>
            <w:tcBorders>
              <w:top w:val="single" w:sz="4" w:space="0" w:color="000000"/>
              <w:left w:val="single" w:sz="4" w:space="0" w:color="000000"/>
              <w:bottom w:val="single" w:sz="4" w:space="0" w:color="000000"/>
              <w:right w:val="single" w:sz="4" w:space="0" w:color="000000"/>
            </w:tcBorders>
            <w:hideMark/>
          </w:tcPr>
          <w:p w14:paraId="62183664" w14:textId="05207003" w:rsidR="00166B38" w:rsidRPr="00C51BDD" w:rsidRDefault="00AF075D" w:rsidP="00C51BDD">
            <w:pPr>
              <w:tabs>
                <w:tab w:val="left" w:pos="-720"/>
                <w:tab w:val="left" w:pos="0"/>
              </w:tabs>
              <w:suppressAutoHyphens/>
              <w:spacing w:line="276" w:lineRule="auto"/>
              <w:jc w:val="center"/>
              <w:rPr>
                <w:rFonts w:ascii="Arial" w:eastAsia="Times New Roman" w:hAnsi="Arial" w:cs="Times New Roman"/>
                <w:sz w:val="16"/>
                <w:szCs w:val="16"/>
              </w:rPr>
            </w:pPr>
            <w:r w:rsidRPr="00C51BDD">
              <w:rPr>
                <w:rFonts w:ascii="Arial" w:eastAsia="Times New Roman" w:hAnsi="Arial" w:cs="Times New Roman"/>
                <w:sz w:val="16"/>
                <w:szCs w:val="16"/>
              </w:rPr>
              <w:t>30</w:t>
            </w:r>
          </w:p>
        </w:tc>
        <w:tc>
          <w:tcPr>
            <w:tcW w:w="394" w:type="pct"/>
            <w:tcBorders>
              <w:top w:val="single" w:sz="4" w:space="0" w:color="000000"/>
              <w:left w:val="single" w:sz="4" w:space="0" w:color="000000"/>
              <w:bottom w:val="single" w:sz="4" w:space="0" w:color="000000"/>
              <w:right w:val="single" w:sz="4" w:space="0" w:color="000000"/>
            </w:tcBorders>
            <w:hideMark/>
          </w:tcPr>
          <w:p w14:paraId="55EB7D4F" w14:textId="1048CDBC" w:rsidR="00166B38" w:rsidRPr="00C51BDD" w:rsidRDefault="00AF075D" w:rsidP="00C51BDD">
            <w:pPr>
              <w:tabs>
                <w:tab w:val="left" w:pos="-720"/>
                <w:tab w:val="left" w:pos="0"/>
              </w:tabs>
              <w:suppressAutoHyphens/>
              <w:spacing w:line="276" w:lineRule="auto"/>
              <w:jc w:val="center"/>
              <w:rPr>
                <w:rFonts w:ascii="Arial" w:eastAsia="Times New Roman" w:hAnsi="Arial" w:cs="Times New Roman"/>
                <w:sz w:val="16"/>
                <w:szCs w:val="16"/>
              </w:rPr>
            </w:pPr>
            <w:r w:rsidRPr="00C51BDD">
              <w:rPr>
                <w:rFonts w:ascii="Arial" w:eastAsia="Times New Roman" w:hAnsi="Arial" w:cs="Times New Roman"/>
                <w:sz w:val="16"/>
                <w:szCs w:val="16"/>
              </w:rPr>
              <w:t>720</w:t>
            </w:r>
            <w:r w:rsidR="005E7943">
              <w:rPr>
                <w:rStyle w:val="FootnoteReference"/>
                <w:rFonts w:ascii="Arial" w:eastAsia="Times New Roman" w:hAnsi="Arial" w:cs="Times New Roman"/>
                <w:sz w:val="16"/>
                <w:szCs w:val="16"/>
              </w:rPr>
              <w:footnoteReference w:id="6"/>
            </w:r>
          </w:p>
        </w:tc>
        <w:tc>
          <w:tcPr>
            <w:tcW w:w="516" w:type="pct"/>
            <w:tcBorders>
              <w:top w:val="single" w:sz="4" w:space="0" w:color="000000"/>
              <w:left w:val="single" w:sz="4" w:space="0" w:color="000000"/>
              <w:bottom w:val="single" w:sz="4" w:space="0" w:color="000000"/>
              <w:right w:val="single" w:sz="4" w:space="0" w:color="000000"/>
            </w:tcBorders>
            <w:hideMark/>
          </w:tcPr>
          <w:p w14:paraId="46331784" w14:textId="5C7CA2B3" w:rsidR="00166B38" w:rsidRPr="00C51BDD" w:rsidRDefault="00166B38" w:rsidP="00C51BDD">
            <w:pPr>
              <w:tabs>
                <w:tab w:val="left" w:pos="-720"/>
                <w:tab w:val="left" w:pos="0"/>
              </w:tabs>
              <w:suppressAutoHyphens/>
              <w:spacing w:line="276" w:lineRule="auto"/>
              <w:jc w:val="center"/>
              <w:rPr>
                <w:rFonts w:ascii="Arial" w:eastAsia="Times New Roman" w:hAnsi="Arial" w:cs="Times New Roman"/>
                <w:sz w:val="16"/>
                <w:szCs w:val="16"/>
              </w:rPr>
            </w:pPr>
            <w:r w:rsidRPr="00C51BDD">
              <w:rPr>
                <w:rFonts w:ascii="Arial" w:eastAsia="Times New Roman" w:hAnsi="Arial" w:cs="Times New Roman"/>
                <w:sz w:val="16"/>
                <w:szCs w:val="16"/>
              </w:rPr>
              <w:t>$</w:t>
            </w:r>
            <w:r w:rsidR="00AF075D" w:rsidRPr="00C51BDD">
              <w:rPr>
                <w:rFonts w:ascii="Arial" w:eastAsia="Times New Roman" w:hAnsi="Arial" w:cs="Times New Roman"/>
                <w:sz w:val="16"/>
                <w:szCs w:val="16"/>
              </w:rPr>
              <w:t>64,720.80</w:t>
            </w:r>
          </w:p>
        </w:tc>
      </w:tr>
    </w:tbl>
    <w:p w14:paraId="4C57512D" w14:textId="77777777" w:rsidR="00166B38" w:rsidRDefault="00166B38" w:rsidP="00166B38">
      <w:pPr>
        <w:rPr>
          <w:rFonts w:eastAsia="Times New Roman" w:cs="Times New Roman"/>
          <w:szCs w:val="24"/>
        </w:rPr>
      </w:pPr>
    </w:p>
    <w:p w14:paraId="514C8E8A" w14:textId="5028A80D" w:rsidR="00166B38" w:rsidRPr="00854AE1" w:rsidRDefault="00166B38" w:rsidP="003C0B78">
      <w:pPr>
        <w:tabs>
          <w:tab w:val="left" w:pos="-720"/>
        </w:tabs>
        <w:spacing w:after="240"/>
        <w:rPr>
          <w:rFonts w:eastAsia="Times New Roman" w:cs="Times New Roman"/>
          <w:szCs w:val="24"/>
        </w:rPr>
      </w:pPr>
      <w:bookmarkStart w:id="0" w:name="_GoBack"/>
      <w:bookmarkEnd w:id="0"/>
    </w:p>
    <w:sectPr w:rsidR="00166B38" w:rsidRPr="00854AE1" w:rsidSect="00A1312B">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3C9D9" w14:textId="77777777" w:rsidR="00444A8C" w:rsidRDefault="00444A8C" w:rsidP="009C6DB4">
      <w:r>
        <w:separator/>
      </w:r>
    </w:p>
  </w:endnote>
  <w:endnote w:type="continuationSeparator" w:id="0">
    <w:p w14:paraId="4CB9E028" w14:textId="77777777" w:rsidR="00444A8C" w:rsidRDefault="00444A8C" w:rsidP="009C6DB4">
      <w:r>
        <w:continuationSeparator/>
      </w:r>
    </w:p>
  </w:endnote>
  <w:endnote w:type="continuationNotice" w:id="1">
    <w:p w14:paraId="55B90D1F" w14:textId="77777777" w:rsidR="00523488" w:rsidRDefault="00523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760245"/>
      <w:docPartObj>
        <w:docPartGallery w:val="Page Numbers (Bottom of Page)"/>
        <w:docPartUnique/>
      </w:docPartObj>
    </w:sdtPr>
    <w:sdtEndPr>
      <w:rPr>
        <w:noProof/>
      </w:rPr>
    </w:sdtEndPr>
    <w:sdtContent>
      <w:p w14:paraId="553D1698" w14:textId="329C02CB" w:rsidR="00A1312B" w:rsidRDefault="00A1312B">
        <w:pPr>
          <w:pStyle w:val="Footer"/>
          <w:jc w:val="center"/>
        </w:pPr>
        <w:r>
          <w:fldChar w:fldCharType="begin"/>
        </w:r>
        <w:r>
          <w:instrText xml:space="preserve"> PAGE   \* MERGEFORMAT </w:instrText>
        </w:r>
        <w:r>
          <w:fldChar w:fldCharType="separate"/>
        </w:r>
        <w:r w:rsidR="00A434FF">
          <w:rPr>
            <w:noProof/>
          </w:rPr>
          <w:t>7</w:t>
        </w:r>
        <w:r>
          <w:rPr>
            <w:noProof/>
          </w:rPr>
          <w:fldChar w:fldCharType="end"/>
        </w:r>
      </w:p>
    </w:sdtContent>
  </w:sdt>
  <w:p w14:paraId="792EB3B1" w14:textId="77777777" w:rsidR="00444A8C" w:rsidRDefault="00444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326C0" w14:textId="77777777" w:rsidR="00444A8C" w:rsidRDefault="00444A8C" w:rsidP="009C6DB4">
      <w:r>
        <w:separator/>
      </w:r>
    </w:p>
  </w:footnote>
  <w:footnote w:type="continuationSeparator" w:id="0">
    <w:p w14:paraId="25C5A6D5" w14:textId="77777777" w:rsidR="00444A8C" w:rsidRDefault="00444A8C" w:rsidP="009C6DB4">
      <w:r>
        <w:continuationSeparator/>
      </w:r>
    </w:p>
  </w:footnote>
  <w:footnote w:type="continuationNotice" w:id="1">
    <w:p w14:paraId="0C572866" w14:textId="77777777" w:rsidR="00523488" w:rsidRDefault="00523488"/>
  </w:footnote>
  <w:footnote w:id="2">
    <w:p w14:paraId="220BB289" w14:textId="4A236F88" w:rsidR="004F625D" w:rsidRPr="004F625D" w:rsidRDefault="004F625D" w:rsidP="004F625D">
      <w:pPr>
        <w:pStyle w:val="Default"/>
        <w:rPr>
          <w:rFonts w:ascii="Times New Roman" w:hAnsi="Times New Roman" w:cs="Times New Roman"/>
          <w:sz w:val="20"/>
          <w:szCs w:val="20"/>
        </w:rPr>
      </w:pPr>
      <w:r>
        <w:rPr>
          <w:rStyle w:val="FootnoteReference"/>
        </w:rPr>
        <w:footnoteRef/>
      </w:r>
      <w:r>
        <w:t xml:space="preserve"> </w:t>
      </w:r>
      <w:r w:rsidRPr="004F625D">
        <w:rPr>
          <w:rFonts w:ascii="Times New Roman" w:hAnsi="Times New Roman" w:cs="Times New Roman"/>
          <w:sz w:val="20"/>
          <w:szCs w:val="20"/>
        </w:rPr>
        <w:t xml:space="preserve">Regulation 40.10 also contains submission procedures for certain risk-related rules proposed by a systemically important derivatives clearing organization (“SIDCO”). The SIDCO regulations require, among other things, 60-days advance notice of proposed rules that may materially affect the nature or level of risk presented by the SIDCO.  The information collections required by </w:t>
      </w:r>
      <w:r w:rsidR="005F15AE">
        <w:rPr>
          <w:rFonts w:ascii="Times New Roman" w:hAnsi="Times New Roman" w:cs="Times New Roman"/>
          <w:sz w:val="20"/>
          <w:szCs w:val="20"/>
        </w:rPr>
        <w:t>regulation</w:t>
      </w:r>
      <w:r w:rsidRPr="004F625D">
        <w:rPr>
          <w:rFonts w:ascii="Times New Roman" w:hAnsi="Times New Roman" w:cs="Times New Roman"/>
          <w:sz w:val="20"/>
          <w:szCs w:val="20"/>
        </w:rPr>
        <w:t xml:space="preserve"> 40.10 should be only minimally burdensome for registered entities.   </w:t>
      </w:r>
    </w:p>
    <w:p w14:paraId="420399E3" w14:textId="134E6F59" w:rsidR="004F625D" w:rsidRDefault="004F625D">
      <w:pPr>
        <w:pStyle w:val="FootnoteText"/>
      </w:pPr>
    </w:p>
  </w:footnote>
  <w:footnote w:id="3">
    <w:p w14:paraId="1BE7DA67" w14:textId="114D1E28" w:rsidR="00A14FF0" w:rsidRPr="00392E78" w:rsidRDefault="00A14FF0" w:rsidP="00A14FF0">
      <w:pPr>
        <w:autoSpaceDE w:val="0"/>
        <w:autoSpaceDN w:val="0"/>
        <w:adjustRightInd w:val="0"/>
        <w:rPr>
          <w:rFonts w:eastAsia="PMingLiU" w:cs="Times New Roman"/>
          <w:szCs w:val="24"/>
        </w:rPr>
      </w:pPr>
      <w:r>
        <w:rPr>
          <w:rStyle w:val="FootnoteReference"/>
        </w:rPr>
        <w:footnoteRef/>
      </w:r>
      <w:r>
        <w:t xml:space="preserve"> </w:t>
      </w:r>
      <w:r w:rsidRPr="006F73C5">
        <w:rPr>
          <w:rFonts w:eastAsia="PMingLiU" w:cs="Times New Roman"/>
          <w:szCs w:val="24"/>
        </w:rPr>
        <w:t xml:space="preserve">Additional proposed regulations pursuant to </w:t>
      </w:r>
      <w:r w:rsidR="00A236DF">
        <w:rPr>
          <w:rFonts w:eastAsia="PMingLiU" w:cs="Times New Roman"/>
          <w:szCs w:val="24"/>
        </w:rPr>
        <w:t xml:space="preserve">proposed </w:t>
      </w:r>
      <w:r w:rsidR="00A236DF" w:rsidRPr="00A236DF">
        <w:rPr>
          <w:rFonts w:eastAsia="PMingLiU" w:cs="Times New Roman"/>
          <w:szCs w:val="24"/>
        </w:rPr>
        <w:t xml:space="preserve">Regulation Electronic Trading Risk Principles </w:t>
      </w:r>
      <w:r w:rsidRPr="006F73C5">
        <w:rPr>
          <w:rFonts w:eastAsia="PMingLiU" w:cs="Times New Roman"/>
          <w:szCs w:val="24"/>
        </w:rPr>
        <w:t xml:space="preserve">requiring a collection of information are addressed in </w:t>
      </w:r>
      <w:r w:rsidR="00A236DF">
        <w:rPr>
          <w:rFonts w:eastAsia="PMingLiU" w:cs="Times New Roman"/>
          <w:szCs w:val="24"/>
        </w:rPr>
        <w:t xml:space="preserve">a </w:t>
      </w:r>
      <w:r w:rsidRPr="006F73C5">
        <w:rPr>
          <w:rFonts w:cs="Times New Roman"/>
          <w:szCs w:val="24"/>
        </w:rPr>
        <w:t>separate OMB submission</w:t>
      </w:r>
      <w:r>
        <w:rPr>
          <w:rFonts w:cs="Times New Roman"/>
          <w:szCs w:val="24"/>
        </w:rPr>
        <w:t xml:space="preserve"> </w:t>
      </w:r>
      <w:r w:rsidRPr="006F73C5">
        <w:rPr>
          <w:rFonts w:cs="Times New Roman"/>
          <w:szCs w:val="24"/>
        </w:rPr>
        <w:t xml:space="preserve">and supporting statement that </w:t>
      </w:r>
      <w:r w:rsidRPr="006F73C5">
        <w:rPr>
          <w:rFonts w:eastAsia="PMingLiU" w:cs="Times New Roman"/>
          <w:szCs w:val="24"/>
        </w:rPr>
        <w:t>amend existing</w:t>
      </w:r>
      <w:r w:rsidR="00A236DF">
        <w:rPr>
          <w:rFonts w:eastAsia="PMingLiU" w:cs="Times New Roman"/>
          <w:szCs w:val="24"/>
        </w:rPr>
        <w:t xml:space="preserve"> information collection 3038-0052</w:t>
      </w:r>
      <w:r w:rsidRPr="006F73C5">
        <w:rPr>
          <w:rFonts w:eastAsia="PMingLiU" w:cs="Times New Roman"/>
          <w:szCs w:val="24"/>
        </w:rPr>
        <w:t xml:space="preserve">.  </w:t>
      </w:r>
    </w:p>
    <w:p w14:paraId="7EDEBC22" w14:textId="72CCE380" w:rsidR="00A14FF0" w:rsidRDefault="00A14FF0">
      <w:pPr>
        <w:pStyle w:val="FootnoteText"/>
      </w:pPr>
    </w:p>
  </w:footnote>
  <w:footnote w:id="4">
    <w:p w14:paraId="7D0A53E9" w14:textId="65873D55" w:rsidR="005E7943" w:rsidRPr="005E7943" w:rsidRDefault="005E7943">
      <w:pPr>
        <w:pStyle w:val="FootnoteText"/>
        <w:rPr>
          <w:sz w:val="16"/>
          <w:szCs w:val="16"/>
        </w:rPr>
      </w:pPr>
      <w:r>
        <w:rPr>
          <w:rStyle w:val="FootnoteReference"/>
        </w:rPr>
        <w:footnoteRef/>
      </w:r>
      <w:r>
        <w:t xml:space="preserve"> </w:t>
      </w:r>
      <w:r w:rsidRPr="005E7943">
        <w:rPr>
          <w:sz w:val="16"/>
          <w:szCs w:val="16"/>
        </w:rPr>
        <w:t>This number represents a subset of the total number of 70.</w:t>
      </w:r>
    </w:p>
  </w:footnote>
  <w:footnote w:id="5">
    <w:p w14:paraId="50F0C2A4" w14:textId="1226E4C2" w:rsidR="00D36B7F" w:rsidRPr="00D36B7F" w:rsidRDefault="00D36B7F">
      <w:pPr>
        <w:pStyle w:val="FootnoteText"/>
        <w:rPr>
          <w:sz w:val="16"/>
          <w:szCs w:val="16"/>
        </w:rPr>
      </w:pPr>
      <w:r w:rsidRPr="00D36B7F">
        <w:rPr>
          <w:rStyle w:val="FootnoteReference"/>
          <w:sz w:val="16"/>
          <w:szCs w:val="16"/>
        </w:rPr>
        <w:footnoteRef/>
      </w:r>
      <w:r w:rsidRPr="00D36B7F">
        <w:rPr>
          <w:sz w:val="16"/>
          <w:szCs w:val="16"/>
        </w:rPr>
        <w:t xml:space="preserve"> The Commission is providing a blended rate using estimated industry specific wages for Compliance Officer and Lawyers multiplied by 1.3 to account for overhead and other benefits.   Per the U.S. Bureau of Labor Statistics, national industry-specific occupational employment and wage estimates with data collected from employers in the securities, commodity contracts, and other financial investments and related activities provides that the mean hourly wage for a computer programmer is compliance officer is $44.14 and lawyer is $97.88.  The average of those wages is $69.15.  </w:t>
      </w:r>
      <w:proofErr w:type="gramStart"/>
      <w:r w:rsidRPr="00D36B7F">
        <w:rPr>
          <w:i/>
          <w:sz w:val="16"/>
          <w:szCs w:val="16"/>
        </w:rPr>
        <w:t>See</w:t>
      </w:r>
      <w:r w:rsidRPr="00D36B7F">
        <w:rPr>
          <w:sz w:val="16"/>
          <w:szCs w:val="16"/>
        </w:rPr>
        <w:t>,  May</w:t>
      </w:r>
      <w:proofErr w:type="gramEnd"/>
      <w:r w:rsidRPr="00D36B7F">
        <w:rPr>
          <w:sz w:val="16"/>
          <w:szCs w:val="16"/>
        </w:rPr>
        <w:t xml:space="preserve"> 2019 National Industry-Specific Occupational Employment and Wage Estimates, NAICS 523000 - Securities, Commodity Contracts, and Other Financial Investments and Related Activities, available at: https://www.bls.gov/oes/current/naics4_523000.htm.  </w:t>
      </w:r>
    </w:p>
  </w:footnote>
  <w:footnote w:id="6">
    <w:p w14:paraId="54094F55" w14:textId="1EF03CD3" w:rsidR="005E7943" w:rsidRPr="005E7943" w:rsidRDefault="005E7943">
      <w:pPr>
        <w:pStyle w:val="FootnoteText"/>
        <w:rPr>
          <w:sz w:val="16"/>
          <w:szCs w:val="16"/>
        </w:rPr>
      </w:pPr>
      <w:r>
        <w:rPr>
          <w:rStyle w:val="FootnoteReference"/>
        </w:rPr>
        <w:footnoteRef/>
      </w:r>
      <w:r>
        <w:t xml:space="preserve"> </w:t>
      </w:r>
      <w:r w:rsidRPr="005E7943">
        <w:rPr>
          <w:sz w:val="16"/>
          <w:szCs w:val="16"/>
        </w:rPr>
        <w:t xml:space="preserve">This total should be added to the existing 14,000 </w:t>
      </w:r>
      <w:proofErr w:type="gramStart"/>
      <w:r w:rsidRPr="005E7943">
        <w:rPr>
          <w:sz w:val="16"/>
          <w:szCs w:val="16"/>
        </w:rPr>
        <w:t>total</w:t>
      </w:r>
      <w:proofErr w:type="gramEnd"/>
      <w:r w:rsidRPr="005E794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C9A5" w14:textId="6AEC3B76" w:rsidR="00A1312B" w:rsidRPr="00A1312B" w:rsidRDefault="00A1312B">
    <w:pPr>
      <w:pStyle w:val="Header"/>
      <w:rPr>
        <w:b/>
      </w:rPr>
    </w:pPr>
    <w:r>
      <w:rPr>
        <w:b/>
      </w:rPr>
      <w:t>CONFIDENTIAL – ATTORNEY WORK PRODUCT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84E6B"/>
    <w:multiLevelType w:val="hybridMultilevel"/>
    <w:tmpl w:val="3302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DA5633"/>
    <w:multiLevelType w:val="hybridMultilevel"/>
    <w:tmpl w:val="E51CE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742968"/>
    <w:multiLevelType w:val="hybridMultilevel"/>
    <w:tmpl w:val="60062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6A"/>
    <w:rsid w:val="000134EA"/>
    <w:rsid w:val="00017E02"/>
    <w:rsid w:val="00042B78"/>
    <w:rsid w:val="000536ED"/>
    <w:rsid w:val="000576BF"/>
    <w:rsid w:val="000669B9"/>
    <w:rsid w:val="00072761"/>
    <w:rsid w:val="000803D6"/>
    <w:rsid w:val="00082089"/>
    <w:rsid w:val="000822F9"/>
    <w:rsid w:val="000835FF"/>
    <w:rsid w:val="00083F72"/>
    <w:rsid w:val="000C3307"/>
    <w:rsid w:val="000E0987"/>
    <w:rsid w:val="00102259"/>
    <w:rsid w:val="00110B3D"/>
    <w:rsid w:val="00116FC7"/>
    <w:rsid w:val="0012080B"/>
    <w:rsid w:val="00127FA5"/>
    <w:rsid w:val="001577B2"/>
    <w:rsid w:val="001659CE"/>
    <w:rsid w:val="00166B38"/>
    <w:rsid w:val="00170AA9"/>
    <w:rsid w:val="00176391"/>
    <w:rsid w:val="00180982"/>
    <w:rsid w:val="00183707"/>
    <w:rsid w:val="0018632D"/>
    <w:rsid w:val="001C1A68"/>
    <w:rsid w:val="001C524C"/>
    <w:rsid w:val="001E1EBB"/>
    <w:rsid w:val="00200207"/>
    <w:rsid w:val="00204921"/>
    <w:rsid w:val="00207ED0"/>
    <w:rsid w:val="00212560"/>
    <w:rsid w:val="00214994"/>
    <w:rsid w:val="00233D65"/>
    <w:rsid w:val="00243435"/>
    <w:rsid w:val="0025084E"/>
    <w:rsid w:val="002600FA"/>
    <w:rsid w:val="00260C07"/>
    <w:rsid w:val="0027708A"/>
    <w:rsid w:val="002879E8"/>
    <w:rsid w:val="002A09AB"/>
    <w:rsid w:val="002A4D66"/>
    <w:rsid w:val="002A7308"/>
    <w:rsid w:val="002B50AC"/>
    <w:rsid w:val="002C7E70"/>
    <w:rsid w:val="002D0489"/>
    <w:rsid w:val="002E0580"/>
    <w:rsid w:val="002E05BD"/>
    <w:rsid w:val="002E126F"/>
    <w:rsid w:val="002F1E80"/>
    <w:rsid w:val="00307E70"/>
    <w:rsid w:val="00330DF8"/>
    <w:rsid w:val="0033140F"/>
    <w:rsid w:val="00356A31"/>
    <w:rsid w:val="003607A6"/>
    <w:rsid w:val="003677B4"/>
    <w:rsid w:val="0037088D"/>
    <w:rsid w:val="0037312F"/>
    <w:rsid w:val="0037421B"/>
    <w:rsid w:val="003755F4"/>
    <w:rsid w:val="00385AAF"/>
    <w:rsid w:val="0038772F"/>
    <w:rsid w:val="00392E78"/>
    <w:rsid w:val="003969BE"/>
    <w:rsid w:val="003B1768"/>
    <w:rsid w:val="003B5288"/>
    <w:rsid w:val="003B5FAA"/>
    <w:rsid w:val="003C0B78"/>
    <w:rsid w:val="004049D0"/>
    <w:rsid w:val="00405582"/>
    <w:rsid w:val="00425685"/>
    <w:rsid w:val="00443D7B"/>
    <w:rsid w:val="00444A8C"/>
    <w:rsid w:val="0044799F"/>
    <w:rsid w:val="004514E2"/>
    <w:rsid w:val="004529E9"/>
    <w:rsid w:val="004649D6"/>
    <w:rsid w:val="00476AB6"/>
    <w:rsid w:val="00480A28"/>
    <w:rsid w:val="004917AF"/>
    <w:rsid w:val="004A5F11"/>
    <w:rsid w:val="004B07F1"/>
    <w:rsid w:val="004B7B89"/>
    <w:rsid w:val="004C2276"/>
    <w:rsid w:val="004D1B4F"/>
    <w:rsid w:val="004D3A5F"/>
    <w:rsid w:val="004D4BEA"/>
    <w:rsid w:val="004E06D9"/>
    <w:rsid w:val="004E43F0"/>
    <w:rsid w:val="004F3AFA"/>
    <w:rsid w:val="004F4C42"/>
    <w:rsid w:val="004F625D"/>
    <w:rsid w:val="00523488"/>
    <w:rsid w:val="00525395"/>
    <w:rsid w:val="00527327"/>
    <w:rsid w:val="00531BFE"/>
    <w:rsid w:val="00546BED"/>
    <w:rsid w:val="005503C6"/>
    <w:rsid w:val="00554929"/>
    <w:rsid w:val="00555376"/>
    <w:rsid w:val="00557EF2"/>
    <w:rsid w:val="00577F1F"/>
    <w:rsid w:val="00585718"/>
    <w:rsid w:val="00596192"/>
    <w:rsid w:val="005B7F59"/>
    <w:rsid w:val="005D34A0"/>
    <w:rsid w:val="005E0ED0"/>
    <w:rsid w:val="005E41B2"/>
    <w:rsid w:val="005E4E5C"/>
    <w:rsid w:val="005E7943"/>
    <w:rsid w:val="005F15AE"/>
    <w:rsid w:val="005F3881"/>
    <w:rsid w:val="00607D38"/>
    <w:rsid w:val="006243BC"/>
    <w:rsid w:val="0063622E"/>
    <w:rsid w:val="00637711"/>
    <w:rsid w:val="00640784"/>
    <w:rsid w:val="00642B6A"/>
    <w:rsid w:val="00653547"/>
    <w:rsid w:val="00667CD6"/>
    <w:rsid w:val="00697065"/>
    <w:rsid w:val="006A19C0"/>
    <w:rsid w:val="006B2A40"/>
    <w:rsid w:val="006D0819"/>
    <w:rsid w:val="007029A9"/>
    <w:rsid w:val="00703B41"/>
    <w:rsid w:val="00707AB0"/>
    <w:rsid w:val="00710C2F"/>
    <w:rsid w:val="00711E0D"/>
    <w:rsid w:val="00715F21"/>
    <w:rsid w:val="00731300"/>
    <w:rsid w:val="00740573"/>
    <w:rsid w:val="0074122B"/>
    <w:rsid w:val="00747BF5"/>
    <w:rsid w:val="00751B4D"/>
    <w:rsid w:val="00755826"/>
    <w:rsid w:val="00757795"/>
    <w:rsid w:val="00762A32"/>
    <w:rsid w:val="0076443A"/>
    <w:rsid w:val="007713DE"/>
    <w:rsid w:val="007724B6"/>
    <w:rsid w:val="00772B9C"/>
    <w:rsid w:val="0078471A"/>
    <w:rsid w:val="00793975"/>
    <w:rsid w:val="00796BCB"/>
    <w:rsid w:val="0079756B"/>
    <w:rsid w:val="007B1735"/>
    <w:rsid w:val="007B7CE3"/>
    <w:rsid w:val="007C1FC8"/>
    <w:rsid w:val="007C3449"/>
    <w:rsid w:val="007C5B3F"/>
    <w:rsid w:val="007D0DFB"/>
    <w:rsid w:val="007D22E3"/>
    <w:rsid w:val="007E10D4"/>
    <w:rsid w:val="007F00B6"/>
    <w:rsid w:val="007F27F5"/>
    <w:rsid w:val="007F3179"/>
    <w:rsid w:val="0081737B"/>
    <w:rsid w:val="00836741"/>
    <w:rsid w:val="008435FA"/>
    <w:rsid w:val="00843603"/>
    <w:rsid w:val="00850003"/>
    <w:rsid w:val="00852DF4"/>
    <w:rsid w:val="00854AE1"/>
    <w:rsid w:val="0087450C"/>
    <w:rsid w:val="0088013C"/>
    <w:rsid w:val="00882745"/>
    <w:rsid w:val="00892807"/>
    <w:rsid w:val="008C2E2D"/>
    <w:rsid w:val="008C3501"/>
    <w:rsid w:val="008D0156"/>
    <w:rsid w:val="008D0711"/>
    <w:rsid w:val="008F2F98"/>
    <w:rsid w:val="008F6D4A"/>
    <w:rsid w:val="00902356"/>
    <w:rsid w:val="009138D7"/>
    <w:rsid w:val="009309EC"/>
    <w:rsid w:val="009357CC"/>
    <w:rsid w:val="00963975"/>
    <w:rsid w:val="00994CC8"/>
    <w:rsid w:val="0099690D"/>
    <w:rsid w:val="00996B14"/>
    <w:rsid w:val="009B1E93"/>
    <w:rsid w:val="009B2F52"/>
    <w:rsid w:val="009C6DB4"/>
    <w:rsid w:val="009D00FB"/>
    <w:rsid w:val="009E7E00"/>
    <w:rsid w:val="00A051AF"/>
    <w:rsid w:val="00A1312B"/>
    <w:rsid w:val="00A14FF0"/>
    <w:rsid w:val="00A236DF"/>
    <w:rsid w:val="00A257E3"/>
    <w:rsid w:val="00A34FBC"/>
    <w:rsid w:val="00A434FF"/>
    <w:rsid w:val="00A5113A"/>
    <w:rsid w:val="00A54471"/>
    <w:rsid w:val="00A60859"/>
    <w:rsid w:val="00A668B2"/>
    <w:rsid w:val="00A708B1"/>
    <w:rsid w:val="00A8233C"/>
    <w:rsid w:val="00A9272D"/>
    <w:rsid w:val="00AA0863"/>
    <w:rsid w:val="00AA2F92"/>
    <w:rsid w:val="00AB0E26"/>
    <w:rsid w:val="00AC06C8"/>
    <w:rsid w:val="00AC2529"/>
    <w:rsid w:val="00AC59BE"/>
    <w:rsid w:val="00AC5B6C"/>
    <w:rsid w:val="00AD0B9F"/>
    <w:rsid w:val="00AD2AF1"/>
    <w:rsid w:val="00AD755A"/>
    <w:rsid w:val="00AF075D"/>
    <w:rsid w:val="00B1090B"/>
    <w:rsid w:val="00B1574B"/>
    <w:rsid w:val="00B20669"/>
    <w:rsid w:val="00B328FB"/>
    <w:rsid w:val="00B33652"/>
    <w:rsid w:val="00B6544D"/>
    <w:rsid w:val="00B6776C"/>
    <w:rsid w:val="00B73821"/>
    <w:rsid w:val="00B740CF"/>
    <w:rsid w:val="00B743C4"/>
    <w:rsid w:val="00B74CE1"/>
    <w:rsid w:val="00B85063"/>
    <w:rsid w:val="00B86819"/>
    <w:rsid w:val="00B91704"/>
    <w:rsid w:val="00B9549F"/>
    <w:rsid w:val="00B978AF"/>
    <w:rsid w:val="00BA0A82"/>
    <w:rsid w:val="00BC71A3"/>
    <w:rsid w:val="00BD7D8C"/>
    <w:rsid w:val="00BE3923"/>
    <w:rsid w:val="00BE6AC8"/>
    <w:rsid w:val="00BF2E68"/>
    <w:rsid w:val="00C032F4"/>
    <w:rsid w:val="00C03FBF"/>
    <w:rsid w:val="00C10808"/>
    <w:rsid w:val="00C173E1"/>
    <w:rsid w:val="00C2000F"/>
    <w:rsid w:val="00C23A3C"/>
    <w:rsid w:val="00C51BDD"/>
    <w:rsid w:val="00C70414"/>
    <w:rsid w:val="00C857A2"/>
    <w:rsid w:val="00C91CB5"/>
    <w:rsid w:val="00C9497A"/>
    <w:rsid w:val="00CA2439"/>
    <w:rsid w:val="00CA575A"/>
    <w:rsid w:val="00CB0776"/>
    <w:rsid w:val="00CF1C34"/>
    <w:rsid w:val="00CF4195"/>
    <w:rsid w:val="00D025FD"/>
    <w:rsid w:val="00D128BF"/>
    <w:rsid w:val="00D12FEB"/>
    <w:rsid w:val="00D14EFB"/>
    <w:rsid w:val="00D23D7B"/>
    <w:rsid w:val="00D24E31"/>
    <w:rsid w:val="00D25BD2"/>
    <w:rsid w:val="00D27AE8"/>
    <w:rsid w:val="00D36B7F"/>
    <w:rsid w:val="00D37F72"/>
    <w:rsid w:val="00D4483F"/>
    <w:rsid w:val="00D46920"/>
    <w:rsid w:val="00D56B0E"/>
    <w:rsid w:val="00D56B38"/>
    <w:rsid w:val="00D91948"/>
    <w:rsid w:val="00D945B5"/>
    <w:rsid w:val="00DB00E1"/>
    <w:rsid w:val="00DB1AD1"/>
    <w:rsid w:val="00DB5503"/>
    <w:rsid w:val="00DB5682"/>
    <w:rsid w:val="00DB7297"/>
    <w:rsid w:val="00DD36CC"/>
    <w:rsid w:val="00DD44BA"/>
    <w:rsid w:val="00DD51EE"/>
    <w:rsid w:val="00DF604F"/>
    <w:rsid w:val="00E015E1"/>
    <w:rsid w:val="00E07B0D"/>
    <w:rsid w:val="00E1358B"/>
    <w:rsid w:val="00E15E4F"/>
    <w:rsid w:val="00E3054F"/>
    <w:rsid w:val="00E35FB8"/>
    <w:rsid w:val="00E446C6"/>
    <w:rsid w:val="00E60439"/>
    <w:rsid w:val="00E60FE3"/>
    <w:rsid w:val="00E73A61"/>
    <w:rsid w:val="00E779A1"/>
    <w:rsid w:val="00E8648F"/>
    <w:rsid w:val="00E87F36"/>
    <w:rsid w:val="00E87F90"/>
    <w:rsid w:val="00EB0FA7"/>
    <w:rsid w:val="00EB1831"/>
    <w:rsid w:val="00EC238C"/>
    <w:rsid w:val="00F02CC0"/>
    <w:rsid w:val="00F21958"/>
    <w:rsid w:val="00F21A24"/>
    <w:rsid w:val="00F350FD"/>
    <w:rsid w:val="00F378A6"/>
    <w:rsid w:val="00F4707F"/>
    <w:rsid w:val="00F56608"/>
    <w:rsid w:val="00F5687F"/>
    <w:rsid w:val="00F568E5"/>
    <w:rsid w:val="00F62536"/>
    <w:rsid w:val="00FA7B73"/>
    <w:rsid w:val="00FB0145"/>
    <w:rsid w:val="00FB68D6"/>
    <w:rsid w:val="00FC54D4"/>
    <w:rsid w:val="00FD6D7D"/>
    <w:rsid w:val="00FE1133"/>
    <w:rsid w:val="00FE503D"/>
    <w:rsid w:val="00FE6FE8"/>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55EC6E"/>
  <w15:docId w15:val="{386BD444-BF02-4678-9112-6656A67A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
    <w:basedOn w:val="Normal"/>
    <w:link w:val="FootnoteTextChar"/>
    <w:uiPriority w:val="99"/>
    <w:unhideWhenUsed/>
    <w:qFormat/>
    <w:rsid w:val="009C6DB4"/>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r,Style 19,Style 16,Style 35,Style 39,Style 14,12"/>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NoSpacing">
    <w:name w:val="No Spacing"/>
    <w:uiPriority w:val="1"/>
    <w:qFormat/>
    <w:rsid w:val="00214994"/>
    <w:pPr>
      <w:spacing w:after="0" w:line="480" w:lineRule="auto"/>
      <w:ind w:firstLine="720"/>
    </w:pPr>
    <w:rPr>
      <w:rFonts w:ascii="Times New Roman" w:eastAsia="PMingLiU" w:hAnsi="Times New Roman"/>
      <w:sz w:val="24"/>
      <w:szCs w:val="28"/>
      <w:lang w:eastAsia="zh-TW"/>
    </w:rPr>
  </w:style>
  <w:style w:type="paragraph" w:styleId="ListParagraph">
    <w:name w:val="List Paragraph"/>
    <w:basedOn w:val="Normal"/>
    <w:link w:val="ListParagraphChar"/>
    <w:uiPriority w:val="34"/>
    <w:qFormat/>
    <w:rsid w:val="007D0DFB"/>
    <w:pPr>
      <w:ind w:left="720"/>
      <w:contextualSpacing/>
    </w:pPr>
    <w:rPr>
      <w:rFonts w:eastAsia="PMingLiU"/>
    </w:rPr>
  </w:style>
  <w:style w:type="character" w:customStyle="1" w:styleId="ListParagraphChar">
    <w:name w:val="List Paragraph Char"/>
    <w:basedOn w:val="DefaultParagraphFont"/>
    <w:link w:val="ListParagraph"/>
    <w:uiPriority w:val="34"/>
    <w:locked/>
    <w:rsid w:val="007D0DFB"/>
    <w:rPr>
      <w:rFonts w:ascii="Times New Roman" w:eastAsia="PMingLiU" w:hAnsi="Times New Roman"/>
      <w:sz w:val="24"/>
    </w:rPr>
  </w:style>
  <w:style w:type="table" w:styleId="TableGrid">
    <w:name w:val="Table Grid"/>
    <w:basedOn w:val="TableNormal"/>
    <w:uiPriority w:val="59"/>
    <w:rsid w:val="005B7F59"/>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573"/>
    <w:rPr>
      <w:color w:val="808080"/>
    </w:rPr>
  </w:style>
  <w:style w:type="character" w:customStyle="1" w:styleId="st">
    <w:name w:val="st"/>
    <w:basedOn w:val="DefaultParagraphFont"/>
    <w:rsid w:val="00523488"/>
  </w:style>
  <w:style w:type="paragraph" w:customStyle="1" w:styleId="Default">
    <w:name w:val="Default"/>
    <w:rsid w:val="004F625D"/>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8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p:Policy xmlns:p="office.server.policy" id="" local="true">
  <p:Name>Document</p:Name>
  <p:Description/>
  <p:Statement/>
  <p:PolicyItems>
    <p:PolicyItem featureId="Microsoft.Office.RecordsManagement.PolicyFeatures.PolicyAudit" staticId="0x0101|8138272" UniqueId="7a5a4fd4-f5d3-4585-93b4-36b0ff5880a8">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2E0F89E720E0344DA53C3DBC19A6BE9D" ma:contentTypeVersion="6" ma:contentTypeDescription="Create a new document." ma:contentTypeScope="" ma:versionID="ea24db2484fb5f3eecb2d6cc5050e142">
  <xsd:schema xmlns:xsd="http://www.w3.org/2001/XMLSchema" xmlns:xs="http://www.w3.org/2001/XMLSchema" xmlns:p="http://schemas.microsoft.com/office/2006/metadata/properties" targetNamespace="http://schemas.microsoft.com/office/2006/metadata/properties" ma:root="true" ma:fieldsID="0989ca3770043d9c29d7fca024463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C032-9FBE-4E8B-8E3F-F9BA85F78F8C}">
  <ds:schemaRefs>
    <ds:schemaRef ds:uri="http://schemas.microsoft.com/sharepoint/v3/contenttype/forms"/>
  </ds:schemaRefs>
</ds:datastoreItem>
</file>

<file path=customXml/itemProps2.xml><?xml version="1.0" encoding="utf-8"?>
<ds:datastoreItem xmlns:ds="http://schemas.openxmlformats.org/officeDocument/2006/customXml" ds:itemID="{7EE4BBAC-0383-4C23-A4CF-F941855AE4B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1D2C41F-7866-415A-8E8B-00B7D3CB789C}">
  <ds:schemaRefs>
    <ds:schemaRef ds:uri="http://schemas.microsoft.com/office/2006/metadata/customXsn"/>
  </ds:schemaRefs>
</ds:datastoreItem>
</file>

<file path=customXml/itemProps4.xml><?xml version="1.0" encoding="utf-8"?>
<ds:datastoreItem xmlns:ds="http://schemas.openxmlformats.org/officeDocument/2006/customXml" ds:itemID="{CEBCFD39-2A4E-45A8-8A52-CB447C3413B8}">
  <ds:schemaRefs>
    <ds:schemaRef ds:uri="office.server.policy"/>
  </ds:schemaRefs>
</ds:datastoreItem>
</file>

<file path=customXml/itemProps5.xml><?xml version="1.0" encoding="utf-8"?>
<ds:datastoreItem xmlns:ds="http://schemas.openxmlformats.org/officeDocument/2006/customXml" ds:itemID="{D8D6FAD7-EB8E-4AD0-9725-431A6152AF10}">
  <ds:schemaRefs>
    <ds:schemaRef ds:uri="http://schemas.microsoft.com/sharepoint/events"/>
  </ds:schemaRefs>
</ds:datastoreItem>
</file>

<file path=customXml/itemProps6.xml><?xml version="1.0" encoding="utf-8"?>
<ds:datastoreItem xmlns:ds="http://schemas.openxmlformats.org/officeDocument/2006/customXml" ds:itemID="{C8748077-D7F4-4198-9FDB-828B96673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B9BC7C5A-0AFB-4D06-97E9-6DFFC5FE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Sample PRA Supporting Statement for Proposal</vt:lpstr>
    </vt:vector>
  </TitlesOfParts>
  <Company>CFTC</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PRA Supporting Statement for Proposal</dc:title>
  <dc:creator>WMcobb</dc:creator>
  <cp:lastModifiedBy>Scott, Gail B.</cp:lastModifiedBy>
  <cp:revision>2</cp:revision>
  <cp:lastPrinted>2015-11-02T20:01:00Z</cp:lastPrinted>
  <dcterms:created xsi:type="dcterms:W3CDTF">2020-10-16T21:48:00Z</dcterms:created>
  <dcterms:modified xsi:type="dcterms:W3CDTF">2020-10-16T21:48:00Z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0x0101002E0F89E720E0344DA53C3DBC19A6BE9D</vt:lpwstr>
  </property>
  <property fmtid="{D5CDD505-2E9C-101B-9397-08002B2CF9AE}" pid="3" name="CFTC Location">
    <vt:lpwstr>14;#All CFTC Locations|07b51532-ca12-475e-8433-c139a58bc2c8</vt:lpwstr>
  </property>
  <property fmtid="{D5CDD505-2E9C-101B-9397-08002B2CF9AE}" pid="4" name="CFTC Subject">
    <vt:lpwstr>104;#Legal|12e962f7-0af9-400d-a646-2af5c7b92277;#56;#Agency Operations|3495dd4b-79d7-41a6-8ce6-02dce84f79b0</vt:lpwstr>
  </property>
  <property fmtid="{D5CDD505-2E9C-101B-9397-08002B2CF9AE}" pid="5" name="TaxKeyword">
    <vt:lpwstr/>
  </property>
  <property fmtid="{D5CDD505-2E9C-101B-9397-08002B2CF9AE}" pid="6" name="CFTC Audience">
    <vt:lpwstr>13;#All CFTC Staff|4f9c852f-d497-40c4-b357-3897abf65c10</vt:lpwstr>
  </property>
  <property fmtid="{D5CDD505-2E9C-101B-9397-08002B2CF9AE}" pid="7" name="CFTC Type">
    <vt:lpwstr>15;#General|f4844b07-25eb-4c74-a1a4-15dd52f1d01d</vt:lpwstr>
  </property>
  <property fmtid="{D5CDD505-2E9C-101B-9397-08002B2CF9AE}" pid="8" name="CFTC Owner">
    <vt:lpwstr>73;#Office of the General Counsel|bd58875c-cb9d-447e-b8fd-b2672ffab719</vt:lpwstr>
  </property>
</Properties>
</file>