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BFD" w:rsidP="00966078" w:rsidRDefault="00966078" w14:paraId="3D4AEC0D" w14:textId="6D11B00E">
      <w:pPr>
        <w:pStyle w:val="BodyText"/>
        <w:spacing w:before="80" w:line="240" w:lineRule="exact"/>
        <w:ind w:left="2782" w:right="2662"/>
        <w:jc w:val="center"/>
      </w:pPr>
      <w:r>
        <w:t>FINAL</w:t>
      </w:r>
      <w:r w:rsidR="001D7B29">
        <w:t xml:space="preserve"> OMB SUPPORTING STATEMENT FOR</w:t>
      </w:r>
    </w:p>
    <w:p w:rsidR="00EB0BFD" w:rsidRDefault="001D7B29" w14:paraId="7E4E84BD" w14:textId="77777777">
      <w:pPr>
        <w:pStyle w:val="BodyText"/>
        <w:spacing w:line="232" w:lineRule="exact"/>
        <w:ind w:left="2720" w:right="2662"/>
        <w:jc w:val="center"/>
      </w:pPr>
      <w:r>
        <w:t>NRC FORM 241</w:t>
      </w:r>
    </w:p>
    <w:p w:rsidR="00EB0BFD" w:rsidRDefault="001D7B29" w14:paraId="25473495" w14:textId="77777777">
      <w:pPr>
        <w:pStyle w:val="BodyText"/>
        <w:spacing w:before="8" w:line="240" w:lineRule="exact"/>
        <w:ind w:left="888" w:right="827"/>
        <w:jc w:val="center"/>
      </w:pPr>
      <w:r>
        <w:t>REPORT OF PROPOSED ACTIVITIES IN NON-AGREEMENT STATES, AREAS OF EXCLUSIVE FEDERAL JURISDICTION, OR OFFSHORE WATERS (3150-0013)</w:t>
      </w:r>
    </w:p>
    <w:p w:rsidR="00EB0BFD" w:rsidRDefault="001D7B29" w14:paraId="37B8FD97" w14:textId="77777777">
      <w:pPr>
        <w:pStyle w:val="BodyText"/>
        <w:spacing w:line="239" w:lineRule="exact"/>
        <w:ind w:left="2720" w:right="2662"/>
        <w:jc w:val="center"/>
      </w:pPr>
      <w:r>
        <w:t>---</w:t>
      </w:r>
    </w:p>
    <w:p w:rsidR="00EB0BFD" w:rsidRDefault="00EB0BFD" w14:paraId="4EE54BF1" w14:textId="77777777">
      <w:pPr>
        <w:pStyle w:val="BodyText"/>
        <w:spacing w:before="8"/>
        <w:rPr>
          <w:sz w:val="19"/>
        </w:rPr>
      </w:pPr>
    </w:p>
    <w:p w:rsidR="00EB0BFD" w:rsidRDefault="00F96551" w14:paraId="4D9F3E55" w14:textId="3E646246">
      <w:pPr>
        <w:pStyle w:val="BodyText"/>
        <w:ind w:left="2720" w:right="2662"/>
        <w:jc w:val="center"/>
      </w:pPr>
      <w:r>
        <w:t>EXTEN</w:t>
      </w:r>
      <w:r w:rsidR="00E9381B">
        <w:t>S</w:t>
      </w:r>
      <w:r>
        <w:t>ION</w:t>
      </w:r>
    </w:p>
    <w:p w:rsidR="00EB0BFD" w:rsidRDefault="00EB0BFD" w14:paraId="71271E4A" w14:textId="77777777">
      <w:pPr>
        <w:pStyle w:val="BodyText"/>
        <w:rPr>
          <w:sz w:val="24"/>
        </w:rPr>
      </w:pPr>
    </w:p>
    <w:p w:rsidR="00EB0BFD" w:rsidRDefault="001D7B29" w14:paraId="04C1EDCE" w14:textId="77777777">
      <w:pPr>
        <w:pStyle w:val="BodyText"/>
        <w:spacing w:before="190"/>
        <w:ind w:left="119"/>
      </w:pPr>
      <w:r>
        <w:rPr>
          <w:u w:val="single"/>
        </w:rPr>
        <w:t>Description of the Information Collection</w:t>
      </w:r>
    </w:p>
    <w:p w:rsidR="00EB0BFD" w:rsidRDefault="00EB0BFD" w14:paraId="1ECCA120" w14:textId="77777777">
      <w:pPr>
        <w:pStyle w:val="BodyText"/>
        <w:spacing w:before="10"/>
        <w:rPr>
          <w:sz w:val="20"/>
        </w:rPr>
      </w:pPr>
    </w:p>
    <w:p w:rsidR="00EB0BFD" w:rsidRDefault="001D7B29" w14:paraId="2B4DFF53" w14:textId="77777777">
      <w:pPr>
        <w:pStyle w:val="BodyText"/>
        <w:spacing w:line="240" w:lineRule="exact"/>
        <w:ind w:left="119" w:right="121"/>
      </w:pPr>
      <w:r w:rsidRPr="00E26841">
        <w:t xml:space="preserve">Section 274 of the Atomic Energy Act of 1954, as amended, authorizes the U.S. Nuclear Regulatory Commission (NRC) to enter into an agreement with the Governor of any State, providing a discontinuance of certain regulatory authority of the NRC. A State that has signed such an agreement with the NRC is referred to as an “Agreement State,” and it </w:t>
      </w:r>
      <w:proofErr w:type="gramStart"/>
      <w:r w:rsidRPr="00E26841">
        <w:t>is allowed to</w:t>
      </w:r>
      <w:proofErr w:type="gramEnd"/>
      <w:r w:rsidRPr="00E26841">
        <w:t xml:space="preserve"> regulate the use of radioactive material within that State.  In addition, under NRC's regulations in Title 10 of the </w:t>
      </w:r>
      <w:r w:rsidRPr="00E26841">
        <w:rPr>
          <w:i/>
        </w:rPr>
        <w:t xml:space="preserve">Code of Federal Regulations </w:t>
      </w:r>
      <w:r w:rsidRPr="00E26841">
        <w:t>(10 CFR) Part 150, "Exemptions and Continued Regulatory Authority in Agreement States and in Offshore Waters Under Section 274,” the NRC refrains from exercising certain licensing authority in Agreement States and exempts licensees in those States from certain NRC licensing requirements</w:t>
      </w:r>
      <w:r>
        <w:t>.</w:t>
      </w:r>
    </w:p>
    <w:p w:rsidR="00EB0BFD" w:rsidRDefault="00EB0BFD" w14:paraId="6A48DD8E" w14:textId="77777777">
      <w:pPr>
        <w:pStyle w:val="BodyText"/>
        <w:spacing w:before="9"/>
        <w:rPr>
          <w:sz w:val="20"/>
        </w:rPr>
      </w:pPr>
    </w:p>
    <w:p w:rsidR="00EB0BFD" w:rsidRDefault="001D7B29" w14:paraId="08687897" w14:textId="62F198CB">
      <w:pPr>
        <w:pStyle w:val="BodyText"/>
        <w:spacing w:line="240" w:lineRule="exact"/>
        <w:ind w:left="119" w:right="180"/>
      </w:pPr>
      <w:r>
        <w:t xml:space="preserve">Under the reciprocity provisions of 10 CFR Part 150, any Agreement State licensee who engages in activities (such as the use of radioactive byproduct material) in </w:t>
      </w:r>
      <w:r w:rsidR="002D330A">
        <w:t xml:space="preserve">an area regulated by the NRC including </w:t>
      </w:r>
      <w:r>
        <w:t>non-Agreement States, areas of exclusive Federal jurisdiction, or offshore waters is required to file, with the NRC regional administrator for the region in which the Agreement State that issues the specific license is located, an NRC Form 241, a copy of the Agreement State specific license, and the appropriate fee as prescribed in Section 170.31 at least 3 days before engaging in each such activity. This form includes information on locations and dates of activities. The 3-day time schedule permits the NRC regional office time to schedule inspections of these activities.</w:t>
      </w:r>
    </w:p>
    <w:p w:rsidR="00EB0BFD" w:rsidRDefault="00EB0BFD" w14:paraId="2AE6F0D4" w14:textId="77777777">
      <w:pPr>
        <w:pStyle w:val="BodyText"/>
        <w:spacing w:before="6"/>
        <w:rPr>
          <w:sz w:val="19"/>
        </w:rPr>
      </w:pPr>
    </w:p>
    <w:p w:rsidR="00EB0BFD" w:rsidRDefault="001D7B29" w14:paraId="78B1C2CA" w14:textId="77777777">
      <w:pPr>
        <w:pStyle w:val="ListParagraph"/>
        <w:numPr>
          <w:ilvl w:val="0"/>
          <w:numId w:val="1"/>
        </w:numPr>
        <w:tabs>
          <w:tab w:val="left" w:pos="840"/>
          <w:tab w:val="left" w:pos="841"/>
        </w:tabs>
        <w:spacing w:before="1"/>
        <w:ind w:hanging="720"/>
      </w:pPr>
      <w:r>
        <w:rPr>
          <w:u w:val="single"/>
        </w:rPr>
        <w:t>JUSTIFICATION</w:t>
      </w:r>
    </w:p>
    <w:p w:rsidR="00EB0BFD" w:rsidRDefault="00EB0BFD" w14:paraId="568AAE0D" w14:textId="77777777">
      <w:pPr>
        <w:pStyle w:val="BodyText"/>
        <w:spacing w:before="8"/>
        <w:rPr>
          <w:sz w:val="19"/>
        </w:rPr>
      </w:pPr>
    </w:p>
    <w:p w:rsidRPr="00BA3936" w:rsidR="00EB0BFD" w:rsidP="00BA3936" w:rsidRDefault="001D7B29" w14:paraId="21440D81" w14:textId="77777777">
      <w:pPr>
        <w:pStyle w:val="ListParagraph"/>
        <w:numPr>
          <w:ilvl w:val="1"/>
          <w:numId w:val="1"/>
        </w:numPr>
        <w:tabs>
          <w:tab w:val="left" w:pos="1159"/>
          <w:tab w:val="left" w:pos="1161"/>
        </w:tabs>
        <w:ind w:hanging="720"/>
        <w:jc w:val="left"/>
        <w:rPr>
          <w:u w:val="single"/>
        </w:rPr>
      </w:pPr>
      <w:r>
        <w:rPr>
          <w:u w:val="single"/>
        </w:rPr>
        <w:t>Need for and Practical Utility of the Collection of</w:t>
      </w:r>
      <w:r w:rsidRPr="00BA3936">
        <w:rPr>
          <w:u w:val="single"/>
        </w:rPr>
        <w:t xml:space="preserve"> </w:t>
      </w:r>
      <w:r>
        <w:rPr>
          <w:u w:val="single"/>
        </w:rPr>
        <w:t>Information</w:t>
      </w:r>
    </w:p>
    <w:p w:rsidR="00EB0BFD" w:rsidRDefault="00EB0BFD" w14:paraId="4AC6CD1A" w14:textId="77777777">
      <w:pPr>
        <w:pStyle w:val="BodyText"/>
        <w:spacing w:before="10"/>
        <w:rPr>
          <w:sz w:val="20"/>
        </w:rPr>
      </w:pPr>
    </w:p>
    <w:p w:rsidR="00EB0BFD" w:rsidP="00DA387D" w:rsidRDefault="001D7B29" w14:paraId="47B743F9" w14:textId="77777777">
      <w:pPr>
        <w:pStyle w:val="BodyText"/>
        <w:spacing w:line="240" w:lineRule="exact"/>
        <w:ind w:left="1160" w:right="104"/>
      </w:pPr>
      <w:r>
        <w:t>10 CFR 150.20 establishes a general license through which NRC authorizes any Agreement State licensee with a specific license to conduct the same activity in non-Agreement States, areas of exclusive Federal jurisdiction, or offshore waters for a period not to exceed 180 days in any calendar year (with the exception of work conducted in off-shore waters which is authorized for an unlimited period of time in the calendar year). Any Agreement State licensee operating under the general license is required to file with the NRC regional office an NRC Form 241, a copy of the Agreement State specific license, and the appropriate fee as prescribed in Section 170.31 at least 3 days before performing work. However, the regional administrator of the NRC regional office may authorize an Agreement State licensee to commence activity based on a telephone, fax, or letter notification by the licensee, provided that the licensee files an NRC Form 241 within 3 days of the notification.</w:t>
      </w:r>
    </w:p>
    <w:p w:rsidR="00EB0BFD" w:rsidRDefault="00EB0BFD" w14:paraId="5CB78604" w14:textId="77777777">
      <w:pPr>
        <w:pStyle w:val="BodyText"/>
        <w:spacing w:before="9"/>
        <w:rPr>
          <w:sz w:val="20"/>
        </w:rPr>
      </w:pPr>
    </w:p>
    <w:p w:rsidR="00EB0BFD" w:rsidP="00DA387D" w:rsidRDefault="001D7B29" w14:paraId="7431DEDB" w14:textId="732E77F6">
      <w:pPr>
        <w:pStyle w:val="BodyText"/>
        <w:spacing w:line="240" w:lineRule="exact"/>
        <w:ind w:left="1160" w:right="121"/>
      </w:pPr>
      <w:r>
        <w:t xml:space="preserve">Receipt of the information on NRC Form 241 is necessary to make the NRC aware of Agreement State licensee’s work in non-Agreement States, areas of exclusive </w:t>
      </w:r>
      <w:r>
        <w:lastRenderedPageBreak/>
        <w:t>Federal jurisdiction, or offshore waters.  The NRC can then determine</w:t>
      </w:r>
      <w:r w:rsidR="00EA6919">
        <w:t xml:space="preserve"> </w:t>
      </w:r>
      <w:r>
        <w:t>whether the work is conducted in accordance with NRC requirements for protection of the public health and safety.</w:t>
      </w:r>
    </w:p>
    <w:p w:rsidR="00EB0BFD" w:rsidRDefault="00EB0BFD" w14:paraId="383F71FE" w14:textId="77777777">
      <w:pPr>
        <w:pStyle w:val="BodyText"/>
        <w:spacing w:before="7"/>
        <w:rPr>
          <w:sz w:val="19"/>
        </w:rPr>
      </w:pPr>
    </w:p>
    <w:p w:rsidR="00EB0BFD" w:rsidRDefault="001D7B29" w14:paraId="7504EF9E" w14:textId="77777777">
      <w:pPr>
        <w:pStyle w:val="ListParagraph"/>
        <w:numPr>
          <w:ilvl w:val="1"/>
          <w:numId w:val="1"/>
        </w:numPr>
        <w:tabs>
          <w:tab w:val="left" w:pos="1159"/>
          <w:tab w:val="left" w:pos="1161"/>
        </w:tabs>
        <w:ind w:hanging="720"/>
        <w:jc w:val="left"/>
      </w:pPr>
      <w:r>
        <w:rPr>
          <w:u w:val="single"/>
        </w:rPr>
        <w:t>Agency Use of the</w:t>
      </w:r>
      <w:r>
        <w:rPr>
          <w:spacing w:val="-8"/>
          <w:u w:val="single"/>
        </w:rPr>
        <w:t xml:space="preserve"> </w:t>
      </w:r>
      <w:r>
        <w:rPr>
          <w:u w:val="single"/>
        </w:rPr>
        <w:t>Information</w:t>
      </w:r>
    </w:p>
    <w:p w:rsidR="00EB0BFD" w:rsidRDefault="00EB0BFD" w14:paraId="59697223" w14:textId="77777777">
      <w:pPr>
        <w:pStyle w:val="BodyText"/>
        <w:spacing w:before="11"/>
        <w:rPr>
          <w:sz w:val="20"/>
        </w:rPr>
      </w:pPr>
    </w:p>
    <w:p w:rsidR="00EB0BFD" w:rsidRDefault="001D7B29" w14:paraId="3D4C9EBA" w14:textId="77777777">
      <w:pPr>
        <w:pStyle w:val="BodyText"/>
        <w:spacing w:line="240" w:lineRule="exact"/>
        <w:ind w:left="1160" w:right="144"/>
      </w:pPr>
      <w:r>
        <w:t>The report informs the NRC of the locations and dates of activities conducted in non-Agreement States, areas of exclusive Federal jurisdiction, or offshore waters by Agreement State licensees under the general license.  This notification permits the NRC regional office to schedule inspections of the activities to determine whether the activities are conducted in accordance with NRC requirements for protection of the public health and safety.</w:t>
      </w:r>
    </w:p>
    <w:p w:rsidR="00EB0BFD" w:rsidRDefault="00EB0BFD" w14:paraId="3F7222A2" w14:textId="77777777">
      <w:pPr>
        <w:pStyle w:val="BodyText"/>
        <w:spacing w:before="6"/>
        <w:rPr>
          <w:sz w:val="19"/>
        </w:rPr>
      </w:pPr>
    </w:p>
    <w:p w:rsidR="00EB0BFD" w:rsidRDefault="001D7B29" w14:paraId="18A76B42" w14:textId="77777777">
      <w:pPr>
        <w:pStyle w:val="ListParagraph"/>
        <w:numPr>
          <w:ilvl w:val="1"/>
          <w:numId w:val="1"/>
        </w:numPr>
        <w:tabs>
          <w:tab w:val="left" w:pos="1159"/>
          <w:tab w:val="left" w:pos="1161"/>
        </w:tabs>
        <w:spacing w:before="1"/>
        <w:ind w:hanging="720"/>
        <w:jc w:val="left"/>
      </w:pPr>
      <w:r>
        <w:rPr>
          <w:u w:val="single"/>
        </w:rPr>
        <w:t>Reduction of Burden Through Information</w:t>
      </w:r>
      <w:r>
        <w:rPr>
          <w:spacing w:val="-15"/>
          <w:u w:val="single"/>
        </w:rPr>
        <w:t xml:space="preserve"> </w:t>
      </w:r>
      <w:r>
        <w:rPr>
          <w:u w:val="single"/>
        </w:rPr>
        <w:t>Technology</w:t>
      </w:r>
    </w:p>
    <w:p w:rsidR="00EB0BFD" w:rsidRDefault="00EB0BFD" w14:paraId="69CA849D" w14:textId="77777777">
      <w:pPr>
        <w:pStyle w:val="BodyText"/>
        <w:spacing w:before="11"/>
        <w:rPr>
          <w:sz w:val="20"/>
        </w:rPr>
      </w:pPr>
    </w:p>
    <w:p w:rsidRPr="009D66F4" w:rsidR="009D66F4" w:rsidP="009D66F4" w:rsidRDefault="009D66F4" w14:paraId="670339F4" w14:textId="64DB79DF">
      <w:pPr>
        <w:pStyle w:val="BodyText"/>
        <w:spacing w:line="240" w:lineRule="exact"/>
        <w:ind w:left="1160" w:right="479"/>
      </w:pPr>
      <w:r w:rsidRPr="009D66F4">
        <w:t>There are no legal obstacles to reducing the burden associated with this information collection. The NRC encourages respondents to use information technology when it would be beneficial to them.</w:t>
      </w:r>
    </w:p>
    <w:p w:rsidRPr="009D66F4" w:rsidR="009D66F4" w:rsidP="009D66F4" w:rsidRDefault="009D66F4" w14:paraId="01D33B48" w14:textId="52DF4025">
      <w:pPr>
        <w:pStyle w:val="BodyText"/>
        <w:spacing w:line="240" w:lineRule="exact"/>
        <w:ind w:left="1160" w:right="479"/>
      </w:pPr>
    </w:p>
    <w:p w:rsidRPr="009D66F4" w:rsidR="009D66F4" w:rsidP="009D66F4" w:rsidRDefault="009D66F4" w14:paraId="1F95F361" w14:textId="0FA2E70D">
      <w:pPr>
        <w:pStyle w:val="BodyText"/>
        <w:spacing w:line="240" w:lineRule="exact"/>
        <w:ind w:left="1160" w:right="479"/>
      </w:pPr>
      <w:r w:rsidRPr="009D66F4">
        <w:t>The NRC has issued </w:t>
      </w:r>
      <w:hyperlink w:tgtFrame="_blank" w:history="1" r:id="rId10">
        <w:r w:rsidRPr="009D66F4">
          <w:rPr>
            <w:rStyle w:val="Hyperlink"/>
            <w:i/>
            <w:iCs/>
          </w:rPr>
          <w:t>Guidance for Electronic Submissions to the NRC</w:t>
        </w:r>
      </w:hyperlink>
      <w:r w:rsidRPr="009D66F4">
        <w:t xml:space="preserve"> which provides direction for the electronic transmission and submittal of documents to the NRC.  Electronic transmission and submittal of documents can be accomplished via the following avenues: </w:t>
      </w:r>
      <w:proofErr w:type="gramStart"/>
      <w:r w:rsidRPr="009D66F4">
        <w:t>the</w:t>
      </w:r>
      <w:proofErr w:type="gramEnd"/>
      <w:r w:rsidRPr="009D66F4">
        <w:t xml:space="preserve"> Electronic Information Exchange (EIE) process, which is available from the NRC's “Electronic Submittals” Web page, by Optical Storage Media (OSM) (e.g. CD-ROM, DVD), by facsimile or by e-mail.  It is estimated that approximately </w:t>
      </w:r>
      <w:r w:rsidRPr="00DE1E7E" w:rsidR="00DE1E7E">
        <w:rPr>
          <w:bCs/>
        </w:rPr>
        <w:t>80</w:t>
      </w:r>
      <w:r w:rsidRPr="009D66F4">
        <w:rPr>
          <w:b/>
          <w:bCs/>
        </w:rPr>
        <w:t>% </w:t>
      </w:r>
      <w:r w:rsidRPr="009D66F4">
        <w:t>of the potential responses are filed electronically. </w:t>
      </w:r>
    </w:p>
    <w:p w:rsidR="00EB0BFD" w:rsidRDefault="00EB0BFD" w14:paraId="6DC75F49" w14:textId="77777777">
      <w:pPr>
        <w:pStyle w:val="BodyText"/>
        <w:spacing w:before="6"/>
        <w:rPr>
          <w:sz w:val="19"/>
        </w:rPr>
      </w:pPr>
    </w:p>
    <w:p w:rsidR="00EB0BFD" w:rsidRDefault="001D7B29" w14:paraId="149F6231" w14:textId="77777777">
      <w:pPr>
        <w:pStyle w:val="ListParagraph"/>
        <w:numPr>
          <w:ilvl w:val="1"/>
          <w:numId w:val="1"/>
        </w:numPr>
        <w:tabs>
          <w:tab w:val="left" w:pos="1159"/>
          <w:tab w:val="left" w:pos="1160"/>
        </w:tabs>
        <w:ind w:left="1159" w:hanging="719"/>
        <w:jc w:val="left"/>
      </w:pPr>
      <w:r>
        <w:rPr>
          <w:u w:val="single"/>
        </w:rPr>
        <w:t>Effort to Identify Duplication and Use Similar</w:t>
      </w:r>
      <w:r>
        <w:rPr>
          <w:spacing w:val="-12"/>
          <w:u w:val="single"/>
        </w:rPr>
        <w:t xml:space="preserve"> </w:t>
      </w:r>
      <w:r>
        <w:rPr>
          <w:u w:val="single"/>
        </w:rPr>
        <w:t>Information</w:t>
      </w:r>
    </w:p>
    <w:p w:rsidRPr="00E26841" w:rsidR="00EB0BFD" w:rsidRDefault="00EB0BFD" w14:paraId="4186B037" w14:textId="77777777">
      <w:pPr>
        <w:pStyle w:val="BodyText"/>
        <w:spacing w:before="7"/>
      </w:pPr>
    </w:p>
    <w:p w:rsidRPr="00E26841" w:rsidR="00EB0BFD" w:rsidRDefault="001D7B29" w14:paraId="67231395" w14:textId="77777777">
      <w:pPr>
        <w:pStyle w:val="BodyText"/>
        <w:spacing w:before="93"/>
        <w:ind w:left="1160" w:right="144"/>
      </w:pPr>
      <w:r w:rsidRPr="00E26841">
        <w:t>No sources of similar information are available. There is no duplication of requirements.</w:t>
      </w:r>
    </w:p>
    <w:p w:rsidRPr="00E26841" w:rsidR="00EB0BFD" w:rsidRDefault="00EB0BFD" w14:paraId="47B320A8" w14:textId="77777777">
      <w:pPr>
        <w:pStyle w:val="BodyText"/>
        <w:spacing w:before="9"/>
      </w:pPr>
    </w:p>
    <w:p w:rsidRPr="00E26841" w:rsidR="00EB0BFD" w:rsidRDefault="001D7B29" w14:paraId="3DF8AB97" w14:textId="77777777">
      <w:pPr>
        <w:pStyle w:val="ListParagraph"/>
        <w:numPr>
          <w:ilvl w:val="1"/>
          <w:numId w:val="1"/>
        </w:numPr>
        <w:tabs>
          <w:tab w:val="left" w:pos="1159"/>
          <w:tab w:val="left" w:pos="1161"/>
        </w:tabs>
        <w:ind w:hanging="720"/>
        <w:jc w:val="left"/>
      </w:pPr>
      <w:r w:rsidRPr="00E26841">
        <w:rPr>
          <w:u w:val="single"/>
        </w:rPr>
        <w:t>Effort to Reduce Small Business</w:t>
      </w:r>
      <w:r w:rsidRPr="00E26841">
        <w:rPr>
          <w:spacing w:val="-8"/>
          <w:u w:val="single"/>
        </w:rPr>
        <w:t xml:space="preserve"> </w:t>
      </w:r>
      <w:r w:rsidRPr="00E26841">
        <w:rPr>
          <w:u w:val="single"/>
        </w:rPr>
        <w:t>Burden</w:t>
      </w:r>
    </w:p>
    <w:p w:rsidRPr="00E26841" w:rsidR="00EB0BFD" w:rsidRDefault="00EB0BFD" w14:paraId="07DBA28A" w14:textId="77777777">
      <w:pPr>
        <w:pStyle w:val="BodyText"/>
        <w:spacing w:before="8"/>
      </w:pPr>
    </w:p>
    <w:p w:rsidRPr="00E26841" w:rsidR="00EB0BFD" w:rsidRDefault="001D7B29" w14:paraId="0FF74414" w14:textId="77777777">
      <w:pPr>
        <w:pStyle w:val="BodyText"/>
        <w:spacing w:line="246" w:lineRule="exact"/>
        <w:ind w:left="1160"/>
      </w:pPr>
      <w:r w:rsidRPr="00E26841">
        <w:t>Some of the Agreement State licensees who use byproduct material in</w:t>
      </w:r>
    </w:p>
    <w:p w:rsidRPr="00E26841" w:rsidR="00EB0BFD" w:rsidRDefault="001D7B29" w14:paraId="1BFB72BB" w14:textId="77777777">
      <w:pPr>
        <w:pStyle w:val="BodyText"/>
        <w:spacing w:before="7" w:line="240" w:lineRule="exact"/>
        <w:ind w:left="1160" w:right="125"/>
      </w:pPr>
      <w:r w:rsidRPr="00E26841">
        <w:t>non-Agreement States, areas of exclusive Federal jurisdiction, or offshore waters are small businesses. However, because the health and safety consequences of improper handling or use of byproduct material are the same for large and small entities, it is not possible to reduce the burden on small businesses by reducing the frequency of reporting or minimizing recordkeeping procedures.</w:t>
      </w:r>
    </w:p>
    <w:p w:rsidRPr="00E26841" w:rsidR="00EB0BFD" w:rsidRDefault="00EB0BFD" w14:paraId="186D4402" w14:textId="77777777">
      <w:pPr>
        <w:pStyle w:val="BodyText"/>
        <w:spacing w:before="9"/>
      </w:pPr>
    </w:p>
    <w:p w:rsidRPr="00E26841" w:rsidR="00EB0BFD" w:rsidRDefault="001D7B29" w14:paraId="32D6AC90" w14:textId="77777777">
      <w:pPr>
        <w:pStyle w:val="ListParagraph"/>
        <w:numPr>
          <w:ilvl w:val="1"/>
          <w:numId w:val="1"/>
        </w:numPr>
        <w:tabs>
          <w:tab w:val="left" w:pos="1159"/>
          <w:tab w:val="left" w:pos="1160"/>
        </w:tabs>
        <w:spacing w:line="240" w:lineRule="exact"/>
        <w:ind w:right="559" w:hanging="720"/>
        <w:jc w:val="left"/>
      </w:pPr>
      <w:r w:rsidRPr="00E26841">
        <w:rPr>
          <w:u w:val="single"/>
        </w:rPr>
        <w:t>Consequences to Federal Program or Policy Activities if the Collection Is Not Conducted or Is Conducted Less</w:t>
      </w:r>
      <w:r w:rsidRPr="00E26841">
        <w:rPr>
          <w:spacing w:val="-10"/>
          <w:u w:val="single"/>
        </w:rPr>
        <w:t xml:space="preserve"> </w:t>
      </w:r>
      <w:r w:rsidRPr="00E26841">
        <w:rPr>
          <w:u w:val="single"/>
        </w:rPr>
        <w:t>Frequently</w:t>
      </w:r>
    </w:p>
    <w:p w:rsidRPr="00E26841" w:rsidR="00EB0BFD" w:rsidRDefault="00EB0BFD" w14:paraId="70A6CDC0" w14:textId="77777777">
      <w:pPr>
        <w:pStyle w:val="BodyText"/>
        <w:spacing w:before="9"/>
      </w:pPr>
    </w:p>
    <w:p w:rsidRPr="00E26841" w:rsidR="00EB0BFD" w:rsidRDefault="001D7B29" w14:paraId="4A303CDB" w14:textId="77777777">
      <w:pPr>
        <w:pStyle w:val="BodyText"/>
        <w:spacing w:line="240" w:lineRule="exact"/>
        <w:ind w:left="1160" w:right="107"/>
      </w:pPr>
      <w:r w:rsidRPr="00E26841">
        <w:t>If the information on NRC Form 241 is not collected, the NRC will not be aware</w:t>
      </w:r>
      <w:r w:rsidRPr="00E26841">
        <w:rPr>
          <w:spacing w:val="-14"/>
        </w:rPr>
        <w:t xml:space="preserve"> </w:t>
      </w:r>
      <w:r w:rsidRPr="00E26841">
        <w:t>of work performed by Agreement State licensees in non-Agreement States, areas of exclusive Federal jurisdiction, or offshore waters.  The forms are submitted only as the specified uses occur.  NRC Form 241 must be submitted prior to each such activity, but the NRC regional office may waive the requirement for filing additional forms during the remainder of the calendar year following the receipt of the initial NRC Form 241 from the Agreement State</w:t>
      </w:r>
      <w:r w:rsidRPr="00E26841">
        <w:rPr>
          <w:spacing w:val="-10"/>
        </w:rPr>
        <w:t xml:space="preserve"> </w:t>
      </w:r>
      <w:r w:rsidRPr="00E26841">
        <w:t>licensee.</w:t>
      </w:r>
    </w:p>
    <w:p w:rsidR="00EB0BFD" w:rsidRDefault="00EB0BFD" w14:paraId="379B6C02" w14:textId="77777777">
      <w:pPr>
        <w:spacing w:line="240" w:lineRule="exact"/>
        <w:sectPr w:rsidR="00EB0BFD" w:rsidSect="006614D3">
          <w:headerReference w:type="default" r:id="rId11"/>
          <w:pgSz w:w="12240" w:h="15840"/>
          <w:pgMar w:top="1440" w:right="1440" w:bottom="1440" w:left="1440" w:header="0" w:footer="768" w:gutter="0"/>
          <w:cols w:space="720"/>
          <w:titlePg/>
          <w:docGrid w:linePitch="299"/>
        </w:sectPr>
      </w:pPr>
    </w:p>
    <w:p w:rsidRPr="00E26841" w:rsidR="00EB0BFD" w:rsidRDefault="001D7B29" w14:paraId="608B6962" w14:textId="77777777">
      <w:pPr>
        <w:pStyle w:val="ListParagraph"/>
        <w:numPr>
          <w:ilvl w:val="1"/>
          <w:numId w:val="1"/>
        </w:numPr>
        <w:tabs>
          <w:tab w:val="left" w:pos="1159"/>
          <w:tab w:val="left" w:pos="1161"/>
        </w:tabs>
        <w:spacing w:before="80" w:line="240" w:lineRule="exact"/>
        <w:ind w:right="756" w:hanging="720"/>
        <w:jc w:val="left"/>
      </w:pPr>
      <w:r w:rsidRPr="00E26841">
        <w:rPr>
          <w:u w:val="single"/>
        </w:rPr>
        <w:lastRenderedPageBreak/>
        <w:t>Circumstances Which Justify Variation from the Office of Management</w:t>
      </w:r>
      <w:r w:rsidRPr="00E26841">
        <w:rPr>
          <w:spacing w:val="-18"/>
          <w:u w:val="single"/>
        </w:rPr>
        <w:t xml:space="preserve"> </w:t>
      </w:r>
      <w:r w:rsidRPr="00E26841">
        <w:rPr>
          <w:u w:val="single"/>
        </w:rPr>
        <w:t>and Budget (OMB)</w:t>
      </w:r>
      <w:r w:rsidRPr="00E26841">
        <w:rPr>
          <w:spacing w:val="-5"/>
          <w:u w:val="single"/>
        </w:rPr>
        <w:t xml:space="preserve"> </w:t>
      </w:r>
      <w:r w:rsidRPr="00E26841">
        <w:rPr>
          <w:u w:val="single"/>
        </w:rPr>
        <w:t>Guidelines</w:t>
      </w:r>
    </w:p>
    <w:p w:rsidRPr="00E26841" w:rsidR="00EB0BFD" w:rsidRDefault="00EB0BFD" w14:paraId="5F56BA94" w14:textId="77777777">
      <w:pPr>
        <w:pStyle w:val="BodyText"/>
        <w:spacing w:before="7"/>
      </w:pPr>
    </w:p>
    <w:p w:rsidRPr="00E26841" w:rsidR="00EB0BFD" w:rsidRDefault="001D7B29" w14:paraId="1D40A1C6" w14:textId="77777777">
      <w:pPr>
        <w:pStyle w:val="BodyText"/>
        <w:ind w:left="1160"/>
      </w:pPr>
      <w:r w:rsidRPr="00E26841">
        <w:t>This information collection is consistent with OMB Guidelines.</w:t>
      </w:r>
    </w:p>
    <w:p w:rsidRPr="00E26841" w:rsidR="00EB0BFD" w:rsidRDefault="00EB0BFD" w14:paraId="538AF2E2" w14:textId="77777777">
      <w:pPr>
        <w:pStyle w:val="BodyText"/>
        <w:spacing w:before="8"/>
      </w:pPr>
    </w:p>
    <w:p w:rsidRPr="00E26841" w:rsidR="00EB0BFD" w:rsidRDefault="001D7B29" w14:paraId="1494ACA9" w14:textId="77777777">
      <w:pPr>
        <w:pStyle w:val="ListParagraph"/>
        <w:numPr>
          <w:ilvl w:val="1"/>
          <w:numId w:val="1"/>
        </w:numPr>
        <w:tabs>
          <w:tab w:val="left" w:pos="1160"/>
          <w:tab w:val="left" w:pos="1161"/>
        </w:tabs>
        <w:ind w:hanging="720"/>
        <w:jc w:val="left"/>
      </w:pPr>
      <w:r w:rsidRPr="00E26841">
        <w:rPr>
          <w:u w:val="single"/>
        </w:rPr>
        <w:t>Consultations Outside the</w:t>
      </w:r>
      <w:r w:rsidRPr="00E26841">
        <w:rPr>
          <w:spacing w:val="-9"/>
          <w:u w:val="single"/>
        </w:rPr>
        <w:t xml:space="preserve"> </w:t>
      </w:r>
      <w:r w:rsidRPr="00E26841">
        <w:rPr>
          <w:u w:val="single"/>
        </w:rPr>
        <w:t>NRC</w:t>
      </w:r>
    </w:p>
    <w:p w:rsidRPr="00E26841" w:rsidR="00EB0BFD" w:rsidRDefault="00EB0BFD" w14:paraId="26B079BB" w14:textId="77777777">
      <w:pPr>
        <w:pStyle w:val="BodyText"/>
        <w:spacing w:before="11"/>
      </w:pPr>
    </w:p>
    <w:p w:rsidRPr="00E26841" w:rsidR="00EB0BFD" w:rsidP="00DE1E7E" w:rsidRDefault="00966078" w14:paraId="78DC7A4D" w14:textId="3D4F0574">
      <w:pPr>
        <w:pStyle w:val="BodyText"/>
        <w:spacing w:line="240" w:lineRule="exact"/>
        <w:ind w:left="1160" w:right="479"/>
      </w:pPr>
      <w:r w:rsidRPr="00E26841">
        <w:t xml:space="preserve">Opportunity for public comment on the information collection requirements for this clearance package was published In the </w:t>
      </w:r>
      <w:r w:rsidRPr="00E26841">
        <w:rPr>
          <w:i/>
        </w:rPr>
        <w:t>Federal Register</w:t>
      </w:r>
      <w:r w:rsidRPr="00E26841">
        <w:t xml:space="preserve"> on May 1, 2020 (85 FR 25480). </w:t>
      </w:r>
      <w:r w:rsidR="00457593">
        <w:t xml:space="preserve"> No </w:t>
      </w:r>
      <w:r w:rsidR="00B10879">
        <w:t xml:space="preserve">responses or </w:t>
      </w:r>
      <w:r w:rsidR="00457593">
        <w:t>comments were received through the Federal Register.</w:t>
      </w:r>
      <w:r w:rsidRPr="00E26841">
        <w:t xml:space="preserve"> </w:t>
      </w:r>
      <w:r w:rsidRPr="00E26841" w:rsidR="008D5EF7">
        <w:t>Four</w:t>
      </w:r>
      <w:r w:rsidRPr="00E26841">
        <w:t xml:space="preserve"> companies that had previously submitted the NRC Form 241 were contacted by email as part of the public consultation process. </w:t>
      </w:r>
      <w:r w:rsidRPr="00E26841" w:rsidR="005E2E7D">
        <w:t xml:space="preserve"> </w:t>
      </w:r>
      <w:r w:rsidRPr="00E26841">
        <w:t xml:space="preserve">Feedback on this information was requested. </w:t>
      </w:r>
      <w:r w:rsidRPr="00E26841" w:rsidR="008D5EF7">
        <w:t xml:space="preserve">No </w:t>
      </w:r>
      <w:r w:rsidR="00B10879">
        <w:t>resp</w:t>
      </w:r>
      <w:bookmarkStart w:name="_GoBack" w:id="0"/>
      <w:bookmarkEnd w:id="0"/>
      <w:r w:rsidR="00B10879">
        <w:t xml:space="preserve">onses or </w:t>
      </w:r>
      <w:r w:rsidRPr="00E26841" w:rsidR="008D5EF7">
        <w:t>comments were received in responses to these consultations.</w:t>
      </w:r>
    </w:p>
    <w:p w:rsidRPr="00E26841" w:rsidR="00EB0BFD" w:rsidRDefault="00EB0BFD" w14:paraId="3D4CC938" w14:textId="77777777">
      <w:pPr>
        <w:pStyle w:val="BodyText"/>
        <w:spacing w:before="7"/>
      </w:pPr>
    </w:p>
    <w:p w:rsidRPr="00E26841" w:rsidR="00EB0BFD" w:rsidRDefault="001D7B29" w14:paraId="45D03CE4" w14:textId="77777777">
      <w:pPr>
        <w:pStyle w:val="ListParagraph"/>
        <w:numPr>
          <w:ilvl w:val="1"/>
          <w:numId w:val="1"/>
        </w:numPr>
        <w:tabs>
          <w:tab w:val="left" w:pos="1159"/>
          <w:tab w:val="left" w:pos="1160"/>
        </w:tabs>
        <w:spacing w:line="456" w:lineRule="auto"/>
        <w:ind w:right="4889" w:hanging="720"/>
        <w:jc w:val="left"/>
      </w:pPr>
      <w:r w:rsidRPr="00E26841">
        <w:rPr>
          <w:u w:val="single"/>
        </w:rPr>
        <w:t>Payment or Gift to</w:t>
      </w:r>
      <w:r w:rsidRPr="00E26841">
        <w:rPr>
          <w:spacing w:val="-6"/>
          <w:u w:val="single"/>
        </w:rPr>
        <w:t xml:space="preserve"> </w:t>
      </w:r>
      <w:r w:rsidRPr="00E26841">
        <w:rPr>
          <w:u w:val="single"/>
        </w:rPr>
        <w:t xml:space="preserve">Respondents </w:t>
      </w:r>
      <w:r w:rsidRPr="00E26841">
        <w:t>Not</w:t>
      </w:r>
      <w:r w:rsidRPr="00E26841">
        <w:rPr>
          <w:spacing w:val="-4"/>
        </w:rPr>
        <w:t xml:space="preserve"> </w:t>
      </w:r>
      <w:r w:rsidRPr="00E26841">
        <w:t>applicable.</w:t>
      </w:r>
    </w:p>
    <w:p w:rsidRPr="00E26841" w:rsidR="00EB0BFD" w:rsidRDefault="001D7B29" w14:paraId="60BCBE9C" w14:textId="77777777">
      <w:pPr>
        <w:pStyle w:val="ListParagraph"/>
        <w:numPr>
          <w:ilvl w:val="1"/>
          <w:numId w:val="1"/>
        </w:numPr>
        <w:tabs>
          <w:tab w:val="left" w:pos="1159"/>
          <w:tab w:val="left" w:pos="1160"/>
        </w:tabs>
        <w:spacing w:before="5"/>
        <w:ind w:left="1159" w:hanging="719"/>
        <w:jc w:val="left"/>
      </w:pPr>
      <w:r w:rsidRPr="00E26841">
        <w:rPr>
          <w:u w:val="single"/>
        </w:rPr>
        <w:t>Confidentiality of the</w:t>
      </w:r>
      <w:r w:rsidRPr="00E26841">
        <w:rPr>
          <w:spacing w:val="-6"/>
          <w:u w:val="single"/>
        </w:rPr>
        <w:t xml:space="preserve"> </w:t>
      </w:r>
      <w:r w:rsidRPr="00E26841">
        <w:rPr>
          <w:u w:val="single"/>
        </w:rPr>
        <w:t>Information</w:t>
      </w:r>
    </w:p>
    <w:p w:rsidRPr="00E26841" w:rsidR="00EB0BFD" w:rsidRDefault="00EB0BFD" w14:paraId="43E940F6" w14:textId="77777777">
      <w:pPr>
        <w:pStyle w:val="BodyText"/>
        <w:spacing w:before="10"/>
      </w:pPr>
    </w:p>
    <w:p w:rsidRPr="00E26841" w:rsidR="00EB0BFD" w:rsidRDefault="001D7B29" w14:paraId="666DF27C" w14:textId="77777777">
      <w:pPr>
        <w:pStyle w:val="BodyText"/>
        <w:spacing w:line="240" w:lineRule="exact"/>
        <w:ind w:left="1160" w:right="144"/>
      </w:pPr>
      <w:r w:rsidRPr="00E26841">
        <w:t>Confidential and proprietary information is protected in accordance with NRC regulations at 10 CFR 9.17(a) and 10 CFR 2.390(b). However, no information normally considered confidential or proprietary is requested.</w:t>
      </w:r>
    </w:p>
    <w:p w:rsidRPr="00E26841" w:rsidR="00EB0BFD" w:rsidRDefault="00EB0BFD" w14:paraId="22FC6613" w14:textId="77777777">
      <w:pPr>
        <w:pStyle w:val="BodyText"/>
        <w:spacing w:before="6"/>
      </w:pPr>
    </w:p>
    <w:p w:rsidRPr="00E26841" w:rsidR="00EB0BFD" w:rsidRDefault="001D7B29" w14:paraId="47E4B760" w14:textId="77777777">
      <w:pPr>
        <w:pStyle w:val="ListParagraph"/>
        <w:numPr>
          <w:ilvl w:val="1"/>
          <w:numId w:val="1"/>
        </w:numPr>
        <w:tabs>
          <w:tab w:val="left" w:pos="1159"/>
          <w:tab w:val="left" w:pos="1160"/>
        </w:tabs>
        <w:ind w:left="1159" w:hanging="719"/>
        <w:jc w:val="left"/>
      </w:pPr>
      <w:r w:rsidRPr="00E26841">
        <w:rPr>
          <w:u w:val="single"/>
        </w:rPr>
        <w:t>Justification for Sensitive</w:t>
      </w:r>
      <w:r w:rsidRPr="00E26841">
        <w:rPr>
          <w:spacing w:val="-8"/>
          <w:u w:val="single"/>
        </w:rPr>
        <w:t xml:space="preserve"> </w:t>
      </w:r>
      <w:r w:rsidRPr="00E26841">
        <w:rPr>
          <w:u w:val="single"/>
        </w:rPr>
        <w:t>Questions</w:t>
      </w:r>
    </w:p>
    <w:p w:rsidRPr="00E26841" w:rsidR="00EB0BFD" w:rsidRDefault="00EB0BFD" w14:paraId="2C5BBADD" w14:textId="77777777">
      <w:pPr>
        <w:pStyle w:val="BodyText"/>
        <w:spacing w:before="8"/>
      </w:pPr>
    </w:p>
    <w:p w:rsidRPr="00E26841" w:rsidR="00EB0BFD" w:rsidRDefault="001D7B29" w14:paraId="561C73B8" w14:textId="26A88F5A">
      <w:pPr>
        <w:pStyle w:val="BodyText"/>
        <w:ind w:left="1160"/>
      </w:pPr>
      <w:r w:rsidRPr="00E26841">
        <w:t xml:space="preserve">This information collection does not </w:t>
      </w:r>
      <w:r w:rsidRPr="00E26841" w:rsidR="00DE1E7E">
        <w:t>involve</w:t>
      </w:r>
      <w:r w:rsidRPr="00E26841">
        <w:t xml:space="preserve"> sensitive questions.</w:t>
      </w:r>
    </w:p>
    <w:p w:rsidRPr="00E26841" w:rsidR="00EB0BFD" w:rsidRDefault="00EB0BFD" w14:paraId="1C9045F8" w14:textId="77777777">
      <w:pPr>
        <w:pStyle w:val="BodyText"/>
        <w:spacing w:before="8"/>
      </w:pPr>
    </w:p>
    <w:p w:rsidRPr="00E26841" w:rsidR="00EB0BFD" w:rsidRDefault="001D7B29" w14:paraId="65D8F2B0" w14:textId="77777777">
      <w:pPr>
        <w:pStyle w:val="ListParagraph"/>
        <w:numPr>
          <w:ilvl w:val="1"/>
          <w:numId w:val="1"/>
        </w:numPr>
        <w:tabs>
          <w:tab w:val="left" w:pos="1159"/>
          <w:tab w:val="left" w:pos="1160"/>
        </w:tabs>
        <w:ind w:left="1159" w:hanging="719"/>
        <w:jc w:val="left"/>
      </w:pPr>
      <w:r w:rsidRPr="00E26841">
        <w:rPr>
          <w:u w:val="single"/>
        </w:rPr>
        <w:t>Estimated Burden and Burden Hour</w:t>
      </w:r>
      <w:r w:rsidRPr="00E26841">
        <w:rPr>
          <w:spacing w:val="-7"/>
          <w:u w:val="single"/>
        </w:rPr>
        <w:t xml:space="preserve"> </w:t>
      </w:r>
      <w:r w:rsidRPr="00E26841">
        <w:rPr>
          <w:u w:val="single"/>
        </w:rPr>
        <w:t>Cost</w:t>
      </w:r>
    </w:p>
    <w:p w:rsidRPr="00E26841" w:rsidR="00EB0BFD" w:rsidRDefault="00EB0BFD" w14:paraId="4EE34199" w14:textId="77777777">
      <w:pPr>
        <w:pStyle w:val="BodyText"/>
        <w:spacing w:before="11"/>
      </w:pPr>
    </w:p>
    <w:p w:rsidRPr="00E26841" w:rsidR="00EB0BFD" w:rsidRDefault="001D7B29" w14:paraId="7F58677D" w14:textId="09F6AD2D">
      <w:pPr>
        <w:pStyle w:val="BodyText"/>
        <w:spacing w:line="240" w:lineRule="exact"/>
        <w:ind w:left="1160" w:right="144"/>
      </w:pPr>
      <w:r w:rsidRPr="00E26841">
        <w:t xml:space="preserve">Based on the average number of submissions for the past </w:t>
      </w:r>
      <w:r w:rsidRPr="00E26841" w:rsidR="0080718D">
        <w:t>3</w:t>
      </w:r>
      <w:r w:rsidRPr="00E26841">
        <w:t xml:space="preserve"> years collected on an annual basis, the NRC estimates that it will receive 1,</w:t>
      </w:r>
      <w:r w:rsidRPr="00E26841" w:rsidR="0080718D">
        <w:t>645</w:t>
      </w:r>
      <w:r w:rsidRPr="00E26841">
        <w:t xml:space="preserve"> NRC Forms 241 annually from 2</w:t>
      </w:r>
      <w:r w:rsidRPr="00E26841" w:rsidR="0080718D">
        <w:t>23</w:t>
      </w:r>
      <w:r w:rsidRPr="00E26841">
        <w:t xml:space="preserve"> Agreement State licensees (2</w:t>
      </w:r>
      <w:r w:rsidRPr="00E26841" w:rsidR="0080718D">
        <w:t>23</w:t>
      </w:r>
      <w:r w:rsidRPr="00E26841">
        <w:t xml:space="preserve"> initial submittals)</w:t>
      </w:r>
      <w:r w:rsidRPr="00E26841" w:rsidR="00606A76">
        <w:t xml:space="preserve"> and</w:t>
      </w:r>
      <w:r w:rsidRPr="00E26841">
        <w:t xml:space="preserve"> 1,</w:t>
      </w:r>
      <w:r w:rsidRPr="00E26841" w:rsidR="0080718D">
        <w:t>422</w:t>
      </w:r>
      <w:r w:rsidRPr="00E26841">
        <w:t xml:space="preserve"> changes</w:t>
      </w:r>
      <w:r w:rsidRPr="00E26841" w:rsidR="005917C1">
        <w:t xml:space="preserve"> </w:t>
      </w:r>
      <w:r w:rsidRPr="00E26841">
        <w:t>from Agreement State licensees who engage in activities (use of radioactive byproduct material) in non-Agreement States. This estimate represents maintaining the current pace submissions.</w:t>
      </w:r>
    </w:p>
    <w:p w:rsidRPr="00E26841" w:rsidR="00EB0BFD" w:rsidRDefault="00EB0BFD" w14:paraId="7D872F9A" w14:textId="77777777">
      <w:pPr>
        <w:pStyle w:val="BodyText"/>
        <w:spacing w:before="10"/>
      </w:pPr>
    </w:p>
    <w:p w:rsidRPr="00E26841" w:rsidR="00EB0BFD" w:rsidRDefault="001D7B29" w14:paraId="463A1743" w14:textId="55302BEE">
      <w:pPr>
        <w:pStyle w:val="BodyText"/>
        <w:spacing w:line="240" w:lineRule="exact"/>
        <w:ind w:left="1160" w:right="675"/>
      </w:pPr>
      <w:r w:rsidRPr="00E26841">
        <w:t>The NRC estimates that initial submissions require 30 minutes to complete, changes require 15 minutes to complete.</w:t>
      </w:r>
    </w:p>
    <w:p w:rsidRPr="00E26841" w:rsidR="00EB0BFD" w:rsidRDefault="00EB0BFD" w14:paraId="3D9B49F8" w14:textId="77777777">
      <w:pPr>
        <w:pStyle w:val="BodyText"/>
        <w:spacing w:before="10"/>
      </w:pPr>
    </w:p>
    <w:p w:rsidRPr="00E26841" w:rsidR="00EB0BFD" w:rsidRDefault="001D7B29" w14:paraId="097186C3" w14:textId="4FE3B6E6">
      <w:pPr>
        <w:pStyle w:val="BodyText"/>
        <w:spacing w:line="240" w:lineRule="exact"/>
        <w:ind w:left="1160" w:right="125"/>
      </w:pPr>
      <w:r w:rsidRPr="00E26841">
        <w:t>The total burden for the NRC Form 241 is 4</w:t>
      </w:r>
      <w:r w:rsidRPr="00E26841" w:rsidR="0080718D">
        <w:t>67</w:t>
      </w:r>
      <w:r w:rsidRPr="00E26841">
        <w:t xml:space="preserve"> hours. This includes 1</w:t>
      </w:r>
      <w:r w:rsidRPr="00E26841" w:rsidR="0080718D">
        <w:t>11.5</w:t>
      </w:r>
      <w:r w:rsidRPr="00E26841">
        <w:t xml:space="preserve"> hours for initial submissions (2</w:t>
      </w:r>
      <w:r w:rsidRPr="00E26841" w:rsidR="0080718D">
        <w:t>23</w:t>
      </w:r>
      <w:r w:rsidRPr="00E26841">
        <w:t xml:space="preserve"> x 30 minutes);</w:t>
      </w:r>
      <w:r w:rsidRPr="00E26841" w:rsidR="005917C1">
        <w:t xml:space="preserve"> and</w:t>
      </w:r>
      <w:r w:rsidRPr="00E26841">
        <w:t xml:space="preserve"> 3</w:t>
      </w:r>
      <w:r w:rsidRPr="00E26841" w:rsidR="0080718D">
        <w:t>55.5</w:t>
      </w:r>
      <w:r w:rsidRPr="00E26841">
        <w:t xml:space="preserve"> hours for changes (1,</w:t>
      </w:r>
      <w:r w:rsidRPr="00E26841" w:rsidR="0080718D">
        <w:t>422</w:t>
      </w:r>
      <w:r w:rsidRPr="00E26841">
        <w:t xml:space="preserve"> x 15 minutes). The estimated cost to licensees is $12</w:t>
      </w:r>
      <w:r w:rsidRPr="00E26841" w:rsidR="0080718D">
        <w:t>9,826</w:t>
      </w:r>
      <w:r w:rsidRPr="00E26841">
        <w:t xml:space="preserve"> (4</w:t>
      </w:r>
      <w:r w:rsidRPr="00E26841" w:rsidR="0080718D">
        <w:t>67</w:t>
      </w:r>
      <w:r w:rsidRPr="00E26841">
        <w:t xml:space="preserve"> hours x $278/hour). See Table 1 for a breakdown of the number of forms submitted, burden hours, and costs.</w:t>
      </w:r>
    </w:p>
    <w:p w:rsidRPr="00E26841" w:rsidR="00751991" w:rsidRDefault="00751991" w14:paraId="634BAE3F" w14:textId="77777777">
      <w:pPr>
        <w:pStyle w:val="BodyText"/>
        <w:spacing w:line="240" w:lineRule="exact"/>
        <w:ind w:left="1160" w:right="125"/>
      </w:pPr>
    </w:p>
    <w:p w:rsidR="00751991" w:rsidP="00DE1E7E" w:rsidRDefault="00751991" w14:paraId="696884B2" w14:textId="40D82E41">
      <w:pPr>
        <w:pStyle w:val="paragraph"/>
        <w:ind w:left="1159"/>
        <w:textAlignment w:val="baseline"/>
        <w:rPr>
          <w:rStyle w:val="eop"/>
          <w:rFonts w:ascii="Arial" w:hAnsi="Arial" w:cs="Arial"/>
          <w:sz w:val="22"/>
          <w:szCs w:val="22"/>
        </w:rPr>
      </w:pPr>
      <w:r w:rsidRPr="00E26841">
        <w:rPr>
          <w:rStyle w:val="normaltextrun1"/>
          <w:rFonts w:ascii="Arial" w:hAnsi="Arial" w:cs="Arial"/>
          <w:sz w:val="22"/>
          <w:szCs w:val="22"/>
        </w:rPr>
        <w:t xml:space="preserve">The $278 hourly rate used in the burden estimates is based on the Nuclear Regulatory Commission’s fee for hourly rates as noted in 10 CFR 170.20 “Average cost per professional staff-hour.”  For more information </w:t>
      </w:r>
      <w:proofErr w:type="gramStart"/>
      <w:r w:rsidRPr="00E26841">
        <w:rPr>
          <w:rStyle w:val="normaltextrun1"/>
          <w:rFonts w:ascii="Arial" w:hAnsi="Arial" w:cs="Arial"/>
          <w:sz w:val="22"/>
          <w:szCs w:val="22"/>
        </w:rPr>
        <w:t>on the basis of</w:t>
      </w:r>
      <w:proofErr w:type="gramEnd"/>
      <w:r w:rsidRPr="00E26841">
        <w:rPr>
          <w:rStyle w:val="normaltextrun1"/>
          <w:rFonts w:ascii="Arial" w:hAnsi="Arial" w:cs="Arial"/>
          <w:sz w:val="22"/>
          <w:szCs w:val="22"/>
        </w:rPr>
        <w:t xml:space="preserve"> this rate, see </w:t>
      </w:r>
      <w:r w:rsidRPr="00E26841">
        <w:rPr>
          <w:rStyle w:val="normaltextrun1"/>
          <w:rFonts w:ascii="Arial" w:hAnsi="Arial" w:cs="Arial"/>
          <w:sz w:val="22"/>
          <w:szCs w:val="22"/>
        </w:rPr>
        <w:lastRenderedPageBreak/>
        <w:t>the Revision of Fee Schedules; Fee Recovery for Fiscal Year 2019 (84 FR 22331, May 17, 2019).</w:t>
      </w:r>
      <w:r w:rsidRPr="00E26841">
        <w:rPr>
          <w:rStyle w:val="eop"/>
          <w:rFonts w:ascii="Arial" w:hAnsi="Arial" w:cs="Arial"/>
          <w:sz w:val="22"/>
          <w:szCs w:val="22"/>
        </w:rPr>
        <w:t> </w:t>
      </w:r>
    </w:p>
    <w:p w:rsidRPr="00E26841" w:rsidR="00457593" w:rsidP="00DE1E7E" w:rsidRDefault="00457593" w14:paraId="407346DC" w14:textId="77777777">
      <w:pPr>
        <w:pStyle w:val="paragraph"/>
        <w:ind w:left="1159"/>
        <w:textAlignment w:val="baseline"/>
        <w:rPr>
          <w:rFonts w:ascii="Arial" w:hAnsi="Arial" w:cs="Arial"/>
          <w:sz w:val="22"/>
          <w:szCs w:val="22"/>
        </w:rPr>
      </w:pPr>
    </w:p>
    <w:p w:rsidRPr="00E26841" w:rsidR="00EB0BFD" w:rsidRDefault="001D7B29" w14:paraId="09E3A9FC" w14:textId="77777777">
      <w:pPr>
        <w:pStyle w:val="ListParagraph"/>
        <w:numPr>
          <w:ilvl w:val="1"/>
          <w:numId w:val="1"/>
        </w:numPr>
        <w:tabs>
          <w:tab w:val="left" w:pos="1159"/>
          <w:tab w:val="left" w:pos="1160"/>
        </w:tabs>
        <w:ind w:left="1159" w:hanging="719"/>
        <w:jc w:val="left"/>
      </w:pPr>
      <w:r w:rsidRPr="00E26841">
        <w:rPr>
          <w:u w:val="single"/>
        </w:rPr>
        <w:t>Estimate of Other Additional</w:t>
      </w:r>
      <w:r w:rsidRPr="00E26841">
        <w:rPr>
          <w:spacing w:val="-7"/>
          <w:u w:val="single"/>
        </w:rPr>
        <w:t xml:space="preserve"> </w:t>
      </w:r>
      <w:r w:rsidRPr="00E26841">
        <w:rPr>
          <w:u w:val="single"/>
        </w:rPr>
        <w:t>Costs</w:t>
      </w:r>
    </w:p>
    <w:p w:rsidRPr="00E26841" w:rsidR="00EB0BFD" w:rsidRDefault="00EB0BFD" w14:paraId="7DFCD31A" w14:textId="77777777">
      <w:pPr>
        <w:pStyle w:val="BodyText"/>
        <w:spacing w:before="8"/>
      </w:pPr>
    </w:p>
    <w:p w:rsidRPr="00E26841" w:rsidR="00EB0BFD" w:rsidRDefault="001D7B29" w14:paraId="673B933D" w14:textId="77777777">
      <w:pPr>
        <w:pStyle w:val="BodyText"/>
        <w:spacing w:before="93"/>
        <w:ind w:left="1160"/>
      </w:pPr>
      <w:r w:rsidRPr="00E26841">
        <w:t>There are no additional costs.</w:t>
      </w:r>
    </w:p>
    <w:p w:rsidRPr="00E26841" w:rsidR="007421CB" w:rsidRDefault="007421CB" w14:paraId="38510440" w14:textId="77777777"/>
    <w:p w:rsidRPr="00E26841" w:rsidR="00EB0BFD" w:rsidRDefault="001D7B29" w14:paraId="707DCF75" w14:textId="77777777">
      <w:pPr>
        <w:pStyle w:val="ListParagraph"/>
        <w:numPr>
          <w:ilvl w:val="1"/>
          <w:numId w:val="1"/>
        </w:numPr>
        <w:tabs>
          <w:tab w:val="left" w:pos="1159"/>
          <w:tab w:val="left" w:pos="1160"/>
        </w:tabs>
        <w:spacing w:before="65"/>
        <w:ind w:left="1159" w:hanging="719"/>
        <w:jc w:val="left"/>
      </w:pPr>
      <w:r w:rsidRPr="00E26841">
        <w:rPr>
          <w:u w:val="single"/>
        </w:rPr>
        <w:t>Estimated Annualized Cost to the Federal</w:t>
      </w:r>
      <w:r w:rsidRPr="00E26841">
        <w:rPr>
          <w:spacing w:val="-12"/>
          <w:u w:val="single"/>
        </w:rPr>
        <w:t xml:space="preserve"> </w:t>
      </w:r>
      <w:r w:rsidRPr="00E26841">
        <w:rPr>
          <w:u w:val="single"/>
        </w:rPr>
        <w:t>Government</w:t>
      </w:r>
    </w:p>
    <w:p w:rsidRPr="00E26841" w:rsidR="00EB0BFD" w:rsidRDefault="00EB0BFD" w14:paraId="258CA6BA" w14:textId="77777777">
      <w:pPr>
        <w:pStyle w:val="BodyText"/>
        <w:spacing w:before="10"/>
      </w:pPr>
    </w:p>
    <w:p w:rsidRPr="00E26841" w:rsidR="00EB0BFD" w:rsidRDefault="001D7B29" w14:paraId="1FE504B7" w14:textId="68B36450">
      <w:pPr>
        <w:pStyle w:val="BodyText"/>
        <w:spacing w:line="240" w:lineRule="exact"/>
        <w:ind w:left="1160" w:right="246"/>
      </w:pPr>
      <w:r w:rsidRPr="00E26841">
        <w:t>It is estimated that the annual cost to the government for review and acknowledgment for forms, deficiency requests, and further dissemination of each NRC Form 241 is based on 3 hours annually for each of the 2</w:t>
      </w:r>
      <w:r w:rsidRPr="00E26841" w:rsidR="00DD7616">
        <w:t>23</w:t>
      </w:r>
      <w:r w:rsidRPr="00E26841">
        <w:t xml:space="preserve"> initial reciprocity requests, for a cost of $1</w:t>
      </w:r>
      <w:r w:rsidRPr="00E26841" w:rsidR="00DD7616">
        <w:t>85,982</w:t>
      </w:r>
      <w:r w:rsidRPr="00E26841">
        <w:t xml:space="preserve"> (6</w:t>
      </w:r>
      <w:r w:rsidRPr="00E26841" w:rsidR="00DD7616">
        <w:t>69</w:t>
      </w:r>
      <w:r w:rsidRPr="00E26841">
        <w:t xml:space="preserve"> hours x $278/</w:t>
      </w:r>
      <w:proofErr w:type="spellStart"/>
      <w:r w:rsidRPr="00E26841">
        <w:t>hr</w:t>
      </w:r>
      <w:proofErr w:type="spellEnd"/>
      <w:r w:rsidRPr="00E26841">
        <w:t>); 1 hour/response for each of the 1,</w:t>
      </w:r>
      <w:r w:rsidRPr="00E26841" w:rsidR="00DD7616">
        <w:t>422</w:t>
      </w:r>
      <w:r w:rsidRPr="00E26841">
        <w:t xml:space="preserve"> changes, for a cost of $</w:t>
      </w:r>
      <w:r w:rsidRPr="00E26841" w:rsidR="00DD7616">
        <w:t>395,316</w:t>
      </w:r>
      <w:r w:rsidRPr="00E26841">
        <w:t xml:space="preserve"> (1,</w:t>
      </w:r>
      <w:r w:rsidRPr="00E26841" w:rsidR="00DD7616">
        <w:t>422</w:t>
      </w:r>
      <w:r w:rsidRPr="00E26841">
        <w:t xml:space="preserve"> hours x $278/</w:t>
      </w:r>
      <w:proofErr w:type="spellStart"/>
      <w:r w:rsidRPr="00E26841">
        <w:t>hr</w:t>
      </w:r>
      <w:proofErr w:type="spellEnd"/>
      <w:r w:rsidRPr="00E26841">
        <w:t>); and 15 minutes/response for each of the 0 clarifications, for a cost of $0 (0 hours x $278/</w:t>
      </w:r>
      <w:proofErr w:type="spellStart"/>
      <w:r w:rsidRPr="00E26841">
        <w:t>hr</w:t>
      </w:r>
      <w:proofErr w:type="spellEnd"/>
      <w:r w:rsidRPr="00E26841">
        <w:t>). Therefore, the total estimated annual cost to the Federal government is based on 2,</w:t>
      </w:r>
      <w:r w:rsidRPr="00E26841" w:rsidR="00DD7616">
        <w:t>091</w:t>
      </w:r>
      <w:r w:rsidRPr="00E26841">
        <w:t xml:space="preserve"> hours for a cost of $5</w:t>
      </w:r>
      <w:r w:rsidRPr="00E26841" w:rsidR="00DD7616">
        <w:t>81,298</w:t>
      </w:r>
      <w:r w:rsidRPr="00E26841">
        <w:t xml:space="preserve"> (2,</w:t>
      </w:r>
      <w:r w:rsidRPr="00E26841" w:rsidR="00DD7616">
        <w:t>091</w:t>
      </w:r>
      <w:r w:rsidRPr="00E26841">
        <w:t xml:space="preserve"> hours/year x $278/</w:t>
      </w:r>
      <w:proofErr w:type="spellStart"/>
      <w:r w:rsidRPr="00E26841">
        <w:t>hr</w:t>
      </w:r>
      <w:proofErr w:type="spellEnd"/>
      <w:r w:rsidRPr="00E26841">
        <w:t>). See Table 2 for a breakdown of costs to the Federal Government.</w:t>
      </w:r>
    </w:p>
    <w:p w:rsidRPr="00E26841" w:rsidR="00906B64" w:rsidP="00906B64" w:rsidRDefault="00906B64" w14:paraId="71551D49" w14:textId="4534670E">
      <w:pPr>
        <w:pStyle w:val="BodyText"/>
        <w:spacing w:line="240" w:lineRule="exact"/>
        <w:ind w:right="246"/>
      </w:pPr>
    </w:p>
    <w:p w:rsidRPr="00E26841" w:rsidR="00EB0BFD" w:rsidRDefault="001D7B29" w14:paraId="098FFF41" w14:textId="77777777">
      <w:pPr>
        <w:pStyle w:val="ListParagraph"/>
        <w:numPr>
          <w:ilvl w:val="1"/>
          <w:numId w:val="1"/>
        </w:numPr>
        <w:tabs>
          <w:tab w:val="left" w:pos="1159"/>
          <w:tab w:val="left" w:pos="1160"/>
        </w:tabs>
        <w:ind w:hanging="720"/>
        <w:jc w:val="left"/>
      </w:pPr>
      <w:r w:rsidRPr="00E26841">
        <w:rPr>
          <w:u w:val="single"/>
        </w:rPr>
        <w:t>Reasons for Changes in Burden or</w:t>
      </w:r>
      <w:r w:rsidRPr="00E26841">
        <w:rPr>
          <w:spacing w:val="-11"/>
          <w:u w:val="single"/>
        </w:rPr>
        <w:t xml:space="preserve"> </w:t>
      </w:r>
      <w:r w:rsidRPr="00E26841">
        <w:rPr>
          <w:u w:val="single"/>
        </w:rPr>
        <w:t>Cost</w:t>
      </w:r>
    </w:p>
    <w:p w:rsidRPr="00E26841" w:rsidR="00EB0BFD" w:rsidRDefault="00EB0BFD" w14:paraId="74402159" w14:textId="77777777">
      <w:pPr>
        <w:pStyle w:val="BodyText"/>
        <w:spacing w:before="10"/>
      </w:pPr>
    </w:p>
    <w:p w:rsidRPr="00E26841" w:rsidR="00EB0BFD" w:rsidRDefault="001D7B29" w14:paraId="5B4C5123" w14:textId="62425917">
      <w:pPr>
        <w:pStyle w:val="BodyText"/>
        <w:tabs>
          <w:tab w:val="left" w:pos="5842"/>
        </w:tabs>
        <w:spacing w:before="1" w:line="240" w:lineRule="exact"/>
        <w:ind w:left="1160" w:right="103"/>
      </w:pPr>
      <w:r w:rsidRPr="00E26841">
        <w:t>From 201</w:t>
      </w:r>
      <w:r w:rsidRPr="00E26841" w:rsidR="004243D3">
        <w:t>7</w:t>
      </w:r>
      <w:r w:rsidRPr="00E26841">
        <w:t xml:space="preserve"> to 201</w:t>
      </w:r>
      <w:r w:rsidRPr="00E26841" w:rsidR="004243D3">
        <w:t>9</w:t>
      </w:r>
      <w:r w:rsidRPr="00E26841">
        <w:t>,</w:t>
      </w:r>
      <w:r w:rsidRPr="00E26841">
        <w:rPr>
          <w:spacing w:val="-6"/>
        </w:rPr>
        <w:t xml:space="preserve"> </w:t>
      </w:r>
      <w:r w:rsidRPr="00E26841">
        <w:t>an</w:t>
      </w:r>
      <w:r w:rsidRPr="00E26841">
        <w:rPr>
          <w:spacing w:val="-2"/>
        </w:rPr>
        <w:t xml:space="preserve"> </w:t>
      </w:r>
      <w:r w:rsidRPr="00E26841">
        <w:t>average</w:t>
      </w:r>
      <w:r w:rsidRPr="00E26841">
        <w:rPr>
          <w:w w:val="99"/>
        </w:rPr>
        <w:t xml:space="preserve"> </w:t>
      </w:r>
      <w:r w:rsidRPr="00E26841">
        <w:t>of 1,</w:t>
      </w:r>
      <w:r w:rsidRPr="00E26841" w:rsidR="004243D3">
        <w:t>645</w:t>
      </w:r>
      <w:r w:rsidRPr="00E26841">
        <w:t xml:space="preserve"> forms was estimated to be filed annually. The previous estimate was 1,</w:t>
      </w:r>
      <w:r w:rsidRPr="00E26841" w:rsidR="004243D3">
        <w:t>720</w:t>
      </w:r>
      <w:r w:rsidRPr="00E26841">
        <w:t xml:space="preserve"> forms (based on a review of the estimated actual number of forms received from 201</w:t>
      </w:r>
      <w:r w:rsidRPr="00E26841" w:rsidR="004243D3">
        <w:t>5</w:t>
      </w:r>
      <w:r w:rsidRPr="00E26841">
        <w:t xml:space="preserve"> to 201</w:t>
      </w:r>
      <w:r w:rsidRPr="00E26841" w:rsidR="004243D3">
        <w:t>6</w:t>
      </w:r>
      <w:r w:rsidRPr="00E26841">
        <w:t xml:space="preserve">), an overall </w:t>
      </w:r>
      <w:r w:rsidRPr="00E26841" w:rsidR="004243D3">
        <w:t>decrease</w:t>
      </w:r>
      <w:r w:rsidRPr="00E26841">
        <w:t xml:space="preserve"> of </w:t>
      </w:r>
      <w:r w:rsidRPr="00E26841" w:rsidR="004243D3">
        <w:t>75</w:t>
      </w:r>
      <w:r w:rsidRPr="00E26841">
        <w:t xml:space="preserve"> forms. The number of initial submissions increased from </w:t>
      </w:r>
      <w:r w:rsidRPr="00E26841" w:rsidR="004243D3">
        <w:t>200</w:t>
      </w:r>
      <w:r w:rsidRPr="00E26841">
        <w:t xml:space="preserve"> to 2</w:t>
      </w:r>
      <w:r w:rsidRPr="00E26841" w:rsidR="004243D3">
        <w:t>23</w:t>
      </w:r>
      <w:r w:rsidRPr="00E26841">
        <w:t xml:space="preserve"> (an increase of </w:t>
      </w:r>
      <w:r w:rsidRPr="00E26841" w:rsidR="004243D3">
        <w:t>23</w:t>
      </w:r>
      <w:r w:rsidRPr="00E26841">
        <w:t xml:space="preserve"> forms, </w:t>
      </w:r>
      <w:r w:rsidRPr="00E26841" w:rsidR="004243D3">
        <w:t>11</w:t>
      </w:r>
      <w:r w:rsidRPr="00E26841">
        <w:t xml:space="preserve">.5 hours of burden); the number of changes to the initial forms submitted </w:t>
      </w:r>
      <w:r w:rsidRPr="00E26841" w:rsidR="004243D3">
        <w:t>decreased</w:t>
      </w:r>
      <w:r w:rsidRPr="00E26841">
        <w:t xml:space="preserve"> from </w:t>
      </w:r>
      <w:r w:rsidRPr="00E26841" w:rsidR="004243D3">
        <w:t>1,520</w:t>
      </w:r>
      <w:r w:rsidRPr="00E26841">
        <w:t xml:space="preserve"> to 1,</w:t>
      </w:r>
      <w:r w:rsidRPr="00E26841" w:rsidR="004243D3">
        <w:t>422</w:t>
      </w:r>
      <w:r w:rsidRPr="00E26841">
        <w:t xml:space="preserve"> (a </w:t>
      </w:r>
      <w:r w:rsidRPr="00E26841" w:rsidR="004243D3">
        <w:t>de</w:t>
      </w:r>
      <w:r w:rsidRPr="00E26841">
        <w:t xml:space="preserve">crease of </w:t>
      </w:r>
      <w:r w:rsidRPr="00E26841" w:rsidR="00C60A0E">
        <w:t>98</w:t>
      </w:r>
      <w:r w:rsidRPr="00E26841">
        <w:t xml:space="preserve"> forms, </w:t>
      </w:r>
      <w:r w:rsidRPr="00E26841" w:rsidR="00C60A0E">
        <w:t>24.5</w:t>
      </w:r>
      <w:r w:rsidRPr="00E26841">
        <w:t xml:space="preserve"> hours of burden)</w:t>
      </w:r>
      <w:r w:rsidRPr="00E26841" w:rsidR="005917C1">
        <w:t>.</w:t>
      </w:r>
    </w:p>
    <w:p w:rsidRPr="00E26841" w:rsidR="00906B64" w:rsidRDefault="00906B64" w14:paraId="09801ED4" w14:textId="24571C46">
      <w:pPr>
        <w:pStyle w:val="BodyText"/>
        <w:tabs>
          <w:tab w:val="left" w:pos="5842"/>
        </w:tabs>
        <w:spacing w:before="1" w:line="240" w:lineRule="exact"/>
        <w:ind w:left="1160" w:right="103"/>
      </w:pPr>
      <w:r w:rsidRPr="00E26841">
        <w:tab/>
        <w:t>Previous</w:t>
      </w:r>
      <w:r w:rsidRPr="00E26841">
        <w:tab/>
        <w:t>Current</w:t>
      </w:r>
    </w:p>
    <w:p w:rsidRPr="00E26841" w:rsidR="00906B64" w:rsidRDefault="00906B64" w14:paraId="62F5385B" w14:textId="146D2EED">
      <w:pPr>
        <w:pStyle w:val="BodyText"/>
        <w:tabs>
          <w:tab w:val="left" w:pos="5842"/>
        </w:tabs>
        <w:spacing w:before="1" w:line="240" w:lineRule="exact"/>
        <w:ind w:left="1160" w:right="103"/>
      </w:pPr>
      <w:r w:rsidRPr="00E26841">
        <w:t>Initial Submissions</w:t>
      </w:r>
      <w:r w:rsidRPr="00E26841">
        <w:tab/>
        <w:t xml:space="preserve">  200</w:t>
      </w:r>
      <w:r w:rsidRPr="00E26841">
        <w:tab/>
      </w:r>
      <w:r w:rsidRPr="00E26841">
        <w:tab/>
        <w:t xml:space="preserve">  223</w:t>
      </w:r>
    </w:p>
    <w:p w:rsidRPr="00E26841" w:rsidR="00906B64" w:rsidRDefault="00906B64" w14:paraId="67A7ED45" w14:textId="75E594F3">
      <w:pPr>
        <w:pStyle w:val="BodyText"/>
        <w:tabs>
          <w:tab w:val="left" w:pos="5842"/>
        </w:tabs>
        <w:spacing w:before="1" w:line="240" w:lineRule="exact"/>
        <w:ind w:left="1160" w:right="103"/>
      </w:pPr>
      <w:r w:rsidRPr="00E26841">
        <w:t>Changes to Initial Submissions</w:t>
      </w:r>
      <w:r w:rsidRPr="00E26841">
        <w:tab/>
      </w:r>
      <w:r w:rsidRPr="00E26841">
        <w:rPr>
          <w:u w:val="single"/>
        </w:rPr>
        <w:t>1520</w:t>
      </w:r>
      <w:r w:rsidRPr="00E26841">
        <w:tab/>
      </w:r>
      <w:r w:rsidRPr="00E26841">
        <w:tab/>
      </w:r>
      <w:r w:rsidRPr="00E26841">
        <w:rPr>
          <w:u w:val="single"/>
        </w:rPr>
        <w:t>1422</w:t>
      </w:r>
    </w:p>
    <w:p w:rsidRPr="00E26841" w:rsidR="00906B64" w:rsidP="00906B64" w:rsidRDefault="00906B64" w14:paraId="4A9C55BA" w14:textId="77777777">
      <w:pPr>
        <w:pStyle w:val="BodyText"/>
        <w:tabs>
          <w:tab w:val="left" w:pos="5842"/>
        </w:tabs>
        <w:spacing w:before="1" w:line="240" w:lineRule="exact"/>
        <w:ind w:left="1160" w:right="103"/>
      </w:pPr>
      <w:r w:rsidRPr="00E26841">
        <w:t>Estimated total number of received forms</w:t>
      </w:r>
      <w:r w:rsidRPr="00E26841">
        <w:tab/>
        <w:t>1720</w:t>
      </w:r>
      <w:r w:rsidRPr="00E26841">
        <w:tab/>
      </w:r>
      <w:r w:rsidRPr="00E26841">
        <w:tab/>
        <w:t>1645</w:t>
      </w:r>
    </w:p>
    <w:p w:rsidRPr="00E26841" w:rsidR="00EB0BFD" w:rsidRDefault="00906B64" w14:paraId="19D184A8" w14:textId="3BADF405">
      <w:pPr>
        <w:pStyle w:val="BodyText"/>
        <w:spacing w:before="10"/>
      </w:pPr>
      <w:r w:rsidRPr="00E26841">
        <w:tab/>
      </w:r>
    </w:p>
    <w:p w:rsidRPr="00E26841" w:rsidR="0036425A" w:rsidRDefault="0036425A" w14:paraId="5C6E435C" w14:textId="69812E5F">
      <w:pPr>
        <w:pStyle w:val="BodyText"/>
        <w:spacing w:line="240" w:lineRule="exact"/>
        <w:ind w:left="1160" w:right="246"/>
      </w:pPr>
      <w:r w:rsidRPr="00E26841">
        <w:t xml:space="preserve">The NRC expects the same pace of submissions to continue during this clearance period. </w:t>
      </w:r>
    </w:p>
    <w:p w:rsidRPr="00E26841" w:rsidR="0036425A" w:rsidRDefault="0036425A" w14:paraId="60B1BA7B" w14:textId="77777777">
      <w:pPr>
        <w:pStyle w:val="BodyText"/>
        <w:spacing w:line="240" w:lineRule="exact"/>
        <w:ind w:left="1160" w:right="246"/>
      </w:pPr>
    </w:p>
    <w:p w:rsidRPr="00E26841" w:rsidR="00EB0BFD" w:rsidRDefault="001D7B29" w14:paraId="15DAEBD0" w14:textId="0D1B0594">
      <w:pPr>
        <w:pStyle w:val="BodyText"/>
        <w:spacing w:line="240" w:lineRule="exact"/>
        <w:ind w:left="1160" w:right="246"/>
      </w:pPr>
      <w:r w:rsidRPr="00E26841">
        <w:t xml:space="preserve">As a result of the </w:t>
      </w:r>
      <w:r w:rsidRPr="00E26841" w:rsidR="00C60A0E">
        <w:t>increase</w:t>
      </w:r>
      <w:r w:rsidRPr="00E26841">
        <w:t xml:space="preserve"> in the estimated number of </w:t>
      </w:r>
      <w:r w:rsidRPr="00E26841" w:rsidR="00D313FF">
        <w:t>initial</w:t>
      </w:r>
      <w:r w:rsidRPr="00E26841" w:rsidR="00F66039">
        <w:t xml:space="preserve"> </w:t>
      </w:r>
      <w:r w:rsidRPr="00E26841">
        <w:t>forms filed annually</w:t>
      </w:r>
      <w:r w:rsidRPr="00E26841" w:rsidR="00C60A0E">
        <w:t xml:space="preserve"> and </w:t>
      </w:r>
      <w:r w:rsidRPr="00E26841" w:rsidR="00F66039">
        <w:t xml:space="preserve">the </w:t>
      </w:r>
      <w:r w:rsidRPr="00E26841" w:rsidR="00C60A0E">
        <w:t>decrease in changes to the initial form</w:t>
      </w:r>
      <w:r w:rsidRPr="00E26841">
        <w:t>, the overall burden estimate has</w:t>
      </w:r>
      <w:r w:rsidRPr="00E26841" w:rsidR="00C60A0E">
        <w:t xml:space="preserve"> de</w:t>
      </w:r>
      <w:r w:rsidRPr="00E26841">
        <w:t xml:space="preserve">creased from </w:t>
      </w:r>
      <w:r w:rsidRPr="00E26841" w:rsidR="00C60A0E">
        <w:t>480</w:t>
      </w:r>
      <w:r w:rsidRPr="00E26841">
        <w:t xml:space="preserve"> to </w:t>
      </w:r>
      <w:r w:rsidRPr="00E26841" w:rsidR="00C60A0E">
        <w:t>467</w:t>
      </w:r>
      <w:r w:rsidRPr="00E26841">
        <w:t xml:space="preserve"> hours (a net </w:t>
      </w:r>
      <w:r w:rsidRPr="00E26841" w:rsidR="00C60A0E">
        <w:t>decrease</w:t>
      </w:r>
      <w:r w:rsidRPr="00E26841">
        <w:t xml:space="preserve"> of </w:t>
      </w:r>
      <w:r w:rsidRPr="00E26841" w:rsidR="008A7FEE">
        <w:t>13</w:t>
      </w:r>
      <w:r w:rsidRPr="00E26841">
        <w:t xml:space="preserve"> hours).</w:t>
      </w:r>
    </w:p>
    <w:p w:rsidRPr="00E26841" w:rsidR="00EB0BFD" w:rsidRDefault="00EB0BFD" w14:paraId="0A9548AF" w14:textId="77777777">
      <w:pPr>
        <w:pStyle w:val="BodyText"/>
        <w:spacing w:before="9"/>
      </w:pPr>
    </w:p>
    <w:p w:rsidRPr="00E26841" w:rsidR="00EB0BFD" w:rsidRDefault="001D7B29" w14:paraId="1221BE97" w14:textId="2B294E45">
      <w:pPr>
        <w:pStyle w:val="BodyText"/>
        <w:ind w:left="1160"/>
      </w:pPr>
      <w:r w:rsidRPr="00E26841">
        <w:t xml:space="preserve">In addition, the hourly rate </w:t>
      </w:r>
      <w:r w:rsidRPr="00E26841" w:rsidR="008A7FEE">
        <w:t>in</w:t>
      </w:r>
      <w:r w:rsidRPr="00E26841">
        <w:t>creased from $2</w:t>
      </w:r>
      <w:r w:rsidRPr="00E26841" w:rsidR="008A7FEE">
        <w:t>65</w:t>
      </w:r>
      <w:r w:rsidRPr="00E26841">
        <w:t>/hour to $2</w:t>
      </w:r>
      <w:r w:rsidRPr="00E26841" w:rsidR="008A7FEE">
        <w:t>78</w:t>
      </w:r>
      <w:r w:rsidRPr="00E26841">
        <w:t>/hour.</w:t>
      </w:r>
    </w:p>
    <w:p w:rsidRPr="00E26841" w:rsidR="00EB0BFD" w:rsidRDefault="00EB0BFD" w14:paraId="33997169" w14:textId="77777777">
      <w:pPr>
        <w:pStyle w:val="BodyText"/>
        <w:spacing w:before="8"/>
      </w:pPr>
    </w:p>
    <w:p w:rsidRPr="00E26841" w:rsidR="00EB0BFD" w:rsidRDefault="001D7B29" w14:paraId="20A098B8" w14:textId="77777777">
      <w:pPr>
        <w:pStyle w:val="ListParagraph"/>
        <w:numPr>
          <w:ilvl w:val="1"/>
          <w:numId w:val="1"/>
        </w:numPr>
        <w:tabs>
          <w:tab w:val="left" w:pos="1159"/>
          <w:tab w:val="left" w:pos="1160"/>
        </w:tabs>
        <w:ind w:left="1159" w:hanging="719"/>
        <w:jc w:val="left"/>
      </w:pPr>
      <w:r w:rsidRPr="00E26841">
        <w:rPr>
          <w:u w:val="single"/>
        </w:rPr>
        <w:t>Publication for Statistical</w:t>
      </w:r>
      <w:r w:rsidRPr="00E26841">
        <w:rPr>
          <w:spacing w:val="-7"/>
          <w:u w:val="single"/>
        </w:rPr>
        <w:t xml:space="preserve"> </w:t>
      </w:r>
      <w:r w:rsidRPr="00E26841">
        <w:rPr>
          <w:u w:val="single"/>
        </w:rPr>
        <w:t>Use</w:t>
      </w:r>
    </w:p>
    <w:p w:rsidRPr="00E26841" w:rsidR="00EB0BFD" w:rsidRDefault="00EB0BFD" w14:paraId="4C0FA0F0" w14:textId="77777777">
      <w:pPr>
        <w:pStyle w:val="BodyText"/>
        <w:spacing w:before="8"/>
      </w:pPr>
    </w:p>
    <w:p w:rsidRPr="00E26841" w:rsidR="00EB0BFD" w:rsidRDefault="001D7B29" w14:paraId="0E9DE5B7" w14:textId="77777777">
      <w:pPr>
        <w:pStyle w:val="BodyText"/>
        <w:ind w:left="1160"/>
      </w:pPr>
      <w:r w:rsidRPr="00E26841">
        <w:t>This information will not be published for statistical use.</w:t>
      </w:r>
    </w:p>
    <w:p w:rsidRPr="00E26841" w:rsidR="00EB0BFD" w:rsidRDefault="00EB0BFD" w14:paraId="5A825EBE" w14:textId="77777777">
      <w:pPr>
        <w:pStyle w:val="BodyText"/>
        <w:spacing w:before="8"/>
      </w:pPr>
    </w:p>
    <w:p w:rsidRPr="00E26841" w:rsidR="00EB0BFD" w:rsidRDefault="001D7B29" w14:paraId="567980E1" w14:textId="77777777">
      <w:pPr>
        <w:pStyle w:val="ListParagraph"/>
        <w:numPr>
          <w:ilvl w:val="1"/>
          <w:numId w:val="1"/>
        </w:numPr>
        <w:tabs>
          <w:tab w:val="left" w:pos="1159"/>
          <w:tab w:val="left" w:pos="1160"/>
        </w:tabs>
        <w:ind w:left="1159" w:hanging="719"/>
        <w:jc w:val="left"/>
      </w:pPr>
      <w:r w:rsidRPr="00E26841">
        <w:rPr>
          <w:u w:val="single"/>
        </w:rPr>
        <w:t>Reason for Not Displaying the Expiration</w:t>
      </w:r>
      <w:r w:rsidRPr="00E26841">
        <w:rPr>
          <w:spacing w:val="-9"/>
          <w:u w:val="single"/>
        </w:rPr>
        <w:t xml:space="preserve"> </w:t>
      </w:r>
      <w:r w:rsidRPr="00E26841">
        <w:rPr>
          <w:u w:val="single"/>
        </w:rPr>
        <w:t>Date</w:t>
      </w:r>
    </w:p>
    <w:p w:rsidRPr="00E26841" w:rsidR="00EB0BFD" w:rsidRDefault="00EB0BFD" w14:paraId="0E521A1F" w14:textId="77777777">
      <w:pPr>
        <w:pStyle w:val="BodyText"/>
        <w:spacing w:before="8"/>
      </w:pPr>
    </w:p>
    <w:p w:rsidRPr="00E26841" w:rsidR="00EB0BFD" w:rsidRDefault="001D7B29" w14:paraId="7EC0DDB1" w14:textId="77777777">
      <w:pPr>
        <w:pStyle w:val="BodyText"/>
        <w:ind w:left="1160"/>
      </w:pPr>
      <w:r w:rsidRPr="00E26841">
        <w:t>The expiration date is displayed on NRC Form 241.</w:t>
      </w:r>
    </w:p>
    <w:p w:rsidR="00EB0BFD" w:rsidRDefault="00EB0BFD" w14:paraId="4805C59D" w14:textId="77777777">
      <w:pPr>
        <w:sectPr w:rsidR="00EB0BFD" w:rsidSect="00A40038">
          <w:footerReference w:type="default" r:id="rId12"/>
          <w:pgSz w:w="12240" w:h="15840"/>
          <w:pgMar w:top="1440" w:right="1440" w:bottom="1440" w:left="1440" w:header="0" w:footer="1488" w:gutter="0"/>
          <w:cols w:space="720"/>
          <w:docGrid w:linePitch="299"/>
        </w:sectPr>
      </w:pPr>
    </w:p>
    <w:p w:rsidR="00EB0BFD" w:rsidRDefault="001D7B29" w14:paraId="207AEAAF" w14:textId="77777777">
      <w:pPr>
        <w:pStyle w:val="ListParagraph"/>
        <w:numPr>
          <w:ilvl w:val="1"/>
          <w:numId w:val="1"/>
        </w:numPr>
        <w:tabs>
          <w:tab w:val="left" w:pos="1559"/>
          <w:tab w:val="left" w:pos="1560"/>
        </w:tabs>
        <w:spacing w:before="65" w:line="456" w:lineRule="auto"/>
        <w:ind w:left="1560" w:right="4065" w:hanging="720"/>
        <w:jc w:val="left"/>
      </w:pPr>
      <w:r>
        <w:rPr>
          <w:u w:val="single"/>
        </w:rPr>
        <w:lastRenderedPageBreak/>
        <w:t>Exceptions to the Certification</w:t>
      </w:r>
      <w:r>
        <w:rPr>
          <w:spacing w:val="-8"/>
          <w:u w:val="single"/>
        </w:rPr>
        <w:t xml:space="preserve"> </w:t>
      </w:r>
      <w:r>
        <w:rPr>
          <w:u w:val="single"/>
        </w:rPr>
        <w:t xml:space="preserve">Statement </w:t>
      </w:r>
      <w:r>
        <w:t>There are no</w:t>
      </w:r>
      <w:r>
        <w:rPr>
          <w:spacing w:val="-5"/>
        </w:rPr>
        <w:t xml:space="preserve"> </w:t>
      </w:r>
      <w:r>
        <w:t>exceptions.</w:t>
      </w:r>
    </w:p>
    <w:p w:rsidR="00EB0BFD" w:rsidRDefault="001D7B29" w14:paraId="2689FC77" w14:textId="77777777">
      <w:pPr>
        <w:pStyle w:val="ListParagraph"/>
        <w:numPr>
          <w:ilvl w:val="0"/>
          <w:numId w:val="1"/>
        </w:numPr>
        <w:tabs>
          <w:tab w:val="left" w:pos="839"/>
          <w:tab w:val="left" w:pos="841"/>
        </w:tabs>
        <w:spacing w:before="5"/>
        <w:ind w:hanging="720"/>
      </w:pPr>
      <w:r>
        <w:rPr>
          <w:u w:val="single"/>
        </w:rPr>
        <w:t>COLLECTIONS OF INFORMATION EMPLOYING STATISTICAL</w:t>
      </w:r>
      <w:r>
        <w:rPr>
          <w:spacing w:val="-17"/>
          <w:u w:val="single"/>
        </w:rPr>
        <w:t xml:space="preserve"> </w:t>
      </w:r>
      <w:r>
        <w:rPr>
          <w:u w:val="single"/>
        </w:rPr>
        <w:t>METHODS</w:t>
      </w:r>
    </w:p>
    <w:p w:rsidRPr="00E26841" w:rsidR="00EB0BFD" w:rsidRDefault="00EB0BFD" w14:paraId="16A7203F" w14:textId="77777777">
      <w:pPr>
        <w:pStyle w:val="BodyText"/>
        <w:spacing w:before="8"/>
      </w:pPr>
    </w:p>
    <w:p w:rsidR="00EB0BFD" w:rsidRDefault="001D7B29" w14:paraId="248CE183" w14:textId="77777777">
      <w:pPr>
        <w:pStyle w:val="BodyText"/>
        <w:spacing w:before="93"/>
        <w:ind w:left="840"/>
      </w:pPr>
      <w:r>
        <w:t>Not applicable.</w:t>
      </w:r>
    </w:p>
    <w:p w:rsidR="00EB0BFD" w:rsidRDefault="00EB0BFD" w14:paraId="4BB42326" w14:textId="77777777">
      <w:pPr>
        <w:pStyle w:val="BodyText"/>
        <w:spacing w:before="2"/>
        <w:rPr>
          <w:sz w:val="25"/>
        </w:rPr>
      </w:pPr>
    </w:p>
    <w:p w:rsidR="00EB0BFD" w:rsidRDefault="001D7B29" w14:paraId="58B54A5C" w14:textId="77777777">
      <w:pPr>
        <w:pStyle w:val="Heading1"/>
        <w:spacing w:before="92"/>
      </w:pPr>
      <w:r>
        <w:t>TABLE 1</w:t>
      </w:r>
    </w:p>
    <w:p w:rsidR="00EB0BFD" w:rsidRDefault="001D7B29" w14:paraId="3DF2984B" w14:textId="77777777">
      <w:pPr>
        <w:spacing w:before="125"/>
        <w:ind w:left="3461"/>
        <w:rPr>
          <w:b/>
        </w:rPr>
      </w:pPr>
      <w:r>
        <w:rPr>
          <w:b/>
        </w:rPr>
        <w:t>Annual Reporting Burden</w:t>
      </w:r>
    </w:p>
    <w:p w:rsidR="00EB0BFD" w:rsidRDefault="00EB0BFD" w14:paraId="1EC94C2A" w14:textId="77777777">
      <w:pPr>
        <w:pStyle w:val="BodyText"/>
        <w:spacing w:before="10"/>
        <w:rPr>
          <w:b/>
          <w:sz w:val="10"/>
        </w:rPr>
      </w:pPr>
    </w:p>
    <w:tbl>
      <w:tblPr>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88"/>
        <w:gridCol w:w="1877"/>
        <w:gridCol w:w="1868"/>
        <w:gridCol w:w="1852"/>
        <w:gridCol w:w="1866"/>
      </w:tblGrid>
      <w:tr w:rsidR="00EB0BFD" w14:paraId="1C025B5F" w14:textId="77777777">
        <w:trPr>
          <w:trHeight w:val="756" w:hRule="exact"/>
        </w:trPr>
        <w:tc>
          <w:tcPr>
            <w:tcW w:w="1888" w:type="dxa"/>
          </w:tcPr>
          <w:p w:rsidR="00EB0BFD" w:rsidRDefault="00EB0BFD" w14:paraId="2B7BB5B6" w14:textId="77777777"/>
        </w:tc>
        <w:tc>
          <w:tcPr>
            <w:tcW w:w="1877" w:type="dxa"/>
          </w:tcPr>
          <w:p w:rsidR="00EB0BFD" w:rsidRDefault="001D7B29" w14:paraId="43F6C169" w14:textId="77777777">
            <w:pPr>
              <w:pStyle w:val="TableParagraph"/>
              <w:spacing w:before="119"/>
              <w:ind w:left="382" w:right="364" w:firstLine="37"/>
              <w:jc w:val="left"/>
            </w:pPr>
            <w:r>
              <w:t>Number of Responses</w:t>
            </w:r>
          </w:p>
        </w:tc>
        <w:tc>
          <w:tcPr>
            <w:tcW w:w="1868" w:type="dxa"/>
          </w:tcPr>
          <w:p w:rsidR="00EB0BFD" w:rsidP="00E26841" w:rsidRDefault="001D7B29" w14:paraId="6C66BF1F" w14:textId="77777777">
            <w:pPr>
              <w:pStyle w:val="TableParagraph"/>
              <w:spacing w:before="119"/>
              <w:ind w:left="243" w:right="226" w:firstLine="7"/>
              <w:jc w:val="both"/>
            </w:pPr>
            <w:r>
              <w:t>Burden Hours per Response</w:t>
            </w:r>
          </w:p>
        </w:tc>
        <w:tc>
          <w:tcPr>
            <w:tcW w:w="1852" w:type="dxa"/>
          </w:tcPr>
          <w:p w:rsidR="00EB0BFD" w:rsidRDefault="001D7B29" w14:paraId="3CBEEA45" w14:textId="77777777">
            <w:pPr>
              <w:pStyle w:val="TableParagraph"/>
              <w:spacing w:before="119"/>
              <w:ind w:left="627" w:right="273" w:hanging="338"/>
              <w:jc w:val="left"/>
            </w:pPr>
            <w:r>
              <w:t>Total Burden Hours</w:t>
            </w:r>
          </w:p>
        </w:tc>
        <w:tc>
          <w:tcPr>
            <w:tcW w:w="1866" w:type="dxa"/>
          </w:tcPr>
          <w:p w:rsidR="00EB0BFD" w:rsidRDefault="001D7B29" w14:paraId="032E2306" w14:textId="6AAC6543">
            <w:pPr>
              <w:pStyle w:val="TableParagraph"/>
              <w:spacing w:before="119"/>
              <w:ind w:left="157" w:right="0"/>
              <w:jc w:val="left"/>
            </w:pPr>
            <w:r>
              <w:t>Cost at $278/</w:t>
            </w:r>
            <w:proofErr w:type="spellStart"/>
            <w:r>
              <w:t>Hr</w:t>
            </w:r>
            <w:proofErr w:type="spellEnd"/>
          </w:p>
        </w:tc>
      </w:tr>
      <w:tr w:rsidR="00EB0BFD" w14:paraId="44570505" w14:textId="77777777">
        <w:trPr>
          <w:trHeight w:val="504" w:hRule="exact"/>
        </w:trPr>
        <w:tc>
          <w:tcPr>
            <w:tcW w:w="1888" w:type="dxa"/>
          </w:tcPr>
          <w:p w:rsidR="00EB0BFD" w:rsidP="00E26841" w:rsidRDefault="001D7B29" w14:paraId="21781C37" w14:textId="77777777">
            <w:pPr>
              <w:pStyle w:val="TableParagraph"/>
              <w:spacing w:before="119"/>
              <w:ind w:left="103" w:right="0"/>
              <w:jc w:val="center"/>
            </w:pPr>
            <w:r>
              <w:t>Initial Submittals</w:t>
            </w:r>
          </w:p>
        </w:tc>
        <w:tc>
          <w:tcPr>
            <w:tcW w:w="1877" w:type="dxa"/>
          </w:tcPr>
          <w:p w:rsidR="00EB0BFD" w:rsidP="00E26841" w:rsidRDefault="001D7B29" w14:paraId="17DF2627" w14:textId="72B59E05">
            <w:pPr>
              <w:pStyle w:val="TableParagraph"/>
              <w:spacing w:before="119"/>
              <w:ind w:right="100"/>
              <w:jc w:val="center"/>
            </w:pPr>
            <w:r>
              <w:rPr>
                <w:w w:val="95"/>
              </w:rPr>
              <w:t>2</w:t>
            </w:r>
            <w:r w:rsidR="00C1395D">
              <w:rPr>
                <w:w w:val="95"/>
              </w:rPr>
              <w:t>23</w:t>
            </w:r>
          </w:p>
        </w:tc>
        <w:tc>
          <w:tcPr>
            <w:tcW w:w="1868" w:type="dxa"/>
          </w:tcPr>
          <w:p w:rsidR="00EB0BFD" w:rsidP="00E26841" w:rsidRDefault="001D7B29" w14:paraId="66C7542C" w14:textId="77777777">
            <w:pPr>
              <w:pStyle w:val="TableParagraph"/>
              <w:spacing w:before="119"/>
              <w:ind w:right="102"/>
              <w:jc w:val="center"/>
            </w:pPr>
            <w:r>
              <w:rPr>
                <w:w w:val="95"/>
              </w:rPr>
              <w:t>0.50</w:t>
            </w:r>
          </w:p>
        </w:tc>
        <w:tc>
          <w:tcPr>
            <w:tcW w:w="1852" w:type="dxa"/>
          </w:tcPr>
          <w:p w:rsidR="00EB0BFD" w:rsidP="00E26841" w:rsidRDefault="00A05243" w14:paraId="07F50A0F" w14:textId="3C7C081F">
            <w:pPr>
              <w:pStyle w:val="TableParagraph"/>
              <w:spacing w:before="119"/>
              <w:jc w:val="center"/>
            </w:pPr>
            <w:r>
              <w:rPr>
                <w:w w:val="95"/>
              </w:rPr>
              <w:t>111.5</w:t>
            </w:r>
          </w:p>
        </w:tc>
        <w:tc>
          <w:tcPr>
            <w:tcW w:w="1866" w:type="dxa"/>
          </w:tcPr>
          <w:p w:rsidR="00EB0BFD" w:rsidP="00E26841" w:rsidRDefault="001D7B29" w14:paraId="5E8F8E68" w14:textId="7D507316">
            <w:pPr>
              <w:pStyle w:val="TableParagraph"/>
              <w:spacing w:before="119"/>
              <w:jc w:val="center"/>
            </w:pPr>
            <w:r>
              <w:rPr>
                <w:w w:val="95"/>
              </w:rPr>
              <w:t>$</w:t>
            </w:r>
            <w:r w:rsidR="00A05243">
              <w:rPr>
                <w:w w:val="95"/>
              </w:rPr>
              <w:t>30,997</w:t>
            </w:r>
          </w:p>
        </w:tc>
      </w:tr>
      <w:tr w:rsidR="00EB0BFD" w14:paraId="53D8C389" w14:textId="77777777">
        <w:trPr>
          <w:trHeight w:val="503" w:hRule="exact"/>
        </w:trPr>
        <w:tc>
          <w:tcPr>
            <w:tcW w:w="1888" w:type="dxa"/>
          </w:tcPr>
          <w:p w:rsidR="00EB0BFD" w:rsidP="00E26841" w:rsidRDefault="001D7B29" w14:paraId="59687778" w14:textId="77777777">
            <w:pPr>
              <w:pStyle w:val="TableParagraph"/>
              <w:ind w:left="103" w:right="0"/>
              <w:jc w:val="center"/>
            </w:pPr>
            <w:r>
              <w:t>Changes</w:t>
            </w:r>
          </w:p>
        </w:tc>
        <w:tc>
          <w:tcPr>
            <w:tcW w:w="1877" w:type="dxa"/>
          </w:tcPr>
          <w:p w:rsidR="00EB0BFD" w:rsidP="00E26841" w:rsidRDefault="001D7B29" w14:paraId="17BC0A97" w14:textId="125C0D6E">
            <w:pPr>
              <w:pStyle w:val="TableParagraph"/>
              <w:jc w:val="center"/>
            </w:pPr>
            <w:r>
              <w:rPr>
                <w:w w:val="95"/>
              </w:rPr>
              <w:t>1,</w:t>
            </w:r>
            <w:r w:rsidR="00A05243">
              <w:rPr>
                <w:w w:val="95"/>
              </w:rPr>
              <w:t>422</w:t>
            </w:r>
          </w:p>
        </w:tc>
        <w:tc>
          <w:tcPr>
            <w:tcW w:w="1868" w:type="dxa"/>
          </w:tcPr>
          <w:p w:rsidR="00EB0BFD" w:rsidP="00E26841" w:rsidRDefault="001D7B29" w14:paraId="23EF0E16" w14:textId="77777777">
            <w:pPr>
              <w:pStyle w:val="TableParagraph"/>
              <w:ind w:right="102"/>
              <w:jc w:val="center"/>
            </w:pPr>
            <w:r>
              <w:rPr>
                <w:w w:val="95"/>
              </w:rPr>
              <w:t>0.25</w:t>
            </w:r>
          </w:p>
        </w:tc>
        <w:tc>
          <w:tcPr>
            <w:tcW w:w="1852" w:type="dxa"/>
          </w:tcPr>
          <w:p w:rsidR="00EB0BFD" w:rsidP="00E26841" w:rsidRDefault="001D7B29" w14:paraId="24FC238E" w14:textId="707BE0F1">
            <w:pPr>
              <w:pStyle w:val="TableParagraph"/>
              <w:ind w:right="102"/>
              <w:jc w:val="center"/>
            </w:pPr>
            <w:r>
              <w:rPr>
                <w:w w:val="95"/>
              </w:rPr>
              <w:t>3</w:t>
            </w:r>
            <w:r w:rsidR="00A05243">
              <w:rPr>
                <w:w w:val="95"/>
              </w:rPr>
              <w:t>55.5</w:t>
            </w:r>
          </w:p>
        </w:tc>
        <w:tc>
          <w:tcPr>
            <w:tcW w:w="1866" w:type="dxa"/>
          </w:tcPr>
          <w:p w:rsidR="00EB0BFD" w:rsidP="00E26841" w:rsidRDefault="001D7B29" w14:paraId="77ECD5F3" w14:textId="5B716F4A">
            <w:pPr>
              <w:pStyle w:val="TableParagraph"/>
              <w:ind w:right="103"/>
              <w:jc w:val="center"/>
            </w:pPr>
            <w:r>
              <w:rPr>
                <w:w w:val="95"/>
              </w:rPr>
              <w:t>$</w:t>
            </w:r>
            <w:r w:rsidR="00A05243">
              <w:rPr>
                <w:w w:val="95"/>
              </w:rPr>
              <w:t>98,829</w:t>
            </w:r>
          </w:p>
        </w:tc>
      </w:tr>
      <w:tr w:rsidR="00EB0BFD" w14:paraId="44036920" w14:textId="77777777">
        <w:trPr>
          <w:trHeight w:val="503" w:hRule="exact"/>
        </w:trPr>
        <w:tc>
          <w:tcPr>
            <w:tcW w:w="1888" w:type="dxa"/>
          </w:tcPr>
          <w:p w:rsidR="00EB0BFD" w:rsidP="00E26841" w:rsidRDefault="001D7B29" w14:paraId="789AF9CC" w14:textId="77777777">
            <w:pPr>
              <w:pStyle w:val="TableParagraph"/>
              <w:ind w:left="103" w:right="0"/>
              <w:jc w:val="center"/>
            </w:pPr>
            <w:r>
              <w:t>Total</w:t>
            </w:r>
          </w:p>
        </w:tc>
        <w:tc>
          <w:tcPr>
            <w:tcW w:w="1877" w:type="dxa"/>
          </w:tcPr>
          <w:p w:rsidR="00EB0BFD" w:rsidP="00E26841" w:rsidRDefault="001D7B29" w14:paraId="6C6E0B21" w14:textId="29C75FE6">
            <w:pPr>
              <w:pStyle w:val="TableParagraph"/>
              <w:jc w:val="center"/>
            </w:pPr>
            <w:r>
              <w:rPr>
                <w:w w:val="95"/>
              </w:rPr>
              <w:t>1,</w:t>
            </w:r>
            <w:r w:rsidR="00A05243">
              <w:rPr>
                <w:w w:val="95"/>
              </w:rPr>
              <w:t>645</w:t>
            </w:r>
          </w:p>
        </w:tc>
        <w:tc>
          <w:tcPr>
            <w:tcW w:w="1868" w:type="dxa"/>
          </w:tcPr>
          <w:p w:rsidR="00EB0BFD" w:rsidP="00E26841" w:rsidRDefault="00EB0BFD" w14:paraId="54ADF34A" w14:textId="77777777">
            <w:pPr>
              <w:jc w:val="center"/>
            </w:pPr>
          </w:p>
        </w:tc>
        <w:tc>
          <w:tcPr>
            <w:tcW w:w="1852" w:type="dxa"/>
          </w:tcPr>
          <w:p w:rsidR="00EB0BFD" w:rsidP="00E26841" w:rsidRDefault="001D7B29" w14:paraId="305B32ED" w14:textId="60B6B140">
            <w:pPr>
              <w:pStyle w:val="TableParagraph"/>
              <w:jc w:val="center"/>
            </w:pPr>
            <w:r>
              <w:rPr>
                <w:w w:val="95"/>
              </w:rPr>
              <w:t>4</w:t>
            </w:r>
            <w:r w:rsidR="00A05243">
              <w:rPr>
                <w:w w:val="95"/>
              </w:rPr>
              <w:t>67</w:t>
            </w:r>
          </w:p>
        </w:tc>
        <w:tc>
          <w:tcPr>
            <w:tcW w:w="1866" w:type="dxa"/>
          </w:tcPr>
          <w:p w:rsidR="00EB0BFD" w:rsidP="00E26841" w:rsidRDefault="001D7B29" w14:paraId="35BD8E28" w14:textId="5BBAD504">
            <w:pPr>
              <w:pStyle w:val="TableParagraph"/>
              <w:jc w:val="center"/>
            </w:pPr>
            <w:r>
              <w:rPr>
                <w:w w:val="95"/>
              </w:rPr>
              <w:t>$12</w:t>
            </w:r>
            <w:r w:rsidR="00A05243">
              <w:rPr>
                <w:w w:val="95"/>
              </w:rPr>
              <w:t>9,826</w:t>
            </w:r>
          </w:p>
        </w:tc>
      </w:tr>
    </w:tbl>
    <w:p w:rsidR="00EB0BFD" w:rsidP="00E26841" w:rsidRDefault="00EB0BFD" w14:paraId="51E4CD3C" w14:textId="77777777">
      <w:pPr>
        <w:pStyle w:val="BodyText"/>
        <w:spacing w:before="11"/>
        <w:jc w:val="center"/>
        <w:rPr>
          <w:b/>
          <w:sz w:val="32"/>
        </w:rPr>
      </w:pPr>
    </w:p>
    <w:p w:rsidR="00EB0BFD" w:rsidRDefault="001D7B29" w14:paraId="51A2641E" w14:textId="298AE275">
      <w:pPr>
        <w:pStyle w:val="BodyText"/>
        <w:tabs>
          <w:tab w:val="right" w:pos="4086"/>
        </w:tabs>
        <w:ind w:left="119"/>
      </w:pPr>
      <w:r>
        <w:t>Total Number</w:t>
      </w:r>
      <w:r>
        <w:rPr>
          <w:spacing w:val="-1"/>
        </w:rPr>
        <w:t xml:space="preserve"> </w:t>
      </w:r>
      <w:r>
        <w:t>of</w:t>
      </w:r>
      <w:r>
        <w:rPr>
          <w:spacing w:val="-1"/>
        </w:rPr>
        <w:t xml:space="preserve"> </w:t>
      </w:r>
      <w:r>
        <w:t>Respondents:</w:t>
      </w:r>
      <w:r>
        <w:tab/>
        <w:t>2</w:t>
      </w:r>
      <w:r w:rsidR="00A05243">
        <w:t>23</w:t>
      </w:r>
    </w:p>
    <w:p w:rsidR="00EB0BFD" w:rsidRDefault="001D7B29" w14:paraId="5DE7AD43" w14:textId="501E5A7A">
      <w:pPr>
        <w:pStyle w:val="BodyText"/>
        <w:tabs>
          <w:tab w:val="left" w:pos="3719"/>
        </w:tabs>
        <w:spacing w:before="126"/>
        <w:ind w:left="119"/>
      </w:pPr>
      <w:r>
        <w:t>Total Number</w:t>
      </w:r>
      <w:r>
        <w:rPr>
          <w:spacing w:val="-2"/>
        </w:rPr>
        <w:t xml:space="preserve"> </w:t>
      </w:r>
      <w:r>
        <w:t>of</w:t>
      </w:r>
      <w:r>
        <w:rPr>
          <w:spacing w:val="-1"/>
        </w:rPr>
        <w:t xml:space="preserve"> </w:t>
      </w:r>
      <w:r>
        <w:t>Responses:</w:t>
      </w:r>
      <w:r>
        <w:tab/>
        <w:t>1,</w:t>
      </w:r>
      <w:r w:rsidR="00A05243">
        <w:t>645</w:t>
      </w:r>
    </w:p>
    <w:p w:rsidR="00EB0BFD" w:rsidRDefault="001D7B29" w14:paraId="1BEEBF6E" w14:textId="01B4CDAC">
      <w:pPr>
        <w:pStyle w:val="BodyText"/>
        <w:tabs>
          <w:tab w:val="left" w:pos="3720"/>
        </w:tabs>
        <w:spacing w:before="126"/>
        <w:ind w:left="119"/>
      </w:pPr>
      <w:r>
        <w:t>Total</w:t>
      </w:r>
      <w:r>
        <w:rPr>
          <w:spacing w:val="-1"/>
        </w:rPr>
        <w:t xml:space="preserve"> </w:t>
      </w:r>
      <w:r>
        <w:t>Reporting</w:t>
      </w:r>
      <w:r>
        <w:rPr>
          <w:spacing w:val="-1"/>
        </w:rPr>
        <w:t xml:space="preserve"> </w:t>
      </w:r>
      <w:r>
        <w:t>Burden:</w:t>
      </w:r>
      <w:r>
        <w:tab/>
        <w:t>4</w:t>
      </w:r>
      <w:r w:rsidR="00A05243">
        <w:t>67</w:t>
      </w:r>
      <w:r>
        <w:t xml:space="preserve"> hours</w:t>
      </w:r>
      <w:r>
        <w:rPr>
          <w:spacing w:val="-6"/>
        </w:rPr>
        <w:t xml:space="preserve"> </w:t>
      </w:r>
      <w:r>
        <w:t>($12</w:t>
      </w:r>
      <w:r w:rsidR="00A05243">
        <w:t>9,867</w:t>
      </w:r>
      <w:r>
        <w:t>)</w:t>
      </w:r>
    </w:p>
    <w:p w:rsidR="00EB0BFD" w:rsidRDefault="00EB0BFD" w14:paraId="31329B81" w14:textId="77777777">
      <w:pPr>
        <w:pStyle w:val="BodyText"/>
        <w:rPr>
          <w:sz w:val="24"/>
        </w:rPr>
      </w:pPr>
    </w:p>
    <w:p w:rsidR="00EB0BFD" w:rsidRDefault="00EB0BFD" w14:paraId="7D8474B5" w14:textId="77777777">
      <w:pPr>
        <w:pStyle w:val="BodyText"/>
        <w:rPr>
          <w:sz w:val="24"/>
        </w:rPr>
      </w:pPr>
    </w:p>
    <w:p w:rsidR="00EB0BFD" w:rsidRDefault="00EB0BFD" w14:paraId="5D7E4395" w14:textId="77777777">
      <w:pPr>
        <w:pStyle w:val="BodyText"/>
        <w:spacing w:before="1"/>
        <w:rPr>
          <w:sz w:val="29"/>
        </w:rPr>
      </w:pPr>
    </w:p>
    <w:p w:rsidR="00EB0BFD" w:rsidRDefault="001D7B29" w14:paraId="4FF38079" w14:textId="77777777">
      <w:pPr>
        <w:pStyle w:val="Heading1"/>
      </w:pPr>
      <w:r>
        <w:t>TABLE 2</w:t>
      </w:r>
    </w:p>
    <w:p w:rsidR="00EB0BFD" w:rsidRDefault="001D7B29" w14:paraId="4B947786" w14:textId="77777777">
      <w:pPr>
        <w:spacing w:before="126"/>
        <w:ind w:left="3374" w:right="3374"/>
        <w:jc w:val="center"/>
        <w:rPr>
          <w:b/>
        </w:rPr>
      </w:pPr>
      <w:r>
        <w:rPr>
          <w:b/>
        </w:rPr>
        <w:t>Federal Government Costs</w:t>
      </w:r>
    </w:p>
    <w:p w:rsidR="00EB0BFD" w:rsidRDefault="00EB0BFD" w14:paraId="19BA3A28" w14:textId="77777777">
      <w:pPr>
        <w:pStyle w:val="BodyText"/>
        <w:spacing w:before="11"/>
        <w:rPr>
          <w:b/>
          <w:sz w:val="10"/>
        </w:rPr>
      </w:pPr>
    </w:p>
    <w:tbl>
      <w:tblPr>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91"/>
        <w:gridCol w:w="1873"/>
        <w:gridCol w:w="1856"/>
        <w:gridCol w:w="1855"/>
        <w:gridCol w:w="1874"/>
      </w:tblGrid>
      <w:tr w:rsidR="00EB0BFD" w14:paraId="3AD4C886" w14:textId="77777777">
        <w:trPr>
          <w:trHeight w:val="756" w:hRule="exact"/>
        </w:trPr>
        <w:tc>
          <w:tcPr>
            <w:tcW w:w="1891" w:type="dxa"/>
          </w:tcPr>
          <w:p w:rsidR="00EB0BFD" w:rsidRDefault="00EB0BFD" w14:paraId="1855C848" w14:textId="77777777"/>
        </w:tc>
        <w:tc>
          <w:tcPr>
            <w:tcW w:w="1873" w:type="dxa"/>
          </w:tcPr>
          <w:p w:rsidR="00EB0BFD" w:rsidRDefault="001D7B29" w14:paraId="2DF12B07" w14:textId="77777777">
            <w:pPr>
              <w:pStyle w:val="TableParagraph"/>
              <w:ind w:left="130" w:right="112" w:firstLine="288"/>
              <w:jc w:val="left"/>
            </w:pPr>
            <w:r>
              <w:t>Number of Forms Received</w:t>
            </w:r>
          </w:p>
        </w:tc>
        <w:tc>
          <w:tcPr>
            <w:tcW w:w="1856" w:type="dxa"/>
          </w:tcPr>
          <w:p w:rsidR="00EB0BFD" w:rsidRDefault="001D7B29" w14:paraId="180C8037" w14:textId="77777777">
            <w:pPr>
              <w:pStyle w:val="TableParagraph"/>
              <w:ind w:right="151"/>
            </w:pPr>
            <w:r>
              <w:t>Hours per Form</w:t>
            </w:r>
          </w:p>
        </w:tc>
        <w:tc>
          <w:tcPr>
            <w:tcW w:w="1855" w:type="dxa"/>
          </w:tcPr>
          <w:p w:rsidR="00EB0BFD" w:rsidRDefault="001D7B29" w14:paraId="329F7B33" w14:textId="77777777">
            <w:pPr>
              <w:pStyle w:val="TableParagraph"/>
              <w:ind w:left="352" w:right="0"/>
              <w:jc w:val="left"/>
            </w:pPr>
            <w:r>
              <w:t>Total Hours</w:t>
            </w:r>
          </w:p>
        </w:tc>
        <w:tc>
          <w:tcPr>
            <w:tcW w:w="1874" w:type="dxa"/>
          </w:tcPr>
          <w:p w:rsidR="00EB0BFD" w:rsidRDefault="001D7B29" w14:paraId="2B46165D" w14:textId="1042F7C2">
            <w:pPr>
              <w:pStyle w:val="TableParagraph"/>
              <w:ind w:left="161" w:right="0"/>
              <w:jc w:val="left"/>
            </w:pPr>
            <w:r>
              <w:t>Cost at $278/</w:t>
            </w:r>
            <w:proofErr w:type="spellStart"/>
            <w:r>
              <w:t>Hr</w:t>
            </w:r>
            <w:proofErr w:type="spellEnd"/>
          </w:p>
        </w:tc>
      </w:tr>
      <w:tr w:rsidR="00EB0BFD" w14:paraId="47E588B9" w14:textId="77777777">
        <w:trPr>
          <w:trHeight w:val="503" w:hRule="exact"/>
        </w:trPr>
        <w:tc>
          <w:tcPr>
            <w:tcW w:w="1891" w:type="dxa"/>
          </w:tcPr>
          <w:p w:rsidR="00EB0BFD" w:rsidRDefault="001D7B29" w14:paraId="101D9540" w14:textId="77777777">
            <w:pPr>
              <w:pStyle w:val="TableParagraph"/>
              <w:ind w:left="103" w:right="0"/>
              <w:jc w:val="left"/>
            </w:pPr>
            <w:r>
              <w:t>Initial Submittals</w:t>
            </w:r>
          </w:p>
        </w:tc>
        <w:tc>
          <w:tcPr>
            <w:tcW w:w="1873" w:type="dxa"/>
          </w:tcPr>
          <w:p w:rsidR="00EB0BFD" w:rsidP="00E26841" w:rsidRDefault="001D7B29" w14:paraId="59F3602F" w14:textId="742790C3">
            <w:pPr>
              <w:pStyle w:val="TableParagraph"/>
              <w:ind w:right="100"/>
              <w:jc w:val="center"/>
            </w:pPr>
            <w:r>
              <w:rPr>
                <w:w w:val="95"/>
              </w:rPr>
              <w:t>2</w:t>
            </w:r>
            <w:r w:rsidR="00B10762">
              <w:rPr>
                <w:w w:val="95"/>
              </w:rPr>
              <w:t>23</w:t>
            </w:r>
          </w:p>
        </w:tc>
        <w:tc>
          <w:tcPr>
            <w:tcW w:w="1856" w:type="dxa"/>
          </w:tcPr>
          <w:p w:rsidR="00EB0BFD" w:rsidP="00E26841" w:rsidRDefault="001D7B29" w14:paraId="68BDE428" w14:textId="77777777">
            <w:pPr>
              <w:pStyle w:val="TableParagraph"/>
              <w:ind w:right="100"/>
              <w:jc w:val="center"/>
            </w:pPr>
            <w:r>
              <w:rPr>
                <w:w w:val="95"/>
              </w:rPr>
              <w:t>3.00</w:t>
            </w:r>
          </w:p>
        </w:tc>
        <w:tc>
          <w:tcPr>
            <w:tcW w:w="1855" w:type="dxa"/>
          </w:tcPr>
          <w:p w:rsidR="00EB0BFD" w:rsidP="00E26841" w:rsidRDefault="00B10762" w14:paraId="57E6C0C0" w14:textId="2CE97E07">
            <w:pPr>
              <w:pStyle w:val="TableParagraph"/>
              <w:ind w:right="100"/>
              <w:jc w:val="center"/>
            </w:pPr>
            <w:r>
              <w:rPr>
                <w:w w:val="95"/>
              </w:rPr>
              <w:t>669</w:t>
            </w:r>
          </w:p>
        </w:tc>
        <w:tc>
          <w:tcPr>
            <w:tcW w:w="1874" w:type="dxa"/>
          </w:tcPr>
          <w:p w:rsidR="00EB0BFD" w:rsidP="00E26841" w:rsidRDefault="001D7B29" w14:paraId="4A7D6702" w14:textId="1494AFAF">
            <w:pPr>
              <w:pStyle w:val="TableParagraph"/>
              <w:jc w:val="center"/>
            </w:pPr>
            <w:r>
              <w:rPr>
                <w:w w:val="95"/>
              </w:rPr>
              <w:t>$</w:t>
            </w:r>
            <w:r w:rsidR="00B10762">
              <w:rPr>
                <w:w w:val="95"/>
              </w:rPr>
              <w:t>185,982</w:t>
            </w:r>
          </w:p>
        </w:tc>
      </w:tr>
      <w:tr w:rsidR="00EB0BFD" w14:paraId="28487D2E" w14:textId="77777777">
        <w:trPr>
          <w:trHeight w:val="503" w:hRule="exact"/>
        </w:trPr>
        <w:tc>
          <w:tcPr>
            <w:tcW w:w="1891" w:type="dxa"/>
          </w:tcPr>
          <w:p w:rsidR="00EB0BFD" w:rsidRDefault="001D7B29" w14:paraId="4BBB089C" w14:textId="77777777">
            <w:pPr>
              <w:pStyle w:val="TableParagraph"/>
              <w:spacing w:before="119"/>
              <w:ind w:left="103" w:right="0"/>
              <w:jc w:val="left"/>
            </w:pPr>
            <w:r>
              <w:t>Changes</w:t>
            </w:r>
          </w:p>
        </w:tc>
        <w:tc>
          <w:tcPr>
            <w:tcW w:w="1873" w:type="dxa"/>
          </w:tcPr>
          <w:p w:rsidR="00EB0BFD" w:rsidP="00E26841" w:rsidRDefault="001D7B29" w14:paraId="6146159F" w14:textId="27247796">
            <w:pPr>
              <w:pStyle w:val="TableParagraph"/>
              <w:spacing w:before="119"/>
              <w:jc w:val="center"/>
            </w:pPr>
            <w:r>
              <w:rPr>
                <w:w w:val="95"/>
              </w:rPr>
              <w:t>1,</w:t>
            </w:r>
            <w:r w:rsidR="00B10762">
              <w:rPr>
                <w:w w:val="95"/>
              </w:rPr>
              <w:t>422</w:t>
            </w:r>
          </w:p>
        </w:tc>
        <w:tc>
          <w:tcPr>
            <w:tcW w:w="1856" w:type="dxa"/>
          </w:tcPr>
          <w:p w:rsidR="00EB0BFD" w:rsidP="00E26841" w:rsidRDefault="001D7B29" w14:paraId="58B86381" w14:textId="77777777">
            <w:pPr>
              <w:pStyle w:val="TableParagraph"/>
              <w:spacing w:before="119"/>
              <w:jc w:val="center"/>
            </w:pPr>
            <w:r>
              <w:rPr>
                <w:w w:val="95"/>
              </w:rPr>
              <w:t>1.00</w:t>
            </w:r>
          </w:p>
        </w:tc>
        <w:tc>
          <w:tcPr>
            <w:tcW w:w="1855" w:type="dxa"/>
          </w:tcPr>
          <w:p w:rsidR="00EB0BFD" w:rsidP="00E26841" w:rsidRDefault="001D7B29" w14:paraId="34CE3789" w14:textId="3D0C7302">
            <w:pPr>
              <w:pStyle w:val="TableParagraph"/>
              <w:spacing w:before="119"/>
              <w:ind w:right="102"/>
              <w:jc w:val="center"/>
            </w:pPr>
            <w:r>
              <w:rPr>
                <w:w w:val="95"/>
              </w:rPr>
              <w:t>1,</w:t>
            </w:r>
            <w:r w:rsidR="00B10762">
              <w:rPr>
                <w:w w:val="95"/>
              </w:rPr>
              <w:t>422</w:t>
            </w:r>
          </w:p>
        </w:tc>
        <w:tc>
          <w:tcPr>
            <w:tcW w:w="1874" w:type="dxa"/>
          </w:tcPr>
          <w:p w:rsidR="00EB0BFD" w:rsidP="00E26841" w:rsidRDefault="001D7B29" w14:paraId="66355D48" w14:textId="21A4F270">
            <w:pPr>
              <w:pStyle w:val="TableParagraph"/>
              <w:spacing w:before="119"/>
              <w:ind w:right="102"/>
              <w:jc w:val="center"/>
            </w:pPr>
            <w:r>
              <w:rPr>
                <w:w w:val="95"/>
              </w:rPr>
              <w:t>$</w:t>
            </w:r>
            <w:r w:rsidR="00B10762">
              <w:rPr>
                <w:w w:val="95"/>
              </w:rPr>
              <w:t>395,316</w:t>
            </w:r>
          </w:p>
        </w:tc>
      </w:tr>
      <w:tr w:rsidR="00EB0BFD" w14:paraId="215BA697" w14:textId="77777777">
        <w:trPr>
          <w:trHeight w:val="503" w:hRule="exact"/>
        </w:trPr>
        <w:tc>
          <w:tcPr>
            <w:tcW w:w="1891" w:type="dxa"/>
          </w:tcPr>
          <w:p w:rsidR="00EB0BFD" w:rsidRDefault="001D7B29" w14:paraId="33DE8E16" w14:textId="77777777">
            <w:pPr>
              <w:pStyle w:val="TableParagraph"/>
              <w:ind w:left="103" w:right="0"/>
              <w:jc w:val="left"/>
            </w:pPr>
            <w:r>
              <w:t>Total</w:t>
            </w:r>
          </w:p>
        </w:tc>
        <w:tc>
          <w:tcPr>
            <w:tcW w:w="1873" w:type="dxa"/>
          </w:tcPr>
          <w:p w:rsidR="00EB0BFD" w:rsidP="00E26841" w:rsidRDefault="001D7B29" w14:paraId="7BFDA008" w14:textId="4FF57CF1">
            <w:pPr>
              <w:pStyle w:val="TableParagraph"/>
              <w:jc w:val="center"/>
            </w:pPr>
            <w:r>
              <w:rPr>
                <w:w w:val="95"/>
              </w:rPr>
              <w:t>1,</w:t>
            </w:r>
            <w:r w:rsidR="00B10762">
              <w:rPr>
                <w:w w:val="95"/>
              </w:rPr>
              <w:t>645</w:t>
            </w:r>
          </w:p>
        </w:tc>
        <w:tc>
          <w:tcPr>
            <w:tcW w:w="1856" w:type="dxa"/>
          </w:tcPr>
          <w:p w:rsidR="00EB0BFD" w:rsidP="00E26841" w:rsidRDefault="00EB0BFD" w14:paraId="4BF13C08" w14:textId="77777777">
            <w:pPr>
              <w:jc w:val="center"/>
            </w:pPr>
          </w:p>
        </w:tc>
        <w:tc>
          <w:tcPr>
            <w:tcW w:w="1855" w:type="dxa"/>
          </w:tcPr>
          <w:p w:rsidR="00EB0BFD" w:rsidP="00E26841" w:rsidRDefault="001D7B29" w14:paraId="0098D2C1" w14:textId="17C7039E">
            <w:pPr>
              <w:pStyle w:val="TableParagraph"/>
              <w:jc w:val="center"/>
            </w:pPr>
            <w:r>
              <w:rPr>
                <w:w w:val="95"/>
              </w:rPr>
              <w:t>2,</w:t>
            </w:r>
            <w:r w:rsidR="00B10762">
              <w:rPr>
                <w:w w:val="95"/>
              </w:rPr>
              <w:t>091</w:t>
            </w:r>
          </w:p>
        </w:tc>
        <w:tc>
          <w:tcPr>
            <w:tcW w:w="1874" w:type="dxa"/>
          </w:tcPr>
          <w:p w:rsidR="00EB0BFD" w:rsidP="00E26841" w:rsidRDefault="001D7B29" w14:paraId="01D9F369" w14:textId="48E2849D">
            <w:pPr>
              <w:pStyle w:val="TableParagraph"/>
              <w:jc w:val="center"/>
            </w:pPr>
            <w:r>
              <w:rPr>
                <w:w w:val="95"/>
              </w:rPr>
              <w:t>$</w:t>
            </w:r>
            <w:r w:rsidR="00B10762">
              <w:rPr>
                <w:w w:val="95"/>
              </w:rPr>
              <w:t>581,298</w:t>
            </w:r>
          </w:p>
        </w:tc>
      </w:tr>
    </w:tbl>
    <w:p w:rsidR="00807E81" w:rsidRDefault="00807E81" w14:paraId="5412AA9C" w14:textId="77777777"/>
    <w:sectPr w:rsidR="00807E81">
      <w:pgSz w:w="12240" w:h="15840"/>
      <w:pgMar w:top="1360" w:right="1320" w:bottom="1680" w:left="1320" w:header="0" w:footer="1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37DC2" w14:textId="77777777" w:rsidR="00521B86" w:rsidRDefault="00521B86">
      <w:r>
        <w:separator/>
      </w:r>
    </w:p>
  </w:endnote>
  <w:endnote w:type="continuationSeparator" w:id="0">
    <w:p w14:paraId="76A5DA3C" w14:textId="77777777" w:rsidR="00521B86" w:rsidRDefault="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F829D" w14:textId="2F5F64BD" w:rsidR="00966078" w:rsidRDefault="0096607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97B35" w14:textId="77777777" w:rsidR="00521B86" w:rsidRDefault="00521B86">
      <w:r>
        <w:separator/>
      </w:r>
    </w:p>
  </w:footnote>
  <w:footnote w:type="continuationSeparator" w:id="0">
    <w:p w14:paraId="6DF1BB4C" w14:textId="77777777" w:rsidR="00521B86" w:rsidRDefault="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A028" w14:textId="400A826B" w:rsidR="00EA6919" w:rsidRDefault="00EA6919">
    <w:pPr>
      <w:pStyle w:val="Header"/>
    </w:pPr>
  </w:p>
  <w:p w14:paraId="6E3A2181" w14:textId="47243B83" w:rsidR="00EA6919" w:rsidRDefault="00EA6919">
    <w:pPr>
      <w:pStyle w:val="Header"/>
    </w:pPr>
  </w:p>
  <w:p w14:paraId="540BEEEC" w14:textId="1812DBCC" w:rsidR="00EA6919" w:rsidRDefault="00EA6919" w:rsidP="00EA6919">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A449F"/>
    <w:multiLevelType w:val="hybridMultilevel"/>
    <w:tmpl w:val="A6B4AFEA"/>
    <w:lvl w:ilvl="0" w:tplc="446A117A">
      <w:start w:val="1"/>
      <w:numFmt w:val="upperLetter"/>
      <w:lvlText w:val="%1."/>
      <w:lvlJc w:val="left"/>
      <w:pPr>
        <w:ind w:left="840" w:hanging="721"/>
      </w:pPr>
      <w:rPr>
        <w:rFonts w:ascii="Arial" w:eastAsia="Arial" w:hAnsi="Arial" w:cs="Arial" w:hint="default"/>
        <w:w w:val="99"/>
        <w:sz w:val="22"/>
        <w:szCs w:val="22"/>
      </w:rPr>
    </w:lvl>
    <w:lvl w:ilvl="1" w:tplc="C3FE89A6">
      <w:start w:val="1"/>
      <w:numFmt w:val="decimal"/>
      <w:lvlText w:val="%2."/>
      <w:lvlJc w:val="left"/>
      <w:pPr>
        <w:ind w:left="1160" w:hanging="721"/>
        <w:jc w:val="right"/>
      </w:pPr>
      <w:rPr>
        <w:rFonts w:ascii="Arial" w:eastAsia="Arial" w:hAnsi="Arial" w:cs="Arial" w:hint="default"/>
        <w:w w:val="99"/>
        <w:sz w:val="22"/>
        <w:szCs w:val="22"/>
      </w:rPr>
    </w:lvl>
    <w:lvl w:ilvl="2" w:tplc="055C11BA">
      <w:numFmt w:val="bullet"/>
      <w:lvlText w:val="•"/>
      <w:lvlJc w:val="left"/>
      <w:pPr>
        <w:ind w:left="1560" w:hanging="721"/>
      </w:pPr>
      <w:rPr>
        <w:rFonts w:hint="default"/>
      </w:rPr>
    </w:lvl>
    <w:lvl w:ilvl="3" w:tplc="89B8F618">
      <w:numFmt w:val="bullet"/>
      <w:lvlText w:val="•"/>
      <w:lvlJc w:val="left"/>
      <w:pPr>
        <w:ind w:left="2557" w:hanging="721"/>
      </w:pPr>
      <w:rPr>
        <w:rFonts w:hint="default"/>
      </w:rPr>
    </w:lvl>
    <w:lvl w:ilvl="4" w:tplc="8F46D9EE">
      <w:numFmt w:val="bullet"/>
      <w:lvlText w:val="•"/>
      <w:lvlJc w:val="left"/>
      <w:pPr>
        <w:ind w:left="3555" w:hanging="721"/>
      </w:pPr>
      <w:rPr>
        <w:rFonts w:hint="default"/>
      </w:rPr>
    </w:lvl>
    <w:lvl w:ilvl="5" w:tplc="FF80845E">
      <w:numFmt w:val="bullet"/>
      <w:lvlText w:val="•"/>
      <w:lvlJc w:val="left"/>
      <w:pPr>
        <w:ind w:left="4552" w:hanging="721"/>
      </w:pPr>
      <w:rPr>
        <w:rFonts w:hint="default"/>
      </w:rPr>
    </w:lvl>
    <w:lvl w:ilvl="6" w:tplc="6F3499EE">
      <w:numFmt w:val="bullet"/>
      <w:lvlText w:val="•"/>
      <w:lvlJc w:val="left"/>
      <w:pPr>
        <w:ind w:left="5550" w:hanging="721"/>
      </w:pPr>
      <w:rPr>
        <w:rFonts w:hint="default"/>
      </w:rPr>
    </w:lvl>
    <w:lvl w:ilvl="7" w:tplc="B3868A14">
      <w:numFmt w:val="bullet"/>
      <w:lvlText w:val="•"/>
      <w:lvlJc w:val="left"/>
      <w:pPr>
        <w:ind w:left="6547" w:hanging="721"/>
      </w:pPr>
      <w:rPr>
        <w:rFonts w:hint="default"/>
      </w:rPr>
    </w:lvl>
    <w:lvl w:ilvl="8" w:tplc="B588BFDC">
      <w:numFmt w:val="bullet"/>
      <w:lvlText w:val="•"/>
      <w:lvlJc w:val="left"/>
      <w:pPr>
        <w:ind w:left="7545"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FD"/>
    <w:rsid w:val="00021650"/>
    <w:rsid w:val="00045627"/>
    <w:rsid w:val="00050F4B"/>
    <w:rsid w:val="000D4380"/>
    <w:rsid w:val="000E6642"/>
    <w:rsid w:val="001814C2"/>
    <w:rsid w:val="00195252"/>
    <w:rsid w:val="001D7B29"/>
    <w:rsid w:val="002241F8"/>
    <w:rsid w:val="0026573D"/>
    <w:rsid w:val="002A111B"/>
    <w:rsid w:val="002D330A"/>
    <w:rsid w:val="002F5621"/>
    <w:rsid w:val="003105E1"/>
    <w:rsid w:val="0036425A"/>
    <w:rsid w:val="003735CF"/>
    <w:rsid w:val="003B126A"/>
    <w:rsid w:val="003B1E86"/>
    <w:rsid w:val="003F2DAF"/>
    <w:rsid w:val="004243D3"/>
    <w:rsid w:val="00457593"/>
    <w:rsid w:val="0052067B"/>
    <w:rsid w:val="00521B86"/>
    <w:rsid w:val="00525BB2"/>
    <w:rsid w:val="005917C1"/>
    <w:rsid w:val="005E2E7D"/>
    <w:rsid w:val="005E5D12"/>
    <w:rsid w:val="00606A76"/>
    <w:rsid w:val="0060766B"/>
    <w:rsid w:val="006614D3"/>
    <w:rsid w:val="0069145D"/>
    <w:rsid w:val="007421CB"/>
    <w:rsid w:val="00751991"/>
    <w:rsid w:val="0080718D"/>
    <w:rsid w:val="00807E81"/>
    <w:rsid w:val="00846EFF"/>
    <w:rsid w:val="008A7FEE"/>
    <w:rsid w:val="008D5EF7"/>
    <w:rsid w:val="00906B64"/>
    <w:rsid w:val="0092045B"/>
    <w:rsid w:val="0093564D"/>
    <w:rsid w:val="00966078"/>
    <w:rsid w:val="00994DFD"/>
    <w:rsid w:val="009D66F4"/>
    <w:rsid w:val="00A05243"/>
    <w:rsid w:val="00A40038"/>
    <w:rsid w:val="00A72DC6"/>
    <w:rsid w:val="00B10762"/>
    <w:rsid w:val="00B10879"/>
    <w:rsid w:val="00B13695"/>
    <w:rsid w:val="00B143CC"/>
    <w:rsid w:val="00BA3936"/>
    <w:rsid w:val="00C1395D"/>
    <w:rsid w:val="00C60A0E"/>
    <w:rsid w:val="00C92002"/>
    <w:rsid w:val="00CA1F42"/>
    <w:rsid w:val="00CC2FCF"/>
    <w:rsid w:val="00D11BAF"/>
    <w:rsid w:val="00D15984"/>
    <w:rsid w:val="00D313FF"/>
    <w:rsid w:val="00D64EF7"/>
    <w:rsid w:val="00DA387D"/>
    <w:rsid w:val="00DD7616"/>
    <w:rsid w:val="00DE1E7E"/>
    <w:rsid w:val="00E26841"/>
    <w:rsid w:val="00E5117B"/>
    <w:rsid w:val="00E9381B"/>
    <w:rsid w:val="00EA6919"/>
    <w:rsid w:val="00EB0BFD"/>
    <w:rsid w:val="00ED0966"/>
    <w:rsid w:val="00F66039"/>
    <w:rsid w:val="00F9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EFA3A"/>
  <w15:docId w15:val="{D789B288-85E0-4059-850D-DBFCD70A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373" w:right="337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0" w:hanging="720"/>
    </w:pPr>
  </w:style>
  <w:style w:type="paragraph" w:customStyle="1" w:styleId="TableParagraph">
    <w:name w:val="Table Paragraph"/>
    <w:basedOn w:val="Normal"/>
    <w:uiPriority w:val="1"/>
    <w:qFormat/>
    <w:pPr>
      <w:spacing w:before="117"/>
      <w:ind w:right="101"/>
      <w:jc w:val="right"/>
    </w:pPr>
  </w:style>
  <w:style w:type="paragraph" w:styleId="BalloonText">
    <w:name w:val="Balloon Text"/>
    <w:basedOn w:val="Normal"/>
    <w:link w:val="BalloonTextChar"/>
    <w:uiPriority w:val="99"/>
    <w:semiHidden/>
    <w:unhideWhenUsed/>
    <w:rsid w:val="00021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650"/>
    <w:rPr>
      <w:rFonts w:ascii="Segoe UI" w:eastAsia="Arial" w:hAnsi="Segoe UI" w:cs="Segoe UI"/>
      <w:sz w:val="18"/>
      <w:szCs w:val="18"/>
    </w:rPr>
  </w:style>
  <w:style w:type="character" w:styleId="CommentReference">
    <w:name w:val="annotation reference"/>
    <w:basedOn w:val="DefaultParagraphFont"/>
    <w:uiPriority w:val="99"/>
    <w:semiHidden/>
    <w:unhideWhenUsed/>
    <w:rsid w:val="00021650"/>
    <w:rPr>
      <w:sz w:val="16"/>
      <w:szCs w:val="16"/>
    </w:rPr>
  </w:style>
  <w:style w:type="paragraph" w:styleId="CommentText">
    <w:name w:val="annotation text"/>
    <w:basedOn w:val="Normal"/>
    <w:link w:val="CommentTextChar"/>
    <w:uiPriority w:val="99"/>
    <w:semiHidden/>
    <w:unhideWhenUsed/>
    <w:rsid w:val="00021650"/>
    <w:rPr>
      <w:sz w:val="20"/>
      <w:szCs w:val="20"/>
    </w:rPr>
  </w:style>
  <w:style w:type="character" w:customStyle="1" w:styleId="CommentTextChar">
    <w:name w:val="Comment Text Char"/>
    <w:basedOn w:val="DefaultParagraphFont"/>
    <w:link w:val="CommentText"/>
    <w:uiPriority w:val="99"/>
    <w:semiHidden/>
    <w:rsid w:val="0002165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21650"/>
    <w:rPr>
      <w:b/>
      <w:bCs/>
    </w:rPr>
  </w:style>
  <w:style w:type="character" w:customStyle="1" w:styleId="CommentSubjectChar">
    <w:name w:val="Comment Subject Char"/>
    <w:basedOn w:val="CommentTextChar"/>
    <w:link w:val="CommentSubject"/>
    <w:uiPriority w:val="99"/>
    <w:semiHidden/>
    <w:rsid w:val="00021650"/>
    <w:rPr>
      <w:rFonts w:ascii="Arial" w:eastAsia="Arial" w:hAnsi="Arial" w:cs="Arial"/>
      <w:b/>
      <w:bCs/>
      <w:sz w:val="20"/>
      <w:szCs w:val="20"/>
    </w:rPr>
  </w:style>
  <w:style w:type="paragraph" w:customStyle="1" w:styleId="paragraph">
    <w:name w:val="paragraph"/>
    <w:basedOn w:val="Normal"/>
    <w:rsid w:val="00751991"/>
    <w:pPr>
      <w:widowControl/>
      <w:autoSpaceDE/>
      <w:autoSpaceDN/>
    </w:pPr>
    <w:rPr>
      <w:rFonts w:ascii="Times New Roman" w:eastAsiaTheme="minorHAnsi" w:hAnsi="Times New Roman" w:cs="Times New Roman"/>
      <w:sz w:val="24"/>
      <w:szCs w:val="24"/>
    </w:rPr>
  </w:style>
  <w:style w:type="character" w:customStyle="1" w:styleId="normaltextrun1">
    <w:name w:val="normaltextrun1"/>
    <w:basedOn w:val="DefaultParagraphFont"/>
    <w:rsid w:val="00751991"/>
  </w:style>
  <w:style w:type="character" w:customStyle="1" w:styleId="eop">
    <w:name w:val="eop"/>
    <w:basedOn w:val="DefaultParagraphFont"/>
    <w:rsid w:val="00751991"/>
  </w:style>
  <w:style w:type="character" w:styleId="Hyperlink">
    <w:name w:val="Hyperlink"/>
    <w:basedOn w:val="DefaultParagraphFont"/>
    <w:uiPriority w:val="99"/>
    <w:unhideWhenUsed/>
    <w:rsid w:val="009D66F4"/>
    <w:rPr>
      <w:color w:val="0000FF" w:themeColor="hyperlink"/>
      <w:u w:val="single"/>
    </w:rPr>
  </w:style>
  <w:style w:type="character" w:styleId="UnresolvedMention">
    <w:name w:val="Unresolved Mention"/>
    <w:basedOn w:val="DefaultParagraphFont"/>
    <w:uiPriority w:val="99"/>
    <w:semiHidden/>
    <w:unhideWhenUsed/>
    <w:rsid w:val="009D66F4"/>
    <w:rPr>
      <w:color w:val="605E5C"/>
      <w:shd w:val="clear" w:color="auto" w:fill="E1DFDD"/>
    </w:rPr>
  </w:style>
  <w:style w:type="paragraph" w:styleId="Header">
    <w:name w:val="header"/>
    <w:basedOn w:val="Normal"/>
    <w:link w:val="HeaderChar"/>
    <w:uiPriority w:val="99"/>
    <w:unhideWhenUsed/>
    <w:rsid w:val="00525BB2"/>
    <w:pPr>
      <w:tabs>
        <w:tab w:val="center" w:pos="4680"/>
        <w:tab w:val="right" w:pos="9360"/>
      </w:tabs>
    </w:pPr>
  </w:style>
  <w:style w:type="character" w:customStyle="1" w:styleId="HeaderChar">
    <w:name w:val="Header Char"/>
    <w:basedOn w:val="DefaultParagraphFont"/>
    <w:link w:val="Header"/>
    <w:uiPriority w:val="99"/>
    <w:rsid w:val="00525BB2"/>
    <w:rPr>
      <w:rFonts w:ascii="Arial" w:eastAsia="Arial" w:hAnsi="Arial" w:cs="Arial"/>
    </w:rPr>
  </w:style>
  <w:style w:type="paragraph" w:styleId="Footer">
    <w:name w:val="footer"/>
    <w:basedOn w:val="Normal"/>
    <w:link w:val="FooterChar"/>
    <w:uiPriority w:val="99"/>
    <w:unhideWhenUsed/>
    <w:rsid w:val="00525BB2"/>
    <w:pPr>
      <w:tabs>
        <w:tab w:val="center" w:pos="4680"/>
        <w:tab w:val="right" w:pos="9360"/>
      </w:tabs>
    </w:pPr>
  </w:style>
  <w:style w:type="character" w:customStyle="1" w:styleId="FooterChar">
    <w:name w:val="Footer Char"/>
    <w:basedOn w:val="DefaultParagraphFont"/>
    <w:link w:val="Footer"/>
    <w:uiPriority w:val="99"/>
    <w:rsid w:val="00525BB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1627">
      <w:bodyDiv w:val="1"/>
      <w:marLeft w:val="0"/>
      <w:marRight w:val="0"/>
      <w:marTop w:val="0"/>
      <w:marBottom w:val="0"/>
      <w:divBdr>
        <w:top w:val="none" w:sz="0" w:space="0" w:color="auto"/>
        <w:left w:val="none" w:sz="0" w:space="0" w:color="auto"/>
        <w:bottom w:val="none" w:sz="0" w:space="0" w:color="auto"/>
        <w:right w:val="none" w:sz="0" w:space="0" w:color="auto"/>
      </w:divBdr>
      <w:divsChild>
        <w:div w:id="1227567384">
          <w:marLeft w:val="0"/>
          <w:marRight w:val="0"/>
          <w:marTop w:val="0"/>
          <w:marBottom w:val="0"/>
          <w:divBdr>
            <w:top w:val="none" w:sz="0" w:space="0" w:color="auto"/>
            <w:left w:val="none" w:sz="0" w:space="0" w:color="auto"/>
            <w:bottom w:val="none" w:sz="0" w:space="0" w:color="auto"/>
            <w:right w:val="none" w:sz="0" w:space="0" w:color="auto"/>
          </w:divBdr>
          <w:divsChild>
            <w:div w:id="563443735">
              <w:marLeft w:val="0"/>
              <w:marRight w:val="0"/>
              <w:marTop w:val="0"/>
              <w:marBottom w:val="0"/>
              <w:divBdr>
                <w:top w:val="none" w:sz="0" w:space="0" w:color="auto"/>
                <w:left w:val="none" w:sz="0" w:space="0" w:color="auto"/>
                <w:bottom w:val="none" w:sz="0" w:space="0" w:color="auto"/>
                <w:right w:val="none" w:sz="0" w:space="0" w:color="auto"/>
              </w:divBdr>
              <w:divsChild>
                <w:div w:id="745493194">
                  <w:marLeft w:val="0"/>
                  <w:marRight w:val="0"/>
                  <w:marTop w:val="0"/>
                  <w:marBottom w:val="0"/>
                  <w:divBdr>
                    <w:top w:val="none" w:sz="0" w:space="0" w:color="auto"/>
                    <w:left w:val="none" w:sz="0" w:space="0" w:color="auto"/>
                    <w:bottom w:val="none" w:sz="0" w:space="0" w:color="auto"/>
                    <w:right w:val="none" w:sz="0" w:space="0" w:color="auto"/>
                  </w:divBdr>
                  <w:divsChild>
                    <w:div w:id="1523595272">
                      <w:marLeft w:val="0"/>
                      <w:marRight w:val="0"/>
                      <w:marTop w:val="0"/>
                      <w:marBottom w:val="0"/>
                      <w:divBdr>
                        <w:top w:val="none" w:sz="0" w:space="0" w:color="auto"/>
                        <w:left w:val="none" w:sz="0" w:space="0" w:color="auto"/>
                        <w:bottom w:val="none" w:sz="0" w:space="0" w:color="auto"/>
                        <w:right w:val="none" w:sz="0" w:space="0" w:color="auto"/>
                      </w:divBdr>
                      <w:divsChild>
                        <w:div w:id="122889841">
                          <w:marLeft w:val="0"/>
                          <w:marRight w:val="0"/>
                          <w:marTop w:val="0"/>
                          <w:marBottom w:val="0"/>
                          <w:divBdr>
                            <w:top w:val="none" w:sz="0" w:space="0" w:color="auto"/>
                            <w:left w:val="none" w:sz="0" w:space="0" w:color="auto"/>
                            <w:bottom w:val="none" w:sz="0" w:space="0" w:color="auto"/>
                            <w:right w:val="none" w:sz="0" w:space="0" w:color="auto"/>
                          </w:divBdr>
                          <w:divsChild>
                            <w:div w:id="1709715206">
                              <w:marLeft w:val="0"/>
                              <w:marRight w:val="0"/>
                              <w:marTop w:val="0"/>
                              <w:marBottom w:val="0"/>
                              <w:divBdr>
                                <w:top w:val="none" w:sz="0" w:space="0" w:color="auto"/>
                                <w:left w:val="none" w:sz="0" w:space="0" w:color="auto"/>
                                <w:bottom w:val="none" w:sz="0" w:space="0" w:color="auto"/>
                                <w:right w:val="none" w:sz="0" w:space="0" w:color="auto"/>
                              </w:divBdr>
                              <w:divsChild>
                                <w:div w:id="585576357">
                                  <w:marLeft w:val="0"/>
                                  <w:marRight w:val="0"/>
                                  <w:marTop w:val="0"/>
                                  <w:marBottom w:val="0"/>
                                  <w:divBdr>
                                    <w:top w:val="none" w:sz="0" w:space="0" w:color="auto"/>
                                    <w:left w:val="none" w:sz="0" w:space="0" w:color="auto"/>
                                    <w:bottom w:val="none" w:sz="0" w:space="0" w:color="auto"/>
                                    <w:right w:val="none" w:sz="0" w:space="0" w:color="auto"/>
                                  </w:divBdr>
                                  <w:divsChild>
                                    <w:div w:id="1222597456">
                                      <w:marLeft w:val="0"/>
                                      <w:marRight w:val="0"/>
                                      <w:marTop w:val="0"/>
                                      <w:marBottom w:val="0"/>
                                      <w:divBdr>
                                        <w:top w:val="none" w:sz="0" w:space="0" w:color="auto"/>
                                        <w:left w:val="none" w:sz="0" w:space="0" w:color="auto"/>
                                        <w:bottom w:val="none" w:sz="0" w:space="0" w:color="auto"/>
                                        <w:right w:val="none" w:sz="0" w:space="0" w:color="auto"/>
                                      </w:divBdr>
                                      <w:divsChild>
                                        <w:div w:id="95293990">
                                          <w:marLeft w:val="0"/>
                                          <w:marRight w:val="0"/>
                                          <w:marTop w:val="0"/>
                                          <w:marBottom w:val="0"/>
                                          <w:divBdr>
                                            <w:top w:val="none" w:sz="0" w:space="0" w:color="auto"/>
                                            <w:left w:val="none" w:sz="0" w:space="0" w:color="auto"/>
                                            <w:bottom w:val="none" w:sz="0" w:space="0" w:color="auto"/>
                                            <w:right w:val="none" w:sz="0" w:space="0" w:color="auto"/>
                                          </w:divBdr>
                                          <w:divsChild>
                                            <w:div w:id="1365522009">
                                              <w:marLeft w:val="0"/>
                                              <w:marRight w:val="0"/>
                                              <w:marTop w:val="0"/>
                                              <w:marBottom w:val="0"/>
                                              <w:divBdr>
                                                <w:top w:val="none" w:sz="0" w:space="0" w:color="auto"/>
                                                <w:left w:val="none" w:sz="0" w:space="0" w:color="auto"/>
                                                <w:bottom w:val="none" w:sz="0" w:space="0" w:color="auto"/>
                                                <w:right w:val="none" w:sz="0" w:space="0" w:color="auto"/>
                                              </w:divBdr>
                                              <w:divsChild>
                                                <w:div w:id="223613165">
                                                  <w:marLeft w:val="0"/>
                                                  <w:marRight w:val="0"/>
                                                  <w:marTop w:val="0"/>
                                                  <w:marBottom w:val="0"/>
                                                  <w:divBdr>
                                                    <w:top w:val="none" w:sz="0" w:space="0" w:color="auto"/>
                                                    <w:left w:val="none" w:sz="0" w:space="0" w:color="auto"/>
                                                    <w:bottom w:val="none" w:sz="0" w:space="0" w:color="auto"/>
                                                    <w:right w:val="none" w:sz="0" w:space="0" w:color="auto"/>
                                                  </w:divBdr>
                                                  <w:divsChild>
                                                    <w:div w:id="1865820280">
                                                      <w:marLeft w:val="0"/>
                                                      <w:marRight w:val="0"/>
                                                      <w:marTop w:val="0"/>
                                                      <w:marBottom w:val="0"/>
                                                      <w:divBdr>
                                                        <w:top w:val="none" w:sz="0" w:space="0" w:color="auto"/>
                                                        <w:left w:val="none" w:sz="0" w:space="0" w:color="auto"/>
                                                        <w:bottom w:val="none" w:sz="0" w:space="0" w:color="auto"/>
                                                        <w:right w:val="none" w:sz="0" w:space="0" w:color="auto"/>
                                                      </w:divBdr>
                                                      <w:divsChild>
                                                        <w:div w:id="529757065">
                                                          <w:marLeft w:val="0"/>
                                                          <w:marRight w:val="0"/>
                                                          <w:marTop w:val="0"/>
                                                          <w:marBottom w:val="0"/>
                                                          <w:divBdr>
                                                            <w:top w:val="none" w:sz="0" w:space="0" w:color="auto"/>
                                                            <w:left w:val="none" w:sz="0" w:space="0" w:color="auto"/>
                                                            <w:bottom w:val="none" w:sz="0" w:space="0" w:color="auto"/>
                                                            <w:right w:val="none" w:sz="0" w:space="0" w:color="auto"/>
                                                          </w:divBdr>
                                                          <w:divsChild>
                                                            <w:div w:id="545873417">
                                                              <w:marLeft w:val="0"/>
                                                              <w:marRight w:val="0"/>
                                                              <w:marTop w:val="0"/>
                                                              <w:marBottom w:val="0"/>
                                                              <w:divBdr>
                                                                <w:top w:val="none" w:sz="0" w:space="0" w:color="auto"/>
                                                                <w:left w:val="none" w:sz="0" w:space="0" w:color="auto"/>
                                                                <w:bottom w:val="none" w:sz="0" w:space="0" w:color="auto"/>
                                                                <w:right w:val="none" w:sz="0" w:space="0" w:color="auto"/>
                                                              </w:divBdr>
                                                              <w:divsChild>
                                                                <w:div w:id="702484665">
                                                                  <w:marLeft w:val="0"/>
                                                                  <w:marRight w:val="0"/>
                                                                  <w:marTop w:val="0"/>
                                                                  <w:marBottom w:val="0"/>
                                                                  <w:divBdr>
                                                                    <w:top w:val="none" w:sz="0" w:space="0" w:color="auto"/>
                                                                    <w:left w:val="none" w:sz="0" w:space="0" w:color="auto"/>
                                                                    <w:bottom w:val="none" w:sz="0" w:space="0" w:color="auto"/>
                                                                    <w:right w:val="none" w:sz="0" w:space="0" w:color="auto"/>
                                                                  </w:divBdr>
                                                                  <w:divsChild>
                                                                    <w:div w:id="337658365">
                                                                      <w:marLeft w:val="0"/>
                                                                      <w:marRight w:val="0"/>
                                                                      <w:marTop w:val="0"/>
                                                                      <w:marBottom w:val="0"/>
                                                                      <w:divBdr>
                                                                        <w:top w:val="none" w:sz="0" w:space="0" w:color="auto"/>
                                                                        <w:left w:val="none" w:sz="0" w:space="0" w:color="auto"/>
                                                                        <w:bottom w:val="none" w:sz="0" w:space="0" w:color="auto"/>
                                                                        <w:right w:val="none" w:sz="0" w:space="0" w:color="auto"/>
                                                                      </w:divBdr>
                                                                      <w:divsChild>
                                                                        <w:div w:id="1185677886">
                                                                          <w:marLeft w:val="0"/>
                                                                          <w:marRight w:val="0"/>
                                                                          <w:marTop w:val="0"/>
                                                                          <w:marBottom w:val="0"/>
                                                                          <w:divBdr>
                                                                            <w:top w:val="none" w:sz="0" w:space="0" w:color="auto"/>
                                                                            <w:left w:val="none" w:sz="0" w:space="0" w:color="auto"/>
                                                                            <w:bottom w:val="none" w:sz="0" w:space="0" w:color="auto"/>
                                                                            <w:right w:val="none" w:sz="0" w:space="0" w:color="auto"/>
                                                                          </w:divBdr>
                                                                          <w:divsChild>
                                                                            <w:div w:id="1485391925">
                                                                              <w:marLeft w:val="0"/>
                                                                              <w:marRight w:val="0"/>
                                                                              <w:marTop w:val="0"/>
                                                                              <w:marBottom w:val="0"/>
                                                                              <w:divBdr>
                                                                                <w:top w:val="none" w:sz="0" w:space="0" w:color="auto"/>
                                                                                <w:left w:val="none" w:sz="0" w:space="0" w:color="auto"/>
                                                                                <w:bottom w:val="none" w:sz="0" w:space="0" w:color="auto"/>
                                                                                <w:right w:val="none" w:sz="0" w:space="0" w:color="auto"/>
                                                                              </w:divBdr>
                                                                              <w:divsChild>
                                                                                <w:div w:id="426117780">
                                                                                  <w:marLeft w:val="0"/>
                                                                                  <w:marRight w:val="0"/>
                                                                                  <w:marTop w:val="0"/>
                                                                                  <w:marBottom w:val="0"/>
                                                                                  <w:divBdr>
                                                                                    <w:top w:val="none" w:sz="0" w:space="0" w:color="auto"/>
                                                                                    <w:left w:val="none" w:sz="0" w:space="0" w:color="auto"/>
                                                                                    <w:bottom w:val="none" w:sz="0" w:space="0" w:color="auto"/>
                                                                                    <w:right w:val="none" w:sz="0" w:space="0" w:color="auto"/>
                                                                                  </w:divBdr>
                                                                                  <w:divsChild>
                                                                                    <w:div w:id="662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056371">
      <w:bodyDiv w:val="1"/>
      <w:marLeft w:val="0"/>
      <w:marRight w:val="0"/>
      <w:marTop w:val="0"/>
      <w:marBottom w:val="0"/>
      <w:divBdr>
        <w:top w:val="none" w:sz="0" w:space="0" w:color="auto"/>
        <w:left w:val="none" w:sz="0" w:space="0" w:color="auto"/>
        <w:bottom w:val="none" w:sz="0" w:space="0" w:color="auto"/>
        <w:right w:val="none" w:sz="0" w:space="0" w:color="auto"/>
      </w:divBdr>
      <w:divsChild>
        <w:div w:id="133761573">
          <w:marLeft w:val="0"/>
          <w:marRight w:val="0"/>
          <w:marTop w:val="0"/>
          <w:marBottom w:val="0"/>
          <w:divBdr>
            <w:top w:val="none" w:sz="0" w:space="0" w:color="auto"/>
            <w:left w:val="none" w:sz="0" w:space="0" w:color="auto"/>
            <w:bottom w:val="none" w:sz="0" w:space="0" w:color="auto"/>
            <w:right w:val="none" w:sz="0" w:space="0" w:color="auto"/>
          </w:divBdr>
          <w:divsChild>
            <w:div w:id="674192184">
              <w:marLeft w:val="0"/>
              <w:marRight w:val="0"/>
              <w:marTop w:val="0"/>
              <w:marBottom w:val="0"/>
              <w:divBdr>
                <w:top w:val="none" w:sz="0" w:space="0" w:color="auto"/>
                <w:left w:val="none" w:sz="0" w:space="0" w:color="auto"/>
                <w:bottom w:val="none" w:sz="0" w:space="0" w:color="auto"/>
                <w:right w:val="none" w:sz="0" w:space="0" w:color="auto"/>
              </w:divBdr>
              <w:divsChild>
                <w:div w:id="878398570">
                  <w:marLeft w:val="0"/>
                  <w:marRight w:val="0"/>
                  <w:marTop w:val="0"/>
                  <w:marBottom w:val="0"/>
                  <w:divBdr>
                    <w:top w:val="none" w:sz="0" w:space="0" w:color="auto"/>
                    <w:left w:val="none" w:sz="0" w:space="0" w:color="auto"/>
                    <w:bottom w:val="none" w:sz="0" w:space="0" w:color="auto"/>
                    <w:right w:val="none" w:sz="0" w:space="0" w:color="auto"/>
                  </w:divBdr>
                  <w:divsChild>
                    <w:div w:id="1181701574">
                      <w:marLeft w:val="0"/>
                      <w:marRight w:val="0"/>
                      <w:marTop w:val="0"/>
                      <w:marBottom w:val="0"/>
                      <w:divBdr>
                        <w:top w:val="none" w:sz="0" w:space="0" w:color="auto"/>
                        <w:left w:val="none" w:sz="0" w:space="0" w:color="auto"/>
                        <w:bottom w:val="none" w:sz="0" w:space="0" w:color="auto"/>
                        <w:right w:val="none" w:sz="0" w:space="0" w:color="auto"/>
                      </w:divBdr>
                      <w:divsChild>
                        <w:div w:id="2061594350">
                          <w:marLeft w:val="0"/>
                          <w:marRight w:val="0"/>
                          <w:marTop w:val="0"/>
                          <w:marBottom w:val="0"/>
                          <w:divBdr>
                            <w:top w:val="none" w:sz="0" w:space="0" w:color="auto"/>
                            <w:left w:val="none" w:sz="0" w:space="0" w:color="auto"/>
                            <w:bottom w:val="none" w:sz="0" w:space="0" w:color="auto"/>
                            <w:right w:val="none" w:sz="0" w:space="0" w:color="auto"/>
                          </w:divBdr>
                          <w:divsChild>
                            <w:div w:id="1567491022">
                              <w:marLeft w:val="0"/>
                              <w:marRight w:val="0"/>
                              <w:marTop w:val="0"/>
                              <w:marBottom w:val="0"/>
                              <w:divBdr>
                                <w:top w:val="none" w:sz="0" w:space="0" w:color="auto"/>
                                <w:left w:val="none" w:sz="0" w:space="0" w:color="auto"/>
                                <w:bottom w:val="none" w:sz="0" w:space="0" w:color="auto"/>
                                <w:right w:val="none" w:sz="0" w:space="0" w:color="auto"/>
                              </w:divBdr>
                              <w:divsChild>
                                <w:div w:id="2091194462">
                                  <w:marLeft w:val="0"/>
                                  <w:marRight w:val="0"/>
                                  <w:marTop w:val="0"/>
                                  <w:marBottom w:val="0"/>
                                  <w:divBdr>
                                    <w:top w:val="none" w:sz="0" w:space="0" w:color="auto"/>
                                    <w:left w:val="none" w:sz="0" w:space="0" w:color="auto"/>
                                    <w:bottom w:val="none" w:sz="0" w:space="0" w:color="auto"/>
                                    <w:right w:val="none" w:sz="0" w:space="0" w:color="auto"/>
                                  </w:divBdr>
                                  <w:divsChild>
                                    <w:div w:id="987320509">
                                      <w:marLeft w:val="0"/>
                                      <w:marRight w:val="0"/>
                                      <w:marTop w:val="0"/>
                                      <w:marBottom w:val="0"/>
                                      <w:divBdr>
                                        <w:top w:val="none" w:sz="0" w:space="0" w:color="auto"/>
                                        <w:left w:val="none" w:sz="0" w:space="0" w:color="auto"/>
                                        <w:bottom w:val="none" w:sz="0" w:space="0" w:color="auto"/>
                                        <w:right w:val="none" w:sz="0" w:space="0" w:color="auto"/>
                                      </w:divBdr>
                                      <w:divsChild>
                                        <w:div w:id="1238172063">
                                          <w:marLeft w:val="0"/>
                                          <w:marRight w:val="0"/>
                                          <w:marTop w:val="0"/>
                                          <w:marBottom w:val="0"/>
                                          <w:divBdr>
                                            <w:top w:val="none" w:sz="0" w:space="0" w:color="auto"/>
                                            <w:left w:val="none" w:sz="0" w:space="0" w:color="auto"/>
                                            <w:bottom w:val="none" w:sz="0" w:space="0" w:color="auto"/>
                                            <w:right w:val="none" w:sz="0" w:space="0" w:color="auto"/>
                                          </w:divBdr>
                                          <w:divsChild>
                                            <w:div w:id="503130373">
                                              <w:marLeft w:val="0"/>
                                              <w:marRight w:val="0"/>
                                              <w:marTop w:val="0"/>
                                              <w:marBottom w:val="0"/>
                                              <w:divBdr>
                                                <w:top w:val="none" w:sz="0" w:space="0" w:color="auto"/>
                                                <w:left w:val="none" w:sz="0" w:space="0" w:color="auto"/>
                                                <w:bottom w:val="none" w:sz="0" w:space="0" w:color="auto"/>
                                                <w:right w:val="none" w:sz="0" w:space="0" w:color="auto"/>
                                              </w:divBdr>
                                              <w:divsChild>
                                                <w:div w:id="1180044810">
                                                  <w:marLeft w:val="0"/>
                                                  <w:marRight w:val="0"/>
                                                  <w:marTop w:val="0"/>
                                                  <w:marBottom w:val="0"/>
                                                  <w:divBdr>
                                                    <w:top w:val="none" w:sz="0" w:space="0" w:color="auto"/>
                                                    <w:left w:val="none" w:sz="0" w:space="0" w:color="auto"/>
                                                    <w:bottom w:val="none" w:sz="0" w:space="0" w:color="auto"/>
                                                    <w:right w:val="none" w:sz="0" w:space="0" w:color="auto"/>
                                                  </w:divBdr>
                                                  <w:divsChild>
                                                    <w:div w:id="429006178">
                                                      <w:marLeft w:val="0"/>
                                                      <w:marRight w:val="0"/>
                                                      <w:marTop w:val="0"/>
                                                      <w:marBottom w:val="0"/>
                                                      <w:divBdr>
                                                        <w:top w:val="none" w:sz="0" w:space="0" w:color="auto"/>
                                                        <w:left w:val="none" w:sz="0" w:space="0" w:color="auto"/>
                                                        <w:bottom w:val="none" w:sz="0" w:space="0" w:color="auto"/>
                                                        <w:right w:val="none" w:sz="0" w:space="0" w:color="auto"/>
                                                      </w:divBdr>
                                                      <w:divsChild>
                                                        <w:div w:id="1507398755">
                                                          <w:marLeft w:val="0"/>
                                                          <w:marRight w:val="0"/>
                                                          <w:marTop w:val="0"/>
                                                          <w:marBottom w:val="0"/>
                                                          <w:divBdr>
                                                            <w:top w:val="none" w:sz="0" w:space="0" w:color="auto"/>
                                                            <w:left w:val="none" w:sz="0" w:space="0" w:color="auto"/>
                                                            <w:bottom w:val="none" w:sz="0" w:space="0" w:color="auto"/>
                                                            <w:right w:val="none" w:sz="0" w:space="0" w:color="auto"/>
                                                          </w:divBdr>
                                                          <w:divsChild>
                                                            <w:div w:id="2030449730">
                                                              <w:marLeft w:val="0"/>
                                                              <w:marRight w:val="0"/>
                                                              <w:marTop w:val="0"/>
                                                              <w:marBottom w:val="0"/>
                                                              <w:divBdr>
                                                                <w:top w:val="none" w:sz="0" w:space="0" w:color="auto"/>
                                                                <w:left w:val="none" w:sz="0" w:space="0" w:color="auto"/>
                                                                <w:bottom w:val="none" w:sz="0" w:space="0" w:color="auto"/>
                                                                <w:right w:val="none" w:sz="0" w:space="0" w:color="auto"/>
                                                              </w:divBdr>
                                                              <w:divsChild>
                                                                <w:div w:id="359361153">
                                                                  <w:marLeft w:val="0"/>
                                                                  <w:marRight w:val="0"/>
                                                                  <w:marTop w:val="0"/>
                                                                  <w:marBottom w:val="0"/>
                                                                  <w:divBdr>
                                                                    <w:top w:val="none" w:sz="0" w:space="0" w:color="auto"/>
                                                                    <w:left w:val="none" w:sz="0" w:space="0" w:color="auto"/>
                                                                    <w:bottom w:val="none" w:sz="0" w:space="0" w:color="auto"/>
                                                                    <w:right w:val="none" w:sz="0" w:space="0" w:color="auto"/>
                                                                  </w:divBdr>
                                                                  <w:divsChild>
                                                                    <w:div w:id="655956240">
                                                                      <w:marLeft w:val="0"/>
                                                                      <w:marRight w:val="0"/>
                                                                      <w:marTop w:val="0"/>
                                                                      <w:marBottom w:val="0"/>
                                                                      <w:divBdr>
                                                                        <w:top w:val="none" w:sz="0" w:space="0" w:color="auto"/>
                                                                        <w:left w:val="none" w:sz="0" w:space="0" w:color="auto"/>
                                                                        <w:bottom w:val="none" w:sz="0" w:space="0" w:color="auto"/>
                                                                        <w:right w:val="none" w:sz="0" w:space="0" w:color="auto"/>
                                                                      </w:divBdr>
                                                                      <w:divsChild>
                                                                        <w:div w:id="2098675117">
                                                                          <w:marLeft w:val="0"/>
                                                                          <w:marRight w:val="0"/>
                                                                          <w:marTop w:val="0"/>
                                                                          <w:marBottom w:val="0"/>
                                                                          <w:divBdr>
                                                                            <w:top w:val="none" w:sz="0" w:space="0" w:color="auto"/>
                                                                            <w:left w:val="none" w:sz="0" w:space="0" w:color="auto"/>
                                                                            <w:bottom w:val="none" w:sz="0" w:space="0" w:color="auto"/>
                                                                            <w:right w:val="none" w:sz="0" w:space="0" w:color="auto"/>
                                                                          </w:divBdr>
                                                                          <w:divsChild>
                                                                            <w:div w:id="370037619">
                                                                              <w:marLeft w:val="0"/>
                                                                              <w:marRight w:val="0"/>
                                                                              <w:marTop w:val="0"/>
                                                                              <w:marBottom w:val="0"/>
                                                                              <w:divBdr>
                                                                                <w:top w:val="none" w:sz="0" w:space="0" w:color="auto"/>
                                                                                <w:left w:val="none" w:sz="0" w:space="0" w:color="auto"/>
                                                                                <w:bottom w:val="none" w:sz="0" w:space="0" w:color="auto"/>
                                                                                <w:right w:val="none" w:sz="0" w:space="0" w:color="auto"/>
                                                                              </w:divBdr>
                                                                              <w:divsChild>
                                                                                <w:div w:id="100297449">
                                                                                  <w:marLeft w:val="0"/>
                                                                                  <w:marRight w:val="0"/>
                                                                                  <w:marTop w:val="0"/>
                                                                                  <w:marBottom w:val="0"/>
                                                                                  <w:divBdr>
                                                                                    <w:top w:val="none" w:sz="0" w:space="0" w:color="auto"/>
                                                                                    <w:left w:val="none" w:sz="0" w:space="0" w:color="auto"/>
                                                                                    <w:bottom w:val="none" w:sz="0" w:space="0" w:color="auto"/>
                                                                                    <w:right w:val="none" w:sz="0" w:space="0" w:color="auto"/>
                                                                                  </w:divBdr>
                                                                                  <w:divsChild>
                                                                                    <w:div w:id="10407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77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rc.gov/site-help/electronic-sub-ref-ma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daa93d384342c39e5f2869f7bb98405a">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ef0cce0712fc08ec9de1905a11671c0c"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A38FD-1561-4FF1-8F04-EE8B2D8E12C6}">
  <ds:schemaRefs>
    <ds:schemaRef ds:uri="http://purl.org/dc/elements/1.1/"/>
    <ds:schemaRef ds:uri="http://schemas.microsoft.com/office/2006/metadata/properties"/>
    <ds:schemaRef ds:uri="http://schemas.microsoft.com/sharepoint/v3"/>
    <ds:schemaRef ds:uri="11fd957d-147f-41f6-a058-03b42122ddbc"/>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bb0d2465-af00-4b81-a931-20baeeea6c93"/>
    <ds:schemaRef ds:uri="http://www.w3.org/XML/1998/namespace"/>
    <ds:schemaRef ds:uri="http://purl.org/dc/dcmitype/"/>
  </ds:schemaRefs>
</ds:datastoreItem>
</file>

<file path=customXml/itemProps2.xml><?xml version="1.0" encoding="utf-8"?>
<ds:datastoreItem xmlns:ds="http://schemas.openxmlformats.org/officeDocument/2006/customXml" ds:itemID="{4DEDF288-6581-4C6D-8E5A-A7EA0728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CF685-1E90-4AC0-8407-C689B8BB1E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1637</Words>
  <Characters>9336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Katie</dc:creator>
  <cp:lastModifiedBy>Fishman, Lisa</cp:lastModifiedBy>
  <cp:revision>2</cp:revision>
  <dcterms:created xsi:type="dcterms:W3CDTF">2020-07-21T15:11:00Z</dcterms:created>
  <dcterms:modified xsi:type="dcterms:W3CDTF">2020-07-21T15:11:00Z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PScript5.dll Version 5.2.2</vt:lpwstr>
  </property>
  <property fmtid="{D5CDD505-2E9C-101B-9397-08002B2CF9AE}" pid="4" name="LastSaved">
    <vt:filetime>2019-11-14T00:00:00Z</vt:filetime>
  </property>
  <property fmtid="{D5CDD505-2E9C-101B-9397-08002B2CF9AE}" pid="5" name="ContentTypeId">
    <vt:lpwstr>0x01010052F58CB111F8D24E9E6531903F334AE9</vt:lpwstr>
  </property>
</Properties>
</file>