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0107D" w:rsidR="007D0558" w:rsidP="0010107D" w:rsidRDefault="007D0558" w14:paraId="7880A97E" w14:textId="368F74DD">
      <w:pPr>
        <w:spacing w:after="0" w:line="240" w:lineRule="auto"/>
        <w:jc w:val="center"/>
        <w:rPr>
          <w:b/>
          <w:bCs/>
          <w:sz w:val="28"/>
          <w:szCs w:val="28"/>
        </w:rPr>
      </w:pPr>
      <w:r w:rsidRPr="0010107D">
        <w:rPr>
          <w:b/>
          <w:bCs/>
          <w:sz w:val="28"/>
          <w:szCs w:val="28"/>
        </w:rPr>
        <w:t>Paycheck Protection Program Flexibility Act of 2020</w:t>
      </w:r>
    </w:p>
    <w:p w:rsidRPr="0010107D" w:rsidR="0010107D" w:rsidP="0010107D" w:rsidRDefault="0010107D" w14:paraId="38831F92" w14:textId="21154500">
      <w:pPr>
        <w:jc w:val="center"/>
        <w:rPr>
          <w:b/>
          <w:bCs/>
          <w:sz w:val="28"/>
          <w:szCs w:val="28"/>
        </w:rPr>
      </w:pPr>
      <w:r w:rsidRPr="0010107D">
        <w:rPr>
          <w:b/>
          <w:bCs/>
          <w:sz w:val="28"/>
          <w:szCs w:val="28"/>
        </w:rPr>
        <w:t>Pub. L. 116-142</w:t>
      </w:r>
    </w:p>
    <w:p w:rsidRPr="007D0558" w:rsidR="007D0558" w:rsidP="007D0558" w:rsidRDefault="007D0558" w14:paraId="7AF3422D" w14:textId="77777777">
      <w:pPr>
        <w:shd w:val="clear" w:color="auto" w:fill="FFFFFF"/>
        <w:spacing w:before="100" w:beforeAutospacing="1" w:after="100" w:afterAutospacing="1" w:line="240" w:lineRule="auto"/>
        <w:ind w:hanging="480"/>
        <w:rPr>
          <w:rFonts w:ascii="Times" w:hAnsi="Times" w:eastAsia="Times New Roman" w:cs="Times"/>
          <w:color w:val="333333"/>
          <w:sz w:val="24"/>
          <w:szCs w:val="24"/>
        </w:rPr>
      </w:pPr>
      <w:r w:rsidRPr="007D0558">
        <w:rPr>
          <w:rFonts w:ascii="Times" w:hAnsi="Times" w:eastAsia="Times New Roman" w:cs="Times"/>
          <w:b/>
          <w:bCs/>
          <w:color w:val="333333"/>
          <w:sz w:val="24"/>
          <w:szCs w:val="24"/>
        </w:rPr>
        <w:t>SEC. 2. </w:t>
      </w:r>
      <w:r w:rsidRPr="007D0558">
        <w:rPr>
          <w:rFonts w:ascii="Times" w:hAnsi="Times" w:eastAsia="Times New Roman" w:cs="Times"/>
          <w:b/>
          <w:bCs/>
          <w:caps/>
          <w:color w:val="333333"/>
          <w:sz w:val="24"/>
          <w:szCs w:val="24"/>
        </w:rPr>
        <w:t>MATURITY FOR LOANS WITH REMAINING BALANCE AFTER APPLICATION OF FORGIVENESS</w:t>
      </w:r>
      <w:r w:rsidRPr="007D0558">
        <w:rPr>
          <w:rFonts w:ascii="Times" w:hAnsi="Times" w:eastAsia="Times New Roman" w:cs="Times"/>
          <w:b/>
          <w:bCs/>
          <w:color w:val="333333"/>
          <w:sz w:val="24"/>
          <w:szCs w:val="24"/>
        </w:rPr>
        <w:t>.</w:t>
      </w:r>
    </w:p>
    <w:p w:rsidRPr="007D0558" w:rsidR="007D0558" w:rsidP="007D0558" w:rsidRDefault="007D0558" w14:paraId="613EBED8"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w:t>
      </w:r>
      <w:r w:rsidRPr="007D0558">
        <w:rPr>
          <w:rFonts w:ascii="Times" w:hAnsi="Times" w:eastAsia="Times New Roman" w:cs="Times"/>
          <w:smallCaps/>
          <w:color w:val="333333"/>
          <w:spacing w:val="20"/>
          <w:sz w:val="24"/>
          <w:szCs w:val="24"/>
        </w:rPr>
        <w:t>In General</w:t>
      </w:r>
      <w:r w:rsidRPr="007D0558">
        <w:rPr>
          <w:rFonts w:ascii="Times" w:hAnsi="Times" w:eastAsia="Times New Roman" w:cs="Times"/>
          <w:color w:val="333333"/>
          <w:sz w:val="24"/>
          <w:szCs w:val="24"/>
        </w:rPr>
        <w:t>.—Section 7(a)(36)(K)(ii) of the Small Business Act (</w:t>
      </w:r>
      <w:hyperlink w:history="1" r:id="rId7">
        <w:r w:rsidRPr="007D0558">
          <w:rPr>
            <w:rFonts w:ascii="Times" w:hAnsi="Times" w:eastAsia="Times New Roman" w:cs="Times"/>
            <w:color w:val="3366CC"/>
            <w:sz w:val="24"/>
            <w:szCs w:val="24"/>
            <w:u w:val="single"/>
          </w:rPr>
          <w:t>15 U.S.C. 636(a)(36)</w:t>
        </w:r>
      </w:hyperlink>
      <w:r w:rsidRPr="007D0558">
        <w:rPr>
          <w:rFonts w:ascii="Times" w:hAnsi="Times" w:eastAsia="Times New Roman" w:cs="Times"/>
          <w:color w:val="333333"/>
          <w:sz w:val="24"/>
          <w:szCs w:val="24"/>
        </w:rPr>
        <w:t>) is amended by inserting “minimum maturity of 5 years and a” before “maximum maturity”.</w:t>
      </w:r>
    </w:p>
    <w:p w:rsidRPr="007D0558" w:rsidR="007D0558" w:rsidP="007D0558" w:rsidRDefault="007D0558" w14:paraId="3F2C401B"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(b) </w:t>
      </w:r>
      <w:r w:rsidRPr="007D0558">
        <w:rPr>
          <w:rFonts w:ascii="Times" w:hAnsi="Times" w:eastAsia="Times New Roman" w:cs="Times"/>
          <w:smallCaps/>
          <w:color w:val="333333"/>
          <w:spacing w:val="20"/>
          <w:sz w:val="24"/>
          <w:szCs w:val="24"/>
        </w:rPr>
        <w:t>Effective Date; Applicability</w:t>
      </w:r>
      <w:r w:rsidRPr="007D0558">
        <w:rPr>
          <w:rFonts w:ascii="Times" w:hAnsi="Times" w:eastAsia="Times New Roman" w:cs="Times"/>
          <w:color w:val="333333"/>
          <w:sz w:val="24"/>
          <w:szCs w:val="24"/>
        </w:rPr>
        <w:t>.—The amendment made by this section shall take effect on the date of the enactment of this Act and shall apply to any loan made pursuant to section 7(a)(36) of the Small Business Act (</w:t>
      </w:r>
      <w:hyperlink w:history="1" r:id="rId8">
        <w:r w:rsidRPr="007D0558">
          <w:rPr>
            <w:rFonts w:ascii="Times" w:hAnsi="Times" w:eastAsia="Times New Roman" w:cs="Times"/>
            <w:color w:val="3366CC"/>
            <w:sz w:val="24"/>
            <w:szCs w:val="24"/>
            <w:u w:val="single"/>
          </w:rPr>
          <w:t>15 U.S.C. 636(a)(36)</w:t>
        </w:r>
      </w:hyperlink>
      <w:r w:rsidRPr="007D0558">
        <w:rPr>
          <w:rFonts w:ascii="Times" w:hAnsi="Times" w:eastAsia="Times New Roman" w:cs="Times"/>
          <w:color w:val="333333"/>
          <w:sz w:val="24"/>
          <w:szCs w:val="24"/>
        </w:rPr>
        <w:t>) on or after such date. Nothing in this Act, the CARES Act (</w:t>
      </w:r>
      <w:hyperlink w:history="1" r:id="rId9">
        <w:r w:rsidRPr="007D0558">
          <w:rPr>
            <w:rFonts w:ascii="Times" w:hAnsi="Times" w:eastAsia="Times New Roman" w:cs="Times"/>
            <w:color w:val="3366CC"/>
            <w:sz w:val="24"/>
            <w:szCs w:val="24"/>
            <w:u w:val="single"/>
          </w:rPr>
          <w:t>Public Law 116–136</w:t>
        </w:r>
      </w:hyperlink>
      <w:r w:rsidRPr="007D0558">
        <w:rPr>
          <w:rFonts w:ascii="Times" w:hAnsi="Times" w:eastAsia="Times New Roman" w:cs="Times"/>
          <w:color w:val="333333"/>
          <w:sz w:val="24"/>
          <w:szCs w:val="24"/>
        </w:rPr>
        <w:t>), or the Paycheck Protection Program and Health Care Enhancement Act (</w:t>
      </w:r>
      <w:hyperlink w:history="1" r:id="rId10">
        <w:r w:rsidRPr="007D0558">
          <w:rPr>
            <w:rFonts w:ascii="Times" w:hAnsi="Times" w:eastAsia="Times New Roman" w:cs="Times"/>
            <w:color w:val="3366CC"/>
            <w:sz w:val="24"/>
            <w:szCs w:val="24"/>
            <w:u w:val="single"/>
          </w:rPr>
          <w:t>Public Law 116–139</w:t>
        </w:r>
      </w:hyperlink>
      <w:r w:rsidRPr="007D0558">
        <w:rPr>
          <w:rFonts w:ascii="Times" w:hAnsi="Times" w:eastAsia="Times New Roman" w:cs="Times"/>
          <w:color w:val="333333"/>
          <w:sz w:val="24"/>
          <w:szCs w:val="24"/>
        </w:rPr>
        <w:t>) shall be construed to prohibit lenders and borrowers from mutually agreeing to modify the maturity terms of a covered loan described in subparagraph (K) of such section to conform with requirements of this section.</w:t>
      </w:r>
    </w:p>
    <w:p w:rsidRPr="007D0558" w:rsidR="007D0558" w:rsidP="007D0558" w:rsidRDefault="007D0558" w14:paraId="1FA42B45" w14:textId="77777777">
      <w:pPr>
        <w:shd w:val="clear" w:color="auto" w:fill="FFFFFF"/>
        <w:spacing w:before="100" w:beforeAutospacing="1" w:after="100" w:afterAutospacing="1" w:line="240" w:lineRule="auto"/>
        <w:ind w:hanging="480"/>
        <w:rPr>
          <w:rFonts w:ascii="Times" w:hAnsi="Times" w:eastAsia="Times New Roman" w:cs="Times"/>
          <w:color w:val="333333"/>
          <w:sz w:val="24"/>
          <w:szCs w:val="24"/>
        </w:rPr>
      </w:pPr>
      <w:r w:rsidRPr="007D0558">
        <w:rPr>
          <w:rFonts w:ascii="Times" w:hAnsi="Times" w:eastAsia="Times New Roman" w:cs="Times"/>
          <w:b/>
          <w:bCs/>
          <w:color w:val="333333"/>
          <w:sz w:val="24"/>
          <w:szCs w:val="24"/>
        </w:rPr>
        <w:t>SEC. 3. </w:t>
      </w:r>
      <w:r w:rsidRPr="007D0558">
        <w:rPr>
          <w:rFonts w:ascii="Times" w:hAnsi="Times" w:eastAsia="Times New Roman" w:cs="Times"/>
          <w:b/>
          <w:bCs/>
          <w:caps/>
          <w:color w:val="333333"/>
          <w:sz w:val="24"/>
          <w:szCs w:val="24"/>
        </w:rPr>
        <w:t>AMENDMENTS TO PAYCHECK PROTECTION PROGRAM LOAN FORGIVENESS</w:t>
      </w:r>
      <w:r w:rsidRPr="007D0558">
        <w:rPr>
          <w:rFonts w:ascii="Times" w:hAnsi="Times" w:eastAsia="Times New Roman" w:cs="Times"/>
          <w:b/>
          <w:bCs/>
          <w:color w:val="333333"/>
          <w:sz w:val="24"/>
          <w:szCs w:val="24"/>
        </w:rPr>
        <w:t>.</w:t>
      </w:r>
    </w:p>
    <w:p w:rsidRPr="007D0558" w:rsidR="007D0558" w:rsidP="007D0558" w:rsidRDefault="007D0558" w14:paraId="781CB946"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w:t>
      </w:r>
      <w:r w:rsidRPr="007D0558">
        <w:rPr>
          <w:rFonts w:ascii="Times" w:hAnsi="Times" w:eastAsia="Times New Roman" w:cs="Times"/>
          <w:smallCaps/>
          <w:color w:val="333333"/>
          <w:spacing w:val="20"/>
          <w:sz w:val="24"/>
          <w:szCs w:val="24"/>
        </w:rPr>
        <w:t>Extension Of Covered Period</w:t>
      </w:r>
      <w:r w:rsidRPr="007D0558">
        <w:rPr>
          <w:rFonts w:ascii="Times" w:hAnsi="Times" w:eastAsia="Times New Roman" w:cs="Times"/>
          <w:color w:val="333333"/>
          <w:sz w:val="24"/>
          <w:szCs w:val="24"/>
        </w:rPr>
        <w:t>.—Section 7(a)(36)(A)(iii) of the Small Business Act (</w:t>
      </w:r>
      <w:hyperlink w:history="1" r:id="rId11">
        <w:r w:rsidRPr="007D0558">
          <w:rPr>
            <w:rFonts w:ascii="Times" w:hAnsi="Times" w:eastAsia="Times New Roman" w:cs="Times"/>
            <w:color w:val="3366CC"/>
            <w:sz w:val="24"/>
            <w:szCs w:val="24"/>
            <w:u w:val="single"/>
          </w:rPr>
          <w:t>15 U.S.C. 636(a)(36)(A)(iii)</w:t>
        </w:r>
      </w:hyperlink>
      <w:r w:rsidRPr="007D0558">
        <w:rPr>
          <w:rFonts w:ascii="Times" w:hAnsi="Times" w:eastAsia="Times New Roman" w:cs="Times"/>
          <w:color w:val="333333"/>
          <w:sz w:val="24"/>
          <w:szCs w:val="24"/>
        </w:rPr>
        <w:t>) is amended by striking “June 30, 2020” and inserting “December 31, 2020”.</w:t>
      </w:r>
    </w:p>
    <w:p w:rsidRPr="007D0558" w:rsidR="007D0558" w:rsidP="007D0558" w:rsidRDefault="007D0558" w14:paraId="00FCB004"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(b) </w:t>
      </w:r>
      <w:r w:rsidRPr="007D0558">
        <w:rPr>
          <w:rFonts w:ascii="Times" w:hAnsi="Times" w:eastAsia="Times New Roman" w:cs="Times"/>
          <w:smallCaps/>
          <w:color w:val="333333"/>
          <w:spacing w:val="20"/>
          <w:sz w:val="24"/>
          <w:szCs w:val="24"/>
        </w:rPr>
        <w:t>Forgiveness</w:t>
      </w:r>
      <w:r w:rsidRPr="007D0558">
        <w:rPr>
          <w:rFonts w:ascii="Times" w:hAnsi="Times" w:eastAsia="Times New Roman" w:cs="Times"/>
          <w:color w:val="333333"/>
          <w:sz w:val="24"/>
          <w:szCs w:val="24"/>
        </w:rPr>
        <w:t>.—Section 1106 of the CARES Act (</w:t>
      </w:r>
      <w:hyperlink w:history="1" r:id="rId12">
        <w:r w:rsidRPr="007D0558">
          <w:rPr>
            <w:rFonts w:ascii="Times" w:hAnsi="Times" w:eastAsia="Times New Roman" w:cs="Times"/>
            <w:color w:val="3366CC"/>
            <w:sz w:val="24"/>
            <w:szCs w:val="24"/>
            <w:u w:val="single"/>
          </w:rPr>
          <w:t>Public Law 116–136</w:t>
        </w:r>
      </w:hyperlink>
      <w:r w:rsidRPr="007D0558">
        <w:rPr>
          <w:rFonts w:ascii="Times" w:hAnsi="Times" w:eastAsia="Times New Roman" w:cs="Times"/>
          <w:color w:val="333333"/>
          <w:sz w:val="24"/>
          <w:szCs w:val="24"/>
        </w:rPr>
        <w:t>) is amended—</w:t>
      </w:r>
    </w:p>
    <w:p w:rsidRPr="007D0558" w:rsidR="007D0558" w:rsidP="007D0558" w:rsidRDefault="007D0558" w14:paraId="78F9270C"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(1) in subsection (a), by striking paragraph (3) and inserting the following:</w:t>
      </w:r>
    </w:p>
    <w:p w:rsidRPr="007D0558" w:rsidR="007D0558" w:rsidP="007D0558" w:rsidRDefault="007D0558" w14:paraId="095BEDE7"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“(3) the term ‘covered period’ means, subject to subsection (l), the period beginning on the date of the origination of a covered loan and ending the earlier of—</w:t>
      </w:r>
    </w:p>
    <w:p w:rsidRPr="007D0558" w:rsidR="007D0558" w:rsidP="007D0558" w:rsidRDefault="007D0558" w14:paraId="26C25D35"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the date that is 24 weeks after such date of origination; or</w:t>
      </w:r>
    </w:p>
    <w:p w:rsidRPr="007D0558" w:rsidR="007D0558" w:rsidP="007D0558" w:rsidRDefault="007D0558" w14:paraId="097E8D21"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“(B) December 31, 2020;</w:t>
      </w:r>
      <w:proofErr w:type="gramStart"/>
      <w:r w:rsidRPr="007D0558">
        <w:rPr>
          <w:rFonts w:ascii="Times" w:hAnsi="Times" w:eastAsia="Times New Roman" w:cs="Times"/>
          <w:color w:val="333333"/>
          <w:sz w:val="24"/>
          <w:szCs w:val="24"/>
        </w:rPr>
        <w:t>”;</w:t>
      </w:r>
      <w:proofErr w:type="gramEnd"/>
    </w:p>
    <w:p w:rsidRPr="007D0558" w:rsidR="007D0558" w:rsidP="007D0558" w:rsidRDefault="007D0558" w14:paraId="56F8DA6B"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(2) in subsection (d)—</w:t>
      </w:r>
    </w:p>
    <w:p w:rsidRPr="007D0558" w:rsidR="007D0558" w:rsidP="007D0558" w:rsidRDefault="007D0558" w14:paraId="23E013E3"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in paragraph (5)(B), by striking “June 30, 2020” each place it appears and inserting “December 31, 2020”; and</w:t>
      </w:r>
    </w:p>
    <w:p w:rsidRPr="007D0558" w:rsidR="007D0558" w:rsidP="007D0558" w:rsidRDefault="007D0558" w14:paraId="6667BD36"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 xml:space="preserve">(B) by adding at the </w:t>
      </w:r>
      <w:proofErr w:type="gramStart"/>
      <w:r w:rsidRPr="007D0558">
        <w:rPr>
          <w:rFonts w:ascii="Times" w:hAnsi="Times" w:eastAsia="Times New Roman" w:cs="Times"/>
          <w:color w:val="333333"/>
          <w:sz w:val="24"/>
          <w:szCs w:val="24"/>
        </w:rPr>
        <w:t>end</w:t>
      </w:r>
      <w:proofErr w:type="gramEnd"/>
      <w:r w:rsidRPr="007D0558">
        <w:rPr>
          <w:rFonts w:ascii="Times" w:hAnsi="Times" w:eastAsia="Times New Roman" w:cs="Times"/>
          <w:color w:val="333333"/>
          <w:sz w:val="24"/>
          <w:szCs w:val="24"/>
        </w:rPr>
        <w:t xml:space="preserve"> the following new paragraphs:</w:t>
      </w:r>
    </w:p>
    <w:p w:rsidRPr="007D0558" w:rsidR="007D0558" w:rsidP="007D0558" w:rsidRDefault="007D0558" w14:paraId="34D2A0FA"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“(7) </w:t>
      </w:r>
      <w:r w:rsidRPr="007D0558">
        <w:rPr>
          <w:rFonts w:ascii="Times" w:hAnsi="Times" w:eastAsia="Times New Roman" w:cs="Times"/>
          <w:color w:val="333333"/>
          <w:sz w:val="26"/>
          <w:szCs w:val="26"/>
        </w:rPr>
        <w:t>E</w:t>
      </w:r>
      <w:r w:rsidRPr="007D0558">
        <w:rPr>
          <w:rFonts w:ascii="Times" w:hAnsi="Times" w:eastAsia="Times New Roman" w:cs="Times"/>
          <w:color w:val="333333"/>
          <w:sz w:val="24"/>
          <w:szCs w:val="24"/>
        </w:rPr>
        <w:t xml:space="preserve">XEMPTION BASED ON EMPLOYEE AVAILABILITY.—During the period beginning on February 15, 2020, and ending on December 31, 2020, the amount of loan </w:t>
      </w:r>
      <w:r w:rsidRPr="007D0558">
        <w:rPr>
          <w:rFonts w:ascii="Times" w:hAnsi="Times" w:eastAsia="Times New Roman" w:cs="Times"/>
          <w:color w:val="333333"/>
          <w:sz w:val="24"/>
          <w:szCs w:val="24"/>
        </w:rPr>
        <w:lastRenderedPageBreak/>
        <w:t>forgiveness under this section shall be determined without regard to a proportional reduction in the number of full-time equivalent employees if an eligible recipient, in good faith—</w:t>
      </w:r>
    </w:p>
    <w:p w:rsidRPr="007D0558" w:rsidR="007D0558" w:rsidP="007D0558" w:rsidRDefault="007D0558" w14:paraId="0F7660ED"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is able to document—</w:t>
      </w:r>
    </w:p>
    <w:p w:rsidRPr="007D0558" w:rsidR="007D0558" w:rsidP="007D0558" w:rsidRDefault="007D0558" w14:paraId="4B713039"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“(i) an inability to rehire individuals who were employees of the eligible recipient on February 15, 2020; and</w:t>
      </w:r>
    </w:p>
    <w:p w:rsidRPr="007D0558" w:rsidR="007D0558" w:rsidP="007D0558" w:rsidRDefault="007D0558" w14:paraId="5053E986"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“(ii) an inability to hire similarly qualified employees for unfilled positions on or before December 31, 2020; or</w:t>
      </w:r>
    </w:p>
    <w:p w:rsidRPr="007D0558" w:rsidR="007D0558" w:rsidP="007D0558" w:rsidRDefault="007D0558" w14:paraId="3E32AC52"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“(B) is able to document an inability to return to the same level of business activity as such business was operating at before February 15, 2020, due to compliance with requirements established or guidance issued by the Secretary of Health and Human Services, the Director of the Centers for Disease Control and Prevention, or the Occupational Safety and Health Administration during the period beginning on March 1, 2020, and ending December 31, 2020, related to the maintenance of standards for sanitation, social distancing, or any other worker or customer safety requirement related to COVID–19.</w:t>
      </w:r>
    </w:p>
    <w:p w:rsidRPr="007D0558" w:rsidR="007D0558" w:rsidP="007D0558" w:rsidRDefault="007D0558" w14:paraId="39099C2F"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“(8) </w:t>
      </w:r>
      <w:r w:rsidRPr="007D0558">
        <w:rPr>
          <w:rFonts w:ascii="Times" w:hAnsi="Times" w:eastAsia="Times New Roman" w:cs="Times"/>
          <w:color w:val="333333"/>
          <w:sz w:val="26"/>
          <w:szCs w:val="26"/>
        </w:rPr>
        <w:t>L</w:t>
      </w:r>
      <w:r w:rsidRPr="007D0558">
        <w:rPr>
          <w:rFonts w:ascii="Times" w:hAnsi="Times" w:eastAsia="Times New Roman" w:cs="Times"/>
          <w:color w:val="333333"/>
          <w:sz w:val="24"/>
          <w:szCs w:val="24"/>
        </w:rPr>
        <w:t>IMITATION ON FORGIVENESS.—To receive loan forgiveness under this section, an eligible recipient shall use at least 60 percent of the covered loan amount for payroll costs, and may use up to 40 percent of such amount for any payment of interest on any covered mortgage obligation (which shall not include any prepayment of or payment of principal on a covered mortgage obligation), any payment on any covered rent obligation, or any covered utility payment.”; and</w:t>
      </w:r>
    </w:p>
    <w:p w:rsidRPr="007D0558" w:rsidR="007D0558" w:rsidP="007D0558" w:rsidRDefault="007D0558" w14:paraId="40B97B1C"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 xml:space="preserve">(3) by adding at the </w:t>
      </w:r>
      <w:proofErr w:type="gramStart"/>
      <w:r w:rsidRPr="007D0558">
        <w:rPr>
          <w:rFonts w:ascii="Times" w:hAnsi="Times" w:eastAsia="Times New Roman" w:cs="Times"/>
          <w:color w:val="333333"/>
          <w:sz w:val="24"/>
          <w:szCs w:val="24"/>
        </w:rPr>
        <w:t>end</w:t>
      </w:r>
      <w:proofErr w:type="gramEnd"/>
      <w:r w:rsidRPr="007D0558">
        <w:rPr>
          <w:rFonts w:ascii="Times" w:hAnsi="Times" w:eastAsia="Times New Roman" w:cs="Times"/>
          <w:color w:val="333333"/>
          <w:sz w:val="24"/>
          <w:szCs w:val="24"/>
        </w:rPr>
        <w:t xml:space="preserve"> the following new subsection:</w:t>
      </w:r>
    </w:p>
    <w:p w:rsidRPr="007D0558" w:rsidR="007D0558" w:rsidP="007D0558" w:rsidRDefault="007D0558" w14:paraId="26B4B851"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“(l) </w:t>
      </w:r>
      <w:r w:rsidRPr="007D0558">
        <w:rPr>
          <w:rFonts w:ascii="Times" w:hAnsi="Times" w:eastAsia="Times New Roman" w:cs="Times"/>
          <w:smallCaps/>
          <w:color w:val="333333"/>
          <w:spacing w:val="20"/>
          <w:sz w:val="24"/>
          <w:szCs w:val="24"/>
        </w:rPr>
        <w:t>Application To Certain Eligible Recipients</w:t>
      </w:r>
      <w:r w:rsidRPr="007D0558">
        <w:rPr>
          <w:rFonts w:ascii="Times" w:hAnsi="Times" w:eastAsia="Times New Roman" w:cs="Times"/>
          <w:color w:val="333333"/>
          <w:sz w:val="24"/>
          <w:szCs w:val="24"/>
        </w:rPr>
        <w:t>.—An eligible recipient that received a covered loan before the date of enactment of this subsection may elect for the covered period applicable to such covered loan to end on the date that is 8 weeks after the date of the origination of such covered loan.”.</w:t>
      </w:r>
    </w:p>
    <w:p w:rsidRPr="007D0558" w:rsidR="007D0558" w:rsidP="007D0558" w:rsidRDefault="007D0558" w14:paraId="7E0FB86A"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(c) </w:t>
      </w:r>
      <w:r w:rsidRPr="007D0558">
        <w:rPr>
          <w:rFonts w:ascii="Times" w:hAnsi="Times" w:eastAsia="Times New Roman" w:cs="Times"/>
          <w:smallCaps/>
          <w:color w:val="333333"/>
          <w:spacing w:val="20"/>
          <w:sz w:val="24"/>
          <w:szCs w:val="24"/>
        </w:rPr>
        <w:t>Extension Of Deferral Period</w:t>
      </w:r>
      <w:r w:rsidRPr="007D0558">
        <w:rPr>
          <w:rFonts w:ascii="Times" w:hAnsi="Times" w:eastAsia="Times New Roman" w:cs="Times"/>
          <w:color w:val="333333"/>
          <w:sz w:val="24"/>
          <w:szCs w:val="24"/>
        </w:rPr>
        <w:t>.—Section 7(a)(36)(M) of the Small Business Act (</w:t>
      </w:r>
      <w:hyperlink w:history="1" r:id="rId13">
        <w:r w:rsidRPr="007D0558">
          <w:rPr>
            <w:rFonts w:ascii="Times" w:hAnsi="Times" w:eastAsia="Times New Roman" w:cs="Times"/>
            <w:color w:val="3366CC"/>
            <w:sz w:val="24"/>
            <w:szCs w:val="24"/>
            <w:u w:val="single"/>
          </w:rPr>
          <w:t>15 U.S.C. 636(a)(36)(M)</w:t>
        </w:r>
      </w:hyperlink>
      <w:r w:rsidRPr="007D0558">
        <w:rPr>
          <w:rFonts w:ascii="Times" w:hAnsi="Times" w:eastAsia="Times New Roman" w:cs="Times"/>
          <w:color w:val="333333"/>
          <w:sz w:val="24"/>
          <w:szCs w:val="24"/>
        </w:rPr>
        <w:t>) is amended—</w:t>
      </w:r>
    </w:p>
    <w:p w:rsidRPr="007D0558" w:rsidR="007D0558" w:rsidP="007D0558" w:rsidRDefault="007D0558" w14:paraId="3C22B52A"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(1) in clause (ii)(II), by striking “for a period of not less than 6 months, including payment of principal, interest, and fees, and not more than 1 year.” and inserting the following: “, including payment of principal, interest, and fees, until the date on which the amount of forgiveness determined under section 1106 of the CARES Act is remitted to the lender.”;</w:t>
      </w:r>
    </w:p>
    <w:p w:rsidRPr="007D0558" w:rsidR="007D0558" w:rsidP="007D0558" w:rsidRDefault="007D0558" w14:paraId="1A8CF370"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(2) in clause (iii), by striking “for a period of not less than 6 months, including payment of principal, interest, and fees, and not more than 1 year.” and inserting the following: “, including payment of principal, interest, and fees, until the date on which the amount of forgiveness determined under section 1106 of the CARES Act is remitted to the lender.”; and</w:t>
      </w:r>
    </w:p>
    <w:p w:rsidRPr="007D0558" w:rsidR="007D0558" w:rsidP="007D0558" w:rsidRDefault="007D0558" w14:paraId="2C63C7BC"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lastRenderedPageBreak/>
        <w:t xml:space="preserve">(3) by adding at the </w:t>
      </w:r>
      <w:proofErr w:type="gramStart"/>
      <w:r w:rsidRPr="007D0558">
        <w:rPr>
          <w:rFonts w:ascii="Times" w:hAnsi="Times" w:eastAsia="Times New Roman" w:cs="Times"/>
          <w:color w:val="333333"/>
          <w:sz w:val="24"/>
          <w:szCs w:val="24"/>
        </w:rPr>
        <w:t>end</w:t>
      </w:r>
      <w:proofErr w:type="gramEnd"/>
      <w:r w:rsidRPr="007D0558">
        <w:rPr>
          <w:rFonts w:ascii="Times" w:hAnsi="Times" w:eastAsia="Times New Roman" w:cs="Times"/>
          <w:color w:val="333333"/>
          <w:sz w:val="24"/>
          <w:szCs w:val="24"/>
        </w:rPr>
        <w:t xml:space="preserve"> the following new clause:</w:t>
      </w:r>
    </w:p>
    <w:p w:rsidRPr="007D0558" w:rsidR="007D0558" w:rsidP="007D0558" w:rsidRDefault="007D0558" w14:paraId="0AF24C0B"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“(v) </w:t>
      </w:r>
      <w:r w:rsidRPr="007D0558">
        <w:rPr>
          <w:rFonts w:ascii="Times" w:hAnsi="Times" w:eastAsia="Times New Roman" w:cs="Times"/>
          <w:color w:val="333333"/>
          <w:sz w:val="26"/>
          <w:szCs w:val="26"/>
        </w:rPr>
        <w:t>R</w:t>
      </w:r>
      <w:r w:rsidRPr="007D0558">
        <w:rPr>
          <w:rFonts w:ascii="Times" w:hAnsi="Times" w:eastAsia="Times New Roman" w:cs="Times"/>
          <w:color w:val="333333"/>
          <w:sz w:val="24"/>
          <w:szCs w:val="24"/>
        </w:rPr>
        <w:t>ULE OF CONSTRUCTION.—If an eligible recipient fails to apply for forgiveness of a covered loan within 10 months after the last day of the covered period defined in section 1106(a) of the CARES Act, such eligible recipient shall make payments of principal, interest, and fees on such covered loan beginning on the day that is not earlier than the date that is 10 months after the last day of such covered period.”.</w:t>
      </w:r>
    </w:p>
    <w:p w:rsidRPr="007D0558" w:rsidR="007D0558" w:rsidP="007D0558" w:rsidRDefault="007D0558" w14:paraId="0C5C062F"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(d) </w:t>
      </w:r>
      <w:r w:rsidRPr="007D0558">
        <w:rPr>
          <w:rFonts w:ascii="Times" w:hAnsi="Times" w:eastAsia="Times New Roman" w:cs="Times"/>
          <w:smallCaps/>
          <w:color w:val="333333"/>
          <w:spacing w:val="20"/>
          <w:sz w:val="24"/>
          <w:szCs w:val="24"/>
        </w:rPr>
        <w:t>Effective Date; Applicability</w:t>
      </w:r>
      <w:r w:rsidRPr="007D0558">
        <w:rPr>
          <w:rFonts w:ascii="Times" w:hAnsi="Times" w:eastAsia="Times New Roman" w:cs="Times"/>
          <w:color w:val="333333"/>
          <w:sz w:val="24"/>
          <w:szCs w:val="24"/>
        </w:rPr>
        <w:t>.—The amendments made by this section shall be effective as if included in the CARES Act (</w:t>
      </w:r>
      <w:hyperlink w:history="1" r:id="rId14">
        <w:r w:rsidRPr="007D0558">
          <w:rPr>
            <w:rFonts w:ascii="Times" w:hAnsi="Times" w:eastAsia="Times New Roman" w:cs="Times"/>
            <w:color w:val="3366CC"/>
            <w:sz w:val="24"/>
            <w:szCs w:val="24"/>
            <w:u w:val="single"/>
          </w:rPr>
          <w:t>Public Law 116–136</w:t>
        </w:r>
      </w:hyperlink>
      <w:r w:rsidRPr="007D0558">
        <w:rPr>
          <w:rFonts w:ascii="Times" w:hAnsi="Times" w:eastAsia="Times New Roman" w:cs="Times"/>
          <w:color w:val="333333"/>
          <w:sz w:val="24"/>
          <w:szCs w:val="24"/>
        </w:rPr>
        <w:t>) and shall apply to any loan made pursuant to section 7(a)(36) of the Small Business Act (</w:t>
      </w:r>
      <w:hyperlink w:history="1" r:id="rId15">
        <w:r w:rsidRPr="007D0558">
          <w:rPr>
            <w:rFonts w:ascii="Times" w:hAnsi="Times" w:eastAsia="Times New Roman" w:cs="Times"/>
            <w:color w:val="3366CC"/>
            <w:sz w:val="24"/>
            <w:szCs w:val="24"/>
            <w:u w:val="single"/>
          </w:rPr>
          <w:t>15 U.S.C. 636(a)(36)</w:t>
        </w:r>
      </w:hyperlink>
      <w:r w:rsidRPr="007D0558">
        <w:rPr>
          <w:rFonts w:ascii="Times" w:hAnsi="Times" w:eastAsia="Times New Roman" w:cs="Times"/>
          <w:color w:val="333333"/>
          <w:sz w:val="24"/>
          <w:szCs w:val="24"/>
        </w:rPr>
        <w:t>) or section 1109 of the CARES Act.</w:t>
      </w:r>
    </w:p>
    <w:p w:rsidRPr="007D0558" w:rsidR="007D0558" w:rsidP="007D0558" w:rsidRDefault="007D0558" w14:paraId="4165F7CA" w14:textId="77777777">
      <w:pPr>
        <w:shd w:val="clear" w:color="auto" w:fill="FFFFFF"/>
        <w:spacing w:before="100" w:beforeAutospacing="1" w:after="100" w:afterAutospacing="1" w:line="240" w:lineRule="auto"/>
        <w:ind w:hanging="480"/>
        <w:rPr>
          <w:rFonts w:ascii="Times" w:hAnsi="Times" w:eastAsia="Times New Roman" w:cs="Times"/>
          <w:color w:val="333333"/>
          <w:sz w:val="24"/>
          <w:szCs w:val="24"/>
        </w:rPr>
      </w:pPr>
      <w:r w:rsidRPr="007D0558">
        <w:rPr>
          <w:rFonts w:ascii="Times" w:hAnsi="Times" w:eastAsia="Times New Roman" w:cs="Times"/>
          <w:b/>
          <w:bCs/>
          <w:color w:val="333333"/>
          <w:sz w:val="24"/>
          <w:szCs w:val="24"/>
        </w:rPr>
        <w:t>SEC. 4. </w:t>
      </w:r>
      <w:r w:rsidRPr="007D0558">
        <w:rPr>
          <w:rFonts w:ascii="Times" w:hAnsi="Times" w:eastAsia="Times New Roman" w:cs="Times"/>
          <w:b/>
          <w:bCs/>
          <w:caps/>
          <w:color w:val="333333"/>
          <w:sz w:val="24"/>
          <w:szCs w:val="24"/>
        </w:rPr>
        <w:t>DELAY OF PAYMENT OF EMPLOYER PAYROLL TAXES</w:t>
      </w:r>
      <w:r w:rsidRPr="007D0558">
        <w:rPr>
          <w:rFonts w:ascii="Times" w:hAnsi="Times" w:eastAsia="Times New Roman" w:cs="Times"/>
          <w:b/>
          <w:bCs/>
          <w:color w:val="333333"/>
          <w:sz w:val="24"/>
          <w:szCs w:val="24"/>
        </w:rPr>
        <w:t>.</w:t>
      </w:r>
    </w:p>
    <w:p w:rsidRPr="007D0558" w:rsidR="007D0558" w:rsidP="007D0558" w:rsidRDefault="007D0558" w14:paraId="7FDFDB7E"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(a) </w:t>
      </w:r>
      <w:r w:rsidRPr="007D0558">
        <w:rPr>
          <w:rFonts w:ascii="Times" w:hAnsi="Times" w:eastAsia="Times New Roman" w:cs="Times"/>
          <w:smallCaps/>
          <w:color w:val="333333"/>
          <w:spacing w:val="20"/>
          <w:sz w:val="24"/>
          <w:szCs w:val="24"/>
        </w:rPr>
        <w:t>In General</w:t>
      </w:r>
      <w:r w:rsidRPr="007D0558">
        <w:rPr>
          <w:rFonts w:ascii="Times" w:hAnsi="Times" w:eastAsia="Times New Roman" w:cs="Times"/>
          <w:color w:val="333333"/>
          <w:sz w:val="24"/>
          <w:szCs w:val="24"/>
        </w:rPr>
        <w:t>.—Section 2302(a) of the CARES Act (</w:t>
      </w:r>
      <w:hyperlink w:history="1" r:id="rId16">
        <w:r w:rsidRPr="007D0558">
          <w:rPr>
            <w:rFonts w:ascii="Times" w:hAnsi="Times" w:eastAsia="Times New Roman" w:cs="Times"/>
            <w:color w:val="3366CC"/>
            <w:sz w:val="24"/>
            <w:szCs w:val="24"/>
            <w:u w:val="single"/>
          </w:rPr>
          <w:t>Public Law 116–136</w:t>
        </w:r>
      </w:hyperlink>
      <w:r w:rsidRPr="007D0558">
        <w:rPr>
          <w:rFonts w:ascii="Times" w:hAnsi="Times" w:eastAsia="Times New Roman" w:cs="Times"/>
          <w:color w:val="333333"/>
          <w:sz w:val="24"/>
          <w:szCs w:val="24"/>
        </w:rPr>
        <w:t>) is amended by striking paragraph (3).</w:t>
      </w:r>
    </w:p>
    <w:p w:rsidRPr="007D0558" w:rsidR="007D0558" w:rsidP="007D0558" w:rsidRDefault="007D0558" w14:paraId="49F46C2E" w14:textId="77777777">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sidRPr="007D0558">
        <w:rPr>
          <w:rFonts w:ascii="Times" w:hAnsi="Times" w:eastAsia="Times New Roman" w:cs="Times"/>
          <w:color w:val="333333"/>
          <w:sz w:val="24"/>
          <w:szCs w:val="24"/>
        </w:rPr>
        <w:t>(b) </w:t>
      </w:r>
      <w:r w:rsidRPr="007D0558">
        <w:rPr>
          <w:rFonts w:ascii="Times" w:hAnsi="Times" w:eastAsia="Times New Roman" w:cs="Times"/>
          <w:smallCaps/>
          <w:color w:val="333333"/>
          <w:spacing w:val="20"/>
          <w:sz w:val="24"/>
          <w:szCs w:val="24"/>
        </w:rPr>
        <w:t>Effective Date; Applicability</w:t>
      </w:r>
      <w:r w:rsidRPr="007D0558">
        <w:rPr>
          <w:rFonts w:ascii="Times" w:hAnsi="Times" w:eastAsia="Times New Roman" w:cs="Times"/>
          <w:color w:val="333333"/>
          <w:sz w:val="24"/>
          <w:szCs w:val="24"/>
        </w:rPr>
        <w:t>.—The amendments made by this section shall be effective as if included in the CARES Act (</w:t>
      </w:r>
      <w:hyperlink w:history="1" r:id="rId17">
        <w:r w:rsidRPr="007D0558">
          <w:rPr>
            <w:rFonts w:ascii="Times" w:hAnsi="Times" w:eastAsia="Times New Roman" w:cs="Times"/>
            <w:color w:val="3366CC"/>
            <w:sz w:val="24"/>
            <w:szCs w:val="24"/>
            <w:u w:val="single"/>
          </w:rPr>
          <w:t>Public Law 116–136</w:t>
        </w:r>
      </w:hyperlink>
      <w:r w:rsidRPr="007D0558">
        <w:rPr>
          <w:rFonts w:ascii="Times" w:hAnsi="Times" w:eastAsia="Times New Roman" w:cs="Times"/>
          <w:color w:val="333333"/>
          <w:sz w:val="24"/>
          <w:szCs w:val="24"/>
        </w:rPr>
        <w:t>) and shall apply to any loan made pursuant to section 7(a)(36) of the Small Business Act (</w:t>
      </w:r>
      <w:hyperlink w:history="1" r:id="rId18">
        <w:r w:rsidRPr="007D0558">
          <w:rPr>
            <w:rFonts w:ascii="Times" w:hAnsi="Times" w:eastAsia="Times New Roman" w:cs="Times"/>
            <w:color w:val="3366CC"/>
            <w:sz w:val="24"/>
            <w:szCs w:val="24"/>
            <w:u w:val="single"/>
          </w:rPr>
          <w:t>15 U.S.C. 636(a)(36)</w:t>
        </w:r>
      </w:hyperlink>
      <w:r w:rsidRPr="007D0558">
        <w:rPr>
          <w:rFonts w:ascii="Times" w:hAnsi="Times" w:eastAsia="Times New Roman" w:cs="Times"/>
          <w:color w:val="333333"/>
          <w:sz w:val="24"/>
          <w:szCs w:val="24"/>
        </w:rPr>
        <w:t>) or section 1109 of the CARES Act.</w:t>
      </w:r>
    </w:p>
    <w:p w:rsidRPr="007D0558" w:rsidR="007D0558" w:rsidP="007D0558" w:rsidRDefault="007D0558" w14:paraId="31771D66" w14:textId="0B281E8C">
      <w:pPr>
        <w:shd w:val="clear" w:color="auto" w:fill="FFFFFF"/>
        <w:spacing w:before="100" w:beforeAutospacing="1" w:after="100" w:afterAutospacing="1" w:line="240" w:lineRule="auto"/>
        <w:ind w:firstLine="480"/>
        <w:rPr>
          <w:rFonts w:ascii="Times" w:hAnsi="Times" w:eastAsia="Times New Roman" w:cs="Times"/>
          <w:color w:val="333333"/>
          <w:sz w:val="24"/>
          <w:szCs w:val="24"/>
        </w:rPr>
      </w:pPr>
      <w:r>
        <w:rPr>
          <w:rFonts w:ascii="Times" w:hAnsi="Times" w:eastAsia="Times New Roman" w:cs="Times"/>
          <w:b/>
          <w:bCs/>
          <w:color w:val="333333"/>
          <w:sz w:val="24"/>
          <w:szCs w:val="24"/>
        </w:rPr>
        <w:t xml:space="preserve"> *******</w:t>
      </w:r>
    </w:p>
    <w:sectPr w:rsidRPr="007D0558" w:rsidR="007D0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58"/>
    <w:rsid w:val="0010107D"/>
    <w:rsid w:val="00745162"/>
    <w:rsid w:val="007D0558"/>
    <w:rsid w:val="00D8413E"/>
    <w:rsid w:val="00DA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AB97"/>
  <w15:chartTrackingRefBased/>
  <w15:docId w15:val="{D7359DA0-F33E-4714-989D-E4C2A400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081051">
      <w:bodyDiv w:val="1"/>
      <w:marLeft w:val="0"/>
      <w:marRight w:val="0"/>
      <w:marTop w:val="0"/>
      <w:marBottom w:val="0"/>
      <w:divBdr>
        <w:top w:val="none" w:sz="0" w:space="0" w:color="auto"/>
        <w:left w:val="none" w:sz="0" w:space="0" w:color="auto"/>
        <w:bottom w:val="none" w:sz="0" w:space="0" w:color="auto"/>
        <w:right w:val="none" w:sz="0" w:space="0" w:color="auto"/>
      </w:divBdr>
      <w:divsChild>
        <w:div w:id="1712146311">
          <w:marLeft w:val="0"/>
          <w:marRight w:val="0"/>
          <w:marTop w:val="0"/>
          <w:marBottom w:val="0"/>
          <w:divBdr>
            <w:top w:val="none" w:sz="0" w:space="0" w:color="auto"/>
            <w:left w:val="none" w:sz="0" w:space="0" w:color="auto"/>
            <w:bottom w:val="none" w:sz="0" w:space="0" w:color="auto"/>
            <w:right w:val="none" w:sz="0" w:space="0" w:color="auto"/>
          </w:divBdr>
        </w:div>
        <w:div w:id="391732427">
          <w:marLeft w:val="0"/>
          <w:marRight w:val="0"/>
          <w:marTop w:val="0"/>
          <w:marBottom w:val="0"/>
          <w:divBdr>
            <w:top w:val="none" w:sz="0" w:space="0" w:color="auto"/>
            <w:left w:val="none" w:sz="0" w:space="0" w:color="auto"/>
            <w:bottom w:val="none" w:sz="0" w:space="0" w:color="auto"/>
            <w:right w:val="none" w:sz="0" w:space="0" w:color="auto"/>
          </w:divBdr>
        </w:div>
        <w:div w:id="1995333078">
          <w:marLeft w:val="0"/>
          <w:marRight w:val="0"/>
          <w:marTop w:val="0"/>
          <w:marBottom w:val="0"/>
          <w:divBdr>
            <w:top w:val="none" w:sz="0" w:space="0" w:color="auto"/>
            <w:left w:val="none" w:sz="0" w:space="0" w:color="auto"/>
            <w:bottom w:val="none" w:sz="0" w:space="0" w:color="auto"/>
            <w:right w:val="none" w:sz="0" w:space="0" w:color="auto"/>
          </w:divBdr>
        </w:div>
        <w:div w:id="157427820">
          <w:marLeft w:val="0"/>
          <w:marRight w:val="0"/>
          <w:marTop w:val="0"/>
          <w:marBottom w:val="0"/>
          <w:divBdr>
            <w:top w:val="none" w:sz="0" w:space="0" w:color="auto"/>
            <w:left w:val="none" w:sz="0" w:space="0" w:color="auto"/>
            <w:bottom w:val="none" w:sz="0" w:space="0" w:color="auto"/>
            <w:right w:val="none" w:sz="0" w:space="0" w:color="auto"/>
          </w:divBdr>
        </w:div>
        <w:div w:id="1304505468">
          <w:marLeft w:val="0"/>
          <w:marRight w:val="0"/>
          <w:marTop w:val="0"/>
          <w:marBottom w:val="0"/>
          <w:divBdr>
            <w:top w:val="none" w:sz="0" w:space="0" w:color="auto"/>
            <w:left w:val="none" w:sz="0" w:space="0" w:color="auto"/>
            <w:bottom w:val="none" w:sz="0" w:space="0" w:color="auto"/>
            <w:right w:val="none" w:sz="0" w:space="0" w:color="auto"/>
          </w:divBdr>
        </w:div>
        <w:div w:id="594049657">
          <w:marLeft w:val="0"/>
          <w:marRight w:val="0"/>
          <w:marTop w:val="0"/>
          <w:marBottom w:val="0"/>
          <w:divBdr>
            <w:top w:val="none" w:sz="0" w:space="0" w:color="auto"/>
            <w:left w:val="none" w:sz="0" w:space="0" w:color="auto"/>
            <w:bottom w:val="none" w:sz="0" w:space="0" w:color="auto"/>
            <w:right w:val="none" w:sz="0" w:space="0" w:color="auto"/>
          </w:divBdr>
        </w:div>
        <w:div w:id="807629300">
          <w:marLeft w:val="0"/>
          <w:marRight w:val="0"/>
          <w:marTop w:val="0"/>
          <w:marBottom w:val="0"/>
          <w:divBdr>
            <w:top w:val="none" w:sz="0" w:space="0" w:color="auto"/>
            <w:left w:val="none" w:sz="0" w:space="0" w:color="auto"/>
            <w:bottom w:val="none" w:sz="0" w:space="0" w:color="auto"/>
            <w:right w:val="none" w:sz="0" w:space="0" w:color="auto"/>
          </w:divBdr>
        </w:div>
        <w:div w:id="1040402252">
          <w:marLeft w:val="0"/>
          <w:marRight w:val="0"/>
          <w:marTop w:val="0"/>
          <w:marBottom w:val="0"/>
          <w:divBdr>
            <w:top w:val="none" w:sz="0" w:space="0" w:color="auto"/>
            <w:left w:val="none" w:sz="0" w:space="0" w:color="auto"/>
            <w:bottom w:val="none" w:sz="0" w:space="0" w:color="auto"/>
            <w:right w:val="none" w:sz="0" w:space="0" w:color="auto"/>
          </w:divBdr>
        </w:div>
        <w:div w:id="1320232799">
          <w:marLeft w:val="0"/>
          <w:marRight w:val="0"/>
          <w:marTop w:val="0"/>
          <w:marBottom w:val="0"/>
          <w:divBdr>
            <w:top w:val="none" w:sz="0" w:space="0" w:color="auto"/>
            <w:left w:val="none" w:sz="0" w:space="0" w:color="auto"/>
            <w:bottom w:val="none" w:sz="0" w:space="0" w:color="auto"/>
            <w:right w:val="none" w:sz="0" w:space="0" w:color="auto"/>
          </w:divBdr>
        </w:div>
        <w:div w:id="1865746553">
          <w:marLeft w:val="0"/>
          <w:marRight w:val="0"/>
          <w:marTop w:val="0"/>
          <w:marBottom w:val="0"/>
          <w:divBdr>
            <w:top w:val="none" w:sz="0" w:space="0" w:color="auto"/>
            <w:left w:val="none" w:sz="0" w:space="0" w:color="auto"/>
            <w:bottom w:val="none" w:sz="0" w:space="0" w:color="auto"/>
            <w:right w:val="none" w:sz="0" w:space="0" w:color="auto"/>
          </w:divBdr>
        </w:div>
        <w:div w:id="583876276">
          <w:marLeft w:val="0"/>
          <w:marRight w:val="0"/>
          <w:marTop w:val="0"/>
          <w:marBottom w:val="0"/>
          <w:divBdr>
            <w:top w:val="none" w:sz="0" w:space="0" w:color="auto"/>
            <w:left w:val="none" w:sz="0" w:space="0" w:color="auto"/>
            <w:bottom w:val="none" w:sz="0" w:space="0" w:color="auto"/>
            <w:right w:val="none" w:sz="0" w:space="0" w:color="auto"/>
          </w:divBdr>
        </w:div>
        <w:div w:id="139424197">
          <w:marLeft w:val="0"/>
          <w:marRight w:val="0"/>
          <w:marTop w:val="0"/>
          <w:marBottom w:val="0"/>
          <w:divBdr>
            <w:top w:val="none" w:sz="0" w:space="0" w:color="auto"/>
            <w:left w:val="none" w:sz="0" w:space="0" w:color="auto"/>
            <w:bottom w:val="none" w:sz="0" w:space="0" w:color="auto"/>
            <w:right w:val="none" w:sz="0" w:space="0" w:color="auto"/>
          </w:divBdr>
        </w:div>
        <w:div w:id="1313869709">
          <w:marLeft w:val="0"/>
          <w:marRight w:val="0"/>
          <w:marTop w:val="0"/>
          <w:marBottom w:val="0"/>
          <w:divBdr>
            <w:top w:val="none" w:sz="0" w:space="0" w:color="auto"/>
            <w:left w:val="none" w:sz="0" w:space="0" w:color="auto"/>
            <w:bottom w:val="none" w:sz="0" w:space="0" w:color="auto"/>
            <w:right w:val="none" w:sz="0" w:space="0" w:color="auto"/>
          </w:divBdr>
        </w:div>
        <w:div w:id="489366862">
          <w:marLeft w:val="0"/>
          <w:marRight w:val="0"/>
          <w:marTop w:val="0"/>
          <w:marBottom w:val="0"/>
          <w:divBdr>
            <w:top w:val="none" w:sz="0" w:space="0" w:color="auto"/>
            <w:left w:val="none" w:sz="0" w:space="0" w:color="auto"/>
            <w:bottom w:val="none" w:sz="0" w:space="0" w:color="auto"/>
            <w:right w:val="none" w:sz="0" w:space="0" w:color="auto"/>
          </w:divBdr>
        </w:div>
        <w:div w:id="1027759452">
          <w:marLeft w:val="0"/>
          <w:marRight w:val="0"/>
          <w:marTop w:val="0"/>
          <w:marBottom w:val="0"/>
          <w:divBdr>
            <w:top w:val="none" w:sz="0" w:space="0" w:color="auto"/>
            <w:left w:val="none" w:sz="0" w:space="0" w:color="auto"/>
            <w:bottom w:val="none" w:sz="0" w:space="0" w:color="auto"/>
            <w:right w:val="none" w:sz="0" w:space="0" w:color="auto"/>
          </w:divBdr>
        </w:div>
        <w:div w:id="886070086">
          <w:marLeft w:val="0"/>
          <w:marRight w:val="0"/>
          <w:marTop w:val="0"/>
          <w:marBottom w:val="0"/>
          <w:divBdr>
            <w:top w:val="none" w:sz="0" w:space="0" w:color="auto"/>
            <w:left w:val="none" w:sz="0" w:space="0" w:color="auto"/>
            <w:bottom w:val="none" w:sz="0" w:space="0" w:color="auto"/>
            <w:right w:val="none" w:sz="0" w:space="0" w:color="auto"/>
          </w:divBdr>
        </w:div>
        <w:div w:id="600186086">
          <w:marLeft w:val="0"/>
          <w:marRight w:val="0"/>
          <w:marTop w:val="0"/>
          <w:marBottom w:val="0"/>
          <w:divBdr>
            <w:top w:val="none" w:sz="0" w:space="0" w:color="auto"/>
            <w:left w:val="none" w:sz="0" w:space="0" w:color="auto"/>
            <w:bottom w:val="none" w:sz="0" w:space="0" w:color="auto"/>
            <w:right w:val="none" w:sz="0" w:space="0" w:color="auto"/>
          </w:divBdr>
        </w:div>
        <w:div w:id="771316695">
          <w:marLeft w:val="0"/>
          <w:marRight w:val="0"/>
          <w:marTop w:val="0"/>
          <w:marBottom w:val="0"/>
          <w:divBdr>
            <w:top w:val="none" w:sz="0" w:space="0" w:color="auto"/>
            <w:left w:val="none" w:sz="0" w:space="0" w:color="auto"/>
            <w:bottom w:val="none" w:sz="0" w:space="0" w:color="auto"/>
            <w:right w:val="none" w:sz="0" w:space="0" w:color="auto"/>
          </w:divBdr>
        </w:div>
        <w:div w:id="1631401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quicksearch/get.plx?title=15&amp;section=636" TargetMode="External"/><Relationship Id="rId13" Type="http://schemas.openxmlformats.org/officeDocument/2006/relationships/hyperlink" Target="http://uscode.house.gov/quicksearch/get.plx?title=15&amp;section=636" TargetMode="External"/><Relationship Id="rId18" Type="http://schemas.openxmlformats.org/officeDocument/2006/relationships/hyperlink" Target="http://uscode.house.gov/quicksearch/get.plx?title=15&amp;section=636" TargetMode="External"/><Relationship Id="rId3" Type="http://schemas.openxmlformats.org/officeDocument/2006/relationships/customXml" Target="../customXml/item3.xml"/><Relationship Id="rId7" Type="http://schemas.openxmlformats.org/officeDocument/2006/relationships/hyperlink" Target="http://uscode.house.gov/quicksearch/get.plx?title=15&amp;section=636" TargetMode="External"/><Relationship Id="rId12" Type="http://schemas.openxmlformats.org/officeDocument/2006/relationships/hyperlink" Target="https://www.gpo.gov/fdsys/pkg/PLAW-116publ136/pdf/PLAW-116publ136.pdf" TargetMode="External"/><Relationship Id="rId17" Type="http://schemas.openxmlformats.org/officeDocument/2006/relationships/hyperlink" Target="https://www.gpo.gov/fdsys/pkg/PLAW-116publ136/pdf/PLAW-116publ136.pdf" TargetMode="External"/><Relationship Id="rId2" Type="http://schemas.openxmlformats.org/officeDocument/2006/relationships/customXml" Target="../customXml/item2.xml"/><Relationship Id="rId16" Type="http://schemas.openxmlformats.org/officeDocument/2006/relationships/hyperlink" Target="https://www.gpo.gov/fdsys/pkg/PLAW-116publ136/pdf/PLAW-116publ13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code.house.gov/quicksearch/get.plx?title=15&amp;section=636" TargetMode="External"/><Relationship Id="rId5" Type="http://schemas.openxmlformats.org/officeDocument/2006/relationships/settings" Target="settings.xml"/><Relationship Id="rId15" Type="http://schemas.openxmlformats.org/officeDocument/2006/relationships/hyperlink" Target="http://uscode.house.gov/quicksearch/get.plx?title=15&amp;section=636" TargetMode="External"/><Relationship Id="rId10" Type="http://schemas.openxmlformats.org/officeDocument/2006/relationships/hyperlink" Target="https://www.gpo.gov/fdsys/pkg/PLAW-116publ139/pdf/PLAW-116publ139.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po.gov/fdsys/pkg/PLAW-116publ136/pdf/PLAW-116publ136.pdf" TargetMode="External"/><Relationship Id="rId14" Type="http://schemas.openxmlformats.org/officeDocument/2006/relationships/hyperlink" Target="https://www.gpo.gov/fdsys/pkg/PLAW-116publ136/pdf/PLAW-116publ1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A5AE211FCB9A4AA1C3BC3AE913212E" ma:contentTypeVersion="10" ma:contentTypeDescription="Create a new document." ma:contentTypeScope="" ma:versionID="e6866fc9dfe6cf22938dd976f8ce86c7">
  <xsd:schema xmlns:xsd="http://www.w3.org/2001/XMLSchema" xmlns:xs="http://www.w3.org/2001/XMLSchema" xmlns:p="http://schemas.microsoft.com/office/2006/metadata/properties" xmlns:ns3="4fab2ba2-e35c-45ae-b8b8-c41e9416e355" xmlns:ns4="df8ca2b3-c461-4baf-902d-952c62ae996a" targetNamespace="http://schemas.microsoft.com/office/2006/metadata/properties" ma:root="true" ma:fieldsID="9839ca3f60fb71401d620f3741423bec" ns3:_="" ns4:_="">
    <xsd:import namespace="4fab2ba2-e35c-45ae-b8b8-c41e9416e355"/>
    <xsd:import namespace="df8ca2b3-c461-4baf-902d-952c62ae9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b2ba2-e35c-45ae-b8b8-c41e9416e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ca2b3-c461-4baf-902d-952c62ae99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5CF8C-D6BA-4E00-BAE9-0B43C89153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6C52EC-100F-4068-A203-02A4C91FA589}">
  <ds:schemaRefs>
    <ds:schemaRef ds:uri="http://schemas.microsoft.com/sharepoint/v3/contenttype/forms"/>
  </ds:schemaRefs>
</ds:datastoreItem>
</file>

<file path=customXml/itemProps3.xml><?xml version="1.0" encoding="utf-8"?>
<ds:datastoreItem xmlns:ds="http://schemas.openxmlformats.org/officeDocument/2006/customXml" ds:itemID="{0AEBEEFA-2723-4E07-BD7A-8978EAFAF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b2ba2-e35c-45ae-b8b8-c41e9416e355"/>
    <ds:schemaRef ds:uri="df8ca2b3-c461-4baf-902d-952c62ae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5811</Characters>
  <Application>Microsoft Office Word</Application>
  <DocSecurity>4</DocSecurity>
  <Lines>166</Lines>
  <Paragraphs>106</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Curtis Rich</cp:lastModifiedBy>
  <cp:revision>2</cp:revision>
  <dcterms:created xsi:type="dcterms:W3CDTF">2020-06-11T00:58:00Z</dcterms:created>
  <dcterms:modified xsi:type="dcterms:W3CDTF">2020-06-11T00:58:00Z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0x0101007CA5AE211FCB9A4AA1C3BC3AE913212E</vt:lpwstr>
  </property>
</Properties>
</file>