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DF1056" w:rsidRDefault="001477A3" w14:paraId="783A09F1" w14:textId="77777777">
      <w:pPr>
        <w:pStyle w:val="Heading1"/>
        <w:ind w:left="0"/>
        <w:contextualSpacing/>
        <w:jc w:val="center"/>
        <w:rPr>
          <w:rFonts w:ascii="Times New Roman" w:hAnsi="Times New Roman" w:cs="Times New Roman"/>
        </w:rPr>
      </w:pPr>
      <w:r w:rsidRPr="00BD7237">
        <w:rPr>
          <w:rFonts w:ascii="Times New Roman" w:hAnsi="Times New Roman" w:cs="Times New Roman"/>
        </w:rPr>
        <w:t>SUPPORTING STATEMENT</w:t>
      </w:r>
    </w:p>
    <w:p w:rsidRPr="00BD7237" w:rsidR="00BD7237" w:rsidP="00DF1056" w:rsidRDefault="001477A3" w14:paraId="659C623A" w14:textId="77777777">
      <w:pPr>
        <w:spacing w:before="22"/>
        <w:ind w:firstLine="14"/>
        <w:contextualSpacing/>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DF1056" w:rsidRDefault="00BD7237" w14:paraId="3B7138B1" w14:textId="77777777">
      <w:pPr>
        <w:spacing w:before="22"/>
        <w:ind w:firstLine="14"/>
        <w:contextualSpacing/>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BD7237" w:rsidR="00BD7237" w:rsidP="00DF1056" w:rsidRDefault="006D3B49" w14:paraId="0198AE2E" w14:textId="7DFCCC2B">
      <w:pPr>
        <w:ind w:hanging="6"/>
        <w:contextualSpacing/>
        <w:jc w:val="center"/>
        <w:rPr>
          <w:rFonts w:ascii="Times New Roman" w:hAnsi="Times New Roman" w:cs="Times New Roman"/>
          <w:b/>
          <w:sz w:val="24"/>
          <w:szCs w:val="24"/>
        </w:rPr>
      </w:pPr>
      <w:r w:rsidRPr="006D3B49">
        <w:rPr>
          <w:rFonts w:ascii="Times New Roman" w:hAnsi="Times New Roman" w:cs="Times New Roman"/>
          <w:b/>
          <w:sz w:val="24"/>
          <w:szCs w:val="24"/>
        </w:rPr>
        <w:t>NMFS Alaska Region Vessel Monitoring System (VMS) Program</w:t>
      </w:r>
    </w:p>
    <w:p w:rsidRPr="00BD7237" w:rsidR="002370BD" w:rsidP="004E2E9D" w:rsidRDefault="001477A3" w14:paraId="406C82A8" w14:textId="1442543A">
      <w:pPr>
        <w:ind w:hanging="6"/>
        <w:contextualSpacing/>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6D3B49">
        <w:rPr>
          <w:rFonts w:ascii="Times New Roman" w:hAnsi="Times New Roman" w:cs="Times New Roman"/>
          <w:b/>
          <w:sz w:val="24"/>
          <w:szCs w:val="24"/>
        </w:rPr>
        <w:t>0445</w:t>
      </w:r>
    </w:p>
    <w:p w:rsidRPr="00BD7237" w:rsidR="008E61C9" w:rsidP="00DF1056" w:rsidRDefault="001477A3" w14:paraId="16656520" w14:textId="77777777">
      <w:pPr>
        <w:pStyle w:val="Heading1"/>
        <w:spacing w:before="199"/>
        <w:ind w:left="0"/>
        <w:contextualSpacing/>
        <w:rPr>
          <w:rFonts w:ascii="Times New Roman" w:hAnsi="Times New Roman" w:cs="Times New Roman"/>
        </w:rPr>
      </w:pPr>
      <w:r w:rsidRPr="00BD7237">
        <w:rPr>
          <w:rFonts w:ascii="Times New Roman" w:hAnsi="Times New Roman" w:cs="Times New Roman"/>
        </w:rPr>
        <w:t>Abstract</w:t>
      </w:r>
    </w:p>
    <w:p w:rsidRPr="00B846B1" w:rsidR="008758E3" w:rsidP="00DF1056" w:rsidRDefault="00B846B1" w14:paraId="578CAEEF" w14:textId="68BC254F">
      <w:pPr>
        <w:spacing w:after="240"/>
        <w:rPr>
          <w:rFonts w:ascii="Times New Roman" w:hAnsi="Times New Roman" w:cs="Times New Roman"/>
          <w:sz w:val="24"/>
          <w:szCs w:val="24"/>
        </w:rPr>
      </w:pPr>
      <w:r w:rsidRPr="00B846B1">
        <w:rPr>
          <w:rFonts w:ascii="Times New Roman" w:hAnsi="Times New Roman" w:cs="Times New Roman"/>
          <w:sz w:val="24"/>
          <w:szCs w:val="24"/>
        </w:rPr>
        <w:t>The National Marine Fisheries Services (NMFS), Alaska Regional Office, is requesting extension of a currently approved information collection for the NMFS Alaska Region Vessel Monitoring System (VMS) Program. There are no proposed changes to this information collection.</w:t>
      </w:r>
    </w:p>
    <w:p w:rsidRPr="008758E3" w:rsidR="008758E3" w:rsidP="00DF1056" w:rsidRDefault="008758E3" w14:paraId="4B1FDCD7" w14:textId="576430E9">
      <w:pPr>
        <w:spacing w:after="240"/>
        <w:rPr>
          <w:rFonts w:ascii="Times New Roman" w:hAnsi="Times New Roman" w:cs="Times New Roman"/>
          <w:sz w:val="24"/>
          <w:szCs w:val="24"/>
        </w:rPr>
      </w:pPr>
      <w:r w:rsidRPr="008758E3">
        <w:rPr>
          <w:rFonts w:ascii="Times New Roman" w:hAnsi="Times New Roman" w:cs="Times New Roman"/>
          <w:bCs/>
          <w:color w:val="000000"/>
          <w:sz w:val="24"/>
          <w:szCs w:val="24"/>
        </w:rPr>
        <w:t xml:space="preserve">NMFS requires the owners and operators of selected vessels participating in federally managed groundfish and crab fisheries off Alaska to obtain, install, and maintain an operational, NMFS-approved VMS). </w:t>
      </w:r>
      <w:r w:rsidRPr="008758E3">
        <w:rPr>
          <w:rFonts w:ascii="Times New Roman" w:hAnsi="Times New Roman" w:cs="Times New Roman"/>
          <w:sz w:val="24"/>
          <w:szCs w:val="24"/>
        </w:rPr>
        <w:t>VMS units automatically transmit the location of a vessel several times per hour using a Global Positioning System satellite.</w:t>
      </w:r>
      <w:r w:rsidRPr="008758E3">
        <w:rPr>
          <w:rFonts w:ascii="Times New Roman" w:hAnsi="Times New Roman" w:cs="Times New Roman"/>
          <w:color w:val="000000"/>
          <w:sz w:val="24"/>
          <w:szCs w:val="24"/>
        </w:rPr>
        <w:t xml:space="preserve"> </w:t>
      </w:r>
      <w:r w:rsidRPr="008758E3">
        <w:rPr>
          <w:rFonts w:ascii="Times New Roman" w:hAnsi="Times New Roman" w:cs="Times New Roman"/>
          <w:bCs/>
          <w:color w:val="000000"/>
          <w:sz w:val="24"/>
          <w:szCs w:val="24"/>
        </w:rPr>
        <w:t>The VMS unit is passive and automatic, requiring no reporting effort by the vessel operator. A communications service provider receives the transmission and relays it to NMFS Office for Law Enforcement (OLE).</w:t>
      </w:r>
    </w:p>
    <w:p w:rsidRPr="00D318C1" w:rsidR="00D318C1" w:rsidP="00DF1056" w:rsidRDefault="008758E3" w14:paraId="59D73B5F" w14:textId="226E40A2">
      <w:pPr>
        <w:spacing w:after="240"/>
        <w:rPr>
          <w:rFonts w:ascii="Times New Roman" w:hAnsi="Times New Roman" w:cs="Times New Roman"/>
          <w:color w:val="000000"/>
          <w:sz w:val="24"/>
          <w:szCs w:val="24"/>
        </w:rPr>
      </w:pPr>
      <w:r w:rsidRPr="008758E3">
        <w:rPr>
          <w:rFonts w:ascii="Times New Roman" w:hAnsi="Times New Roman" w:cs="Times New Roman"/>
          <w:color w:val="000000"/>
          <w:sz w:val="24"/>
          <w:szCs w:val="24"/>
        </w:rPr>
        <w:t xml:space="preserve">Tracking vessel location using VMS is required to monitor compliance with area-specific catch allocations, monitor compliance with requirements to redeploy or remove fishing gear from commercial fishing grounds, and monitor compliance with complicated time and area closures in the </w:t>
      </w:r>
      <w:r w:rsidR="00C810AF">
        <w:rPr>
          <w:rFonts w:ascii="Times New Roman" w:hAnsi="Times New Roman" w:cs="Times New Roman"/>
          <w:color w:val="000000"/>
          <w:sz w:val="24"/>
          <w:szCs w:val="24"/>
        </w:rPr>
        <w:t>Gulf of Alaska</w:t>
      </w:r>
      <w:r w:rsidRPr="008758E3" w:rsidR="00C810AF">
        <w:rPr>
          <w:rFonts w:ascii="Times New Roman" w:hAnsi="Times New Roman" w:cs="Times New Roman"/>
          <w:color w:val="000000"/>
          <w:sz w:val="24"/>
          <w:szCs w:val="24"/>
        </w:rPr>
        <w:t xml:space="preserve"> </w:t>
      </w:r>
      <w:r w:rsidRPr="008758E3">
        <w:rPr>
          <w:rFonts w:ascii="Times New Roman" w:hAnsi="Times New Roman" w:cs="Times New Roman"/>
          <w:color w:val="000000"/>
          <w:sz w:val="24"/>
          <w:szCs w:val="24"/>
        </w:rPr>
        <w:t xml:space="preserve">and </w:t>
      </w:r>
      <w:r w:rsidR="00C810AF">
        <w:rPr>
          <w:rFonts w:ascii="Times New Roman" w:hAnsi="Times New Roman" w:cs="Times New Roman"/>
          <w:color w:val="000000"/>
          <w:sz w:val="24"/>
          <w:szCs w:val="24"/>
        </w:rPr>
        <w:t>Bering Sea and Aleutian Islands</w:t>
      </w:r>
      <w:r w:rsidRPr="008758E3" w:rsidR="00C810AF">
        <w:rPr>
          <w:rFonts w:ascii="Times New Roman" w:hAnsi="Times New Roman" w:cs="Times New Roman"/>
          <w:color w:val="000000"/>
          <w:sz w:val="24"/>
          <w:szCs w:val="24"/>
        </w:rPr>
        <w:t xml:space="preserve"> </w:t>
      </w:r>
      <w:r w:rsidRPr="00C810AF">
        <w:rPr>
          <w:rFonts w:ascii="Times New Roman" w:hAnsi="Times New Roman" w:cs="Times New Roman"/>
          <w:color w:val="000000"/>
          <w:sz w:val="24"/>
          <w:szCs w:val="24"/>
        </w:rPr>
        <w:t>designed</w:t>
      </w:r>
      <w:r w:rsidRPr="008758E3">
        <w:rPr>
          <w:rFonts w:ascii="Times New Roman" w:hAnsi="Times New Roman" w:cs="Times New Roman"/>
          <w:color w:val="000000"/>
          <w:sz w:val="24"/>
          <w:szCs w:val="24"/>
        </w:rPr>
        <w:t xml:space="preserve"> to protect Steller sea </w:t>
      </w:r>
      <w:r w:rsidR="00D318C1">
        <w:rPr>
          <w:rFonts w:ascii="Times New Roman" w:hAnsi="Times New Roman" w:cs="Times New Roman"/>
          <w:color w:val="000000"/>
          <w:sz w:val="24"/>
          <w:szCs w:val="24"/>
        </w:rPr>
        <w:t>lion or essential fish habitat.</w:t>
      </w:r>
    </w:p>
    <w:p w:rsidR="008758E3" w:rsidP="00DF1056" w:rsidRDefault="00D318C1" w14:paraId="20681207" w14:textId="724B865C">
      <w:pPr>
        <w:rPr>
          <w:rFonts w:ascii="Times New Roman" w:hAnsi="Times New Roman" w:cs="Times New Roman"/>
          <w:color w:val="000000"/>
          <w:sz w:val="24"/>
          <w:szCs w:val="24"/>
        </w:rPr>
      </w:pPr>
      <w:r w:rsidRPr="00D318C1">
        <w:rPr>
          <w:rFonts w:ascii="Times New Roman" w:hAnsi="Times New Roman" w:cs="Times New Roman"/>
          <w:color w:val="000000"/>
          <w:sz w:val="24"/>
          <w:szCs w:val="24"/>
        </w:rPr>
        <w:t>VMS is an essential component of monitoring and management for complicated, geographically widespread fishing closures</w:t>
      </w:r>
      <w:r>
        <w:rPr>
          <w:rFonts w:ascii="Times New Roman" w:hAnsi="Times New Roman" w:cs="Times New Roman"/>
          <w:color w:val="000000"/>
          <w:sz w:val="24"/>
          <w:szCs w:val="24"/>
        </w:rPr>
        <w:t>.</w:t>
      </w:r>
      <w:r w:rsidRPr="00D318C1">
        <w:rPr>
          <w:rFonts w:ascii="Times New Roman" w:hAnsi="Times New Roman" w:cs="Times New Roman"/>
          <w:color w:val="000000"/>
          <w:sz w:val="24"/>
          <w:szCs w:val="24"/>
        </w:rPr>
        <w:t xml:space="preserve"> NMFS uses information from VMS to identify where vessels are operating, to organize patrols so as to increase the number of fishing vessels visually examined, or to focus examination of vessels of greatest concern, and as evidence in prosecutions.</w:t>
      </w:r>
    </w:p>
    <w:p w:rsidRPr="00BD7237" w:rsidR="002370BD" w:rsidP="00DF1056" w:rsidRDefault="002370BD" w14:paraId="566E77A0" w14:textId="77777777">
      <w:pPr>
        <w:rPr>
          <w:rFonts w:ascii="Times New Roman" w:hAnsi="Times New Roman" w:cs="Times New Roman"/>
          <w:b/>
          <w:sz w:val="24"/>
          <w:szCs w:val="24"/>
        </w:rPr>
      </w:pPr>
    </w:p>
    <w:p w:rsidRPr="00BD7237" w:rsidR="008E61C9" w:rsidP="00DF1056" w:rsidRDefault="001477A3" w14:paraId="53885BED" w14:textId="77777777">
      <w:pPr>
        <w:pStyle w:val="Heading1"/>
        <w:spacing w:before="124"/>
        <w:ind w:left="0"/>
        <w:contextualSpacing/>
        <w:rPr>
          <w:rFonts w:ascii="Times New Roman" w:hAnsi="Times New Roman" w:cs="Times New Roman"/>
        </w:rPr>
      </w:pPr>
      <w:r w:rsidRPr="00BD7237">
        <w:rPr>
          <w:rFonts w:ascii="Times New Roman" w:hAnsi="Times New Roman" w:cs="Times New Roman"/>
        </w:rPr>
        <w:t>Justification</w:t>
      </w:r>
    </w:p>
    <w:p w:rsidRPr="00BD7237" w:rsidR="008E61C9" w:rsidP="00DF1056" w:rsidRDefault="001477A3" w14:paraId="313B7495" w14:textId="77777777">
      <w:pPr>
        <w:pStyle w:val="ListParagraph"/>
        <w:numPr>
          <w:ilvl w:val="0"/>
          <w:numId w:val="7"/>
        </w:numPr>
        <w:tabs>
          <w:tab w:val="left" w:pos="360"/>
        </w:tabs>
        <w:spacing w:before="182"/>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A4747" w:rsidP="00DF1056" w:rsidRDefault="006A4747" w14:paraId="3B80C899" w14:textId="77777777">
      <w:pPr>
        <w:pStyle w:val="NormalWeb"/>
        <w:spacing w:before="0" w:beforeAutospacing="0" w:after="0" w:afterAutospacing="0"/>
        <w:contextualSpacing/>
        <w:rPr>
          <w:color w:val="000000"/>
        </w:rPr>
      </w:pPr>
    </w:p>
    <w:p w:rsidRPr="00E86B69" w:rsidR="00E86B69" w:rsidP="00DF1056" w:rsidRDefault="00E86B69" w14:paraId="3961BB9E" w14:textId="0461EAFE">
      <w:pPr>
        <w:pStyle w:val="NormalWeb"/>
        <w:spacing w:before="0" w:beforeAutospacing="0" w:after="240" w:afterAutospacing="0"/>
        <w:contextualSpacing/>
      </w:pPr>
      <w:r>
        <w:rPr>
          <w:color w:val="000000"/>
        </w:rPr>
        <w:t xml:space="preserve">NMFS Alaska Region manages the groundfish and crab fisheries in the exclusive economic zone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 </w:t>
      </w:r>
      <w:hyperlink w:history="1" r:id="rId8">
        <w:r w:rsidRPr="005D6A95">
          <w:rPr>
            <w:rStyle w:val="Hyperlink"/>
          </w:rPr>
          <w:t>Magnuson-Stevens Fishery Conservation and Management Act</w:t>
        </w:r>
      </w:hyperlink>
      <w:r>
        <w:rPr>
          <w:color w:val="000000"/>
        </w:rPr>
        <w:t xml:space="preserve">, 16 U.S.C. 1801 </w:t>
      </w:r>
      <w:r>
        <w:rPr>
          <w:i/>
          <w:iCs/>
          <w:color w:val="000000"/>
        </w:rPr>
        <w:t>et seq</w:t>
      </w:r>
      <w:r>
        <w:rPr>
          <w:color w:val="000000"/>
        </w:rPr>
        <w:t xml:space="preserve">. The </w:t>
      </w:r>
      <w:hyperlink w:history="1" r:id="rId9">
        <w:r>
          <w:rPr>
            <w:rStyle w:val="Hyperlink"/>
            <w:color w:val="000000"/>
          </w:rPr>
          <w:t>Northern Pacific Halibut Act of 1982</w:t>
        </w:r>
      </w:hyperlink>
      <w:r>
        <w:rPr>
          <w:color w:val="000000"/>
        </w:rPr>
        <w:t xml:space="preserve"> at 16 U.S.C. 773–773k provides the Secretary of Commerce with the authority and general responsibility to carry out the requirements of the Preservation of the Halibut Fishery of the North Pacific Ocean and Bering Sea. Regulations implementing the FMPs appear at 50 CFR parts </w:t>
      </w:r>
      <w:hyperlink w:history="1" r:id="rId10">
        <w:r>
          <w:rPr>
            <w:rStyle w:val="Hyperlink"/>
          </w:rPr>
          <w:t>679</w:t>
        </w:r>
      </w:hyperlink>
      <w:r>
        <w:rPr>
          <w:color w:val="000000"/>
        </w:rPr>
        <w:t xml:space="preserve"> and </w:t>
      </w:r>
      <w:hyperlink w:history="1" r:id="rId11">
        <w:r>
          <w:rPr>
            <w:rStyle w:val="Hyperlink"/>
          </w:rPr>
          <w:t>680</w:t>
        </w:r>
      </w:hyperlink>
      <w:r>
        <w:rPr>
          <w:color w:val="000000"/>
        </w:rPr>
        <w:t>.</w:t>
      </w:r>
    </w:p>
    <w:p w:rsidRPr="008758E3" w:rsidR="008758E3" w:rsidP="00DF1056" w:rsidRDefault="008758E3" w14:paraId="44087629" w14:textId="04304AAE">
      <w:pPr>
        <w:widowControl/>
        <w:spacing w:after="240"/>
        <w:rPr>
          <w:rFonts w:ascii="Times New Roman" w:hAnsi="Times New Roman" w:cs="Times New Roman"/>
          <w:color w:val="000000"/>
          <w:sz w:val="24"/>
          <w:szCs w:val="24"/>
        </w:rPr>
      </w:pPr>
      <w:r w:rsidRPr="008758E3">
        <w:rPr>
          <w:rFonts w:ascii="Times New Roman" w:hAnsi="Times New Roman" w:cs="Times New Roman"/>
          <w:color w:val="000000"/>
          <w:sz w:val="24"/>
          <w:szCs w:val="24"/>
        </w:rPr>
        <w:lastRenderedPageBreak/>
        <w:t>Tracking vessel location using VMS is required to monitor compliance with area-specific catch allocations, monitor compliance with requirements to redeploy or remove fishing gear from commercial fishing grounds, and monitor compliance with complicated time and area closures in the GOA and BSAI designed to protect Steller sea lion or essential fish habitat. Table 1 summarizes these VMS requirements by providing information about who must provide vessel location information to NMFS through VMS, references for the regulatory requirements, and a brief explanation of the reason for the VMS requirement.</w:t>
      </w:r>
    </w:p>
    <w:p w:rsidR="008758E3" w:rsidP="00DF1056" w:rsidRDefault="008758E3" w14:paraId="74C29E45" w14:textId="2AFEE15E">
      <w:pPr>
        <w:widowControl/>
        <w:spacing w:after="240"/>
        <w:rPr>
          <w:rFonts w:ascii="Times New Roman" w:hAnsi="Times New Roman" w:cs="Times New Roman"/>
          <w:color w:val="000000"/>
          <w:sz w:val="24"/>
          <w:szCs w:val="24"/>
        </w:rPr>
      </w:pPr>
      <w:r w:rsidRPr="008758E3">
        <w:rPr>
          <w:rFonts w:ascii="Times New Roman" w:hAnsi="Times New Roman" w:cs="Times New Roman"/>
          <w:color w:val="000000"/>
          <w:sz w:val="24"/>
          <w:szCs w:val="24"/>
        </w:rPr>
        <w:t>NMFS has determined that traditional methods of relying on industry reports, observer reports, and periodic surveillance by the U.S. Coast Guard and NMFS OLE are not adequate to monitor the complex, overlapping, and numerous closure areas, area-specific allocations to individuals and entities, and other regulatory limitations. These determinations were made through the rulemaking process for the various actions implementing VMS requirements. More information about the background and history of the Alaska Region’s VMS requirements may be found on the Alaska Region web site (</w:t>
      </w:r>
      <w:hyperlink w:history="1" w:anchor="vessel-monitoring" r:id="rId12">
        <w:r w:rsidRPr="008758E3">
          <w:rPr>
            <w:rStyle w:val="Hyperlink"/>
            <w:rFonts w:ascii="Times New Roman" w:hAnsi="Times New Roman" w:cs="Times New Roman"/>
            <w:sz w:val="24"/>
            <w:szCs w:val="24"/>
          </w:rPr>
          <w:t>https://www.fisheries.noaa.gov/topic/enforcement#vessel-monitoring</w:t>
        </w:r>
      </w:hyperlink>
      <w:r w:rsidRPr="008758E3">
        <w:rPr>
          <w:rFonts w:ascii="Times New Roman" w:hAnsi="Times New Roman" w:cs="Times New Roman"/>
          <w:color w:val="000000"/>
          <w:sz w:val="24"/>
          <w:szCs w:val="24"/>
        </w:rPr>
        <w:t>) and in the proposed and final rules that implemented these VM</w:t>
      </w:r>
      <w:r w:rsidR="007438C9">
        <w:rPr>
          <w:rFonts w:ascii="Times New Roman" w:hAnsi="Times New Roman" w:cs="Times New Roman"/>
          <w:color w:val="000000"/>
          <w:sz w:val="24"/>
          <w:szCs w:val="24"/>
        </w:rPr>
        <w:t>S requirements.</w:t>
      </w:r>
    </w:p>
    <w:p w:rsidRPr="00BD7237" w:rsidR="002370BD" w:rsidP="00DF1056" w:rsidRDefault="002370BD" w14:paraId="0F18A533" w14:textId="77777777">
      <w:pPr>
        <w:widowControl/>
        <w:spacing w:after="240"/>
        <w:rPr>
          <w:rFonts w:ascii="Times New Roman" w:hAnsi="Times New Roman" w:cs="Times New Roman"/>
          <w:b/>
        </w:rPr>
      </w:pPr>
    </w:p>
    <w:p w:rsidRPr="00BD7237" w:rsidR="008E61C9" w:rsidP="00DF1056" w:rsidRDefault="001477A3" w14:paraId="693EB7A6" w14:textId="77777777">
      <w:pPr>
        <w:pStyle w:val="Heading1"/>
        <w:numPr>
          <w:ilvl w:val="0"/>
          <w:numId w:val="7"/>
        </w:numPr>
        <w:tabs>
          <w:tab w:val="left" w:pos="360"/>
        </w:tabs>
        <w:spacing w:before="197"/>
        <w:ind w:left="0" w:firstLine="0"/>
        <w:contextualSpacing/>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385DB4" w:rsidP="00DF1056" w:rsidRDefault="00385DB4" w14:paraId="1CCC24F5" w14:textId="77777777">
      <w:pPr>
        <w:widowControl/>
        <w:contextualSpacing/>
        <w:rPr>
          <w:rFonts w:ascii="Times New Roman" w:hAnsi="Times New Roman" w:cs="Times New Roman"/>
          <w:color w:val="000000"/>
          <w:sz w:val="24"/>
          <w:szCs w:val="24"/>
        </w:rPr>
      </w:pPr>
    </w:p>
    <w:p w:rsidR="00170C47" w:rsidP="00DF1056" w:rsidRDefault="00170C47" w14:paraId="60B9268B" w14:textId="14FBD94D">
      <w:pPr>
        <w:widowControl/>
        <w:contextualSpacing/>
        <w:rPr>
          <w:rFonts w:ascii="Times New Roman" w:hAnsi="Times New Roman" w:cs="Times New Roman"/>
          <w:bCs/>
          <w:color w:val="000000"/>
          <w:sz w:val="24"/>
          <w:szCs w:val="24"/>
        </w:rPr>
      </w:pPr>
      <w:r w:rsidRPr="008758E3">
        <w:rPr>
          <w:rFonts w:ascii="Times New Roman" w:hAnsi="Times New Roman" w:cs="Times New Roman"/>
          <w:color w:val="000000"/>
          <w:sz w:val="24"/>
          <w:szCs w:val="24"/>
        </w:rPr>
        <w:t>Table 1 summarizes the VMS requirements by providing information about who must provide vessel location information to NMFS through VMS, references for the regulatory requirements, and a brief explanation of the reason for the VMS requirement.</w:t>
      </w:r>
      <w:r>
        <w:rPr>
          <w:rFonts w:ascii="Times New Roman" w:hAnsi="Times New Roman" w:cs="Times New Roman"/>
          <w:color w:val="000000"/>
          <w:sz w:val="24"/>
          <w:szCs w:val="24"/>
        </w:rPr>
        <w:t xml:space="preserve"> The statues to that apply to all the requirements described below are governed by </w:t>
      </w:r>
      <w:hyperlink w:history="1" r:id="rId13">
        <w:r w:rsidRPr="002060ED">
          <w:rPr>
            <w:rStyle w:val="Hyperlink"/>
            <w:rFonts w:ascii="Times New Roman" w:hAnsi="Times New Roman" w:cs="Times New Roman"/>
            <w:bCs/>
            <w:color w:val="000000"/>
            <w:sz w:val="24"/>
            <w:szCs w:val="24"/>
            <w:u w:val="none"/>
          </w:rPr>
          <w:t>Magnuson-Stevens Fishery Conservation and Management Act</w:t>
        </w:r>
      </w:hyperlink>
      <w:r w:rsidRPr="002060ED">
        <w:rPr>
          <w:rFonts w:ascii="Times New Roman" w:hAnsi="Times New Roman" w:cs="Times New Roman"/>
          <w:bCs/>
          <w:color w:val="000000"/>
          <w:sz w:val="24"/>
          <w:szCs w:val="24"/>
        </w:rPr>
        <w:t xml:space="preserve">, 16 U.S.C. 1801 </w:t>
      </w:r>
      <w:r w:rsidRPr="002060ED">
        <w:rPr>
          <w:rFonts w:ascii="Times New Roman" w:hAnsi="Times New Roman" w:cs="Times New Roman"/>
          <w:bCs/>
          <w:i/>
          <w:color w:val="000000"/>
          <w:sz w:val="24"/>
          <w:szCs w:val="24"/>
        </w:rPr>
        <w:t>et seq</w:t>
      </w:r>
      <w:r w:rsidRPr="002060ED">
        <w:rPr>
          <w:rFonts w:ascii="Times New Roman" w:hAnsi="Times New Roman" w:cs="Times New Roman"/>
          <w:bCs/>
          <w:color w:val="000000"/>
          <w:sz w:val="24"/>
          <w:szCs w:val="24"/>
        </w:rPr>
        <w:t xml:space="preserve">. and The </w:t>
      </w:r>
      <w:hyperlink w:history="1" r:id="rId14">
        <w:r w:rsidRPr="002060ED">
          <w:rPr>
            <w:rStyle w:val="Hyperlink"/>
            <w:rFonts w:ascii="Times New Roman" w:hAnsi="Times New Roman" w:cs="Times New Roman"/>
            <w:bCs/>
            <w:color w:val="000000"/>
            <w:sz w:val="24"/>
            <w:szCs w:val="24"/>
            <w:u w:val="none"/>
          </w:rPr>
          <w:t>Northern Pacific Halibut Act of 1982</w:t>
        </w:r>
      </w:hyperlink>
      <w:r w:rsidRPr="002060ED">
        <w:rPr>
          <w:rFonts w:ascii="Times New Roman" w:hAnsi="Times New Roman" w:cs="Times New Roman"/>
          <w:bCs/>
          <w:color w:val="000000"/>
          <w:sz w:val="24"/>
          <w:szCs w:val="24"/>
        </w:rPr>
        <w:t xml:space="preserve"> at 16 U.S.C. 773–773k</w:t>
      </w:r>
      <w:r>
        <w:rPr>
          <w:rFonts w:ascii="Times New Roman" w:hAnsi="Times New Roman" w:cs="Times New Roman"/>
          <w:bCs/>
          <w:color w:val="000000"/>
          <w:sz w:val="24"/>
          <w:szCs w:val="24"/>
        </w:rPr>
        <w:t xml:space="preserve"> and are not added to the table.  No forms are required for these requirements so no column is added to the table for the form number.</w:t>
      </w:r>
    </w:p>
    <w:p w:rsidR="002370BD" w:rsidP="00DF1056" w:rsidRDefault="002370BD" w14:paraId="76AA31F7" w14:textId="509F0283">
      <w:pPr>
        <w:widowControl/>
        <w:contextualSpacing/>
        <w:rPr>
          <w:rFonts w:ascii="Times New Roman" w:hAnsi="Times New Roman" w:cs="Times New Roman"/>
        </w:rPr>
      </w:pPr>
      <w:r>
        <w:rPr>
          <w:rFonts w:ascii="Times New Roman" w:hAnsi="Times New Roman" w:cs="Times New Roman"/>
        </w:rPr>
        <w:br w:type="page"/>
      </w:r>
    </w:p>
    <w:p w:rsidR="00170C47" w:rsidP="00DF1056" w:rsidRDefault="00170C47" w14:paraId="7F3044B6" w14:textId="77777777">
      <w:pPr>
        <w:widowControl/>
        <w:contextualSpacing/>
        <w:rPr>
          <w:rFonts w:ascii="Times New Roman" w:hAnsi="Times New Roman" w:cs="Times New Roman"/>
        </w:rPr>
      </w:pPr>
    </w:p>
    <w:p w:rsidRPr="008758E3" w:rsidR="00170C47" w:rsidP="00DF1056" w:rsidRDefault="00170C47" w14:paraId="7A4BD0B4" w14:textId="77777777">
      <w:pPr>
        <w:keepNext/>
        <w:widowControl/>
        <w:tabs>
          <w:tab w:val="left" w:pos="720"/>
        </w:tabs>
        <w:contextualSpacing/>
        <w:rPr>
          <w:rFonts w:ascii="Times New Roman" w:hAnsi="Times New Roman" w:cs="Times New Roman"/>
          <w:bCs/>
          <w:color w:val="000000"/>
          <w:sz w:val="24"/>
          <w:szCs w:val="24"/>
        </w:rPr>
      </w:pPr>
      <w:r w:rsidRPr="008758E3">
        <w:rPr>
          <w:rFonts w:ascii="Times New Roman" w:hAnsi="Times New Roman" w:cs="Times New Roman"/>
          <w:bCs/>
          <w:color w:val="000000"/>
          <w:sz w:val="24"/>
          <w:szCs w:val="24"/>
        </w:rPr>
        <w:t>Table 1. VMS Requirements in the Federally Managed Fisheries Off Alaska.</w:t>
      </w:r>
      <w:r w:rsidRPr="008758E3">
        <w:rPr>
          <w:rStyle w:val="FootnoteReference"/>
          <w:rFonts w:ascii="Times New Roman" w:hAnsi="Times New Roman" w:cs="Times New Roman"/>
          <w:bCs/>
          <w:color w:val="000000"/>
          <w:sz w:val="24"/>
          <w:szCs w:val="24"/>
        </w:rPr>
        <w:footnoteReference w:id="1"/>
      </w:r>
    </w:p>
    <w:tbl>
      <w:tblPr>
        <w:tblW w:w="533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7A0" w:firstRow="1" w:lastRow="0" w:firstColumn="1" w:lastColumn="1" w:noHBand="1" w:noVBand="1"/>
      </w:tblPr>
      <w:tblGrid>
        <w:gridCol w:w="4080"/>
        <w:gridCol w:w="2813"/>
        <w:gridCol w:w="3083"/>
      </w:tblGrid>
      <w:tr w:rsidRPr="008758E3" w:rsidR="00170C47" w:rsidTr="002370BD" w14:paraId="510DEE9A" w14:textId="77777777">
        <w:trPr>
          <w:cantSplit/>
          <w:trHeight w:val="504"/>
          <w:tblHeader/>
        </w:trPr>
        <w:tc>
          <w:tcPr>
            <w:tcW w:w="2045" w:type="pct"/>
            <w:shd w:val="clear" w:color="auto" w:fill="DBE5F1" w:themeFill="accent1" w:themeFillTint="33"/>
            <w:vAlign w:val="center"/>
          </w:tcPr>
          <w:p w:rsidRPr="00965BB7" w:rsidR="00170C47" w:rsidP="00DF1056" w:rsidRDefault="00170C47" w14:paraId="499292E2" w14:textId="77777777">
            <w:pPr>
              <w:keepNext/>
              <w:widowControl/>
              <w:tabs>
                <w:tab w:val="left" w:pos="720"/>
              </w:tabs>
              <w:contextualSpacing/>
              <w:jc w:val="center"/>
              <w:rPr>
                <w:rFonts w:asciiTheme="minorHAnsi" w:hAnsiTheme="minorHAnsi" w:cstheme="minorHAnsi"/>
                <w:b/>
                <w:color w:val="000000"/>
              </w:rPr>
            </w:pPr>
            <w:r w:rsidRPr="00965BB7">
              <w:rPr>
                <w:rFonts w:asciiTheme="minorHAnsi" w:hAnsiTheme="minorHAnsi" w:cstheme="minorHAnsi"/>
                <w:b/>
                <w:color w:val="000000"/>
              </w:rPr>
              <w:t>Who is required to carry an operational VMS?</w:t>
            </w:r>
          </w:p>
        </w:tc>
        <w:tc>
          <w:tcPr>
            <w:tcW w:w="1410" w:type="pct"/>
            <w:shd w:val="clear" w:color="auto" w:fill="DBE5F1" w:themeFill="accent1" w:themeFillTint="33"/>
            <w:vAlign w:val="center"/>
          </w:tcPr>
          <w:p w:rsidRPr="00965BB7" w:rsidR="00170C47" w:rsidP="00DF1056" w:rsidRDefault="00170C47" w14:paraId="1719CDEF" w14:textId="77777777">
            <w:pPr>
              <w:keepNext/>
              <w:widowControl/>
              <w:tabs>
                <w:tab w:val="left" w:pos="720"/>
              </w:tabs>
              <w:contextualSpacing/>
              <w:jc w:val="center"/>
              <w:rPr>
                <w:rFonts w:asciiTheme="minorHAnsi" w:hAnsiTheme="minorHAnsi" w:cstheme="minorHAnsi"/>
                <w:b/>
                <w:bCs/>
                <w:color w:val="000000"/>
              </w:rPr>
            </w:pPr>
            <w:r w:rsidRPr="00965BB7">
              <w:rPr>
                <w:rFonts w:asciiTheme="minorHAnsi" w:hAnsiTheme="minorHAnsi" w:cstheme="minorHAnsi"/>
                <w:b/>
                <w:color w:val="000000"/>
              </w:rPr>
              <w:t>Regulatory reference</w:t>
            </w:r>
          </w:p>
        </w:tc>
        <w:tc>
          <w:tcPr>
            <w:tcW w:w="1545" w:type="pct"/>
            <w:shd w:val="clear" w:color="auto" w:fill="DBE5F1" w:themeFill="accent1" w:themeFillTint="33"/>
            <w:vAlign w:val="center"/>
          </w:tcPr>
          <w:p w:rsidRPr="00965BB7" w:rsidR="00170C47" w:rsidP="00DF1056" w:rsidRDefault="00170C47" w14:paraId="53FDF788" w14:textId="77777777">
            <w:pPr>
              <w:keepNext/>
              <w:widowControl/>
              <w:tabs>
                <w:tab w:val="left" w:pos="720"/>
              </w:tabs>
              <w:contextualSpacing/>
              <w:jc w:val="center"/>
              <w:rPr>
                <w:rFonts w:asciiTheme="minorHAnsi" w:hAnsiTheme="minorHAnsi" w:cstheme="minorHAnsi"/>
                <w:b/>
                <w:bCs/>
                <w:color w:val="000000"/>
              </w:rPr>
            </w:pPr>
            <w:r w:rsidRPr="00965BB7">
              <w:rPr>
                <w:rFonts w:asciiTheme="minorHAnsi" w:hAnsiTheme="minorHAnsi" w:cstheme="minorHAnsi"/>
                <w:b/>
                <w:color w:val="000000"/>
              </w:rPr>
              <w:t>Needs and Uses</w:t>
            </w:r>
          </w:p>
        </w:tc>
      </w:tr>
      <w:tr w:rsidRPr="008758E3" w:rsidR="00170C47" w:rsidTr="002370BD" w14:paraId="1617E17F" w14:textId="77777777">
        <w:trPr>
          <w:cantSplit/>
          <w:trHeight w:val="1549"/>
        </w:trPr>
        <w:tc>
          <w:tcPr>
            <w:tcW w:w="2045" w:type="pct"/>
          </w:tcPr>
          <w:p w:rsidRPr="002370BD" w:rsidR="00170C47" w:rsidP="00DF1056" w:rsidRDefault="00170C47" w14:paraId="1E876DC1"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Vessels that operate in a Federal reporting area when the vessel is authorized to participate in the Atka mackerel, Pacific cod, or pollock directed fisheries and the vessel’s authorized species and gear type is open to directed fishing. These VMS requirements do not apply to vessels using jig gear.</w:t>
            </w:r>
          </w:p>
        </w:tc>
        <w:tc>
          <w:tcPr>
            <w:tcW w:w="1410" w:type="pct"/>
            <w:vAlign w:val="center"/>
          </w:tcPr>
          <w:p w:rsidRPr="002370BD" w:rsidR="00170C47" w:rsidP="00DF1056" w:rsidRDefault="00170C47" w14:paraId="4C8A367E" w14:textId="4F0DBBDB">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 679.7(a)(18), instructions for Federal Fisheries Permit  application form, and 679.28(f)(6)(i)</w:t>
            </w:r>
          </w:p>
        </w:tc>
        <w:tc>
          <w:tcPr>
            <w:tcW w:w="1545" w:type="pct"/>
            <w:vAlign w:val="center"/>
          </w:tcPr>
          <w:p w:rsidRPr="002370BD" w:rsidR="00170C47" w:rsidP="00DF1056" w:rsidRDefault="00170C47" w14:paraId="6D594E25"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 xml:space="preserve">To monitor compliance with time and area closures to protect Steller Sea lions. </w:t>
            </w:r>
          </w:p>
        </w:tc>
      </w:tr>
      <w:tr w:rsidRPr="008758E3" w:rsidR="00170C47" w:rsidTr="002370BD" w14:paraId="3AC78ADF" w14:textId="77777777">
        <w:trPr>
          <w:cantSplit/>
          <w:trHeight w:val="1691"/>
        </w:trPr>
        <w:tc>
          <w:tcPr>
            <w:tcW w:w="2045" w:type="pct"/>
            <w:vAlign w:val="center"/>
          </w:tcPr>
          <w:p w:rsidRPr="002370BD" w:rsidR="00170C47" w:rsidP="00DF1056" w:rsidRDefault="00170C47" w14:paraId="2D3288F3"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Vessels named on a Federal Fisheries Permit  or Federal Crab Vessel Permit while operating in the Aleutian Islands subarea or operating a federally permitted vessel</w:t>
            </w:r>
            <w:r w:rsidRPr="002370BD">
              <w:rPr>
                <w:rStyle w:val="FootnoteReference"/>
                <w:rFonts w:asciiTheme="minorHAnsi" w:hAnsiTheme="minorHAnsi" w:cstheme="minorHAnsi"/>
                <w:color w:val="000000"/>
                <w:sz w:val="18"/>
                <w:szCs w:val="18"/>
              </w:rPr>
              <w:footnoteReference w:id="2"/>
            </w:r>
            <w:r w:rsidRPr="002370BD">
              <w:rPr>
                <w:rFonts w:asciiTheme="minorHAnsi" w:hAnsiTheme="minorHAnsi" w:cstheme="minorHAnsi"/>
                <w:color w:val="000000"/>
                <w:sz w:val="18"/>
                <w:szCs w:val="18"/>
              </w:rPr>
              <w:t xml:space="preserve"> in adjacent State of Alaska waters. In addition, vessels using trawl gear in the Aleutian Islands must set their VMS to transmit vessel location at least 10 times per hour.</w:t>
            </w:r>
          </w:p>
        </w:tc>
        <w:tc>
          <w:tcPr>
            <w:tcW w:w="1410" w:type="pct"/>
            <w:vAlign w:val="center"/>
          </w:tcPr>
          <w:p w:rsidRPr="002370BD" w:rsidR="00170C47" w:rsidP="00DF1056" w:rsidRDefault="00170C47" w14:paraId="06BC9485"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 679.7(a)(21), 679.28(f)(6)(ii) and (f)(6)(ix), 679.28(f)(7)</w:t>
            </w:r>
          </w:p>
        </w:tc>
        <w:tc>
          <w:tcPr>
            <w:tcW w:w="1545" w:type="pct"/>
            <w:vAlign w:val="center"/>
          </w:tcPr>
          <w:p w:rsidRPr="002370BD" w:rsidR="00170C47" w:rsidP="00DF1056" w:rsidRDefault="00170C47" w14:paraId="0B9A5550"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 xml:space="preserve">To monitor compliance with area closures to protect Essential Fish Habitat. </w:t>
            </w:r>
          </w:p>
        </w:tc>
      </w:tr>
      <w:tr w:rsidRPr="008758E3" w:rsidR="00170C47" w:rsidTr="002370BD" w14:paraId="0125C687" w14:textId="77777777">
        <w:trPr>
          <w:cantSplit/>
          <w:trHeight w:val="529"/>
        </w:trPr>
        <w:tc>
          <w:tcPr>
            <w:tcW w:w="2045" w:type="pct"/>
            <w:vAlign w:val="center"/>
          </w:tcPr>
          <w:p w:rsidRPr="002370BD" w:rsidR="00170C47" w:rsidP="00DF1056" w:rsidRDefault="00170C47" w14:paraId="14275851"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bCs/>
                <w:color w:val="000000"/>
                <w:sz w:val="18"/>
                <w:szCs w:val="18"/>
              </w:rPr>
              <w:t>Vessels h</w:t>
            </w:r>
            <w:r w:rsidRPr="002370BD">
              <w:rPr>
                <w:rFonts w:asciiTheme="minorHAnsi" w:hAnsiTheme="minorHAnsi" w:cstheme="minorHAnsi"/>
                <w:color w:val="000000"/>
                <w:sz w:val="18"/>
                <w:szCs w:val="18"/>
              </w:rPr>
              <w:t xml:space="preserve">arvesting </w:t>
            </w:r>
            <w:r w:rsidRPr="002370BD">
              <w:rPr>
                <w:rFonts w:asciiTheme="minorHAnsi" w:hAnsiTheme="minorHAnsi" w:cstheme="minorHAnsi"/>
                <w:bCs/>
                <w:color w:val="000000"/>
                <w:sz w:val="18"/>
                <w:szCs w:val="18"/>
              </w:rPr>
              <w:t>Crab Rationalization Program crab in the Bering Sea.</w:t>
            </w:r>
          </w:p>
        </w:tc>
        <w:tc>
          <w:tcPr>
            <w:tcW w:w="1410" w:type="pct"/>
            <w:vAlign w:val="center"/>
          </w:tcPr>
          <w:p w:rsidRPr="002370BD" w:rsidR="00170C47" w:rsidP="00DF1056" w:rsidRDefault="00170C47" w14:paraId="4473E3F5"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 680.7(c)(2) and 680.23(d)</w:t>
            </w:r>
          </w:p>
        </w:tc>
        <w:tc>
          <w:tcPr>
            <w:tcW w:w="1545" w:type="pct"/>
            <w:vAlign w:val="center"/>
          </w:tcPr>
          <w:p w:rsidRPr="002370BD" w:rsidR="00170C47" w:rsidP="00DF1056" w:rsidRDefault="00170C47" w14:paraId="2CFD0140"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 xml:space="preserve">To monitor proper accounting of area-specific allocations. </w:t>
            </w:r>
          </w:p>
        </w:tc>
      </w:tr>
      <w:tr w:rsidRPr="008758E3" w:rsidR="00170C47" w:rsidTr="002370BD" w14:paraId="20C11465" w14:textId="77777777">
        <w:trPr>
          <w:cantSplit/>
          <w:trHeight w:val="701"/>
        </w:trPr>
        <w:tc>
          <w:tcPr>
            <w:tcW w:w="2045" w:type="pct"/>
            <w:vAlign w:val="center"/>
          </w:tcPr>
          <w:p w:rsidRPr="002370BD" w:rsidR="00170C47" w:rsidP="00DF1056" w:rsidRDefault="00170C47" w14:paraId="213DC717"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Federally permitted vessels operating in the GOA with non-pelagic trawl or dredge gear on board.</w:t>
            </w:r>
          </w:p>
        </w:tc>
        <w:tc>
          <w:tcPr>
            <w:tcW w:w="1410" w:type="pct"/>
            <w:vAlign w:val="center"/>
          </w:tcPr>
          <w:p w:rsidRPr="002370BD" w:rsidR="00170C47" w:rsidP="00DF1056" w:rsidRDefault="00170C47" w14:paraId="5A0B90FA"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 679.7(a)(22), 679.28(f)(6)(iii)</w:t>
            </w:r>
          </w:p>
        </w:tc>
        <w:tc>
          <w:tcPr>
            <w:tcW w:w="1545" w:type="pct"/>
            <w:vAlign w:val="center"/>
          </w:tcPr>
          <w:p w:rsidRPr="002370BD" w:rsidR="00170C47" w:rsidP="00DF1056" w:rsidRDefault="00170C47" w14:paraId="08C5A113"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To monitor compliance with area closures to protect Essential Fish Habitat.</w:t>
            </w:r>
          </w:p>
        </w:tc>
      </w:tr>
      <w:tr w:rsidRPr="008758E3" w:rsidR="00170C47" w:rsidTr="002370BD" w14:paraId="069B4B35" w14:textId="77777777">
        <w:trPr>
          <w:cantSplit/>
          <w:trHeight w:val="2384"/>
        </w:trPr>
        <w:tc>
          <w:tcPr>
            <w:tcW w:w="2045" w:type="pct"/>
            <w:vAlign w:val="center"/>
          </w:tcPr>
          <w:p w:rsidRPr="002370BD" w:rsidR="00170C47" w:rsidP="00DF1056" w:rsidRDefault="00170C47" w14:paraId="2A382CE7" w14:textId="77777777">
            <w:pPr>
              <w:pStyle w:val="NormalWeb"/>
              <w:shd w:val="clear" w:color="auto" w:fill="FFFFFF"/>
              <w:contextualSpacing/>
              <w:rPr>
                <w:rFonts w:asciiTheme="minorHAnsi" w:hAnsiTheme="minorHAnsi" w:cstheme="minorHAnsi"/>
                <w:color w:val="000000"/>
                <w:sz w:val="18"/>
                <w:szCs w:val="18"/>
              </w:rPr>
            </w:pPr>
            <w:r w:rsidRPr="002370BD">
              <w:rPr>
                <w:rFonts w:asciiTheme="minorHAnsi" w:hAnsiTheme="minorHAnsi" w:cstheme="minorHAnsi"/>
                <w:bCs/>
                <w:color w:val="000000"/>
                <w:sz w:val="18"/>
                <w:szCs w:val="18"/>
              </w:rPr>
              <w:t xml:space="preserve">GOA Rockfish Program — </w:t>
            </w:r>
            <w:r w:rsidRPr="002370BD">
              <w:rPr>
                <w:rFonts w:asciiTheme="minorHAnsi" w:hAnsiTheme="minorHAnsi" w:cstheme="minorHAnsi"/>
                <w:color w:val="000000"/>
                <w:sz w:val="18"/>
                <w:szCs w:val="18"/>
              </w:rPr>
              <w:t>vessels assigned to a rockfish cooperative must use VMS at all times when operating in a reporting area off Alaska from May 1 until November 15; or until that rockfish cooperative has submitted a rockfish cooperative termination of fishing declaration that has been approved by NMFS. In addition, vessels assigned to a rockfish cooperative and subject to a sideboard limit must use VMS at all times when operating in a reporting area off Alaska from July 1 until July 31.</w:t>
            </w:r>
          </w:p>
        </w:tc>
        <w:tc>
          <w:tcPr>
            <w:tcW w:w="1410" w:type="pct"/>
            <w:vAlign w:val="center"/>
          </w:tcPr>
          <w:p w:rsidRPr="002370BD" w:rsidR="00170C47" w:rsidP="00DF1056" w:rsidRDefault="00170C47" w14:paraId="481F54F6"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 679.5(r)(7), 679.7(n)(3),</w:t>
            </w:r>
          </w:p>
          <w:p w:rsidRPr="002370BD" w:rsidR="00170C47" w:rsidP="00DF1056" w:rsidRDefault="00170C47" w14:paraId="750B404C"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679.28(f)(6)(iv)</w:t>
            </w:r>
          </w:p>
        </w:tc>
        <w:tc>
          <w:tcPr>
            <w:tcW w:w="1545" w:type="pct"/>
            <w:vAlign w:val="center"/>
          </w:tcPr>
          <w:p w:rsidRPr="002370BD" w:rsidR="00170C47" w:rsidP="00DF1056" w:rsidRDefault="00170C47" w14:paraId="4BAEA922"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To monitor proper accounting of area-specific allocations.</w:t>
            </w:r>
          </w:p>
        </w:tc>
      </w:tr>
      <w:tr w:rsidRPr="008758E3" w:rsidR="00170C47" w:rsidTr="002370BD" w14:paraId="0397D86B" w14:textId="77777777">
        <w:trPr>
          <w:cantSplit/>
          <w:trHeight w:val="619"/>
        </w:trPr>
        <w:tc>
          <w:tcPr>
            <w:tcW w:w="2045" w:type="pct"/>
            <w:vAlign w:val="center"/>
          </w:tcPr>
          <w:p w:rsidRPr="002370BD" w:rsidR="00170C47" w:rsidP="00DF1056" w:rsidRDefault="00170C47" w14:paraId="0EA0D92B"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Amendment 80 catcher/processors at all times while operating in the BSAI or GOA.</w:t>
            </w:r>
          </w:p>
        </w:tc>
        <w:tc>
          <w:tcPr>
            <w:tcW w:w="1410" w:type="pct"/>
            <w:vAlign w:val="center"/>
          </w:tcPr>
          <w:p w:rsidRPr="002370BD" w:rsidR="00170C47" w:rsidP="00DF1056" w:rsidRDefault="00170C47" w14:paraId="4BB800D7"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 679.5(s)(7),</w:t>
            </w:r>
          </w:p>
          <w:p w:rsidRPr="002370BD" w:rsidR="00170C47" w:rsidP="00DF1056" w:rsidRDefault="00170C47" w14:paraId="6D05171D"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679.28(f)(6)(vi)</w:t>
            </w:r>
          </w:p>
        </w:tc>
        <w:tc>
          <w:tcPr>
            <w:tcW w:w="1545" w:type="pct"/>
            <w:vAlign w:val="center"/>
          </w:tcPr>
          <w:p w:rsidRPr="002370BD" w:rsidR="00170C47" w:rsidP="00DF1056" w:rsidRDefault="00170C47" w14:paraId="775499A9"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To monitor proper accounting of area-specific allocations.</w:t>
            </w:r>
          </w:p>
        </w:tc>
      </w:tr>
      <w:tr w:rsidRPr="008758E3" w:rsidR="00170C47" w:rsidTr="002370BD" w14:paraId="512B1AD9" w14:textId="77777777">
        <w:trPr>
          <w:cantSplit/>
          <w:trHeight w:val="1610"/>
        </w:trPr>
        <w:tc>
          <w:tcPr>
            <w:tcW w:w="2045" w:type="pct"/>
            <w:vAlign w:val="center"/>
          </w:tcPr>
          <w:p w:rsidRPr="002370BD" w:rsidR="00170C47" w:rsidP="00DF1056" w:rsidRDefault="00170C47" w14:paraId="73562343"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 xml:space="preserve">Vessels operating in the Western and Central GOA (Federal reporting areas 610, 620, or 630) that receive and process groundfish from other vessels. </w:t>
            </w:r>
          </w:p>
        </w:tc>
        <w:tc>
          <w:tcPr>
            <w:tcW w:w="1410" w:type="pct"/>
            <w:vAlign w:val="center"/>
          </w:tcPr>
          <w:p w:rsidRPr="002370BD" w:rsidR="00170C47" w:rsidP="00DF1056" w:rsidRDefault="00170C47" w14:paraId="4A93A97D"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 679.7(b)(4)(ii), 679.28(f)(6)(v)</w:t>
            </w:r>
          </w:p>
        </w:tc>
        <w:tc>
          <w:tcPr>
            <w:tcW w:w="1545" w:type="pct"/>
            <w:vAlign w:val="center"/>
          </w:tcPr>
          <w:p w:rsidRPr="002370BD" w:rsidR="00170C47" w:rsidP="00DF1056" w:rsidRDefault="00170C47" w14:paraId="1DDA0CD5"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 xml:space="preserve">To monitor compliance with area-specific processing caps in the Western and Central GOA and a requirement that Pacific cod harvested in the GOA may not be delivered to a vessel for processing in a different regulatory area. </w:t>
            </w:r>
          </w:p>
        </w:tc>
      </w:tr>
      <w:tr w:rsidRPr="008758E3" w:rsidR="00170C47" w:rsidTr="002370BD" w14:paraId="70CA9ECC" w14:textId="77777777">
        <w:trPr>
          <w:cantSplit/>
          <w:trHeight w:val="899"/>
        </w:trPr>
        <w:tc>
          <w:tcPr>
            <w:tcW w:w="2045" w:type="pct"/>
            <w:shd w:val="clear" w:color="auto" w:fill="auto"/>
            <w:vAlign w:val="center"/>
          </w:tcPr>
          <w:p w:rsidRPr="002370BD" w:rsidR="00170C47" w:rsidP="00DF1056" w:rsidRDefault="00170C47" w14:paraId="7DB1DE01"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Vessels fishing for individual fishing quota (IFQ) sablefish in the Bering Sea or Aleutian Islands IFQ regulatory areas (including vessels using pot gear).</w:t>
            </w:r>
          </w:p>
        </w:tc>
        <w:tc>
          <w:tcPr>
            <w:tcW w:w="1410" w:type="pct"/>
            <w:shd w:val="clear" w:color="auto" w:fill="auto"/>
            <w:vAlign w:val="center"/>
          </w:tcPr>
          <w:p w:rsidRPr="002370BD" w:rsidR="00170C47" w:rsidP="00DF1056" w:rsidRDefault="00170C47" w14:paraId="2B9ED123"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 679.28(f)(6)(vii),</w:t>
            </w:r>
          </w:p>
          <w:p w:rsidRPr="002370BD" w:rsidR="00170C47" w:rsidP="00DF1056" w:rsidRDefault="00170C47" w14:paraId="06CA0076"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679.42(k)(1)</w:t>
            </w:r>
          </w:p>
        </w:tc>
        <w:tc>
          <w:tcPr>
            <w:tcW w:w="1545" w:type="pct"/>
            <w:shd w:val="clear" w:color="auto" w:fill="auto"/>
            <w:vAlign w:val="center"/>
          </w:tcPr>
          <w:p w:rsidRPr="002370BD" w:rsidR="00170C47" w:rsidP="00DF1056" w:rsidRDefault="00170C47" w14:paraId="0E80730E"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To monitor proper accounting of area-specific allocations.</w:t>
            </w:r>
          </w:p>
        </w:tc>
      </w:tr>
      <w:tr w:rsidRPr="008758E3" w:rsidR="00170C47" w:rsidTr="002370BD" w14:paraId="2C05DC42" w14:textId="77777777">
        <w:trPr>
          <w:cantSplit/>
          <w:trHeight w:val="971"/>
        </w:trPr>
        <w:tc>
          <w:tcPr>
            <w:tcW w:w="2045" w:type="pct"/>
            <w:shd w:val="clear" w:color="auto" w:fill="auto"/>
            <w:vAlign w:val="center"/>
          </w:tcPr>
          <w:p w:rsidRPr="002370BD" w:rsidR="00170C47" w:rsidP="00DF1056" w:rsidRDefault="00170C47" w14:paraId="283AF996"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sz w:val="18"/>
                <w:szCs w:val="18"/>
              </w:rPr>
              <w:t>Vessels using pot gear to fish for IFQ or CDQ halibut or CDQ sablefish in the BSAI.</w:t>
            </w:r>
          </w:p>
        </w:tc>
        <w:tc>
          <w:tcPr>
            <w:tcW w:w="1410" w:type="pct"/>
            <w:shd w:val="clear" w:color="auto" w:fill="auto"/>
            <w:vAlign w:val="center"/>
          </w:tcPr>
          <w:p w:rsidRPr="002370BD" w:rsidR="00170C47" w:rsidP="00DF1056" w:rsidRDefault="00170C47" w14:paraId="7985C488" w14:textId="77777777">
            <w:pPr>
              <w:widowControl/>
              <w:tabs>
                <w:tab w:val="left" w:pos="720"/>
              </w:tabs>
              <w:contextualSpacing/>
              <w:rPr>
                <w:rFonts w:asciiTheme="minorHAnsi" w:hAnsiTheme="minorHAnsi" w:cstheme="minorHAnsi"/>
                <w:sz w:val="18"/>
                <w:szCs w:val="18"/>
              </w:rPr>
            </w:pPr>
            <w:r w:rsidRPr="002370BD">
              <w:rPr>
                <w:rFonts w:asciiTheme="minorHAnsi" w:hAnsiTheme="minorHAnsi" w:cstheme="minorHAnsi"/>
                <w:sz w:val="18"/>
                <w:szCs w:val="18"/>
              </w:rPr>
              <w:t>§§ 679.7(f)(26),</w:t>
            </w:r>
          </w:p>
          <w:p w:rsidRPr="002370BD" w:rsidR="00170C47" w:rsidP="00DF1056" w:rsidRDefault="00170C47" w14:paraId="1BD19BD5" w14:textId="77777777">
            <w:pPr>
              <w:widowControl/>
              <w:tabs>
                <w:tab w:val="left" w:pos="720"/>
              </w:tabs>
              <w:contextualSpacing/>
              <w:rPr>
                <w:rFonts w:asciiTheme="minorHAnsi" w:hAnsiTheme="minorHAnsi" w:cstheme="minorHAnsi"/>
                <w:sz w:val="18"/>
                <w:szCs w:val="18"/>
              </w:rPr>
            </w:pPr>
            <w:r w:rsidRPr="002370BD">
              <w:rPr>
                <w:rFonts w:asciiTheme="minorHAnsi" w:hAnsiTheme="minorHAnsi" w:cstheme="minorHAnsi"/>
                <w:color w:val="000000"/>
                <w:sz w:val="18"/>
                <w:szCs w:val="18"/>
              </w:rPr>
              <w:t>679.28(f)(6)(viii),</w:t>
            </w:r>
          </w:p>
          <w:p w:rsidRPr="002370BD" w:rsidR="00170C47" w:rsidP="00DF1056" w:rsidRDefault="00170C47" w14:paraId="5353E8C2"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sz w:val="18"/>
                <w:szCs w:val="18"/>
              </w:rPr>
              <w:t xml:space="preserve"> 679.42(m)(4)(ii)</w:t>
            </w:r>
          </w:p>
        </w:tc>
        <w:tc>
          <w:tcPr>
            <w:tcW w:w="1545" w:type="pct"/>
            <w:shd w:val="clear" w:color="auto" w:fill="auto"/>
            <w:vAlign w:val="center"/>
          </w:tcPr>
          <w:p w:rsidRPr="002370BD" w:rsidR="00170C47" w:rsidP="00DF1056" w:rsidRDefault="00170C47" w14:paraId="55154506"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sz w:val="18"/>
                <w:szCs w:val="18"/>
              </w:rPr>
              <w:t>To monitor proper accounting of area-specific allocations, and to monitor vessels using pot gear to retain halibut IFQ or CDQ.</w:t>
            </w:r>
          </w:p>
        </w:tc>
      </w:tr>
      <w:tr w:rsidRPr="008758E3" w:rsidR="00170C47" w:rsidTr="002370BD" w14:paraId="658E07FF" w14:textId="77777777">
        <w:trPr>
          <w:cantSplit/>
          <w:trHeight w:val="1528"/>
        </w:trPr>
        <w:tc>
          <w:tcPr>
            <w:tcW w:w="2045" w:type="pct"/>
            <w:shd w:val="clear" w:color="auto" w:fill="auto"/>
            <w:vAlign w:val="center"/>
          </w:tcPr>
          <w:p w:rsidRPr="002370BD" w:rsidR="00170C47" w:rsidP="00DF1056" w:rsidRDefault="00170C47" w14:paraId="77DFAB16"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lastRenderedPageBreak/>
              <w:t xml:space="preserve">Vessels operating in a GOA IFQ regulatory area and using longline pot gear to fish IFQ sablefish or to retain halibut incidentally in longline pot gear. </w:t>
            </w:r>
          </w:p>
        </w:tc>
        <w:tc>
          <w:tcPr>
            <w:tcW w:w="1410" w:type="pct"/>
            <w:shd w:val="clear" w:color="auto" w:fill="auto"/>
            <w:vAlign w:val="center"/>
          </w:tcPr>
          <w:p w:rsidRPr="002370BD" w:rsidR="00170C47" w:rsidP="00DF1056" w:rsidRDefault="00170C47" w14:paraId="5AB36666"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 679.7(f)(25), 679.28(f)(6)(viii), and 679.42(k)(2) and (l)(7)(ii), Annual halibut management measures (85 FR 14586, 3/13/2020)</w:t>
            </w:r>
          </w:p>
        </w:tc>
        <w:tc>
          <w:tcPr>
            <w:tcW w:w="1545" w:type="pct"/>
            <w:shd w:val="clear" w:color="auto" w:fill="auto"/>
            <w:vAlign w:val="center"/>
          </w:tcPr>
          <w:p w:rsidRPr="002370BD" w:rsidR="00170C47" w:rsidP="00DF1056" w:rsidRDefault="00170C47" w14:paraId="2F6C3730"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 xml:space="preserve">To monitor compliance with requirements to redeploy or remove pot gear from the fishing grounds within a specified time period. </w:t>
            </w:r>
          </w:p>
        </w:tc>
      </w:tr>
      <w:tr w:rsidRPr="008758E3" w:rsidR="00170C47" w:rsidTr="002370BD" w14:paraId="7AE5EB94" w14:textId="77777777">
        <w:trPr>
          <w:cantSplit/>
          <w:trHeight w:val="1601"/>
        </w:trPr>
        <w:tc>
          <w:tcPr>
            <w:tcW w:w="2045" w:type="pct"/>
            <w:vAlign w:val="center"/>
          </w:tcPr>
          <w:p w:rsidRPr="002370BD" w:rsidR="00170C47" w:rsidP="00DF1056" w:rsidRDefault="00170C47" w14:paraId="14D5C07E"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OPTIONAL Any vessel that carries a transmitting VMS while fishing for halibut in Area 4A, 4B, 4C, or 4D, and until all halibut caught in any of these areas is landed, is exempt from vessel clearance requirements.</w:t>
            </w:r>
          </w:p>
        </w:tc>
        <w:tc>
          <w:tcPr>
            <w:tcW w:w="1410" w:type="pct"/>
            <w:vAlign w:val="center"/>
          </w:tcPr>
          <w:p w:rsidRPr="002370BD" w:rsidR="00170C47" w:rsidP="00DF1056" w:rsidRDefault="00170C47" w14:paraId="6746691A" w14:textId="77777777">
            <w:pPr>
              <w:widowControl/>
              <w:tabs>
                <w:tab w:val="left" w:pos="720"/>
              </w:tabs>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Annual halibut management measures (85 FR 14586, 03/13/2020) No. 16--Vessel Clearance in IPHC Regulatory Area 4, No. (16)</w:t>
            </w:r>
          </w:p>
        </w:tc>
        <w:tc>
          <w:tcPr>
            <w:tcW w:w="1545" w:type="pct"/>
            <w:vAlign w:val="center"/>
          </w:tcPr>
          <w:p w:rsidRPr="002370BD" w:rsidR="00170C47" w:rsidP="00DF1056" w:rsidRDefault="00170C47" w14:paraId="133B07A7" w14:textId="77777777">
            <w:pPr>
              <w:widowControl/>
              <w:tabs>
                <w:tab w:val="left" w:pos="720"/>
              </w:tabs>
              <w:spacing w:after="240"/>
              <w:contextualSpacing/>
              <w:rPr>
                <w:rFonts w:asciiTheme="minorHAnsi" w:hAnsiTheme="minorHAnsi" w:cstheme="minorHAnsi"/>
                <w:color w:val="000000"/>
                <w:sz w:val="18"/>
                <w:szCs w:val="18"/>
              </w:rPr>
            </w:pPr>
            <w:r w:rsidRPr="002370BD">
              <w:rPr>
                <w:rFonts w:asciiTheme="minorHAnsi" w:hAnsiTheme="minorHAnsi" w:cstheme="minorHAnsi"/>
                <w:color w:val="000000"/>
                <w:sz w:val="18"/>
                <w:szCs w:val="18"/>
              </w:rPr>
              <w:t>To monitor proper accounting of area-specific allocations.</w:t>
            </w:r>
          </w:p>
          <w:p w:rsidRPr="002370BD" w:rsidR="00170C47" w:rsidP="00DF1056" w:rsidRDefault="00170C47" w14:paraId="5AA15926" w14:textId="77777777">
            <w:pPr>
              <w:widowControl/>
              <w:tabs>
                <w:tab w:val="left" w:pos="720"/>
              </w:tabs>
              <w:contextualSpacing/>
              <w:rPr>
                <w:rFonts w:asciiTheme="minorHAnsi" w:hAnsiTheme="minorHAnsi" w:cstheme="minorHAnsi"/>
                <w:bCs/>
                <w:color w:val="000000"/>
                <w:sz w:val="18"/>
                <w:szCs w:val="18"/>
              </w:rPr>
            </w:pPr>
            <w:r w:rsidRPr="002370BD">
              <w:rPr>
                <w:rFonts w:asciiTheme="minorHAnsi" w:hAnsiTheme="minorHAnsi" w:cstheme="minorHAnsi"/>
                <w:color w:val="000000"/>
                <w:sz w:val="18"/>
                <w:szCs w:val="18"/>
              </w:rPr>
              <w:t>These requirements in the halibut annual management measures are not subject to the PRA. See further explanation under paragraph 2(d) below.</w:t>
            </w:r>
          </w:p>
        </w:tc>
      </w:tr>
    </w:tbl>
    <w:p w:rsidR="00170C47" w:rsidP="00DF1056" w:rsidRDefault="00170C47" w14:paraId="4BF7149E"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contextualSpacing/>
        <w:rPr>
          <w:rFonts w:ascii="Times New Roman" w:hAnsi="Times New Roman" w:cs="Times New Roman"/>
          <w:b/>
          <w:sz w:val="24"/>
          <w:szCs w:val="24"/>
        </w:rPr>
      </w:pPr>
    </w:p>
    <w:p w:rsidR="002370BD" w:rsidP="00DF1056" w:rsidRDefault="002370BD" w14:paraId="12FBBF26"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imes New Roman" w:hAnsi="Times New Roman" w:cs="Times New Roman"/>
          <w:b/>
          <w:sz w:val="24"/>
          <w:szCs w:val="24"/>
        </w:rPr>
      </w:pPr>
    </w:p>
    <w:p w:rsidR="00E86B69" w:rsidP="00DF1056" w:rsidRDefault="00E86B69" w14:paraId="36E329AF" w14:textId="322A11DB">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imes New Roman" w:hAnsi="Times New Roman" w:cs="Times New Roman"/>
          <w:b/>
          <w:sz w:val="24"/>
          <w:szCs w:val="24"/>
        </w:rPr>
      </w:pPr>
      <w:r>
        <w:rPr>
          <w:rFonts w:ascii="Times New Roman" w:hAnsi="Times New Roman" w:cs="Times New Roman"/>
          <w:b/>
          <w:sz w:val="24"/>
          <w:szCs w:val="24"/>
        </w:rPr>
        <w:t>What</w:t>
      </w:r>
      <w:r w:rsidR="00170C47">
        <w:rPr>
          <w:rFonts w:ascii="Times New Roman" w:hAnsi="Times New Roman" w:cs="Times New Roman"/>
          <w:b/>
          <w:sz w:val="24"/>
          <w:szCs w:val="24"/>
        </w:rPr>
        <w:t xml:space="preserve"> type of information is collected? </w:t>
      </w:r>
      <w:r w:rsidRPr="008758E3">
        <w:rPr>
          <w:rFonts w:ascii="Times New Roman" w:hAnsi="Times New Roman" w:cs="Times New Roman"/>
          <w:sz w:val="24"/>
          <w:szCs w:val="24"/>
        </w:rPr>
        <w:t>VMS units automatically transmit the location of a vessel several times per hour using a Global Positioning System satellite.</w:t>
      </w:r>
      <w:r w:rsidRPr="008758E3">
        <w:rPr>
          <w:rFonts w:ascii="Times New Roman" w:hAnsi="Times New Roman" w:cs="Times New Roman"/>
          <w:color w:val="000000"/>
          <w:sz w:val="24"/>
          <w:szCs w:val="24"/>
        </w:rPr>
        <w:t xml:space="preserve"> </w:t>
      </w:r>
      <w:r w:rsidRPr="008758E3">
        <w:rPr>
          <w:rFonts w:ascii="Times New Roman" w:hAnsi="Times New Roman" w:cs="Times New Roman"/>
          <w:bCs/>
          <w:color w:val="000000"/>
          <w:sz w:val="24"/>
          <w:szCs w:val="24"/>
        </w:rPr>
        <w:t>The VMS unit is passive and automatic, requiring no reporting effort by the vessel operator. A communications service provider receives the transmission and relays it to NMFS OLE.</w:t>
      </w:r>
    </w:p>
    <w:p w:rsidRPr="008758E3" w:rsidR="008758E3" w:rsidP="00DF1056" w:rsidRDefault="008758E3" w14:paraId="74079F59" w14:textId="7BE9839E">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imes New Roman" w:hAnsi="Times New Roman" w:cs="Times New Roman"/>
          <w:sz w:val="24"/>
          <w:szCs w:val="24"/>
        </w:rPr>
      </w:pPr>
      <w:r w:rsidRPr="008758E3">
        <w:rPr>
          <w:rFonts w:ascii="Times New Roman" w:hAnsi="Times New Roman" w:cs="Times New Roman"/>
          <w:b/>
          <w:sz w:val="24"/>
          <w:szCs w:val="24"/>
        </w:rPr>
        <w:t>Who</w:t>
      </w:r>
      <w:r w:rsidR="00170C47">
        <w:rPr>
          <w:rFonts w:ascii="Times New Roman" w:hAnsi="Times New Roman" w:cs="Times New Roman"/>
          <w:b/>
          <w:sz w:val="24"/>
          <w:szCs w:val="24"/>
        </w:rPr>
        <w:t xml:space="preserve"> must comply with this information collection?</w:t>
      </w:r>
      <w:r w:rsidRPr="008758E3" w:rsidR="00170C47">
        <w:rPr>
          <w:rFonts w:ascii="Times New Roman" w:hAnsi="Times New Roman" w:cs="Times New Roman"/>
          <w:sz w:val="24"/>
          <w:szCs w:val="24"/>
        </w:rPr>
        <w:t xml:space="preserve"> </w:t>
      </w:r>
      <w:r w:rsidRPr="008758E3">
        <w:rPr>
          <w:rFonts w:ascii="Times New Roman" w:hAnsi="Times New Roman" w:cs="Times New Roman"/>
          <w:sz w:val="24"/>
          <w:szCs w:val="24"/>
        </w:rPr>
        <w:t>Owners and operators of vessels required to carry transmitting VMS units are the people required to comply with the components of this information collection.  Between 2015 and 201</w:t>
      </w:r>
      <w:r w:rsidR="00B846B1">
        <w:rPr>
          <w:rFonts w:ascii="Times New Roman" w:hAnsi="Times New Roman" w:cs="Times New Roman"/>
          <w:sz w:val="24"/>
          <w:szCs w:val="24"/>
        </w:rPr>
        <w:t>9</w:t>
      </w:r>
      <w:r w:rsidRPr="008758E3">
        <w:rPr>
          <w:rFonts w:ascii="Times New Roman" w:hAnsi="Times New Roman" w:cs="Times New Roman"/>
          <w:sz w:val="24"/>
          <w:szCs w:val="24"/>
        </w:rPr>
        <w:t xml:space="preserve">, an average of 550 commercial fishing vessels per year participating in the federally managed groundfish, crab, scallop, and halibut fisheries off Alaska transmitted vessel location via VMS. </w:t>
      </w:r>
    </w:p>
    <w:p w:rsidRPr="008758E3" w:rsidR="008758E3" w:rsidP="00DF1056" w:rsidRDefault="008758E3" w14:paraId="6378FF28" w14:textId="27173C0B">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imes New Roman" w:hAnsi="Times New Roman" w:cs="Times New Roman"/>
          <w:sz w:val="24"/>
          <w:szCs w:val="24"/>
        </w:rPr>
      </w:pPr>
      <w:r w:rsidRPr="008758E3">
        <w:rPr>
          <w:rFonts w:ascii="Times New Roman" w:hAnsi="Times New Roman" w:cs="Times New Roman"/>
          <w:b/>
          <w:sz w:val="24"/>
          <w:szCs w:val="24"/>
        </w:rPr>
        <w:t>How</w:t>
      </w:r>
      <w:r w:rsidR="00C01642">
        <w:rPr>
          <w:rFonts w:ascii="Times New Roman" w:hAnsi="Times New Roman" w:cs="Times New Roman"/>
          <w:b/>
          <w:sz w:val="24"/>
          <w:szCs w:val="24"/>
        </w:rPr>
        <w:t xml:space="preserve"> </w:t>
      </w:r>
      <w:r w:rsidR="00170C47">
        <w:rPr>
          <w:rFonts w:ascii="Times New Roman" w:hAnsi="Times New Roman" w:cs="Times New Roman"/>
          <w:b/>
          <w:sz w:val="24"/>
          <w:szCs w:val="24"/>
        </w:rPr>
        <w:t>is the information collected?</w:t>
      </w:r>
      <w:r w:rsidRPr="008758E3" w:rsidR="00170C47">
        <w:rPr>
          <w:rFonts w:ascii="Times New Roman" w:hAnsi="Times New Roman" w:cs="Times New Roman"/>
          <w:sz w:val="24"/>
          <w:szCs w:val="24"/>
        </w:rPr>
        <w:t xml:space="preserve"> </w:t>
      </w:r>
      <w:r w:rsidRPr="008758E3">
        <w:rPr>
          <w:rFonts w:ascii="Times New Roman" w:hAnsi="Times New Roman" w:cs="Times New Roman"/>
          <w:sz w:val="24"/>
          <w:szCs w:val="24"/>
        </w:rPr>
        <w:t>Vessel owners comply with the requirements to submit vessel location information to NMFS by purchasing, installing, and maintaining an approved and operational VMS unit. Prior to participating in operations requiring VMS, a vessel owner must obtain a NMFS-approved VMS transmitter and install it or have it installed on board the vessel. The VMS transmitter must be available for inspection by NMFS personnel, observers, or authorized officers. The vessel owner must ensure that the VMS transmitter is not tampered with, disabled, destroyed, or operated improperly, and must pay all charges levied by the VMS service provider agreement.</w:t>
      </w:r>
    </w:p>
    <w:p w:rsidRPr="008758E3" w:rsidR="008758E3" w:rsidP="00DF1056" w:rsidRDefault="008758E3" w14:paraId="33E19C0A" w14:textId="4B81E166">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imes New Roman" w:hAnsi="Times New Roman" w:cs="Times New Roman"/>
          <w:sz w:val="24"/>
          <w:szCs w:val="24"/>
        </w:rPr>
      </w:pPr>
      <w:r w:rsidRPr="008758E3">
        <w:rPr>
          <w:rFonts w:ascii="Times New Roman" w:hAnsi="Times New Roman" w:cs="Times New Roman"/>
          <w:b/>
          <w:sz w:val="24"/>
          <w:szCs w:val="24"/>
        </w:rPr>
        <w:t>How frequently</w:t>
      </w:r>
      <w:r w:rsidR="00170C47">
        <w:rPr>
          <w:rFonts w:ascii="Times New Roman" w:hAnsi="Times New Roman" w:cs="Times New Roman"/>
          <w:b/>
          <w:sz w:val="24"/>
          <w:szCs w:val="24"/>
        </w:rPr>
        <w:t xml:space="preserve"> is the information collected?</w:t>
      </w:r>
      <w:r w:rsidRPr="008758E3" w:rsidR="00170C47">
        <w:rPr>
          <w:rFonts w:ascii="Times New Roman" w:hAnsi="Times New Roman" w:cs="Times New Roman"/>
          <w:b/>
          <w:sz w:val="24"/>
          <w:szCs w:val="24"/>
        </w:rPr>
        <w:t xml:space="preserve"> </w:t>
      </w:r>
      <w:r w:rsidRPr="008758E3">
        <w:rPr>
          <w:rFonts w:ascii="Times New Roman" w:hAnsi="Times New Roman" w:cs="Times New Roman"/>
          <w:sz w:val="24"/>
          <w:szCs w:val="24"/>
        </w:rPr>
        <w:t xml:space="preserve">An average of 7,784,098 VMS transmissions per year were transmitted from these 550 vessels from 2015 through </w:t>
      </w:r>
      <w:r w:rsidRPr="008758E3" w:rsidR="00E86B69">
        <w:rPr>
          <w:rFonts w:ascii="Times New Roman" w:hAnsi="Times New Roman" w:cs="Times New Roman"/>
          <w:sz w:val="24"/>
          <w:szCs w:val="24"/>
        </w:rPr>
        <w:t>201</w:t>
      </w:r>
      <w:r w:rsidR="00E86B69">
        <w:rPr>
          <w:rFonts w:ascii="Times New Roman" w:hAnsi="Times New Roman" w:cs="Times New Roman"/>
          <w:sz w:val="24"/>
          <w:szCs w:val="24"/>
        </w:rPr>
        <w:t>9</w:t>
      </w:r>
      <w:r w:rsidRPr="008758E3">
        <w:rPr>
          <w:rFonts w:ascii="Times New Roman" w:hAnsi="Times New Roman" w:cs="Times New Roman"/>
          <w:sz w:val="24"/>
          <w:szCs w:val="24"/>
        </w:rPr>
        <w:t>. Most of these vessels were transmitting location information every half hour (two times per hour) when not in port and every hour while in port. Vessels using trawl gear to fish in the Aleutian Islands were required to transmit their location via VMS every ten minutes (six times per hour).</w:t>
      </w:r>
    </w:p>
    <w:p w:rsidRPr="008758E3" w:rsidR="008758E3" w:rsidP="00DF1056" w:rsidRDefault="008758E3" w14:paraId="712C04CB" w14:textId="5B65BE20">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imes New Roman" w:hAnsi="Times New Roman" w:cs="Times New Roman"/>
          <w:sz w:val="24"/>
          <w:szCs w:val="24"/>
        </w:rPr>
      </w:pPr>
      <w:r w:rsidRPr="000A7417">
        <w:rPr>
          <w:rFonts w:ascii="Times New Roman" w:hAnsi="Times New Roman" w:cs="Times New Roman"/>
          <w:color w:val="000000"/>
          <w:sz w:val="24"/>
          <w:szCs w:val="24"/>
        </w:rPr>
        <w:t>VMS transmissions are not considered responses or included in the burden hour estimates for this collection summarized in Question #12 because vessel position location is automatically transmitted from the VMS unit. The vessel transmission rates and total transmissions are used to estimate the communications costs associated with providing the vessel location information (see Question #13).</w:t>
      </w:r>
    </w:p>
    <w:p w:rsidRPr="008758E3" w:rsidR="008758E3" w:rsidP="00DF1056" w:rsidRDefault="00170C47" w14:paraId="40C0E5CB" w14:textId="50915400">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imes New Roman" w:hAnsi="Times New Roman" w:cs="Times New Roman"/>
          <w:bCs/>
          <w:sz w:val="24"/>
          <w:szCs w:val="24"/>
        </w:rPr>
      </w:pPr>
      <w:r>
        <w:rPr>
          <w:rFonts w:ascii="Times New Roman" w:hAnsi="Times New Roman" w:cs="Times New Roman"/>
          <w:b/>
          <w:color w:val="000000"/>
          <w:sz w:val="24"/>
          <w:szCs w:val="24"/>
        </w:rPr>
        <w:lastRenderedPageBreak/>
        <w:t>What is this information used for?</w:t>
      </w:r>
      <w:r w:rsidRPr="008758E3" w:rsidR="008758E3">
        <w:rPr>
          <w:rFonts w:ascii="Times New Roman" w:hAnsi="Times New Roman" w:cs="Times New Roman"/>
          <w:color w:val="000000"/>
          <w:sz w:val="24"/>
          <w:szCs w:val="24"/>
        </w:rPr>
        <w:t xml:space="preserve"> VMS allows verification of where fishing is occurring in real time. </w:t>
      </w:r>
      <w:r w:rsidRPr="008758E3" w:rsidR="008758E3">
        <w:rPr>
          <w:rFonts w:ascii="Times New Roman" w:hAnsi="Times New Roman" w:cs="Times New Roman"/>
          <w:bCs/>
          <w:color w:val="000000"/>
          <w:sz w:val="24"/>
          <w:szCs w:val="24"/>
        </w:rPr>
        <w:t xml:space="preserve">VMS </w:t>
      </w:r>
      <w:r w:rsidRPr="008758E3" w:rsidR="008758E3">
        <w:rPr>
          <w:rFonts w:ascii="Times New Roman" w:hAnsi="Times New Roman" w:cs="Times New Roman"/>
          <w:color w:val="000000"/>
          <w:sz w:val="24"/>
          <w:szCs w:val="24"/>
        </w:rPr>
        <w:t xml:space="preserve">allows verification that vessels fishing in an area are permitted to fish in that area, </w:t>
      </w:r>
      <w:r w:rsidRPr="008758E3" w:rsidR="008758E3">
        <w:rPr>
          <w:rFonts w:ascii="Times New Roman" w:hAnsi="Times New Roman" w:cs="Times New Roman"/>
          <w:bCs/>
          <w:sz w:val="24"/>
          <w:szCs w:val="24"/>
        </w:rPr>
        <w:t xml:space="preserve">facilitates enforcement of area closures in certain fisheries, and allows NMFS OLE to check the accuracy of vessel position information reported by the vessel operator in the daily logbooks. VMS </w:t>
      </w:r>
      <w:r w:rsidRPr="008758E3" w:rsidR="008758E3">
        <w:rPr>
          <w:rFonts w:ascii="Times New Roman" w:hAnsi="Times New Roman" w:cs="Times New Roman"/>
          <w:color w:val="000000"/>
          <w:sz w:val="24"/>
          <w:szCs w:val="24"/>
        </w:rPr>
        <w:t xml:space="preserve">also helps ensure harvested fish are properly debited or reported because NMFS can track vessels as they arrive in port to offload the product. In addition, NMFS </w:t>
      </w:r>
      <w:r w:rsidRPr="008758E3" w:rsidR="008758E3">
        <w:rPr>
          <w:rFonts w:ascii="Times New Roman" w:hAnsi="Times New Roman" w:cs="Times New Roman"/>
          <w:bCs/>
          <w:sz w:val="24"/>
          <w:szCs w:val="24"/>
        </w:rPr>
        <w:t>OLE uses VMS to monitor compliance with requirements to redeploy or remove pot gear from the fishing grounds within a specified time period. VMS is used to track the management areas in which vessels are fishing on a given trip, and agents could then follow up with a dockside inspection to see what gear was returned to shore when making a landing. That information can be compared to the recorded number of pots that are registered to the vessel for that area, or areas, in the pot tag database</w:t>
      </w:r>
      <w:r w:rsidR="008758E3">
        <w:rPr>
          <w:rFonts w:ascii="Times New Roman" w:hAnsi="Times New Roman" w:cs="Times New Roman"/>
          <w:bCs/>
          <w:sz w:val="24"/>
          <w:szCs w:val="24"/>
        </w:rPr>
        <w:t>.</w:t>
      </w:r>
    </w:p>
    <w:p w:rsidR="008758E3" w:rsidP="00DF1056" w:rsidRDefault="008758E3" w14:paraId="433C74F0" w14:textId="2DD2DA82">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Times New Roman" w:hAnsi="Times New Roman" w:cs="Times New Roman"/>
          <w:bCs/>
          <w:sz w:val="24"/>
          <w:szCs w:val="24"/>
        </w:rPr>
      </w:pPr>
      <w:r w:rsidRPr="008758E3">
        <w:rPr>
          <w:rFonts w:ascii="Times New Roman" w:hAnsi="Times New Roman" w:cs="Times New Roman"/>
          <w:bCs/>
          <w:sz w:val="24"/>
          <w:szCs w:val="24"/>
        </w:rPr>
        <w:t xml:space="preserve">VMS data also is used by NMFS and the North Pacific Fishery Management Council to analyze the impacts of current fisheries and proposed fishery conservation and management actions. </w:t>
      </w:r>
    </w:p>
    <w:p w:rsidR="00236B5A" w:rsidP="00DF1056" w:rsidRDefault="00C01642" w14:paraId="75F354B6" w14:textId="497C7850">
      <w:pPr>
        <w:pStyle w:val="NormalWeb"/>
        <w:spacing w:before="0" w:beforeAutospacing="0" w:after="240" w:afterAutospacing="0"/>
      </w:pPr>
      <w:r>
        <w:rPr>
          <w:b/>
          <w:bCs/>
        </w:rPr>
        <w:t>Is this information shared?</w:t>
      </w:r>
      <w:r w:rsidRPr="00236B5A" w:rsidR="00236B5A">
        <w:rPr>
          <w:color w:val="000000"/>
        </w:rPr>
        <w:t xml:space="preserve"> </w:t>
      </w:r>
      <w:r w:rsidR="00236B5A">
        <w:rPr>
          <w:color w:val="000000"/>
        </w:rPr>
        <w:t>Section 515 of Public Law 106-554 (the Information Quality Act) requires NMFS to ensure the quality, objectivity, utility, and integrity of information it publicly disseminates. Data submitted by VMS units is aggregated, synthesized, summarized, and presented in a non-confidential format to the public in reports and analyses of fishery conservation and management measures. Public dissemination of these data is governed by NOAA's information quality guidelines, which were issued on October 30, 2004 (</w:t>
      </w:r>
      <w:hyperlink w:history="1" r:id="rId15">
        <w:r w:rsidR="00236B5A">
          <w:rPr>
            <w:rStyle w:val="Hyperlink"/>
          </w:rPr>
          <w:t>http://www.cio.noaa.gov/services_programs/IQ_Guidelines_103014.html</w:t>
        </w:r>
      </w:hyperlink>
      <w:r w:rsidR="00236B5A">
        <w:rPr>
          <w:color w:val="000000"/>
        </w:rPr>
        <w:t>).</w:t>
      </w:r>
    </w:p>
    <w:p w:rsidR="00236B5A" w:rsidP="00DF1056" w:rsidRDefault="00236B5A" w14:paraId="5C08616F" w14:textId="14C12082">
      <w:pPr>
        <w:pStyle w:val="NormalWeb"/>
        <w:spacing w:before="0" w:beforeAutospacing="0" w:after="240" w:afterAutospacing="0"/>
      </w:pPr>
      <w:r>
        <w:rPr>
          <w:color w:val="000000"/>
        </w:rPr>
        <w:t xml:space="preserve">Reports and analyses prepared with VMS data generally fall under NOAA's information quality category </w:t>
      </w:r>
      <w:r w:rsidR="00C92BD8">
        <w:rPr>
          <w:color w:val="000000"/>
        </w:rPr>
        <w:t>“</w:t>
      </w:r>
      <w:r>
        <w:rPr>
          <w:color w:val="000000"/>
        </w:rPr>
        <w:t>synthesized products.</w:t>
      </w:r>
      <w:r w:rsidR="00C92BD8">
        <w:rPr>
          <w:color w:val="000000"/>
        </w:rPr>
        <w:t>”</w:t>
      </w:r>
      <w:r>
        <w:rPr>
          <w:color w:val="000000"/>
        </w:rPr>
        <w:t xml:space="preserve"> These products have been developed through analysis of original data by applying methods that require some scientific evaluation and judgment; however, these methods of analysis generally are well documented and relatively routine. Therefore, peer review is generally not required for reports and analyses prepared using VMS data.</w:t>
      </w:r>
    </w:p>
    <w:p w:rsidRPr="00236B5A" w:rsidR="00236B5A" w:rsidP="00DF1056" w:rsidRDefault="00236B5A" w14:paraId="3A1E21E0" w14:textId="667B5CC0">
      <w:pPr>
        <w:pStyle w:val="NormalWeb"/>
        <w:spacing w:before="0" w:beforeAutospacing="0" w:after="240" w:afterAutospacing="0"/>
      </w:pPr>
      <w:r>
        <w:rPr>
          <w:color w:val="000000"/>
        </w:rPr>
        <w:t xml:space="preserve">Reports and analyses undergo internal agency review by people familiar with the underlying data and fisheries being described. In addition, </w:t>
      </w:r>
      <w:r w:rsidRPr="00236B5A">
        <w:rPr>
          <w:color w:val="000000"/>
        </w:rPr>
        <w:t>analyses presented to the North Pacific Fishery Management Council are reviewed by its Scientific and Statistical Committee.</w:t>
      </w:r>
    </w:p>
    <w:p w:rsidRPr="00385DB4" w:rsidR="00236B5A" w:rsidP="00DF1056" w:rsidRDefault="00236B5A" w14:paraId="0D156E1E" w14:textId="531FCEBB">
      <w:pPr>
        <w:widowControl/>
        <w:autoSpaceDE/>
        <w:autoSpaceDN/>
        <w:spacing w:after="240"/>
        <w:rPr>
          <w:rFonts w:ascii="Times New Roman" w:hAnsi="Times New Roman" w:cs="Times New Roman"/>
          <w:b/>
          <w:bCs/>
          <w:sz w:val="24"/>
          <w:szCs w:val="24"/>
        </w:rPr>
      </w:pPr>
      <w:r w:rsidRPr="00236B5A">
        <w:rPr>
          <w:rFonts w:ascii="Times New Roman" w:hAnsi="Times New Roman" w:eastAsia="Times New Roman" w:cs="Times New Roman"/>
          <w:color w:val="000000"/>
          <w:sz w:val="24"/>
          <w:szCs w:val="24"/>
          <w:lang w:bidi="ar-SA"/>
        </w:rPr>
        <w:t xml:space="preserve">Data from the VMS unit registration are maintained and used primarily by NMFS OLE to monitor compliance. This information may periodically be made available to the public in summary form as was </w:t>
      </w:r>
      <w:r w:rsidRPr="00385DB4">
        <w:rPr>
          <w:rFonts w:ascii="Times New Roman" w:hAnsi="Times New Roman" w:eastAsia="Times New Roman" w:cs="Times New Roman"/>
          <w:sz w:val="24"/>
          <w:szCs w:val="24"/>
          <w:lang w:bidi="ar-SA"/>
        </w:rPr>
        <w:t>done to prepare the projections used in this analysis.</w:t>
      </w:r>
    </w:p>
    <w:p w:rsidR="00385DB4" w:rsidP="00E23051" w:rsidRDefault="00385DB4" w14:paraId="6A9CECFD" w14:textId="566B112D">
      <w:pPr>
        <w:widowControl/>
        <w:spacing w:after="240"/>
        <w:rPr>
          <w:rFonts w:ascii="Times New Roman" w:hAnsi="Times New Roman" w:cs="Times New Roman"/>
          <w:sz w:val="24"/>
          <w:szCs w:val="24"/>
        </w:rPr>
      </w:pPr>
      <w:r w:rsidRPr="00495C56">
        <w:rPr>
          <w:rFonts w:ascii="Times New Roman" w:hAnsi="Times New Roman" w:cs="Times New Roman"/>
          <w:b/>
          <w:sz w:val="24"/>
          <w:szCs w:val="24"/>
        </w:rPr>
        <w:t>How have the collection requirements changed?</w:t>
      </w:r>
      <w:r w:rsidRPr="00495C56" w:rsidR="00590EA5">
        <w:rPr>
          <w:rFonts w:ascii="Times New Roman" w:hAnsi="Times New Roman" w:cs="Times New Roman"/>
          <w:b/>
          <w:sz w:val="24"/>
          <w:szCs w:val="24"/>
        </w:rPr>
        <w:t xml:space="preserve"> </w:t>
      </w:r>
      <w:r w:rsidRPr="00495C56" w:rsidR="00495C56">
        <w:rPr>
          <w:rFonts w:ascii="Times New Roman" w:hAnsi="Times New Roman" w:cs="Times New Roman"/>
          <w:sz w:val="24"/>
          <w:szCs w:val="24"/>
        </w:rPr>
        <w:t xml:space="preserve">Since the last extension, this </w:t>
      </w:r>
      <w:r w:rsidRPr="00495C56" w:rsidR="00590EA5">
        <w:rPr>
          <w:rFonts w:ascii="Times New Roman" w:hAnsi="Times New Roman" w:cs="Times New Roman"/>
          <w:sz w:val="24"/>
          <w:szCs w:val="24"/>
        </w:rPr>
        <w:t xml:space="preserve">collection was revised </w:t>
      </w:r>
      <w:r w:rsidRPr="001B543B" w:rsidR="00495C56">
        <w:rPr>
          <w:rFonts w:ascii="Times New Roman" w:hAnsi="Times New Roman" w:cs="Times New Roman"/>
          <w:sz w:val="24"/>
          <w:szCs w:val="24"/>
        </w:rPr>
        <w:t>due to the rule to implement Amendment 118 to the Fishery Management Plan for Groundfish of the Bering Sea and Aleutian Islands Management Area (RIN 0648-BI65)</w:t>
      </w:r>
      <w:r w:rsidRPr="0011224D" w:rsidR="00495C56">
        <w:rPr>
          <w:rFonts w:ascii="Times New Roman" w:hAnsi="Times New Roman" w:cs="Times New Roman"/>
          <w:sz w:val="24"/>
          <w:szCs w:val="24"/>
        </w:rPr>
        <w:t>.</w:t>
      </w:r>
      <w:r w:rsidR="006B6B7D">
        <w:rPr>
          <w:rFonts w:ascii="Times New Roman" w:hAnsi="Times New Roman" w:cs="Times New Roman"/>
          <w:sz w:val="24"/>
          <w:szCs w:val="24"/>
        </w:rPr>
        <w:t xml:space="preserve"> This action revised who is required to use VMS to include vess</w:t>
      </w:r>
      <w:r w:rsidRPr="006B6B7D" w:rsidR="00495C56">
        <w:rPr>
          <w:rFonts w:ascii="Times New Roman" w:hAnsi="Times New Roman" w:cs="Times New Roman"/>
          <w:sz w:val="24"/>
          <w:szCs w:val="24"/>
        </w:rPr>
        <w:t xml:space="preserve">el operators who choose to use pot gear </w:t>
      </w:r>
      <w:r w:rsidR="006B6B7D">
        <w:rPr>
          <w:rFonts w:ascii="Times New Roman" w:hAnsi="Times New Roman" w:cs="Times New Roman"/>
          <w:sz w:val="24"/>
          <w:szCs w:val="24"/>
        </w:rPr>
        <w:t>to retain halibut in the BSAI</w:t>
      </w:r>
      <w:r w:rsidR="00495C56">
        <w:rPr>
          <w:rFonts w:ascii="Times New Roman" w:hAnsi="Times New Roman" w:cs="Times New Roman"/>
          <w:sz w:val="24"/>
          <w:szCs w:val="24"/>
        </w:rPr>
        <w:t>.</w:t>
      </w:r>
      <w:r w:rsidR="006B6B7D">
        <w:rPr>
          <w:rFonts w:ascii="Times New Roman" w:hAnsi="Times New Roman" w:cs="Times New Roman"/>
          <w:sz w:val="24"/>
          <w:szCs w:val="24"/>
        </w:rPr>
        <w:t xml:space="preserve"> </w:t>
      </w:r>
      <w:r w:rsidR="000A2E1A">
        <w:rPr>
          <w:rFonts w:ascii="Times New Roman" w:hAnsi="Times New Roman" w:cs="Times New Roman"/>
          <w:sz w:val="24"/>
          <w:szCs w:val="24"/>
        </w:rPr>
        <w:t>The revision also removed t</w:t>
      </w:r>
      <w:r w:rsidR="00495C56">
        <w:rPr>
          <w:rFonts w:ascii="Times New Roman" w:hAnsi="Times New Roman" w:cs="Times New Roman"/>
          <w:sz w:val="24"/>
          <w:szCs w:val="24"/>
        </w:rPr>
        <w:t xml:space="preserve">hree </w:t>
      </w:r>
      <w:r w:rsidR="000A2E1A">
        <w:rPr>
          <w:rFonts w:ascii="Times New Roman" w:hAnsi="Times New Roman" w:cs="Times New Roman"/>
          <w:sz w:val="24"/>
          <w:szCs w:val="24"/>
        </w:rPr>
        <w:t xml:space="preserve">collection </w:t>
      </w:r>
      <w:r w:rsidR="006B6B7D">
        <w:rPr>
          <w:rFonts w:ascii="Times New Roman" w:hAnsi="Times New Roman" w:cs="Times New Roman"/>
          <w:sz w:val="24"/>
          <w:szCs w:val="24"/>
        </w:rPr>
        <w:t xml:space="preserve">instruments </w:t>
      </w:r>
      <w:r w:rsidR="000A2E1A">
        <w:rPr>
          <w:rFonts w:ascii="Times New Roman" w:hAnsi="Times New Roman" w:cs="Times New Roman"/>
          <w:sz w:val="24"/>
          <w:szCs w:val="24"/>
        </w:rPr>
        <w:t>from this collection because they</w:t>
      </w:r>
      <w:r w:rsidR="006B6B7D">
        <w:rPr>
          <w:rFonts w:ascii="Times New Roman" w:hAnsi="Times New Roman" w:cs="Times New Roman"/>
          <w:sz w:val="24"/>
          <w:szCs w:val="24"/>
        </w:rPr>
        <w:t xml:space="preserve"> were no longer necessary. </w:t>
      </w:r>
    </w:p>
    <w:p w:rsidRPr="00817F4C" w:rsidR="00817F4C" w:rsidP="00DF1056" w:rsidRDefault="001477A3" w14:paraId="1E1CF43F" w14:textId="77777777">
      <w:pPr>
        <w:pStyle w:val="ListParagraph"/>
        <w:widowControl/>
        <w:numPr>
          <w:ilvl w:val="0"/>
          <w:numId w:val="7"/>
        </w:numPr>
        <w:tabs>
          <w:tab w:val="left" w:pos="360"/>
        </w:tabs>
        <w:spacing w:before="199" w:after="240"/>
        <w:ind w:left="0" w:firstLine="0"/>
        <w:contextualSpacing/>
        <w:rPr>
          <w:sz w:val="24"/>
          <w:szCs w:val="24"/>
        </w:rPr>
      </w:pPr>
      <w:r w:rsidRPr="00817F4C">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817F4C">
        <w:rPr>
          <w:rFonts w:ascii="Times New Roman" w:hAnsi="Times New Roman" w:cs="Times New Roman"/>
          <w:b/>
          <w:sz w:val="24"/>
          <w:szCs w:val="24"/>
        </w:rPr>
        <w:lastRenderedPageBreak/>
        <w:t>the basis for the decision for adopting this means of collection. Also, describe any consideration of using information technology to reduce</w:t>
      </w:r>
      <w:r w:rsidRPr="00817F4C">
        <w:rPr>
          <w:rFonts w:ascii="Times New Roman" w:hAnsi="Times New Roman" w:cs="Times New Roman"/>
          <w:b/>
          <w:spacing w:val="-6"/>
          <w:sz w:val="24"/>
          <w:szCs w:val="24"/>
        </w:rPr>
        <w:t xml:space="preserve"> </w:t>
      </w:r>
      <w:r w:rsidRPr="00817F4C">
        <w:rPr>
          <w:rFonts w:ascii="Times New Roman" w:hAnsi="Times New Roman" w:cs="Times New Roman"/>
          <w:b/>
          <w:sz w:val="24"/>
          <w:szCs w:val="24"/>
        </w:rPr>
        <w:t>burden.</w:t>
      </w:r>
    </w:p>
    <w:p w:rsidR="00817F4C" w:rsidP="00DF1056" w:rsidRDefault="00817F4C" w14:paraId="57D2DED7" w14:textId="78B71747">
      <w:pPr>
        <w:widowControl/>
        <w:spacing w:after="240"/>
        <w:rPr>
          <w:rFonts w:ascii="Times New Roman" w:hAnsi="Times New Roman" w:cs="Times New Roman"/>
          <w:sz w:val="24"/>
          <w:szCs w:val="24"/>
        </w:rPr>
      </w:pPr>
      <w:r w:rsidRPr="00817F4C">
        <w:rPr>
          <w:rFonts w:ascii="Times New Roman" w:hAnsi="Times New Roman" w:cs="Times New Roman"/>
          <w:sz w:val="24"/>
          <w:szCs w:val="24"/>
        </w:rPr>
        <w:t xml:space="preserve">The VMS collection-of-information is automated and integrates current information technology in the fishery management and monitoring process. </w:t>
      </w:r>
    </w:p>
    <w:p w:rsidRPr="00BD7237" w:rsidR="008E61C9" w:rsidP="00DF1056" w:rsidRDefault="001477A3" w14:paraId="71279E17" w14:textId="6CA518BA">
      <w:pPr>
        <w:pStyle w:val="ListParagraph"/>
        <w:numPr>
          <w:ilvl w:val="0"/>
          <w:numId w:val="7"/>
        </w:numPr>
        <w:tabs>
          <w:tab w:val="left" w:pos="360"/>
        </w:tabs>
        <w:spacing w:before="80" w:after="24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r w:rsidR="00236B5A">
        <w:rPr>
          <w:rFonts w:ascii="Times New Roman" w:hAnsi="Times New Roman" w:cs="Times New Roman"/>
          <w:b/>
          <w:sz w:val="24"/>
          <w:szCs w:val="24"/>
        </w:rPr>
        <w:t>.</w:t>
      </w:r>
    </w:p>
    <w:p w:rsidRPr="00817F4C" w:rsidR="00817F4C" w:rsidP="00DF1056" w:rsidRDefault="00817F4C" w14:paraId="58A3B052" w14:textId="74F95183">
      <w:pPr>
        <w:widowControl/>
        <w:spacing w:after="240"/>
        <w:contextualSpacing/>
        <w:rPr>
          <w:rFonts w:ascii="Times New Roman" w:hAnsi="Times New Roman" w:cs="Times New Roman"/>
          <w:color w:val="000000"/>
          <w:sz w:val="24"/>
          <w:szCs w:val="24"/>
        </w:rPr>
      </w:pPr>
      <w:r w:rsidRPr="00817F4C">
        <w:rPr>
          <w:rFonts w:ascii="Times New Roman" w:hAnsi="Times New Roman" w:cs="Times New Roman"/>
          <w:color w:val="000000"/>
          <w:sz w:val="24"/>
          <w:szCs w:val="24"/>
        </w:rPr>
        <w:t>No other management agency requires the submission of VMS data from fishermen participating in the federally managed fisheries off Alaska. 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Pr="00BD7237" w:rsidR="008E61C9" w:rsidP="00DF1056" w:rsidRDefault="001477A3" w14:paraId="1AB0270A" w14:textId="77777777">
      <w:pPr>
        <w:pStyle w:val="ListParagraph"/>
        <w:numPr>
          <w:ilvl w:val="0"/>
          <w:numId w:val="7"/>
        </w:numPr>
        <w:tabs>
          <w:tab w:val="left" w:pos="360"/>
        </w:tabs>
        <w:spacing w:before="8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Pr="00817F4C" w:rsidR="00817F4C" w:rsidP="00DF1056" w:rsidRDefault="00817F4C" w14:paraId="23EDF4F8" w14:textId="77777777">
      <w:pPr>
        <w:pStyle w:val="BodyText"/>
        <w:spacing w:before="160" w:after="240"/>
        <w:ind w:left="0"/>
        <w:contextualSpacing/>
        <w:rPr>
          <w:rFonts w:ascii="Times New Roman" w:hAnsi="Times New Roman" w:cs="Times New Roman"/>
        </w:rPr>
      </w:pPr>
      <w:r w:rsidRPr="00817F4C">
        <w:rPr>
          <w:rFonts w:ascii="Times New Roman" w:hAnsi="Times New Roman" w:cs="Times New Roman"/>
          <w:color w:val="000000"/>
        </w:rPr>
        <w:t xml:space="preserve">This collection-of-information does impact some small entities. NMFS has attempted to minimize the burden of the VMS requirements on small entities primarily through the </w:t>
      </w:r>
      <w:r w:rsidRPr="00817F4C">
        <w:rPr>
          <w:rFonts w:ascii="Times New Roman" w:hAnsi="Times New Roman" w:cs="Times New Roman"/>
        </w:rPr>
        <w:t>VMS Reimbursement Program to offset the cost of purchasing a VMS unit. More information about this program is in the response to Question #13.</w:t>
      </w:r>
    </w:p>
    <w:p w:rsidRPr="00BD7237" w:rsidR="008E61C9" w:rsidP="00DF1056" w:rsidRDefault="001477A3" w14:paraId="7ADB8A42" w14:textId="77777777">
      <w:pPr>
        <w:pStyle w:val="ListParagraph"/>
        <w:numPr>
          <w:ilvl w:val="0"/>
          <w:numId w:val="7"/>
        </w:numPr>
        <w:tabs>
          <w:tab w:val="left" w:pos="360"/>
        </w:tabs>
        <w:spacing w:before="80" w:after="24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E23051" w:rsidR="00817F4C" w:rsidP="00DF1056" w:rsidRDefault="00817F4C" w14:paraId="58AC0DF9" w14:textId="2981B11B">
      <w:pPr>
        <w:widowControl/>
        <w:spacing w:after="240"/>
        <w:contextualSpacing/>
        <w:rPr>
          <w:rFonts w:ascii="Times New Roman" w:hAnsi="Times New Roman" w:cs="Times New Roman"/>
        </w:rPr>
      </w:pPr>
      <w:r w:rsidRPr="00817F4C">
        <w:rPr>
          <w:rFonts w:ascii="Times New Roman" w:hAnsi="Times New Roman" w:cs="Times New Roman"/>
          <w:color w:val="000000"/>
          <w:sz w:val="24"/>
          <w:szCs w:val="24"/>
        </w:rPr>
        <w:t xml:space="preserve">The VMS is an integral part of the management of the fisheries in the Alaska Region for reasons described in more detail in the response to Questions #1 and 2. The inability to collect vessel location through VMS would reduce NMFS’s ability to monitor and enforce complex, overlapping, and numerous closure areas, area-specific allocations to individuals and entities, </w:t>
      </w:r>
      <w:r w:rsidRPr="00E23051">
        <w:rPr>
          <w:rFonts w:ascii="Times New Roman" w:hAnsi="Times New Roman" w:cs="Times New Roman"/>
          <w:color w:val="000000"/>
          <w:sz w:val="24"/>
          <w:szCs w:val="24"/>
        </w:rPr>
        <w:t>and other regulatory limitations.</w:t>
      </w:r>
    </w:p>
    <w:p w:rsidR="008E61C9" w:rsidP="00DF1056" w:rsidRDefault="001477A3" w14:paraId="5BA0EAB6" w14:textId="5C1E6D3B">
      <w:pPr>
        <w:pStyle w:val="ListParagraph"/>
        <w:numPr>
          <w:ilvl w:val="0"/>
          <w:numId w:val="7"/>
        </w:numPr>
        <w:tabs>
          <w:tab w:val="left" w:pos="360"/>
        </w:tabs>
        <w:spacing w:before="80"/>
        <w:ind w:left="0" w:firstLine="0"/>
        <w:contextualSpacing/>
        <w:rPr>
          <w:rFonts w:ascii="Times New Roman" w:hAnsi="Times New Roman" w:cs="Times New Roman"/>
          <w:b/>
          <w:sz w:val="24"/>
          <w:szCs w:val="24"/>
        </w:rPr>
      </w:pPr>
      <w:r w:rsidRPr="00E23051">
        <w:rPr>
          <w:rFonts w:ascii="Times New Roman" w:hAnsi="Times New Roman" w:cs="Times New Roman"/>
          <w:b/>
          <w:sz w:val="24"/>
          <w:szCs w:val="24"/>
        </w:rPr>
        <w:t>Explain any special circumstances that would cause an information collection to be conducted in a manner:</w:t>
      </w:r>
    </w:p>
    <w:p w:rsidRPr="00E23051" w:rsidR="004E2E9D" w:rsidP="004E2E9D" w:rsidRDefault="004E2E9D" w14:paraId="165155AA" w14:textId="77777777">
      <w:pPr>
        <w:pStyle w:val="ListParagraph"/>
        <w:tabs>
          <w:tab w:val="left" w:pos="360"/>
        </w:tabs>
        <w:spacing w:before="80"/>
        <w:ind w:left="0" w:firstLine="0"/>
        <w:contextualSpacing/>
        <w:rPr>
          <w:rFonts w:ascii="Times New Roman" w:hAnsi="Times New Roman" w:cs="Times New Roman"/>
          <w:b/>
          <w:sz w:val="24"/>
          <w:szCs w:val="24"/>
        </w:rPr>
      </w:pPr>
    </w:p>
    <w:p w:rsidR="00583C67" w:rsidP="004E2E9D" w:rsidRDefault="00E777C1" w14:paraId="218649C0" w14:textId="0A078F45">
      <w:pPr>
        <w:tabs>
          <w:tab w:val="left" w:pos="360"/>
        </w:tabs>
        <w:spacing w:before="80"/>
        <w:contextualSpacing/>
        <w:rPr>
          <w:rFonts w:ascii="Times New Roman" w:hAnsi="Times New Roman" w:cs="Times New Roman"/>
          <w:sz w:val="24"/>
          <w:szCs w:val="24"/>
        </w:rPr>
      </w:pPr>
      <w:r w:rsidRPr="00E23051">
        <w:rPr>
          <w:rFonts w:ascii="Times New Roman" w:hAnsi="Times New Roman" w:cs="Times New Roman"/>
          <w:sz w:val="24"/>
          <w:szCs w:val="24"/>
        </w:rPr>
        <w:t xml:space="preserve">Although </w:t>
      </w:r>
      <w:r w:rsidRPr="00E23051" w:rsidR="001B543B">
        <w:rPr>
          <w:rFonts w:ascii="Times New Roman" w:hAnsi="Times New Roman" w:cs="Times New Roman"/>
          <w:sz w:val="24"/>
          <w:szCs w:val="24"/>
        </w:rPr>
        <w:t>VMS units transmit the location of a vessel several times per hour</w:t>
      </w:r>
      <w:r w:rsidRPr="00E23051">
        <w:rPr>
          <w:rFonts w:ascii="Times New Roman" w:hAnsi="Times New Roman" w:cs="Times New Roman"/>
          <w:sz w:val="24"/>
          <w:szCs w:val="24"/>
        </w:rPr>
        <w:t xml:space="preserve">, the </w:t>
      </w:r>
      <w:r w:rsidRPr="00E23051" w:rsidR="001B543B">
        <w:rPr>
          <w:rFonts w:ascii="Times New Roman" w:hAnsi="Times New Roman" w:cs="Times New Roman"/>
          <w:sz w:val="24"/>
          <w:szCs w:val="24"/>
        </w:rPr>
        <w:t>VMS</w:t>
      </w:r>
      <w:r w:rsidRPr="001B543B" w:rsidR="001B543B">
        <w:rPr>
          <w:rFonts w:ascii="Times New Roman" w:hAnsi="Times New Roman" w:cs="Times New Roman"/>
          <w:sz w:val="24"/>
          <w:szCs w:val="24"/>
        </w:rPr>
        <w:t xml:space="preserve"> unit is automatic</w:t>
      </w:r>
      <w:r>
        <w:rPr>
          <w:rFonts w:ascii="Times New Roman" w:hAnsi="Times New Roman" w:cs="Times New Roman"/>
          <w:sz w:val="24"/>
          <w:szCs w:val="24"/>
        </w:rPr>
        <w:t xml:space="preserve"> and</w:t>
      </w:r>
      <w:r w:rsidRPr="001B543B" w:rsidR="001B543B">
        <w:rPr>
          <w:rFonts w:ascii="Times New Roman" w:hAnsi="Times New Roman" w:cs="Times New Roman"/>
          <w:sz w:val="24"/>
          <w:szCs w:val="24"/>
        </w:rPr>
        <w:t xml:space="preserve"> requir</w:t>
      </w:r>
      <w:r>
        <w:rPr>
          <w:rFonts w:ascii="Times New Roman" w:hAnsi="Times New Roman" w:cs="Times New Roman"/>
          <w:sz w:val="24"/>
          <w:szCs w:val="24"/>
        </w:rPr>
        <w:t>es</w:t>
      </w:r>
      <w:r w:rsidRPr="001B543B" w:rsidR="001B543B">
        <w:rPr>
          <w:rFonts w:ascii="Times New Roman" w:hAnsi="Times New Roman" w:cs="Times New Roman"/>
          <w:sz w:val="24"/>
          <w:szCs w:val="24"/>
        </w:rPr>
        <w:t xml:space="preserve"> no reporting effort by the vessel operator.</w:t>
      </w:r>
      <w:r>
        <w:rPr>
          <w:rFonts w:ascii="Times New Roman" w:hAnsi="Times New Roman" w:cs="Times New Roman"/>
          <w:sz w:val="24"/>
          <w:szCs w:val="24"/>
        </w:rPr>
        <w:t xml:space="preserve"> Therefore, t</w:t>
      </w:r>
      <w:r w:rsidR="00FA2F9E">
        <w:rPr>
          <w:rFonts w:ascii="Times New Roman" w:hAnsi="Times New Roman" w:cs="Times New Roman"/>
          <w:sz w:val="24"/>
          <w:szCs w:val="24"/>
        </w:rPr>
        <w:t>his information collection does not</w:t>
      </w:r>
      <w:r w:rsidRPr="0082262E" w:rsidDel="00583C67" w:rsidR="00FA2F9E">
        <w:rPr>
          <w:rFonts w:ascii="Times New Roman" w:hAnsi="Times New Roman" w:cs="Times New Roman"/>
          <w:sz w:val="24"/>
          <w:szCs w:val="24"/>
        </w:rPr>
        <w:t xml:space="preserve"> </w:t>
      </w:r>
      <w:r w:rsidR="00FA2F9E">
        <w:rPr>
          <w:rFonts w:ascii="Times New Roman" w:hAnsi="Times New Roman" w:cs="Times New Roman"/>
          <w:sz w:val="24"/>
          <w:szCs w:val="24"/>
        </w:rPr>
        <w:t>r</w:t>
      </w:r>
      <w:r w:rsidRPr="0082262E" w:rsidR="00583C67">
        <w:rPr>
          <w:rFonts w:ascii="Times New Roman" w:hAnsi="Times New Roman" w:cs="Times New Roman"/>
          <w:sz w:val="24"/>
          <w:szCs w:val="24"/>
        </w:rPr>
        <w:t>equir</w:t>
      </w:r>
      <w:r w:rsidR="00583C67">
        <w:rPr>
          <w:rFonts w:ascii="Times New Roman" w:hAnsi="Times New Roman" w:cs="Times New Roman"/>
          <w:sz w:val="24"/>
          <w:szCs w:val="24"/>
        </w:rPr>
        <w:t>e</w:t>
      </w:r>
      <w:r w:rsidRPr="0082262E" w:rsidR="00583C67">
        <w:rPr>
          <w:rFonts w:ascii="Times New Roman" w:hAnsi="Times New Roman" w:cs="Times New Roman"/>
          <w:sz w:val="24"/>
          <w:szCs w:val="24"/>
        </w:rPr>
        <w:t xml:space="preserve"> respondents to report information to the agency more often than</w:t>
      </w:r>
      <w:r w:rsidRPr="0082262E" w:rsidR="00583C67">
        <w:rPr>
          <w:rFonts w:ascii="Times New Roman" w:hAnsi="Times New Roman" w:cs="Times New Roman"/>
          <w:spacing w:val="-16"/>
          <w:sz w:val="24"/>
          <w:szCs w:val="24"/>
        </w:rPr>
        <w:t xml:space="preserve"> </w:t>
      </w:r>
      <w:r w:rsidR="00800CAF">
        <w:rPr>
          <w:rFonts w:ascii="Times New Roman" w:hAnsi="Times New Roman" w:cs="Times New Roman"/>
          <w:sz w:val="24"/>
          <w:szCs w:val="24"/>
        </w:rPr>
        <w:t>quarterly.</w:t>
      </w:r>
    </w:p>
    <w:p w:rsidRPr="0082262E" w:rsidR="00800CAF" w:rsidP="00800CAF" w:rsidRDefault="00800CAF" w14:paraId="5B180135" w14:textId="77777777">
      <w:pPr>
        <w:pStyle w:val="ListParagraph"/>
        <w:spacing w:before="120" w:after="240"/>
        <w:ind w:left="720" w:firstLine="0"/>
        <w:contextualSpacing/>
        <w:rPr>
          <w:rFonts w:ascii="Times New Roman" w:hAnsi="Times New Roman" w:cs="Times New Roman"/>
          <w:sz w:val="24"/>
          <w:szCs w:val="24"/>
        </w:rPr>
      </w:pPr>
    </w:p>
    <w:p w:rsidRPr="00BD7237" w:rsidR="008E61C9" w:rsidP="004E2E9D" w:rsidRDefault="001477A3" w14:paraId="51B631C6" w14:textId="7D10014E">
      <w:pPr>
        <w:pStyle w:val="ListParagraph"/>
        <w:numPr>
          <w:ilvl w:val="0"/>
          <w:numId w:val="7"/>
        </w:numPr>
        <w:tabs>
          <w:tab w:val="left" w:pos="360"/>
        </w:tabs>
        <w:spacing w:before="80"/>
        <w:contextualSpacing/>
        <w:rPr>
          <w:rFonts w:ascii="Times New Roman" w:hAnsi="Times New Roman" w:cs="Times New Roman"/>
          <w:b/>
          <w:sz w:val="24"/>
          <w:szCs w:val="24"/>
        </w:rPr>
      </w:pPr>
      <w:r w:rsidRPr="00BD7237">
        <w:rPr>
          <w:rFonts w:ascii="Times New Roman" w:hAnsi="Times New Roman" w:cs="Times New Roman"/>
          <w:b/>
          <w:sz w:val="24"/>
          <w:szCs w:val="24"/>
        </w:rPr>
        <w:lastRenderedPageBreak/>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83C67" w:rsidP="00DF1056" w:rsidRDefault="00583C67" w14:paraId="600A67A8" w14:textId="73558604">
      <w:pPr>
        <w:pStyle w:val="NormalWeb"/>
        <w:shd w:val="clear" w:color="auto" w:fill="FFFFFF"/>
        <w:spacing w:before="240" w:beforeAutospacing="0" w:after="240" w:afterAutospacing="0"/>
        <w:rPr>
          <w:color w:val="000000"/>
        </w:rPr>
      </w:pPr>
      <w:r>
        <w:rPr>
          <w:color w:val="000000"/>
        </w:rPr>
        <w:t xml:space="preserve">NMFS Alaska Region published a </w:t>
      </w:r>
      <w:r w:rsidR="00D62368">
        <w:rPr>
          <w:color w:val="000000"/>
        </w:rPr>
        <w:t xml:space="preserve">notice </w:t>
      </w:r>
      <w:r>
        <w:rPr>
          <w:color w:val="000000"/>
        </w:rPr>
        <w:t xml:space="preserve">in the </w:t>
      </w:r>
      <w:r>
        <w:rPr>
          <w:i/>
          <w:iCs/>
          <w:color w:val="000000"/>
        </w:rPr>
        <w:t>Federal Register</w:t>
      </w:r>
      <w:r>
        <w:rPr>
          <w:color w:val="000000"/>
        </w:rPr>
        <w:t xml:space="preserve"> on </w:t>
      </w:r>
      <w:r w:rsidR="005C14AE">
        <w:rPr>
          <w:color w:val="000000"/>
        </w:rPr>
        <w:t>June 24</w:t>
      </w:r>
      <w:r w:rsidRPr="00D62368">
        <w:rPr>
          <w:color w:val="000000"/>
        </w:rPr>
        <w:t>, 2020 (</w:t>
      </w:r>
      <w:r w:rsidRPr="001D2D88" w:rsidR="001D2D88">
        <w:rPr>
          <w:color w:val="000000"/>
        </w:rPr>
        <w:t>85 FR 37879</w:t>
      </w:r>
      <w:r w:rsidRPr="00D62368">
        <w:rPr>
          <w:color w:val="000000"/>
        </w:rPr>
        <w:t>)</w:t>
      </w:r>
      <w:r w:rsidR="001D2D88">
        <w:rPr>
          <w:color w:val="000000"/>
        </w:rPr>
        <w:t>,</w:t>
      </w:r>
      <w:r w:rsidRPr="00D62368" w:rsidR="00D62368">
        <w:rPr>
          <w:color w:val="000000"/>
        </w:rPr>
        <w:t xml:space="preserve"> t</w:t>
      </w:r>
      <w:r w:rsidR="00D62368">
        <w:rPr>
          <w:color w:val="000000"/>
        </w:rPr>
        <w:t>o solicit public comments</w:t>
      </w:r>
      <w:r>
        <w:rPr>
          <w:color w:val="000000"/>
        </w:rPr>
        <w:t xml:space="preserve">. The comment period ended on </w:t>
      </w:r>
      <w:r w:rsidR="005C14AE">
        <w:rPr>
          <w:color w:val="000000"/>
        </w:rPr>
        <w:t>August 24</w:t>
      </w:r>
      <w:r w:rsidRPr="00D62368">
        <w:rPr>
          <w:color w:val="000000"/>
        </w:rPr>
        <w:t>, 20</w:t>
      </w:r>
      <w:r w:rsidRPr="00D62368" w:rsidR="00FC40D9">
        <w:rPr>
          <w:color w:val="000000"/>
        </w:rPr>
        <w:t>20</w:t>
      </w:r>
      <w:r w:rsidRPr="00D62368">
        <w:rPr>
          <w:color w:val="000000"/>
        </w:rPr>
        <w:t xml:space="preserve">. </w:t>
      </w:r>
      <w:r w:rsidR="007A27E7">
        <w:rPr>
          <w:color w:val="000000"/>
        </w:rPr>
        <w:t xml:space="preserve">One </w:t>
      </w:r>
      <w:r w:rsidRPr="00E001E3">
        <w:rPr>
          <w:color w:val="000000"/>
        </w:rPr>
        <w:t>comment</w:t>
      </w:r>
      <w:r w:rsidR="007A27E7">
        <w:rPr>
          <w:color w:val="000000"/>
        </w:rPr>
        <w:t xml:space="preserve"> </w:t>
      </w:r>
      <w:r w:rsidRPr="00E001E3">
        <w:rPr>
          <w:color w:val="000000"/>
        </w:rPr>
        <w:t>w</w:t>
      </w:r>
      <w:r w:rsidR="007A27E7">
        <w:rPr>
          <w:color w:val="000000"/>
        </w:rPr>
        <w:t>as</w:t>
      </w:r>
      <w:r w:rsidRPr="00E001E3">
        <w:rPr>
          <w:color w:val="000000"/>
        </w:rPr>
        <w:t xml:space="preserve"> received on the information collection requirements in this request.</w:t>
      </w:r>
      <w:r w:rsidR="007A27E7">
        <w:rPr>
          <w:color w:val="000000"/>
        </w:rPr>
        <w:t xml:space="preserve"> The commenter supports the continuation of this collection and acknowledged that the time and cost burden estimates are accurate.</w:t>
      </w:r>
    </w:p>
    <w:p w:rsidR="007E6A0A" w:rsidP="00DF1056" w:rsidRDefault="00AF1EAB" w14:paraId="788FC60F" w14:textId="25F113E4">
      <w:pPr>
        <w:pStyle w:val="NormalWeb"/>
        <w:shd w:val="clear" w:color="auto" w:fill="FFFFFF"/>
        <w:spacing w:before="240" w:beforeAutospacing="0" w:after="240" w:afterAutospacing="0"/>
        <w:rPr>
          <w:color w:val="000000"/>
        </w:rPr>
      </w:pPr>
      <w:r>
        <w:rPr>
          <w:color w:val="000000"/>
        </w:rPr>
        <w:t xml:space="preserve">In addition, </w:t>
      </w:r>
      <w:r w:rsidR="00D62368">
        <w:rPr>
          <w:color w:val="000000"/>
        </w:rPr>
        <w:t xml:space="preserve">NMFS contacted </w:t>
      </w:r>
      <w:r w:rsidR="007E6A0A">
        <w:rPr>
          <w:color w:val="000000"/>
        </w:rPr>
        <w:t>representatives of the a</w:t>
      </w:r>
      <w:r w:rsidR="007A27E7">
        <w:rPr>
          <w:color w:val="000000"/>
        </w:rPr>
        <w:t xml:space="preserve">ffected </w:t>
      </w:r>
      <w:r w:rsidR="007E6A0A">
        <w:rPr>
          <w:color w:val="000000"/>
        </w:rPr>
        <w:t>fishing fleets</w:t>
      </w:r>
      <w:r w:rsidR="007A27E7">
        <w:rPr>
          <w:color w:val="000000"/>
        </w:rPr>
        <w:t xml:space="preserve"> to this information </w:t>
      </w:r>
      <w:r w:rsidR="007E6A0A">
        <w:rPr>
          <w:color w:val="000000"/>
        </w:rPr>
        <w:t xml:space="preserve">collection via email. One responded by submitting a comment to the </w:t>
      </w:r>
      <w:r w:rsidRPr="00874100" w:rsidR="007E6A0A">
        <w:rPr>
          <w:i/>
          <w:color w:val="000000"/>
        </w:rPr>
        <w:t>Federal Register</w:t>
      </w:r>
      <w:r w:rsidR="007E6A0A">
        <w:rPr>
          <w:color w:val="000000"/>
        </w:rPr>
        <w:t>, as noted above. No other responses were received.</w:t>
      </w:r>
    </w:p>
    <w:p w:rsidRPr="00BD7237" w:rsidR="00D62368" w:rsidP="00DF1056" w:rsidRDefault="00D62368" w14:paraId="2A2CF359" w14:textId="0A49F50C">
      <w:pPr>
        <w:pStyle w:val="NormalWeb"/>
        <w:shd w:val="clear" w:color="auto" w:fill="FFFFFF"/>
        <w:spacing w:before="240" w:beforeAutospacing="0" w:after="240" w:afterAutospacing="0"/>
      </w:pPr>
      <w:r>
        <w:rPr>
          <w:color w:val="000000"/>
        </w:rPr>
        <w:t xml:space="preserve">In 2019, the proposed and final rules for </w:t>
      </w:r>
      <w:r w:rsidRPr="00D62368">
        <w:rPr>
          <w:color w:val="000000"/>
        </w:rPr>
        <w:t>Amendment 118 to the Fishery Management Plan for Groundfish of the Bering Sea and Aleutian Islands Management Area</w:t>
      </w:r>
      <w:r>
        <w:rPr>
          <w:color w:val="000000"/>
        </w:rPr>
        <w:t xml:space="preserve"> </w:t>
      </w:r>
      <w:r w:rsidRPr="00D62368" w:rsidR="00AF1EAB">
        <w:rPr>
          <w:color w:val="000000"/>
        </w:rPr>
        <w:t xml:space="preserve">(RIN 0648-BI65) </w:t>
      </w:r>
      <w:r>
        <w:rPr>
          <w:color w:val="000000"/>
        </w:rPr>
        <w:t xml:space="preserve">solicited comments on the revisions to </w:t>
      </w:r>
      <w:r w:rsidR="00AF1EAB">
        <w:rPr>
          <w:color w:val="000000"/>
        </w:rPr>
        <w:t xml:space="preserve">this collection </w:t>
      </w:r>
      <w:r>
        <w:rPr>
          <w:color w:val="000000"/>
        </w:rPr>
        <w:t>due to the rulemaking</w:t>
      </w:r>
      <w:r w:rsidR="00AF1EAB">
        <w:rPr>
          <w:color w:val="000000"/>
        </w:rPr>
        <w:t xml:space="preserve">, as well as comments on </w:t>
      </w:r>
      <w:r w:rsidR="00874100">
        <w:rPr>
          <w:color w:val="000000"/>
        </w:rPr>
        <w:t>other aspects of this collection. No comments on this</w:t>
      </w:r>
      <w:r>
        <w:rPr>
          <w:color w:val="000000"/>
        </w:rPr>
        <w:t xml:space="preserve"> information collection were received. </w:t>
      </w:r>
    </w:p>
    <w:p w:rsidRPr="00BD7237" w:rsidR="008E61C9" w:rsidP="00DF1056" w:rsidRDefault="001477A3" w14:paraId="68FB1B20" w14:textId="77777777">
      <w:pPr>
        <w:pStyle w:val="ListParagraph"/>
        <w:numPr>
          <w:ilvl w:val="0"/>
          <w:numId w:val="7"/>
        </w:numPr>
        <w:tabs>
          <w:tab w:val="left" w:pos="360"/>
        </w:tabs>
        <w:spacing w:before="8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817F4C" w:rsidR="00817F4C" w:rsidP="00DF1056" w:rsidRDefault="00817F4C" w14:paraId="044C8540" w14:textId="77777777">
      <w:pPr>
        <w:widowControl/>
        <w:spacing w:before="240" w:after="240"/>
        <w:contextualSpacing/>
        <w:rPr>
          <w:rFonts w:ascii="Times New Roman" w:hAnsi="Times New Roman" w:cs="Times New Roman"/>
          <w:color w:val="000000"/>
          <w:sz w:val="24"/>
          <w:szCs w:val="24"/>
        </w:rPr>
      </w:pPr>
      <w:r w:rsidRPr="00817F4C">
        <w:rPr>
          <w:rFonts w:ascii="Times New Roman" w:hAnsi="Times New Roman" w:cs="Times New Roman"/>
          <w:color w:val="000000"/>
          <w:sz w:val="24"/>
          <w:szCs w:val="24"/>
        </w:rPr>
        <w:t>No payment or gift to respondents is provided under this program.</w:t>
      </w:r>
    </w:p>
    <w:p w:rsidRPr="00BD7237" w:rsidR="008E61C9" w:rsidP="00DF1056" w:rsidRDefault="001477A3" w14:paraId="06A0ADF0" w14:textId="77777777">
      <w:pPr>
        <w:pStyle w:val="ListParagraph"/>
        <w:numPr>
          <w:ilvl w:val="0"/>
          <w:numId w:val="7"/>
        </w:numPr>
        <w:tabs>
          <w:tab w:val="left" w:pos="360"/>
        </w:tabs>
        <w:spacing w:before="8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817F4C" w:rsidR="00817F4C" w:rsidP="00DF1056" w:rsidRDefault="00817F4C" w14:paraId="1B83A759" w14:textId="6470C2B6">
      <w:pPr>
        <w:widowControl/>
        <w:spacing w:before="240" w:after="240"/>
        <w:rPr>
          <w:rFonts w:ascii="Times New Roman" w:hAnsi="Times New Roman" w:cs="Times New Roman"/>
          <w:color w:val="000000"/>
          <w:sz w:val="24"/>
          <w:szCs w:val="24"/>
        </w:rPr>
      </w:pPr>
      <w:r w:rsidRPr="00817F4C">
        <w:rPr>
          <w:rFonts w:ascii="Times New Roman" w:hAnsi="Times New Roman" w:cs="Times New Roman"/>
          <w:color w:val="000000"/>
          <w:sz w:val="24"/>
          <w:szCs w:val="24"/>
        </w:rPr>
        <w:t xml:space="preserve">All VMS units include systems to minimize the risk of direct or inadvertent disclosure of vessel position. </w:t>
      </w:r>
      <w:r w:rsidRPr="00817F4C">
        <w:rPr>
          <w:rFonts w:ascii="Times New Roman" w:hAnsi="Times New Roman" w:cs="Times New Roman"/>
          <w:color w:val="000000"/>
          <w:sz w:val="24"/>
          <w:szCs w:val="24"/>
          <w:lang w:val="en-CA"/>
        </w:rPr>
        <w:t>T</w:t>
      </w:r>
      <w:r w:rsidRPr="00817F4C">
        <w:rPr>
          <w:rFonts w:ascii="Times New Roman" w:hAnsi="Times New Roman" w:cs="Times New Roman"/>
          <w:color w:val="000000"/>
          <w:sz w:val="24"/>
          <w:szCs w:val="24"/>
        </w:rPr>
        <w:t xml:space="preserve">he information collected, including VMS transmissions, is confidential under section 402(b) of the Magnuson-Stevens Act (16 U.S.C. 1881a </w:t>
      </w:r>
      <w:r w:rsidRPr="00817F4C">
        <w:rPr>
          <w:rFonts w:ascii="Times New Roman" w:hAnsi="Times New Roman" w:cs="Times New Roman"/>
          <w:i/>
          <w:iCs/>
          <w:color w:val="000000"/>
          <w:sz w:val="24"/>
          <w:szCs w:val="24"/>
        </w:rPr>
        <w:t>et seq</w:t>
      </w:r>
      <w:r w:rsidRPr="00817F4C">
        <w:rPr>
          <w:rFonts w:ascii="Times New Roman" w:hAnsi="Times New Roman" w:cs="Times New Roman"/>
          <w:color w:val="000000"/>
          <w:sz w:val="24"/>
          <w:szCs w:val="24"/>
        </w:rPr>
        <w:t xml:space="preserve">.), and also under </w:t>
      </w:r>
      <w:hyperlink w:history="1" r:id="rId16">
        <w:r w:rsidRPr="00817F4C">
          <w:rPr>
            <w:rStyle w:val="Hyperlink"/>
            <w:rFonts w:ascii="Times New Roman" w:hAnsi="Times New Roman" w:cs="Times New Roman"/>
            <w:color w:val="000000"/>
            <w:sz w:val="24"/>
            <w:szCs w:val="24"/>
          </w:rPr>
          <w:t>NOAA Administrative Order (NAO) 216-100</w:t>
        </w:r>
      </w:hyperlink>
      <w:r w:rsidRPr="00817F4C">
        <w:rPr>
          <w:rFonts w:ascii="Times New Roman" w:hAnsi="Times New Roman" w:cs="Times New Roman"/>
          <w:color w:val="000000"/>
          <w:sz w:val="24"/>
          <w:szCs w:val="24"/>
        </w:rPr>
        <w:t>, which sets forth procedures to protect confidentiality of fishery statistics.</w:t>
      </w:r>
    </w:p>
    <w:p w:rsidR="00817F4C" w:rsidP="00DF1056" w:rsidRDefault="00817F4C" w14:paraId="24B7B782" w14:textId="5678A4A9">
      <w:pPr>
        <w:widowControl/>
        <w:spacing w:before="240" w:after="240"/>
        <w:contextualSpacing/>
        <w:rPr>
          <w:rStyle w:val="Hyperlink"/>
          <w:rFonts w:ascii="Times New Roman" w:hAnsi="Times New Roman" w:cs="Times New Roman"/>
          <w:sz w:val="24"/>
          <w:szCs w:val="24"/>
        </w:rPr>
      </w:pPr>
      <w:r w:rsidRPr="00817F4C">
        <w:rPr>
          <w:rFonts w:ascii="Times New Roman" w:hAnsi="Times New Roman" w:cs="Times New Roman"/>
          <w:color w:val="000000"/>
          <w:sz w:val="24"/>
          <w:szCs w:val="24"/>
        </w:rPr>
        <w:t xml:space="preserve">All information collected is part of a Privacy Act system of records: </w:t>
      </w:r>
      <w:hyperlink w:history="1" r:id="rId17">
        <w:r w:rsidRPr="00817F4C">
          <w:rPr>
            <w:rStyle w:val="Hyperlink"/>
            <w:rFonts w:ascii="Times New Roman" w:hAnsi="Times New Roman" w:cs="Times New Roman"/>
            <w:sz w:val="24"/>
            <w:szCs w:val="24"/>
          </w:rPr>
          <w:t>COMMERCE/NOAA #6: Fishermen's Statistical Data.</w:t>
        </w:r>
      </w:hyperlink>
    </w:p>
    <w:p w:rsidR="00B31285" w:rsidP="00DF1056" w:rsidRDefault="00B31285" w14:paraId="6D51C893" w14:textId="2EE9912D">
      <w:pPr>
        <w:pStyle w:val="BodyText"/>
        <w:spacing w:before="158"/>
        <w:ind w:left="0"/>
        <w:contextualSpacing/>
        <w:rPr>
          <w:rFonts w:ascii="Times New Roman" w:hAnsi="Times New Roman" w:cs="Times New Roman"/>
        </w:rPr>
      </w:pPr>
      <w:r w:rsidRPr="00E823AD">
        <w:rPr>
          <w:rFonts w:ascii="Times New Roman" w:hAnsi="Times New Roman" w:cs="Times New Roman"/>
        </w:rPr>
        <w:t xml:space="preserve">The Privacy Impact Assessment that covers this information collection is </w:t>
      </w:r>
      <w:hyperlink w:history="1" r:id="rId18">
        <w:r w:rsidRPr="00E823AD">
          <w:rPr>
            <w:rStyle w:val="Hyperlink"/>
            <w:rFonts w:ascii="Times New Roman" w:hAnsi="Times New Roman" w:cs="Times New Roman"/>
          </w:rPr>
          <w:t>NOAA NMFS Alaska Region Local Area Network (NOAA4700)</w:t>
        </w:r>
      </w:hyperlink>
      <w:r>
        <w:rPr>
          <w:rFonts w:ascii="Times New Roman" w:hAnsi="Times New Roman" w:cs="Times New Roman"/>
        </w:rPr>
        <w:t>.</w:t>
      </w:r>
    </w:p>
    <w:p w:rsidRPr="00817F4C" w:rsidR="00B31285" w:rsidP="00DF1056" w:rsidRDefault="00B31285" w14:paraId="517338E6" w14:textId="77777777">
      <w:pPr>
        <w:pStyle w:val="BodyText"/>
        <w:spacing w:before="158"/>
        <w:ind w:left="0"/>
        <w:contextualSpacing/>
        <w:rPr>
          <w:rFonts w:ascii="Times New Roman" w:hAnsi="Times New Roman" w:cs="Times New Roman"/>
        </w:rPr>
      </w:pPr>
    </w:p>
    <w:p w:rsidRPr="00BD7237" w:rsidR="008E61C9" w:rsidP="00DF1056" w:rsidRDefault="001477A3" w14:paraId="3707B637" w14:textId="77777777">
      <w:pPr>
        <w:pStyle w:val="ListParagraph"/>
        <w:numPr>
          <w:ilvl w:val="0"/>
          <w:numId w:val="7"/>
        </w:numPr>
        <w:tabs>
          <w:tab w:val="left" w:pos="360"/>
        </w:tabs>
        <w:spacing w:before="8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BD7237">
        <w:rPr>
          <w:rFonts w:ascii="Times New Roman" w:hAnsi="Times New Roman" w:cs="Times New Roman"/>
          <w:b/>
          <w:sz w:val="24"/>
          <w:szCs w:val="24"/>
        </w:rPr>
        <w:lastRenderedPageBreak/>
        <w:t>obtain their consent.</w:t>
      </w:r>
    </w:p>
    <w:p w:rsidRPr="00A34A09" w:rsidR="00D64DF9" w:rsidP="00DF1056" w:rsidRDefault="00A34A09" w14:paraId="3DE63A77" w14:textId="54ABD4B2">
      <w:pPr>
        <w:spacing w:before="240"/>
        <w:contextualSpacing/>
        <w:rPr>
          <w:rFonts w:ascii="Times New Roman" w:hAnsi="Times New Roman" w:cs="Times New Roman"/>
          <w:color w:val="2F5496"/>
          <w:sz w:val="24"/>
          <w:szCs w:val="24"/>
        </w:rPr>
        <w:sectPr w:rsidRPr="00A34A09" w:rsidR="00D64DF9" w:rsidSect="00E777C1">
          <w:footerReference w:type="default" r:id="rId19"/>
          <w:pgSz w:w="12240" w:h="15840"/>
          <w:pgMar w:top="1080" w:right="1440" w:bottom="1440" w:left="1440" w:header="0" w:footer="1008" w:gutter="0"/>
          <w:cols w:space="720"/>
          <w:docGrid w:linePitch="299"/>
        </w:sectPr>
      </w:pPr>
      <w:r w:rsidRPr="00A34A09">
        <w:rPr>
          <w:rFonts w:ascii="Times New Roman" w:hAnsi="Times New Roman" w:cs="Times New Roman"/>
          <w:color w:val="000000"/>
          <w:sz w:val="24"/>
          <w:szCs w:val="24"/>
        </w:rPr>
        <w:t>This information collection does not involve information of a sensitive nature</w:t>
      </w:r>
      <w:r w:rsidR="00FC40D9">
        <w:rPr>
          <w:rFonts w:ascii="Times New Roman" w:hAnsi="Times New Roman" w:cs="Times New Roman"/>
          <w:color w:val="000000"/>
          <w:sz w:val="24"/>
          <w:szCs w:val="24"/>
        </w:rPr>
        <w:t>.</w:t>
      </w:r>
    </w:p>
    <w:p w:rsidRPr="00BD7237" w:rsidR="008E61C9" w:rsidP="00DF1056" w:rsidRDefault="001477A3" w14:paraId="445DC2F1" w14:textId="77777777">
      <w:pPr>
        <w:pStyle w:val="ListParagraph"/>
        <w:numPr>
          <w:ilvl w:val="0"/>
          <w:numId w:val="7"/>
        </w:numPr>
        <w:tabs>
          <w:tab w:val="left" w:pos="360"/>
        </w:tabs>
        <w:spacing w:before="8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lastRenderedPageBreak/>
        <w:t>Provide estimates of the hour burden of the collection of information.</w:t>
      </w:r>
    </w:p>
    <w:p w:rsidRPr="009F1BDD" w:rsidR="009C1E49" w:rsidP="00DF1056" w:rsidRDefault="009C1E49" w14:paraId="395DB455" w14:textId="7043A18B">
      <w:pPr>
        <w:widowControl/>
        <w:autoSpaceDE/>
        <w:autoSpaceDN/>
        <w:spacing w:after="240"/>
        <w:contextualSpacing/>
        <w:rPr>
          <w:rFonts w:ascii="Times New Roman" w:hAnsi="Times New Roman" w:eastAsia="Times New Roman" w:cs="Times New Roman"/>
          <w:lang w:bidi="ar-SA"/>
        </w:rPr>
      </w:pPr>
    </w:p>
    <w:tbl>
      <w:tblPr>
        <w:tblW w:w="12915" w:type="dxa"/>
        <w:jc w:val="center"/>
        <w:tblCellMar>
          <w:top w:w="15" w:type="dxa"/>
          <w:left w:w="15" w:type="dxa"/>
          <w:bottom w:w="15" w:type="dxa"/>
          <w:right w:w="15" w:type="dxa"/>
        </w:tblCellMar>
        <w:tblLook w:val="04A0" w:firstRow="1" w:lastRow="0" w:firstColumn="1" w:lastColumn="0" w:noHBand="0" w:noVBand="1"/>
      </w:tblPr>
      <w:tblGrid>
        <w:gridCol w:w="2700"/>
        <w:gridCol w:w="1455"/>
        <w:gridCol w:w="1455"/>
        <w:gridCol w:w="1054"/>
        <w:gridCol w:w="949"/>
        <w:gridCol w:w="880"/>
        <w:gridCol w:w="1902"/>
        <w:gridCol w:w="990"/>
        <w:gridCol w:w="1530"/>
      </w:tblGrid>
      <w:tr w:rsidRPr="009C1E49" w:rsidR="00B5373E" w:rsidTr="00476D43" w14:paraId="0DAFB1D3" w14:textId="77777777">
        <w:trPr>
          <w:trHeight w:val="938"/>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Pr="00331850" w:rsidR="00B5373E" w:rsidP="00DF1056" w:rsidRDefault="00B5373E" w14:paraId="5ADBEA3B" w14:textId="77777777">
            <w:pPr>
              <w:widowControl/>
              <w:autoSpaceDE/>
              <w:autoSpaceDN/>
              <w:contextualSpacing/>
              <w:jc w:val="center"/>
              <w:rPr>
                <w:rFonts w:eastAsia="Times New Roman" w:asciiTheme="minorHAnsi" w:hAnsiTheme="minorHAnsi" w:cstheme="minorHAnsi"/>
                <w:sz w:val="16"/>
                <w:szCs w:val="16"/>
                <w:lang w:bidi="ar-SA"/>
              </w:rPr>
            </w:pPr>
            <w:r w:rsidRPr="00331850">
              <w:rPr>
                <w:rFonts w:eastAsia="Times New Roman" w:asciiTheme="minorHAnsi" w:hAnsiTheme="minorHAnsi" w:cstheme="minorHAnsi"/>
                <w:b/>
                <w:bCs/>
                <w:color w:val="000000"/>
                <w:sz w:val="16"/>
                <w:szCs w:val="16"/>
                <w:lang w:bidi="ar-SA"/>
              </w:rPr>
              <w:t>Information Collection</w:t>
            </w:r>
          </w:p>
        </w:tc>
        <w:tc>
          <w:tcPr>
            <w:tcW w:w="1455" w:type="dxa"/>
            <w:tcBorders>
              <w:top w:val="single" w:color="000000" w:sz="4" w:space="0"/>
              <w:left w:val="single" w:color="000000" w:sz="4" w:space="0"/>
              <w:bottom w:val="single" w:color="000000" w:sz="4" w:space="0"/>
              <w:right w:val="single" w:color="000000" w:sz="4" w:space="0"/>
            </w:tcBorders>
            <w:shd w:val="clear" w:color="auto" w:fill="DEEAF6"/>
            <w:vAlign w:val="center"/>
          </w:tcPr>
          <w:p w:rsidRPr="00D64DF9" w:rsidR="00B5373E" w:rsidP="00DF1056" w:rsidRDefault="00B5373E" w14:paraId="09DE43BF" w14:textId="4B3856F5">
            <w:pPr>
              <w:widowControl/>
              <w:autoSpaceDE/>
              <w:autoSpaceDN/>
              <w:contextualSpacing/>
              <w:jc w:val="center"/>
              <w:rPr>
                <w:rFonts w:ascii="Calibri" w:hAnsi="Calibri" w:eastAsia="Times New Roman" w:cs="Calibri"/>
                <w:b/>
                <w:bCs/>
                <w:color w:val="000000"/>
                <w:sz w:val="16"/>
                <w:szCs w:val="16"/>
                <w:lang w:bidi="ar-SA"/>
              </w:rPr>
            </w:pPr>
            <w:r w:rsidRPr="00CF413B">
              <w:rPr>
                <w:rFonts w:ascii="Calibri" w:hAnsi="Calibri" w:cs="Calibri"/>
                <w:b/>
                <w:bCs/>
                <w:color w:val="000000"/>
                <w:sz w:val="16"/>
                <w:szCs w:val="16"/>
              </w:rPr>
              <w:t>Type of Respondent (e.g., Profession)</w:t>
            </w:r>
          </w:p>
        </w:tc>
        <w:tc>
          <w:tcPr>
            <w:tcW w:w="1455" w:type="dxa"/>
            <w:tcBorders>
              <w:top w:val="single"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00B5373E" w:rsidP="00DF1056" w:rsidRDefault="00B5373E" w14:paraId="61CA11FD" w14:textId="64A78676">
            <w:pPr>
              <w:widowControl/>
              <w:autoSpaceDE/>
              <w:autoSpaceDN/>
              <w:contextualSpacing/>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p>
          <w:p w:rsidRPr="00331850" w:rsidR="00B5373E" w:rsidP="00DF1056" w:rsidRDefault="00B5373E" w14:paraId="41B5D2F8" w14:textId="6FE93CB0">
            <w:pPr>
              <w:widowControl/>
              <w:autoSpaceDE/>
              <w:autoSpaceDN/>
              <w:contextualSpacing/>
              <w:jc w:val="center"/>
              <w:rPr>
                <w:rFonts w:eastAsia="Times New Roman" w:asciiTheme="minorHAnsi" w:hAnsiTheme="minorHAnsi" w:cstheme="minorHAnsi"/>
                <w:sz w:val="16"/>
                <w:szCs w:val="16"/>
                <w:lang w:bidi="ar-SA"/>
              </w:rPr>
            </w:pPr>
            <w:r w:rsidRPr="00D64DF9">
              <w:rPr>
                <w:rFonts w:ascii="Calibri" w:hAnsi="Calibri" w:eastAsia="Times New Roman" w:cs="Calibri"/>
                <w:b/>
                <w:bCs/>
                <w:color w:val="000000"/>
                <w:sz w:val="16"/>
                <w:szCs w:val="16"/>
                <w:lang w:bidi="ar-SA"/>
              </w:rPr>
              <w:t>(a)</w:t>
            </w:r>
          </w:p>
        </w:tc>
        <w:tc>
          <w:tcPr>
            <w:tcW w:w="0" w:type="auto"/>
            <w:tcBorders>
              <w:top w:val="single"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00B5373E" w:rsidP="00DF1056" w:rsidRDefault="00B5373E" w14:paraId="19D6546A" w14:textId="0E37E1EE">
            <w:pPr>
              <w:widowControl/>
              <w:autoSpaceDE/>
              <w:autoSpaceDN/>
              <w:contextualSpacing/>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Annual # of Responses</w:t>
            </w:r>
            <w:r w:rsidRPr="00D64DF9">
              <w:rPr>
                <w:rFonts w:ascii="Calibri" w:hAnsi="Calibri" w:eastAsia="Times New Roman" w:cs="Calibri"/>
                <w:b/>
                <w:bCs/>
                <w:color w:val="000000"/>
                <w:sz w:val="16"/>
                <w:szCs w:val="16"/>
                <w:lang w:bidi="ar-SA"/>
              </w:rPr>
              <w:t>/ Respondent</w:t>
            </w:r>
          </w:p>
          <w:p w:rsidRPr="00331850" w:rsidR="00B5373E" w:rsidP="00DF1056" w:rsidRDefault="00B5373E" w14:paraId="776B3F65" w14:textId="7BBEBAF5">
            <w:pPr>
              <w:widowControl/>
              <w:autoSpaceDE/>
              <w:autoSpaceDN/>
              <w:contextualSpacing/>
              <w:jc w:val="center"/>
              <w:rPr>
                <w:rFonts w:eastAsia="Times New Roman" w:asciiTheme="minorHAnsi" w:hAnsiTheme="minorHAnsi" w:cstheme="minorHAnsi"/>
                <w:sz w:val="16"/>
                <w:szCs w:val="16"/>
                <w:lang w:bidi="ar-SA"/>
              </w:rPr>
            </w:pPr>
            <w:r w:rsidRPr="00D64DF9">
              <w:rPr>
                <w:rFonts w:ascii="Calibri" w:hAnsi="Calibri" w:eastAsia="Times New Roman" w:cs="Calibri"/>
                <w:b/>
                <w:bCs/>
                <w:color w:val="000000"/>
                <w:sz w:val="16"/>
                <w:szCs w:val="16"/>
                <w:lang w:bidi="ar-SA"/>
              </w:rPr>
              <w:t>(b)</w:t>
            </w:r>
          </w:p>
        </w:tc>
        <w:tc>
          <w:tcPr>
            <w:tcW w:w="0" w:type="auto"/>
            <w:tcBorders>
              <w:top w:val="single"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Pr="00331850" w:rsidR="00B5373E" w:rsidP="00DF1056" w:rsidRDefault="00B5373E" w14:paraId="686BF495" w14:textId="4EA0D55F">
            <w:pPr>
              <w:widowControl/>
              <w:autoSpaceDE/>
              <w:autoSpaceDN/>
              <w:contextualSpacing/>
              <w:jc w:val="center"/>
              <w:rPr>
                <w:rFonts w:eastAsia="Times New Roman" w:asciiTheme="minorHAnsi" w:hAnsiTheme="minorHAnsi" w:cstheme="minorHAnsi"/>
                <w:sz w:val="16"/>
                <w:szCs w:val="16"/>
                <w:lang w:bidi="ar-SA"/>
              </w:rPr>
            </w:pPr>
            <w:r w:rsidRPr="00D64DF9">
              <w:rPr>
                <w:rFonts w:ascii="Calibri" w:hAnsi="Calibri" w:eastAsia="Times New Roman" w:cs="Calibri"/>
                <w:b/>
                <w:bCs/>
                <w:color w:val="000000"/>
                <w:sz w:val="16"/>
                <w:szCs w:val="16"/>
                <w:lang w:bidi="ar-SA"/>
              </w:rPr>
              <w:t>Total # of Annual Responses</w:t>
            </w:r>
            <w:r w:rsidRPr="00D64DF9">
              <w:rPr>
                <w:rFonts w:ascii="Calibri" w:hAnsi="Calibri" w:eastAsia="Times New Roman" w:cs="Calibri"/>
                <w:b/>
                <w:bCs/>
                <w:color w:val="000000"/>
                <w:sz w:val="16"/>
                <w:szCs w:val="16"/>
                <w:lang w:bidi="ar-SA"/>
              </w:rPr>
              <w:br/>
              <w:t>(c) = (a) x (b)</w:t>
            </w:r>
          </w:p>
        </w:tc>
        <w:tc>
          <w:tcPr>
            <w:tcW w:w="0" w:type="auto"/>
            <w:tcBorders>
              <w:top w:val="single"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Pr="00331850" w:rsidR="00B5373E" w:rsidP="00DF1056" w:rsidRDefault="00B5373E" w14:paraId="1092F1BE" w14:textId="70A953C1">
            <w:pPr>
              <w:widowControl/>
              <w:autoSpaceDE/>
              <w:autoSpaceDN/>
              <w:contextualSpacing/>
              <w:jc w:val="center"/>
              <w:rPr>
                <w:rFonts w:eastAsia="Times New Roman" w:asciiTheme="minorHAnsi" w:hAnsiTheme="minorHAnsi" w:cstheme="minorHAnsi"/>
                <w:sz w:val="16"/>
                <w:szCs w:val="16"/>
                <w:lang w:bidi="ar-SA"/>
              </w:rPr>
            </w:pPr>
            <w:r w:rsidRPr="00D64DF9">
              <w:rPr>
                <w:rFonts w:ascii="Calibri" w:hAnsi="Calibri" w:eastAsia="Times New Roman" w:cs="Calibri"/>
                <w:b/>
                <w:bCs/>
                <w:color w:val="000000"/>
                <w:sz w:val="16"/>
                <w:szCs w:val="16"/>
                <w:lang w:bidi="ar-SA"/>
              </w:rPr>
              <w:t>Burden Hrs / Response</w:t>
            </w:r>
            <w:r w:rsidRPr="00D64DF9">
              <w:rPr>
                <w:rFonts w:ascii="Calibri" w:hAnsi="Calibri" w:eastAsia="Times New Roman" w:cs="Calibri"/>
                <w:b/>
                <w:bCs/>
                <w:color w:val="000000"/>
                <w:sz w:val="16"/>
                <w:szCs w:val="16"/>
                <w:lang w:bidi="ar-SA"/>
              </w:rPr>
              <w:br/>
              <w:t>(d)</w:t>
            </w:r>
          </w:p>
        </w:tc>
        <w:tc>
          <w:tcPr>
            <w:tcW w:w="1902" w:type="dxa"/>
            <w:tcBorders>
              <w:top w:val="single"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Pr="00331850" w:rsidR="00B5373E" w:rsidP="00DF1056" w:rsidRDefault="00B5373E" w14:paraId="7050B1EE" w14:textId="2183282E">
            <w:pPr>
              <w:widowControl/>
              <w:autoSpaceDE/>
              <w:autoSpaceDN/>
              <w:contextualSpacing/>
              <w:jc w:val="center"/>
              <w:rPr>
                <w:rFonts w:eastAsia="Times New Roman" w:asciiTheme="minorHAnsi" w:hAnsiTheme="minorHAnsi" w:cstheme="minorHAnsi"/>
                <w:sz w:val="16"/>
                <w:szCs w:val="16"/>
                <w:lang w:bidi="ar-SA"/>
              </w:rPr>
            </w:pPr>
            <w:r>
              <w:rPr>
                <w:rFonts w:ascii="Calibri" w:hAnsi="Calibri" w:eastAsia="Times New Roman" w:cs="Calibri"/>
                <w:b/>
                <w:bCs/>
                <w:color w:val="000000"/>
                <w:sz w:val="16"/>
                <w:szCs w:val="16"/>
                <w:lang w:bidi="ar-SA"/>
              </w:rPr>
              <w:t>Total Annual Burden Hrs</w:t>
            </w:r>
          </w:p>
        </w:tc>
        <w:tc>
          <w:tcPr>
            <w:tcW w:w="990" w:type="dxa"/>
            <w:tcBorders>
              <w:top w:val="single"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hideMark/>
          </w:tcPr>
          <w:p w:rsidRPr="00331850" w:rsidR="00B5373E" w:rsidP="00DF1056" w:rsidRDefault="00B5373E" w14:paraId="02E1EB7F" w14:textId="17FB1C30">
            <w:pPr>
              <w:widowControl/>
              <w:autoSpaceDE/>
              <w:autoSpaceDN/>
              <w:contextualSpacing/>
              <w:jc w:val="center"/>
              <w:rPr>
                <w:rFonts w:eastAsia="Times New Roman" w:asciiTheme="minorHAnsi" w:hAnsiTheme="minorHAnsi" w:cstheme="minorHAnsi"/>
                <w:sz w:val="16"/>
                <w:szCs w:val="16"/>
                <w:lang w:bidi="ar-SA"/>
              </w:rPr>
            </w:pPr>
            <w:r>
              <w:rPr>
                <w:rFonts w:ascii="Calibri" w:hAnsi="Calibri" w:eastAsia="Times New Roman" w:cs="Calibri"/>
                <w:b/>
                <w:bCs/>
                <w:color w:val="000000"/>
                <w:sz w:val="16"/>
                <w:szCs w:val="16"/>
                <w:lang w:bidi="ar-SA"/>
              </w:rPr>
              <w:t xml:space="preserve">Hourly Wage Rate </w:t>
            </w:r>
            <w:r w:rsidRPr="00D64DF9">
              <w:rPr>
                <w:rFonts w:ascii="Calibri" w:hAnsi="Calibri" w:eastAsia="Times New Roman" w:cs="Calibri"/>
                <w:b/>
                <w:bCs/>
                <w:color w:val="000000"/>
                <w:sz w:val="16"/>
                <w:szCs w:val="16"/>
                <w:lang w:bidi="ar-SA"/>
              </w:rPr>
              <w:t>(f)</w:t>
            </w:r>
          </w:p>
        </w:tc>
        <w:tc>
          <w:tcPr>
            <w:tcW w:w="1530" w:type="dxa"/>
            <w:tcBorders>
              <w:top w:val="single"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Pr="00331850" w:rsidR="00B5373E" w:rsidP="00DF1056" w:rsidRDefault="00B5373E" w14:paraId="3014167E" w14:textId="61715DAA">
            <w:pPr>
              <w:widowControl/>
              <w:autoSpaceDE/>
              <w:autoSpaceDN/>
              <w:contextualSpacing/>
              <w:jc w:val="center"/>
              <w:rPr>
                <w:rFonts w:eastAsia="Times New Roman" w:asciiTheme="minorHAnsi" w:hAnsiTheme="minorHAnsi" w:cstheme="minorHAnsi"/>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965BB7" w:rsidR="00B5373E" w:rsidTr="009F1BDD" w14:paraId="517957E9" w14:textId="77777777">
        <w:trPr>
          <w:trHeight w:val="614"/>
          <w:jc w:val="center"/>
        </w:trPr>
        <w:tc>
          <w:tcPr>
            <w:tcW w:w="27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B5373E" w:rsidP="00DF1056" w:rsidRDefault="00B5373E" w14:paraId="2845B229" w14:textId="77777777">
            <w:pPr>
              <w:widowControl/>
              <w:autoSpaceDE/>
              <w:autoSpaceDN/>
              <w:contextualSpacing/>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20"/>
                <w:szCs w:val="20"/>
                <w:lang w:bidi="ar-SA"/>
              </w:rPr>
              <w:t>VMS installation of replacement units</w:t>
            </w:r>
          </w:p>
        </w:tc>
        <w:tc>
          <w:tcPr>
            <w:tcW w:w="1455" w:type="dxa"/>
            <w:tcBorders>
              <w:top w:val="single" w:color="000000" w:sz="4" w:space="0"/>
              <w:left w:val="single" w:color="000000" w:sz="4" w:space="0"/>
              <w:bottom w:val="single" w:color="000000" w:sz="4" w:space="0"/>
              <w:right w:val="single" w:color="000000" w:sz="4" w:space="0"/>
            </w:tcBorders>
            <w:vAlign w:val="center"/>
          </w:tcPr>
          <w:p w:rsidRPr="00965BB7" w:rsidR="00B5373E" w:rsidP="00DF1056" w:rsidRDefault="00DE05A7" w14:paraId="71981AF6" w14:textId="2B0DD65F">
            <w:pPr>
              <w:widowControl/>
              <w:autoSpaceDE/>
              <w:autoSpaceDN/>
              <w:contextualSpacing/>
              <w:jc w:val="center"/>
              <w:rPr>
                <w:rFonts w:eastAsia="Times New Roman" w:asciiTheme="minorHAnsi" w:hAnsiTheme="minorHAnsi" w:cstheme="minorHAnsi"/>
                <w:color w:val="000000"/>
                <w:sz w:val="18"/>
                <w:szCs w:val="18"/>
                <w:lang w:bidi="ar-SA"/>
              </w:rPr>
            </w:pPr>
            <w:r w:rsidRPr="00965BB7">
              <w:rPr>
                <w:rFonts w:eastAsia="Times New Roman" w:asciiTheme="minorHAnsi" w:hAnsiTheme="minorHAnsi" w:cstheme="minorHAnsi"/>
                <w:color w:val="000000"/>
                <w:sz w:val="18"/>
                <w:szCs w:val="18"/>
                <w:lang w:bidi="ar-SA"/>
              </w:rPr>
              <w:t>Vessel owner</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B5373E" w:rsidP="00DF1056" w:rsidRDefault="00B5373E" w14:paraId="14D0A5D0" w14:textId="2ED9B8ED">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33 annualized</w:t>
            </w:r>
          </w:p>
          <w:p w:rsidRPr="00965BB7" w:rsidR="00B5373E" w:rsidP="00DF1056" w:rsidRDefault="00B5373E" w14:paraId="2375EB04"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(100/3)</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B5373E" w:rsidP="00DF1056" w:rsidRDefault="00B5373E" w14:paraId="7DC5B2BE"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B5373E" w:rsidP="00DF1056" w:rsidRDefault="001F484F" w14:paraId="24672F5E" w14:textId="7DFC88AC">
            <w:pPr>
              <w:widowControl/>
              <w:autoSpaceDE/>
              <w:autoSpaceDN/>
              <w:contextualSpacing/>
              <w:jc w:val="center"/>
              <w:rPr>
                <w:rFonts w:eastAsia="Times New Roman" w:asciiTheme="minorHAnsi" w:hAnsiTheme="minorHAnsi" w:cstheme="minorHAnsi"/>
                <w:sz w:val="20"/>
                <w:szCs w:val="24"/>
                <w:lang w:bidi="ar-SA"/>
              </w:rPr>
            </w:pPr>
            <w:r w:rsidRPr="001F484F">
              <w:rPr>
                <w:rFonts w:eastAsia="Times New Roman" w:asciiTheme="minorHAnsi" w:hAnsiTheme="minorHAnsi" w:cstheme="minorHAnsi"/>
                <w:color w:val="000000"/>
                <w:sz w:val="20"/>
                <w:szCs w:val="11"/>
                <w:lang w:bidi="ar-SA"/>
              </w:rPr>
              <w:t>33</w:t>
            </w:r>
            <w:r w:rsidRPr="00965BB7" w:rsidR="00B5373E">
              <w:rPr>
                <w:rFonts w:eastAsia="Times New Roman" w:asciiTheme="minorHAnsi" w:hAnsiTheme="minorHAnsi" w:cstheme="minorHAnsi"/>
                <w:color w:val="000000"/>
                <w:sz w:val="20"/>
                <w:szCs w:val="11"/>
                <w:u w:val="single"/>
                <w:vertAlign w:val="superscript"/>
                <w:lang w:bidi="ar-SA"/>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B5373E" w:rsidP="00DF1056" w:rsidRDefault="00B5373E" w14:paraId="2590E4DE"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6 hrs</w:t>
            </w:r>
          </w:p>
        </w:tc>
        <w:tc>
          <w:tcPr>
            <w:tcW w:w="190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B5373E" w:rsidP="00DF1056" w:rsidRDefault="00B5373E" w14:paraId="42A8E992"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200 hrs annualized (600/3)</w:t>
            </w:r>
          </w:p>
        </w:tc>
        <w:tc>
          <w:tcPr>
            <w:tcW w:w="99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B5373E" w:rsidP="00DF1056" w:rsidRDefault="00B5373E" w14:paraId="65156678" w14:textId="77777777">
            <w:pPr>
              <w:widowControl/>
              <w:autoSpaceDE/>
              <w:autoSpaceDN/>
              <w:contextualSpacing/>
              <w:jc w:val="center"/>
              <w:rPr>
                <w:rFonts w:eastAsia="Times New Roman" w:asciiTheme="minorHAnsi" w:hAnsiTheme="minorHAnsi" w:cstheme="minorHAnsi"/>
                <w:sz w:val="20"/>
                <w:szCs w:val="24"/>
                <w:lang w:bidi="ar-SA"/>
              </w:rPr>
            </w:pPr>
            <w:r w:rsidRPr="00965BB7">
              <w:rPr>
                <w:rFonts w:eastAsia="Times New Roman" w:asciiTheme="minorHAnsi" w:hAnsiTheme="minorHAnsi" w:cstheme="minorHAnsi"/>
                <w:color w:val="000000"/>
                <w:sz w:val="20"/>
                <w:szCs w:val="11"/>
                <w:u w:val="single"/>
                <w:vertAlign w:val="superscript"/>
                <w:lang w:bidi="ar-SA"/>
              </w:rPr>
              <w:t>1</w:t>
            </w:r>
            <w:r w:rsidRPr="00965BB7">
              <w:rPr>
                <w:rFonts w:eastAsia="Times New Roman" w:asciiTheme="minorHAnsi" w:hAnsiTheme="minorHAnsi" w:cstheme="minorHAnsi"/>
                <w:color w:val="000000"/>
                <w:sz w:val="20"/>
                <w:szCs w:val="11"/>
                <w:vertAlign w:val="superscript"/>
                <w:lang w:bidi="ar-SA"/>
              </w:rPr>
              <w:t>/</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B5373E" w:rsidP="00DF1056" w:rsidRDefault="00B5373E" w14:paraId="01090109" w14:textId="77777777">
            <w:pPr>
              <w:widowControl/>
              <w:autoSpaceDE/>
              <w:autoSpaceDN/>
              <w:contextualSpacing/>
              <w:jc w:val="center"/>
              <w:rPr>
                <w:rFonts w:eastAsia="Times New Roman" w:asciiTheme="minorHAnsi" w:hAnsiTheme="minorHAnsi" w:cstheme="minorHAnsi"/>
                <w:sz w:val="20"/>
                <w:szCs w:val="24"/>
                <w:lang w:bidi="ar-SA"/>
              </w:rPr>
            </w:pPr>
            <w:r w:rsidRPr="00965BB7">
              <w:rPr>
                <w:rFonts w:eastAsia="Times New Roman" w:asciiTheme="minorHAnsi" w:hAnsiTheme="minorHAnsi" w:cstheme="minorHAnsi"/>
                <w:color w:val="000000"/>
                <w:sz w:val="20"/>
                <w:szCs w:val="11"/>
                <w:u w:val="single"/>
                <w:vertAlign w:val="superscript"/>
                <w:lang w:bidi="ar-SA"/>
              </w:rPr>
              <w:t>1</w:t>
            </w:r>
            <w:r w:rsidRPr="00965BB7">
              <w:rPr>
                <w:rFonts w:eastAsia="Times New Roman" w:asciiTheme="minorHAnsi" w:hAnsiTheme="minorHAnsi" w:cstheme="minorHAnsi"/>
                <w:color w:val="000000"/>
                <w:sz w:val="20"/>
                <w:szCs w:val="11"/>
                <w:vertAlign w:val="superscript"/>
                <w:lang w:bidi="ar-SA"/>
              </w:rPr>
              <w:t>/</w:t>
            </w:r>
          </w:p>
        </w:tc>
      </w:tr>
      <w:tr w:rsidRPr="00965BB7" w:rsidR="00DE05A7" w:rsidTr="009F1BDD" w14:paraId="74AE7EF8" w14:textId="77777777">
        <w:trPr>
          <w:trHeight w:val="506"/>
          <w:jc w:val="center"/>
        </w:trPr>
        <w:tc>
          <w:tcPr>
            <w:tcW w:w="27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372E74D7" w14:textId="77777777">
            <w:pPr>
              <w:widowControl/>
              <w:autoSpaceDE/>
              <w:autoSpaceDN/>
              <w:contextualSpacing/>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20"/>
                <w:szCs w:val="20"/>
                <w:lang w:bidi="ar-SA"/>
              </w:rPr>
              <w:t>VMS maintenance</w:t>
            </w:r>
          </w:p>
        </w:tc>
        <w:tc>
          <w:tcPr>
            <w:tcW w:w="1455" w:type="dxa"/>
            <w:tcBorders>
              <w:top w:val="single" w:color="000000" w:sz="4" w:space="0"/>
              <w:left w:val="single" w:color="000000" w:sz="4" w:space="0"/>
              <w:bottom w:val="single" w:color="000000" w:sz="4" w:space="0"/>
              <w:right w:val="single" w:color="000000" w:sz="4" w:space="0"/>
            </w:tcBorders>
            <w:vAlign w:val="center"/>
          </w:tcPr>
          <w:p w:rsidRPr="00965BB7" w:rsidR="00DE05A7" w:rsidP="00DF1056" w:rsidRDefault="00DE05A7" w14:paraId="41342DD3" w14:textId="5741B48D">
            <w:pPr>
              <w:widowControl/>
              <w:autoSpaceDE/>
              <w:autoSpaceDN/>
              <w:contextualSpacing/>
              <w:jc w:val="center"/>
              <w:rPr>
                <w:rFonts w:eastAsia="Times New Roman" w:asciiTheme="minorHAnsi" w:hAnsiTheme="minorHAnsi" w:cstheme="minorHAnsi"/>
                <w:color w:val="000000"/>
                <w:sz w:val="18"/>
                <w:szCs w:val="18"/>
                <w:lang w:bidi="ar-SA"/>
              </w:rPr>
            </w:pPr>
            <w:r w:rsidRPr="00965BB7">
              <w:rPr>
                <w:rFonts w:eastAsia="Times New Roman" w:asciiTheme="minorHAnsi" w:hAnsiTheme="minorHAnsi" w:cstheme="minorHAnsi"/>
                <w:color w:val="000000"/>
                <w:sz w:val="18"/>
                <w:szCs w:val="18"/>
                <w:lang w:bidi="ar-SA"/>
              </w:rPr>
              <w:t>Vessel owner</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0C453054" w14:textId="734F386A">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550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555BC049"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1F484F" w14:paraId="3BEC8C15" w14:textId="44324DB8">
            <w:pPr>
              <w:widowControl/>
              <w:autoSpaceDE/>
              <w:autoSpaceDN/>
              <w:contextualSpacing/>
              <w:jc w:val="center"/>
              <w:rPr>
                <w:rFonts w:eastAsia="Times New Roman" w:asciiTheme="minorHAnsi" w:hAnsiTheme="minorHAnsi" w:cstheme="minorHAnsi"/>
                <w:sz w:val="20"/>
                <w:szCs w:val="24"/>
                <w:lang w:bidi="ar-SA"/>
              </w:rPr>
            </w:pPr>
            <w:r w:rsidRPr="001F484F">
              <w:rPr>
                <w:rFonts w:eastAsia="Times New Roman" w:asciiTheme="minorHAnsi" w:hAnsiTheme="minorHAnsi" w:cstheme="minorHAnsi"/>
                <w:color w:val="000000"/>
                <w:sz w:val="20"/>
                <w:szCs w:val="11"/>
                <w:lang w:bidi="ar-SA"/>
              </w:rPr>
              <w:t>550</w:t>
            </w:r>
            <w:r w:rsidRPr="00965BB7" w:rsidR="00DE05A7">
              <w:rPr>
                <w:rFonts w:eastAsia="Times New Roman" w:asciiTheme="minorHAnsi" w:hAnsiTheme="minorHAnsi" w:cstheme="minorHAnsi"/>
                <w:color w:val="000000"/>
                <w:sz w:val="20"/>
                <w:szCs w:val="11"/>
                <w:u w:val="single"/>
                <w:vertAlign w:val="superscript"/>
                <w:lang w:bidi="ar-SA"/>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7CC6DA1E"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4 hrs</w:t>
            </w:r>
          </w:p>
        </w:tc>
        <w:tc>
          <w:tcPr>
            <w:tcW w:w="190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73AA9E97"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2,220 hrs</w:t>
            </w:r>
          </w:p>
        </w:tc>
        <w:tc>
          <w:tcPr>
            <w:tcW w:w="99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7393040F" w14:textId="77777777">
            <w:pPr>
              <w:widowControl/>
              <w:autoSpaceDE/>
              <w:autoSpaceDN/>
              <w:contextualSpacing/>
              <w:jc w:val="center"/>
              <w:rPr>
                <w:rFonts w:eastAsia="Times New Roman" w:asciiTheme="minorHAnsi" w:hAnsiTheme="minorHAnsi" w:cstheme="minorHAnsi"/>
                <w:sz w:val="20"/>
                <w:szCs w:val="24"/>
                <w:lang w:bidi="ar-SA"/>
              </w:rPr>
            </w:pPr>
            <w:r w:rsidRPr="00965BB7">
              <w:rPr>
                <w:rFonts w:eastAsia="Times New Roman" w:asciiTheme="minorHAnsi" w:hAnsiTheme="minorHAnsi" w:cstheme="minorHAnsi"/>
                <w:color w:val="000000"/>
                <w:sz w:val="20"/>
                <w:szCs w:val="11"/>
                <w:u w:val="single"/>
                <w:vertAlign w:val="superscript"/>
                <w:lang w:bidi="ar-SA"/>
              </w:rPr>
              <w:t>1</w:t>
            </w:r>
            <w:r w:rsidRPr="00965BB7">
              <w:rPr>
                <w:rFonts w:eastAsia="Times New Roman" w:asciiTheme="minorHAnsi" w:hAnsiTheme="minorHAnsi" w:cstheme="minorHAnsi"/>
                <w:color w:val="000000"/>
                <w:sz w:val="20"/>
                <w:szCs w:val="11"/>
                <w:vertAlign w:val="superscript"/>
                <w:lang w:bidi="ar-SA"/>
              </w:rPr>
              <w:t>/</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6A0FA15E" w14:textId="77777777">
            <w:pPr>
              <w:widowControl/>
              <w:autoSpaceDE/>
              <w:autoSpaceDN/>
              <w:contextualSpacing/>
              <w:jc w:val="center"/>
              <w:rPr>
                <w:rFonts w:eastAsia="Times New Roman" w:asciiTheme="minorHAnsi" w:hAnsiTheme="minorHAnsi" w:cstheme="minorHAnsi"/>
                <w:sz w:val="20"/>
                <w:szCs w:val="24"/>
                <w:lang w:bidi="ar-SA"/>
              </w:rPr>
            </w:pPr>
            <w:r w:rsidRPr="00965BB7">
              <w:rPr>
                <w:rFonts w:eastAsia="Times New Roman" w:asciiTheme="minorHAnsi" w:hAnsiTheme="minorHAnsi" w:cstheme="minorHAnsi"/>
                <w:color w:val="000000"/>
                <w:sz w:val="20"/>
                <w:szCs w:val="11"/>
                <w:u w:val="single"/>
                <w:vertAlign w:val="superscript"/>
                <w:lang w:bidi="ar-SA"/>
              </w:rPr>
              <w:t>1</w:t>
            </w:r>
            <w:r w:rsidRPr="00965BB7">
              <w:rPr>
                <w:rFonts w:eastAsia="Times New Roman" w:asciiTheme="minorHAnsi" w:hAnsiTheme="minorHAnsi" w:cstheme="minorHAnsi"/>
                <w:color w:val="000000"/>
                <w:sz w:val="20"/>
                <w:szCs w:val="11"/>
                <w:vertAlign w:val="superscript"/>
                <w:lang w:bidi="ar-SA"/>
              </w:rPr>
              <w:t>/</w:t>
            </w:r>
          </w:p>
        </w:tc>
      </w:tr>
      <w:tr w:rsidRPr="00965BB7" w:rsidR="00DE05A7" w:rsidTr="00476D43" w14:paraId="28443675" w14:textId="77777777">
        <w:trPr>
          <w:jc w:val="center"/>
        </w:trPr>
        <w:tc>
          <w:tcPr>
            <w:tcW w:w="270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6549D88B" w14:textId="1156AEF3">
            <w:pPr>
              <w:widowControl/>
              <w:autoSpaceDE/>
              <w:autoSpaceDN/>
              <w:contextualSpacing/>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20"/>
                <w:szCs w:val="20"/>
                <w:lang w:bidi="ar-SA"/>
              </w:rPr>
              <w:t>VMS failure troubleshooting (assume 5% failure rate/year)</w:t>
            </w:r>
          </w:p>
        </w:tc>
        <w:tc>
          <w:tcPr>
            <w:tcW w:w="1455" w:type="dxa"/>
            <w:tcBorders>
              <w:top w:val="single" w:color="000000" w:sz="4" w:space="0"/>
              <w:left w:val="single" w:color="000000" w:sz="4" w:space="0"/>
              <w:bottom w:val="single" w:color="000000" w:sz="4" w:space="0"/>
              <w:right w:val="single" w:color="000000" w:sz="4" w:space="0"/>
            </w:tcBorders>
            <w:vAlign w:val="center"/>
          </w:tcPr>
          <w:p w:rsidRPr="00965BB7" w:rsidR="00DE05A7" w:rsidP="00DF1056" w:rsidRDefault="00DE05A7" w14:paraId="5BACBE73" w14:textId="3FB38991">
            <w:pPr>
              <w:widowControl/>
              <w:autoSpaceDE/>
              <w:autoSpaceDN/>
              <w:contextualSpacing/>
              <w:jc w:val="center"/>
              <w:rPr>
                <w:rFonts w:eastAsia="Times New Roman" w:asciiTheme="minorHAnsi" w:hAnsiTheme="minorHAnsi" w:cstheme="minorHAnsi"/>
                <w:color w:val="000000"/>
                <w:sz w:val="18"/>
                <w:szCs w:val="18"/>
                <w:lang w:bidi="ar-SA"/>
              </w:rPr>
            </w:pPr>
            <w:r w:rsidRPr="00965BB7">
              <w:rPr>
                <w:rFonts w:eastAsia="Times New Roman" w:asciiTheme="minorHAnsi" w:hAnsiTheme="minorHAnsi" w:cstheme="minorHAnsi"/>
                <w:color w:val="000000"/>
                <w:sz w:val="18"/>
                <w:szCs w:val="18"/>
                <w:lang w:bidi="ar-SA"/>
              </w:rPr>
              <w:t>Vessel owner</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5D052E6D" w14:textId="09CEC01D">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28</w:t>
            </w:r>
          </w:p>
          <w:p w:rsidRPr="00965BB7" w:rsidR="00DE05A7" w:rsidP="00DF1056" w:rsidRDefault="00DE05A7" w14:paraId="2AD2F4F3"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(550*0.05)</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7A0BD096"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1F484F" w14:paraId="324E012E" w14:textId="7DC10E39">
            <w:pPr>
              <w:widowControl/>
              <w:autoSpaceDE/>
              <w:autoSpaceDN/>
              <w:contextualSpacing/>
              <w:jc w:val="center"/>
              <w:rPr>
                <w:rFonts w:eastAsia="Times New Roman" w:asciiTheme="minorHAnsi" w:hAnsiTheme="minorHAnsi" w:cstheme="minorHAnsi"/>
                <w:sz w:val="20"/>
                <w:szCs w:val="24"/>
                <w:lang w:bidi="ar-SA"/>
              </w:rPr>
            </w:pPr>
            <w:r w:rsidRPr="001F484F">
              <w:rPr>
                <w:rFonts w:eastAsia="Times New Roman" w:asciiTheme="minorHAnsi" w:hAnsiTheme="minorHAnsi" w:cstheme="minorHAnsi"/>
                <w:color w:val="000000"/>
                <w:sz w:val="20"/>
                <w:szCs w:val="11"/>
                <w:lang w:bidi="ar-SA"/>
              </w:rPr>
              <w:t>28</w:t>
            </w:r>
            <w:r w:rsidRPr="00965BB7" w:rsidR="00DE05A7">
              <w:rPr>
                <w:rFonts w:eastAsia="Times New Roman" w:asciiTheme="minorHAnsi" w:hAnsiTheme="minorHAnsi" w:cstheme="minorHAnsi"/>
                <w:color w:val="000000"/>
                <w:sz w:val="20"/>
                <w:szCs w:val="11"/>
                <w:u w:val="single"/>
                <w:vertAlign w:val="superscript"/>
                <w:lang w:bidi="ar-SA"/>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759010C2"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2 hrs</w:t>
            </w:r>
          </w:p>
        </w:tc>
        <w:tc>
          <w:tcPr>
            <w:tcW w:w="190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32DFD485"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8"/>
                <w:lang w:bidi="ar-SA"/>
              </w:rPr>
              <w:t>56 hrs</w:t>
            </w:r>
          </w:p>
        </w:tc>
        <w:tc>
          <w:tcPr>
            <w:tcW w:w="99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4FE8B779" w14:textId="5186FD75">
            <w:pPr>
              <w:widowControl/>
              <w:autoSpaceDE/>
              <w:autoSpaceDN/>
              <w:contextualSpacing/>
              <w:jc w:val="center"/>
              <w:rPr>
                <w:rFonts w:eastAsia="Times New Roman" w:asciiTheme="minorHAnsi" w:hAnsiTheme="minorHAnsi" w:cstheme="minorHAnsi"/>
                <w:sz w:val="20"/>
                <w:szCs w:val="24"/>
                <w:lang w:bidi="ar-SA"/>
              </w:rPr>
            </w:pPr>
            <w:r w:rsidRPr="00965BB7">
              <w:rPr>
                <w:rFonts w:eastAsia="Times New Roman" w:asciiTheme="minorHAnsi" w:hAnsiTheme="minorHAnsi" w:cstheme="minorHAnsi"/>
                <w:color w:val="000000"/>
                <w:sz w:val="20"/>
                <w:szCs w:val="11"/>
                <w:u w:val="single"/>
                <w:vertAlign w:val="superscript"/>
                <w:lang w:bidi="ar-SA"/>
              </w:rPr>
              <w:t>1</w:t>
            </w:r>
            <w:r w:rsidRPr="00965BB7">
              <w:rPr>
                <w:rFonts w:eastAsia="Times New Roman" w:asciiTheme="minorHAnsi" w:hAnsiTheme="minorHAnsi" w:cstheme="minorHAnsi"/>
                <w:color w:val="000000"/>
                <w:sz w:val="20"/>
                <w:szCs w:val="11"/>
                <w:vertAlign w:val="superscript"/>
                <w:lang w:bidi="ar-SA"/>
              </w:rPr>
              <w:t>/</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hideMark/>
          </w:tcPr>
          <w:p w:rsidRPr="00965BB7" w:rsidR="00DE05A7" w:rsidP="00DF1056" w:rsidRDefault="00DE05A7" w14:paraId="2DD38FE6" w14:textId="77777777">
            <w:pPr>
              <w:widowControl/>
              <w:autoSpaceDE/>
              <w:autoSpaceDN/>
              <w:contextualSpacing/>
              <w:jc w:val="center"/>
              <w:rPr>
                <w:rFonts w:eastAsia="Times New Roman" w:asciiTheme="minorHAnsi" w:hAnsiTheme="minorHAnsi" w:cstheme="minorHAnsi"/>
                <w:sz w:val="20"/>
                <w:szCs w:val="24"/>
                <w:lang w:bidi="ar-SA"/>
              </w:rPr>
            </w:pPr>
            <w:r w:rsidRPr="00965BB7">
              <w:rPr>
                <w:rFonts w:eastAsia="Times New Roman" w:asciiTheme="minorHAnsi" w:hAnsiTheme="minorHAnsi" w:cstheme="minorHAnsi"/>
                <w:color w:val="000000"/>
                <w:sz w:val="20"/>
                <w:szCs w:val="11"/>
                <w:u w:val="single"/>
                <w:vertAlign w:val="superscript"/>
                <w:lang w:bidi="ar-SA"/>
              </w:rPr>
              <w:t>1</w:t>
            </w:r>
            <w:r w:rsidRPr="00965BB7">
              <w:rPr>
                <w:rFonts w:eastAsia="Times New Roman" w:asciiTheme="minorHAnsi" w:hAnsiTheme="minorHAnsi" w:cstheme="minorHAnsi"/>
                <w:color w:val="000000"/>
                <w:sz w:val="20"/>
                <w:szCs w:val="11"/>
                <w:vertAlign w:val="superscript"/>
                <w:lang w:bidi="ar-SA"/>
              </w:rPr>
              <w:t>/</w:t>
            </w:r>
          </w:p>
        </w:tc>
      </w:tr>
      <w:tr w:rsidRPr="00965BB7" w:rsidR="00DE05A7" w:rsidTr="00F76F93" w14:paraId="70FAA13B" w14:textId="77777777">
        <w:trPr>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Pr="00965BB7" w:rsidR="00DE05A7" w:rsidP="00DF1056" w:rsidRDefault="00DE05A7" w14:paraId="09A61952" w14:textId="2010C71E">
            <w:pPr>
              <w:widowControl/>
              <w:autoSpaceDE/>
              <w:autoSpaceDN/>
              <w:contextualSpacing/>
              <w:jc w:val="right"/>
              <w:rPr>
                <w:rFonts w:eastAsia="Times New Roman" w:asciiTheme="minorHAnsi" w:hAnsiTheme="minorHAnsi" w:cstheme="minorHAnsi"/>
                <w:sz w:val="24"/>
                <w:szCs w:val="24"/>
                <w:lang w:bidi="ar-SA"/>
              </w:rPr>
            </w:pPr>
            <w:r w:rsidRPr="00965BB7">
              <w:rPr>
                <w:rFonts w:eastAsia="Times New Roman" w:asciiTheme="minorHAnsi" w:hAnsiTheme="minorHAnsi" w:cstheme="minorHAnsi"/>
                <w:b/>
                <w:bCs/>
                <w:color w:val="000000"/>
                <w:sz w:val="20"/>
                <w:szCs w:val="20"/>
                <w:lang w:bidi="ar-SA"/>
              </w:rPr>
              <w:t>Total for collection</w:t>
            </w:r>
          </w:p>
        </w:tc>
        <w:tc>
          <w:tcPr>
            <w:tcW w:w="1455" w:type="dxa"/>
            <w:tcBorders>
              <w:top w:val="dotted" w:color="000000" w:sz="4" w:space="0"/>
              <w:left w:val="single" w:color="000000" w:sz="4" w:space="0"/>
              <w:bottom w:val="single" w:color="000000" w:sz="4" w:space="0"/>
              <w:right w:val="single" w:color="000000" w:sz="4" w:space="0"/>
            </w:tcBorders>
            <w:shd w:val="clear" w:color="auto" w:fill="000000" w:themeFill="text1"/>
          </w:tcPr>
          <w:p w:rsidRPr="00965BB7" w:rsidR="00DE05A7" w:rsidP="00DF1056" w:rsidRDefault="00F76F93" w14:paraId="30931405" w14:textId="53B2E97C">
            <w:pPr>
              <w:widowControl/>
              <w:autoSpaceDE/>
              <w:autoSpaceDN/>
              <w:contextualSpacing/>
              <w:jc w:val="center"/>
              <w:rPr>
                <w:rFonts w:eastAsia="Times New Roman" w:asciiTheme="minorHAnsi" w:hAnsiTheme="minorHAnsi" w:cstheme="minorHAnsi"/>
                <w:b/>
                <w:bCs/>
                <w:color w:val="000000"/>
                <w:sz w:val="20"/>
                <w:szCs w:val="20"/>
                <w:lang w:bidi="ar-SA"/>
              </w:rPr>
            </w:pPr>
            <w:r>
              <w:rPr>
                <w:rFonts w:eastAsia="Times New Roman" w:asciiTheme="minorHAnsi" w:hAnsiTheme="minorHAnsi" w:cstheme="minorHAnsi"/>
                <w:b/>
                <w:bCs/>
                <w:color w:val="000000"/>
                <w:sz w:val="20"/>
                <w:szCs w:val="20"/>
                <w:lang w:bidi="ar-SA"/>
              </w:rPr>
              <w:tab/>
            </w:r>
          </w:p>
        </w:tc>
        <w:tc>
          <w:tcPr>
            <w:tcW w:w="1455" w:type="dxa"/>
            <w:tcBorders>
              <w:top w:val="dotted"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Pr="00965BB7" w:rsidR="00DE05A7" w:rsidP="00DF1056" w:rsidRDefault="00DE05A7" w14:paraId="44260467" w14:textId="0D13182C">
            <w:pPr>
              <w:widowControl/>
              <w:autoSpaceDE/>
              <w:autoSpaceDN/>
              <w:contextualSpacing/>
              <w:jc w:val="center"/>
              <w:rPr>
                <w:rFonts w:eastAsia="Times New Roman" w:asciiTheme="minorHAnsi" w:hAnsiTheme="minorHAnsi" w:cstheme="minorHAnsi"/>
                <w:sz w:val="24"/>
                <w:szCs w:val="24"/>
                <w:lang w:bidi="ar-SA"/>
              </w:rPr>
            </w:pPr>
            <w:bookmarkStart w:name="_GoBack" w:id="0"/>
            <w:bookmarkEnd w:id="0"/>
            <w:r w:rsidRPr="00965BB7">
              <w:rPr>
                <w:rFonts w:eastAsia="Times New Roman" w:asciiTheme="minorHAnsi" w:hAnsiTheme="minorHAnsi" w:cstheme="minorHAnsi"/>
                <w:b/>
                <w:bCs/>
                <w:color w:val="000000"/>
                <w:sz w:val="20"/>
                <w:szCs w:val="20"/>
                <w:lang w:bidi="ar-SA"/>
              </w:rPr>
              <w:t>550</w:t>
            </w:r>
          </w:p>
        </w:tc>
        <w:tc>
          <w:tcPr>
            <w:tcW w:w="0" w:type="auto"/>
            <w:tcBorders>
              <w:top w:val="dotted" w:color="000000" w:sz="4" w:space="0"/>
              <w:left w:val="single" w:color="000000" w:sz="4" w:space="0"/>
              <w:bottom w:val="single" w:color="000000" w:sz="4" w:space="0"/>
              <w:right w:val="single" w:color="000000" w:sz="4" w:space="0"/>
            </w:tcBorders>
            <w:shd w:val="clear" w:color="auto" w:fill="000000" w:themeFill="text1"/>
            <w:tcMar>
              <w:top w:w="0" w:type="dxa"/>
              <w:left w:w="115" w:type="dxa"/>
              <w:bottom w:w="0" w:type="dxa"/>
              <w:right w:w="115" w:type="dxa"/>
            </w:tcMar>
            <w:vAlign w:val="center"/>
            <w:hideMark/>
          </w:tcPr>
          <w:p w:rsidRPr="00965BB7" w:rsidR="00DE05A7" w:rsidP="00DF1056" w:rsidRDefault="00DE05A7" w14:paraId="0183C44E" w14:textId="46BCF579">
            <w:pPr>
              <w:widowControl/>
              <w:autoSpaceDE/>
              <w:autoSpaceDN/>
              <w:contextualSpacing/>
              <w:jc w:val="center"/>
              <w:rPr>
                <w:rFonts w:eastAsia="Times New Roman" w:asciiTheme="minorHAnsi" w:hAnsiTheme="minorHAnsi" w:cstheme="minorHAnsi"/>
                <w:sz w:val="24"/>
                <w:szCs w:val="24"/>
                <w:lang w:bidi="ar-SA"/>
              </w:rPr>
            </w:pPr>
          </w:p>
        </w:tc>
        <w:tc>
          <w:tcPr>
            <w:tcW w:w="0" w:type="auto"/>
            <w:tcBorders>
              <w:top w:val="dotted"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Pr="00965BB7" w:rsidR="00DE05A7" w:rsidP="00DF1056" w:rsidRDefault="001F484F" w14:paraId="370E927E" w14:textId="52FFA676">
            <w:pPr>
              <w:widowControl/>
              <w:autoSpaceDE/>
              <w:autoSpaceDN/>
              <w:contextualSpacing/>
              <w:jc w:val="center"/>
              <w:rPr>
                <w:rFonts w:eastAsia="Times New Roman" w:asciiTheme="minorHAnsi" w:hAnsiTheme="minorHAnsi" w:cstheme="minorHAnsi"/>
                <w:sz w:val="24"/>
                <w:szCs w:val="24"/>
                <w:lang w:bidi="ar-SA"/>
              </w:rPr>
            </w:pPr>
            <w:r w:rsidRPr="001F484F">
              <w:rPr>
                <w:rFonts w:eastAsia="Times New Roman" w:asciiTheme="minorHAnsi" w:hAnsiTheme="minorHAnsi" w:cstheme="minorHAnsi"/>
                <w:b/>
                <w:color w:val="000000"/>
                <w:sz w:val="20"/>
                <w:szCs w:val="11"/>
                <w:lang w:bidi="ar-SA"/>
              </w:rPr>
              <w:t>611</w:t>
            </w:r>
            <w:r w:rsidRPr="00965BB7" w:rsidR="00DE05A7">
              <w:rPr>
                <w:rFonts w:eastAsia="Times New Roman" w:asciiTheme="minorHAnsi" w:hAnsiTheme="minorHAnsi" w:cstheme="minorHAnsi"/>
                <w:color w:val="000000"/>
                <w:sz w:val="20"/>
                <w:szCs w:val="11"/>
                <w:u w:val="single"/>
                <w:vertAlign w:val="superscript"/>
                <w:lang w:bidi="ar-SA"/>
              </w:rPr>
              <w:t>1</w:t>
            </w:r>
            <w:r w:rsidRPr="00965BB7" w:rsidR="00DE05A7">
              <w:rPr>
                <w:rFonts w:eastAsia="Times New Roman" w:asciiTheme="minorHAnsi" w:hAnsiTheme="minorHAnsi" w:cstheme="minorHAnsi"/>
                <w:color w:val="000000"/>
                <w:sz w:val="11"/>
                <w:szCs w:val="11"/>
                <w:vertAlign w:val="superscript"/>
                <w:lang w:bidi="ar-SA"/>
              </w:rPr>
              <w:t>/</w:t>
            </w:r>
          </w:p>
        </w:tc>
        <w:tc>
          <w:tcPr>
            <w:tcW w:w="0" w:type="auto"/>
            <w:tcBorders>
              <w:top w:val="dotted" w:color="000000" w:sz="4" w:space="0"/>
              <w:left w:val="single" w:color="000000" w:sz="4" w:space="0"/>
              <w:bottom w:val="single" w:color="000000" w:sz="4" w:space="0"/>
              <w:right w:val="single" w:color="000000" w:sz="4" w:space="0"/>
            </w:tcBorders>
            <w:shd w:val="clear" w:color="auto" w:fill="000000" w:themeFill="text1"/>
            <w:tcMar>
              <w:top w:w="0" w:type="dxa"/>
              <w:left w:w="115" w:type="dxa"/>
              <w:bottom w:w="0" w:type="dxa"/>
              <w:right w:w="115" w:type="dxa"/>
            </w:tcMar>
            <w:vAlign w:val="center"/>
            <w:hideMark/>
          </w:tcPr>
          <w:p w:rsidRPr="00965BB7" w:rsidR="00DE05A7" w:rsidP="00DF1056" w:rsidRDefault="00DE05A7" w14:paraId="4516C16B" w14:textId="4387C68A">
            <w:pPr>
              <w:widowControl/>
              <w:autoSpaceDE/>
              <w:autoSpaceDN/>
              <w:contextualSpacing/>
              <w:jc w:val="center"/>
              <w:rPr>
                <w:rFonts w:eastAsia="Times New Roman" w:asciiTheme="minorHAnsi" w:hAnsiTheme="minorHAnsi" w:cstheme="minorHAnsi"/>
                <w:sz w:val="24"/>
                <w:szCs w:val="24"/>
                <w:lang w:bidi="ar-SA"/>
              </w:rPr>
            </w:pPr>
          </w:p>
        </w:tc>
        <w:tc>
          <w:tcPr>
            <w:tcW w:w="1902" w:type="dxa"/>
            <w:tcBorders>
              <w:top w:val="dotted"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Pr="00965BB7" w:rsidR="00DE05A7" w:rsidP="00DF1056" w:rsidRDefault="00DE05A7" w14:paraId="1506FC6B"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b/>
                <w:bCs/>
                <w:color w:val="000000"/>
                <w:sz w:val="20"/>
                <w:szCs w:val="20"/>
                <w:lang w:bidi="ar-SA"/>
              </w:rPr>
              <w:t>2,476</w:t>
            </w:r>
          </w:p>
        </w:tc>
        <w:tc>
          <w:tcPr>
            <w:tcW w:w="990" w:type="dxa"/>
            <w:tcBorders>
              <w:top w:val="dotted" w:color="000000" w:sz="4" w:space="0"/>
              <w:left w:val="single" w:color="000000" w:sz="4" w:space="0"/>
              <w:bottom w:val="single" w:color="000000" w:sz="4" w:space="0"/>
              <w:right w:val="single" w:color="000000" w:sz="4" w:space="0"/>
            </w:tcBorders>
            <w:shd w:val="clear" w:color="auto" w:fill="000000" w:themeFill="text1"/>
            <w:tcMar>
              <w:top w:w="0" w:type="dxa"/>
              <w:left w:w="115" w:type="dxa"/>
              <w:bottom w:w="0" w:type="dxa"/>
              <w:right w:w="115" w:type="dxa"/>
            </w:tcMar>
            <w:vAlign w:val="center"/>
            <w:hideMark/>
          </w:tcPr>
          <w:p w:rsidRPr="00965BB7" w:rsidR="00DE05A7" w:rsidP="00DF1056" w:rsidRDefault="00DE05A7" w14:paraId="480E407B" w14:textId="77777777">
            <w:pPr>
              <w:widowControl/>
              <w:autoSpaceDE/>
              <w:autoSpaceDN/>
              <w:contextualSpacing/>
              <w:rPr>
                <w:rFonts w:eastAsia="Times New Roman" w:asciiTheme="minorHAnsi" w:hAnsiTheme="minorHAnsi" w:cstheme="minorHAnsi"/>
                <w:sz w:val="24"/>
                <w:szCs w:val="24"/>
                <w:lang w:bidi="ar-SA"/>
              </w:rPr>
            </w:pPr>
          </w:p>
        </w:tc>
        <w:tc>
          <w:tcPr>
            <w:tcW w:w="1530" w:type="dxa"/>
            <w:tcBorders>
              <w:top w:val="dotted" w:color="000000" w:sz="4" w:space="0"/>
              <w:left w:val="single" w:color="000000" w:sz="4" w:space="0"/>
              <w:bottom w:val="single" w:color="000000" w:sz="4" w:space="0"/>
              <w:right w:val="single" w:color="000000" w:sz="4" w:space="0"/>
            </w:tcBorders>
            <w:shd w:val="clear" w:color="auto" w:fill="DEEAF6"/>
            <w:tcMar>
              <w:top w:w="0" w:type="dxa"/>
              <w:left w:w="115" w:type="dxa"/>
              <w:bottom w:w="0" w:type="dxa"/>
              <w:right w:w="115" w:type="dxa"/>
            </w:tcMar>
            <w:vAlign w:val="center"/>
            <w:hideMark/>
          </w:tcPr>
          <w:p w:rsidRPr="00965BB7" w:rsidR="00DE05A7" w:rsidP="00DF1056" w:rsidRDefault="00DE05A7" w14:paraId="65CC7D95" w14:textId="77777777">
            <w:pPr>
              <w:widowControl/>
              <w:autoSpaceDE/>
              <w:autoSpaceDN/>
              <w:contextualSpacing/>
              <w:jc w:val="center"/>
              <w:rPr>
                <w:rFonts w:eastAsia="Times New Roman" w:asciiTheme="minorHAnsi" w:hAnsiTheme="minorHAnsi" w:cstheme="minorHAnsi"/>
                <w:sz w:val="24"/>
                <w:szCs w:val="24"/>
                <w:lang w:bidi="ar-SA"/>
              </w:rPr>
            </w:pPr>
            <w:r w:rsidRPr="00965BB7">
              <w:rPr>
                <w:rFonts w:eastAsia="Times New Roman" w:asciiTheme="minorHAnsi" w:hAnsiTheme="minorHAnsi" w:cstheme="minorHAnsi"/>
                <w:b/>
                <w:bCs/>
                <w:color w:val="000000"/>
                <w:sz w:val="20"/>
                <w:szCs w:val="20"/>
                <w:lang w:bidi="ar-SA"/>
              </w:rPr>
              <w:t>$0</w:t>
            </w:r>
            <w:r w:rsidRPr="00965BB7">
              <w:rPr>
                <w:rFonts w:eastAsia="Times New Roman" w:asciiTheme="minorHAnsi" w:hAnsiTheme="minorHAnsi" w:cstheme="minorHAnsi"/>
                <w:color w:val="000000"/>
                <w:sz w:val="20"/>
                <w:szCs w:val="11"/>
                <w:u w:val="single"/>
                <w:vertAlign w:val="superscript"/>
                <w:lang w:bidi="ar-SA"/>
              </w:rPr>
              <w:t>1</w:t>
            </w:r>
            <w:r w:rsidRPr="00965BB7">
              <w:rPr>
                <w:rFonts w:eastAsia="Times New Roman" w:asciiTheme="minorHAnsi" w:hAnsiTheme="minorHAnsi" w:cstheme="minorHAnsi"/>
                <w:color w:val="000000"/>
                <w:sz w:val="20"/>
                <w:szCs w:val="11"/>
                <w:vertAlign w:val="superscript"/>
                <w:lang w:bidi="ar-SA"/>
              </w:rPr>
              <w:t>/</w:t>
            </w:r>
          </w:p>
        </w:tc>
      </w:tr>
    </w:tbl>
    <w:p w:rsidRPr="00965BB7" w:rsidR="009C1E49" w:rsidP="00DF1056" w:rsidRDefault="009C1E49" w14:paraId="0AC0D8B1" w14:textId="3D7C298F">
      <w:pPr>
        <w:widowControl/>
        <w:autoSpaceDE/>
        <w:autoSpaceDN/>
        <w:contextualSpacing/>
        <w:rPr>
          <w:rFonts w:eastAsia="Times New Roman" w:asciiTheme="minorHAnsi" w:hAnsiTheme="minorHAnsi" w:cstheme="minorHAnsi"/>
          <w:sz w:val="24"/>
          <w:szCs w:val="24"/>
          <w:lang w:bidi="ar-SA"/>
        </w:rPr>
      </w:pPr>
      <w:r w:rsidRPr="00965BB7">
        <w:rPr>
          <w:rFonts w:eastAsia="Times New Roman" w:asciiTheme="minorHAnsi" w:hAnsiTheme="minorHAnsi" w:cstheme="minorHAnsi"/>
          <w:color w:val="000000"/>
          <w:sz w:val="18"/>
          <w:szCs w:val="11"/>
          <w:u w:val="single"/>
          <w:vertAlign w:val="superscript"/>
          <w:lang w:bidi="ar-SA"/>
        </w:rPr>
        <w:t>1</w:t>
      </w:r>
      <w:r w:rsidRPr="00965BB7">
        <w:rPr>
          <w:rFonts w:eastAsia="Times New Roman" w:asciiTheme="minorHAnsi" w:hAnsiTheme="minorHAnsi" w:cstheme="minorHAnsi"/>
          <w:color w:val="000000"/>
          <w:sz w:val="18"/>
          <w:szCs w:val="11"/>
          <w:vertAlign w:val="superscript"/>
          <w:lang w:bidi="ar-SA"/>
        </w:rPr>
        <w:t>/</w:t>
      </w:r>
      <w:r w:rsidRPr="00965BB7">
        <w:rPr>
          <w:rFonts w:eastAsia="Times New Roman" w:asciiTheme="minorHAnsi" w:hAnsiTheme="minorHAnsi" w:cstheme="minorHAnsi"/>
          <w:color w:val="000000"/>
          <w:sz w:val="28"/>
          <w:szCs w:val="18"/>
          <w:lang w:bidi="ar-SA"/>
        </w:rPr>
        <w:t xml:space="preserve"> </w:t>
      </w:r>
      <w:r w:rsidRPr="00965BB7">
        <w:rPr>
          <w:rFonts w:eastAsia="Times New Roman" w:asciiTheme="minorHAnsi" w:hAnsiTheme="minorHAnsi" w:cstheme="minorHAnsi"/>
          <w:color w:val="000000"/>
          <w:sz w:val="18"/>
          <w:szCs w:val="18"/>
          <w:lang w:bidi="ar-SA"/>
        </w:rPr>
        <w:t>The vessel owner is present during installation, maintenance, and troubleshooting operations, so there are burden hours associated with being required to be present for these activities. However, the vessel owner pays a technician an average of $128/hour to perform this work, so the labor costs associated with these activities are recorded below under miscellaneous costs. Because there is no information collected by NMFS in advance, during, or after the installation, maintenance, or troubleshooting of the VMS units, these events do not contribute to the number of responses for this information collection.</w:t>
      </w:r>
    </w:p>
    <w:p w:rsidR="00713A4A" w:rsidP="00DF1056" w:rsidRDefault="009C1E49" w14:paraId="66330231" w14:textId="2AACC194">
      <w:pPr>
        <w:widowControl/>
        <w:autoSpaceDE/>
        <w:autoSpaceDN/>
        <w:spacing w:before="240" w:after="240"/>
        <w:rPr>
          <w:rFonts w:ascii="Times New Roman" w:hAnsi="Times New Roman" w:eastAsia="Times New Roman" w:cs="Times New Roman"/>
          <w:color w:val="000000"/>
          <w:sz w:val="24"/>
          <w:szCs w:val="24"/>
          <w:lang w:bidi="ar-SA"/>
        </w:rPr>
      </w:pPr>
      <w:r w:rsidRPr="009C1E49">
        <w:rPr>
          <w:rFonts w:ascii="Times New Roman" w:hAnsi="Times New Roman" w:eastAsia="Times New Roman" w:cs="Times New Roman"/>
          <w:color w:val="000000"/>
          <w:sz w:val="24"/>
          <w:szCs w:val="24"/>
          <w:lang w:bidi="ar-SA"/>
        </w:rPr>
        <w:t>Total estim</w:t>
      </w:r>
      <w:r w:rsidR="00713A4A">
        <w:rPr>
          <w:rFonts w:ascii="Times New Roman" w:hAnsi="Times New Roman" w:eastAsia="Times New Roman" w:cs="Times New Roman"/>
          <w:color w:val="000000"/>
          <w:sz w:val="24"/>
          <w:szCs w:val="24"/>
          <w:lang w:bidi="ar-SA"/>
        </w:rPr>
        <w:t>ated unique respondents are 550</w:t>
      </w:r>
      <w:r w:rsidRPr="009C1E49">
        <w:rPr>
          <w:rFonts w:ascii="Times New Roman" w:hAnsi="Times New Roman" w:eastAsia="Times New Roman" w:cs="Times New Roman"/>
          <w:color w:val="000000"/>
          <w:sz w:val="24"/>
          <w:szCs w:val="24"/>
          <w:lang w:bidi="ar-SA"/>
        </w:rPr>
        <w:t>. Although, some additional vessels may install VMS, NMFS estimates that these few additional vessels are covered in the conservative estimates of respondents already included in this collection.</w:t>
      </w:r>
    </w:p>
    <w:p w:rsidRPr="00BD7237" w:rsidR="009C1E49" w:rsidP="00DF1056" w:rsidRDefault="009C1E49" w14:paraId="7B3F69B7" w14:textId="7BD443D8">
      <w:pPr>
        <w:widowControl/>
        <w:autoSpaceDE/>
        <w:autoSpaceDN/>
        <w:contextualSpacing/>
        <w:rPr>
          <w:rFonts w:ascii="Times New Roman" w:hAnsi="Times New Roman" w:cs="Times New Roman"/>
        </w:rPr>
      </w:pPr>
      <w:r w:rsidRPr="009C1E49">
        <w:rPr>
          <w:rFonts w:ascii="Times New Roman" w:hAnsi="Times New Roman" w:eastAsia="Times New Roman" w:cs="Times New Roman"/>
          <w:color w:val="000000"/>
          <w:sz w:val="24"/>
          <w:szCs w:val="24"/>
          <w:lang w:bidi="ar-SA"/>
        </w:rPr>
        <w:t>VMS transmissions are not considered responses or included in the burden estimates because vessel position location is automatically</w:t>
      </w:r>
      <w:r w:rsidR="00713A4A">
        <w:rPr>
          <w:rFonts w:ascii="Times New Roman" w:hAnsi="Times New Roman" w:eastAsia="Times New Roman" w:cs="Times New Roman"/>
          <w:color w:val="000000"/>
          <w:sz w:val="24"/>
          <w:szCs w:val="24"/>
          <w:lang w:bidi="ar-SA"/>
        </w:rPr>
        <w:t xml:space="preserve"> transmitted from the VMS unit.</w:t>
      </w:r>
    </w:p>
    <w:p w:rsidRPr="00BD7237" w:rsidR="008E61C9" w:rsidP="00DF1056" w:rsidRDefault="008E61C9" w14:paraId="6A073293" w14:textId="57918C52">
      <w:pPr>
        <w:contextualSpacing/>
        <w:jc w:val="center"/>
        <w:rPr>
          <w:rFonts w:ascii="Times New Roman" w:hAnsi="Times New Roman" w:cs="Times New Roman"/>
          <w:sz w:val="24"/>
          <w:szCs w:val="24"/>
        </w:rPr>
        <w:sectPr w:rsidRPr="00BD7237" w:rsidR="008E61C9" w:rsidSect="0011224D">
          <w:pgSz w:w="15840" w:h="12240" w:orient="landscape"/>
          <w:pgMar w:top="1080" w:right="1440" w:bottom="1440" w:left="1440" w:header="0" w:footer="1008" w:gutter="0"/>
          <w:cols w:space="720"/>
          <w:docGrid w:linePitch="299"/>
        </w:sectPr>
      </w:pPr>
    </w:p>
    <w:p w:rsidRPr="00BD7237" w:rsidR="008E61C9" w:rsidP="00DF1056" w:rsidRDefault="001477A3" w14:paraId="312C2D8F" w14:textId="3E32D8D7">
      <w:pPr>
        <w:pStyle w:val="ListParagraph"/>
        <w:numPr>
          <w:ilvl w:val="0"/>
          <w:numId w:val="7"/>
        </w:numPr>
        <w:tabs>
          <w:tab w:val="left" w:pos="360"/>
        </w:tabs>
        <w:spacing w:before="8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476D43" w:rsidR="00331850" w:rsidP="00DF1056" w:rsidRDefault="00331850" w14:paraId="6990E52C" w14:textId="77777777">
      <w:pPr>
        <w:widowControl/>
        <w:spacing w:before="240"/>
        <w:contextualSpacing/>
        <w:rPr>
          <w:rFonts w:ascii="Times New Roman" w:hAnsi="Times New Roman" w:cs="Times New Roman"/>
          <w:color w:val="000000"/>
          <w:sz w:val="24"/>
          <w:szCs w:val="24"/>
        </w:rPr>
      </w:pPr>
      <w:r w:rsidRPr="00476D43">
        <w:rPr>
          <w:rFonts w:ascii="Times New Roman" w:hAnsi="Times New Roman" w:cs="Times New Roman"/>
          <w:color w:val="000000"/>
          <w:sz w:val="24"/>
          <w:szCs w:val="24"/>
        </w:rPr>
        <w:t xml:space="preserve">Table 13a. Summary of estimates of total annual cost burden to respondents, including capital and start-up costs and operations and maintenance costs, including the costs to hire technicians to do VMS installation, maintenance, and troubleshooting. </w:t>
      </w:r>
    </w:p>
    <w:tbl>
      <w:tblPr>
        <w:tblW w:w="12315" w:type="dxa"/>
        <w:tblInd w:w="-10" w:type="dxa"/>
        <w:tblLook w:val="04A0" w:firstRow="1" w:lastRow="0" w:firstColumn="1" w:lastColumn="0" w:noHBand="0" w:noVBand="1"/>
      </w:tblPr>
      <w:tblGrid>
        <w:gridCol w:w="2070"/>
        <w:gridCol w:w="2202"/>
        <w:gridCol w:w="2110"/>
        <w:gridCol w:w="1939"/>
        <w:gridCol w:w="2143"/>
        <w:gridCol w:w="1851"/>
      </w:tblGrid>
      <w:tr w:rsidRPr="00CF413B" w:rsidR="00331850" w:rsidTr="0019346B" w14:paraId="3D143AF4" w14:textId="77777777">
        <w:trPr>
          <w:trHeight w:val="637"/>
        </w:trPr>
        <w:tc>
          <w:tcPr>
            <w:tcW w:w="207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476D43" w:rsidR="00331850" w:rsidP="00DF1056" w:rsidRDefault="00331850" w14:paraId="76B4C42A" w14:textId="77777777">
            <w:pPr>
              <w:widowControl/>
              <w:autoSpaceDE/>
              <w:autoSpaceDN/>
              <w:contextualSpacing/>
              <w:jc w:val="center"/>
              <w:rPr>
                <w:rFonts w:ascii="Calibri" w:hAnsi="Calibri" w:cs="Calibri"/>
                <w:b/>
                <w:bCs/>
                <w:color w:val="000000"/>
                <w:sz w:val="20"/>
                <w:szCs w:val="16"/>
              </w:rPr>
            </w:pPr>
            <w:r w:rsidRPr="00476D43">
              <w:rPr>
                <w:rFonts w:ascii="Calibri" w:hAnsi="Calibri" w:cs="Calibri"/>
                <w:b/>
                <w:bCs/>
                <w:color w:val="000000"/>
                <w:sz w:val="20"/>
                <w:szCs w:val="16"/>
              </w:rPr>
              <w:t>Information Collection</w:t>
            </w:r>
          </w:p>
        </w:tc>
        <w:tc>
          <w:tcPr>
            <w:tcW w:w="2202" w:type="dxa"/>
            <w:tcBorders>
              <w:top w:val="single" w:color="auto" w:sz="8" w:space="0"/>
              <w:left w:val="nil"/>
              <w:bottom w:val="single" w:color="auto" w:sz="8" w:space="0"/>
              <w:right w:val="single" w:color="auto" w:sz="8" w:space="0"/>
            </w:tcBorders>
            <w:shd w:val="clear" w:color="000000" w:fill="BDD7EE"/>
            <w:vAlign w:val="center"/>
            <w:hideMark/>
          </w:tcPr>
          <w:p w:rsidRPr="00476D43" w:rsidR="00331850" w:rsidP="00DF1056" w:rsidRDefault="00331850" w14:paraId="0FD670C7" w14:textId="77777777">
            <w:pPr>
              <w:widowControl/>
              <w:autoSpaceDE/>
              <w:autoSpaceDN/>
              <w:contextualSpacing/>
              <w:jc w:val="center"/>
              <w:rPr>
                <w:rFonts w:ascii="Calibri" w:hAnsi="Calibri" w:cs="Calibri"/>
                <w:b/>
                <w:bCs/>
                <w:color w:val="000000"/>
                <w:sz w:val="20"/>
                <w:szCs w:val="16"/>
              </w:rPr>
            </w:pPr>
            <w:r w:rsidRPr="00476D43">
              <w:rPr>
                <w:rFonts w:ascii="Calibri" w:hAnsi="Calibri" w:cs="Calibri"/>
                <w:b/>
                <w:bCs/>
                <w:color w:val="000000"/>
                <w:sz w:val="20"/>
                <w:szCs w:val="16"/>
              </w:rPr>
              <w:t># of Respondents</w:t>
            </w:r>
          </w:p>
        </w:tc>
        <w:tc>
          <w:tcPr>
            <w:tcW w:w="2110" w:type="dxa"/>
            <w:tcBorders>
              <w:top w:val="single" w:color="auto" w:sz="8" w:space="0"/>
              <w:left w:val="nil"/>
              <w:bottom w:val="single" w:color="auto" w:sz="8" w:space="0"/>
              <w:right w:val="single" w:color="auto" w:sz="8" w:space="0"/>
            </w:tcBorders>
            <w:shd w:val="clear" w:color="000000" w:fill="BDD7EE"/>
            <w:vAlign w:val="center"/>
            <w:hideMark/>
          </w:tcPr>
          <w:p w:rsidRPr="00476D43" w:rsidR="00331850" w:rsidP="00DF1056" w:rsidRDefault="00331850" w14:paraId="30B13CF7" w14:textId="77777777">
            <w:pPr>
              <w:widowControl/>
              <w:autoSpaceDE/>
              <w:autoSpaceDN/>
              <w:contextualSpacing/>
              <w:jc w:val="center"/>
              <w:rPr>
                <w:rFonts w:ascii="Calibri" w:hAnsi="Calibri" w:cs="Calibri"/>
                <w:b/>
                <w:bCs/>
                <w:color w:val="000000"/>
                <w:sz w:val="20"/>
                <w:szCs w:val="16"/>
              </w:rPr>
            </w:pPr>
            <w:r w:rsidRPr="00476D43">
              <w:rPr>
                <w:rFonts w:ascii="Calibri" w:hAnsi="Calibri" w:cs="Calibri"/>
                <w:b/>
                <w:bCs/>
                <w:color w:val="000000"/>
                <w:sz w:val="20"/>
                <w:szCs w:val="16"/>
              </w:rPr>
              <w:t>Annual # of Responses / Respondent</w:t>
            </w:r>
          </w:p>
        </w:tc>
        <w:tc>
          <w:tcPr>
            <w:tcW w:w="1939" w:type="dxa"/>
            <w:tcBorders>
              <w:top w:val="single" w:color="auto" w:sz="8" w:space="0"/>
              <w:left w:val="nil"/>
              <w:bottom w:val="single" w:color="auto" w:sz="8" w:space="0"/>
              <w:right w:val="single" w:color="auto" w:sz="8" w:space="0"/>
            </w:tcBorders>
            <w:shd w:val="clear" w:color="000000" w:fill="BDD7EE"/>
            <w:vAlign w:val="center"/>
            <w:hideMark/>
          </w:tcPr>
          <w:p w:rsidRPr="00476D43" w:rsidR="00331850" w:rsidP="00DF1056" w:rsidRDefault="00331850" w14:paraId="1A7C8BD3" w14:textId="77777777">
            <w:pPr>
              <w:widowControl/>
              <w:autoSpaceDE/>
              <w:autoSpaceDN/>
              <w:contextualSpacing/>
              <w:jc w:val="center"/>
              <w:rPr>
                <w:rFonts w:ascii="Calibri" w:hAnsi="Calibri" w:cs="Calibri"/>
                <w:b/>
                <w:bCs/>
                <w:color w:val="000000"/>
                <w:sz w:val="20"/>
                <w:szCs w:val="16"/>
              </w:rPr>
            </w:pPr>
            <w:r w:rsidRPr="00476D43">
              <w:rPr>
                <w:rFonts w:ascii="Calibri" w:hAnsi="Calibri" w:cs="Calibri"/>
                <w:b/>
                <w:bCs/>
                <w:color w:val="000000"/>
                <w:sz w:val="20"/>
                <w:szCs w:val="16"/>
              </w:rPr>
              <w:t xml:space="preserve"> Total # of Annual Responses</w:t>
            </w:r>
          </w:p>
        </w:tc>
        <w:tc>
          <w:tcPr>
            <w:tcW w:w="2143" w:type="dxa"/>
            <w:tcBorders>
              <w:top w:val="single" w:color="auto" w:sz="8" w:space="0"/>
              <w:left w:val="nil"/>
              <w:bottom w:val="single" w:color="auto" w:sz="8" w:space="0"/>
              <w:right w:val="single" w:color="auto" w:sz="8" w:space="0"/>
            </w:tcBorders>
            <w:shd w:val="clear" w:color="000000" w:fill="BDD7EE"/>
            <w:vAlign w:val="center"/>
            <w:hideMark/>
          </w:tcPr>
          <w:p w:rsidRPr="00476D43" w:rsidR="00331850" w:rsidP="00DF1056" w:rsidRDefault="00331850" w14:paraId="370CEB0E" w14:textId="77777777">
            <w:pPr>
              <w:widowControl/>
              <w:autoSpaceDE/>
              <w:autoSpaceDN/>
              <w:contextualSpacing/>
              <w:jc w:val="center"/>
              <w:rPr>
                <w:rFonts w:ascii="Calibri" w:hAnsi="Calibri" w:cs="Calibri"/>
                <w:b/>
                <w:bCs/>
                <w:color w:val="000000"/>
                <w:sz w:val="20"/>
                <w:szCs w:val="16"/>
              </w:rPr>
            </w:pPr>
            <w:r w:rsidRPr="00476D43">
              <w:rPr>
                <w:rFonts w:ascii="Calibri" w:hAnsi="Calibri" w:cs="Calibri"/>
                <w:b/>
                <w:bCs/>
                <w:color w:val="000000"/>
                <w:sz w:val="20"/>
                <w:szCs w:val="16"/>
              </w:rPr>
              <w:t>Cost Burden / Respondent</w:t>
            </w:r>
          </w:p>
        </w:tc>
        <w:tc>
          <w:tcPr>
            <w:tcW w:w="1851" w:type="dxa"/>
            <w:tcBorders>
              <w:top w:val="single" w:color="auto" w:sz="8" w:space="0"/>
              <w:left w:val="nil"/>
              <w:bottom w:val="single" w:color="auto" w:sz="8" w:space="0"/>
              <w:right w:val="single" w:color="auto" w:sz="8" w:space="0"/>
            </w:tcBorders>
            <w:shd w:val="clear" w:color="000000" w:fill="BDD7EE"/>
            <w:vAlign w:val="center"/>
            <w:hideMark/>
          </w:tcPr>
          <w:p w:rsidRPr="00476D43" w:rsidR="00331850" w:rsidP="00DF1056" w:rsidRDefault="00331850" w14:paraId="05A243EB" w14:textId="77777777">
            <w:pPr>
              <w:widowControl/>
              <w:autoSpaceDE/>
              <w:autoSpaceDN/>
              <w:contextualSpacing/>
              <w:jc w:val="center"/>
              <w:rPr>
                <w:rFonts w:ascii="Calibri" w:hAnsi="Calibri" w:cs="Calibri"/>
                <w:b/>
                <w:bCs/>
                <w:color w:val="000000"/>
                <w:sz w:val="20"/>
                <w:szCs w:val="16"/>
              </w:rPr>
            </w:pPr>
            <w:r w:rsidRPr="00476D43">
              <w:rPr>
                <w:rFonts w:ascii="Calibri" w:hAnsi="Calibri" w:cs="Calibri"/>
                <w:b/>
                <w:bCs/>
                <w:color w:val="000000"/>
                <w:sz w:val="20"/>
                <w:szCs w:val="16"/>
              </w:rPr>
              <w:t>Total Annual Cost Burden</w:t>
            </w:r>
          </w:p>
        </w:tc>
      </w:tr>
      <w:tr w:rsidRPr="0019346B" w:rsidR="00331850" w:rsidTr="002D1549" w14:paraId="5965B07F" w14:textId="77777777">
        <w:trPr>
          <w:trHeight w:val="656"/>
        </w:trPr>
        <w:tc>
          <w:tcPr>
            <w:tcW w:w="2070" w:type="dxa"/>
            <w:tcBorders>
              <w:top w:val="nil"/>
              <w:left w:val="single" w:color="auto" w:sz="4" w:space="0"/>
              <w:bottom w:val="single" w:color="auto" w:sz="4" w:space="0"/>
              <w:right w:val="single" w:color="auto" w:sz="4" w:space="0"/>
            </w:tcBorders>
            <w:shd w:val="clear" w:color="auto" w:fill="auto"/>
            <w:vAlign w:val="center"/>
            <w:hideMark/>
          </w:tcPr>
          <w:p w:rsidRPr="0019346B" w:rsidR="00331850" w:rsidP="00DF1056" w:rsidRDefault="00331850" w14:paraId="4C267F67" w14:textId="77777777">
            <w:pPr>
              <w:widowControl/>
              <w:autoSpaceDE/>
              <w:autoSpaceDN/>
              <w:contextualSpacing/>
              <w:rPr>
                <w:rFonts w:asciiTheme="minorHAnsi" w:hAnsiTheme="minorHAnsi" w:cstheme="minorHAnsi"/>
                <w:color w:val="000000"/>
                <w:sz w:val="20"/>
                <w:szCs w:val="20"/>
              </w:rPr>
            </w:pPr>
            <w:r w:rsidRPr="0019346B">
              <w:rPr>
                <w:rFonts w:eastAsia="Calibri" w:asciiTheme="minorHAnsi" w:hAnsiTheme="minorHAnsi" w:cstheme="minorHAnsi"/>
                <w:sz w:val="20"/>
                <w:szCs w:val="20"/>
              </w:rPr>
              <w:t>VMS purchase of new or replacement units</w:t>
            </w:r>
          </w:p>
        </w:tc>
        <w:tc>
          <w:tcPr>
            <w:tcW w:w="2202"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7BF2674F" w14:textId="77777777">
            <w:pPr>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33 annualized</w:t>
            </w:r>
          </w:p>
          <w:p w:rsidRPr="0019346B" w:rsidR="00331850" w:rsidP="00DF1056" w:rsidRDefault="00331850" w14:paraId="1D723A30"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(100/3)</w:t>
            </w:r>
          </w:p>
        </w:tc>
        <w:tc>
          <w:tcPr>
            <w:tcW w:w="2110"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422EF9E9" w14:textId="77777777">
            <w:pPr>
              <w:widowControl/>
              <w:autoSpaceDE/>
              <w:autoSpaceDN/>
              <w:contextualSpacing/>
              <w:jc w:val="center"/>
              <w:rPr>
                <w:rFonts w:asciiTheme="minorHAnsi" w:hAnsiTheme="minorHAnsi" w:cstheme="minorHAnsi"/>
                <w:color w:val="000000"/>
                <w:sz w:val="20"/>
                <w:szCs w:val="20"/>
              </w:rPr>
            </w:pPr>
            <w:r w:rsidRPr="0019346B">
              <w:rPr>
                <w:rFonts w:asciiTheme="minorHAnsi" w:hAnsiTheme="minorHAnsi" w:cstheme="minorHAnsi"/>
                <w:color w:val="000000"/>
                <w:sz w:val="20"/>
                <w:szCs w:val="20"/>
              </w:rPr>
              <w:t>1</w:t>
            </w:r>
          </w:p>
        </w:tc>
        <w:tc>
          <w:tcPr>
            <w:tcW w:w="1939"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1F363B82"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33</w:t>
            </w:r>
          </w:p>
        </w:tc>
        <w:tc>
          <w:tcPr>
            <w:tcW w:w="2143"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7E95B839"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$3,100 per replacement unit</w:t>
            </w:r>
          </w:p>
        </w:tc>
        <w:tc>
          <w:tcPr>
            <w:tcW w:w="1851" w:type="dxa"/>
            <w:tcBorders>
              <w:top w:val="nil"/>
              <w:left w:val="nil"/>
              <w:bottom w:val="single" w:color="auto" w:sz="4" w:space="0"/>
              <w:right w:val="single" w:color="auto" w:sz="8" w:space="0"/>
            </w:tcBorders>
            <w:shd w:val="clear" w:color="000000" w:fill="FFFFFF"/>
            <w:vAlign w:val="center"/>
            <w:hideMark/>
          </w:tcPr>
          <w:p w:rsidRPr="0019346B" w:rsidR="00331850" w:rsidP="00DF1056" w:rsidRDefault="00331850" w14:paraId="50C96648"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$102,300</w:t>
            </w:r>
          </w:p>
        </w:tc>
      </w:tr>
      <w:tr w:rsidRPr="0019346B" w:rsidR="00331850" w:rsidTr="002D1549" w14:paraId="78C25FC0" w14:textId="77777777">
        <w:trPr>
          <w:trHeight w:val="656"/>
        </w:trPr>
        <w:tc>
          <w:tcPr>
            <w:tcW w:w="2070" w:type="dxa"/>
            <w:tcBorders>
              <w:top w:val="nil"/>
              <w:left w:val="single" w:color="auto" w:sz="4" w:space="0"/>
              <w:bottom w:val="single" w:color="auto" w:sz="4" w:space="0"/>
              <w:right w:val="single" w:color="auto" w:sz="4" w:space="0"/>
            </w:tcBorders>
            <w:shd w:val="clear" w:color="auto" w:fill="auto"/>
            <w:vAlign w:val="center"/>
            <w:hideMark/>
          </w:tcPr>
          <w:p w:rsidRPr="0019346B" w:rsidR="00331850" w:rsidP="00DF1056" w:rsidRDefault="00331850" w14:paraId="2D30D7E6" w14:textId="77777777">
            <w:pPr>
              <w:widowControl/>
              <w:autoSpaceDE/>
              <w:autoSpaceDN/>
              <w:contextualSpacing/>
              <w:rPr>
                <w:rFonts w:asciiTheme="minorHAnsi" w:hAnsiTheme="minorHAnsi" w:cstheme="minorHAnsi"/>
                <w:color w:val="000000"/>
                <w:sz w:val="20"/>
                <w:szCs w:val="20"/>
              </w:rPr>
            </w:pPr>
            <w:r w:rsidRPr="0019346B">
              <w:rPr>
                <w:rFonts w:eastAsia="Calibri" w:asciiTheme="minorHAnsi" w:hAnsiTheme="minorHAnsi" w:cstheme="minorHAnsi"/>
                <w:sz w:val="20"/>
                <w:szCs w:val="20"/>
              </w:rPr>
              <w:t>VMS daily transmission costs</w:t>
            </w:r>
          </w:p>
        </w:tc>
        <w:tc>
          <w:tcPr>
            <w:tcW w:w="2202"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45D74B46"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550</w:t>
            </w:r>
          </w:p>
        </w:tc>
        <w:tc>
          <w:tcPr>
            <w:tcW w:w="2110"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6F6FA986"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u w:val="single"/>
                <w:vertAlign w:val="superscript"/>
              </w:rPr>
              <w:t>1</w:t>
            </w:r>
            <w:r w:rsidRPr="0019346B">
              <w:rPr>
                <w:rFonts w:eastAsia="Calibri" w:asciiTheme="minorHAnsi" w:hAnsiTheme="minorHAnsi" w:cstheme="minorHAnsi"/>
                <w:sz w:val="20"/>
                <w:szCs w:val="20"/>
                <w:vertAlign w:val="superscript"/>
              </w:rPr>
              <w:t>/</w:t>
            </w:r>
          </w:p>
        </w:tc>
        <w:tc>
          <w:tcPr>
            <w:tcW w:w="1939"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29C76581"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u w:val="single"/>
                <w:vertAlign w:val="superscript"/>
              </w:rPr>
              <w:t>1</w:t>
            </w:r>
            <w:r w:rsidRPr="0019346B">
              <w:rPr>
                <w:rFonts w:eastAsia="Calibri" w:asciiTheme="minorHAnsi" w:hAnsiTheme="minorHAnsi" w:cstheme="minorHAnsi"/>
                <w:sz w:val="20"/>
                <w:szCs w:val="20"/>
                <w:vertAlign w:val="superscript"/>
              </w:rPr>
              <w:t xml:space="preserve">/ </w:t>
            </w:r>
            <w:r w:rsidRPr="0019346B">
              <w:rPr>
                <w:rFonts w:eastAsia="Calibri" w:asciiTheme="minorHAnsi" w:hAnsiTheme="minorHAnsi" w:cstheme="minorHAnsi"/>
                <w:sz w:val="20"/>
                <w:szCs w:val="20"/>
              </w:rPr>
              <w:t>550</w:t>
            </w:r>
          </w:p>
        </w:tc>
        <w:tc>
          <w:tcPr>
            <w:tcW w:w="2143"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618DC806"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$720</w:t>
            </w:r>
            <w:r w:rsidRPr="0019346B">
              <w:rPr>
                <w:rFonts w:eastAsia="Calibri" w:asciiTheme="minorHAnsi" w:hAnsiTheme="minorHAnsi" w:cstheme="minorHAnsi"/>
                <w:sz w:val="20"/>
                <w:szCs w:val="20"/>
                <w:u w:val="single"/>
                <w:vertAlign w:val="superscript"/>
              </w:rPr>
              <w:t>2</w:t>
            </w:r>
            <w:r w:rsidRPr="0019346B">
              <w:rPr>
                <w:rFonts w:eastAsia="Calibri" w:asciiTheme="minorHAnsi" w:hAnsiTheme="minorHAnsi" w:cstheme="minorHAnsi"/>
                <w:sz w:val="20"/>
                <w:szCs w:val="20"/>
                <w:vertAlign w:val="superscript"/>
              </w:rPr>
              <w:t>/</w:t>
            </w:r>
          </w:p>
        </w:tc>
        <w:tc>
          <w:tcPr>
            <w:tcW w:w="1851" w:type="dxa"/>
            <w:tcBorders>
              <w:top w:val="nil"/>
              <w:left w:val="nil"/>
              <w:bottom w:val="single" w:color="auto" w:sz="4" w:space="0"/>
              <w:right w:val="single" w:color="auto" w:sz="8" w:space="0"/>
            </w:tcBorders>
            <w:shd w:val="clear" w:color="000000" w:fill="FFFFFF"/>
            <w:vAlign w:val="center"/>
            <w:hideMark/>
          </w:tcPr>
          <w:p w:rsidRPr="0019346B" w:rsidR="00331850" w:rsidP="00DF1056" w:rsidRDefault="00331850" w14:paraId="173F76EF"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$396,000</w:t>
            </w:r>
            <w:r w:rsidRPr="0019346B">
              <w:rPr>
                <w:rFonts w:eastAsia="Calibri" w:asciiTheme="minorHAnsi" w:hAnsiTheme="minorHAnsi" w:cstheme="minorHAnsi"/>
                <w:sz w:val="20"/>
                <w:szCs w:val="20"/>
                <w:u w:val="single"/>
                <w:vertAlign w:val="superscript"/>
              </w:rPr>
              <w:t>2</w:t>
            </w:r>
            <w:r w:rsidRPr="0019346B">
              <w:rPr>
                <w:rFonts w:eastAsia="Calibri" w:asciiTheme="minorHAnsi" w:hAnsiTheme="minorHAnsi" w:cstheme="minorHAnsi"/>
                <w:sz w:val="20"/>
                <w:szCs w:val="20"/>
                <w:vertAlign w:val="superscript"/>
              </w:rPr>
              <w:t>/</w:t>
            </w:r>
          </w:p>
        </w:tc>
      </w:tr>
      <w:tr w:rsidRPr="0019346B" w:rsidR="00331850" w:rsidTr="002D1549" w14:paraId="41A30956" w14:textId="77777777">
        <w:trPr>
          <w:trHeight w:val="656"/>
        </w:trPr>
        <w:tc>
          <w:tcPr>
            <w:tcW w:w="2070" w:type="dxa"/>
            <w:tcBorders>
              <w:top w:val="nil"/>
              <w:left w:val="single" w:color="auto" w:sz="4" w:space="0"/>
              <w:bottom w:val="single" w:color="auto" w:sz="4" w:space="0"/>
              <w:right w:val="single" w:color="auto" w:sz="4" w:space="0"/>
            </w:tcBorders>
            <w:shd w:val="clear" w:color="auto" w:fill="auto"/>
            <w:vAlign w:val="center"/>
            <w:hideMark/>
          </w:tcPr>
          <w:p w:rsidRPr="0019346B" w:rsidR="00331850" w:rsidP="00DF1056" w:rsidRDefault="00331850" w14:paraId="53E03A0A" w14:textId="77777777">
            <w:pPr>
              <w:widowControl/>
              <w:autoSpaceDE/>
              <w:autoSpaceDN/>
              <w:contextualSpacing/>
              <w:rPr>
                <w:rFonts w:asciiTheme="minorHAnsi" w:hAnsiTheme="minorHAnsi" w:cstheme="minorHAnsi"/>
                <w:color w:val="000000"/>
                <w:sz w:val="20"/>
                <w:szCs w:val="20"/>
              </w:rPr>
            </w:pPr>
            <w:r w:rsidRPr="0019346B">
              <w:rPr>
                <w:rFonts w:eastAsia="Calibri" w:asciiTheme="minorHAnsi" w:hAnsiTheme="minorHAnsi" w:cstheme="minorHAnsi"/>
                <w:sz w:val="20"/>
                <w:szCs w:val="20"/>
              </w:rPr>
              <w:t>VMS installation, maintenance, and troubleshooting</w:t>
            </w:r>
          </w:p>
        </w:tc>
        <w:tc>
          <w:tcPr>
            <w:tcW w:w="2202"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5C1F840C"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611</w:t>
            </w:r>
          </w:p>
        </w:tc>
        <w:tc>
          <w:tcPr>
            <w:tcW w:w="2110"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4019A836" w14:textId="77777777">
            <w:pPr>
              <w:widowControl/>
              <w:autoSpaceDE/>
              <w:autoSpaceDN/>
              <w:contextualSpacing/>
              <w:jc w:val="center"/>
              <w:rPr>
                <w:rFonts w:asciiTheme="minorHAnsi" w:hAnsiTheme="minorHAnsi" w:cstheme="minorHAnsi"/>
                <w:color w:val="000000"/>
                <w:sz w:val="20"/>
                <w:szCs w:val="20"/>
              </w:rPr>
            </w:pPr>
            <w:r w:rsidRPr="0019346B">
              <w:rPr>
                <w:rFonts w:asciiTheme="minorHAnsi" w:hAnsiTheme="minorHAnsi" w:cstheme="minorHAnsi"/>
                <w:color w:val="000000"/>
                <w:sz w:val="20"/>
                <w:szCs w:val="20"/>
              </w:rPr>
              <w:t>1</w:t>
            </w:r>
          </w:p>
        </w:tc>
        <w:tc>
          <w:tcPr>
            <w:tcW w:w="1939"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3356F004"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611</w:t>
            </w:r>
          </w:p>
        </w:tc>
        <w:tc>
          <w:tcPr>
            <w:tcW w:w="2143" w:type="dxa"/>
            <w:tcBorders>
              <w:top w:val="nil"/>
              <w:left w:val="nil"/>
              <w:bottom w:val="single" w:color="auto" w:sz="4" w:space="0"/>
              <w:right w:val="single" w:color="auto" w:sz="4" w:space="0"/>
            </w:tcBorders>
            <w:shd w:val="clear" w:color="000000" w:fill="FFFFFF"/>
            <w:vAlign w:val="center"/>
            <w:hideMark/>
          </w:tcPr>
          <w:p w:rsidRPr="0019346B" w:rsidR="00331850" w:rsidP="00DF1056" w:rsidRDefault="00331850" w14:paraId="29429F79"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$2,456hrs * $128/hr (Table 13b below)</w:t>
            </w:r>
          </w:p>
        </w:tc>
        <w:tc>
          <w:tcPr>
            <w:tcW w:w="1851" w:type="dxa"/>
            <w:tcBorders>
              <w:top w:val="nil"/>
              <w:left w:val="nil"/>
              <w:bottom w:val="single" w:color="auto" w:sz="4" w:space="0"/>
              <w:right w:val="single" w:color="auto" w:sz="8" w:space="0"/>
            </w:tcBorders>
            <w:shd w:val="clear" w:color="000000" w:fill="FFFFFF"/>
            <w:vAlign w:val="center"/>
            <w:hideMark/>
          </w:tcPr>
          <w:p w:rsidRPr="0019346B" w:rsidR="00331850" w:rsidP="00DF1056" w:rsidRDefault="00331850" w14:paraId="7BECAC83" w14:textId="77777777">
            <w:pPr>
              <w:widowControl/>
              <w:autoSpaceDE/>
              <w:autoSpaceDN/>
              <w:contextualSpacing/>
              <w:jc w:val="center"/>
              <w:rPr>
                <w:rFonts w:asciiTheme="minorHAnsi" w:hAnsiTheme="minorHAnsi" w:cstheme="minorHAnsi"/>
                <w:color w:val="000000"/>
                <w:sz w:val="20"/>
                <w:szCs w:val="20"/>
              </w:rPr>
            </w:pPr>
            <w:r w:rsidRPr="0019346B">
              <w:rPr>
                <w:rFonts w:eastAsia="Calibri" w:asciiTheme="minorHAnsi" w:hAnsiTheme="minorHAnsi" w:cstheme="minorHAnsi"/>
                <w:sz w:val="20"/>
                <w:szCs w:val="20"/>
              </w:rPr>
              <w:t>$314,368</w:t>
            </w:r>
          </w:p>
        </w:tc>
      </w:tr>
      <w:tr w:rsidRPr="00530BB7" w:rsidR="00331850" w:rsidTr="00F76F93" w14:paraId="65783C3B" w14:textId="77777777">
        <w:trPr>
          <w:trHeight w:val="689"/>
        </w:trPr>
        <w:tc>
          <w:tcPr>
            <w:tcW w:w="207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9346B" w:rsidR="00331850" w:rsidP="00DF1056" w:rsidRDefault="00331850" w14:paraId="26AA09E0" w14:textId="77777777">
            <w:pPr>
              <w:widowControl/>
              <w:autoSpaceDE/>
              <w:autoSpaceDN/>
              <w:contextualSpacing/>
              <w:jc w:val="center"/>
              <w:rPr>
                <w:rFonts w:asciiTheme="minorHAnsi" w:hAnsiTheme="minorHAnsi" w:cstheme="minorHAnsi"/>
                <w:b/>
                <w:bCs/>
                <w:color w:val="000000"/>
                <w:sz w:val="20"/>
                <w:szCs w:val="20"/>
              </w:rPr>
            </w:pPr>
            <w:r w:rsidRPr="0019346B">
              <w:rPr>
                <w:rFonts w:asciiTheme="minorHAnsi" w:hAnsiTheme="minorHAnsi" w:cstheme="minorHAnsi"/>
                <w:b/>
                <w:bCs/>
                <w:color w:val="000000"/>
                <w:sz w:val="20"/>
                <w:szCs w:val="20"/>
              </w:rPr>
              <w:t>TOTALS</w:t>
            </w:r>
          </w:p>
        </w:tc>
        <w:tc>
          <w:tcPr>
            <w:tcW w:w="2202" w:type="dxa"/>
            <w:tcBorders>
              <w:top w:val="single" w:color="auto" w:sz="8" w:space="0"/>
              <w:left w:val="nil"/>
              <w:bottom w:val="single" w:color="auto" w:sz="8" w:space="0"/>
              <w:right w:val="single" w:color="auto" w:sz="4" w:space="0"/>
            </w:tcBorders>
            <w:shd w:val="clear" w:color="auto" w:fill="000000" w:themeFill="text1"/>
            <w:vAlign w:val="center"/>
            <w:hideMark/>
          </w:tcPr>
          <w:p w:rsidRPr="00530BB7" w:rsidR="00331850" w:rsidP="00DF1056" w:rsidRDefault="00331850" w14:paraId="6449A3D9" w14:textId="77777777">
            <w:pPr>
              <w:widowControl/>
              <w:autoSpaceDE/>
              <w:autoSpaceDN/>
              <w:contextualSpacing/>
              <w:jc w:val="center"/>
              <w:rPr>
                <w:rFonts w:asciiTheme="minorHAnsi" w:hAnsiTheme="minorHAnsi" w:cstheme="minorHAnsi"/>
                <w:b/>
                <w:bCs/>
                <w:color w:val="000000"/>
                <w:sz w:val="20"/>
                <w:szCs w:val="20"/>
              </w:rPr>
            </w:pPr>
          </w:p>
        </w:tc>
        <w:tc>
          <w:tcPr>
            <w:tcW w:w="2110" w:type="dxa"/>
            <w:tcBorders>
              <w:top w:val="single" w:color="auto" w:sz="8" w:space="0"/>
              <w:left w:val="nil"/>
              <w:bottom w:val="single" w:color="auto" w:sz="8" w:space="0"/>
              <w:right w:val="single" w:color="auto" w:sz="4" w:space="0"/>
            </w:tcBorders>
            <w:shd w:val="clear" w:color="auto" w:fill="000000" w:themeFill="text1"/>
            <w:vAlign w:val="center"/>
            <w:hideMark/>
          </w:tcPr>
          <w:p w:rsidRPr="00530BB7" w:rsidR="00331850" w:rsidP="00DF1056" w:rsidRDefault="00331850" w14:paraId="781FB4FD" w14:textId="77777777">
            <w:pPr>
              <w:widowControl/>
              <w:autoSpaceDE/>
              <w:autoSpaceDN/>
              <w:contextualSpacing/>
              <w:jc w:val="center"/>
              <w:rPr>
                <w:rFonts w:asciiTheme="minorHAnsi" w:hAnsiTheme="minorHAnsi" w:cstheme="minorHAnsi"/>
                <w:b/>
                <w:bCs/>
                <w:color w:val="000000"/>
                <w:sz w:val="20"/>
                <w:szCs w:val="20"/>
              </w:rPr>
            </w:pPr>
          </w:p>
        </w:tc>
        <w:tc>
          <w:tcPr>
            <w:tcW w:w="1939" w:type="dxa"/>
            <w:tcBorders>
              <w:top w:val="single" w:color="auto" w:sz="8" w:space="0"/>
              <w:left w:val="nil"/>
              <w:bottom w:val="single" w:color="auto" w:sz="8" w:space="0"/>
              <w:right w:val="single" w:color="auto" w:sz="4" w:space="0"/>
            </w:tcBorders>
            <w:shd w:val="clear" w:color="000000" w:fill="DDEBF7"/>
            <w:vAlign w:val="center"/>
            <w:hideMark/>
          </w:tcPr>
          <w:p w:rsidRPr="00530BB7" w:rsidR="00331850" w:rsidP="00DF1056" w:rsidRDefault="00331850" w14:paraId="736F4318" w14:textId="77777777">
            <w:pPr>
              <w:widowControl/>
              <w:autoSpaceDE/>
              <w:autoSpaceDN/>
              <w:contextualSpacing/>
              <w:jc w:val="center"/>
              <w:rPr>
                <w:rFonts w:asciiTheme="minorHAnsi" w:hAnsiTheme="minorHAnsi" w:cstheme="minorHAnsi"/>
                <w:b/>
                <w:bCs/>
                <w:color w:val="000000"/>
                <w:sz w:val="20"/>
                <w:szCs w:val="20"/>
              </w:rPr>
            </w:pPr>
            <w:r w:rsidRPr="00530BB7">
              <w:rPr>
                <w:rFonts w:asciiTheme="minorHAnsi" w:hAnsiTheme="minorHAnsi" w:cstheme="minorHAnsi"/>
                <w:b/>
                <w:bCs/>
                <w:color w:val="000000"/>
                <w:sz w:val="20"/>
                <w:szCs w:val="20"/>
              </w:rPr>
              <w:t xml:space="preserve">611 </w:t>
            </w:r>
          </w:p>
        </w:tc>
        <w:tc>
          <w:tcPr>
            <w:tcW w:w="2143" w:type="dxa"/>
            <w:tcBorders>
              <w:top w:val="single" w:color="auto" w:sz="8" w:space="0"/>
              <w:left w:val="nil"/>
              <w:bottom w:val="single" w:color="auto" w:sz="8" w:space="0"/>
              <w:right w:val="single" w:color="auto" w:sz="4" w:space="0"/>
            </w:tcBorders>
            <w:shd w:val="clear" w:color="auto" w:fill="000000" w:themeFill="text1"/>
            <w:vAlign w:val="center"/>
            <w:hideMark/>
          </w:tcPr>
          <w:p w:rsidRPr="00530BB7" w:rsidR="00331850" w:rsidP="00DF1056" w:rsidRDefault="00331850" w14:paraId="0E6DF339" w14:textId="77777777">
            <w:pPr>
              <w:widowControl/>
              <w:autoSpaceDE/>
              <w:autoSpaceDN/>
              <w:contextualSpacing/>
              <w:jc w:val="center"/>
              <w:rPr>
                <w:rFonts w:asciiTheme="minorHAnsi" w:hAnsiTheme="minorHAnsi" w:cstheme="minorHAnsi"/>
                <w:b/>
                <w:bCs/>
                <w:color w:val="000000"/>
                <w:sz w:val="20"/>
                <w:szCs w:val="20"/>
              </w:rPr>
            </w:pPr>
          </w:p>
        </w:tc>
        <w:tc>
          <w:tcPr>
            <w:tcW w:w="1851" w:type="dxa"/>
            <w:tcBorders>
              <w:top w:val="single" w:color="auto" w:sz="8" w:space="0"/>
              <w:left w:val="nil"/>
              <w:bottom w:val="single" w:color="auto" w:sz="8" w:space="0"/>
              <w:right w:val="single" w:color="auto" w:sz="8" w:space="0"/>
            </w:tcBorders>
            <w:shd w:val="clear" w:color="000000" w:fill="DDEBF7"/>
            <w:vAlign w:val="center"/>
            <w:hideMark/>
          </w:tcPr>
          <w:p w:rsidRPr="00530BB7" w:rsidR="00331850" w:rsidP="00DF1056" w:rsidRDefault="00331850" w14:paraId="2B187CCB" w14:textId="77777777">
            <w:pPr>
              <w:widowControl/>
              <w:autoSpaceDE/>
              <w:autoSpaceDN/>
              <w:contextualSpacing/>
              <w:jc w:val="center"/>
              <w:rPr>
                <w:rFonts w:asciiTheme="minorHAnsi" w:hAnsiTheme="minorHAnsi" w:cstheme="minorHAnsi"/>
                <w:b/>
                <w:bCs/>
                <w:color w:val="000000"/>
                <w:sz w:val="20"/>
                <w:szCs w:val="20"/>
              </w:rPr>
            </w:pPr>
            <w:r w:rsidRPr="00530BB7">
              <w:rPr>
                <w:rFonts w:asciiTheme="minorHAnsi" w:hAnsiTheme="minorHAnsi" w:cstheme="minorHAnsi"/>
                <w:b/>
                <w:bCs/>
                <w:color w:val="000000"/>
                <w:sz w:val="20"/>
                <w:szCs w:val="20"/>
              </w:rPr>
              <w:t>$812,668</w:t>
            </w:r>
          </w:p>
        </w:tc>
      </w:tr>
    </w:tbl>
    <w:p w:rsidRPr="00965BB7" w:rsidR="00331850" w:rsidP="00DF1056" w:rsidRDefault="00331850" w14:paraId="50AB7E05" w14:textId="77777777">
      <w:pPr>
        <w:widowControl/>
        <w:contextualSpacing/>
        <w:rPr>
          <w:rFonts w:eastAsia="Calibri" w:asciiTheme="minorHAnsi" w:hAnsiTheme="minorHAnsi" w:cstheme="minorHAnsi"/>
          <w:sz w:val="18"/>
          <w:szCs w:val="18"/>
        </w:rPr>
      </w:pPr>
      <w:r w:rsidRPr="00965BB7">
        <w:rPr>
          <w:rFonts w:eastAsia="Calibri" w:asciiTheme="minorHAnsi" w:hAnsiTheme="minorHAnsi" w:cstheme="minorHAnsi"/>
          <w:sz w:val="18"/>
          <w:szCs w:val="18"/>
          <w:u w:val="single"/>
          <w:vertAlign w:val="superscript"/>
        </w:rPr>
        <w:t>1</w:t>
      </w:r>
      <w:r w:rsidRPr="00965BB7">
        <w:rPr>
          <w:rFonts w:eastAsia="Calibri" w:asciiTheme="minorHAnsi" w:hAnsiTheme="minorHAnsi" w:cstheme="minorHAnsi"/>
          <w:sz w:val="18"/>
          <w:szCs w:val="18"/>
          <w:vertAlign w:val="superscript"/>
        </w:rPr>
        <w:t>/</w:t>
      </w:r>
      <w:r w:rsidRPr="00965BB7">
        <w:rPr>
          <w:rFonts w:eastAsia="Calibri" w:asciiTheme="minorHAnsi" w:hAnsiTheme="minorHAnsi" w:cstheme="minorHAnsi"/>
          <w:sz w:val="18"/>
          <w:szCs w:val="18"/>
        </w:rPr>
        <w:t xml:space="preserve"> The automatic transmission of vessel location data from the VMS unit is not considered a response under the PRA because the information is sent automatically from the unit with no need for any action by the vessel operator or crew.</w:t>
      </w:r>
    </w:p>
    <w:p w:rsidRPr="00965BB7" w:rsidR="00331850" w:rsidP="00DF1056" w:rsidRDefault="00331850" w14:paraId="5E0E76CF" w14:textId="77777777">
      <w:pPr>
        <w:widowControl/>
        <w:contextualSpacing/>
        <w:rPr>
          <w:rFonts w:asciiTheme="minorHAnsi" w:hAnsiTheme="minorHAnsi" w:cstheme="minorHAnsi"/>
          <w:color w:val="000000"/>
          <w:sz w:val="24"/>
          <w:szCs w:val="24"/>
        </w:rPr>
      </w:pPr>
      <w:r w:rsidRPr="00965BB7">
        <w:rPr>
          <w:rFonts w:eastAsia="Calibri" w:asciiTheme="minorHAnsi" w:hAnsiTheme="minorHAnsi" w:cstheme="minorHAnsi"/>
          <w:sz w:val="18"/>
          <w:szCs w:val="18"/>
          <w:u w:val="single"/>
          <w:vertAlign w:val="superscript"/>
        </w:rPr>
        <w:t>2</w:t>
      </w:r>
      <w:r w:rsidRPr="00965BB7">
        <w:rPr>
          <w:rFonts w:eastAsia="Calibri" w:asciiTheme="minorHAnsi" w:hAnsiTheme="minorHAnsi" w:cstheme="minorHAnsi"/>
          <w:sz w:val="18"/>
          <w:szCs w:val="18"/>
          <w:vertAlign w:val="superscript"/>
        </w:rPr>
        <w:t>/</w:t>
      </w:r>
      <w:r w:rsidRPr="00965BB7">
        <w:rPr>
          <w:rFonts w:eastAsia="Calibri" w:asciiTheme="minorHAnsi" w:hAnsiTheme="minorHAnsi" w:cstheme="minorHAnsi"/>
          <w:sz w:val="18"/>
          <w:szCs w:val="18"/>
        </w:rPr>
        <w:t xml:space="preserve"> See explanation under heading “Response to Question 13 (continued).”</w:t>
      </w:r>
    </w:p>
    <w:p w:rsidR="00216908" w:rsidP="00DF1056" w:rsidRDefault="00216908" w14:paraId="3CA4E465" w14:textId="77777777">
      <w:pPr>
        <w:keepNext/>
        <w:keepLines/>
        <w:widowControl/>
        <w:contextualSpacing/>
        <w:rPr>
          <w:rFonts w:ascii="Times New Roman" w:hAnsi="Times New Roman" w:cs="Times New Roman"/>
          <w:color w:val="000000"/>
          <w:sz w:val="24"/>
          <w:szCs w:val="24"/>
        </w:rPr>
      </w:pPr>
    </w:p>
    <w:p w:rsidRPr="00DE05A7" w:rsidR="00331850" w:rsidP="00DF1056" w:rsidRDefault="00331850" w14:paraId="0D128000" w14:textId="4D7C8270">
      <w:pPr>
        <w:keepNext/>
        <w:keepLines/>
        <w:widowControl/>
        <w:spacing w:before="240"/>
        <w:contextualSpacing/>
        <w:rPr>
          <w:color w:val="000000"/>
          <w:sz w:val="24"/>
          <w:szCs w:val="24"/>
        </w:rPr>
      </w:pPr>
      <w:r w:rsidRPr="00476D43">
        <w:rPr>
          <w:rFonts w:ascii="Times New Roman" w:hAnsi="Times New Roman" w:cs="Times New Roman"/>
          <w:color w:val="000000"/>
          <w:sz w:val="24"/>
          <w:szCs w:val="24"/>
        </w:rPr>
        <w:t>Table 13b. Explanation for calculation of miscellaneous costs to hire a technician to perform installation of new or replacement VMS units and maintenance and troubleshooting on all VMS units.</w:t>
      </w:r>
    </w:p>
    <w:tbl>
      <w:tblPr>
        <w:tblW w:w="13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5"/>
        <w:gridCol w:w="1827"/>
        <w:gridCol w:w="1969"/>
        <w:gridCol w:w="1320"/>
        <w:gridCol w:w="1274"/>
        <w:gridCol w:w="1593"/>
        <w:gridCol w:w="1159"/>
        <w:gridCol w:w="1203"/>
      </w:tblGrid>
      <w:tr w:rsidRPr="00E02C53" w:rsidR="00331850" w:rsidTr="0019346B" w14:paraId="57F02524" w14:textId="77777777">
        <w:trPr>
          <w:tblHeader/>
          <w:jc w:val="center"/>
        </w:trPr>
        <w:tc>
          <w:tcPr>
            <w:tcW w:w="3515" w:type="dxa"/>
            <w:tcBorders>
              <w:top w:val="single" w:color="auto" w:sz="4" w:space="0"/>
              <w:bottom w:val="single" w:color="auto" w:sz="4" w:space="0"/>
            </w:tcBorders>
            <w:shd w:val="clear" w:color="auto" w:fill="DEEAF6"/>
            <w:noWrap/>
            <w:vAlign w:val="center"/>
            <w:hideMark/>
          </w:tcPr>
          <w:p w:rsidRPr="00476D43" w:rsidR="00331850" w:rsidP="00DF1056" w:rsidRDefault="00331850" w14:paraId="3BB6B39E" w14:textId="77777777">
            <w:pPr>
              <w:keepNext/>
              <w:keepLines/>
              <w:widowControl/>
              <w:contextualSpacing/>
              <w:rPr>
                <w:rFonts w:eastAsia="Calibri" w:asciiTheme="minorHAnsi" w:hAnsiTheme="minorHAnsi"/>
                <w:b/>
                <w:sz w:val="20"/>
              </w:rPr>
            </w:pPr>
            <w:r w:rsidRPr="00476D43">
              <w:rPr>
                <w:rFonts w:eastAsia="Calibri" w:asciiTheme="minorHAnsi" w:hAnsiTheme="minorHAnsi"/>
                <w:b/>
                <w:sz w:val="20"/>
              </w:rPr>
              <w:t>Information Collection</w:t>
            </w:r>
          </w:p>
        </w:tc>
        <w:tc>
          <w:tcPr>
            <w:tcW w:w="1827" w:type="dxa"/>
            <w:tcBorders>
              <w:top w:val="single" w:color="auto" w:sz="4" w:space="0"/>
              <w:bottom w:val="single" w:color="auto" w:sz="4" w:space="0"/>
            </w:tcBorders>
            <w:shd w:val="clear" w:color="auto" w:fill="DEEAF6"/>
            <w:vAlign w:val="center"/>
          </w:tcPr>
          <w:p w:rsidRPr="00476D43" w:rsidR="00331850" w:rsidP="00DF1056" w:rsidRDefault="00331850" w14:paraId="6B157968" w14:textId="77777777">
            <w:pPr>
              <w:keepNext/>
              <w:keepLines/>
              <w:widowControl/>
              <w:contextualSpacing/>
              <w:jc w:val="center"/>
              <w:rPr>
                <w:rFonts w:eastAsia="Calibri" w:asciiTheme="minorHAnsi" w:hAnsiTheme="minorHAnsi"/>
                <w:b/>
                <w:sz w:val="20"/>
              </w:rPr>
            </w:pPr>
            <w:r w:rsidRPr="00476D43">
              <w:rPr>
                <w:rFonts w:eastAsia="Calibri" w:asciiTheme="minorHAnsi" w:hAnsiTheme="minorHAnsi"/>
                <w:b/>
                <w:sz w:val="20"/>
              </w:rPr>
              <w:t>Number of respondents</w:t>
            </w:r>
          </w:p>
        </w:tc>
        <w:tc>
          <w:tcPr>
            <w:tcW w:w="1969" w:type="dxa"/>
            <w:tcBorders>
              <w:top w:val="single" w:color="auto" w:sz="4" w:space="0"/>
              <w:bottom w:val="single" w:color="auto" w:sz="4" w:space="0"/>
            </w:tcBorders>
            <w:shd w:val="clear" w:color="auto" w:fill="DEEAF6"/>
            <w:vAlign w:val="center"/>
          </w:tcPr>
          <w:p w:rsidRPr="00476D43" w:rsidR="00331850" w:rsidP="00DF1056" w:rsidRDefault="00331850" w14:paraId="31DF6FC9" w14:textId="77777777">
            <w:pPr>
              <w:keepNext/>
              <w:keepLines/>
              <w:widowControl/>
              <w:contextualSpacing/>
              <w:jc w:val="center"/>
              <w:rPr>
                <w:rFonts w:eastAsia="Calibri" w:asciiTheme="minorHAnsi" w:hAnsiTheme="minorHAnsi"/>
                <w:b/>
                <w:sz w:val="20"/>
              </w:rPr>
            </w:pPr>
            <w:r w:rsidRPr="00476D43">
              <w:rPr>
                <w:rFonts w:eastAsia="Calibri" w:asciiTheme="minorHAnsi" w:hAnsiTheme="minorHAnsi"/>
                <w:b/>
                <w:sz w:val="20"/>
              </w:rPr>
              <w:t>Number of responses per entity per year</w:t>
            </w:r>
          </w:p>
        </w:tc>
        <w:tc>
          <w:tcPr>
            <w:tcW w:w="1320" w:type="dxa"/>
            <w:tcBorders>
              <w:top w:val="single" w:color="auto" w:sz="4" w:space="0"/>
              <w:bottom w:val="single" w:color="auto" w:sz="4" w:space="0"/>
            </w:tcBorders>
            <w:shd w:val="clear" w:color="auto" w:fill="DEEAF6"/>
            <w:vAlign w:val="center"/>
          </w:tcPr>
          <w:p w:rsidRPr="00476D43" w:rsidR="00331850" w:rsidP="00DF1056" w:rsidRDefault="00331850" w14:paraId="63D0462A" w14:textId="77777777">
            <w:pPr>
              <w:keepNext/>
              <w:keepLines/>
              <w:widowControl/>
              <w:contextualSpacing/>
              <w:jc w:val="center"/>
              <w:rPr>
                <w:rFonts w:eastAsia="Calibri" w:asciiTheme="minorHAnsi" w:hAnsiTheme="minorHAnsi"/>
                <w:b/>
                <w:sz w:val="20"/>
              </w:rPr>
            </w:pPr>
            <w:r w:rsidRPr="00476D43">
              <w:rPr>
                <w:rFonts w:eastAsia="Calibri" w:asciiTheme="minorHAnsi" w:hAnsiTheme="minorHAnsi"/>
                <w:b/>
                <w:sz w:val="20"/>
              </w:rPr>
              <w:t>Total annual responses</w:t>
            </w:r>
          </w:p>
        </w:tc>
        <w:tc>
          <w:tcPr>
            <w:tcW w:w="1274" w:type="dxa"/>
            <w:tcBorders>
              <w:top w:val="single" w:color="auto" w:sz="4" w:space="0"/>
              <w:bottom w:val="single" w:color="auto" w:sz="4" w:space="0"/>
            </w:tcBorders>
            <w:shd w:val="clear" w:color="auto" w:fill="DEEAF6"/>
            <w:vAlign w:val="center"/>
          </w:tcPr>
          <w:p w:rsidRPr="00476D43" w:rsidR="00331850" w:rsidP="00DF1056" w:rsidRDefault="00331850" w14:paraId="4820926C" w14:textId="77777777">
            <w:pPr>
              <w:keepNext/>
              <w:keepLines/>
              <w:widowControl/>
              <w:contextualSpacing/>
              <w:jc w:val="center"/>
              <w:rPr>
                <w:rFonts w:eastAsia="Calibri" w:asciiTheme="minorHAnsi" w:hAnsiTheme="minorHAnsi"/>
                <w:b/>
                <w:sz w:val="20"/>
              </w:rPr>
            </w:pPr>
            <w:r w:rsidRPr="00476D43">
              <w:rPr>
                <w:rFonts w:eastAsia="Calibri" w:asciiTheme="minorHAnsi" w:hAnsiTheme="minorHAnsi"/>
                <w:b/>
                <w:sz w:val="20"/>
              </w:rPr>
              <w:t>Estimated time per response</w:t>
            </w:r>
          </w:p>
        </w:tc>
        <w:tc>
          <w:tcPr>
            <w:tcW w:w="1593" w:type="dxa"/>
            <w:tcBorders>
              <w:top w:val="single" w:color="auto" w:sz="4" w:space="0"/>
              <w:bottom w:val="single" w:color="auto" w:sz="4" w:space="0"/>
            </w:tcBorders>
            <w:shd w:val="clear" w:color="auto" w:fill="DEEAF6"/>
            <w:vAlign w:val="center"/>
          </w:tcPr>
          <w:p w:rsidRPr="00476D43" w:rsidR="00331850" w:rsidP="00DF1056" w:rsidRDefault="00331850" w14:paraId="249E18EB" w14:textId="77777777">
            <w:pPr>
              <w:keepNext/>
              <w:keepLines/>
              <w:widowControl/>
              <w:contextualSpacing/>
              <w:jc w:val="center"/>
              <w:rPr>
                <w:rFonts w:eastAsia="Calibri" w:asciiTheme="minorHAnsi" w:hAnsiTheme="minorHAnsi"/>
                <w:b/>
                <w:sz w:val="20"/>
              </w:rPr>
            </w:pPr>
            <w:r w:rsidRPr="00476D43">
              <w:rPr>
                <w:rFonts w:eastAsia="Calibri" w:asciiTheme="minorHAnsi" w:hAnsiTheme="minorHAnsi"/>
                <w:b/>
                <w:sz w:val="20"/>
              </w:rPr>
              <w:t>Total annual hours</w:t>
            </w:r>
          </w:p>
        </w:tc>
        <w:tc>
          <w:tcPr>
            <w:tcW w:w="1159" w:type="dxa"/>
            <w:tcBorders>
              <w:top w:val="single" w:color="auto" w:sz="4" w:space="0"/>
              <w:bottom w:val="single" w:color="auto" w:sz="4" w:space="0"/>
            </w:tcBorders>
            <w:shd w:val="clear" w:color="auto" w:fill="DEEAF6"/>
            <w:vAlign w:val="center"/>
          </w:tcPr>
          <w:p w:rsidRPr="00476D43" w:rsidR="00331850" w:rsidP="00DF1056" w:rsidRDefault="00331850" w14:paraId="602EC77C" w14:textId="77777777">
            <w:pPr>
              <w:keepNext/>
              <w:keepLines/>
              <w:widowControl/>
              <w:contextualSpacing/>
              <w:jc w:val="center"/>
              <w:rPr>
                <w:rFonts w:eastAsia="Calibri" w:asciiTheme="minorHAnsi" w:hAnsiTheme="minorHAnsi"/>
                <w:b/>
                <w:sz w:val="20"/>
              </w:rPr>
            </w:pPr>
            <w:r w:rsidRPr="00476D43">
              <w:rPr>
                <w:rFonts w:eastAsia="Calibri" w:asciiTheme="minorHAnsi" w:hAnsiTheme="minorHAnsi"/>
                <w:b/>
                <w:sz w:val="20"/>
              </w:rPr>
              <w:t xml:space="preserve">#/hr </w:t>
            </w:r>
          </w:p>
          <w:p w:rsidRPr="00476D43" w:rsidR="00331850" w:rsidP="00DF1056" w:rsidRDefault="00331850" w14:paraId="7DA7D143" w14:textId="77777777">
            <w:pPr>
              <w:keepNext/>
              <w:keepLines/>
              <w:widowControl/>
              <w:contextualSpacing/>
              <w:jc w:val="center"/>
              <w:rPr>
                <w:rFonts w:eastAsia="Calibri" w:asciiTheme="minorHAnsi" w:hAnsiTheme="minorHAnsi"/>
                <w:b/>
                <w:sz w:val="20"/>
              </w:rPr>
            </w:pPr>
            <w:r w:rsidRPr="00476D43">
              <w:rPr>
                <w:rFonts w:eastAsia="Calibri" w:asciiTheme="minorHAnsi" w:hAnsiTheme="minorHAnsi"/>
                <w:b/>
                <w:sz w:val="20"/>
              </w:rPr>
              <w:t>labor cost</w:t>
            </w:r>
          </w:p>
        </w:tc>
        <w:tc>
          <w:tcPr>
            <w:tcW w:w="1203" w:type="dxa"/>
            <w:tcBorders>
              <w:top w:val="single" w:color="auto" w:sz="4" w:space="0"/>
              <w:bottom w:val="single" w:color="auto" w:sz="4" w:space="0"/>
            </w:tcBorders>
            <w:shd w:val="clear" w:color="auto" w:fill="DEEAF6"/>
            <w:vAlign w:val="center"/>
          </w:tcPr>
          <w:p w:rsidRPr="00476D43" w:rsidR="00331850" w:rsidP="00DF1056" w:rsidRDefault="00331850" w14:paraId="2A13E2CA" w14:textId="77777777">
            <w:pPr>
              <w:keepNext/>
              <w:keepLines/>
              <w:widowControl/>
              <w:contextualSpacing/>
              <w:jc w:val="center"/>
              <w:rPr>
                <w:rFonts w:eastAsia="Calibri" w:asciiTheme="minorHAnsi" w:hAnsiTheme="minorHAnsi"/>
                <w:b/>
                <w:sz w:val="20"/>
                <w:highlight w:val="cyan"/>
              </w:rPr>
            </w:pPr>
            <w:r w:rsidRPr="00476D43">
              <w:rPr>
                <w:rFonts w:eastAsia="Calibri" w:asciiTheme="minorHAnsi" w:hAnsiTheme="minorHAnsi"/>
                <w:b/>
                <w:sz w:val="20"/>
              </w:rPr>
              <w:t>Total labor cost</w:t>
            </w:r>
          </w:p>
        </w:tc>
      </w:tr>
      <w:tr w:rsidRPr="0019346B" w:rsidR="00331850" w:rsidTr="00476D43" w14:paraId="4D8CA28F" w14:textId="77777777">
        <w:trPr>
          <w:jc w:val="center"/>
        </w:trPr>
        <w:tc>
          <w:tcPr>
            <w:tcW w:w="3515" w:type="dxa"/>
            <w:tcBorders>
              <w:bottom w:val="single" w:color="auto" w:sz="4" w:space="0"/>
              <w:right w:val="single" w:color="auto" w:sz="4" w:space="0"/>
            </w:tcBorders>
            <w:shd w:val="clear" w:color="auto" w:fill="auto"/>
            <w:vAlign w:val="center"/>
          </w:tcPr>
          <w:p w:rsidRPr="0019346B" w:rsidR="00331850" w:rsidP="00DF1056" w:rsidRDefault="00331850" w14:paraId="32CDB40A" w14:textId="77777777">
            <w:pPr>
              <w:keepNext/>
              <w:keepLines/>
              <w:widowControl/>
              <w:contextualSpacing/>
              <w:rPr>
                <w:rFonts w:eastAsia="Calibri" w:asciiTheme="minorHAnsi" w:hAnsiTheme="minorHAnsi" w:cstheme="minorHAnsi"/>
                <w:sz w:val="20"/>
                <w:szCs w:val="20"/>
              </w:rPr>
            </w:pPr>
            <w:r w:rsidRPr="0019346B">
              <w:rPr>
                <w:rFonts w:eastAsia="Calibri" w:asciiTheme="minorHAnsi" w:hAnsiTheme="minorHAnsi" w:cstheme="minorHAnsi"/>
                <w:sz w:val="20"/>
                <w:szCs w:val="20"/>
              </w:rPr>
              <w:t>VMS installation of new or replacement units</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1880B4EF"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33 annualized</w:t>
            </w:r>
          </w:p>
          <w:p w:rsidRPr="0019346B" w:rsidR="00331850" w:rsidP="00DF1056" w:rsidRDefault="00331850" w14:paraId="1CA9EB60"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(100/3)</w:t>
            </w:r>
          </w:p>
        </w:tc>
        <w:tc>
          <w:tcPr>
            <w:tcW w:w="1969" w:type="dxa"/>
            <w:tcBorders>
              <w:top w:val="single" w:color="auto" w:sz="4" w:space="0"/>
              <w:left w:val="single" w:color="auto" w:sz="4" w:space="0"/>
              <w:bottom w:val="single" w:color="auto" w:sz="4" w:space="0"/>
              <w:right w:val="single" w:color="auto" w:sz="4" w:space="0"/>
            </w:tcBorders>
            <w:vAlign w:val="center"/>
          </w:tcPr>
          <w:p w:rsidRPr="0019346B" w:rsidR="00331850" w:rsidP="00DF1056" w:rsidRDefault="00331850" w14:paraId="3DB77E58" w14:textId="77777777">
            <w:pPr>
              <w:keepNext/>
              <w:keepLines/>
              <w:widowControl/>
              <w:contextualSpacing/>
              <w:jc w:val="center"/>
              <w:rPr>
                <w:rFonts w:asciiTheme="minorHAnsi" w:hAnsiTheme="minorHAnsi" w:cstheme="minorHAnsi"/>
                <w:color w:val="000000"/>
                <w:sz w:val="20"/>
                <w:szCs w:val="20"/>
              </w:rPr>
            </w:pPr>
            <w:r w:rsidRPr="0019346B">
              <w:rPr>
                <w:rFonts w:asciiTheme="minorHAnsi" w:hAnsiTheme="minorHAnsi" w:cstheme="minorHAnsi"/>
                <w:color w:val="000000"/>
                <w:sz w:val="20"/>
                <w:szCs w:val="20"/>
              </w:rPr>
              <w:t>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4376BFD9"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33 annualized</w:t>
            </w:r>
          </w:p>
          <w:p w:rsidRPr="0019346B" w:rsidR="00331850" w:rsidP="00DF1056" w:rsidRDefault="00331850" w14:paraId="3DAAC56B"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(100/3)</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5B646EB0"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6 hrs</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36F74774"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200 hrs annualized (600/3)</w:t>
            </w:r>
          </w:p>
        </w:tc>
        <w:tc>
          <w:tcPr>
            <w:tcW w:w="1159" w:type="dxa"/>
            <w:tcBorders>
              <w:top w:val="single" w:color="auto" w:sz="4" w:space="0"/>
              <w:left w:val="single" w:color="auto" w:sz="4" w:space="0"/>
              <w:bottom w:val="single" w:color="auto" w:sz="4" w:space="0"/>
              <w:right w:val="single" w:color="auto" w:sz="4" w:space="0"/>
            </w:tcBorders>
            <w:vAlign w:val="center"/>
          </w:tcPr>
          <w:p w:rsidRPr="0019346B" w:rsidR="00331850" w:rsidP="00DF1056" w:rsidRDefault="00331850" w14:paraId="477D0E19"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 xml:space="preserve">$128 </w:t>
            </w:r>
            <w:r w:rsidRPr="0019346B">
              <w:rPr>
                <w:rFonts w:eastAsia="Calibri" w:asciiTheme="minorHAnsi" w:hAnsiTheme="minorHAnsi" w:cstheme="minorHAnsi"/>
                <w:sz w:val="20"/>
                <w:szCs w:val="20"/>
                <w:u w:val="single"/>
                <w:vertAlign w:val="superscript"/>
              </w:rPr>
              <w:t>1</w:t>
            </w:r>
            <w:r w:rsidRPr="0019346B">
              <w:rPr>
                <w:rFonts w:eastAsia="Calibri" w:asciiTheme="minorHAnsi" w:hAnsiTheme="minorHAnsi" w:cstheme="minorHAnsi"/>
                <w:sz w:val="20"/>
                <w:szCs w:val="20"/>
                <w:vertAlign w:val="superscript"/>
              </w:rPr>
              <w:t>/</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2392B092"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$25,600</w:t>
            </w:r>
          </w:p>
        </w:tc>
      </w:tr>
      <w:tr w:rsidRPr="0019346B" w:rsidR="00331850" w:rsidTr="00476D43" w14:paraId="1E60B3C5" w14:textId="77777777">
        <w:trPr>
          <w:jc w:val="center"/>
        </w:trPr>
        <w:tc>
          <w:tcPr>
            <w:tcW w:w="3515" w:type="dxa"/>
            <w:tcBorders>
              <w:bottom w:val="single" w:color="auto" w:sz="4" w:space="0"/>
              <w:right w:val="single" w:color="auto" w:sz="4" w:space="0"/>
            </w:tcBorders>
            <w:shd w:val="clear" w:color="auto" w:fill="auto"/>
            <w:vAlign w:val="center"/>
          </w:tcPr>
          <w:p w:rsidRPr="0019346B" w:rsidR="00331850" w:rsidP="00DF1056" w:rsidRDefault="00331850" w14:paraId="274539C4" w14:textId="77777777">
            <w:pPr>
              <w:keepNext/>
              <w:keepLines/>
              <w:widowControl/>
              <w:contextualSpacing/>
              <w:rPr>
                <w:rFonts w:eastAsia="Calibri" w:asciiTheme="minorHAnsi" w:hAnsiTheme="minorHAnsi" w:cstheme="minorHAnsi"/>
                <w:sz w:val="20"/>
                <w:szCs w:val="20"/>
              </w:rPr>
            </w:pPr>
            <w:r w:rsidRPr="0019346B">
              <w:rPr>
                <w:rFonts w:eastAsia="Calibri" w:asciiTheme="minorHAnsi" w:hAnsiTheme="minorHAnsi" w:cstheme="minorHAnsi"/>
                <w:sz w:val="20"/>
                <w:szCs w:val="20"/>
              </w:rPr>
              <w:t>VMS maintenance</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25C5EAAC"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550</w:t>
            </w:r>
          </w:p>
        </w:tc>
        <w:tc>
          <w:tcPr>
            <w:tcW w:w="1969" w:type="dxa"/>
            <w:tcBorders>
              <w:top w:val="single" w:color="auto" w:sz="4" w:space="0"/>
              <w:left w:val="single" w:color="auto" w:sz="4" w:space="0"/>
              <w:bottom w:val="single" w:color="auto" w:sz="4" w:space="0"/>
              <w:right w:val="single" w:color="auto" w:sz="4" w:space="0"/>
            </w:tcBorders>
            <w:vAlign w:val="center"/>
          </w:tcPr>
          <w:p w:rsidRPr="0019346B" w:rsidR="00331850" w:rsidP="00DF1056" w:rsidRDefault="00331850" w14:paraId="34C8937D" w14:textId="77777777">
            <w:pPr>
              <w:keepNext/>
              <w:keepLines/>
              <w:widowControl/>
              <w:contextualSpacing/>
              <w:jc w:val="center"/>
              <w:rPr>
                <w:rFonts w:asciiTheme="minorHAnsi" w:hAnsiTheme="minorHAnsi" w:cstheme="minorHAnsi"/>
                <w:color w:val="000000"/>
                <w:sz w:val="20"/>
                <w:szCs w:val="20"/>
              </w:rPr>
            </w:pPr>
            <w:r w:rsidRPr="0019346B">
              <w:rPr>
                <w:rFonts w:asciiTheme="minorHAnsi" w:hAnsiTheme="minorHAnsi" w:cstheme="minorHAnsi"/>
                <w:color w:val="000000"/>
                <w:sz w:val="20"/>
                <w:szCs w:val="20"/>
              </w:rPr>
              <w:t>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0DCEF56F"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550</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57AA60B0"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4 hrs</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3E4C3713"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2,200 hrs</w:t>
            </w:r>
          </w:p>
        </w:tc>
        <w:tc>
          <w:tcPr>
            <w:tcW w:w="1159" w:type="dxa"/>
            <w:tcBorders>
              <w:top w:val="single" w:color="auto" w:sz="4" w:space="0"/>
              <w:left w:val="single" w:color="auto" w:sz="4" w:space="0"/>
              <w:bottom w:val="single" w:color="auto" w:sz="4" w:space="0"/>
              <w:right w:val="single" w:color="auto" w:sz="4" w:space="0"/>
            </w:tcBorders>
            <w:vAlign w:val="center"/>
          </w:tcPr>
          <w:p w:rsidRPr="0019346B" w:rsidR="00331850" w:rsidP="00DF1056" w:rsidRDefault="00331850" w14:paraId="0CE9A667"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 xml:space="preserve">$128 </w:t>
            </w:r>
            <w:r w:rsidRPr="0019346B">
              <w:rPr>
                <w:rFonts w:eastAsia="Calibri" w:asciiTheme="minorHAnsi" w:hAnsiTheme="minorHAnsi" w:cstheme="minorHAnsi"/>
                <w:sz w:val="20"/>
                <w:szCs w:val="20"/>
                <w:u w:val="single"/>
                <w:vertAlign w:val="superscript"/>
              </w:rPr>
              <w:t>1</w:t>
            </w:r>
            <w:r w:rsidRPr="0019346B">
              <w:rPr>
                <w:rFonts w:eastAsia="Calibri" w:asciiTheme="minorHAnsi" w:hAnsiTheme="minorHAnsi" w:cstheme="minorHAnsi"/>
                <w:sz w:val="20"/>
                <w:szCs w:val="20"/>
                <w:vertAlign w:val="superscript"/>
              </w:rPr>
              <w:t>/</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7AA1705E"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$281,600</w:t>
            </w:r>
          </w:p>
        </w:tc>
      </w:tr>
      <w:tr w:rsidRPr="0019346B" w:rsidR="00331850" w:rsidTr="00476D43" w14:paraId="21B3E683" w14:textId="77777777">
        <w:trPr>
          <w:jc w:val="center"/>
        </w:trPr>
        <w:tc>
          <w:tcPr>
            <w:tcW w:w="3515" w:type="dxa"/>
            <w:tcBorders>
              <w:bottom w:val="single" w:color="auto" w:sz="4" w:space="0"/>
              <w:right w:val="single" w:color="auto" w:sz="4" w:space="0"/>
            </w:tcBorders>
            <w:shd w:val="clear" w:color="auto" w:fill="auto"/>
            <w:vAlign w:val="center"/>
            <w:hideMark/>
          </w:tcPr>
          <w:p w:rsidRPr="0019346B" w:rsidR="00331850" w:rsidP="00DF1056" w:rsidRDefault="00331850" w14:paraId="7EDD5C83" w14:textId="77777777">
            <w:pPr>
              <w:keepNext/>
              <w:keepLines/>
              <w:widowControl/>
              <w:contextualSpacing/>
              <w:rPr>
                <w:rFonts w:eastAsia="Calibri" w:asciiTheme="minorHAnsi" w:hAnsiTheme="minorHAnsi" w:cstheme="minorHAnsi"/>
                <w:sz w:val="20"/>
                <w:szCs w:val="20"/>
              </w:rPr>
            </w:pPr>
            <w:r w:rsidRPr="0019346B">
              <w:rPr>
                <w:rFonts w:eastAsia="Calibri" w:asciiTheme="minorHAnsi" w:hAnsiTheme="minorHAnsi" w:cstheme="minorHAnsi"/>
                <w:sz w:val="20"/>
                <w:szCs w:val="20"/>
              </w:rPr>
              <w:t xml:space="preserve">VMS failure troubleshooting (assume 5% failure rate/year) </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0D330687"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28</w:t>
            </w:r>
          </w:p>
          <w:p w:rsidRPr="0019346B" w:rsidR="00331850" w:rsidP="00DF1056" w:rsidRDefault="00331850" w14:paraId="798E231C"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(550*0.05)</w:t>
            </w:r>
          </w:p>
        </w:tc>
        <w:tc>
          <w:tcPr>
            <w:tcW w:w="1969" w:type="dxa"/>
            <w:tcBorders>
              <w:top w:val="single" w:color="auto" w:sz="4" w:space="0"/>
              <w:left w:val="single" w:color="auto" w:sz="4" w:space="0"/>
              <w:bottom w:val="single" w:color="auto" w:sz="4" w:space="0"/>
              <w:right w:val="single" w:color="auto" w:sz="4" w:space="0"/>
            </w:tcBorders>
            <w:vAlign w:val="center"/>
          </w:tcPr>
          <w:p w:rsidRPr="0019346B" w:rsidR="00331850" w:rsidP="00DF1056" w:rsidRDefault="00331850" w14:paraId="5CE5E09B" w14:textId="77777777">
            <w:pPr>
              <w:keepNext/>
              <w:keepLines/>
              <w:widowControl/>
              <w:contextualSpacing/>
              <w:jc w:val="center"/>
              <w:rPr>
                <w:rFonts w:asciiTheme="minorHAnsi" w:hAnsiTheme="minorHAnsi" w:cstheme="minorHAnsi"/>
                <w:color w:val="000000"/>
                <w:sz w:val="20"/>
                <w:szCs w:val="20"/>
              </w:rPr>
            </w:pPr>
            <w:r w:rsidRPr="0019346B">
              <w:rPr>
                <w:rFonts w:asciiTheme="minorHAnsi" w:hAnsiTheme="minorHAnsi" w:cstheme="minorHAnsi"/>
                <w:color w:val="000000"/>
                <w:sz w:val="20"/>
                <w:szCs w:val="20"/>
              </w:rPr>
              <w:t>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79E688D3"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28</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1C1C03C9"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2 hrs</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79C9F6AE" w14:textId="77777777">
            <w:pPr>
              <w:keepNext/>
              <w:keepLines/>
              <w:widowControl/>
              <w:contextualSpacing/>
              <w:jc w:val="center"/>
              <w:rPr>
                <w:rFonts w:eastAsia="Calibri" w:asciiTheme="minorHAnsi" w:hAnsiTheme="minorHAnsi" w:cstheme="minorHAnsi"/>
                <w:sz w:val="20"/>
                <w:szCs w:val="20"/>
                <w:vertAlign w:val="superscript"/>
              </w:rPr>
            </w:pPr>
            <w:r w:rsidRPr="0019346B">
              <w:rPr>
                <w:rFonts w:eastAsia="Calibri" w:asciiTheme="minorHAnsi" w:hAnsiTheme="minorHAnsi" w:cstheme="minorHAnsi"/>
                <w:sz w:val="20"/>
                <w:szCs w:val="20"/>
              </w:rPr>
              <w:t>56 hrs</w:t>
            </w:r>
          </w:p>
        </w:tc>
        <w:tc>
          <w:tcPr>
            <w:tcW w:w="1159" w:type="dxa"/>
            <w:tcBorders>
              <w:top w:val="single" w:color="auto" w:sz="4" w:space="0"/>
              <w:left w:val="single" w:color="auto" w:sz="4" w:space="0"/>
              <w:bottom w:val="single" w:color="auto" w:sz="4" w:space="0"/>
              <w:right w:val="single" w:color="auto" w:sz="4" w:space="0"/>
            </w:tcBorders>
            <w:vAlign w:val="center"/>
          </w:tcPr>
          <w:p w:rsidRPr="0019346B" w:rsidR="00331850" w:rsidP="00DF1056" w:rsidRDefault="00331850" w14:paraId="5409680C" w14:textId="77777777">
            <w:pPr>
              <w:keepNext/>
              <w:keepLines/>
              <w:widowControl/>
              <w:contextualSpacing/>
              <w:jc w:val="center"/>
              <w:rPr>
                <w:rFonts w:eastAsia="Calibri" w:asciiTheme="minorHAnsi" w:hAnsiTheme="minorHAnsi" w:cstheme="minorHAnsi"/>
                <w:sz w:val="20"/>
                <w:szCs w:val="20"/>
                <w:vertAlign w:val="superscript"/>
              </w:rPr>
            </w:pPr>
            <w:r w:rsidRPr="0019346B">
              <w:rPr>
                <w:rFonts w:eastAsia="Calibri" w:asciiTheme="minorHAnsi" w:hAnsiTheme="minorHAnsi" w:cstheme="minorHAnsi"/>
                <w:sz w:val="20"/>
                <w:szCs w:val="20"/>
              </w:rPr>
              <w:t xml:space="preserve">$128 </w:t>
            </w:r>
            <w:r w:rsidRPr="0019346B">
              <w:rPr>
                <w:rFonts w:eastAsia="Calibri" w:asciiTheme="minorHAnsi" w:hAnsiTheme="minorHAnsi" w:cstheme="minorHAnsi"/>
                <w:sz w:val="20"/>
                <w:szCs w:val="20"/>
                <w:u w:val="single"/>
                <w:vertAlign w:val="superscript"/>
              </w:rPr>
              <w:t>1</w:t>
            </w:r>
            <w:r w:rsidRPr="0019346B">
              <w:rPr>
                <w:rFonts w:eastAsia="Calibri" w:asciiTheme="minorHAnsi" w:hAnsiTheme="minorHAnsi" w:cstheme="minorHAnsi"/>
                <w:sz w:val="20"/>
                <w:szCs w:val="20"/>
                <w:vertAlign w:val="superscript"/>
              </w:rPr>
              <w:t>/</w:t>
            </w:r>
            <w:r w:rsidRPr="0019346B">
              <w:rPr>
                <w:rFonts w:eastAsia="Calibri" w:asciiTheme="minorHAnsi" w:hAnsiTheme="minorHAnsi" w:cstheme="minorHAnsi"/>
                <w:sz w:val="20"/>
                <w:szCs w:val="20"/>
              </w:rPr>
              <w:t xml:space="preserve"> </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rsidRPr="0019346B" w:rsidR="00331850" w:rsidP="00DF1056" w:rsidRDefault="00331850" w14:paraId="07E97180" w14:textId="77777777">
            <w:pPr>
              <w:keepNext/>
              <w:keepLines/>
              <w:widowControl/>
              <w:contextualSpacing/>
              <w:jc w:val="center"/>
              <w:rPr>
                <w:rFonts w:eastAsia="Calibri" w:asciiTheme="minorHAnsi" w:hAnsiTheme="minorHAnsi" w:cstheme="minorHAnsi"/>
                <w:sz w:val="20"/>
                <w:szCs w:val="20"/>
              </w:rPr>
            </w:pPr>
            <w:r w:rsidRPr="0019346B">
              <w:rPr>
                <w:rFonts w:eastAsia="Calibri" w:asciiTheme="minorHAnsi" w:hAnsiTheme="minorHAnsi" w:cstheme="minorHAnsi"/>
                <w:sz w:val="20"/>
                <w:szCs w:val="20"/>
              </w:rPr>
              <w:t>$7,168</w:t>
            </w:r>
          </w:p>
        </w:tc>
      </w:tr>
      <w:tr w:rsidRPr="0019346B" w:rsidR="00331850" w:rsidTr="00F76F93" w14:paraId="4F173306" w14:textId="77777777">
        <w:trPr>
          <w:jc w:val="center"/>
        </w:trPr>
        <w:tc>
          <w:tcPr>
            <w:tcW w:w="3515" w:type="dxa"/>
            <w:tcBorders>
              <w:bottom w:val="single" w:color="auto" w:sz="4" w:space="0"/>
            </w:tcBorders>
            <w:shd w:val="clear" w:color="auto" w:fill="DEEAF6"/>
            <w:noWrap/>
            <w:vAlign w:val="center"/>
          </w:tcPr>
          <w:p w:rsidRPr="0019346B" w:rsidR="00331850" w:rsidP="00DF1056" w:rsidRDefault="00331850" w14:paraId="0D9EED1C" w14:textId="77777777">
            <w:pPr>
              <w:keepNext/>
              <w:keepLines/>
              <w:widowControl/>
              <w:contextualSpacing/>
              <w:jc w:val="right"/>
              <w:rPr>
                <w:rFonts w:eastAsia="Calibri" w:asciiTheme="minorHAnsi" w:hAnsiTheme="minorHAnsi" w:cstheme="minorHAnsi"/>
                <w:b/>
                <w:bCs/>
                <w:sz w:val="20"/>
                <w:szCs w:val="20"/>
              </w:rPr>
            </w:pPr>
            <w:r w:rsidRPr="0019346B">
              <w:rPr>
                <w:rFonts w:eastAsia="Calibri" w:asciiTheme="minorHAnsi" w:hAnsiTheme="minorHAnsi" w:cstheme="minorHAnsi"/>
                <w:b/>
                <w:bCs/>
                <w:sz w:val="20"/>
                <w:szCs w:val="20"/>
              </w:rPr>
              <w:t xml:space="preserve">Total </w:t>
            </w:r>
          </w:p>
        </w:tc>
        <w:tc>
          <w:tcPr>
            <w:tcW w:w="1827" w:type="dxa"/>
            <w:tcBorders>
              <w:bottom w:val="single" w:color="auto" w:sz="4" w:space="0"/>
            </w:tcBorders>
            <w:shd w:val="clear" w:color="auto" w:fill="000000" w:themeFill="text1"/>
            <w:vAlign w:val="center"/>
          </w:tcPr>
          <w:p w:rsidRPr="0019346B" w:rsidR="00331850" w:rsidP="00DF1056" w:rsidRDefault="00331850" w14:paraId="24FB0385" w14:textId="77777777">
            <w:pPr>
              <w:keepNext/>
              <w:keepLines/>
              <w:widowControl/>
              <w:contextualSpacing/>
              <w:jc w:val="center"/>
              <w:rPr>
                <w:rFonts w:eastAsia="Calibri" w:asciiTheme="minorHAnsi" w:hAnsiTheme="minorHAnsi" w:cstheme="minorHAnsi"/>
                <w:b/>
                <w:bCs/>
                <w:sz w:val="20"/>
                <w:szCs w:val="20"/>
              </w:rPr>
            </w:pPr>
          </w:p>
        </w:tc>
        <w:tc>
          <w:tcPr>
            <w:tcW w:w="1969" w:type="dxa"/>
            <w:tcBorders>
              <w:bottom w:val="single" w:color="auto" w:sz="4" w:space="0"/>
            </w:tcBorders>
            <w:shd w:val="clear" w:color="auto" w:fill="000000" w:themeFill="text1"/>
            <w:vAlign w:val="center"/>
          </w:tcPr>
          <w:p w:rsidRPr="0019346B" w:rsidR="00331850" w:rsidP="00DF1056" w:rsidRDefault="00331850" w14:paraId="4CC2CF92" w14:textId="2ADE34AE">
            <w:pPr>
              <w:keepNext/>
              <w:keepLines/>
              <w:widowControl/>
              <w:contextualSpacing/>
              <w:jc w:val="center"/>
              <w:rPr>
                <w:rFonts w:eastAsia="Calibri" w:asciiTheme="minorHAnsi" w:hAnsiTheme="minorHAnsi" w:cstheme="minorHAnsi"/>
                <w:b/>
                <w:bCs/>
                <w:sz w:val="20"/>
                <w:szCs w:val="20"/>
              </w:rPr>
            </w:pPr>
          </w:p>
        </w:tc>
        <w:tc>
          <w:tcPr>
            <w:tcW w:w="1320" w:type="dxa"/>
            <w:tcBorders>
              <w:bottom w:val="single" w:color="auto" w:sz="4" w:space="0"/>
            </w:tcBorders>
            <w:shd w:val="clear" w:color="auto" w:fill="DEEAF6"/>
            <w:vAlign w:val="center"/>
          </w:tcPr>
          <w:p w:rsidRPr="0019346B" w:rsidR="00331850" w:rsidP="00DF1056" w:rsidRDefault="00331850" w14:paraId="68A1EE1A" w14:textId="77777777">
            <w:pPr>
              <w:keepNext/>
              <w:keepLines/>
              <w:widowControl/>
              <w:contextualSpacing/>
              <w:jc w:val="center"/>
              <w:rPr>
                <w:rFonts w:eastAsia="Calibri" w:asciiTheme="minorHAnsi" w:hAnsiTheme="minorHAnsi" w:cstheme="minorHAnsi"/>
                <w:b/>
                <w:bCs/>
                <w:sz w:val="20"/>
                <w:szCs w:val="20"/>
              </w:rPr>
            </w:pPr>
            <w:r w:rsidRPr="0019346B">
              <w:rPr>
                <w:rFonts w:eastAsia="Calibri" w:asciiTheme="minorHAnsi" w:hAnsiTheme="minorHAnsi" w:cstheme="minorHAnsi"/>
                <w:b/>
                <w:bCs/>
                <w:sz w:val="20"/>
                <w:szCs w:val="20"/>
              </w:rPr>
              <w:t>611</w:t>
            </w:r>
          </w:p>
        </w:tc>
        <w:tc>
          <w:tcPr>
            <w:tcW w:w="1274" w:type="dxa"/>
            <w:tcBorders>
              <w:bottom w:val="single" w:color="auto" w:sz="4" w:space="0"/>
            </w:tcBorders>
            <w:shd w:val="clear" w:color="auto" w:fill="000000" w:themeFill="text1"/>
            <w:vAlign w:val="center"/>
          </w:tcPr>
          <w:p w:rsidRPr="0019346B" w:rsidR="00331850" w:rsidP="00DF1056" w:rsidRDefault="00331850" w14:paraId="27384206" w14:textId="0EBDDDB5">
            <w:pPr>
              <w:keepNext/>
              <w:keepLines/>
              <w:widowControl/>
              <w:contextualSpacing/>
              <w:jc w:val="center"/>
              <w:rPr>
                <w:rFonts w:eastAsia="Calibri" w:asciiTheme="minorHAnsi" w:hAnsiTheme="minorHAnsi" w:cstheme="minorHAnsi"/>
                <w:b/>
                <w:bCs/>
                <w:sz w:val="20"/>
                <w:szCs w:val="20"/>
              </w:rPr>
            </w:pPr>
          </w:p>
        </w:tc>
        <w:tc>
          <w:tcPr>
            <w:tcW w:w="1593" w:type="dxa"/>
            <w:tcBorders>
              <w:bottom w:val="single" w:color="auto" w:sz="4" w:space="0"/>
            </w:tcBorders>
            <w:shd w:val="clear" w:color="auto" w:fill="DEEAF6"/>
            <w:vAlign w:val="center"/>
          </w:tcPr>
          <w:p w:rsidRPr="0019346B" w:rsidR="00331850" w:rsidP="00DF1056" w:rsidRDefault="00331850" w14:paraId="3449AD35" w14:textId="77777777">
            <w:pPr>
              <w:keepNext/>
              <w:keepLines/>
              <w:widowControl/>
              <w:contextualSpacing/>
              <w:jc w:val="center"/>
              <w:rPr>
                <w:rFonts w:eastAsia="Calibri" w:asciiTheme="minorHAnsi" w:hAnsiTheme="minorHAnsi" w:cstheme="minorHAnsi"/>
                <w:b/>
                <w:bCs/>
                <w:sz w:val="20"/>
                <w:szCs w:val="20"/>
              </w:rPr>
            </w:pPr>
            <w:r w:rsidRPr="0019346B">
              <w:rPr>
                <w:rFonts w:eastAsia="Calibri" w:asciiTheme="minorHAnsi" w:hAnsiTheme="minorHAnsi" w:cstheme="minorHAnsi"/>
                <w:b/>
                <w:bCs/>
                <w:sz w:val="20"/>
                <w:szCs w:val="20"/>
              </w:rPr>
              <w:t>2,456 hrs</w:t>
            </w:r>
          </w:p>
        </w:tc>
        <w:tc>
          <w:tcPr>
            <w:tcW w:w="1159" w:type="dxa"/>
            <w:tcBorders>
              <w:bottom w:val="single" w:color="auto" w:sz="4" w:space="0"/>
            </w:tcBorders>
            <w:shd w:val="clear" w:color="auto" w:fill="000000" w:themeFill="text1"/>
            <w:vAlign w:val="center"/>
          </w:tcPr>
          <w:p w:rsidRPr="0019346B" w:rsidR="00331850" w:rsidP="00DF1056" w:rsidRDefault="00331850" w14:paraId="0986999B" w14:textId="77777777">
            <w:pPr>
              <w:keepNext/>
              <w:keepLines/>
              <w:widowControl/>
              <w:contextualSpacing/>
              <w:jc w:val="center"/>
              <w:rPr>
                <w:rFonts w:eastAsia="Calibri" w:asciiTheme="minorHAnsi" w:hAnsiTheme="minorHAnsi" w:cstheme="minorHAnsi"/>
                <w:b/>
                <w:bCs/>
                <w:sz w:val="20"/>
                <w:szCs w:val="20"/>
              </w:rPr>
            </w:pPr>
          </w:p>
        </w:tc>
        <w:tc>
          <w:tcPr>
            <w:tcW w:w="1203" w:type="dxa"/>
            <w:tcBorders>
              <w:bottom w:val="single" w:color="auto" w:sz="4" w:space="0"/>
            </w:tcBorders>
            <w:shd w:val="clear" w:color="auto" w:fill="DEEAF6"/>
            <w:vAlign w:val="center"/>
          </w:tcPr>
          <w:p w:rsidRPr="0019346B" w:rsidR="00331850" w:rsidP="00DF1056" w:rsidRDefault="00331850" w14:paraId="0BBF9080" w14:textId="77777777">
            <w:pPr>
              <w:keepNext/>
              <w:keepLines/>
              <w:widowControl/>
              <w:contextualSpacing/>
              <w:jc w:val="center"/>
              <w:rPr>
                <w:rFonts w:eastAsia="Calibri" w:asciiTheme="minorHAnsi" w:hAnsiTheme="minorHAnsi" w:cstheme="minorHAnsi"/>
                <w:b/>
                <w:bCs/>
                <w:sz w:val="20"/>
                <w:szCs w:val="20"/>
              </w:rPr>
            </w:pPr>
            <w:r w:rsidRPr="0019346B">
              <w:rPr>
                <w:rFonts w:eastAsia="Calibri" w:asciiTheme="minorHAnsi" w:hAnsiTheme="minorHAnsi" w:cstheme="minorHAnsi"/>
                <w:b/>
                <w:bCs/>
                <w:sz w:val="20"/>
                <w:szCs w:val="20"/>
              </w:rPr>
              <w:t>$314,368</w:t>
            </w:r>
          </w:p>
        </w:tc>
      </w:tr>
    </w:tbl>
    <w:p w:rsidRPr="00965BB7" w:rsidR="00DE05A7" w:rsidP="00DF1056" w:rsidRDefault="00331850" w14:paraId="52E0F10F" w14:textId="77777777">
      <w:pPr>
        <w:pStyle w:val="BodyText"/>
        <w:spacing w:before="1"/>
        <w:ind w:left="0"/>
        <w:contextualSpacing/>
        <w:rPr>
          <w:rFonts w:eastAsia="Calibri" w:asciiTheme="minorHAnsi" w:hAnsiTheme="minorHAnsi" w:cstheme="minorHAnsi"/>
          <w:sz w:val="18"/>
          <w:szCs w:val="18"/>
        </w:rPr>
        <w:sectPr w:rsidRPr="00965BB7" w:rsidR="00DE05A7" w:rsidSect="0011224D">
          <w:pgSz w:w="15840" w:h="12240" w:orient="landscape"/>
          <w:pgMar w:top="1080" w:right="1440" w:bottom="1440" w:left="1440" w:header="0" w:footer="1014" w:gutter="0"/>
          <w:cols w:space="720"/>
          <w:docGrid w:linePitch="299"/>
        </w:sectPr>
      </w:pPr>
      <w:r w:rsidRPr="00965BB7">
        <w:rPr>
          <w:rFonts w:eastAsia="Calibri" w:asciiTheme="minorHAnsi" w:hAnsiTheme="minorHAnsi" w:cstheme="minorHAnsi"/>
          <w:sz w:val="18"/>
          <w:szCs w:val="18"/>
          <w:u w:val="single"/>
          <w:vertAlign w:val="superscript"/>
        </w:rPr>
        <w:t>1</w:t>
      </w:r>
      <w:r w:rsidRPr="00965BB7">
        <w:rPr>
          <w:rFonts w:eastAsia="Calibri" w:asciiTheme="minorHAnsi" w:hAnsiTheme="minorHAnsi" w:cstheme="minorHAnsi"/>
          <w:sz w:val="18"/>
          <w:szCs w:val="18"/>
          <w:vertAlign w:val="superscript"/>
        </w:rPr>
        <w:t>/</w:t>
      </w:r>
      <w:r w:rsidRPr="00965BB7">
        <w:rPr>
          <w:rFonts w:eastAsia="Calibri" w:asciiTheme="minorHAnsi" w:hAnsiTheme="minorHAnsi" w:cstheme="minorHAnsi"/>
          <w:sz w:val="18"/>
          <w:szCs w:val="18"/>
        </w:rPr>
        <w:t xml:space="preserve"> See explanation under heading “Response to Question 13 (continued).”</w:t>
      </w:r>
    </w:p>
    <w:p w:rsidRPr="00476D43" w:rsidR="00DE05A7" w:rsidP="00DF1056" w:rsidRDefault="00DE05A7" w14:paraId="5A2276D1"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b/>
          <w:sz w:val="24"/>
          <w:szCs w:val="24"/>
          <w:u w:val="single"/>
        </w:rPr>
      </w:pPr>
      <w:r w:rsidRPr="00476D43">
        <w:rPr>
          <w:rFonts w:ascii="Times New Roman" w:hAnsi="Times New Roman" w:cs="Times New Roman"/>
          <w:b/>
          <w:sz w:val="24"/>
          <w:szCs w:val="24"/>
          <w:u w:val="single"/>
        </w:rPr>
        <w:lastRenderedPageBreak/>
        <w:t xml:space="preserve">Response to Question 13 (continued). </w:t>
      </w:r>
    </w:p>
    <w:p w:rsidRPr="00476D43" w:rsidR="00DE05A7" w:rsidP="00DF1056" w:rsidRDefault="00DE05A7" w14:paraId="77351141"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p>
    <w:p w:rsidRPr="00476D43" w:rsidR="00DE05A7" w:rsidP="00DF1056" w:rsidRDefault="00DE05A7" w14:paraId="49E3E8F1" w14:textId="589C4A78">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r w:rsidRPr="00476D43">
        <w:rPr>
          <w:rFonts w:ascii="Times New Roman" w:hAnsi="Times New Roman" w:cs="Times New Roman"/>
          <w:sz w:val="24"/>
          <w:szCs w:val="24"/>
        </w:rPr>
        <w:t xml:space="preserve">As noted above, NMFS estimates that approximately 550 vessels are carrying operating VMS units in the groundfish, crab, and scallop fisheries off Alaska. Depending on which brand of VMS is chosen, NMFS estimates the price of a VMS unit ranges from about $2,500 to $3,200. All 550 of the currently operating VMS units have already been purchased. NMFS does not anticipate that any vessels without an operating VMS unit will be required to install a new VMS </w:t>
      </w:r>
      <w:r w:rsidR="00CE1AF0">
        <w:rPr>
          <w:rFonts w:ascii="Times New Roman" w:hAnsi="Times New Roman" w:cs="Times New Roman"/>
          <w:sz w:val="24"/>
          <w:szCs w:val="24"/>
        </w:rPr>
        <w:t>unit</w:t>
      </w:r>
      <w:r w:rsidRPr="00476D43" w:rsidR="00CE1AF0">
        <w:rPr>
          <w:rFonts w:ascii="Times New Roman" w:hAnsi="Times New Roman" w:cs="Times New Roman"/>
          <w:sz w:val="24"/>
          <w:szCs w:val="24"/>
        </w:rPr>
        <w:t xml:space="preserve"> </w:t>
      </w:r>
      <w:r w:rsidRPr="00476D43">
        <w:rPr>
          <w:rFonts w:ascii="Times New Roman" w:hAnsi="Times New Roman" w:cs="Times New Roman"/>
          <w:sz w:val="24"/>
          <w:szCs w:val="24"/>
        </w:rPr>
        <w:t xml:space="preserve">for the first time in the next three years. </w:t>
      </w:r>
    </w:p>
    <w:p w:rsidRPr="00476D43" w:rsidR="00DE05A7" w:rsidP="00DF1056" w:rsidRDefault="00DE05A7" w14:paraId="476C48FB"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p>
    <w:p w:rsidRPr="00476D43" w:rsidR="00DE05A7" w:rsidP="00DF1056" w:rsidRDefault="00DE05A7" w14:paraId="2038A073"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r w:rsidRPr="00476D43">
        <w:rPr>
          <w:rFonts w:ascii="Times New Roman" w:hAnsi="Times New Roman" w:cs="Times New Roman"/>
          <w:sz w:val="24"/>
          <w:szCs w:val="24"/>
        </w:rPr>
        <w:t xml:space="preserve">In 2006, NOAA established a VMS Reimbursement Program to offset the cost of purchasing a new VMS unit for the purpose of complying with fishery regulations pursuant to the Magnuson-Stevens Act (see </w:t>
      </w:r>
      <w:hyperlink w:history="1" r:id="rId20">
        <w:r w:rsidRPr="00476D43">
          <w:rPr>
            <w:rStyle w:val="Hyperlink"/>
            <w:rFonts w:ascii="Times New Roman" w:hAnsi="Times New Roman" w:cs="Times New Roman"/>
            <w:sz w:val="24"/>
            <w:szCs w:val="24"/>
          </w:rPr>
          <w:t>http://www.psmfc.org/program/vessel-monitoring-system-reimbursement-program-vms</w:t>
        </w:r>
      </w:hyperlink>
      <w:r w:rsidRPr="00476D43">
        <w:rPr>
          <w:rFonts w:ascii="Times New Roman" w:hAnsi="Times New Roman" w:cs="Times New Roman"/>
          <w:sz w:val="24"/>
          <w:szCs w:val="24"/>
        </w:rPr>
        <w:t xml:space="preserve">). The Pacific States Marine Fisheries Commission in collaboration with NMFS OLE distributes the allocated reimbursement funds to eligible, confirmed vessel owners and operators. The reimbursement program is for eligible vessels that have not had a VMS unit installed before and reimburses the cost of the base unit of the first VMS unit up to $3,100. Many of these reimbursements were made because of requirements to upgrade or replace outdated VMS units. </w:t>
      </w:r>
    </w:p>
    <w:p w:rsidRPr="00476D43" w:rsidR="00DE05A7" w:rsidP="00DF1056" w:rsidRDefault="00DE05A7" w14:paraId="37701865"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p>
    <w:p w:rsidRPr="00476D43" w:rsidR="00DE05A7" w:rsidP="00DF1056" w:rsidRDefault="00DE05A7" w14:paraId="6264B281"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r w:rsidRPr="00476D43">
        <w:rPr>
          <w:rFonts w:ascii="Times New Roman" w:hAnsi="Times New Roman" w:cs="Times New Roman"/>
          <w:sz w:val="24"/>
          <w:szCs w:val="24"/>
        </w:rPr>
        <w:t xml:space="preserve">VMS units periodically wear out or break down and must be replaced, and some vessel operators voluntarily upgrade their VMS units. NMFS estimates that 100 units will be replaced over the course of the 3-year cycle of this information collection, or an annualized rate of 33 VMS replacements per year (100/3). These replacement units are not likely to be eligible for reimbursement due to the “one time” provisions of the reimbursement program. Each of these 33 replacement units are estimated to cost $3,100 per unit for a total annual cost of $102,300. NMFS selected $3,100 as a cost estimate for the replacement units because it is the maximum allowed for new unit reimbursement and probably represents a good average cost of a new or replacement unit. </w:t>
      </w:r>
    </w:p>
    <w:p w:rsidRPr="00476D43" w:rsidR="00DE05A7" w:rsidP="00DF1056" w:rsidRDefault="00DE05A7" w14:paraId="4C20FA92"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p>
    <w:p w:rsidRPr="00476D43" w:rsidR="00DE05A7" w:rsidP="00DF1056" w:rsidRDefault="00DE05A7" w14:paraId="2839889C"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r w:rsidRPr="00476D43">
        <w:rPr>
          <w:rFonts w:ascii="Times New Roman" w:hAnsi="Times New Roman" w:cs="Times New Roman"/>
          <w:sz w:val="24"/>
          <w:szCs w:val="24"/>
        </w:rPr>
        <w:t xml:space="preserve">Depending on which brand of VMS is chosen, the average monthly cost of a VMS service provider agreement is approximately $60 for transmission two times per hour and approximately $190 for transmission ten times per hour (trawling in the Aleutian Islands). NMFS is unable to breakdown the total estimate of 7,784,098 VMS transmissions per year between three categories of transmission rates (ten times per hour, two times per hour, and one time per hour when a vessel is in port). Therefore, for purposes of estimating the average cost of VMS transmissions per vessel and overall, NMFS assumes that each vessel required to use VMS pays for a 12-month service provider agreement at the $60/month rate. The majority of the vessels will be fishing in areas and fisheries that require transmission of location information two times per hour; however, the assumption that each vessel will be paying for VMS transmission the full 12-months of the year is conservative, so balances out the fact that some of the vessels will be paying a higher monthly charge for more frequent transmissions.  </w:t>
      </w:r>
    </w:p>
    <w:p w:rsidRPr="00476D43" w:rsidR="00DE05A7" w:rsidP="00DF1056" w:rsidRDefault="00DE05A7" w14:paraId="423A8CC8"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p>
    <w:p w:rsidRPr="00476D43" w:rsidR="00DE05A7" w:rsidP="00DF1056" w:rsidRDefault="00DE05A7" w14:paraId="02D1E871"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r w:rsidRPr="00476D43">
        <w:rPr>
          <w:rFonts w:ascii="Times New Roman" w:hAnsi="Times New Roman" w:cs="Times New Roman"/>
          <w:sz w:val="24"/>
          <w:szCs w:val="24"/>
        </w:rPr>
        <w:t xml:space="preserve">Based on these assumptions: </w:t>
      </w:r>
    </w:p>
    <w:p w:rsidRPr="00476D43" w:rsidR="00DE05A7" w:rsidP="00DF1056" w:rsidRDefault="00DE05A7" w14:paraId="49CEE55B"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r w:rsidRPr="00476D43">
        <w:rPr>
          <w:rFonts w:ascii="Times New Roman" w:hAnsi="Times New Roman" w:cs="Times New Roman"/>
          <w:sz w:val="24"/>
          <w:szCs w:val="24"/>
        </w:rPr>
        <w:t xml:space="preserve"> </w:t>
      </w:r>
    </w:p>
    <w:p w:rsidRPr="00476D43" w:rsidR="00DE05A7" w:rsidP="00DF1056" w:rsidRDefault="00DE05A7" w14:paraId="2141B7A5"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r w:rsidRPr="00476D43">
        <w:rPr>
          <w:rFonts w:ascii="Times New Roman" w:hAnsi="Times New Roman" w:cs="Times New Roman"/>
          <w:sz w:val="24"/>
          <w:szCs w:val="24"/>
        </w:rPr>
        <w:t xml:space="preserve">The cost for VMS transmission for a single vessel is $720 (12 months * $60/month). </w:t>
      </w:r>
    </w:p>
    <w:p w:rsidRPr="00476D43" w:rsidR="00DE05A7" w:rsidP="00DF1056" w:rsidRDefault="00DE05A7" w14:paraId="712EE86A"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r w:rsidRPr="00476D43">
        <w:rPr>
          <w:rFonts w:ascii="Times New Roman" w:hAnsi="Times New Roman" w:cs="Times New Roman"/>
          <w:sz w:val="24"/>
          <w:szCs w:val="24"/>
        </w:rPr>
        <w:t xml:space="preserve">The cost for VMS transmission for all vessels is $396,000 (550 vessels * $720/hour). </w:t>
      </w:r>
    </w:p>
    <w:p w:rsidRPr="00476D43" w:rsidR="00DE05A7" w:rsidP="00DF1056" w:rsidRDefault="00DE05A7" w14:paraId="2F97228B"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p>
    <w:p w:rsidR="00DE05A7" w:rsidP="00DF1056" w:rsidRDefault="00DE05A7" w14:paraId="54150809" w14:textId="33CDF463">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color w:val="000000"/>
          <w:sz w:val="24"/>
          <w:szCs w:val="24"/>
        </w:rPr>
      </w:pPr>
      <w:r w:rsidRPr="00476D43">
        <w:rPr>
          <w:rFonts w:ascii="Times New Roman" w:hAnsi="Times New Roman" w:cs="Times New Roman"/>
          <w:color w:val="000000"/>
          <w:sz w:val="24"/>
          <w:szCs w:val="24"/>
        </w:rPr>
        <w:lastRenderedPageBreak/>
        <w:t>The hourly charges for installation, maintenance, and troubleshooting by a qualified marine electronics technician vary by location. Based on responses to informal interviews, Seattle rates are approximately $115 per hour; Kodiak rates are approximately $135 per hour; and Dutch Harbor rates are approximately $142 per hour. Thus, the average of the high and low rates, $128 per hour, has been used to estimate this burden.</w:t>
      </w:r>
    </w:p>
    <w:p w:rsidRPr="00476D43" w:rsidR="00A475C8" w:rsidP="00DF1056" w:rsidRDefault="00A475C8" w14:paraId="7F255C58" w14:textId="77777777">
      <w:pPr>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rFonts w:ascii="Times New Roman" w:hAnsi="Times New Roman" w:cs="Times New Roman"/>
          <w:sz w:val="24"/>
          <w:szCs w:val="24"/>
        </w:rPr>
      </w:pPr>
    </w:p>
    <w:p w:rsidRPr="00BD7237" w:rsidR="008E61C9" w:rsidP="00DF1056" w:rsidRDefault="001477A3" w14:paraId="61826EDD" w14:textId="77777777">
      <w:pPr>
        <w:pStyle w:val="ListParagraph"/>
        <w:numPr>
          <w:ilvl w:val="0"/>
          <w:numId w:val="7"/>
        </w:numPr>
        <w:tabs>
          <w:tab w:val="left" w:pos="360"/>
        </w:tabs>
        <w:spacing w:before="80" w:after="24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438C9" w:rsidP="00DF1056" w:rsidRDefault="007438C9" w14:paraId="2CCCA8E1" w14:textId="4AF458B9">
      <w:pPr>
        <w:widowControl/>
        <w:spacing w:after="240"/>
        <w:contextualSpacing/>
        <w:rPr>
          <w:color w:val="000000"/>
          <w:sz w:val="24"/>
          <w:szCs w:val="24"/>
        </w:rPr>
      </w:pPr>
      <w:r w:rsidRPr="00331850">
        <w:rPr>
          <w:rFonts w:ascii="Times New Roman" w:hAnsi="Times New Roman" w:cs="Times New Roman"/>
          <w:color w:val="000000"/>
          <w:sz w:val="24"/>
          <w:szCs w:val="24"/>
        </w:rPr>
        <w:t>Alaska Region VMS data are monitored and interpreted by NMFS OLE. Currently, no officers are directly dedicated to VMS; however, a program manager and an enforcement technician work on VMS.</w:t>
      </w:r>
    </w:p>
    <w:tbl>
      <w:tblPr>
        <w:tblW w:w="9386" w:type="dxa"/>
        <w:tblInd w:w="-10" w:type="dxa"/>
        <w:tblLook w:val="04A0" w:firstRow="1" w:lastRow="0" w:firstColumn="1" w:lastColumn="0" w:noHBand="0" w:noVBand="1"/>
      </w:tblPr>
      <w:tblGrid>
        <w:gridCol w:w="1744"/>
        <w:gridCol w:w="1436"/>
        <w:gridCol w:w="1462"/>
        <w:gridCol w:w="1436"/>
        <w:gridCol w:w="1641"/>
        <w:gridCol w:w="1667"/>
      </w:tblGrid>
      <w:tr w:rsidRPr="00941EC4" w:rsidR="007438C9" w:rsidTr="002D1549" w14:paraId="30C7FC87" w14:textId="77777777">
        <w:trPr>
          <w:trHeight w:val="519"/>
        </w:trPr>
        <w:tc>
          <w:tcPr>
            <w:tcW w:w="1744" w:type="dxa"/>
            <w:tcBorders>
              <w:top w:val="single" w:color="auto" w:sz="8" w:space="0"/>
              <w:left w:val="single" w:color="auto" w:sz="8" w:space="0"/>
              <w:bottom w:val="nil"/>
              <w:right w:val="single" w:color="auto" w:sz="8" w:space="0"/>
            </w:tcBorders>
            <w:shd w:val="clear" w:color="000000" w:fill="BDD7EE"/>
            <w:vAlign w:val="center"/>
            <w:hideMark/>
          </w:tcPr>
          <w:p w:rsidRPr="00941EC4" w:rsidR="007438C9" w:rsidP="00DF1056" w:rsidRDefault="007438C9" w14:paraId="42778F2A" w14:textId="77777777">
            <w:pPr>
              <w:widowControl/>
              <w:autoSpaceDE/>
              <w:autoSpaceDN/>
              <w:contextualSpacing/>
              <w:jc w:val="center"/>
              <w:rPr>
                <w:rFonts w:ascii="Calibri" w:hAnsi="Calibri" w:cs="Calibri"/>
                <w:b/>
                <w:bCs/>
                <w:color w:val="000000"/>
                <w:sz w:val="16"/>
                <w:szCs w:val="16"/>
              </w:rPr>
            </w:pPr>
            <w:r w:rsidRPr="00941EC4">
              <w:rPr>
                <w:rFonts w:ascii="Calibri" w:hAnsi="Calibri" w:cs="Calibri"/>
                <w:b/>
                <w:bCs/>
                <w:color w:val="000000"/>
                <w:sz w:val="16"/>
                <w:szCs w:val="16"/>
              </w:rPr>
              <w:t>Cost Descriptions</w:t>
            </w:r>
          </w:p>
        </w:tc>
        <w:tc>
          <w:tcPr>
            <w:tcW w:w="1436" w:type="dxa"/>
            <w:tcBorders>
              <w:top w:val="single" w:color="auto" w:sz="8" w:space="0"/>
              <w:left w:val="nil"/>
              <w:bottom w:val="nil"/>
              <w:right w:val="single" w:color="auto" w:sz="8" w:space="0"/>
            </w:tcBorders>
            <w:shd w:val="clear" w:color="000000" w:fill="BDD7EE"/>
            <w:vAlign w:val="center"/>
            <w:hideMark/>
          </w:tcPr>
          <w:p w:rsidRPr="00941EC4" w:rsidR="007438C9" w:rsidP="00DF1056" w:rsidRDefault="007438C9" w14:paraId="7FBC0669" w14:textId="77777777">
            <w:pPr>
              <w:widowControl/>
              <w:autoSpaceDE/>
              <w:autoSpaceDN/>
              <w:contextualSpacing/>
              <w:jc w:val="center"/>
              <w:rPr>
                <w:rFonts w:ascii="Calibri" w:hAnsi="Calibri" w:cs="Calibri"/>
                <w:b/>
                <w:bCs/>
                <w:color w:val="000000"/>
                <w:sz w:val="16"/>
                <w:szCs w:val="16"/>
              </w:rPr>
            </w:pPr>
            <w:r w:rsidRPr="00941EC4">
              <w:rPr>
                <w:rFonts w:ascii="Calibri" w:hAnsi="Calibri" w:cs="Calibri"/>
                <w:b/>
                <w:bCs/>
                <w:color w:val="000000"/>
                <w:sz w:val="16"/>
                <w:szCs w:val="16"/>
              </w:rPr>
              <w:t>Grade/Step</w:t>
            </w:r>
          </w:p>
        </w:tc>
        <w:tc>
          <w:tcPr>
            <w:tcW w:w="1462" w:type="dxa"/>
            <w:tcBorders>
              <w:top w:val="single" w:color="auto" w:sz="8" w:space="0"/>
              <w:left w:val="nil"/>
              <w:bottom w:val="nil"/>
              <w:right w:val="single" w:color="auto" w:sz="8" w:space="0"/>
            </w:tcBorders>
            <w:shd w:val="clear" w:color="000000" w:fill="BDD7EE"/>
            <w:vAlign w:val="center"/>
            <w:hideMark/>
          </w:tcPr>
          <w:p w:rsidRPr="00941EC4" w:rsidR="007438C9" w:rsidP="00DF1056" w:rsidRDefault="007438C9" w14:paraId="6B4EE746" w14:textId="77777777">
            <w:pPr>
              <w:widowControl/>
              <w:autoSpaceDE/>
              <w:autoSpaceDN/>
              <w:contextualSpacing/>
              <w:jc w:val="center"/>
              <w:rPr>
                <w:rFonts w:ascii="Calibri" w:hAnsi="Calibri" w:cs="Calibri"/>
                <w:b/>
                <w:bCs/>
                <w:color w:val="000000"/>
                <w:sz w:val="16"/>
                <w:szCs w:val="16"/>
              </w:rPr>
            </w:pPr>
            <w:r w:rsidRPr="00941EC4">
              <w:rPr>
                <w:rFonts w:ascii="Calibri" w:hAnsi="Calibri" w:cs="Calibri"/>
                <w:b/>
                <w:bCs/>
                <w:color w:val="000000"/>
                <w:sz w:val="16"/>
                <w:szCs w:val="16"/>
              </w:rPr>
              <w:t>Loaded Salary /Cost</w:t>
            </w:r>
          </w:p>
        </w:tc>
        <w:tc>
          <w:tcPr>
            <w:tcW w:w="1436" w:type="dxa"/>
            <w:tcBorders>
              <w:top w:val="single" w:color="auto" w:sz="8" w:space="0"/>
              <w:left w:val="nil"/>
              <w:bottom w:val="nil"/>
              <w:right w:val="single" w:color="auto" w:sz="8" w:space="0"/>
            </w:tcBorders>
            <w:shd w:val="clear" w:color="000000" w:fill="BDD7EE"/>
            <w:vAlign w:val="center"/>
            <w:hideMark/>
          </w:tcPr>
          <w:p w:rsidRPr="00941EC4" w:rsidR="007438C9" w:rsidP="00DF1056" w:rsidRDefault="007438C9" w14:paraId="4D0B4F75" w14:textId="77777777">
            <w:pPr>
              <w:widowControl/>
              <w:autoSpaceDE/>
              <w:autoSpaceDN/>
              <w:contextualSpacing/>
              <w:jc w:val="center"/>
              <w:rPr>
                <w:rFonts w:ascii="Calibri" w:hAnsi="Calibri" w:cs="Calibri"/>
                <w:b/>
                <w:bCs/>
                <w:color w:val="000000"/>
                <w:sz w:val="16"/>
                <w:szCs w:val="16"/>
              </w:rPr>
            </w:pPr>
            <w:r w:rsidRPr="00941EC4">
              <w:rPr>
                <w:rFonts w:ascii="Calibri" w:hAnsi="Calibri" w:cs="Calibri"/>
                <w:b/>
                <w:bCs/>
                <w:color w:val="000000"/>
                <w:sz w:val="16"/>
                <w:szCs w:val="16"/>
              </w:rPr>
              <w:t>% of Effort</w:t>
            </w:r>
          </w:p>
        </w:tc>
        <w:tc>
          <w:tcPr>
            <w:tcW w:w="1641" w:type="dxa"/>
            <w:tcBorders>
              <w:top w:val="single" w:color="auto" w:sz="8" w:space="0"/>
              <w:left w:val="nil"/>
              <w:bottom w:val="nil"/>
              <w:right w:val="single" w:color="auto" w:sz="8" w:space="0"/>
            </w:tcBorders>
            <w:shd w:val="clear" w:color="000000" w:fill="BDD7EE"/>
            <w:vAlign w:val="center"/>
            <w:hideMark/>
          </w:tcPr>
          <w:p w:rsidRPr="00941EC4" w:rsidR="007438C9" w:rsidP="00DF1056" w:rsidRDefault="007438C9" w14:paraId="45F40C0D" w14:textId="77777777">
            <w:pPr>
              <w:widowControl/>
              <w:autoSpaceDE/>
              <w:autoSpaceDN/>
              <w:contextualSpacing/>
              <w:jc w:val="center"/>
              <w:rPr>
                <w:rFonts w:ascii="Calibri" w:hAnsi="Calibri" w:cs="Calibri"/>
                <w:b/>
                <w:bCs/>
                <w:color w:val="000000"/>
                <w:sz w:val="16"/>
                <w:szCs w:val="16"/>
              </w:rPr>
            </w:pPr>
            <w:r w:rsidRPr="00941EC4">
              <w:rPr>
                <w:rFonts w:ascii="Calibri" w:hAnsi="Calibri" w:cs="Calibri"/>
                <w:b/>
                <w:bCs/>
                <w:color w:val="000000"/>
                <w:sz w:val="16"/>
                <w:szCs w:val="16"/>
              </w:rPr>
              <w:t>Fringe (if Applicable)</w:t>
            </w:r>
          </w:p>
        </w:tc>
        <w:tc>
          <w:tcPr>
            <w:tcW w:w="1667" w:type="dxa"/>
            <w:tcBorders>
              <w:top w:val="single" w:color="auto" w:sz="8" w:space="0"/>
              <w:left w:val="nil"/>
              <w:bottom w:val="nil"/>
              <w:right w:val="single" w:color="auto" w:sz="8" w:space="0"/>
            </w:tcBorders>
            <w:shd w:val="clear" w:color="000000" w:fill="BDD7EE"/>
            <w:vAlign w:val="center"/>
            <w:hideMark/>
          </w:tcPr>
          <w:p w:rsidRPr="00941EC4" w:rsidR="007438C9" w:rsidP="00DF1056" w:rsidRDefault="007438C9" w14:paraId="3E7F32AD" w14:textId="77777777">
            <w:pPr>
              <w:widowControl/>
              <w:autoSpaceDE/>
              <w:autoSpaceDN/>
              <w:contextualSpacing/>
              <w:jc w:val="center"/>
              <w:rPr>
                <w:rFonts w:ascii="Calibri" w:hAnsi="Calibri" w:cs="Calibri"/>
                <w:b/>
                <w:bCs/>
                <w:color w:val="000000"/>
                <w:sz w:val="16"/>
                <w:szCs w:val="16"/>
              </w:rPr>
            </w:pPr>
            <w:r w:rsidRPr="00941EC4">
              <w:rPr>
                <w:rFonts w:ascii="Calibri" w:hAnsi="Calibri" w:cs="Calibri"/>
                <w:b/>
                <w:bCs/>
                <w:color w:val="000000"/>
                <w:sz w:val="16"/>
                <w:szCs w:val="16"/>
              </w:rPr>
              <w:t>Total Cost to Government</w:t>
            </w:r>
          </w:p>
        </w:tc>
      </w:tr>
      <w:tr w:rsidRPr="00941EC4" w:rsidR="007438C9" w:rsidTr="002D1549" w14:paraId="5DCE23F1" w14:textId="77777777">
        <w:trPr>
          <w:trHeight w:val="537"/>
        </w:trPr>
        <w:tc>
          <w:tcPr>
            <w:tcW w:w="1744"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941EC4" w:rsidR="007438C9" w:rsidP="00DF1056" w:rsidRDefault="007438C9" w14:paraId="032F8D2E" w14:textId="77777777">
            <w:pPr>
              <w:widowControl/>
              <w:autoSpaceDE/>
              <w:autoSpaceDN/>
              <w:contextualSpacing/>
              <w:rPr>
                <w:rFonts w:ascii="Calibri" w:hAnsi="Calibri" w:cs="Calibri"/>
                <w:b/>
                <w:bCs/>
                <w:color w:val="000000"/>
                <w:sz w:val="16"/>
                <w:szCs w:val="16"/>
              </w:rPr>
            </w:pPr>
            <w:r w:rsidRPr="00941EC4">
              <w:rPr>
                <w:rFonts w:ascii="Calibri" w:hAnsi="Calibri" w:cs="Calibri"/>
                <w:b/>
                <w:bCs/>
                <w:color w:val="000000"/>
                <w:sz w:val="16"/>
                <w:szCs w:val="16"/>
              </w:rPr>
              <w:t>Federal Oversight</w:t>
            </w:r>
          </w:p>
        </w:tc>
        <w:tc>
          <w:tcPr>
            <w:tcW w:w="1436" w:type="dxa"/>
            <w:tcBorders>
              <w:top w:val="single" w:color="auto" w:sz="4" w:space="0"/>
              <w:left w:val="nil"/>
              <w:bottom w:val="single" w:color="auto" w:sz="4" w:space="0"/>
              <w:right w:val="single" w:color="auto" w:sz="4" w:space="0"/>
            </w:tcBorders>
            <w:shd w:val="clear" w:color="auto" w:fill="auto"/>
            <w:noWrap/>
            <w:vAlign w:val="center"/>
            <w:hideMark/>
          </w:tcPr>
          <w:p w:rsidRPr="00941EC4" w:rsidR="007438C9" w:rsidP="00DF1056" w:rsidRDefault="007438C9" w14:paraId="5247D1C9"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ZA-4</w:t>
            </w:r>
          </w:p>
        </w:tc>
        <w:tc>
          <w:tcPr>
            <w:tcW w:w="1462" w:type="dxa"/>
            <w:tcBorders>
              <w:top w:val="single" w:color="auto" w:sz="4" w:space="0"/>
              <w:left w:val="nil"/>
              <w:bottom w:val="single" w:color="auto" w:sz="4" w:space="0"/>
              <w:right w:val="single" w:color="auto" w:sz="4" w:space="0"/>
            </w:tcBorders>
            <w:shd w:val="clear" w:color="auto" w:fill="auto"/>
            <w:noWrap/>
            <w:vAlign w:val="center"/>
            <w:hideMark/>
          </w:tcPr>
          <w:p w:rsidRPr="00941EC4" w:rsidR="007438C9" w:rsidP="00DF1056" w:rsidRDefault="007438C9" w14:paraId="2847EF14"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$244,860</w:t>
            </w:r>
          </w:p>
        </w:tc>
        <w:tc>
          <w:tcPr>
            <w:tcW w:w="1436" w:type="dxa"/>
            <w:tcBorders>
              <w:top w:val="single" w:color="auto" w:sz="4" w:space="0"/>
              <w:left w:val="nil"/>
              <w:bottom w:val="single" w:color="auto" w:sz="4" w:space="0"/>
              <w:right w:val="single" w:color="auto" w:sz="4" w:space="0"/>
            </w:tcBorders>
            <w:shd w:val="clear" w:color="auto" w:fill="auto"/>
            <w:noWrap/>
            <w:vAlign w:val="center"/>
            <w:hideMark/>
          </w:tcPr>
          <w:p w:rsidRPr="00941EC4" w:rsidR="007438C9" w:rsidP="00DF1056" w:rsidRDefault="007438C9" w14:paraId="6AABA1B0"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2%</w:t>
            </w:r>
          </w:p>
        </w:tc>
        <w:tc>
          <w:tcPr>
            <w:tcW w:w="1641" w:type="dxa"/>
            <w:tcBorders>
              <w:top w:val="single" w:color="auto" w:sz="4" w:space="0"/>
              <w:left w:val="nil"/>
              <w:bottom w:val="single" w:color="auto" w:sz="4" w:space="0"/>
              <w:right w:val="single" w:color="auto" w:sz="4" w:space="0"/>
            </w:tcBorders>
            <w:shd w:val="clear" w:color="000000" w:fill="808080"/>
            <w:noWrap/>
            <w:vAlign w:val="center"/>
            <w:hideMark/>
          </w:tcPr>
          <w:p w:rsidRPr="00941EC4" w:rsidR="007438C9" w:rsidP="00DF1056" w:rsidRDefault="007438C9" w14:paraId="5566CB75"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667" w:type="dxa"/>
            <w:tcBorders>
              <w:top w:val="single" w:color="auto" w:sz="4" w:space="0"/>
              <w:left w:val="nil"/>
              <w:bottom w:val="single" w:color="auto" w:sz="4" w:space="0"/>
              <w:right w:val="single" w:color="auto" w:sz="8" w:space="0"/>
            </w:tcBorders>
            <w:shd w:val="clear" w:color="auto" w:fill="auto"/>
            <w:noWrap/>
            <w:vAlign w:val="center"/>
            <w:hideMark/>
          </w:tcPr>
          <w:p w:rsidRPr="00941EC4" w:rsidR="007438C9" w:rsidP="00DF1056" w:rsidRDefault="007438C9" w14:paraId="63981E45"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$4,897</w:t>
            </w:r>
          </w:p>
        </w:tc>
      </w:tr>
      <w:tr w:rsidRPr="00941EC4" w:rsidR="007438C9" w:rsidTr="002D1549" w14:paraId="45912F0F" w14:textId="77777777">
        <w:trPr>
          <w:trHeight w:val="346"/>
        </w:trPr>
        <w:tc>
          <w:tcPr>
            <w:tcW w:w="1744" w:type="dxa"/>
            <w:tcBorders>
              <w:top w:val="nil"/>
              <w:left w:val="single" w:color="auto" w:sz="8" w:space="0"/>
              <w:bottom w:val="single" w:color="auto" w:sz="4" w:space="0"/>
              <w:right w:val="single" w:color="auto" w:sz="8" w:space="0"/>
            </w:tcBorders>
            <w:shd w:val="clear" w:color="auto" w:fill="auto"/>
            <w:noWrap/>
            <w:vAlign w:val="center"/>
            <w:hideMark/>
          </w:tcPr>
          <w:p w:rsidRPr="00941EC4" w:rsidR="007438C9" w:rsidP="00DF1056" w:rsidRDefault="007438C9" w14:paraId="4845BD73" w14:textId="77777777">
            <w:pPr>
              <w:widowControl/>
              <w:autoSpaceDE/>
              <w:autoSpaceDN/>
              <w:contextualSpacing/>
              <w:jc w:val="center"/>
              <w:rPr>
                <w:rFonts w:ascii="Calibri" w:hAnsi="Calibri" w:cs="Calibri"/>
                <w:color w:val="000000"/>
                <w:sz w:val="16"/>
                <w:szCs w:val="16"/>
              </w:rPr>
            </w:pPr>
          </w:p>
        </w:tc>
        <w:tc>
          <w:tcPr>
            <w:tcW w:w="1436" w:type="dxa"/>
            <w:tcBorders>
              <w:top w:val="nil"/>
              <w:left w:val="nil"/>
              <w:bottom w:val="single" w:color="auto" w:sz="4" w:space="0"/>
              <w:right w:val="single" w:color="auto" w:sz="4" w:space="0"/>
            </w:tcBorders>
            <w:shd w:val="clear" w:color="auto" w:fill="auto"/>
            <w:noWrap/>
            <w:vAlign w:val="center"/>
            <w:hideMark/>
          </w:tcPr>
          <w:p w:rsidRPr="00941EC4" w:rsidR="007438C9" w:rsidP="00DF1056" w:rsidRDefault="007438C9" w14:paraId="3681CA02"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ZS-V</w:t>
            </w:r>
          </w:p>
        </w:tc>
        <w:tc>
          <w:tcPr>
            <w:tcW w:w="1462" w:type="dxa"/>
            <w:tcBorders>
              <w:top w:val="nil"/>
              <w:left w:val="nil"/>
              <w:bottom w:val="single" w:color="auto" w:sz="4" w:space="0"/>
              <w:right w:val="single" w:color="auto" w:sz="4" w:space="0"/>
            </w:tcBorders>
            <w:shd w:val="clear" w:color="auto" w:fill="auto"/>
            <w:noWrap/>
            <w:vAlign w:val="center"/>
            <w:hideMark/>
          </w:tcPr>
          <w:p w:rsidRPr="00941EC4" w:rsidR="007438C9" w:rsidP="00DF1056" w:rsidRDefault="007438C9" w14:paraId="2C2F716A"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109,440</w:t>
            </w:r>
          </w:p>
        </w:tc>
        <w:tc>
          <w:tcPr>
            <w:tcW w:w="1436" w:type="dxa"/>
            <w:tcBorders>
              <w:top w:val="nil"/>
              <w:left w:val="nil"/>
              <w:bottom w:val="single" w:color="auto" w:sz="4" w:space="0"/>
              <w:right w:val="single" w:color="auto" w:sz="4" w:space="0"/>
            </w:tcBorders>
            <w:shd w:val="clear" w:color="auto" w:fill="auto"/>
            <w:noWrap/>
            <w:vAlign w:val="center"/>
            <w:hideMark/>
          </w:tcPr>
          <w:p w:rsidRPr="00941EC4" w:rsidR="007438C9" w:rsidP="00DF1056" w:rsidRDefault="007438C9" w14:paraId="331EBC4F"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10%</w:t>
            </w:r>
          </w:p>
        </w:tc>
        <w:tc>
          <w:tcPr>
            <w:tcW w:w="1641" w:type="dxa"/>
            <w:tcBorders>
              <w:top w:val="nil"/>
              <w:left w:val="nil"/>
              <w:bottom w:val="single" w:color="auto" w:sz="4" w:space="0"/>
              <w:right w:val="single" w:color="auto" w:sz="4" w:space="0"/>
            </w:tcBorders>
            <w:shd w:val="clear" w:color="000000" w:fill="808080"/>
            <w:noWrap/>
            <w:vAlign w:val="center"/>
            <w:hideMark/>
          </w:tcPr>
          <w:p w:rsidRPr="00941EC4" w:rsidR="007438C9" w:rsidP="00DF1056" w:rsidRDefault="007438C9" w14:paraId="3D2B0382" w14:textId="77777777">
            <w:pPr>
              <w:widowControl/>
              <w:autoSpaceDE/>
              <w:autoSpaceDN/>
              <w:contextualSpacing/>
              <w:jc w:val="center"/>
              <w:rPr>
                <w:rFonts w:ascii="Calibri" w:hAnsi="Calibri" w:cs="Calibri"/>
                <w:color w:val="000000"/>
                <w:sz w:val="16"/>
                <w:szCs w:val="16"/>
              </w:rPr>
            </w:pPr>
          </w:p>
        </w:tc>
        <w:tc>
          <w:tcPr>
            <w:tcW w:w="1667" w:type="dxa"/>
            <w:tcBorders>
              <w:top w:val="nil"/>
              <w:left w:val="nil"/>
              <w:bottom w:val="single" w:color="auto" w:sz="4" w:space="0"/>
              <w:right w:val="single" w:color="auto" w:sz="8" w:space="0"/>
            </w:tcBorders>
            <w:shd w:val="clear" w:color="auto" w:fill="auto"/>
            <w:noWrap/>
            <w:vAlign w:val="center"/>
            <w:hideMark/>
          </w:tcPr>
          <w:p w:rsidRPr="00941EC4" w:rsidR="007438C9" w:rsidP="00DF1056" w:rsidRDefault="007438C9" w14:paraId="36325FC7"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$10,944</w:t>
            </w:r>
          </w:p>
        </w:tc>
      </w:tr>
      <w:tr w:rsidRPr="00941EC4" w:rsidR="007438C9" w:rsidTr="002D1549" w14:paraId="1457BC25" w14:textId="77777777">
        <w:trPr>
          <w:trHeight w:val="537"/>
        </w:trPr>
        <w:tc>
          <w:tcPr>
            <w:tcW w:w="1744" w:type="dxa"/>
            <w:tcBorders>
              <w:top w:val="nil"/>
              <w:left w:val="single" w:color="auto" w:sz="8" w:space="0"/>
              <w:bottom w:val="single" w:color="auto" w:sz="4" w:space="0"/>
              <w:right w:val="single" w:color="auto" w:sz="8" w:space="0"/>
            </w:tcBorders>
            <w:shd w:val="clear" w:color="auto" w:fill="auto"/>
            <w:vAlign w:val="center"/>
            <w:hideMark/>
          </w:tcPr>
          <w:p w:rsidRPr="00941EC4" w:rsidR="007438C9" w:rsidP="00DF1056" w:rsidRDefault="007438C9" w14:paraId="6DC71D26" w14:textId="77777777">
            <w:pPr>
              <w:widowControl/>
              <w:autoSpaceDE/>
              <w:autoSpaceDN/>
              <w:contextualSpacing/>
              <w:rPr>
                <w:rFonts w:ascii="Calibri" w:hAnsi="Calibri" w:cs="Calibri"/>
                <w:b/>
                <w:bCs/>
                <w:color w:val="000000"/>
                <w:sz w:val="16"/>
                <w:szCs w:val="16"/>
              </w:rPr>
            </w:pPr>
            <w:r w:rsidRPr="00941EC4">
              <w:rPr>
                <w:rFonts w:ascii="Calibri" w:hAnsi="Calibri" w:cs="Calibri"/>
                <w:b/>
                <w:bCs/>
                <w:color w:val="000000"/>
                <w:sz w:val="16"/>
                <w:szCs w:val="16"/>
              </w:rPr>
              <w:t>Contractor Cost</w:t>
            </w:r>
          </w:p>
        </w:tc>
        <w:tc>
          <w:tcPr>
            <w:tcW w:w="1436" w:type="dxa"/>
            <w:tcBorders>
              <w:top w:val="nil"/>
              <w:left w:val="nil"/>
              <w:bottom w:val="single" w:color="auto" w:sz="4" w:space="0"/>
              <w:right w:val="single" w:color="auto" w:sz="4" w:space="0"/>
            </w:tcBorders>
            <w:shd w:val="clear" w:color="000000" w:fill="808080"/>
            <w:noWrap/>
            <w:vAlign w:val="center"/>
            <w:hideMark/>
          </w:tcPr>
          <w:p w:rsidRPr="00941EC4" w:rsidR="007438C9" w:rsidP="00DF1056" w:rsidRDefault="007438C9" w14:paraId="0AB63EAF"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462" w:type="dxa"/>
            <w:tcBorders>
              <w:top w:val="nil"/>
              <w:left w:val="nil"/>
              <w:bottom w:val="single" w:color="auto" w:sz="4" w:space="0"/>
              <w:right w:val="single" w:color="auto" w:sz="4" w:space="0"/>
            </w:tcBorders>
            <w:shd w:val="clear" w:color="auto" w:fill="auto"/>
            <w:noWrap/>
            <w:vAlign w:val="center"/>
            <w:hideMark/>
          </w:tcPr>
          <w:p w:rsidRPr="00941EC4" w:rsidR="007438C9" w:rsidP="00DF1056" w:rsidRDefault="007438C9" w14:paraId="0C8F6711"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w:t>
            </w:r>
          </w:p>
        </w:tc>
        <w:tc>
          <w:tcPr>
            <w:tcW w:w="1436" w:type="dxa"/>
            <w:tcBorders>
              <w:top w:val="nil"/>
              <w:left w:val="nil"/>
              <w:bottom w:val="single" w:color="auto" w:sz="4" w:space="0"/>
              <w:right w:val="single" w:color="auto" w:sz="4" w:space="0"/>
            </w:tcBorders>
            <w:shd w:val="clear" w:color="auto" w:fill="auto"/>
            <w:noWrap/>
            <w:vAlign w:val="center"/>
            <w:hideMark/>
          </w:tcPr>
          <w:p w:rsidRPr="00941EC4" w:rsidR="007438C9" w:rsidP="00DF1056" w:rsidRDefault="007438C9" w14:paraId="7471A015"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w:t>
            </w:r>
          </w:p>
        </w:tc>
        <w:tc>
          <w:tcPr>
            <w:tcW w:w="1641" w:type="dxa"/>
            <w:tcBorders>
              <w:top w:val="nil"/>
              <w:left w:val="nil"/>
              <w:bottom w:val="single" w:color="auto" w:sz="4" w:space="0"/>
              <w:right w:val="single" w:color="auto" w:sz="4" w:space="0"/>
            </w:tcBorders>
            <w:shd w:val="clear" w:color="auto" w:fill="auto"/>
            <w:noWrap/>
            <w:vAlign w:val="center"/>
            <w:hideMark/>
          </w:tcPr>
          <w:p w:rsidRPr="00941EC4" w:rsidR="007438C9" w:rsidP="00DF1056" w:rsidRDefault="007438C9" w14:paraId="46174C93"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w:t>
            </w:r>
          </w:p>
        </w:tc>
        <w:tc>
          <w:tcPr>
            <w:tcW w:w="1667" w:type="dxa"/>
            <w:tcBorders>
              <w:top w:val="nil"/>
              <w:left w:val="nil"/>
              <w:bottom w:val="single" w:color="auto" w:sz="4" w:space="0"/>
              <w:right w:val="single" w:color="auto" w:sz="8" w:space="0"/>
            </w:tcBorders>
            <w:shd w:val="clear" w:color="auto" w:fill="auto"/>
            <w:noWrap/>
            <w:vAlign w:val="center"/>
            <w:hideMark/>
          </w:tcPr>
          <w:p w:rsidRPr="00941EC4" w:rsidR="007438C9" w:rsidP="00DF1056" w:rsidRDefault="007438C9" w14:paraId="06E1827D" w14:textId="77777777">
            <w:pPr>
              <w:widowControl/>
              <w:autoSpaceDE/>
              <w:autoSpaceDN/>
              <w:contextualSpacing/>
              <w:jc w:val="center"/>
              <w:rPr>
                <w:rFonts w:ascii="Calibri" w:hAnsi="Calibri" w:cs="Calibri"/>
                <w:color w:val="000000"/>
                <w:sz w:val="16"/>
                <w:szCs w:val="16"/>
              </w:rPr>
            </w:pPr>
            <w:r w:rsidRPr="00DB7625">
              <w:rPr>
                <w:rFonts w:ascii="Calibri" w:hAnsi="Calibri" w:cs="Calibri"/>
                <w:color w:val="000000"/>
                <w:sz w:val="16"/>
                <w:szCs w:val="16"/>
              </w:rPr>
              <w:t>$0</w:t>
            </w:r>
          </w:p>
        </w:tc>
      </w:tr>
      <w:tr w:rsidRPr="00941EC4" w:rsidR="007438C9" w:rsidTr="002D1549" w14:paraId="397E8E23" w14:textId="77777777">
        <w:trPr>
          <w:trHeight w:val="346"/>
        </w:trPr>
        <w:tc>
          <w:tcPr>
            <w:tcW w:w="1744" w:type="dxa"/>
            <w:tcBorders>
              <w:top w:val="nil"/>
              <w:left w:val="single" w:color="auto" w:sz="8" w:space="0"/>
              <w:bottom w:val="single" w:color="auto" w:sz="4" w:space="0"/>
              <w:right w:val="single" w:color="auto" w:sz="8" w:space="0"/>
            </w:tcBorders>
            <w:shd w:val="clear" w:color="auto" w:fill="auto"/>
            <w:noWrap/>
            <w:vAlign w:val="center"/>
            <w:hideMark/>
          </w:tcPr>
          <w:p w:rsidRPr="00941EC4" w:rsidR="007438C9" w:rsidP="00DF1056" w:rsidRDefault="007438C9" w14:paraId="04D99CE7" w14:textId="77777777">
            <w:pPr>
              <w:widowControl/>
              <w:autoSpaceDE/>
              <w:autoSpaceDN/>
              <w:contextualSpacing/>
              <w:rPr>
                <w:rFonts w:ascii="Calibri" w:hAnsi="Calibri" w:cs="Calibri"/>
                <w:b/>
                <w:bCs/>
                <w:color w:val="000000"/>
                <w:sz w:val="16"/>
                <w:szCs w:val="16"/>
              </w:rPr>
            </w:pPr>
            <w:r w:rsidRPr="00941EC4">
              <w:rPr>
                <w:rFonts w:ascii="Calibri" w:hAnsi="Calibri" w:cs="Calibri"/>
                <w:b/>
                <w:bCs/>
                <w:color w:val="000000"/>
                <w:sz w:val="16"/>
                <w:szCs w:val="16"/>
              </w:rPr>
              <w:t>Travel</w:t>
            </w:r>
          </w:p>
        </w:tc>
        <w:tc>
          <w:tcPr>
            <w:tcW w:w="1436" w:type="dxa"/>
            <w:tcBorders>
              <w:top w:val="nil"/>
              <w:left w:val="nil"/>
              <w:bottom w:val="single" w:color="auto" w:sz="4" w:space="0"/>
              <w:right w:val="single" w:color="auto" w:sz="4" w:space="0"/>
            </w:tcBorders>
            <w:shd w:val="clear" w:color="000000" w:fill="808080"/>
            <w:noWrap/>
            <w:vAlign w:val="center"/>
            <w:hideMark/>
          </w:tcPr>
          <w:p w:rsidRPr="00941EC4" w:rsidR="007438C9" w:rsidP="00DF1056" w:rsidRDefault="007438C9" w14:paraId="2B650C02"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462" w:type="dxa"/>
            <w:tcBorders>
              <w:top w:val="nil"/>
              <w:left w:val="nil"/>
              <w:bottom w:val="single" w:color="auto" w:sz="4" w:space="0"/>
              <w:right w:val="single" w:color="auto" w:sz="4" w:space="0"/>
            </w:tcBorders>
            <w:shd w:val="clear" w:color="000000" w:fill="808080"/>
            <w:noWrap/>
            <w:vAlign w:val="center"/>
            <w:hideMark/>
          </w:tcPr>
          <w:p w:rsidRPr="00941EC4" w:rsidR="007438C9" w:rsidP="00DF1056" w:rsidRDefault="007438C9" w14:paraId="5E8A6425"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436" w:type="dxa"/>
            <w:tcBorders>
              <w:top w:val="nil"/>
              <w:left w:val="nil"/>
              <w:bottom w:val="single" w:color="auto" w:sz="4" w:space="0"/>
              <w:right w:val="single" w:color="auto" w:sz="4" w:space="0"/>
            </w:tcBorders>
            <w:shd w:val="clear" w:color="000000" w:fill="808080"/>
            <w:noWrap/>
            <w:vAlign w:val="center"/>
            <w:hideMark/>
          </w:tcPr>
          <w:p w:rsidRPr="00941EC4" w:rsidR="007438C9" w:rsidP="00DF1056" w:rsidRDefault="007438C9" w14:paraId="7E30BADA"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641" w:type="dxa"/>
            <w:tcBorders>
              <w:top w:val="nil"/>
              <w:left w:val="nil"/>
              <w:bottom w:val="single" w:color="auto" w:sz="4" w:space="0"/>
              <w:right w:val="single" w:color="auto" w:sz="4" w:space="0"/>
            </w:tcBorders>
            <w:shd w:val="clear" w:color="000000" w:fill="808080"/>
            <w:noWrap/>
            <w:vAlign w:val="center"/>
            <w:hideMark/>
          </w:tcPr>
          <w:p w:rsidRPr="00941EC4" w:rsidR="007438C9" w:rsidP="00DF1056" w:rsidRDefault="007438C9" w14:paraId="2E7D2E1D"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center"/>
            <w:hideMark/>
          </w:tcPr>
          <w:p w:rsidRPr="00941EC4" w:rsidR="007438C9" w:rsidP="00DF1056" w:rsidRDefault="007438C9" w14:paraId="135EDE30"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$0</w:t>
            </w:r>
          </w:p>
        </w:tc>
      </w:tr>
      <w:tr w:rsidRPr="00941EC4" w:rsidR="007438C9" w:rsidTr="002D1549" w14:paraId="28D1D44C" w14:textId="77777777">
        <w:trPr>
          <w:trHeight w:val="346"/>
        </w:trPr>
        <w:tc>
          <w:tcPr>
            <w:tcW w:w="1744" w:type="dxa"/>
            <w:tcBorders>
              <w:top w:val="nil"/>
              <w:left w:val="single" w:color="auto" w:sz="8" w:space="0"/>
              <w:bottom w:val="single" w:color="auto" w:sz="4" w:space="0"/>
              <w:right w:val="single" w:color="auto" w:sz="8" w:space="0"/>
            </w:tcBorders>
            <w:shd w:val="clear" w:color="auto" w:fill="auto"/>
            <w:noWrap/>
            <w:vAlign w:val="center"/>
            <w:hideMark/>
          </w:tcPr>
          <w:p w:rsidRPr="00941EC4" w:rsidR="007438C9" w:rsidP="00DF1056" w:rsidRDefault="007438C9" w14:paraId="471F9F1E" w14:textId="77777777">
            <w:pPr>
              <w:widowControl/>
              <w:autoSpaceDE/>
              <w:autoSpaceDN/>
              <w:contextualSpacing/>
              <w:rPr>
                <w:rFonts w:ascii="Calibri" w:hAnsi="Calibri" w:cs="Calibri"/>
                <w:b/>
                <w:bCs/>
                <w:color w:val="000000"/>
                <w:sz w:val="16"/>
                <w:szCs w:val="16"/>
              </w:rPr>
            </w:pPr>
            <w:r w:rsidRPr="00941EC4">
              <w:rPr>
                <w:rFonts w:ascii="Calibri" w:hAnsi="Calibri" w:cs="Calibri"/>
                <w:b/>
                <w:bCs/>
                <w:color w:val="000000"/>
                <w:sz w:val="16"/>
                <w:szCs w:val="16"/>
              </w:rPr>
              <w:t>Other Costs</w:t>
            </w:r>
          </w:p>
        </w:tc>
        <w:tc>
          <w:tcPr>
            <w:tcW w:w="1436" w:type="dxa"/>
            <w:tcBorders>
              <w:top w:val="nil"/>
              <w:left w:val="nil"/>
              <w:bottom w:val="single" w:color="auto" w:sz="4" w:space="0"/>
              <w:right w:val="single" w:color="auto" w:sz="4" w:space="0"/>
            </w:tcBorders>
            <w:shd w:val="clear" w:color="000000" w:fill="808080"/>
            <w:noWrap/>
            <w:vAlign w:val="center"/>
            <w:hideMark/>
          </w:tcPr>
          <w:p w:rsidRPr="00941EC4" w:rsidR="007438C9" w:rsidP="00DF1056" w:rsidRDefault="007438C9" w14:paraId="232829E7"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462" w:type="dxa"/>
            <w:tcBorders>
              <w:top w:val="nil"/>
              <w:left w:val="nil"/>
              <w:bottom w:val="single" w:color="auto" w:sz="4" w:space="0"/>
              <w:right w:val="single" w:color="auto" w:sz="4" w:space="0"/>
            </w:tcBorders>
            <w:shd w:val="clear" w:color="000000" w:fill="808080"/>
            <w:noWrap/>
            <w:vAlign w:val="center"/>
            <w:hideMark/>
          </w:tcPr>
          <w:p w:rsidRPr="00941EC4" w:rsidR="007438C9" w:rsidP="00DF1056" w:rsidRDefault="007438C9" w14:paraId="56DC3AE3"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436" w:type="dxa"/>
            <w:tcBorders>
              <w:top w:val="nil"/>
              <w:left w:val="nil"/>
              <w:bottom w:val="single" w:color="auto" w:sz="4" w:space="0"/>
              <w:right w:val="single" w:color="auto" w:sz="4" w:space="0"/>
            </w:tcBorders>
            <w:shd w:val="clear" w:color="000000" w:fill="808080"/>
            <w:noWrap/>
            <w:vAlign w:val="center"/>
            <w:hideMark/>
          </w:tcPr>
          <w:p w:rsidRPr="00941EC4" w:rsidR="007438C9" w:rsidP="00DF1056" w:rsidRDefault="007438C9" w14:paraId="59CC0A9A"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641" w:type="dxa"/>
            <w:tcBorders>
              <w:top w:val="nil"/>
              <w:left w:val="nil"/>
              <w:bottom w:val="single" w:color="auto" w:sz="4" w:space="0"/>
              <w:right w:val="single" w:color="auto" w:sz="4" w:space="0"/>
            </w:tcBorders>
            <w:shd w:val="clear" w:color="000000" w:fill="808080"/>
            <w:noWrap/>
            <w:vAlign w:val="center"/>
            <w:hideMark/>
          </w:tcPr>
          <w:p w:rsidRPr="00941EC4" w:rsidR="007438C9" w:rsidP="00DF1056" w:rsidRDefault="007438C9" w14:paraId="03BFA49E"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center"/>
            <w:hideMark/>
          </w:tcPr>
          <w:p w:rsidRPr="00941EC4" w:rsidR="007438C9" w:rsidP="00DF1056" w:rsidRDefault="007438C9" w14:paraId="6A1AFFBD"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$0</w:t>
            </w:r>
          </w:p>
        </w:tc>
      </w:tr>
      <w:tr w:rsidRPr="00941EC4" w:rsidR="007438C9" w:rsidTr="002D1549" w14:paraId="7619EDFB" w14:textId="77777777">
        <w:trPr>
          <w:trHeight w:val="363"/>
        </w:trPr>
        <w:tc>
          <w:tcPr>
            <w:tcW w:w="1744" w:type="dxa"/>
            <w:tcBorders>
              <w:top w:val="single" w:color="auto" w:sz="8" w:space="0"/>
              <w:left w:val="single" w:color="auto" w:sz="8" w:space="0"/>
              <w:bottom w:val="single" w:color="auto" w:sz="8" w:space="0"/>
              <w:right w:val="single" w:color="auto" w:sz="8" w:space="0"/>
            </w:tcBorders>
            <w:shd w:val="clear" w:color="000000" w:fill="DDEBF7"/>
            <w:noWrap/>
            <w:vAlign w:val="center"/>
            <w:hideMark/>
          </w:tcPr>
          <w:p w:rsidRPr="00941EC4" w:rsidR="007438C9" w:rsidP="00DF1056" w:rsidRDefault="007438C9" w14:paraId="14CA2AE6" w14:textId="77777777">
            <w:pPr>
              <w:widowControl/>
              <w:autoSpaceDE/>
              <w:autoSpaceDN/>
              <w:contextualSpacing/>
              <w:rPr>
                <w:rFonts w:ascii="Calibri" w:hAnsi="Calibri" w:cs="Calibri"/>
                <w:b/>
                <w:bCs/>
                <w:color w:val="000000"/>
                <w:sz w:val="16"/>
                <w:szCs w:val="16"/>
              </w:rPr>
            </w:pPr>
            <w:r w:rsidRPr="00941EC4">
              <w:rPr>
                <w:rFonts w:ascii="Calibri" w:hAnsi="Calibri" w:cs="Calibri"/>
                <w:b/>
                <w:bCs/>
                <w:color w:val="000000"/>
                <w:sz w:val="16"/>
                <w:szCs w:val="16"/>
              </w:rPr>
              <w:t>TOTAL</w:t>
            </w:r>
          </w:p>
        </w:tc>
        <w:tc>
          <w:tcPr>
            <w:tcW w:w="1436" w:type="dxa"/>
            <w:tcBorders>
              <w:top w:val="single" w:color="auto" w:sz="8" w:space="0"/>
              <w:left w:val="nil"/>
              <w:bottom w:val="single" w:color="auto" w:sz="8" w:space="0"/>
              <w:right w:val="single" w:color="auto" w:sz="8" w:space="0"/>
            </w:tcBorders>
            <w:shd w:val="clear" w:color="000000" w:fill="808080"/>
            <w:noWrap/>
            <w:vAlign w:val="center"/>
            <w:hideMark/>
          </w:tcPr>
          <w:p w:rsidRPr="00941EC4" w:rsidR="007438C9" w:rsidP="00DF1056" w:rsidRDefault="007438C9" w14:paraId="2ADC7161"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462" w:type="dxa"/>
            <w:tcBorders>
              <w:top w:val="single" w:color="auto" w:sz="8" w:space="0"/>
              <w:left w:val="nil"/>
              <w:bottom w:val="single" w:color="auto" w:sz="8" w:space="0"/>
              <w:right w:val="single" w:color="auto" w:sz="8" w:space="0"/>
            </w:tcBorders>
            <w:shd w:val="clear" w:color="000000" w:fill="DDEBF7"/>
            <w:noWrap/>
            <w:vAlign w:val="center"/>
            <w:hideMark/>
          </w:tcPr>
          <w:p w:rsidRPr="00941EC4" w:rsidR="007438C9" w:rsidP="00DF1056" w:rsidRDefault="007438C9" w14:paraId="65F65613"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436" w:type="dxa"/>
            <w:tcBorders>
              <w:top w:val="single" w:color="auto" w:sz="8" w:space="0"/>
              <w:left w:val="nil"/>
              <w:bottom w:val="single" w:color="auto" w:sz="8" w:space="0"/>
              <w:right w:val="single" w:color="auto" w:sz="8" w:space="0"/>
            </w:tcBorders>
            <w:shd w:val="clear" w:color="000000" w:fill="757171"/>
            <w:noWrap/>
            <w:vAlign w:val="center"/>
            <w:hideMark/>
          </w:tcPr>
          <w:p w:rsidRPr="00941EC4" w:rsidR="007438C9" w:rsidP="00DF1056" w:rsidRDefault="007438C9" w14:paraId="36510DD1"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641" w:type="dxa"/>
            <w:tcBorders>
              <w:top w:val="single" w:color="auto" w:sz="8" w:space="0"/>
              <w:left w:val="nil"/>
              <w:bottom w:val="single" w:color="auto" w:sz="8" w:space="0"/>
              <w:right w:val="single" w:color="auto" w:sz="8" w:space="0"/>
            </w:tcBorders>
            <w:shd w:val="clear" w:color="000000" w:fill="DDEBF7"/>
            <w:noWrap/>
            <w:vAlign w:val="center"/>
            <w:hideMark/>
          </w:tcPr>
          <w:p w:rsidRPr="00941EC4" w:rsidR="007438C9" w:rsidP="00DF1056" w:rsidRDefault="007438C9" w14:paraId="5E8BC884" w14:textId="77777777">
            <w:pPr>
              <w:widowControl/>
              <w:autoSpaceDE/>
              <w:autoSpaceDN/>
              <w:contextualSpacing/>
              <w:rPr>
                <w:rFonts w:ascii="Calibri" w:hAnsi="Calibri" w:cs="Calibri"/>
                <w:color w:val="000000"/>
                <w:sz w:val="16"/>
                <w:szCs w:val="16"/>
              </w:rPr>
            </w:pPr>
            <w:r w:rsidRPr="00941EC4">
              <w:rPr>
                <w:rFonts w:ascii="Calibri" w:hAnsi="Calibri" w:cs="Calibri"/>
                <w:color w:val="000000"/>
                <w:sz w:val="16"/>
                <w:szCs w:val="16"/>
              </w:rPr>
              <w:t> </w:t>
            </w:r>
          </w:p>
        </w:tc>
        <w:tc>
          <w:tcPr>
            <w:tcW w:w="1667" w:type="dxa"/>
            <w:tcBorders>
              <w:top w:val="single" w:color="auto" w:sz="8" w:space="0"/>
              <w:left w:val="nil"/>
              <w:bottom w:val="single" w:color="auto" w:sz="8" w:space="0"/>
              <w:right w:val="single" w:color="auto" w:sz="8" w:space="0"/>
            </w:tcBorders>
            <w:shd w:val="clear" w:color="auto" w:fill="auto"/>
            <w:noWrap/>
            <w:vAlign w:val="center"/>
            <w:hideMark/>
          </w:tcPr>
          <w:p w:rsidRPr="00941EC4" w:rsidR="007438C9" w:rsidP="00DF1056" w:rsidRDefault="007438C9" w14:paraId="339855A2" w14:textId="77777777">
            <w:pPr>
              <w:widowControl/>
              <w:autoSpaceDE/>
              <w:autoSpaceDN/>
              <w:contextualSpacing/>
              <w:jc w:val="center"/>
              <w:rPr>
                <w:rFonts w:ascii="Calibri" w:hAnsi="Calibri" w:cs="Calibri"/>
                <w:color w:val="000000"/>
                <w:sz w:val="16"/>
                <w:szCs w:val="16"/>
              </w:rPr>
            </w:pPr>
            <w:r>
              <w:rPr>
                <w:rFonts w:ascii="Calibri" w:hAnsi="Calibri" w:cs="Calibri"/>
                <w:color w:val="000000"/>
                <w:sz w:val="16"/>
                <w:szCs w:val="16"/>
              </w:rPr>
              <w:t>$15,841</w:t>
            </w:r>
          </w:p>
        </w:tc>
      </w:tr>
    </w:tbl>
    <w:p w:rsidRPr="00BD7237" w:rsidR="006D3B49" w:rsidP="00DF1056" w:rsidRDefault="006D3B49" w14:paraId="49ABC6B3" w14:textId="51F9DDE2">
      <w:pPr>
        <w:pStyle w:val="BodyText"/>
        <w:spacing w:before="9" w:after="1"/>
        <w:ind w:left="0"/>
        <w:contextualSpacing/>
        <w:rPr>
          <w:rFonts w:ascii="Times New Roman" w:hAnsi="Times New Roman" w:cs="Times New Roman"/>
          <w:b/>
        </w:rPr>
      </w:pPr>
    </w:p>
    <w:p w:rsidRPr="00BD7237" w:rsidR="008E61C9" w:rsidP="00DF1056" w:rsidRDefault="001477A3" w14:paraId="0450DEC2" w14:textId="77777777">
      <w:pPr>
        <w:pStyle w:val="ListParagraph"/>
        <w:numPr>
          <w:ilvl w:val="0"/>
          <w:numId w:val="7"/>
        </w:numPr>
        <w:tabs>
          <w:tab w:val="left" w:pos="360"/>
        </w:tabs>
        <w:spacing w:before="80" w:after="24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DF0CE3" w:rsidP="00DF1056" w:rsidRDefault="001477A3" w14:paraId="09216C4C" w14:textId="63D75C60">
      <w:pPr>
        <w:contextualSpacing/>
        <w:rPr>
          <w:rFonts w:ascii="Times New Roman" w:hAnsi="Times New Roman" w:cs="Times New Roman"/>
          <w:sz w:val="24"/>
          <w:szCs w:val="24"/>
        </w:rPr>
      </w:pPr>
      <w:r w:rsidRPr="000A7417">
        <w:rPr>
          <w:rFonts w:ascii="Times New Roman" w:hAnsi="Times New Roman" w:cs="Times New Roman"/>
          <w:sz w:val="24"/>
          <w:szCs w:val="24"/>
        </w:rPr>
        <w:t>There are no changes to the information collection since the last OMB approval.</w:t>
      </w:r>
    </w:p>
    <w:p w:rsidRPr="00BD7237" w:rsidR="00374019" w:rsidP="00DF1056" w:rsidRDefault="00374019" w14:paraId="57FFCD0E" w14:textId="77777777">
      <w:pPr>
        <w:contextualSpacing/>
        <w:rPr>
          <w:rFonts w:ascii="Times New Roman" w:hAnsi="Times New Roman" w:cs="Times New Roman"/>
          <w:b/>
        </w:rPr>
      </w:pPr>
    </w:p>
    <w:p w:rsidRPr="00BD7237" w:rsidR="008E61C9" w:rsidP="00DF1056" w:rsidRDefault="001477A3" w14:paraId="624453C2" w14:textId="77777777">
      <w:pPr>
        <w:pStyle w:val="ListParagraph"/>
        <w:numPr>
          <w:ilvl w:val="0"/>
          <w:numId w:val="7"/>
        </w:numPr>
        <w:tabs>
          <w:tab w:val="left" w:pos="360"/>
        </w:tabs>
        <w:spacing w:before="8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34A09" w:rsidR="00A34A09" w:rsidP="00DF1056" w:rsidRDefault="00A34A09" w14:paraId="724E237F" w14:textId="77777777">
      <w:pPr>
        <w:widowControl/>
        <w:tabs>
          <w:tab w:val="left" w:pos="360"/>
          <w:tab w:val="left" w:pos="720"/>
          <w:tab w:val="left" w:pos="1080"/>
          <w:tab w:val="left" w:pos="1440"/>
        </w:tabs>
        <w:spacing w:before="240" w:after="240"/>
        <w:contextualSpacing/>
        <w:rPr>
          <w:rFonts w:ascii="Times New Roman" w:hAnsi="Times New Roman" w:cs="Times New Roman"/>
          <w:color w:val="000000"/>
          <w:sz w:val="24"/>
          <w:szCs w:val="24"/>
        </w:rPr>
      </w:pPr>
      <w:r w:rsidRPr="00A34A09">
        <w:rPr>
          <w:rFonts w:ascii="Times New Roman" w:hAnsi="Times New Roman" w:cs="Times New Roman"/>
          <w:color w:val="000000"/>
          <w:sz w:val="24"/>
          <w:szCs w:val="24"/>
        </w:rPr>
        <w:t>NMFS has no plans to publish the results of this information collection.</w:t>
      </w:r>
    </w:p>
    <w:p w:rsidRPr="00BD7237" w:rsidR="008E61C9" w:rsidP="00DF1056" w:rsidRDefault="001477A3" w14:paraId="3AB4C02A" w14:textId="77777777">
      <w:pPr>
        <w:pStyle w:val="ListParagraph"/>
        <w:numPr>
          <w:ilvl w:val="0"/>
          <w:numId w:val="7"/>
        </w:numPr>
        <w:tabs>
          <w:tab w:val="left" w:pos="360"/>
        </w:tabs>
        <w:spacing w:before="8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A34A09" w:rsidR="00A34A09" w:rsidP="00DF1056" w:rsidRDefault="00A34A09" w14:paraId="3C25A702" w14:textId="2BAA6B35">
      <w:pPr>
        <w:spacing w:before="161"/>
        <w:contextualSpacing/>
        <w:rPr>
          <w:rFonts w:ascii="Times New Roman" w:hAnsi="Times New Roman" w:cs="Times New Roman"/>
          <w:sz w:val="24"/>
          <w:szCs w:val="24"/>
        </w:rPr>
      </w:pPr>
      <w:r w:rsidRPr="00A34A09">
        <w:rPr>
          <w:rFonts w:ascii="Times New Roman" w:hAnsi="Times New Roman" w:cs="Times New Roman"/>
          <w:sz w:val="24"/>
          <w:szCs w:val="24"/>
        </w:rPr>
        <w:t>The agency plans to display the e</w:t>
      </w:r>
      <w:r w:rsidR="00E001E3">
        <w:rPr>
          <w:rFonts w:ascii="Times New Roman" w:hAnsi="Times New Roman" w:cs="Times New Roman"/>
          <w:sz w:val="24"/>
          <w:szCs w:val="24"/>
        </w:rPr>
        <w:t>xpiration date for OMB approval.</w:t>
      </w:r>
    </w:p>
    <w:p w:rsidRPr="000D0C5E" w:rsidR="008E61C9" w:rsidP="00DF1056" w:rsidRDefault="008E61C9" w14:paraId="7E23FEFA" w14:textId="77777777">
      <w:pPr>
        <w:spacing w:before="161"/>
        <w:contextualSpacing/>
        <w:rPr>
          <w:rFonts w:ascii="Times New Roman" w:hAnsi="Times New Roman" w:cs="Times New Roman"/>
          <w:sz w:val="24"/>
          <w:szCs w:val="24"/>
        </w:rPr>
      </w:pPr>
    </w:p>
    <w:p w:rsidR="008E61C9" w:rsidP="00DF1056" w:rsidRDefault="001477A3" w14:paraId="45F9C68A" w14:textId="77777777">
      <w:pPr>
        <w:pStyle w:val="ListParagraph"/>
        <w:keepNext/>
        <w:widowControl/>
        <w:numPr>
          <w:ilvl w:val="0"/>
          <w:numId w:val="7"/>
        </w:numPr>
        <w:tabs>
          <w:tab w:val="left" w:pos="360"/>
        </w:tabs>
        <w:spacing w:before="80"/>
        <w:ind w:left="0" w:firstLine="0"/>
        <w:contextualSpacing/>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646657" w:rsidR="008E61C9" w:rsidP="00DF1056" w:rsidRDefault="00646657" w14:paraId="45C4E65E" w14:textId="006CBAF7">
      <w:pPr>
        <w:spacing w:before="221"/>
        <w:contextualSpacing/>
        <w:jc w:val="both"/>
        <w:rPr>
          <w:rFonts w:ascii="Times New Roman" w:hAnsi="Times New Roman" w:cs="Times New Roman"/>
          <w:sz w:val="24"/>
          <w:szCs w:val="24"/>
        </w:rPr>
      </w:pPr>
      <w:r w:rsidRPr="00646657">
        <w:rPr>
          <w:rFonts w:ascii="Times New Roman" w:hAnsi="Times New Roman" w:cs="Times New Roman"/>
          <w:sz w:val="24"/>
          <w:szCs w:val="24"/>
        </w:rPr>
        <w:t>The agency certifies compliance with 5 CFR 1320.9 and the related provisions of 5 CFR 1320.8(b)(3).</w:t>
      </w:r>
    </w:p>
    <w:sectPr w:rsidRPr="00646657" w:rsidR="008E61C9" w:rsidSect="0011224D">
      <w:pgSz w:w="12240" w:h="15840"/>
      <w:pgMar w:top="1080" w:right="1440" w:bottom="1440" w:left="144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AE81B" w14:textId="77777777" w:rsidR="00C92C17" w:rsidRDefault="00C92C17">
      <w:r>
        <w:separator/>
      </w:r>
    </w:p>
  </w:endnote>
  <w:endnote w:type="continuationSeparator" w:id="0">
    <w:p w14:paraId="0E8AD541" w14:textId="77777777" w:rsidR="00C92C17" w:rsidRDefault="00C9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085058"/>
      <w:docPartObj>
        <w:docPartGallery w:val="Page Numbers (Bottom of Page)"/>
        <w:docPartUnique/>
      </w:docPartObj>
    </w:sdtPr>
    <w:sdtEndPr>
      <w:rPr>
        <w:noProof/>
        <w:sz w:val="20"/>
        <w:szCs w:val="20"/>
      </w:rPr>
    </w:sdtEndPr>
    <w:sdtContent>
      <w:p w14:paraId="6B45851E" w14:textId="1F4E02FD" w:rsidR="00530BB7" w:rsidRPr="00530BB7" w:rsidRDefault="00530BB7">
        <w:pPr>
          <w:pStyle w:val="Footer"/>
          <w:jc w:val="center"/>
          <w:rPr>
            <w:sz w:val="20"/>
            <w:szCs w:val="20"/>
          </w:rPr>
        </w:pPr>
        <w:r w:rsidRPr="00530BB7">
          <w:rPr>
            <w:sz w:val="20"/>
            <w:szCs w:val="20"/>
          </w:rPr>
          <w:fldChar w:fldCharType="begin"/>
        </w:r>
        <w:r w:rsidRPr="00530BB7">
          <w:rPr>
            <w:sz w:val="20"/>
            <w:szCs w:val="20"/>
          </w:rPr>
          <w:instrText xml:space="preserve"> PAGE   \* MERGEFORMAT </w:instrText>
        </w:r>
        <w:r w:rsidRPr="00530BB7">
          <w:rPr>
            <w:sz w:val="20"/>
            <w:szCs w:val="20"/>
          </w:rPr>
          <w:fldChar w:fldCharType="separate"/>
        </w:r>
        <w:r w:rsidR="001F484F">
          <w:rPr>
            <w:noProof/>
            <w:sz w:val="20"/>
            <w:szCs w:val="20"/>
          </w:rPr>
          <w:t>8</w:t>
        </w:r>
        <w:r w:rsidRPr="00530BB7">
          <w:rPr>
            <w:noProof/>
            <w:sz w:val="20"/>
            <w:szCs w:val="20"/>
          </w:rPr>
          <w:fldChar w:fldCharType="end"/>
        </w:r>
      </w:p>
    </w:sdtContent>
  </w:sdt>
  <w:p w14:paraId="7DCB0AD4" w14:textId="130005BC" w:rsidR="00FC0399" w:rsidRDefault="00FC0399">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82BF3" w14:textId="77777777" w:rsidR="00C92C17" w:rsidRDefault="00C92C17">
      <w:r>
        <w:separator/>
      </w:r>
    </w:p>
  </w:footnote>
  <w:footnote w:type="continuationSeparator" w:id="0">
    <w:p w14:paraId="01167DF3" w14:textId="77777777" w:rsidR="00C92C17" w:rsidRDefault="00C92C17">
      <w:r>
        <w:continuationSeparator/>
      </w:r>
    </w:p>
  </w:footnote>
  <w:footnote w:id="1">
    <w:p w14:paraId="1A3DEC48" w14:textId="77777777" w:rsidR="00170C47" w:rsidRDefault="00170C47" w:rsidP="00170C47">
      <w:pPr>
        <w:pStyle w:val="FootnoteText"/>
      </w:pPr>
      <w:r>
        <w:rPr>
          <w:rStyle w:val="FootnoteReference"/>
        </w:rPr>
        <w:footnoteRef/>
      </w:r>
      <w:r>
        <w:t xml:space="preserve"> In addition to the Federal requirements, the State of Alaska also requires VMS for vessels using some gear types in parallel groundfish fisheries under 5 AAC 28.087(c).</w:t>
      </w:r>
    </w:p>
  </w:footnote>
  <w:footnote w:id="2">
    <w:p w14:paraId="549E4219" w14:textId="77777777" w:rsidR="00170C47" w:rsidRDefault="00170C47" w:rsidP="00170C47">
      <w:pPr>
        <w:pStyle w:val="FootnoteText"/>
      </w:pPr>
      <w:r>
        <w:rPr>
          <w:rStyle w:val="FootnoteReference"/>
        </w:rPr>
        <w:footnoteRef/>
      </w:r>
      <w:r>
        <w:t xml:space="preserve"> “</w:t>
      </w:r>
      <w:r w:rsidRPr="006C308D">
        <w:t>Federally permitted vessel</w:t>
      </w:r>
      <w:r>
        <w:t xml:space="preserve">” is defined at </w:t>
      </w:r>
      <w:r w:rsidRPr="006C308D">
        <w:t>§</w:t>
      </w:r>
      <w:r>
        <w:t xml:space="preserve"> </w:t>
      </w:r>
      <w:r w:rsidRPr="006C308D">
        <w:t>679.</w:t>
      </w:r>
      <w:r>
        <w:t>2 as a</w:t>
      </w:r>
      <w:r w:rsidRPr="006C308D">
        <w:t xml:space="preserve"> vessel that is named on either a Federal fisheries permit or a Federal crab vessel permit.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33B32C8"/>
    <w:multiLevelType w:val="hybridMultilevel"/>
    <w:tmpl w:val="3F4A7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6"/>
  </w:num>
  <w:num w:numId="6">
    <w:abstractNumId w:val="7"/>
  </w:num>
  <w:num w:numId="7">
    <w:abstractNumId w:val="4"/>
  </w:num>
  <w:num w:numId="8">
    <w:abstractNumId w:val="1"/>
  </w:num>
  <w:num w:numId="9">
    <w:abstractNumId w:val="8"/>
  </w:num>
  <w:num w:numId="10">
    <w:abstractNumId w:val="13"/>
  </w:num>
  <w:num w:numId="11">
    <w:abstractNumId w:val="5"/>
  </w:num>
  <w:num w:numId="12">
    <w:abstractNumId w:val="11"/>
  </w:num>
  <w:num w:numId="13">
    <w:abstractNumId w:val="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A2E1A"/>
    <w:rsid w:val="000A5C1A"/>
    <w:rsid w:val="000A7417"/>
    <w:rsid w:val="000D0C5E"/>
    <w:rsid w:val="000F0BFB"/>
    <w:rsid w:val="0011224D"/>
    <w:rsid w:val="00115034"/>
    <w:rsid w:val="00115461"/>
    <w:rsid w:val="00125E98"/>
    <w:rsid w:val="001477A3"/>
    <w:rsid w:val="00170C47"/>
    <w:rsid w:val="001815DA"/>
    <w:rsid w:val="0019346B"/>
    <w:rsid w:val="001B543B"/>
    <w:rsid w:val="001C4F71"/>
    <w:rsid w:val="001D2D88"/>
    <w:rsid w:val="001F484F"/>
    <w:rsid w:val="00203544"/>
    <w:rsid w:val="002060ED"/>
    <w:rsid w:val="00216908"/>
    <w:rsid w:val="002229DF"/>
    <w:rsid w:val="00236B5A"/>
    <w:rsid w:val="002370BD"/>
    <w:rsid w:val="00237392"/>
    <w:rsid w:val="00255C5E"/>
    <w:rsid w:val="00262134"/>
    <w:rsid w:val="00272CEE"/>
    <w:rsid w:val="00282401"/>
    <w:rsid w:val="00291297"/>
    <w:rsid w:val="002D1549"/>
    <w:rsid w:val="002E32CB"/>
    <w:rsid w:val="00303020"/>
    <w:rsid w:val="00331850"/>
    <w:rsid w:val="0035587F"/>
    <w:rsid w:val="00374019"/>
    <w:rsid w:val="00385DB4"/>
    <w:rsid w:val="0042073B"/>
    <w:rsid w:val="00444617"/>
    <w:rsid w:val="00470E02"/>
    <w:rsid w:val="00476D43"/>
    <w:rsid w:val="0048360E"/>
    <w:rsid w:val="00495C56"/>
    <w:rsid w:val="004A54A0"/>
    <w:rsid w:val="004C4050"/>
    <w:rsid w:val="004E2E9D"/>
    <w:rsid w:val="004F32E9"/>
    <w:rsid w:val="0050663C"/>
    <w:rsid w:val="00530BB7"/>
    <w:rsid w:val="00545307"/>
    <w:rsid w:val="00555F93"/>
    <w:rsid w:val="00583C67"/>
    <w:rsid w:val="00583FAB"/>
    <w:rsid w:val="00590EA5"/>
    <w:rsid w:val="005C14AE"/>
    <w:rsid w:val="005D6A95"/>
    <w:rsid w:val="005E233D"/>
    <w:rsid w:val="005F486C"/>
    <w:rsid w:val="006008BB"/>
    <w:rsid w:val="00635ABF"/>
    <w:rsid w:val="0064557B"/>
    <w:rsid w:val="00646657"/>
    <w:rsid w:val="00664C44"/>
    <w:rsid w:val="006A4747"/>
    <w:rsid w:val="006B6B7D"/>
    <w:rsid w:val="006D3B49"/>
    <w:rsid w:val="006F263F"/>
    <w:rsid w:val="00703B92"/>
    <w:rsid w:val="00713A4A"/>
    <w:rsid w:val="007438C9"/>
    <w:rsid w:val="00751CEC"/>
    <w:rsid w:val="00784F6A"/>
    <w:rsid w:val="007A27E7"/>
    <w:rsid w:val="007C0C33"/>
    <w:rsid w:val="007C520C"/>
    <w:rsid w:val="007E6A0A"/>
    <w:rsid w:val="00800667"/>
    <w:rsid w:val="00800CAF"/>
    <w:rsid w:val="00817F4C"/>
    <w:rsid w:val="0082262E"/>
    <w:rsid w:val="00874100"/>
    <w:rsid w:val="008758E3"/>
    <w:rsid w:val="00883C2A"/>
    <w:rsid w:val="008862F6"/>
    <w:rsid w:val="008D44D1"/>
    <w:rsid w:val="008E61C9"/>
    <w:rsid w:val="009112F9"/>
    <w:rsid w:val="00915516"/>
    <w:rsid w:val="0092173D"/>
    <w:rsid w:val="00965BB7"/>
    <w:rsid w:val="009B077E"/>
    <w:rsid w:val="009B0A0B"/>
    <w:rsid w:val="009B116F"/>
    <w:rsid w:val="009C1E49"/>
    <w:rsid w:val="009C713E"/>
    <w:rsid w:val="009D30D6"/>
    <w:rsid w:val="009F1BDD"/>
    <w:rsid w:val="00A34A09"/>
    <w:rsid w:val="00A475C8"/>
    <w:rsid w:val="00A82617"/>
    <w:rsid w:val="00A85764"/>
    <w:rsid w:val="00AC1326"/>
    <w:rsid w:val="00AD1431"/>
    <w:rsid w:val="00AD16EC"/>
    <w:rsid w:val="00AD441D"/>
    <w:rsid w:val="00AE00FA"/>
    <w:rsid w:val="00AE0DA1"/>
    <w:rsid w:val="00AF1EAB"/>
    <w:rsid w:val="00B02EF1"/>
    <w:rsid w:val="00B31285"/>
    <w:rsid w:val="00B32252"/>
    <w:rsid w:val="00B5373E"/>
    <w:rsid w:val="00B846B1"/>
    <w:rsid w:val="00B8761D"/>
    <w:rsid w:val="00BB7F43"/>
    <w:rsid w:val="00BC20A2"/>
    <w:rsid w:val="00BD7237"/>
    <w:rsid w:val="00C01642"/>
    <w:rsid w:val="00C12C11"/>
    <w:rsid w:val="00C15C21"/>
    <w:rsid w:val="00C23CCA"/>
    <w:rsid w:val="00C35F0F"/>
    <w:rsid w:val="00C41386"/>
    <w:rsid w:val="00C70A61"/>
    <w:rsid w:val="00C810AF"/>
    <w:rsid w:val="00C92BD8"/>
    <w:rsid w:val="00C92C17"/>
    <w:rsid w:val="00C93FFC"/>
    <w:rsid w:val="00C95C2E"/>
    <w:rsid w:val="00CB1386"/>
    <w:rsid w:val="00CC3B4D"/>
    <w:rsid w:val="00CE1AF0"/>
    <w:rsid w:val="00D318C1"/>
    <w:rsid w:val="00D522D6"/>
    <w:rsid w:val="00D62368"/>
    <w:rsid w:val="00D64DF9"/>
    <w:rsid w:val="00DE05A7"/>
    <w:rsid w:val="00DF0CE3"/>
    <w:rsid w:val="00DF1056"/>
    <w:rsid w:val="00DF355C"/>
    <w:rsid w:val="00E001E3"/>
    <w:rsid w:val="00E1775E"/>
    <w:rsid w:val="00E23051"/>
    <w:rsid w:val="00E74B69"/>
    <w:rsid w:val="00E777C1"/>
    <w:rsid w:val="00E86B69"/>
    <w:rsid w:val="00EA496F"/>
    <w:rsid w:val="00EA79E9"/>
    <w:rsid w:val="00F068CC"/>
    <w:rsid w:val="00F21C20"/>
    <w:rsid w:val="00F60F98"/>
    <w:rsid w:val="00F76F93"/>
    <w:rsid w:val="00F95B28"/>
    <w:rsid w:val="00FA075A"/>
    <w:rsid w:val="00FA2F9E"/>
    <w:rsid w:val="00FC0399"/>
    <w:rsid w:val="00FC40D9"/>
    <w:rsid w:val="00FD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0D555"/>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uiPriority w:val="99"/>
    <w:rsid w:val="008758E3"/>
    <w:rPr>
      <w:color w:val="0000FF"/>
      <w:u w:val="single"/>
    </w:rPr>
  </w:style>
  <w:style w:type="paragraph" w:styleId="FootnoteText">
    <w:name w:val="footnote text"/>
    <w:basedOn w:val="Normal"/>
    <w:link w:val="FootnoteTextChar"/>
    <w:semiHidden/>
    <w:rsid w:val="008758E3"/>
    <w:pPr>
      <w:adjustRightInd w:val="0"/>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8758E3"/>
    <w:rPr>
      <w:rFonts w:ascii="Times New Roman" w:eastAsia="Times New Roman" w:hAnsi="Times New Roman" w:cs="Times New Roman"/>
      <w:sz w:val="20"/>
      <w:szCs w:val="20"/>
    </w:rPr>
  </w:style>
  <w:style w:type="character" w:styleId="FootnoteReference">
    <w:name w:val="footnote reference"/>
    <w:semiHidden/>
    <w:rsid w:val="008758E3"/>
    <w:rPr>
      <w:vertAlign w:val="superscript"/>
    </w:rPr>
  </w:style>
  <w:style w:type="paragraph" w:styleId="NormalWeb">
    <w:name w:val="Normal (Web)"/>
    <w:basedOn w:val="Normal"/>
    <w:uiPriority w:val="99"/>
    <w:unhideWhenUsed/>
    <w:rsid w:val="008758E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1AutoList1">
    <w:name w:val="1AutoList1"/>
    <w:rsid w:val="00817F4C"/>
    <w:pPr>
      <w:adjustRightInd w:val="0"/>
      <w:ind w:left="-1440"/>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34A09"/>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A34A09"/>
    <w:rPr>
      <w:rFonts w:ascii="Arial" w:eastAsia="Arial" w:hAnsi="Arial" w:cs="Arial"/>
      <w:b/>
      <w:bCs/>
      <w:color w:val="2E5395"/>
      <w:sz w:val="20"/>
      <w:szCs w:val="20"/>
      <w:lang w:bidi="en-US"/>
    </w:rPr>
  </w:style>
  <w:style w:type="character" w:styleId="FollowedHyperlink">
    <w:name w:val="FollowedHyperlink"/>
    <w:basedOn w:val="DefaultParagraphFont"/>
    <w:uiPriority w:val="99"/>
    <w:semiHidden/>
    <w:unhideWhenUsed/>
    <w:rsid w:val="00B846B1"/>
    <w:rPr>
      <w:color w:val="800080" w:themeColor="followedHyperlink"/>
      <w:u w:val="single"/>
    </w:rPr>
  </w:style>
  <w:style w:type="paragraph" w:styleId="Revision">
    <w:name w:val="Revision"/>
    <w:hidden/>
    <w:uiPriority w:val="99"/>
    <w:semiHidden/>
    <w:rsid w:val="00331850"/>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530BB7"/>
    <w:pPr>
      <w:tabs>
        <w:tab w:val="center" w:pos="4680"/>
        <w:tab w:val="right" w:pos="9360"/>
      </w:tabs>
    </w:pPr>
  </w:style>
  <w:style w:type="character" w:customStyle="1" w:styleId="HeaderChar">
    <w:name w:val="Header Char"/>
    <w:basedOn w:val="DefaultParagraphFont"/>
    <w:link w:val="Header"/>
    <w:uiPriority w:val="99"/>
    <w:rsid w:val="00530BB7"/>
    <w:rPr>
      <w:rFonts w:ascii="Arial" w:eastAsia="Arial" w:hAnsi="Arial" w:cs="Arial"/>
      <w:lang w:bidi="en-US"/>
    </w:rPr>
  </w:style>
  <w:style w:type="paragraph" w:styleId="Footer">
    <w:name w:val="footer"/>
    <w:basedOn w:val="Normal"/>
    <w:link w:val="FooterChar"/>
    <w:uiPriority w:val="99"/>
    <w:unhideWhenUsed/>
    <w:rsid w:val="00530BB7"/>
    <w:pPr>
      <w:tabs>
        <w:tab w:val="center" w:pos="4680"/>
        <w:tab w:val="right" w:pos="9360"/>
      </w:tabs>
    </w:pPr>
  </w:style>
  <w:style w:type="character" w:customStyle="1" w:styleId="FooterChar">
    <w:name w:val="Footer Char"/>
    <w:basedOn w:val="DefaultParagraphFont"/>
    <w:link w:val="Footer"/>
    <w:uiPriority w:val="99"/>
    <w:rsid w:val="00530BB7"/>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733283392">
      <w:bodyDiv w:val="1"/>
      <w:marLeft w:val="0"/>
      <w:marRight w:val="0"/>
      <w:marTop w:val="0"/>
      <w:marBottom w:val="0"/>
      <w:divBdr>
        <w:top w:val="none" w:sz="0" w:space="0" w:color="auto"/>
        <w:left w:val="none" w:sz="0" w:space="0" w:color="auto"/>
        <w:bottom w:val="none" w:sz="0" w:space="0" w:color="auto"/>
        <w:right w:val="none" w:sz="0" w:space="0" w:color="auto"/>
      </w:divBdr>
    </w:div>
    <w:div w:id="802311854">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903444436">
      <w:bodyDiv w:val="1"/>
      <w:marLeft w:val="0"/>
      <w:marRight w:val="0"/>
      <w:marTop w:val="0"/>
      <w:marBottom w:val="0"/>
      <w:divBdr>
        <w:top w:val="none" w:sz="0" w:space="0" w:color="auto"/>
        <w:left w:val="none" w:sz="0" w:space="0" w:color="auto"/>
        <w:bottom w:val="none" w:sz="0" w:space="0" w:color="auto"/>
        <w:right w:val="none" w:sz="0" w:space="0" w:color="auto"/>
      </w:divBdr>
    </w:div>
    <w:div w:id="907686079">
      <w:bodyDiv w:val="1"/>
      <w:marLeft w:val="0"/>
      <w:marRight w:val="0"/>
      <w:marTop w:val="0"/>
      <w:marBottom w:val="0"/>
      <w:divBdr>
        <w:top w:val="none" w:sz="0" w:space="0" w:color="auto"/>
        <w:left w:val="none" w:sz="0" w:space="0" w:color="auto"/>
        <w:bottom w:val="none" w:sz="0" w:space="0" w:color="auto"/>
        <w:right w:val="none" w:sz="0" w:space="0" w:color="auto"/>
      </w:divBdr>
    </w:div>
    <w:div w:id="1056858854">
      <w:bodyDiv w:val="1"/>
      <w:marLeft w:val="0"/>
      <w:marRight w:val="0"/>
      <w:marTop w:val="0"/>
      <w:marBottom w:val="0"/>
      <w:divBdr>
        <w:top w:val="none" w:sz="0" w:space="0" w:color="auto"/>
        <w:left w:val="none" w:sz="0" w:space="0" w:color="auto"/>
        <w:bottom w:val="none" w:sz="0" w:space="0" w:color="auto"/>
        <w:right w:val="none" w:sz="0" w:space="0" w:color="auto"/>
      </w:divBdr>
    </w:div>
    <w:div w:id="1117674824">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455635728">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skafisheries.noaa.gov/fisheries/regs-amds" TargetMode="External"/><Relationship Id="rId13" Type="http://schemas.openxmlformats.org/officeDocument/2006/relationships/hyperlink" Target="https://alaskafisheries.noaa.gov/fisheries/regs-amds" TargetMode="External"/><Relationship Id="rId18" Type="http://schemas.openxmlformats.org/officeDocument/2006/relationships/hyperlink" Target="https://www.osec.doc.gov/opog/privacy/noaa%20pias/noaa4700_pia_saop_approved.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isheries.noaa.gov/topic/enforcement" TargetMode="External"/><Relationship Id="rId17" Type="http://schemas.openxmlformats.org/officeDocument/2006/relationships/hyperlink" Target="http://www.corporateservices.noaa.gov/audit/privacy_act/systems-of-records/noaa-6.html" TargetMode="External"/><Relationship Id="rId2" Type="http://schemas.openxmlformats.org/officeDocument/2006/relationships/numbering" Target="numbering.xml"/><Relationship Id="rId16" Type="http://schemas.openxmlformats.org/officeDocument/2006/relationships/hyperlink" Target="http://www.corporateservices.noaa.gov/ames/administrative_orders/chapter_216/216-100.html" TargetMode="External"/><Relationship Id="rId20" Type="http://schemas.openxmlformats.org/officeDocument/2006/relationships/hyperlink" Target="http://www.psmfc.org/program/vessel-monitoring-system-reimbursement-program-v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1113376d89fed9005c4a043a75fd331d&amp;mc=true&amp;tpl=/ecfrbrowse/Title50/50cfr680_main_02.tpl" TargetMode="External"/><Relationship Id="rId5" Type="http://schemas.openxmlformats.org/officeDocument/2006/relationships/webSettings" Target="webSettings.xml"/><Relationship Id="rId15" Type="http://schemas.openxmlformats.org/officeDocument/2006/relationships/hyperlink" Target="http://www.cio.noaa.gov/services_programs/IQ_Guidelines_103014.html" TargetMode="External"/><Relationship Id="rId10" Type="http://schemas.openxmlformats.org/officeDocument/2006/relationships/hyperlink" Target="https://www.ecfr.gov/cgi-bin/text-idx?SID=19bedf3f71563b4caedca511456c92f0&amp;mc=true&amp;tpl=/ecfrbrowse/Title50/50cfr679_main_02.t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sheries.noaa.gov/alaska/rules-and-regulations/regulations-acts-treaties-and-agreements-federal-fisheries-alaska" TargetMode="External"/><Relationship Id="rId14" Type="http://schemas.openxmlformats.org/officeDocument/2006/relationships/hyperlink" Target="http://www.law.cornell.edu/uscode/usc_sup_01_16_10_10.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BE288-4232-47D5-B1A3-A47393E8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4715</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2</cp:revision>
  <dcterms:created xsi:type="dcterms:W3CDTF">2020-09-10T14:16:00Z</dcterms:created>
  <dcterms:modified xsi:type="dcterms:W3CDTF">2020-09-10T14:16:00Z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