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36E5A" w:rsidRDefault="00136E5A" w14:paraId="13489E38" w14:textId="77777777">
      <w:pPr>
        <w:widowControl/>
        <w:tabs>
          <w:tab w:val="center" w:pos="4680"/>
        </w:tabs>
        <w:rPr>
          <w:b/>
          <w:bCs/>
        </w:rPr>
      </w:pPr>
      <w:r>
        <w:tab/>
      </w:r>
      <w:r>
        <w:rPr>
          <w:b/>
          <w:bCs/>
        </w:rPr>
        <w:t>SUPPORTING STATEMENT</w:t>
      </w:r>
    </w:p>
    <w:p w:rsidR="00734522" w:rsidP="00734522" w:rsidRDefault="00734522" w14:paraId="63EA8E01" w14:textId="77777777">
      <w:pPr>
        <w:widowControl/>
        <w:tabs>
          <w:tab w:val="center" w:pos="4680"/>
        </w:tabs>
        <w:jc w:val="center"/>
        <w:rPr>
          <w:b/>
          <w:bCs/>
        </w:rPr>
      </w:pPr>
      <w:r>
        <w:rPr>
          <w:b/>
          <w:bCs/>
        </w:rPr>
        <w:t>U.S. Department of Commerce</w:t>
      </w:r>
    </w:p>
    <w:p w:rsidR="00FA619B" w:rsidP="00106625" w:rsidRDefault="00136E5A" w14:paraId="38569707" w14:textId="77777777">
      <w:pPr>
        <w:widowControl/>
        <w:tabs>
          <w:tab w:val="center" w:pos="4680"/>
        </w:tabs>
        <w:rPr>
          <w:b/>
        </w:rPr>
      </w:pPr>
      <w:r>
        <w:tab/>
      </w:r>
      <w:r w:rsidRPr="00FA4CB2" w:rsidR="00E12EFE">
        <w:rPr>
          <w:b/>
        </w:rPr>
        <w:t>National Technical Information Service</w:t>
      </w:r>
      <w:r w:rsidR="00106625">
        <w:rPr>
          <w:b/>
        </w:rPr>
        <w:t xml:space="preserve"> </w:t>
      </w:r>
    </w:p>
    <w:p w:rsidR="00FA619B" w:rsidP="009C0937" w:rsidRDefault="00106001" w14:paraId="6CECB923" w14:textId="77777777">
      <w:pPr>
        <w:widowControl/>
        <w:tabs>
          <w:tab w:val="center" w:pos="4680"/>
        </w:tabs>
        <w:jc w:val="center"/>
        <w:rPr>
          <w:b/>
        </w:rPr>
      </w:pPr>
      <w:r w:rsidRPr="00FA4CB2">
        <w:rPr>
          <w:b/>
        </w:rPr>
        <w:t>Limited Access Death Master File</w:t>
      </w:r>
      <w:r w:rsidR="00FA619B">
        <w:rPr>
          <w:b/>
        </w:rPr>
        <w:t xml:space="preserve"> </w:t>
      </w:r>
      <w:r w:rsidR="009C17A3">
        <w:rPr>
          <w:b/>
        </w:rPr>
        <w:t xml:space="preserve">Accredited Conformity Assessment Body </w:t>
      </w:r>
      <w:r w:rsidR="009C0937">
        <w:rPr>
          <w:b/>
        </w:rPr>
        <w:t>System</w:t>
      </w:r>
      <w:r w:rsidR="00454B95">
        <w:rPr>
          <w:b/>
        </w:rPr>
        <w:t>s</w:t>
      </w:r>
      <w:r w:rsidR="009C0937">
        <w:rPr>
          <w:b/>
        </w:rPr>
        <w:t xml:space="preserve"> Safeguard</w:t>
      </w:r>
      <w:r w:rsidR="009C17A3">
        <w:rPr>
          <w:b/>
        </w:rPr>
        <w:t xml:space="preserve">s Attestation Form </w:t>
      </w:r>
    </w:p>
    <w:p w:rsidR="00FA619B" w:rsidP="00FA619B" w:rsidRDefault="009C17A3" w14:paraId="50876C80" w14:textId="77777777">
      <w:pPr>
        <w:widowControl/>
        <w:tabs>
          <w:tab w:val="center" w:pos="4680"/>
        </w:tabs>
        <w:jc w:val="center"/>
        <w:rPr>
          <w:b/>
        </w:rPr>
      </w:pPr>
      <w:r>
        <w:rPr>
          <w:b/>
        </w:rPr>
        <w:t>and</w:t>
      </w:r>
    </w:p>
    <w:p w:rsidR="00FA619B" w:rsidP="00FA619B" w:rsidRDefault="009C17A3" w14:paraId="765A3CD8" w14:textId="77777777">
      <w:pPr>
        <w:widowControl/>
        <w:tabs>
          <w:tab w:val="center" w:pos="4680"/>
        </w:tabs>
        <w:jc w:val="center"/>
        <w:rPr>
          <w:b/>
        </w:rPr>
      </w:pPr>
      <w:r w:rsidRPr="009C17A3">
        <w:rPr>
          <w:b/>
        </w:rPr>
        <w:t>Limited Access Death Master File</w:t>
      </w:r>
      <w:r>
        <w:rPr>
          <w:b/>
        </w:rPr>
        <w:t xml:space="preserve"> </w:t>
      </w:r>
    </w:p>
    <w:p w:rsidR="00106625" w:rsidP="00FA619B" w:rsidRDefault="009C17A3" w14:paraId="7EDD1C35" w14:textId="77777777">
      <w:pPr>
        <w:widowControl/>
        <w:tabs>
          <w:tab w:val="center" w:pos="4680"/>
        </w:tabs>
        <w:jc w:val="center"/>
        <w:rPr>
          <w:b/>
        </w:rPr>
      </w:pPr>
      <w:r>
        <w:rPr>
          <w:b/>
        </w:rPr>
        <w:t xml:space="preserve">State </w:t>
      </w:r>
      <w:r w:rsidR="00FA619B">
        <w:rPr>
          <w:b/>
        </w:rPr>
        <w:t xml:space="preserve">or </w:t>
      </w:r>
      <w:r>
        <w:rPr>
          <w:b/>
        </w:rPr>
        <w:t xml:space="preserve">Local Auditor General </w:t>
      </w:r>
      <w:r w:rsidR="00FA619B">
        <w:rPr>
          <w:b/>
        </w:rPr>
        <w:t>or</w:t>
      </w:r>
      <w:r>
        <w:rPr>
          <w:b/>
        </w:rPr>
        <w:t xml:space="preserve"> Inspector General Systems Safeguards Attestation Form</w:t>
      </w:r>
    </w:p>
    <w:p w:rsidR="00710756" w:rsidP="00FA619B" w:rsidRDefault="00710756" w14:paraId="03901345" w14:textId="77777777">
      <w:pPr>
        <w:widowControl/>
        <w:jc w:val="center"/>
        <w:rPr>
          <w:b/>
          <w:bCs/>
        </w:rPr>
      </w:pPr>
      <w:r>
        <w:rPr>
          <w:b/>
          <w:bCs/>
        </w:rPr>
        <w:t>OMB Control No. 0692-</w:t>
      </w:r>
      <w:r w:rsidR="00B609A8">
        <w:rPr>
          <w:b/>
          <w:bCs/>
        </w:rPr>
        <w:t>0016</w:t>
      </w:r>
    </w:p>
    <w:p w:rsidR="00136E5A" w:rsidRDefault="00136E5A" w14:paraId="493FF4D7" w14:textId="77777777">
      <w:pPr>
        <w:widowControl/>
      </w:pPr>
    </w:p>
    <w:p w:rsidR="00136E5A" w:rsidRDefault="00136E5A" w14:paraId="35A0AD7B" w14:textId="77777777">
      <w:pPr>
        <w:widowControl/>
      </w:pPr>
    </w:p>
    <w:p w:rsidR="00136E5A" w:rsidRDefault="00136E5A" w14:paraId="702C0532" w14:textId="33F7E4AC">
      <w:pPr>
        <w:widowControl/>
        <w:tabs>
          <w:tab w:val="left" w:pos="-1440"/>
        </w:tabs>
        <w:ind w:left="720" w:hanging="720"/>
        <w:rPr>
          <w:b/>
          <w:bCs/>
        </w:rPr>
      </w:pPr>
      <w:r>
        <w:rPr>
          <w:b/>
          <w:bCs/>
        </w:rPr>
        <w:t xml:space="preserve">A. </w:t>
      </w:r>
      <w:r w:rsidR="00C854DE">
        <w:rPr>
          <w:b/>
          <w:bCs/>
        </w:rPr>
        <w:t>ABSTRACT</w:t>
      </w:r>
    </w:p>
    <w:p w:rsidR="001C4962" w:rsidRDefault="001C4962" w14:paraId="63D0543C" w14:textId="77777777">
      <w:pPr>
        <w:widowControl/>
        <w:tabs>
          <w:tab w:val="left" w:pos="-1440"/>
        </w:tabs>
        <w:ind w:left="720" w:hanging="720"/>
      </w:pPr>
    </w:p>
    <w:p w:rsidRPr="00580507" w:rsidR="00580507" w:rsidP="00580507" w:rsidRDefault="001C4962" w14:paraId="4A3C726A" w14:textId="5784F375">
      <w:pPr>
        <w:rPr>
          <w:rFonts w:cs="Calibri"/>
          <w:b/>
        </w:rPr>
      </w:pPr>
      <w:r>
        <w:t>This is a</w:t>
      </w:r>
      <w:r w:rsidR="009E3E3A">
        <w:t>n extension</w:t>
      </w:r>
      <w:r w:rsidR="008C3C4E">
        <w:t xml:space="preserve"> of a currently approved</w:t>
      </w:r>
      <w:r w:rsidR="00214CA3">
        <w:t xml:space="preserve"> </w:t>
      </w:r>
      <w:r w:rsidR="00996906">
        <w:t xml:space="preserve">information </w:t>
      </w:r>
      <w:r w:rsidR="00214CA3">
        <w:t>collection</w:t>
      </w:r>
      <w:r w:rsidR="00C854DE">
        <w:t xml:space="preserve">. This information collection will be used in connection with  the “Certification Program for Access to the Death Master File” (15 CFR part 1110), which prohibits the disclosure of </w:t>
      </w:r>
      <w:r w:rsidR="00F14AE9">
        <w:t xml:space="preserve">Limited Access Death Master File (Limited Access DMF) during the three-calendar-year period following death unless the person requesting information has been certified as required by 15 CFR part 1110.  This instrument collects information for the written attestation, as required by the rule, that each person seeking certification or renewal of certification has </w:t>
      </w:r>
      <w:r w:rsidR="000003FB">
        <w:t>information security systems, facilities, and procedures in place to protect the security of the Limited Access DMF.</w:t>
      </w:r>
      <w:r w:rsidR="00C854DE">
        <w:t xml:space="preserve"> </w:t>
      </w:r>
      <w:r w:rsidRPr="00FA5BC4" w:rsidR="00580507">
        <w:rPr>
          <w:rFonts w:cs="Calibri"/>
          <w:b/>
        </w:rPr>
        <w:t xml:space="preserve"> </w:t>
      </w:r>
    </w:p>
    <w:p w:rsidRPr="00AA4B59" w:rsidR="00AA4B59" w:rsidRDefault="00996906" w14:paraId="0BFE2693" w14:textId="77777777">
      <w:pPr>
        <w:widowControl/>
        <w:rPr>
          <w:b/>
        </w:rPr>
      </w:pPr>
      <w:r>
        <w:t xml:space="preserve"> </w:t>
      </w:r>
    </w:p>
    <w:p w:rsidR="00AA4B59" w:rsidRDefault="00C854DE" w14:paraId="301A959E" w14:textId="6A72E0D1">
      <w:pPr>
        <w:widowControl/>
        <w:rPr>
          <w:b/>
        </w:rPr>
      </w:pPr>
      <w:r>
        <w:rPr>
          <w:b/>
        </w:rPr>
        <w:t>B.</w:t>
      </w:r>
      <w:r>
        <w:rPr>
          <w:b/>
        </w:rPr>
        <w:tab/>
        <w:t>JUSTIFICATION</w:t>
      </w:r>
    </w:p>
    <w:p w:rsidRPr="00AA4B59" w:rsidR="00C854DE" w:rsidRDefault="00C854DE" w14:paraId="54278EFC" w14:textId="77777777">
      <w:pPr>
        <w:widowControl/>
        <w:rPr>
          <w:b/>
        </w:rPr>
      </w:pPr>
    </w:p>
    <w:p w:rsidR="00136E5A" w:rsidRDefault="00136E5A" w14:paraId="06EA9B6E" w14:textId="3DFF5568">
      <w:pPr>
        <w:widowControl/>
      </w:pPr>
      <w:r>
        <w:rPr>
          <w:b/>
          <w:bCs/>
        </w:rPr>
        <w:t xml:space="preserve">1.  </w:t>
      </w:r>
      <w:r>
        <w:rPr>
          <w:b/>
          <w:bCs/>
          <w:u w:val="single"/>
        </w:rPr>
        <w:t>Explain the circumstances that make the collection of information necessary.</w:t>
      </w:r>
      <w:r w:rsidR="001474DA">
        <w:rPr>
          <w:b/>
          <w:bCs/>
          <w:u w:val="single"/>
        </w:rPr>
        <w:t xml:space="preserve"> Identify any legal or administrative requirements that necessitate the collection.  Attach a copy of the appropriate section of each statute and regulation mandating or authorizing the collection of information. </w:t>
      </w:r>
    </w:p>
    <w:p w:rsidR="00136E5A" w:rsidRDefault="00136E5A" w14:paraId="715973F2" w14:textId="77777777">
      <w:pPr>
        <w:widowControl/>
      </w:pPr>
    </w:p>
    <w:p w:rsidR="00AA4B59" w:rsidP="00106625" w:rsidRDefault="00684C0D" w14:paraId="0FC1F278" w14:textId="77777777">
      <w:pPr>
        <w:rPr>
          <w:rFonts w:cs="Calibri"/>
        </w:rPr>
      </w:pPr>
      <w:r>
        <w:t xml:space="preserve">The </w:t>
      </w:r>
      <w:r w:rsidR="00D50F7D">
        <w:t xml:space="preserve">National Technical Information Service (NTIS) </w:t>
      </w:r>
      <w:r w:rsidR="00106625">
        <w:t xml:space="preserve">Limited Access Death Master File </w:t>
      </w:r>
      <w:r w:rsidR="009C17A3">
        <w:t xml:space="preserve">Accredited Conformity Assessment Body </w:t>
      </w:r>
      <w:r w:rsidR="003C1F54">
        <w:t>Systems Safeguards Attestation Form (</w:t>
      </w:r>
      <w:r w:rsidR="009C17A3">
        <w:t xml:space="preserve">ACAB </w:t>
      </w:r>
      <w:r w:rsidR="00F233F2">
        <w:t xml:space="preserve">Systems </w:t>
      </w:r>
      <w:r w:rsidR="003C1F54">
        <w:t>Safeguards Attestation Form)</w:t>
      </w:r>
      <w:r w:rsidR="009C17A3">
        <w:t xml:space="preserve"> and the </w:t>
      </w:r>
      <w:r w:rsidRPr="009C17A3" w:rsidR="009C17A3">
        <w:t xml:space="preserve">Limited Access Death Master File </w:t>
      </w:r>
      <w:r w:rsidR="009C17A3">
        <w:t xml:space="preserve">State </w:t>
      </w:r>
      <w:r w:rsidR="00A42687">
        <w:t>or</w:t>
      </w:r>
      <w:r w:rsidR="009C17A3">
        <w:t xml:space="preserve"> Local Auditor General </w:t>
      </w:r>
      <w:r w:rsidR="00A42687">
        <w:t xml:space="preserve">or </w:t>
      </w:r>
      <w:r w:rsidR="009C17A3">
        <w:t>Inspector General Systems Safeguard Attestation Form (AG</w:t>
      </w:r>
      <w:r w:rsidR="00F233F2">
        <w:t xml:space="preserve"> or </w:t>
      </w:r>
      <w:r w:rsidR="009C17A3">
        <w:t xml:space="preserve">IG </w:t>
      </w:r>
      <w:r w:rsidR="00F233F2">
        <w:t xml:space="preserve">Systems </w:t>
      </w:r>
      <w:r w:rsidR="009C17A3">
        <w:t xml:space="preserve">Safeguards Attestation Form) are </w:t>
      </w:r>
      <w:r>
        <w:t>used to collect information related to the implementation of Section 203 of the Bipartisan Budget Act of 2013 (Pub. L. 113-67)</w:t>
      </w:r>
      <w:r w:rsidR="00FA4CB2">
        <w:t xml:space="preserve"> </w:t>
      </w:r>
      <w:r>
        <w:t xml:space="preserve">(Act).  </w:t>
      </w:r>
      <w:r w:rsidRPr="006542FF">
        <w:rPr>
          <w:rFonts w:cs="Calibri"/>
        </w:rPr>
        <w:t>Section 203 of the</w:t>
      </w:r>
      <w:r>
        <w:rPr>
          <w:rFonts w:cs="Calibri"/>
        </w:rPr>
        <w:t xml:space="preserve"> </w:t>
      </w:r>
      <w:r w:rsidRPr="006542FF">
        <w:rPr>
          <w:rFonts w:cs="Calibri"/>
        </w:rPr>
        <w:t xml:space="preserve">Act prohibits disclosure of </w:t>
      </w:r>
      <w:r w:rsidR="004B24AD">
        <w:rPr>
          <w:rFonts w:cs="Calibri"/>
        </w:rPr>
        <w:t>Limited Access Death Master File (</w:t>
      </w:r>
      <w:r w:rsidR="00106625">
        <w:rPr>
          <w:rFonts w:cs="Calibri"/>
        </w:rPr>
        <w:t xml:space="preserve">Limited Access </w:t>
      </w:r>
      <w:r w:rsidRPr="006542FF">
        <w:rPr>
          <w:rFonts w:cs="Calibri"/>
        </w:rPr>
        <w:t>DMF</w:t>
      </w:r>
      <w:r w:rsidR="004B24AD">
        <w:rPr>
          <w:rFonts w:cs="Calibri"/>
        </w:rPr>
        <w:t>)</w:t>
      </w:r>
      <w:r w:rsidRPr="006542FF">
        <w:rPr>
          <w:rFonts w:cs="Calibri"/>
        </w:rPr>
        <w:t xml:space="preserve"> information during the three-calendar-year period following death unless the person requesting the information has been certified under a program established by the Secretary of Commerce.  The Act directs the Secretary of Commerce to establish a certification program for such access to the</w:t>
      </w:r>
      <w:r w:rsidR="00106625">
        <w:rPr>
          <w:rFonts w:cs="Calibri"/>
        </w:rPr>
        <w:t xml:space="preserve"> Limited Access</w:t>
      </w:r>
      <w:r w:rsidRPr="006542FF">
        <w:rPr>
          <w:rFonts w:cs="Calibri"/>
        </w:rPr>
        <w:t xml:space="preserve"> DMF.  </w:t>
      </w:r>
      <w:r w:rsidR="00EC6D7D">
        <w:rPr>
          <w:rFonts w:cs="Calibri"/>
        </w:rPr>
        <w:t xml:space="preserve">The Secretary of Commerce has delegated the authority to carry out the DMF certification program to the Director, NTIS. </w:t>
      </w:r>
    </w:p>
    <w:p w:rsidR="00AA4B59" w:rsidP="00AA4B59" w:rsidRDefault="00AA4B59" w14:paraId="1E7F9A45" w14:textId="77777777">
      <w:pPr>
        <w:rPr>
          <w:rFonts w:cs="Calibri"/>
        </w:rPr>
      </w:pPr>
    </w:p>
    <w:p w:rsidR="009C17A3" w:rsidP="00353349" w:rsidRDefault="006E0CAA" w14:paraId="204E1725" w14:textId="4F0A6E31">
      <w:r>
        <w:t xml:space="preserve"> </w:t>
      </w:r>
      <w:r w:rsidR="0085250C">
        <w:t xml:space="preserve"> </w:t>
      </w:r>
      <w:r w:rsidR="00240E84">
        <w:t>O</w:t>
      </w:r>
      <w:r w:rsidR="0085250C">
        <w:t>n June 1, 2016,</w:t>
      </w:r>
      <w:r>
        <w:t xml:space="preserve"> </w:t>
      </w:r>
      <w:r w:rsidR="00AE069F">
        <w:t xml:space="preserve">NTIS </w:t>
      </w:r>
      <w:r>
        <w:t>publish</w:t>
      </w:r>
      <w:r w:rsidR="003435D8">
        <w:t>ed</w:t>
      </w:r>
      <w:r w:rsidR="00106625">
        <w:t xml:space="preserve"> </w:t>
      </w:r>
      <w:r w:rsidR="00AE069F">
        <w:t>the</w:t>
      </w:r>
      <w:r w:rsidR="00106625">
        <w:t xml:space="preserve"> final rule</w:t>
      </w:r>
      <w:r w:rsidR="003435D8">
        <w:t xml:space="preserve"> </w:t>
      </w:r>
      <w:r w:rsidR="0085250C">
        <w:t>(81 FR 34882</w:t>
      </w:r>
      <w:r w:rsidR="00240E84">
        <w:t>, 15 CFR Part 1110</w:t>
      </w:r>
      <w:r w:rsidR="0085250C">
        <w:t xml:space="preserve">).  </w:t>
      </w:r>
      <w:r w:rsidR="003C1F54">
        <w:t>T</w:t>
      </w:r>
      <w:r w:rsidR="00106625">
        <w:t xml:space="preserve">he final rule requires that, in order to become certified, a Person or Certified Person must submit a written attestation from an “Accredited Conformity Assessment Body” (ACAB), as defined in </w:t>
      </w:r>
      <w:r w:rsidR="00106625">
        <w:lastRenderedPageBreak/>
        <w:t xml:space="preserve">the final rule, </w:t>
      </w:r>
      <w:r w:rsidR="00F64D0C">
        <w:t xml:space="preserve">concluding </w:t>
      </w:r>
      <w:r w:rsidR="00106625">
        <w:t xml:space="preserve">that such Person </w:t>
      </w:r>
      <w:r w:rsidR="00F64D0C">
        <w:t xml:space="preserve">or Certified Person </w:t>
      </w:r>
      <w:r w:rsidR="00106625">
        <w:t>has information security systems, facilities and procedures in place to protect the security of the Limited Access DMF, as required under Section 1110.102(a</w:t>
      </w:r>
      <w:r w:rsidR="00B81F42">
        <w:t>)(</w:t>
      </w:r>
      <w:r w:rsidR="00106625">
        <w:t xml:space="preserve">2) of the </w:t>
      </w:r>
      <w:r w:rsidR="00F411E2">
        <w:t xml:space="preserve">final </w:t>
      </w:r>
      <w:r w:rsidR="00106625">
        <w:t>rule</w:t>
      </w:r>
      <w:r w:rsidR="00E9609F">
        <w:t xml:space="preserve">.  </w:t>
      </w:r>
      <w:r w:rsidR="000638B0">
        <w:t>In addition, a</w:t>
      </w:r>
      <w:r w:rsidR="00E9609F">
        <w:t xml:space="preserve"> Certified Person </w:t>
      </w:r>
      <w:r w:rsidR="00F411E2">
        <w:t xml:space="preserve">must </w:t>
      </w:r>
      <w:r w:rsidR="00E9609F">
        <w:t>provide a</w:t>
      </w:r>
      <w:r w:rsidR="000638B0">
        <w:t>n ACAB’s</w:t>
      </w:r>
      <w:r w:rsidR="00106625">
        <w:t xml:space="preserve"> w</w:t>
      </w:r>
      <w:r w:rsidR="00E9609F">
        <w:t xml:space="preserve">ritten attestation </w:t>
      </w:r>
      <w:r w:rsidR="00106625">
        <w:t xml:space="preserve">for renewal of its certification </w:t>
      </w:r>
      <w:r w:rsidR="00A666A9">
        <w:t xml:space="preserve">at least once every three years </w:t>
      </w:r>
      <w:r w:rsidR="009C17A3">
        <w:t xml:space="preserve">as specified in the final rule.  </w:t>
      </w:r>
      <w:r w:rsidR="00FB29AD">
        <w:t>In general, th</w:t>
      </w:r>
      <w:r w:rsidR="002A58D6">
        <w:t xml:space="preserve">e ACAB </w:t>
      </w:r>
      <w:r w:rsidR="00FB29AD">
        <w:t xml:space="preserve">must </w:t>
      </w:r>
      <w:r w:rsidR="0085250C">
        <w:t xml:space="preserve">be </w:t>
      </w:r>
      <w:r w:rsidR="00FB29AD">
        <w:t xml:space="preserve">independent of the Person or Certified Person, unless it is a </w:t>
      </w:r>
      <w:r w:rsidR="004042A3">
        <w:t>third-party</w:t>
      </w:r>
      <w:r w:rsidR="00FB29AD">
        <w:t xml:space="preserve"> conformity assessment body which qualifies for “firewalled status” pursuant to Section 1110.502 of the final rule.</w:t>
      </w:r>
    </w:p>
    <w:p w:rsidR="009C17A3" w:rsidP="00353349" w:rsidRDefault="009C17A3" w14:paraId="6EDAA441" w14:textId="77777777"/>
    <w:p w:rsidR="00515531" w:rsidP="00353349" w:rsidRDefault="002A58D6" w14:paraId="54DC4C32" w14:textId="77777777">
      <w:r>
        <w:t>The final rule</w:t>
      </w:r>
      <w:r w:rsidR="00FB29AD">
        <w:t>, however, also</w:t>
      </w:r>
      <w:r>
        <w:t xml:space="preserve"> recognizes</w:t>
      </w:r>
      <w:r w:rsidR="00F14CFB">
        <w:t xml:space="preserve"> a</w:t>
      </w:r>
      <w:r>
        <w:t xml:space="preserve"> circumstance where a state or local government department or agency </w:t>
      </w:r>
      <w:r w:rsidR="00FB29AD">
        <w:t xml:space="preserve">seeking certification or renewal </w:t>
      </w:r>
      <w:r>
        <w:t xml:space="preserve">may </w:t>
      </w:r>
      <w:r w:rsidR="00E44C73">
        <w:t>rely on the attestation of a state or local government Auditor General (AG) or Inspector General (IG) in lieu of the attestation of</w:t>
      </w:r>
      <w:r w:rsidR="00FB29AD">
        <w:t xml:space="preserve"> an independent</w:t>
      </w:r>
      <w:r>
        <w:t xml:space="preserve"> ACAB</w:t>
      </w:r>
      <w:r w:rsidR="00FB29AD">
        <w:t>.  Specifically, Sec</w:t>
      </w:r>
      <w:r>
        <w:t>tion 1110.501(a)(2) provides that a state or local government office</w:t>
      </w:r>
      <w:r w:rsidR="009C17A3">
        <w:t xml:space="preserve"> </w:t>
      </w:r>
      <w:r>
        <w:t xml:space="preserve">of AG or </w:t>
      </w:r>
      <w:r w:rsidR="00FB29AD">
        <w:t xml:space="preserve">IG </w:t>
      </w:r>
      <w:r>
        <w:t>and a Person or Certified Person that is a department or agency of the same state or local government, respectively, are not considered to be owned by a common “parent” entity</w:t>
      </w:r>
      <w:r w:rsidR="00FB29AD">
        <w:t xml:space="preserve"> under Section 1110.501(a)(1)(ii) for the purpose </w:t>
      </w:r>
      <w:r w:rsidR="00E117BC">
        <w:t xml:space="preserve">of determining independence.  </w:t>
      </w:r>
    </w:p>
    <w:p w:rsidR="00946A58" w:rsidP="00353349" w:rsidRDefault="00353349" w14:paraId="2263FA4D" w14:textId="77777777">
      <w:r>
        <w:t xml:space="preserve">An ACAB providing a written attestation for a Person or Certified Person must use the </w:t>
      </w:r>
      <w:r w:rsidR="00E117BC">
        <w:t xml:space="preserve">ACAB </w:t>
      </w:r>
      <w:r w:rsidR="00F233F2">
        <w:t xml:space="preserve">Systems </w:t>
      </w:r>
      <w:r w:rsidR="003C1F54">
        <w:t xml:space="preserve">Safeguards </w:t>
      </w:r>
      <w:r>
        <w:t xml:space="preserve">Attestation Form.  </w:t>
      </w:r>
      <w:r w:rsidR="00E117BC">
        <w:t xml:space="preserve">A state or local </w:t>
      </w:r>
      <w:r w:rsidR="00E955CD">
        <w:t xml:space="preserve">government </w:t>
      </w:r>
      <w:r w:rsidR="00E117BC">
        <w:t xml:space="preserve">AG or IG providing a written attestation for a </w:t>
      </w:r>
      <w:r w:rsidR="00946A58">
        <w:t>Person or Certified Person must use the AG</w:t>
      </w:r>
      <w:r w:rsidR="00F233F2">
        <w:t xml:space="preserve"> or </w:t>
      </w:r>
      <w:r w:rsidR="00946A58">
        <w:t xml:space="preserve">IG </w:t>
      </w:r>
      <w:r w:rsidR="00F233F2">
        <w:t xml:space="preserve">Systems </w:t>
      </w:r>
      <w:r w:rsidR="00946A58">
        <w:t>Safeguards Attestation Form.</w:t>
      </w:r>
    </w:p>
    <w:p w:rsidR="00946A58" w:rsidP="00353349" w:rsidRDefault="00946A58" w14:paraId="7086112B" w14:textId="55D5432E"/>
    <w:p w:rsidR="005F149F" w:rsidP="00353349" w:rsidRDefault="005F149F" w14:paraId="18091800" w14:textId="6D5E6E80">
      <w:r>
        <w:t xml:space="preserve"> </w:t>
      </w:r>
    </w:p>
    <w:p w:rsidR="005F149F" w:rsidP="00353349" w:rsidRDefault="005F149F" w14:paraId="5656C3BB" w14:textId="1EDC60BB">
      <w:pPr>
        <w:rPr>
          <w:b/>
          <w:bCs/>
          <w:u w:val="single"/>
        </w:rPr>
      </w:pPr>
      <w:r w:rsidRPr="00A56F52">
        <w:rPr>
          <w:b/>
          <w:bCs/>
        </w:rPr>
        <w:t xml:space="preserve">2.  </w:t>
      </w:r>
      <w:r w:rsidRPr="00A56F52">
        <w:rPr>
          <w:b/>
          <w:bCs/>
          <w:u w:val="single"/>
        </w:rPr>
        <w:t>Indicate how, by whom, and for what purpose the information is to be used. Except for a new collection, indicate the actual use the agency has made of the information received from the current collection.</w:t>
      </w:r>
    </w:p>
    <w:tbl>
      <w:tblPr>
        <w:tblpPr w:leftFromText="180" w:rightFromText="180" w:vertAnchor="text" w:horzAnchor="margin" w:tblpY="122"/>
        <w:tblW w:w="10620" w:type="dxa"/>
        <w:tblLook w:val="04A0" w:firstRow="1" w:lastRow="0" w:firstColumn="1" w:lastColumn="0" w:noHBand="0" w:noVBand="1"/>
      </w:tblPr>
      <w:tblGrid>
        <w:gridCol w:w="617"/>
        <w:gridCol w:w="2433"/>
        <w:gridCol w:w="1610"/>
        <w:gridCol w:w="2531"/>
        <w:gridCol w:w="1701"/>
        <w:gridCol w:w="1728"/>
      </w:tblGrid>
      <w:tr w:rsidRPr="00870A68" w:rsidR="00870A68" w:rsidTr="00870A68" w14:paraId="04C5BE79" w14:textId="77777777">
        <w:trPr>
          <w:trHeight w:val="621"/>
        </w:trPr>
        <w:tc>
          <w:tcPr>
            <w:tcW w:w="617" w:type="dxa"/>
            <w:tcBorders>
              <w:top w:val="nil"/>
              <w:left w:val="nil"/>
              <w:bottom w:val="single" w:color="000000" w:sz="4" w:space="0"/>
              <w:right w:val="single" w:color="000000" w:sz="4" w:space="0"/>
            </w:tcBorders>
            <w:shd w:val="clear" w:color="000000" w:fill="DEEAF6"/>
            <w:hideMark/>
          </w:tcPr>
          <w:p w:rsidRPr="00870A68" w:rsidR="00870A68" w:rsidP="00870A68" w:rsidRDefault="00870A68" w14:paraId="4672C07E" w14:textId="77777777">
            <w:pPr>
              <w:widowControl/>
              <w:autoSpaceDE/>
              <w:autoSpaceDN/>
              <w:adjustRightInd/>
              <w:jc w:val="center"/>
              <w:rPr>
                <w:b/>
                <w:bCs/>
                <w:sz w:val="20"/>
                <w:szCs w:val="20"/>
              </w:rPr>
            </w:pPr>
            <w:r w:rsidRPr="00870A68">
              <w:rPr>
                <w:b/>
                <w:bCs/>
                <w:sz w:val="20"/>
                <w:szCs w:val="20"/>
              </w:rPr>
              <w:t>Item #</w:t>
            </w:r>
          </w:p>
        </w:tc>
        <w:tc>
          <w:tcPr>
            <w:tcW w:w="2445" w:type="dxa"/>
            <w:tcBorders>
              <w:top w:val="nil"/>
              <w:left w:val="nil"/>
              <w:bottom w:val="single" w:color="000000" w:sz="4" w:space="0"/>
              <w:right w:val="single" w:color="000000" w:sz="4" w:space="0"/>
            </w:tcBorders>
            <w:shd w:val="clear" w:color="000000" w:fill="DEEAF6"/>
            <w:hideMark/>
          </w:tcPr>
          <w:p w:rsidRPr="00870A68" w:rsidR="00870A68" w:rsidP="00870A68" w:rsidRDefault="00870A68" w14:paraId="3B4F729F" w14:textId="77777777">
            <w:pPr>
              <w:widowControl/>
              <w:autoSpaceDE/>
              <w:autoSpaceDN/>
              <w:adjustRightInd/>
              <w:jc w:val="center"/>
              <w:rPr>
                <w:b/>
                <w:bCs/>
                <w:sz w:val="20"/>
                <w:szCs w:val="20"/>
              </w:rPr>
            </w:pPr>
            <w:r w:rsidRPr="00870A68">
              <w:rPr>
                <w:b/>
                <w:bCs/>
                <w:sz w:val="20"/>
                <w:szCs w:val="20"/>
              </w:rPr>
              <w:t>Requirement</w:t>
            </w:r>
          </w:p>
        </w:tc>
        <w:tc>
          <w:tcPr>
            <w:tcW w:w="1614" w:type="dxa"/>
            <w:tcBorders>
              <w:top w:val="nil"/>
              <w:left w:val="nil"/>
              <w:bottom w:val="single" w:color="000000" w:sz="4" w:space="0"/>
              <w:right w:val="single" w:color="000000" w:sz="4" w:space="0"/>
            </w:tcBorders>
            <w:shd w:val="clear" w:color="000000" w:fill="DEEAF6"/>
            <w:hideMark/>
          </w:tcPr>
          <w:p w:rsidRPr="00870A68" w:rsidR="00870A68" w:rsidP="00870A68" w:rsidRDefault="00870A68" w14:paraId="71ED1739" w14:textId="77777777">
            <w:pPr>
              <w:widowControl/>
              <w:autoSpaceDE/>
              <w:autoSpaceDN/>
              <w:adjustRightInd/>
              <w:ind w:firstLine="400" w:firstLineChars="200"/>
              <w:rPr>
                <w:b/>
                <w:bCs/>
                <w:sz w:val="20"/>
                <w:szCs w:val="20"/>
              </w:rPr>
            </w:pPr>
            <w:r w:rsidRPr="00870A68">
              <w:rPr>
                <w:b/>
                <w:bCs/>
                <w:sz w:val="20"/>
                <w:szCs w:val="20"/>
              </w:rPr>
              <w:t>Statute</w:t>
            </w:r>
          </w:p>
        </w:tc>
        <w:tc>
          <w:tcPr>
            <w:tcW w:w="2546" w:type="dxa"/>
            <w:tcBorders>
              <w:top w:val="nil"/>
              <w:left w:val="nil"/>
              <w:bottom w:val="single" w:color="000000" w:sz="4" w:space="0"/>
              <w:right w:val="single" w:color="000000" w:sz="4" w:space="0"/>
            </w:tcBorders>
            <w:shd w:val="clear" w:color="000000" w:fill="DEEAF6"/>
            <w:hideMark/>
          </w:tcPr>
          <w:p w:rsidRPr="00870A68" w:rsidR="00870A68" w:rsidP="00870A68" w:rsidRDefault="00870A68" w14:paraId="2FA0E144" w14:textId="77777777">
            <w:pPr>
              <w:widowControl/>
              <w:autoSpaceDE/>
              <w:autoSpaceDN/>
              <w:adjustRightInd/>
              <w:jc w:val="center"/>
              <w:rPr>
                <w:b/>
                <w:bCs/>
                <w:sz w:val="20"/>
                <w:szCs w:val="20"/>
              </w:rPr>
            </w:pPr>
            <w:r w:rsidRPr="00870A68">
              <w:rPr>
                <w:b/>
                <w:bCs/>
                <w:sz w:val="20"/>
                <w:szCs w:val="20"/>
              </w:rPr>
              <w:t>Regulation</w:t>
            </w:r>
          </w:p>
        </w:tc>
        <w:tc>
          <w:tcPr>
            <w:tcW w:w="1709" w:type="dxa"/>
            <w:tcBorders>
              <w:top w:val="nil"/>
              <w:left w:val="nil"/>
              <w:bottom w:val="single" w:color="000000" w:sz="4" w:space="0"/>
              <w:right w:val="single" w:color="000000" w:sz="4" w:space="0"/>
            </w:tcBorders>
            <w:shd w:val="clear" w:color="000000" w:fill="DEEAF6"/>
            <w:hideMark/>
          </w:tcPr>
          <w:p w:rsidRPr="00870A68" w:rsidR="00870A68" w:rsidP="00870A68" w:rsidRDefault="00870A68" w14:paraId="49EEB569" w14:textId="77777777">
            <w:pPr>
              <w:widowControl/>
              <w:autoSpaceDE/>
              <w:autoSpaceDN/>
              <w:adjustRightInd/>
              <w:jc w:val="center"/>
              <w:rPr>
                <w:b/>
                <w:bCs/>
                <w:sz w:val="20"/>
                <w:szCs w:val="20"/>
              </w:rPr>
            </w:pPr>
            <w:r w:rsidRPr="00870A68">
              <w:rPr>
                <w:b/>
                <w:bCs/>
                <w:sz w:val="20"/>
                <w:szCs w:val="20"/>
              </w:rPr>
              <w:t>Form #</w:t>
            </w:r>
          </w:p>
        </w:tc>
        <w:tc>
          <w:tcPr>
            <w:tcW w:w="1689" w:type="dxa"/>
            <w:tcBorders>
              <w:top w:val="nil"/>
              <w:left w:val="nil"/>
              <w:bottom w:val="single" w:color="000000" w:sz="4" w:space="0"/>
              <w:right w:val="nil"/>
            </w:tcBorders>
            <w:shd w:val="clear" w:color="000000" w:fill="DEEAF6"/>
            <w:hideMark/>
          </w:tcPr>
          <w:p w:rsidRPr="00870A68" w:rsidR="00870A68" w:rsidP="00870A68" w:rsidRDefault="00870A68" w14:paraId="65B25076" w14:textId="77777777">
            <w:pPr>
              <w:widowControl/>
              <w:autoSpaceDE/>
              <w:autoSpaceDN/>
              <w:adjustRightInd/>
              <w:ind w:firstLine="1000" w:firstLineChars="500"/>
              <w:rPr>
                <w:b/>
                <w:bCs/>
                <w:sz w:val="20"/>
                <w:szCs w:val="20"/>
              </w:rPr>
            </w:pPr>
            <w:r w:rsidRPr="00870A68">
              <w:rPr>
                <w:b/>
                <w:bCs/>
                <w:sz w:val="20"/>
                <w:szCs w:val="20"/>
              </w:rPr>
              <w:t>Needs and Uses</w:t>
            </w:r>
          </w:p>
        </w:tc>
      </w:tr>
      <w:tr w:rsidRPr="00870A68" w:rsidR="00870A68" w:rsidTr="00870A68" w14:paraId="56A7C03D" w14:textId="77777777">
        <w:trPr>
          <w:trHeight w:val="780"/>
        </w:trPr>
        <w:tc>
          <w:tcPr>
            <w:tcW w:w="617" w:type="dxa"/>
            <w:tcBorders>
              <w:top w:val="nil"/>
              <w:left w:val="nil"/>
              <w:bottom w:val="single" w:color="000000" w:sz="4" w:space="0"/>
              <w:right w:val="single" w:color="000000" w:sz="4" w:space="0"/>
            </w:tcBorders>
            <w:shd w:val="clear" w:color="auto" w:fill="auto"/>
            <w:hideMark/>
          </w:tcPr>
          <w:p w:rsidRPr="00870A68" w:rsidR="00870A68" w:rsidP="00870A68" w:rsidRDefault="00870A68" w14:paraId="3128E83F" w14:textId="77777777">
            <w:pPr>
              <w:widowControl/>
              <w:autoSpaceDE/>
              <w:autoSpaceDN/>
              <w:adjustRightInd/>
              <w:jc w:val="center"/>
              <w:rPr>
                <w:sz w:val="20"/>
                <w:szCs w:val="20"/>
              </w:rPr>
            </w:pPr>
            <w:r w:rsidRPr="00870A68">
              <w:rPr>
                <w:sz w:val="20"/>
                <w:szCs w:val="20"/>
              </w:rPr>
              <w:t>1</w:t>
            </w:r>
          </w:p>
        </w:tc>
        <w:tc>
          <w:tcPr>
            <w:tcW w:w="2445" w:type="dxa"/>
            <w:tcBorders>
              <w:top w:val="nil"/>
              <w:left w:val="nil"/>
              <w:bottom w:val="single" w:color="000000" w:sz="4" w:space="0"/>
              <w:right w:val="single" w:color="000000" w:sz="4" w:space="0"/>
            </w:tcBorders>
            <w:shd w:val="clear" w:color="auto" w:fill="auto"/>
            <w:hideMark/>
          </w:tcPr>
          <w:p w:rsidRPr="00870A68" w:rsidR="00870A68" w:rsidP="00870A68" w:rsidRDefault="00870A68" w14:paraId="09628CE3" w14:textId="77777777">
            <w:pPr>
              <w:widowControl/>
              <w:autoSpaceDE/>
              <w:autoSpaceDN/>
              <w:adjustRightInd/>
              <w:jc w:val="center"/>
              <w:rPr>
                <w:sz w:val="20"/>
                <w:szCs w:val="20"/>
              </w:rPr>
            </w:pPr>
            <w:r w:rsidRPr="00870A68">
              <w:rPr>
                <w:sz w:val="20"/>
                <w:szCs w:val="20"/>
              </w:rPr>
              <w:t>Limited Access Death Master File Attestation Form</w:t>
            </w:r>
          </w:p>
        </w:tc>
        <w:tc>
          <w:tcPr>
            <w:tcW w:w="1614" w:type="dxa"/>
            <w:tcBorders>
              <w:top w:val="nil"/>
              <w:left w:val="nil"/>
              <w:bottom w:val="single" w:color="000000" w:sz="4" w:space="0"/>
              <w:right w:val="single" w:color="000000" w:sz="4" w:space="0"/>
            </w:tcBorders>
            <w:shd w:val="clear" w:color="auto" w:fill="auto"/>
            <w:hideMark/>
          </w:tcPr>
          <w:p w:rsidRPr="00870A68" w:rsidR="00870A68" w:rsidP="00AC16A4" w:rsidRDefault="00705444" w14:paraId="24C38555" w14:textId="659455CB">
            <w:pPr>
              <w:widowControl/>
              <w:autoSpaceDE/>
              <w:autoSpaceDN/>
              <w:adjustRightInd/>
              <w:rPr>
                <w:sz w:val="20"/>
                <w:szCs w:val="20"/>
              </w:rPr>
            </w:pPr>
            <w:r w:rsidRPr="00AC16A4">
              <w:rPr>
                <w:sz w:val="20"/>
                <w:szCs w:val="20"/>
              </w:rPr>
              <w:t>Section 203 of the Bipartisan Budget Act of 2013</w:t>
            </w:r>
            <w:r>
              <w:t xml:space="preserve"> </w:t>
            </w:r>
          </w:p>
        </w:tc>
        <w:tc>
          <w:tcPr>
            <w:tcW w:w="2546" w:type="dxa"/>
            <w:tcBorders>
              <w:top w:val="nil"/>
              <w:left w:val="nil"/>
              <w:bottom w:val="single" w:color="000000" w:sz="4" w:space="0"/>
              <w:right w:val="single" w:color="000000" w:sz="4" w:space="0"/>
            </w:tcBorders>
            <w:shd w:val="clear" w:color="auto" w:fill="auto"/>
            <w:hideMark/>
          </w:tcPr>
          <w:p w:rsidRPr="00870A68" w:rsidR="00870A68" w:rsidP="00870A68" w:rsidRDefault="00870A68" w14:paraId="7BDECF70" w14:textId="77777777">
            <w:pPr>
              <w:widowControl/>
              <w:autoSpaceDE/>
              <w:autoSpaceDN/>
              <w:adjustRightInd/>
              <w:jc w:val="center"/>
              <w:rPr>
                <w:sz w:val="20"/>
                <w:szCs w:val="20"/>
              </w:rPr>
            </w:pPr>
            <w:r w:rsidRPr="00870A68">
              <w:rPr>
                <w:sz w:val="20"/>
                <w:szCs w:val="20"/>
              </w:rPr>
              <w:t>15 CFR Part 1110</w:t>
            </w:r>
          </w:p>
        </w:tc>
        <w:tc>
          <w:tcPr>
            <w:tcW w:w="1709" w:type="dxa"/>
            <w:tcBorders>
              <w:top w:val="nil"/>
              <w:left w:val="nil"/>
              <w:bottom w:val="single" w:color="000000" w:sz="4" w:space="0"/>
              <w:right w:val="single" w:color="000000" w:sz="4" w:space="0"/>
            </w:tcBorders>
            <w:shd w:val="clear" w:color="auto" w:fill="auto"/>
            <w:hideMark/>
          </w:tcPr>
          <w:p w:rsidRPr="00870A68" w:rsidR="00870A68" w:rsidP="00870A68" w:rsidRDefault="00870A68" w14:paraId="2DC8F96B" w14:textId="77777777">
            <w:pPr>
              <w:widowControl/>
              <w:autoSpaceDE/>
              <w:autoSpaceDN/>
              <w:adjustRightInd/>
              <w:jc w:val="center"/>
              <w:rPr>
                <w:sz w:val="20"/>
                <w:szCs w:val="20"/>
              </w:rPr>
            </w:pPr>
            <w:r w:rsidRPr="00870A68">
              <w:rPr>
                <w:sz w:val="20"/>
                <w:szCs w:val="20"/>
              </w:rPr>
              <w:t>FM100A and B</w:t>
            </w:r>
          </w:p>
        </w:tc>
        <w:tc>
          <w:tcPr>
            <w:tcW w:w="1689" w:type="dxa"/>
            <w:tcBorders>
              <w:top w:val="nil"/>
              <w:left w:val="nil"/>
              <w:bottom w:val="single" w:color="000000" w:sz="4" w:space="0"/>
              <w:right w:val="nil"/>
            </w:tcBorders>
            <w:shd w:val="clear" w:color="auto" w:fill="auto"/>
            <w:hideMark/>
          </w:tcPr>
          <w:p w:rsidRPr="00870A68" w:rsidR="00870A68" w:rsidP="00870A68" w:rsidRDefault="00705444" w14:paraId="12154FEC" w14:textId="507E2475">
            <w:pPr>
              <w:widowControl/>
              <w:autoSpaceDE/>
              <w:autoSpaceDN/>
              <w:adjustRightInd/>
              <w:rPr>
                <w:sz w:val="20"/>
                <w:szCs w:val="20"/>
              </w:rPr>
            </w:pPr>
            <w:r>
              <w:rPr>
                <w:sz w:val="20"/>
                <w:szCs w:val="20"/>
              </w:rPr>
              <w:t>To ensure conformity with requirements of an</w:t>
            </w:r>
            <w:r w:rsidRPr="00870A68" w:rsidR="00870A68">
              <w:rPr>
                <w:sz w:val="20"/>
                <w:szCs w:val="20"/>
              </w:rPr>
              <w:t xml:space="preserve"> establish</w:t>
            </w:r>
            <w:r>
              <w:rPr>
                <w:sz w:val="20"/>
                <w:szCs w:val="20"/>
              </w:rPr>
              <w:t>ed</w:t>
            </w:r>
            <w:r w:rsidRPr="00870A68" w:rsidR="00870A68">
              <w:rPr>
                <w:sz w:val="20"/>
                <w:szCs w:val="20"/>
              </w:rPr>
              <w:t xml:space="preserve"> program through which persons may become eligible to obtain access to Death Master File (DMF)</w:t>
            </w:r>
          </w:p>
        </w:tc>
      </w:tr>
    </w:tbl>
    <w:p w:rsidR="00870A68" w:rsidP="00353349" w:rsidRDefault="00870A68" w14:paraId="0777A16E" w14:textId="18C3C79E">
      <w:pPr>
        <w:rPr>
          <w:b/>
          <w:bCs/>
          <w:u w:val="single"/>
        </w:rPr>
      </w:pPr>
    </w:p>
    <w:p w:rsidR="005F149F" w:rsidP="00353349" w:rsidRDefault="005F149F" w14:paraId="61FD4104" w14:textId="77777777"/>
    <w:p w:rsidR="00B9186E" w:rsidP="00B9186E" w:rsidRDefault="00CC3CD3" w14:paraId="54097439" w14:textId="25EEF1B9">
      <w:pPr>
        <w:widowControl/>
        <w:rPr>
          <w:bCs/>
        </w:rPr>
      </w:pPr>
      <w:r>
        <w:t xml:space="preserve">The </w:t>
      </w:r>
      <w:r w:rsidR="00B9186E">
        <w:t xml:space="preserve">information collected </w:t>
      </w:r>
      <w:r w:rsidR="00405C86">
        <w:t xml:space="preserve">was and </w:t>
      </w:r>
      <w:r w:rsidR="00B9186E">
        <w:t xml:space="preserve">will be used by </w:t>
      </w:r>
      <w:r w:rsidR="00B9186E">
        <w:rPr>
          <w:bCs/>
        </w:rPr>
        <w:t>NTIS to evaluate whether a particular Person or Certified Person has the requisite systems, facilities and procedures in place</w:t>
      </w:r>
      <w:r w:rsidRPr="00DC7392" w:rsidR="00B9186E">
        <w:rPr>
          <w:bCs/>
        </w:rPr>
        <w:t xml:space="preserve"> to protect the security of the Limited Access DMF as required under the final rule</w:t>
      </w:r>
      <w:r w:rsidR="00B9186E">
        <w:rPr>
          <w:bCs/>
        </w:rPr>
        <w:t xml:space="preserve">. The ACAB Systems Safeguards Attestation Form and the AG or IG Systems Safeguards Attestation Form collect information to establish that the Person’s or Certified Person’s systems, facilities and procedures are sufficient to safeguard the Limited Access DMF as required by the final rule.  </w:t>
      </w:r>
      <w:r w:rsidRPr="00440957" w:rsidR="00B9186E">
        <w:rPr>
          <w:bCs/>
        </w:rPr>
        <w:t>The information collected will not be disseminated to the public</w:t>
      </w:r>
      <w:r w:rsidR="00B9186E">
        <w:rPr>
          <w:bCs/>
        </w:rPr>
        <w:t>.</w:t>
      </w:r>
    </w:p>
    <w:p w:rsidR="00B9186E" w:rsidP="00353349" w:rsidRDefault="00B9186E" w14:paraId="685C77D8" w14:textId="77777777"/>
    <w:p w:rsidR="00807C5A" w:rsidP="004042A3" w:rsidRDefault="00807C5A" w14:paraId="60C342BE" w14:textId="73EAFFA2">
      <w:pPr>
        <w:ind w:firstLine="720"/>
      </w:pPr>
    </w:p>
    <w:p w:rsidR="00136E5A" w:rsidRDefault="00136E5A" w14:paraId="1180896D" w14:textId="491F9CE0">
      <w:pPr>
        <w:widowControl/>
      </w:pPr>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sidRPr="00A56F52" w:rsidR="001474DA">
        <w:rPr>
          <w:b/>
          <w:bCs/>
          <w:u w:val="single"/>
        </w:rPr>
        <w:t>, e.g. permitting electronic submission of responses, and the basis for the decision for adopting this means of collection.  Also, describe any consideration of using information technology to reduce burden.</w:t>
      </w:r>
    </w:p>
    <w:p w:rsidR="00EB28DF" w:rsidRDefault="00EB28DF" w14:paraId="0B24CFF3" w14:textId="77777777">
      <w:pPr>
        <w:widowControl/>
      </w:pPr>
    </w:p>
    <w:p w:rsidR="00136E5A" w:rsidRDefault="009E1EEC" w14:paraId="1E4A5D58" w14:textId="77777777">
      <w:pPr>
        <w:widowControl/>
      </w:pPr>
      <w:r>
        <w:t xml:space="preserve">NTIS </w:t>
      </w:r>
      <w:r w:rsidR="008C3C4E">
        <w:t xml:space="preserve">has </w:t>
      </w:r>
      <w:r w:rsidR="00654276">
        <w:t>fillable version</w:t>
      </w:r>
      <w:r w:rsidR="008C3C4E">
        <w:t>s</w:t>
      </w:r>
      <w:r w:rsidR="00654276">
        <w:t xml:space="preserve"> of </w:t>
      </w:r>
      <w:r>
        <w:t xml:space="preserve">the ACAB </w:t>
      </w:r>
      <w:r w:rsidR="00EB28DF">
        <w:t xml:space="preserve">Systems </w:t>
      </w:r>
      <w:r>
        <w:t>Safeguards Attestation Form and the AG</w:t>
      </w:r>
      <w:r w:rsidR="00EB28DF">
        <w:t xml:space="preserve"> or </w:t>
      </w:r>
      <w:r>
        <w:t xml:space="preserve">IG </w:t>
      </w:r>
      <w:r w:rsidR="00EB28DF">
        <w:t xml:space="preserve">Systems </w:t>
      </w:r>
      <w:r>
        <w:t>Safeguards Attestation Form</w:t>
      </w:r>
      <w:r w:rsidR="008C3C4E">
        <w:t>, as currently approved,</w:t>
      </w:r>
      <w:r>
        <w:t xml:space="preserve"> available on its website.  NTIS encourages Persons and Certified Persons to make use of the</w:t>
      </w:r>
      <w:r w:rsidR="00654276">
        <w:t xml:space="preserve"> fillable</w:t>
      </w:r>
      <w:r>
        <w:t xml:space="preserve"> online form</w:t>
      </w:r>
      <w:r w:rsidR="00654276">
        <w:t>s</w:t>
      </w:r>
      <w:r>
        <w:t>, but will continue to accept forms submitted through other means, including fax, mail or as email attachments.</w:t>
      </w:r>
    </w:p>
    <w:p w:rsidR="00580507" w:rsidRDefault="00580507" w14:paraId="25EBB80F" w14:textId="77777777">
      <w:pPr>
        <w:widowControl/>
      </w:pPr>
    </w:p>
    <w:p w:rsidRPr="00A56F52" w:rsidR="00136E5A" w:rsidRDefault="00136E5A" w14:paraId="5F00EF0A" w14:textId="7B5BC4FB">
      <w:pPr>
        <w:widowControl/>
        <w:rPr>
          <w:b/>
          <w:bCs/>
          <w:u w:val="single"/>
        </w:rPr>
      </w:pPr>
      <w:r>
        <w:rPr>
          <w:b/>
          <w:bCs/>
        </w:rPr>
        <w:t xml:space="preserve">4.  </w:t>
      </w:r>
      <w:r>
        <w:rPr>
          <w:b/>
          <w:bCs/>
          <w:u w:val="single"/>
        </w:rPr>
        <w:t>Describe efforts to identify duplication</w:t>
      </w:r>
      <w:r w:rsidRPr="00A56F52">
        <w:rPr>
          <w:b/>
          <w:bCs/>
          <w:u w:val="single"/>
        </w:rPr>
        <w:t>.</w:t>
      </w:r>
      <w:r w:rsidRPr="00A56F52" w:rsidR="001474DA">
        <w:rPr>
          <w:b/>
          <w:bCs/>
          <w:u w:val="single"/>
        </w:rPr>
        <w:t xml:space="preserve"> Show specifically why any similar information already available cannot be used or modified for use for the purposes described in Question 2. </w:t>
      </w:r>
    </w:p>
    <w:p w:rsidR="000F7D5F" w:rsidRDefault="000F7D5F" w14:paraId="41DF396F" w14:textId="77777777">
      <w:pPr>
        <w:widowControl/>
        <w:rPr>
          <w:b/>
          <w:bCs/>
        </w:rPr>
      </w:pPr>
    </w:p>
    <w:p w:rsidRPr="00440957" w:rsidR="00136E5A" w:rsidRDefault="000F7D5F" w14:paraId="2BAB3942" w14:textId="77777777">
      <w:pPr>
        <w:widowControl/>
      </w:pPr>
      <w:r w:rsidRPr="00440957">
        <w:rPr>
          <w:bCs/>
        </w:rPr>
        <w:t xml:space="preserve">The </w:t>
      </w:r>
      <w:r w:rsidR="00B12119">
        <w:rPr>
          <w:bCs/>
        </w:rPr>
        <w:t xml:space="preserve">attestations </w:t>
      </w:r>
      <w:r w:rsidR="00E132DD">
        <w:rPr>
          <w:bCs/>
        </w:rPr>
        <w:t>and supporting information collected via</w:t>
      </w:r>
      <w:r w:rsidR="008777F3">
        <w:rPr>
          <w:bCs/>
        </w:rPr>
        <w:t xml:space="preserve"> the </w:t>
      </w:r>
      <w:r w:rsidRPr="00DC7392" w:rsidR="00DC7392">
        <w:rPr>
          <w:bCs/>
        </w:rPr>
        <w:t xml:space="preserve">ACAB </w:t>
      </w:r>
      <w:r w:rsidR="00EB28DF">
        <w:rPr>
          <w:bCs/>
        </w:rPr>
        <w:t xml:space="preserve">Systems </w:t>
      </w:r>
      <w:r w:rsidR="00B12119">
        <w:t xml:space="preserve">Safeguards Attestation Form </w:t>
      </w:r>
      <w:r w:rsidRPr="00DC7392" w:rsidR="00DC7392">
        <w:rPr>
          <w:bCs/>
        </w:rPr>
        <w:t>and AG</w:t>
      </w:r>
      <w:r w:rsidR="00EB28DF">
        <w:rPr>
          <w:bCs/>
        </w:rPr>
        <w:t xml:space="preserve"> or </w:t>
      </w:r>
      <w:r w:rsidRPr="00DC7392" w:rsidR="00DC7392">
        <w:rPr>
          <w:bCs/>
        </w:rPr>
        <w:t xml:space="preserve">IG </w:t>
      </w:r>
      <w:r w:rsidR="00EB28DF">
        <w:rPr>
          <w:bCs/>
        </w:rPr>
        <w:t xml:space="preserve">Systems </w:t>
      </w:r>
      <w:r w:rsidR="00CE36B9">
        <w:rPr>
          <w:bCs/>
        </w:rPr>
        <w:t xml:space="preserve">Safeguards </w:t>
      </w:r>
      <w:r w:rsidR="00D348AF">
        <w:rPr>
          <w:bCs/>
        </w:rPr>
        <w:t xml:space="preserve">Attestation </w:t>
      </w:r>
      <w:r w:rsidR="008777F3">
        <w:rPr>
          <w:bCs/>
        </w:rPr>
        <w:t>Form are unique to this program,</w:t>
      </w:r>
      <w:r w:rsidRPr="00440957">
        <w:rPr>
          <w:bCs/>
        </w:rPr>
        <w:t xml:space="preserve"> as the </w:t>
      </w:r>
      <w:r w:rsidR="00B12119">
        <w:rPr>
          <w:bCs/>
        </w:rPr>
        <w:t xml:space="preserve">attestations </w:t>
      </w:r>
      <w:r w:rsidR="008777F3">
        <w:rPr>
          <w:bCs/>
        </w:rPr>
        <w:t xml:space="preserve">are related to requirements set forth in </w:t>
      </w:r>
      <w:r w:rsidRPr="00440957">
        <w:rPr>
          <w:bCs/>
        </w:rPr>
        <w:t>the legislation</w:t>
      </w:r>
      <w:r w:rsidRPr="00440957" w:rsidR="009A68EB">
        <w:rPr>
          <w:bCs/>
        </w:rPr>
        <w:t xml:space="preserve"> </w:t>
      </w:r>
      <w:r w:rsidR="00347CC8">
        <w:rPr>
          <w:bCs/>
        </w:rPr>
        <w:t xml:space="preserve">and regulations </w:t>
      </w:r>
      <w:r w:rsidR="008777F3">
        <w:rPr>
          <w:bCs/>
        </w:rPr>
        <w:t>s</w:t>
      </w:r>
      <w:r w:rsidRPr="00440957" w:rsidR="009A68EB">
        <w:rPr>
          <w:bCs/>
        </w:rPr>
        <w:t>pecific to this program</w:t>
      </w:r>
      <w:r w:rsidRPr="00440957">
        <w:rPr>
          <w:bCs/>
        </w:rPr>
        <w:t>.</w:t>
      </w:r>
    </w:p>
    <w:p w:rsidR="00136E5A" w:rsidRDefault="00136E5A" w14:paraId="62C05BF6" w14:textId="77777777">
      <w:pPr>
        <w:widowControl/>
      </w:pPr>
    </w:p>
    <w:p w:rsidR="00136E5A" w:rsidRDefault="00136E5A" w14:paraId="0894D50C" w14:textId="77777777">
      <w:pPr>
        <w:widowControl/>
      </w:pPr>
    </w:p>
    <w:p w:rsidR="00136E5A" w:rsidRDefault="00136E5A" w14:paraId="50BDD752" w14:textId="77777777">
      <w:pPr>
        <w:widowControl/>
      </w:pPr>
      <w:r>
        <w:rPr>
          <w:b/>
          <w:bCs/>
        </w:rPr>
        <w:t xml:space="preserve">5.  </w:t>
      </w:r>
      <w:r>
        <w:rPr>
          <w:b/>
          <w:bCs/>
          <w:u w:val="single"/>
        </w:rPr>
        <w:t>If the collection of information involves small businesses or other small entities, describe the methods used to minimize burden</w:t>
      </w:r>
      <w:r>
        <w:rPr>
          <w:b/>
          <w:bCs/>
        </w:rPr>
        <w:t>.</w:t>
      </w:r>
      <w:r>
        <w:t xml:space="preserve"> </w:t>
      </w:r>
    </w:p>
    <w:p w:rsidR="000F7D5F" w:rsidRDefault="000F7D5F" w14:paraId="1DFA33D7" w14:textId="77777777">
      <w:pPr>
        <w:widowControl/>
      </w:pPr>
    </w:p>
    <w:p w:rsidR="00FA4CB2" w:rsidRDefault="000F7D5F" w14:paraId="22A38AC9" w14:textId="77777777">
      <w:pPr>
        <w:widowControl/>
        <w:rPr>
          <w:rFonts w:cs="Calibri"/>
        </w:rPr>
      </w:pPr>
      <w:r>
        <w:t>Small businesses or other small entities may submit</w:t>
      </w:r>
      <w:r w:rsidR="008777F3">
        <w:t xml:space="preserve"> </w:t>
      </w:r>
      <w:r w:rsidR="00DC7392">
        <w:t xml:space="preserve">ACAB </w:t>
      </w:r>
      <w:r w:rsidR="00EB28DF">
        <w:t xml:space="preserve">Systems </w:t>
      </w:r>
      <w:r w:rsidR="00F34619">
        <w:t xml:space="preserve">Safeguards Attestation Forms </w:t>
      </w:r>
      <w:r w:rsidR="00DC7392">
        <w:t>and AG</w:t>
      </w:r>
      <w:r w:rsidR="00EB28DF">
        <w:t xml:space="preserve"> or </w:t>
      </w:r>
      <w:r w:rsidR="00DC7392">
        <w:t xml:space="preserve">IG </w:t>
      </w:r>
      <w:r w:rsidR="00EB28DF">
        <w:t xml:space="preserve">Systems </w:t>
      </w:r>
      <w:r w:rsidR="00DC7392">
        <w:t xml:space="preserve">Safeguards </w:t>
      </w:r>
      <w:r w:rsidR="00D348AF">
        <w:t xml:space="preserve">Attestation </w:t>
      </w:r>
      <w:r w:rsidRPr="008777F3" w:rsidR="008777F3">
        <w:t>Forms</w:t>
      </w:r>
      <w:r w:rsidR="008777F3">
        <w:t>, b</w:t>
      </w:r>
      <w:r w:rsidR="00724220">
        <w:t xml:space="preserve">ut </w:t>
      </w:r>
      <w:r w:rsidRPr="00724220" w:rsidR="00724220">
        <w:rPr>
          <w:rFonts w:cs="Calibri"/>
        </w:rPr>
        <w:t>NTIS lacks information about the types and sizes of entities impacted by th</w:t>
      </w:r>
      <w:r w:rsidR="00724220">
        <w:rPr>
          <w:rFonts w:cs="Calibri"/>
        </w:rPr>
        <w:t>e</w:t>
      </w:r>
      <w:r w:rsidRPr="00724220" w:rsidR="00724220">
        <w:rPr>
          <w:rFonts w:cs="Calibri"/>
        </w:rPr>
        <w:t xml:space="preserve"> rule</w:t>
      </w:r>
      <w:r>
        <w:t xml:space="preserve">.  NTIS </w:t>
      </w:r>
      <w:r w:rsidR="00724220">
        <w:t>included in its notice of proposed rulemaking</w:t>
      </w:r>
      <w:r>
        <w:t xml:space="preserve"> a </w:t>
      </w:r>
      <w:r w:rsidR="00724220">
        <w:t>r</w:t>
      </w:r>
      <w:r>
        <w:t xml:space="preserve">equest for </w:t>
      </w:r>
      <w:r w:rsidR="00724220">
        <w:t>i</w:t>
      </w:r>
      <w:r>
        <w:t xml:space="preserve">nformation </w:t>
      </w:r>
      <w:r w:rsidR="00724220">
        <w:t>from</w:t>
      </w:r>
      <w:r w:rsidR="00163A63">
        <w:t xml:space="preserve"> </w:t>
      </w:r>
      <w:r w:rsidRPr="00724220" w:rsidR="00724220">
        <w:rPr>
          <w:rFonts w:cs="Calibri"/>
        </w:rPr>
        <w:t>the public about the types of entities impacted by this rule, whether those are small or large entities under SBA’s size standards, and the level of or a description of the type of impacts that th</w:t>
      </w:r>
      <w:r w:rsidR="00724220">
        <w:rPr>
          <w:rFonts w:cs="Calibri"/>
        </w:rPr>
        <w:t>e</w:t>
      </w:r>
      <w:r w:rsidRPr="00724220" w:rsidR="00724220">
        <w:rPr>
          <w:rFonts w:cs="Calibri"/>
        </w:rPr>
        <w:t xml:space="preserve"> rule will have on those entities</w:t>
      </w:r>
      <w:r w:rsidR="00724220">
        <w:rPr>
          <w:rFonts w:cs="Calibri"/>
        </w:rPr>
        <w:t xml:space="preserve">.  </w:t>
      </w:r>
      <w:r w:rsidR="00651A22">
        <w:rPr>
          <w:rFonts w:cs="Calibri"/>
        </w:rPr>
        <w:t xml:space="preserve">NTIS received a few comments addressing these issues.  </w:t>
      </w:r>
      <w:r w:rsidR="003E20EA">
        <w:rPr>
          <w:rFonts w:cs="Calibri"/>
        </w:rPr>
        <w:t>These</w:t>
      </w:r>
      <w:r w:rsidR="007E5C05">
        <w:rPr>
          <w:rFonts w:cs="Calibri"/>
        </w:rPr>
        <w:t xml:space="preserve"> comments </w:t>
      </w:r>
      <w:r w:rsidR="00103C4C">
        <w:rPr>
          <w:rFonts w:cs="Calibri"/>
        </w:rPr>
        <w:t xml:space="preserve">were </w:t>
      </w:r>
      <w:r w:rsidR="003E20EA">
        <w:rPr>
          <w:rFonts w:cs="Calibri"/>
        </w:rPr>
        <w:t xml:space="preserve">taken into consideration in </w:t>
      </w:r>
      <w:r w:rsidR="008777F3">
        <w:rPr>
          <w:rFonts w:cs="Calibri"/>
        </w:rPr>
        <w:t xml:space="preserve">drafting the </w:t>
      </w:r>
      <w:r w:rsidR="00A86E32">
        <w:rPr>
          <w:rFonts w:cs="Calibri"/>
        </w:rPr>
        <w:t xml:space="preserve">ACAB </w:t>
      </w:r>
      <w:r w:rsidR="00EB28DF">
        <w:rPr>
          <w:rFonts w:cs="Calibri"/>
        </w:rPr>
        <w:t xml:space="preserve">Systems </w:t>
      </w:r>
      <w:r w:rsidR="00D4250F">
        <w:t xml:space="preserve">Safeguards Attestation Form </w:t>
      </w:r>
      <w:r w:rsidR="00A86E32">
        <w:rPr>
          <w:rFonts w:cs="Calibri"/>
        </w:rPr>
        <w:t>and AG</w:t>
      </w:r>
      <w:r w:rsidR="00EB28DF">
        <w:rPr>
          <w:rFonts w:cs="Calibri"/>
        </w:rPr>
        <w:t xml:space="preserve"> or </w:t>
      </w:r>
      <w:r w:rsidR="00A86E32">
        <w:rPr>
          <w:rFonts w:cs="Calibri"/>
        </w:rPr>
        <w:t xml:space="preserve">IG </w:t>
      </w:r>
      <w:r w:rsidR="00EB28DF">
        <w:rPr>
          <w:rFonts w:cs="Calibri"/>
        </w:rPr>
        <w:t xml:space="preserve">Systems </w:t>
      </w:r>
      <w:r w:rsidR="00CE36B9">
        <w:rPr>
          <w:rFonts w:cs="Calibri"/>
        </w:rPr>
        <w:t xml:space="preserve">Safeguards </w:t>
      </w:r>
      <w:r w:rsidR="00D348AF">
        <w:rPr>
          <w:rFonts w:cs="Calibri"/>
        </w:rPr>
        <w:t xml:space="preserve">Attestation </w:t>
      </w:r>
      <w:r w:rsidR="008777F3">
        <w:rPr>
          <w:rFonts w:cs="Calibri"/>
        </w:rPr>
        <w:t>Form.</w:t>
      </w:r>
    </w:p>
    <w:p w:rsidR="008777F3" w:rsidRDefault="008777F3" w14:paraId="77100607" w14:textId="77777777">
      <w:pPr>
        <w:widowControl/>
      </w:pPr>
    </w:p>
    <w:p w:rsidR="00AA4B59" w:rsidP="00AA4B59" w:rsidRDefault="00AA4B59" w14:paraId="3CC41F8C" w14:textId="77777777">
      <w:r>
        <w:rPr>
          <w:rFonts w:cs="Calibri"/>
        </w:rPr>
        <w:t>The</w:t>
      </w:r>
      <w:r w:rsidRPr="00DC7392" w:rsidR="00DC7392">
        <w:t xml:space="preserve"> </w:t>
      </w:r>
      <w:r w:rsidRPr="00DC7392" w:rsidR="00DC7392">
        <w:rPr>
          <w:rFonts w:cs="Calibri"/>
        </w:rPr>
        <w:t xml:space="preserve">ACAB </w:t>
      </w:r>
      <w:r w:rsidR="00EB28DF">
        <w:rPr>
          <w:rFonts w:cs="Calibri"/>
        </w:rPr>
        <w:t xml:space="preserve">Systems </w:t>
      </w:r>
      <w:r w:rsidR="00D4250F">
        <w:t xml:space="preserve">Safeguards Attestation Form </w:t>
      </w:r>
      <w:r w:rsidRPr="00DC7392" w:rsidR="00DC7392">
        <w:rPr>
          <w:rFonts w:cs="Calibri"/>
        </w:rPr>
        <w:t xml:space="preserve">and </w:t>
      </w:r>
      <w:r w:rsidR="00EB28DF">
        <w:rPr>
          <w:rFonts w:cs="Calibri"/>
        </w:rPr>
        <w:t xml:space="preserve">the </w:t>
      </w:r>
      <w:r w:rsidRPr="00DC7392" w:rsidR="00DC7392">
        <w:rPr>
          <w:rFonts w:cs="Calibri"/>
        </w:rPr>
        <w:t>AG</w:t>
      </w:r>
      <w:r w:rsidR="00EB28DF">
        <w:rPr>
          <w:rFonts w:cs="Calibri"/>
        </w:rPr>
        <w:t xml:space="preserve"> or </w:t>
      </w:r>
      <w:r w:rsidRPr="00DC7392" w:rsidR="00DC7392">
        <w:rPr>
          <w:rFonts w:cs="Calibri"/>
        </w:rPr>
        <w:t>IG</w:t>
      </w:r>
      <w:r>
        <w:rPr>
          <w:rFonts w:cs="Calibri"/>
        </w:rPr>
        <w:t xml:space="preserve"> </w:t>
      </w:r>
      <w:r w:rsidR="00EB28DF">
        <w:rPr>
          <w:rFonts w:cs="Calibri"/>
        </w:rPr>
        <w:t xml:space="preserve">Systems </w:t>
      </w:r>
      <w:r w:rsidR="00CE36B9">
        <w:rPr>
          <w:rFonts w:cs="Calibri"/>
        </w:rPr>
        <w:t xml:space="preserve">Safeguards </w:t>
      </w:r>
      <w:r w:rsidR="00D348AF">
        <w:rPr>
          <w:rFonts w:cs="Calibri"/>
        </w:rPr>
        <w:t xml:space="preserve">Attestation </w:t>
      </w:r>
      <w:r w:rsidRPr="008777F3" w:rsidR="008777F3">
        <w:rPr>
          <w:rFonts w:cs="Calibri"/>
        </w:rPr>
        <w:t xml:space="preserve">Form </w:t>
      </w:r>
      <w:r>
        <w:rPr>
          <w:rFonts w:cs="Calibri"/>
        </w:rPr>
        <w:t>collect only information necessary for NTIS to conduct the program.</w:t>
      </w:r>
    </w:p>
    <w:p w:rsidR="00AA4B59" w:rsidRDefault="00AA4B59" w14:paraId="4AFB1201" w14:textId="77777777">
      <w:pPr>
        <w:widowControl/>
      </w:pPr>
    </w:p>
    <w:p w:rsidR="00FA4CB2" w:rsidRDefault="00FA4CB2" w14:paraId="1CEE8988" w14:textId="77777777">
      <w:pPr>
        <w:widowControl/>
      </w:pPr>
    </w:p>
    <w:p w:rsidRPr="00A56F52" w:rsidR="00136E5A" w:rsidRDefault="00136E5A" w14:paraId="061EDFBB" w14:textId="68353F26">
      <w:pPr>
        <w:widowControl/>
        <w:rPr>
          <w:u w:val="single"/>
        </w:rPr>
      </w:pPr>
      <w:r>
        <w:rPr>
          <w:b/>
          <w:bCs/>
        </w:rPr>
        <w:t xml:space="preserve">6.  </w:t>
      </w:r>
      <w:r>
        <w:rPr>
          <w:b/>
          <w:bCs/>
          <w:u w:val="single"/>
        </w:rPr>
        <w:t xml:space="preserve">Describe the consequences to the Federal program or policy activities if the collection is not conducted or is conducted </w:t>
      </w:r>
      <w:r w:rsidRPr="000A644C">
        <w:rPr>
          <w:b/>
          <w:bCs/>
          <w:u w:val="single"/>
        </w:rPr>
        <w:t>less frequentl</w:t>
      </w:r>
      <w:r w:rsidRPr="004042A3" w:rsidR="000A644C">
        <w:rPr>
          <w:b/>
          <w:bCs/>
        </w:rPr>
        <w:t>y</w:t>
      </w:r>
      <w:r w:rsidRPr="00A56F52" w:rsidR="000A644C">
        <w:rPr>
          <w:b/>
          <w:bCs/>
          <w:u w:val="single"/>
        </w:rPr>
        <w:t>, as well as any technical or legal obstacles to reducing burden.</w:t>
      </w:r>
      <w:r w:rsidRPr="00A56F52" w:rsidR="000A644C">
        <w:rPr>
          <w:u w:val="single"/>
        </w:rPr>
        <w:t xml:space="preserve"> </w:t>
      </w:r>
    </w:p>
    <w:p w:rsidR="00EB28DF" w:rsidRDefault="00EB28DF" w14:paraId="6979BAAF" w14:textId="77777777">
      <w:pPr>
        <w:widowControl/>
      </w:pPr>
    </w:p>
    <w:p w:rsidR="00DC7392" w:rsidRDefault="00802725" w14:paraId="7DFBBCCA" w14:textId="77777777">
      <w:pPr>
        <w:widowControl/>
      </w:pPr>
      <w:r>
        <w:lastRenderedPageBreak/>
        <w:t xml:space="preserve">Pursuant to </w:t>
      </w:r>
      <w:r w:rsidR="00A16062">
        <w:t>Section 203 of the Act</w:t>
      </w:r>
      <w:r>
        <w:t>, NTIS</w:t>
      </w:r>
      <w:r w:rsidR="008777F3">
        <w:t xml:space="preserve"> must </w:t>
      </w:r>
      <w:r w:rsidR="00231C6C">
        <w:t xml:space="preserve">audit, inspect and </w:t>
      </w:r>
      <w:r w:rsidR="008777F3">
        <w:t>monitor</w:t>
      </w:r>
      <w:r w:rsidR="00231C6C">
        <w:t xml:space="preserve"> persons certified under the program.  This includes determining whether a Person or Certified Person has</w:t>
      </w:r>
      <w:r w:rsidR="00572AAC">
        <w:t xml:space="preserve"> informati</w:t>
      </w:r>
      <w:r w:rsidRPr="008777F3" w:rsidR="008777F3">
        <w:t>on security syste</w:t>
      </w:r>
      <w:r w:rsidR="0073114C">
        <w:t xml:space="preserve">ms, facilities and procedures </w:t>
      </w:r>
      <w:r w:rsidR="00F64D0C">
        <w:t xml:space="preserve">in place </w:t>
      </w:r>
      <w:r w:rsidRPr="008777F3" w:rsidR="008777F3">
        <w:t>to protect the Limited Access DMF</w:t>
      </w:r>
      <w:r w:rsidR="0073114C">
        <w:t xml:space="preserve">.  </w:t>
      </w:r>
      <w:r w:rsidR="00572AAC">
        <w:t>The provision of a written attestation from an ACAB applying a nationally or internationally recognized auditing standard is</w:t>
      </w:r>
      <w:r w:rsidR="00F64D0C">
        <w:t xml:space="preserve"> a critical device</w:t>
      </w:r>
      <w:r w:rsidR="00572AAC">
        <w:t xml:space="preserve"> for ensuring </w:t>
      </w:r>
      <w:r w:rsidR="000128F8">
        <w:t xml:space="preserve">that the Person or Certified Person is in compliance with </w:t>
      </w:r>
      <w:r w:rsidR="00572AAC">
        <w:t>th</w:t>
      </w:r>
      <w:r w:rsidR="00F64D0C">
        <w:t>e Limited Access DMF</w:t>
      </w:r>
      <w:r w:rsidR="00572AAC">
        <w:t xml:space="preserve"> safeguarding requirement.  </w:t>
      </w:r>
      <w:r w:rsidRPr="009E1EEC" w:rsidR="009E1EEC">
        <w:t>Section 1110.501(a)(2) provides that a state or local government office of AG or IG and a Person or Certified Person that is a department or agency of the same state or local government, respectively, are not considered to be owned by a common “parent” entity under Section 1110.501(a)(1)(ii) for the purpose of determining independence, and attestation by the AG or IG is possible</w:t>
      </w:r>
      <w:r w:rsidR="009E1EEC">
        <w:t xml:space="preserve">.  </w:t>
      </w:r>
      <w:r w:rsidR="00EF0D95">
        <w:t xml:space="preserve">In that event, </w:t>
      </w:r>
      <w:r w:rsidR="00DC7392">
        <w:t xml:space="preserve">the </w:t>
      </w:r>
      <w:r w:rsidR="00A86E32">
        <w:t xml:space="preserve">attestation of that state or local AG or IG </w:t>
      </w:r>
      <w:r w:rsidR="00F20EE2">
        <w:t>office may</w:t>
      </w:r>
      <w:r w:rsidR="005F6745">
        <w:t xml:space="preserve"> </w:t>
      </w:r>
      <w:r w:rsidR="00A86E32">
        <w:t xml:space="preserve">similarly serve as a means of ensuring the Person or Certified Person is in compliance with the Limited Access DMF safeguarding requirement.  </w:t>
      </w:r>
      <w:r w:rsidR="0073114C">
        <w:t>NTI</w:t>
      </w:r>
      <w:r w:rsidR="0049074C">
        <w:t>S cannot determine whether a Person or Certified Person satisfies the safeguarding requirement without collecting this information.</w:t>
      </w:r>
      <w:r w:rsidR="00480D79">
        <w:t xml:space="preserve">  </w:t>
      </w:r>
      <w:r w:rsidRPr="005F6745" w:rsidR="005F6745">
        <w:t>Under Section 1110.105(b) of the final rule</w:t>
      </w:r>
      <w:r w:rsidR="005F6745">
        <w:t xml:space="preserve">, all </w:t>
      </w:r>
      <w:r w:rsidR="00480D79">
        <w:t xml:space="preserve">Certified Persons </w:t>
      </w:r>
      <w:r w:rsidR="00F14CFB">
        <w:t xml:space="preserve">seeking renewal of </w:t>
      </w:r>
      <w:r w:rsidR="00F20EE2">
        <w:t>certification must</w:t>
      </w:r>
      <w:r w:rsidRPr="0026042B" w:rsidR="0026042B">
        <w:t xml:space="preserve"> </w:t>
      </w:r>
      <w:r w:rsidR="005F6745">
        <w:t xml:space="preserve">establish </w:t>
      </w:r>
      <w:r w:rsidR="00480D79">
        <w:t xml:space="preserve">their continued compliance with </w:t>
      </w:r>
      <w:r w:rsidR="005F6745">
        <w:t>the safeguarding requirement of</w:t>
      </w:r>
      <w:r w:rsidR="00EF0D95">
        <w:t xml:space="preserve"> </w:t>
      </w:r>
      <w:r w:rsidR="00480D79">
        <w:t>Section 203 of the Act</w:t>
      </w:r>
      <w:r w:rsidR="00EF0D95">
        <w:t xml:space="preserve"> </w:t>
      </w:r>
      <w:r w:rsidR="00A8032F">
        <w:t>once every three years</w:t>
      </w:r>
      <w:r w:rsidR="00EF0D95">
        <w:t xml:space="preserve"> </w:t>
      </w:r>
      <w:r w:rsidRPr="00131E97" w:rsidR="00131E97">
        <w:t xml:space="preserve">either </w:t>
      </w:r>
      <w:r w:rsidR="005F6745">
        <w:t xml:space="preserve">by </w:t>
      </w:r>
      <w:r w:rsidRPr="00131E97" w:rsidR="00131E97">
        <w:t xml:space="preserve">the submission of the written attestation of an ACAB or completion of a satisfactory unscheduled or scheduled audit under Section 1110.201.  </w:t>
      </w:r>
      <w:r w:rsidR="005F6745">
        <w:t>Therefore, un</w:t>
      </w:r>
      <w:r w:rsidRPr="00131E97" w:rsidR="00131E97">
        <w:t>less a Certified Person has completed a satisfacto</w:t>
      </w:r>
      <w:r w:rsidR="005F6745">
        <w:t xml:space="preserve">ry audit under Section 1110.201 in </w:t>
      </w:r>
      <w:r w:rsidR="009B4C98">
        <w:t>the three-</w:t>
      </w:r>
      <w:r w:rsidR="00F20EE2">
        <w:t>year interim</w:t>
      </w:r>
      <w:r w:rsidRPr="00131E97" w:rsidR="00131E97">
        <w:t xml:space="preserve"> the Certified Person must have </w:t>
      </w:r>
      <w:r w:rsidR="004C674C">
        <w:t xml:space="preserve">an </w:t>
      </w:r>
      <w:r w:rsidRPr="00131E97" w:rsidR="00131E97">
        <w:t>ACAB or AG or IG sub</w:t>
      </w:r>
      <w:r w:rsidR="005F6745">
        <w:t>mit a new attestation form within three years</w:t>
      </w:r>
      <w:r w:rsidR="00A8032F">
        <w:t xml:space="preserve"> of the previously submitted attestation.</w:t>
      </w:r>
    </w:p>
    <w:p w:rsidR="00C800DB" w:rsidRDefault="00C800DB" w14:paraId="3D867CD5" w14:textId="77777777">
      <w:pPr>
        <w:widowControl/>
      </w:pPr>
    </w:p>
    <w:p w:rsidR="00C800DB" w:rsidRDefault="00C800DB" w14:paraId="6B6FBD23" w14:textId="77777777">
      <w:pPr>
        <w:widowControl/>
      </w:pPr>
      <w:r>
        <w:t>If NTIS did not collect this information or collected it less frequently, it would not be able to ensure compliance with Section 203 of the Act or the implementing regulations.</w:t>
      </w:r>
    </w:p>
    <w:p w:rsidR="00DC7392" w:rsidRDefault="00DC7392" w14:paraId="38B7C5AD" w14:textId="77777777">
      <w:pPr>
        <w:widowControl/>
      </w:pPr>
    </w:p>
    <w:p w:rsidR="002870B2" w:rsidRDefault="002870B2" w14:paraId="7D274F4B" w14:textId="77777777">
      <w:pPr>
        <w:widowControl/>
        <w:rPr>
          <w:b/>
          <w:bCs/>
        </w:rPr>
      </w:pPr>
    </w:p>
    <w:p w:rsidR="00136E5A" w:rsidRDefault="00136E5A" w14:paraId="6819DB17" w14:textId="77777777">
      <w:pPr>
        <w:widowControl/>
        <w:rPr>
          <w:b/>
          <w:bCs/>
        </w:rPr>
      </w:pPr>
      <w:r>
        <w:rPr>
          <w:b/>
          <w:bCs/>
        </w:rPr>
        <w:t xml:space="preserve">7.  </w:t>
      </w:r>
      <w:r>
        <w:rPr>
          <w:b/>
          <w:bCs/>
          <w:u w:val="single"/>
        </w:rPr>
        <w:t>Explain any special circumstances that require the collection to be conducted in a manner inconsistent with OMB guidelines</w:t>
      </w:r>
      <w:r>
        <w:rPr>
          <w:b/>
          <w:bCs/>
        </w:rPr>
        <w:t xml:space="preserve">. </w:t>
      </w:r>
    </w:p>
    <w:p w:rsidR="000F7D5F" w:rsidRDefault="000F7D5F" w14:paraId="42F70275" w14:textId="77777777">
      <w:pPr>
        <w:widowControl/>
        <w:rPr>
          <w:b/>
          <w:bCs/>
        </w:rPr>
      </w:pPr>
    </w:p>
    <w:p w:rsidRPr="00117D5C" w:rsidR="000F7D5F" w:rsidRDefault="00440957" w14:paraId="19261B12" w14:textId="77777777">
      <w:pPr>
        <w:widowControl/>
        <w:rPr>
          <w:bCs/>
        </w:rPr>
      </w:pPr>
      <w:r w:rsidRPr="00117D5C">
        <w:rPr>
          <w:bCs/>
        </w:rPr>
        <w:t>N</w:t>
      </w:r>
      <w:r w:rsidR="00C45558">
        <w:rPr>
          <w:bCs/>
        </w:rPr>
        <w:t xml:space="preserve">ot </w:t>
      </w:r>
      <w:r w:rsidRPr="00117D5C">
        <w:rPr>
          <w:bCs/>
        </w:rPr>
        <w:t>A</w:t>
      </w:r>
      <w:r w:rsidR="00C45558">
        <w:rPr>
          <w:bCs/>
        </w:rPr>
        <w:t>pplicable</w:t>
      </w:r>
      <w:r w:rsidR="00117D5C">
        <w:rPr>
          <w:bCs/>
        </w:rPr>
        <w:t>.</w:t>
      </w:r>
    </w:p>
    <w:p w:rsidR="0069527C" w:rsidRDefault="0069527C" w14:paraId="65E94FD6" w14:textId="77777777">
      <w:pPr>
        <w:widowControl/>
        <w:rPr>
          <w:b/>
          <w:bCs/>
        </w:rPr>
      </w:pPr>
    </w:p>
    <w:p w:rsidR="0069527C" w:rsidRDefault="0069527C" w14:paraId="42A8BDD4" w14:textId="77777777">
      <w:pPr>
        <w:widowControl/>
      </w:pPr>
    </w:p>
    <w:p w:rsidR="00136E5A" w:rsidRDefault="00136E5A" w14:paraId="042A8D46" w14:textId="6530F385">
      <w:pPr>
        <w:widowControl/>
      </w:pPr>
      <w:r>
        <w:rPr>
          <w:b/>
          <w:bCs/>
        </w:rPr>
        <w:t xml:space="preserve">8.  </w:t>
      </w:r>
      <w:r w:rsidR="000A644C">
        <w:rPr>
          <w:b/>
          <w:bCs/>
          <w:u w:val="single"/>
        </w:rPr>
        <w:t>If applicable, p</w:t>
      </w:r>
      <w:r>
        <w:rPr>
          <w:b/>
          <w:bCs/>
          <w:u w:val="single"/>
        </w:rPr>
        <w:t xml:space="preserve">rovide </w:t>
      </w:r>
      <w:r w:rsidR="000A644C">
        <w:rPr>
          <w:b/>
          <w:bCs/>
          <w:u w:val="single"/>
        </w:rPr>
        <w:t xml:space="preserve">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136E5A" w:rsidRDefault="00136E5A" w14:paraId="6F7A6110" w14:textId="77777777">
      <w:pPr>
        <w:widowControl/>
      </w:pPr>
    </w:p>
    <w:p w:rsidR="004E6E54" w:rsidP="00FA4CB2" w:rsidRDefault="004B087A" w14:paraId="44EA8A37" w14:textId="62B250B5">
      <w:pPr>
        <w:widowControl/>
      </w:pPr>
      <w:r>
        <w:t xml:space="preserve">A </w:t>
      </w:r>
      <w:r w:rsidRPr="00A56F52">
        <w:t>60 Day Federal Register Notice (FRN)</w:t>
      </w:r>
      <w:r>
        <w:t xml:space="preserve"> soliciting public comments </w:t>
      </w:r>
      <w:r w:rsidR="004E6E54">
        <w:t xml:space="preserve">was published on </w:t>
      </w:r>
      <w:r w:rsidR="00405C86">
        <w:t>June 29, 2020</w:t>
      </w:r>
      <w:r w:rsidR="004E6E54">
        <w:t xml:space="preserve"> (</w:t>
      </w:r>
      <w:r w:rsidR="00405C86">
        <w:t>85 FR 38868</w:t>
      </w:r>
      <w:r w:rsidR="004E6E54">
        <w:t xml:space="preserve">).  No comments were received. </w:t>
      </w:r>
      <w:r w:rsidRPr="00A56F52" w:rsidR="004E5083">
        <w:t>A copy</w:t>
      </w:r>
      <w:r w:rsidR="004E5083">
        <w:t xml:space="preserve"> of the FRN is </w:t>
      </w:r>
      <w:r w:rsidR="00834648">
        <w:t>included as a</w:t>
      </w:r>
      <w:r w:rsidR="0041414D">
        <w:t xml:space="preserve"> supplementary document.</w:t>
      </w:r>
      <w:r w:rsidR="004E5083">
        <w:t xml:space="preserve"> </w:t>
      </w:r>
    </w:p>
    <w:p w:rsidR="004E6E54" w:rsidP="00FA4CB2" w:rsidRDefault="004E6E54" w14:paraId="74C52CEE" w14:textId="77777777">
      <w:pPr>
        <w:widowControl/>
      </w:pPr>
    </w:p>
    <w:p w:rsidR="00762E38" w:rsidP="00C92C47" w:rsidRDefault="004E6E54" w14:paraId="4B599534" w14:textId="7262D56B">
      <w:pPr>
        <w:rPr>
          <w:bCs/>
        </w:rPr>
      </w:pPr>
      <w:r>
        <w:rPr>
          <w:bCs/>
        </w:rPr>
        <w:t xml:space="preserve">  </w:t>
      </w:r>
      <w:r w:rsidR="00F42648">
        <w:rPr>
          <w:bCs/>
        </w:rPr>
        <w:t xml:space="preserve"> </w:t>
      </w:r>
    </w:p>
    <w:p w:rsidR="00762E38" w:rsidP="00C92C47" w:rsidRDefault="00762E38" w14:paraId="46BDD7B6" w14:textId="77777777">
      <w:pPr>
        <w:rPr>
          <w:bCs/>
        </w:rPr>
      </w:pPr>
    </w:p>
    <w:p w:rsidR="004E6E54" w:rsidRDefault="004E6E54" w14:paraId="66807A8F" w14:textId="77777777">
      <w:pPr>
        <w:widowControl/>
        <w:rPr>
          <w:b/>
          <w:bCs/>
        </w:rPr>
      </w:pPr>
    </w:p>
    <w:p w:rsidR="00136E5A" w:rsidRDefault="00136E5A" w14:paraId="69EABCC7" w14:textId="77777777">
      <w:pPr>
        <w:widowControl/>
      </w:pPr>
      <w:r>
        <w:rPr>
          <w:b/>
          <w:bCs/>
        </w:rPr>
        <w:t xml:space="preserve">9.  </w:t>
      </w:r>
      <w:r>
        <w:rPr>
          <w:b/>
          <w:bCs/>
          <w:u w:val="single"/>
        </w:rPr>
        <w:t>Explain any decisions to provide payments or gifts to respondents, other than remuneration of contractors or grantees</w:t>
      </w:r>
      <w:r>
        <w:rPr>
          <w:b/>
          <w:bCs/>
        </w:rPr>
        <w:t>.</w:t>
      </w:r>
    </w:p>
    <w:p w:rsidR="00136E5A" w:rsidRDefault="00136E5A" w14:paraId="6D590FA8" w14:textId="77777777">
      <w:pPr>
        <w:widowControl/>
      </w:pPr>
    </w:p>
    <w:p w:rsidRPr="00440957" w:rsidR="00136E5A" w:rsidRDefault="009A68EB" w14:paraId="0CBA996B" w14:textId="77777777">
      <w:pPr>
        <w:widowControl/>
      </w:pPr>
      <w:r w:rsidRPr="00440957">
        <w:t>None.</w:t>
      </w:r>
    </w:p>
    <w:p w:rsidR="00136E5A" w:rsidRDefault="00136E5A" w14:paraId="6D9C5B3C" w14:textId="77777777">
      <w:pPr>
        <w:widowControl/>
      </w:pPr>
    </w:p>
    <w:p w:rsidR="00136E5A" w:rsidRDefault="00136E5A" w14:paraId="226503EF" w14:textId="77777777">
      <w:pPr>
        <w:widowControl/>
      </w:pPr>
    </w:p>
    <w:p w:rsidRPr="00A051D1" w:rsidR="00136E5A" w:rsidRDefault="00136E5A" w14:paraId="1854BA79" w14:textId="16E208B1">
      <w:pPr>
        <w:widowControl/>
        <w:rPr>
          <w:u w:val="single"/>
        </w:rPr>
      </w:pPr>
      <w:r>
        <w:rPr>
          <w:b/>
          <w:bCs/>
        </w:rPr>
        <w:t xml:space="preserve">10.  </w:t>
      </w:r>
      <w:r>
        <w:rPr>
          <w:b/>
          <w:bCs/>
          <w:u w:val="single"/>
        </w:rPr>
        <w:t>Describe any assurance of confidentiality provided to respondents and the basis for assurance in statute, regulation, or agency policy</w:t>
      </w:r>
      <w:r w:rsidRPr="00533DA3">
        <w:rPr>
          <w:b/>
          <w:bCs/>
          <w:u w:val="single"/>
        </w:rPr>
        <w:t>.</w:t>
      </w:r>
      <w:r w:rsidRPr="00533DA3" w:rsidR="000A644C">
        <w:rPr>
          <w:b/>
          <w:bCs/>
          <w:u w:val="single"/>
        </w:rPr>
        <w:t xml:space="preserve"> </w:t>
      </w:r>
      <w:r w:rsidRPr="00A051D1" w:rsidR="000A644C">
        <w:rPr>
          <w:b/>
          <w:bCs/>
          <w:u w:val="single"/>
        </w:rPr>
        <w:t xml:space="preserve">If the collection requires a systems of records notice (SORN) or privacy impact assessment (PIA), those should be cited and described here. </w:t>
      </w:r>
    </w:p>
    <w:p w:rsidR="00136E5A" w:rsidRDefault="00136E5A" w14:paraId="058274D9" w14:textId="77777777">
      <w:pPr>
        <w:widowControl/>
      </w:pPr>
    </w:p>
    <w:p w:rsidR="00580507" w:rsidRDefault="009A68EB" w14:paraId="78C967D8" w14:textId="4527BB5F">
      <w:pPr>
        <w:widowControl/>
      </w:pPr>
      <w:r>
        <w:t>No</w:t>
      </w:r>
      <w:r w:rsidR="00266447">
        <w:t>t applicable</w:t>
      </w:r>
      <w:r>
        <w:t>.</w:t>
      </w:r>
    </w:p>
    <w:p w:rsidR="00580507" w:rsidRDefault="00580507" w14:paraId="61A1C074" w14:textId="77777777">
      <w:pPr>
        <w:widowControl/>
      </w:pPr>
    </w:p>
    <w:p w:rsidR="00580507" w:rsidRDefault="00580507" w14:paraId="15610D11" w14:textId="77777777">
      <w:pPr>
        <w:widowControl/>
      </w:pPr>
    </w:p>
    <w:p w:rsidRPr="00A56F52" w:rsidR="00136E5A" w:rsidRDefault="00136E5A" w14:paraId="473F005E" w14:textId="3EDD0F7B">
      <w:pPr>
        <w:widowControl/>
        <w:rPr>
          <w:u w:val="single"/>
        </w:rPr>
      </w:pPr>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sidRPr="00A56F52">
        <w:rPr>
          <w:b/>
          <w:bCs/>
          <w:u w:val="single"/>
        </w:rPr>
        <w:t>.</w:t>
      </w:r>
      <w:r w:rsidRPr="00A56F52" w:rsidR="000A644C">
        <w:rPr>
          <w:b/>
          <w:bCs/>
          <w:u w:val="single"/>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136E5A" w:rsidRDefault="00136E5A" w14:paraId="56FE0305" w14:textId="77777777">
      <w:pPr>
        <w:widowControl/>
      </w:pPr>
    </w:p>
    <w:p w:rsidR="00AA4B59" w:rsidP="00440957" w:rsidRDefault="00C45558" w14:paraId="69C6ADBB" w14:textId="77777777">
      <w:pPr>
        <w:widowControl/>
      </w:pPr>
      <w:r w:rsidRPr="00117D5C">
        <w:rPr>
          <w:bCs/>
        </w:rPr>
        <w:t>N</w:t>
      </w:r>
      <w:r>
        <w:rPr>
          <w:bCs/>
        </w:rPr>
        <w:t xml:space="preserve">ot </w:t>
      </w:r>
      <w:r w:rsidRPr="00117D5C">
        <w:rPr>
          <w:bCs/>
        </w:rPr>
        <w:t>A</w:t>
      </w:r>
      <w:r>
        <w:rPr>
          <w:bCs/>
        </w:rPr>
        <w:t>pplicable.</w:t>
      </w:r>
    </w:p>
    <w:p w:rsidR="0069527C" w:rsidRDefault="0069527C" w14:paraId="0603D3C0" w14:textId="77777777">
      <w:pPr>
        <w:widowControl/>
      </w:pPr>
    </w:p>
    <w:p w:rsidR="0069527C" w:rsidRDefault="0069527C" w14:paraId="5BDF270B" w14:textId="77777777">
      <w:pPr>
        <w:widowControl/>
      </w:pPr>
    </w:p>
    <w:p w:rsidRPr="004042A3" w:rsidR="000A644C" w:rsidRDefault="00136E5A" w14:paraId="204C8018" w14:textId="6DF2FAC6">
      <w:pPr>
        <w:widowControl/>
        <w:rPr>
          <w:b/>
          <w:bCs/>
        </w:rPr>
      </w:pPr>
      <w:r>
        <w:rPr>
          <w:b/>
          <w:bCs/>
        </w:rPr>
        <w:t>12</w:t>
      </w:r>
      <w:r w:rsidRPr="00405C86">
        <w:rPr>
          <w:b/>
          <w:bCs/>
        </w:rPr>
        <w:t xml:space="preserve">.  </w:t>
      </w:r>
      <w:r w:rsidRPr="00A56F52">
        <w:rPr>
          <w:b/>
          <w:bCs/>
          <w:u w:val="single"/>
        </w:rPr>
        <w:t>Provide an estimate in hours of the burden of the collection of information</w:t>
      </w:r>
      <w:r w:rsidRPr="00405C86">
        <w:rPr>
          <w:b/>
          <w:bCs/>
        </w:rPr>
        <w:t>.</w:t>
      </w:r>
    </w:p>
    <w:p w:rsidR="00136E5A" w:rsidRDefault="00136E5A" w14:paraId="131D5077" w14:textId="4C54AFCA">
      <w:pPr>
        <w:widowControl/>
      </w:pPr>
    </w:p>
    <w:p w:rsidR="00BC5B0D" w:rsidRDefault="00BC5B0D" w14:paraId="67E8A927" w14:textId="01BF5C49">
      <w:pPr>
        <w:widowControl/>
      </w:pPr>
      <w:r w:rsidRPr="00BC5B0D">
        <w:rPr>
          <w:noProof/>
        </w:rPr>
        <w:drawing>
          <wp:inline distT="0" distB="0" distL="0" distR="0" wp14:anchorId="2B526171" wp14:editId="2CCE17DB">
            <wp:extent cx="5943600" cy="937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937260"/>
                    </a:xfrm>
                    <a:prstGeom prst="rect">
                      <a:avLst/>
                    </a:prstGeom>
                    <a:noFill/>
                    <a:ln>
                      <a:noFill/>
                    </a:ln>
                  </pic:spPr>
                </pic:pic>
              </a:graphicData>
            </a:graphic>
          </wp:inline>
        </w:drawing>
      </w:r>
    </w:p>
    <w:p w:rsidR="00405C86" w:rsidRDefault="00405C86" w14:paraId="557578B8" w14:textId="07EFFAB2">
      <w:pPr>
        <w:widowControl/>
      </w:pPr>
      <w:r>
        <w:t xml:space="preserve"> </w:t>
      </w:r>
    </w:p>
    <w:p w:rsidR="001F73F4" w:rsidRDefault="001F73F4" w14:paraId="56E182A0" w14:textId="77777777">
      <w:pPr>
        <w:widowControl/>
      </w:pPr>
    </w:p>
    <w:p w:rsidRPr="00A56F52" w:rsidR="00DC7587" w:rsidRDefault="00136E5A" w14:paraId="245D2B30" w14:textId="77777777">
      <w:pPr>
        <w:widowControl/>
        <w:rPr>
          <w:b/>
          <w:bCs/>
          <w:u w:val="single"/>
        </w:rPr>
      </w:pPr>
      <w:r>
        <w:rPr>
          <w:b/>
          <w:bCs/>
        </w:rPr>
        <w:t>13</w:t>
      </w:r>
      <w:r w:rsidRPr="00440957">
        <w:rPr>
          <w:b/>
          <w:bCs/>
        </w:rPr>
        <w:t xml:space="preserve">.  </w:t>
      </w:r>
      <w:r w:rsidRPr="00A56F52">
        <w:rPr>
          <w:b/>
          <w:bCs/>
          <w:u w:val="single"/>
        </w:rPr>
        <w:t xml:space="preserve">Provide an estimate of the total annual cost burden to the respondents or record-keepers resulting from the collection (excluding the value of the burden hours in </w:t>
      </w:r>
    </w:p>
    <w:p w:rsidR="00136E5A" w:rsidRDefault="00DC7587" w14:paraId="254E9BF8" w14:textId="77777777">
      <w:pPr>
        <w:widowControl/>
        <w:rPr>
          <w:b/>
          <w:bCs/>
        </w:rPr>
      </w:pPr>
      <w:r w:rsidRPr="00A56F52">
        <w:rPr>
          <w:b/>
          <w:bCs/>
          <w:u w:val="single"/>
        </w:rPr>
        <w:t xml:space="preserve">Question </w:t>
      </w:r>
      <w:r w:rsidRPr="00A56F52" w:rsidR="00136E5A">
        <w:rPr>
          <w:b/>
          <w:bCs/>
          <w:u w:val="single"/>
        </w:rPr>
        <w:t>12 above)</w:t>
      </w:r>
      <w:r w:rsidRPr="00A56F52" w:rsidR="00136E5A">
        <w:rPr>
          <w:b/>
          <w:bCs/>
        </w:rPr>
        <w:t>.</w:t>
      </w:r>
    </w:p>
    <w:p w:rsidR="00DC7587" w:rsidRDefault="00DC7587" w14:paraId="53C2302A" w14:textId="1C714446">
      <w:pPr>
        <w:widowControl/>
        <w:rPr>
          <w:b/>
          <w:bCs/>
        </w:rPr>
      </w:pPr>
    </w:p>
    <w:p w:rsidR="00BC5B0D" w:rsidRDefault="001C42EC" w14:paraId="40550174" w14:textId="3FA74BA9">
      <w:pPr>
        <w:widowControl/>
        <w:rPr>
          <w:b/>
          <w:bCs/>
        </w:rPr>
      </w:pPr>
      <w:r w:rsidRPr="001C42EC">
        <w:rPr>
          <w:noProof/>
        </w:rPr>
        <w:drawing>
          <wp:inline distT="0" distB="0" distL="0" distR="0" wp14:anchorId="1A1BD72C" wp14:editId="3165060F">
            <wp:extent cx="5943600" cy="7435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43585"/>
                    </a:xfrm>
                    <a:prstGeom prst="rect">
                      <a:avLst/>
                    </a:prstGeom>
                    <a:noFill/>
                    <a:ln>
                      <a:noFill/>
                    </a:ln>
                  </pic:spPr>
                </pic:pic>
              </a:graphicData>
            </a:graphic>
          </wp:inline>
        </w:drawing>
      </w:r>
    </w:p>
    <w:p w:rsidR="005940E7" w:rsidRDefault="005940E7" w14:paraId="6B31D19A" w14:textId="37DC1167">
      <w:pPr>
        <w:widowControl/>
        <w:rPr>
          <w:bCs/>
        </w:rPr>
      </w:pPr>
    </w:p>
    <w:p w:rsidR="005940E7" w:rsidRDefault="005940E7" w14:paraId="7142FBAD" w14:textId="77777777">
      <w:pPr>
        <w:widowControl/>
        <w:rPr>
          <w:b/>
          <w:bCs/>
        </w:rPr>
      </w:pPr>
    </w:p>
    <w:p w:rsidR="00136E5A" w:rsidRDefault="00136E5A" w14:paraId="31BE0A12" w14:textId="2EC85F30">
      <w:pPr>
        <w:widowControl/>
        <w:rPr>
          <w:b/>
          <w:bCs/>
        </w:rPr>
      </w:pPr>
      <w:r>
        <w:rPr>
          <w:b/>
          <w:bCs/>
        </w:rPr>
        <w:lastRenderedPageBreak/>
        <w:t xml:space="preserve">14.  </w:t>
      </w:r>
      <w:r w:rsidRPr="00A56F52">
        <w:rPr>
          <w:b/>
          <w:bCs/>
          <w:u w:val="single"/>
        </w:rPr>
        <w:t>Provide estimates of annualized cost to the Federal government.</w:t>
      </w:r>
      <w:r w:rsidRPr="00A56F52" w:rsidR="000A644C">
        <w:rPr>
          <w:b/>
          <w:bCs/>
          <w:u w:val="single"/>
        </w:rPr>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0A644C">
        <w:rPr>
          <w:b/>
          <w:bCs/>
        </w:rPr>
        <w:t xml:space="preserve"> </w:t>
      </w:r>
    </w:p>
    <w:p w:rsidR="000A644C" w:rsidRDefault="000A644C" w14:paraId="57F8929F" w14:textId="761DC3F6">
      <w:pPr>
        <w:widowControl/>
        <w:rPr>
          <w:b/>
          <w:bCs/>
        </w:rPr>
      </w:pPr>
    </w:p>
    <w:p w:rsidR="000A644C" w:rsidRDefault="000A644C" w14:paraId="6EF3AB47" w14:textId="38BBB466">
      <w:pPr>
        <w:widowControl/>
      </w:pPr>
      <w:r w:rsidRPr="00A56F52">
        <w:rPr>
          <w:b/>
          <w:bCs/>
          <w:u w:val="single"/>
        </w:rPr>
        <w:t>Agencies may also aggregate cost estimates from Questions 12, 13, and 14 in a single table</w:t>
      </w:r>
      <w:r>
        <w:rPr>
          <w:b/>
          <w:bCs/>
        </w:rPr>
        <w:t xml:space="preserve">. </w:t>
      </w:r>
    </w:p>
    <w:p w:rsidR="00136E5A" w:rsidRDefault="00136E5A" w14:paraId="62950F81" w14:textId="5AB74701">
      <w:pPr>
        <w:widowControl/>
        <w:rPr>
          <w:b/>
        </w:rPr>
      </w:pPr>
    </w:p>
    <w:p w:rsidRPr="00E62C17" w:rsidR="00525C15" w:rsidRDefault="00525C15" w14:paraId="442BC788" w14:textId="0395DB0E">
      <w:pPr>
        <w:widowControl/>
        <w:rPr>
          <w:b/>
        </w:rPr>
      </w:pPr>
      <w:r w:rsidRPr="00525C15">
        <w:rPr>
          <w:noProof/>
        </w:rPr>
        <w:drawing>
          <wp:inline distT="0" distB="0" distL="0" distR="0" wp14:anchorId="5A9CD05A" wp14:editId="3FF77C3D">
            <wp:extent cx="5943600" cy="13836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383665"/>
                    </a:xfrm>
                    <a:prstGeom prst="rect">
                      <a:avLst/>
                    </a:prstGeom>
                    <a:noFill/>
                    <a:ln>
                      <a:noFill/>
                    </a:ln>
                  </pic:spPr>
                </pic:pic>
              </a:graphicData>
            </a:graphic>
          </wp:inline>
        </w:drawing>
      </w:r>
    </w:p>
    <w:p w:rsidR="00F64D0C" w:rsidRDefault="00F64D0C" w14:paraId="0B8D96DE" w14:textId="14661817">
      <w:pPr>
        <w:widowControl/>
      </w:pPr>
    </w:p>
    <w:p w:rsidR="00136E5A" w:rsidRDefault="00136E5A" w14:paraId="51E1735A" w14:textId="77777777">
      <w:pPr>
        <w:widowControl/>
      </w:pPr>
    </w:p>
    <w:p w:rsidR="00136E5A" w:rsidRDefault="00136E5A" w14:paraId="51132015" w14:textId="28E11E6A">
      <w:pPr>
        <w:widowControl/>
      </w:pPr>
      <w:r w:rsidRPr="00B8627D">
        <w:rPr>
          <w:b/>
          <w:bCs/>
        </w:rPr>
        <w:t xml:space="preserve">15.  </w:t>
      </w:r>
      <w:r w:rsidRPr="00A56F52">
        <w:rPr>
          <w:b/>
          <w:bCs/>
          <w:u w:val="single"/>
        </w:rPr>
        <w:t>Explain the reasons for any program changes or adjustments</w:t>
      </w:r>
      <w:r w:rsidRPr="00A56F52" w:rsidR="000A644C">
        <w:rPr>
          <w:b/>
          <w:bCs/>
          <w:u w:val="single"/>
        </w:rPr>
        <w:t xml:space="preserve"> reported in ROCIS</w:t>
      </w:r>
      <w:r w:rsidRPr="00A56F52" w:rsidR="000A644C">
        <w:rPr>
          <w:b/>
          <w:bCs/>
        </w:rPr>
        <w:t>.</w:t>
      </w:r>
    </w:p>
    <w:p w:rsidR="00136E5A" w:rsidRDefault="00136E5A" w14:paraId="65C29E0B" w14:textId="77777777">
      <w:pPr>
        <w:widowControl/>
      </w:pPr>
    </w:p>
    <w:p w:rsidR="00A56F52" w:rsidP="00E06278" w:rsidRDefault="004A1A32" w14:paraId="0D7B0269" w14:textId="675D9F35">
      <w:bookmarkStart w:name="_Hlk54000232" w:id="0"/>
      <w:r>
        <w:t xml:space="preserve">Based on an assessment of the actual use during the prior approval period, </w:t>
      </w:r>
      <w:r w:rsidR="003572F0">
        <w:t xml:space="preserve">NTIS </w:t>
      </w:r>
      <w:r w:rsidR="00EA01F9">
        <w:t xml:space="preserve">anticipates a </w:t>
      </w:r>
      <w:r w:rsidR="00FA20C7">
        <w:t xml:space="preserve">decrease in </w:t>
      </w:r>
      <w:r w:rsidR="00C2765D">
        <w:t xml:space="preserve">respondents and </w:t>
      </w:r>
      <w:r w:rsidR="006B481B">
        <w:t xml:space="preserve">burden hours.  </w:t>
      </w:r>
      <w:r>
        <w:t xml:space="preserve">The instrument also includes changes to the </w:t>
      </w:r>
      <w:r w:rsidR="00E57956">
        <w:t>Project Manager and contact information</w:t>
      </w:r>
      <w:bookmarkEnd w:id="0"/>
      <w:r w:rsidR="00BA0142">
        <w:t>.</w:t>
      </w:r>
    </w:p>
    <w:p w:rsidR="00E06278" w:rsidP="00E06278" w:rsidRDefault="00F14CFB" w14:paraId="7635F2B8" w14:textId="61795041">
      <w:pPr>
        <w:rPr>
          <w:rFonts w:cs="Calibri"/>
        </w:rPr>
      </w:pPr>
      <w:r w:rsidRPr="00F14CFB">
        <w:t xml:space="preserve"> </w:t>
      </w:r>
    </w:p>
    <w:p w:rsidR="00440957" w:rsidRDefault="00440957" w14:paraId="0EAD7E2C" w14:textId="77777777">
      <w:pPr>
        <w:widowControl/>
      </w:pPr>
    </w:p>
    <w:p w:rsidR="00136E5A" w:rsidRDefault="00136E5A" w14:paraId="30CE253E" w14:textId="77777777">
      <w:pPr>
        <w:widowControl/>
      </w:pPr>
    </w:p>
    <w:p w:rsidR="00136E5A" w:rsidRDefault="00136E5A" w14:paraId="6F778B65" w14:textId="31E1E701">
      <w:pPr>
        <w:widowControl/>
      </w:pPr>
      <w:r>
        <w:rPr>
          <w:b/>
          <w:bCs/>
        </w:rPr>
        <w:t xml:space="preserve">16.  </w:t>
      </w:r>
      <w:r>
        <w:rPr>
          <w:b/>
          <w:bCs/>
          <w:u w:val="single"/>
        </w:rPr>
        <w:t>For collections whose results will be published, outline the plans for tabulation and publication</w:t>
      </w:r>
      <w:r>
        <w:rPr>
          <w:b/>
          <w:bCs/>
        </w:rPr>
        <w:t>.</w:t>
      </w:r>
      <w:r w:rsidR="000A644C">
        <w:rPr>
          <w:b/>
          <w:bCs/>
        </w:rPr>
        <w:t xml:space="preserve"> Address any complex analytical techniques that will be used. Provide the time schedule for the entire project, including beginning and ending dates of the collection of information, completion of report, publication dates, and other actions. </w:t>
      </w:r>
    </w:p>
    <w:p w:rsidR="00136E5A" w:rsidRDefault="00136E5A" w14:paraId="582B93A8" w14:textId="77777777">
      <w:pPr>
        <w:widowControl/>
      </w:pPr>
    </w:p>
    <w:p w:rsidR="00532D7B" w:rsidRDefault="00C45558" w14:paraId="1ACC7883" w14:textId="77777777">
      <w:pPr>
        <w:widowControl/>
      </w:pPr>
      <w:r w:rsidRPr="00117D5C">
        <w:rPr>
          <w:bCs/>
        </w:rPr>
        <w:t>N</w:t>
      </w:r>
      <w:r>
        <w:rPr>
          <w:bCs/>
        </w:rPr>
        <w:t xml:space="preserve">ot </w:t>
      </w:r>
      <w:r w:rsidRPr="00117D5C">
        <w:rPr>
          <w:bCs/>
        </w:rPr>
        <w:t>A</w:t>
      </w:r>
      <w:r>
        <w:rPr>
          <w:bCs/>
        </w:rPr>
        <w:t>pplicable.</w:t>
      </w:r>
    </w:p>
    <w:p w:rsidR="00892042" w:rsidRDefault="00892042" w14:paraId="31380352" w14:textId="77777777">
      <w:pPr>
        <w:widowControl/>
      </w:pPr>
    </w:p>
    <w:p w:rsidR="00580507" w:rsidRDefault="00580507" w14:paraId="4CE43070" w14:textId="77777777">
      <w:pPr>
        <w:widowControl/>
      </w:pPr>
    </w:p>
    <w:p w:rsidRPr="001C4962" w:rsidR="00136E5A" w:rsidRDefault="00136E5A" w14:paraId="692315BF" w14:textId="77777777">
      <w:pPr>
        <w:widowControl/>
      </w:pPr>
      <w:r w:rsidRPr="001C4962">
        <w:rPr>
          <w:b/>
          <w:bCs/>
        </w:rPr>
        <w:t xml:space="preserve">17.  </w:t>
      </w:r>
      <w:r w:rsidRPr="001C4962">
        <w:rPr>
          <w:b/>
          <w:bCs/>
          <w:u w:val="single"/>
        </w:rPr>
        <w:t>If seeking approval to not display the expiration date for OMB approval of the information collection, explain the reasons why display would be inappropriate</w:t>
      </w:r>
      <w:r w:rsidRPr="001C4962">
        <w:rPr>
          <w:b/>
          <w:bCs/>
        </w:rPr>
        <w:t>.</w:t>
      </w:r>
    </w:p>
    <w:p w:rsidRPr="001C4962" w:rsidR="00136E5A" w:rsidRDefault="00136E5A" w14:paraId="02063128" w14:textId="77777777">
      <w:pPr>
        <w:widowControl/>
      </w:pPr>
    </w:p>
    <w:p w:rsidRPr="001C4962" w:rsidR="00136E5A" w:rsidRDefault="00C45558" w14:paraId="42988D2B" w14:textId="77777777">
      <w:pPr>
        <w:widowControl/>
      </w:pPr>
      <w:r w:rsidRPr="00117D5C">
        <w:rPr>
          <w:bCs/>
        </w:rPr>
        <w:t>N</w:t>
      </w:r>
      <w:r>
        <w:rPr>
          <w:bCs/>
        </w:rPr>
        <w:t xml:space="preserve">ot </w:t>
      </w:r>
      <w:r w:rsidRPr="00117D5C">
        <w:rPr>
          <w:bCs/>
        </w:rPr>
        <w:t>A</w:t>
      </w:r>
      <w:r>
        <w:rPr>
          <w:bCs/>
        </w:rPr>
        <w:t>pplicable.</w:t>
      </w:r>
    </w:p>
    <w:p w:rsidRPr="001C4962" w:rsidR="00DC7587" w:rsidRDefault="00DC7587" w14:paraId="716C88F5" w14:textId="77777777">
      <w:pPr>
        <w:widowControl/>
      </w:pPr>
    </w:p>
    <w:p w:rsidRPr="001C4962" w:rsidR="00DC7587" w:rsidRDefault="00DC7587" w14:paraId="6BCF03C8" w14:textId="77777777">
      <w:pPr>
        <w:widowControl/>
      </w:pPr>
    </w:p>
    <w:p w:rsidRPr="001C4962" w:rsidR="00136E5A" w:rsidRDefault="00136E5A" w14:paraId="7FD0F555" w14:textId="77777777">
      <w:pPr>
        <w:widowControl/>
        <w:rPr>
          <w:b/>
          <w:bCs/>
        </w:rPr>
      </w:pPr>
      <w:r w:rsidRPr="001C4962">
        <w:rPr>
          <w:b/>
          <w:bCs/>
        </w:rPr>
        <w:t xml:space="preserve">18.  </w:t>
      </w:r>
      <w:r w:rsidRPr="001C4962">
        <w:rPr>
          <w:b/>
          <w:bCs/>
          <w:u w:val="single"/>
        </w:rPr>
        <w:t>Explain each exception to the certification statement</w:t>
      </w:r>
      <w:r w:rsidRPr="001C4962">
        <w:rPr>
          <w:b/>
          <w:bCs/>
        </w:rPr>
        <w:t>.</w:t>
      </w:r>
    </w:p>
    <w:p w:rsidRPr="001C4962" w:rsidR="00C002D3" w:rsidRDefault="00C002D3" w14:paraId="0E60AA74" w14:textId="77777777">
      <w:pPr>
        <w:widowControl/>
      </w:pPr>
    </w:p>
    <w:p w:rsidR="00532D7B" w:rsidRDefault="00B30DC9" w14:paraId="2D77DF43" w14:textId="0C48DE34">
      <w:pPr>
        <w:widowControl/>
      </w:pPr>
      <w:r>
        <w:rPr>
          <w:bCs/>
        </w:rPr>
        <w:t xml:space="preserve">There are no exceptions </w:t>
      </w:r>
      <w:r w:rsidR="005715F2">
        <w:rPr>
          <w:bCs/>
        </w:rPr>
        <w:t xml:space="preserve">requested </w:t>
      </w:r>
      <w:r>
        <w:rPr>
          <w:bCs/>
        </w:rPr>
        <w:t>to the certification statement</w:t>
      </w:r>
      <w:r w:rsidR="00300B5E">
        <w:rPr>
          <w:bCs/>
        </w:rPr>
        <w:t>.</w:t>
      </w:r>
    </w:p>
    <w:p w:rsidR="004033AF" w:rsidP="00C002D3" w:rsidRDefault="004033AF" w14:paraId="6ABCCCE0" w14:textId="77777777">
      <w:pPr>
        <w:widowControl/>
      </w:pPr>
    </w:p>
    <w:p w:rsidR="004033AF" w:rsidP="00C002D3" w:rsidRDefault="004033AF" w14:paraId="680CAEC6" w14:textId="77777777">
      <w:pPr>
        <w:widowControl/>
      </w:pPr>
    </w:p>
    <w:p w:rsidR="00580507" w:rsidP="00C002D3" w:rsidRDefault="00580507" w14:paraId="4999D65E" w14:textId="77777777">
      <w:pPr>
        <w:widowControl/>
        <w:rPr>
          <w:b/>
          <w:bCs/>
        </w:rPr>
      </w:pPr>
    </w:p>
    <w:p w:rsidR="00C002D3" w:rsidP="00C002D3" w:rsidRDefault="00C002D3" w14:paraId="2DC1B854" w14:textId="77777777">
      <w:pPr>
        <w:widowControl/>
      </w:pPr>
      <w:r>
        <w:rPr>
          <w:b/>
          <w:bCs/>
        </w:rPr>
        <w:t>B.  COLLECTIONS OF INFORMATION EMPLOYING STATISTICAL METHODS</w:t>
      </w:r>
    </w:p>
    <w:p w:rsidR="001C4962" w:rsidRDefault="001C4962" w14:paraId="7BC942BB" w14:textId="77777777">
      <w:pPr>
        <w:widowControl/>
      </w:pPr>
    </w:p>
    <w:p w:rsidR="001B5C62" w:rsidRDefault="00440957" w14:paraId="7312066D" w14:textId="77777777">
      <w:pPr>
        <w:widowControl/>
      </w:pPr>
      <w:r>
        <w:t>N</w:t>
      </w:r>
      <w:r w:rsidR="004033AF">
        <w:t xml:space="preserve">ot </w:t>
      </w:r>
      <w:r>
        <w:t>A</w:t>
      </w:r>
      <w:r w:rsidR="004033AF">
        <w:t>pplicable.</w:t>
      </w:r>
    </w:p>
    <w:sectPr w:rsidR="001B5C62" w:rsidSect="00136E5A">
      <w:footerReference w:type="default" r:id="rId10"/>
      <w:type w:val="continuous"/>
      <w:pgSz w:w="12240" w:h="15840"/>
      <w:pgMar w:top="1440" w:right="1440" w:bottom="1080" w:left="1440" w:header="144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569F1" w14:textId="77777777" w:rsidR="00ED6D84" w:rsidRDefault="00ED6D84">
      <w:r>
        <w:separator/>
      </w:r>
    </w:p>
  </w:endnote>
  <w:endnote w:type="continuationSeparator" w:id="0">
    <w:p w14:paraId="0B3932F7" w14:textId="77777777" w:rsidR="00ED6D84" w:rsidRDefault="00ED6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35B66" w14:textId="77777777" w:rsidR="003D4491" w:rsidRDefault="003D4491">
    <w:pPr>
      <w:spacing w:line="240" w:lineRule="exact"/>
    </w:pPr>
  </w:p>
  <w:p w14:paraId="23D63365" w14:textId="49D12565" w:rsidR="003D4491" w:rsidRDefault="003D4491">
    <w:pPr>
      <w:framePr w:w="9361" w:wrap="notBeside" w:vAnchor="text" w:hAnchor="text" w:x="1" w:y="1"/>
      <w:jc w:val="center"/>
    </w:pPr>
    <w:r>
      <w:fldChar w:fldCharType="begin"/>
    </w:r>
    <w:r>
      <w:instrText xml:space="preserve">PAGE </w:instrText>
    </w:r>
    <w:r>
      <w:fldChar w:fldCharType="separate"/>
    </w:r>
    <w:r w:rsidR="00965DB4">
      <w:rPr>
        <w:noProof/>
      </w:rPr>
      <w:t>4</w:t>
    </w:r>
    <w:r>
      <w:fldChar w:fldCharType="end"/>
    </w:r>
  </w:p>
  <w:p w14:paraId="6B7E6D46" w14:textId="77777777" w:rsidR="003D4491" w:rsidRDefault="003D44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DCA6B7" w14:textId="77777777" w:rsidR="00ED6D84" w:rsidRDefault="00ED6D84">
      <w:r>
        <w:separator/>
      </w:r>
    </w:p>
  </w:footnote>
  <w:footnote w:type="continuationSeparator" w:id="0">
    <w:p w14:paraId="7BBD388C" w14:textId="77777777" w:rsidR="00ED6D84" w:rsidRDefault="00ED6D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241FDD"/>
    <w:multiLevelType w:val="hybridMultilevel"/>
    <w:tmpl w:val="4BAC8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343AD"/>
    <w:multiLevelType w:val="hybridMultilevel"/>
    <w:tmpl w:val="E68AD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C72C1"/>
    <w:multiLevelType w:val="hybridMultilevel"/>
    <w:tmpl w:val="44B8B6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541251"/>
    <w:multiLevelType w:val="hybridMultilevel"/>
    <w:tmpl w:val="A8123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7A36DF"/>
    <w:multiLevelType w:val="hybridMultilevel"/>
    <w:tmpl w:val="7DCA4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11A70F6"/>
    <w:multiLevelType w:val="hybridMultilevel"/>
    <w:tmpl w:val="D59E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7357DB"/>
    <w:multiLevelType w:val="hybridMultilevel"/>
    <w:tmpl w:val="9162C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766AD5"/>
    <w:multiLevelType w:val="hybridMultilevel"/>
    <w:tmpl w:val="83F6E5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C4A1DB8"/>
    <w:multiLevelType w:val="hybridMultilevel"/>
    <w:tmpl w:val="B114B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D467506"/>
    <w:multiLevelType w:val="hybridMultilevel"/>
    <w:tmpl w:val="F4D65888"/>
    <w:lvl w:ilvl="0" w:tplc="EC7CDB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78158C"/>
    <w:multiLevelType w:val="hybridMultilevel"/>
    <w:tmpl w:val="497A5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37C0232"/>
    <w:multiLevelType w:val="hybridMultilevel"/>
    <w:tmpl w:val="E52ED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9E5BBA"/>
    <w:multiLevelType w:val="hybridMultilevel"/>
    <w:tmpl w:val="D39475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13"/>
  </w:num>
  <w:num w:numId="3">
    <w:abstractNumId w:val="3"/>
  </w:num>
  <w:num w:numId="4">
    <w:abstractNumId w:val="8"/>
  </w:num>
  <w:num w:numId="5">
    <w:abstractNumId w:val="2"/>
  </w:num>
  <w:num w:numId="6">
    <w:abstractNumId w:val="1"/>
  </w:num>
  <w:num w:numId="7">
    <w:abstractNumId w:val="11"/>
  </w:num>
  <w:num w:numId="8">
    <w:abstractNumId w:val="12"/>
  </w:num>
  <w:num w:numId="9">
    <w:abstractNumId w:val="5"/>
  </w:num>
  <w:num w:numId="10">
    <w:abstractNumId w:val="7"/>
  </w:num>
  <w:num w:numId="11">
    <w:abstractNumId w:val="6"/>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E5A"/>
    <w:rsid w:val="000003FB"/>
    <w:rsid w:val="000055B8"/>
    <w:rsid w:val="000128F8"/>
    <w:rsid w:val="00022764"/>
    <w:rsid w:val="00026566"/>
    <w:rsid w:val="0002780A"/>
    <w:rsid w:val="00033237"/>
    <w:rsid w:val="000413A9"/>
    <w:rsid w:val="00045490"/>
    <w:rsid w:val="00050015"/>
    <w:rsid w:val="000539C3"/>
    <w:rsid w:val="000550B8"/>
    <w:rsid w:val="0005528E"/>
    <w:rsid w:val="000574D2"/>
    <w:rsid w:val="00061EC5"/>
    <w:rsid w:val="000638B0"/>
    <w:rsid w:val="000677F5"/>
    <w:rsid w:val="000733A7"/>
    <w:rsid w:val="00077546"/>
    <w:rsid w:val="00080FE8"/>
    <w:rsid w:val="000907EA"/>
    <w:rsid w:val="000A1148"/>
    <w:rsid w:val="000A24CE"/>
    <w:rsid w:val="000A409B"/>
    <w:rsid w:val="000A62F2"/>
    <w:rsid w:val="000A644C"/>
    <w:rsid w:val="000B3825"/>
    <w:rsid w:val="000C2AFD"/>
    <w:rsid w:val="000C47A0"/>
    <w:rsid w:val="000C7C9B"/>
    <w:rsid w:val="000D0737"/>
    <w:rsid w:val="000D43F3"/>
    <w:rsid w:val="000E679C"/>
    <w:rsid w:val="000F16FC"/>
    <w:rsid w:val="000F21AF"/>
    <w:rsid w:val="000F2F7D"/>
    <w:rsid w:val="000F3057"/>
    <w:rsid w:val="000F34AC"/>
    <w:rsid w:val="000F7D5F"/>
    <w:rsid w:val="0010088B"/>
    <w:rsid w:val="00101957"/>
    <w:rsid w:val="00101D3F"/>
    <w:rsid w:val="00103304"/>
    <w:rsid w:val="00103C4C"/>
    <w:rsid w:val="00106001"/>
    <w:rsid w:val="00106625"/>
    <w:rsid w:val="00113C43"/>
    <w:rsid w:val="0011519B"/>
    <w:rsid w:val="00117679"/>
    <w:rsid w:val="00117D5C"/>
    <w:rsid w:val="00123A1E"/>
    <w:rsid w:val="00124BD7"/>
    <w:rsid w:val="00131B4B"/>
    <w:rsid w:val="00131E97"/>
    <w:rsid w:val="001342F6"/>
    <w:rsid w:val="00135F7A"/>
    <w:rsid w:val="00136E5A"/>
    <w:rsid w:val="00141A4A"/>
    <w:rsid w:val="001474DA"/>
    <w:rsid w:val="00163A63"/>
    <w:rsid w:val="0016569B"/>
    <w:rsid w:val="00165A40"/>
    <w:rsid w:val="00172110"/>
    <w:rsid w:val="0017332C"/>
    <w:rsid w:val="00177AEA"/>
    <w:rsid w:val="001842E1"/>
    <w:rsid w:val="001850AF"/>
    <w:rsid w:val="00186F55"/>
    <w:rsid w:val="00192906"/>
    <w:rsid w:val="001A0519"/>
    <w:rsid w:val="001A0869"/>
    <w:rsid w:val="001A5E08"/>
    <w:rsid w:val="001B20F3"/>
    <w:rsid w:val="001B3EF2"/>
    <w:rsid w:val="001B5C62"/>
    <w:rsid w:val="001C0C56"/>
    <w:rsid w:val="001C1530"/>
    <w:rsid w:val="001C25DA"/>
    <w:rsid w:val="001C3089"/>
    <w:rsid w:val="001C42EC"/>
    <w:rsid w:val="001C4962"/>
    <w:rsid w:val="001C679D"/>
    <w:rsid w:val="001D3247"/>
    <w:rsid w:val="001E232B"/>
    <w:rsid w:val="001E5869"/>
    <w:rsid w:val="001E6996"/>
    <w:rsid w:val="001E6E12"/>
    <w:rsid w:val="001E7A2A"/>
    <w:rsid w:val="001F73F4"/>
    <w:rsid w:val="001F7C6B"/>
    <w:rsid w:val="00214CA3"/>
    <w:rsid w:val="00217D9A"/>
    <w:rsid w:val="00221BD6"/>
    <w:rsid w:val="00223AB4"/>
    <w:rsid w:val="00227B54"/>
    <w:rsid w:val="00231C6C"/>
    <w:rsid w:val="00240E84"/>
    <w:rsid w:val="00251058"/>
    <w:rsid w:val="00255359"/>
    <w:rsid w:val="00255EA0"/>
    <w:rsid w:val="0026042B"/>
    <w:rsid w:val="00261C60"/>
    <w:rsid w:val="00266447"/>
    <w:rsid w:val="00267925"/>
    <w:rsid w:val="00273818"/>
    <w:rsid w:val="00273A2B"/>
    <w:rsid w:val="00280000"/>
    <w:rsid w:val="00281776"/>
    <w:rsid w:val="0028575D"/>
    <w:rsid w:val="002860CA"/>
    <w:rsid w:val="002870B2"/>
    <w:rsid w:val="0029722B"/>
    <w:rsid w:val="002A451D"/>
    <w:rsid w:val="002A4741"/>
    <w:rsid w:val="002A58D6"/>
    <w:rsid w:val="002B3E7E"/>
    <w:rsid w:val="002C086B"/>
    <w:rsid w:val="002C46CC"/>
    <w:rsid w:val="002E57F7"/>
    <w:rsid w:val="002F2DF5"/>
    <w:rsid w:val="002F6223"/>
    <w:rsid w:val="00300347"/>
    <w:rsid w:val="00300B5E"/>
    <w:rsid w:val="0031084E"/>
    <w:rsid w:val="00310E3B"/>
    <w:rsid w:val="003120F7"/>
    <w:rsid w:val="00320907"/>
    <w:rsid w:val="003363C5"/>
    <w:rsid w:val="00341FAD"/>
    <w:rsid w:val="003434DE"/>
    <w:rsid w:val="003435D8"/>
    <w:rsid w:val="00347CC8"/>
    <w:rsid w:val="00353349"/>
    <w:rsid w:val="003572F0"/>
    <w:rsid w:val="00361154"/>
    <w:rsid w:val="00370DC4"/>
    <w:rsid w:val="00373A89"/>
    <w:rsid w:val="00385935"/>
    <w:rsid w:val="003860A2"/>
    <w:rsid w:val="0039723E"/>
    <w:rsid w:val="0039752F"/>
    <w:rsid w:val="003A0C33"/>
    <w:rsid w:val="003A4F0C"/>
    <w:rsid w:val="003A506A"/>
    <w:rsid w:val="003A67EB"/>
    <w:rsid w:val="003A6B02"/>
    <w:rsid w:val="003C1F54"/>
    <w:rsid w:val="003D4491"/>
    <w:rsid w:val="003D6B74"/>
    <w:rsid w:val="003E20EA"/>
    <w:rsid w:val="003E771F"/>
    <w:rsid w:val="003F6D85"/>
    <w:rsid w:val="0040336B"/>
    <w:rsid w:val="004033AF"/>
    <w:rsid w:val="004042A3"/>
    <w:rsid w:val="00405C86"/>
    <w:rsid w:val="00405D3A"/>
    <w:rsid w:val="00405EBE"/>
    <w:rsid w:val="00410066"/>
    <w:rsid w:val="0041074C"/>
    <w:rsid w:val="00411E7D"/>
    <w:rsid w:val="0041414D"/>
    <w:rsid w:val="00421E9A"/>
    <w:rsid w:val="004228D4"/>
    <w:rsid w:val="00425B8A"/>
    <w:rsid w:val="00434B25"/>
    <w:rsid w:val="004353ED"/>
    <w:rsid w:val="00435A53"/>
    <w:rsid w:val="00436322"/>
    <w:rsid w:val="00440957"/>
    <w:rsid w:val="00442698"/>
    <w:rsid w:val="004515D0"/>
    <w:rsid w:val="00453C52"/>
    <w:rsid w:val="00454B95"/>
    <w:rsid w:val="00455202"/>
    <w:rsid w:val="00455E9F"/>
    <w:rsid w:val="0046022C"/>
    <w:rsid w:val="00470D09"/>
    <w:rsid w:val="00473BD7"/>
    <w:rsid w:val="00474235"/>
    <w:rsid w:val="00480C34"/>
    <w:rsid w:val="00480D79"/>
    <w:rsid w:val="004815BD"/>
    <w:rsid w:val="00482456"/>
    <w:rsid w:val="004854AD"/>
    <w:rsid w:val="0049074C"/>
    <w:rsid w:val="0049757B"/>
    <w:rsid w:val="004A1A32"/>
    <w:rsid w:val="004A4C79"/>
    <w:rsid w:val="004B087A"/>
    <w:rsid w:val="004B123F"/>
    <w:rsid w:val="004B24AD"/>
    <w:rsid w:val="004B38D7"/>
    <w:rsid w:val="004B4573"/>
    <w:rsid w:val="004B5814"/>
    <w:rsid w:val="004B6BEB"/>
    <w:rsid w:val="004B7D04"/>
    <w:rsid w:val="004C350E"/>
    <w:rsid w:val="004C52A5"/>
    <w:rsid w:val="004C63FA"/>
    <w:rsid w:val="004C674C"/>
    <w:rsid w:val="004D636B"/>
    <w:rsid w:val="004E5083"/>
    <w:rsid w:val="004E6E54"/>
    <w:rsid w:val="004F24DA"/>
    <w:rsid w:val="005058E8"/>
    <w:rsid w:val="0050758F"/>
    <w:rsid w:val="00515531"/>
    <w:rsid w:val="005155ED"/>
    <w:rsid w:val="00515FD9"/>
    <w:rsid w:val="00523B8A"/>
    <w:rsid w:val="00525C15"/>
    <w:rsid w:val="00532B5D"/>
    <w:rsid w:val="00532D7B"/>
    <w:rsid w:val="00533DA3"/>
    <w:rsid w:val="00540185"/>
    <w:rsid w:val="00545098"/>
    <w:rsid w:val="00556671"/>
    <w:rsid w:val="005710A8"/>
    <w:rsid w:val="005715F2"/>
    <w:rsid w:val="00571E04"/>
    <w:rsid w:val="00572AAC"/>
    <w:rsid w:val="00580507"/>
    <w:rsid w:val="005940E7"/>
    <w:rsid w:val="0059544B"/>
    <w:rsid w:val="005A50F7"/>
    <w:rsid w:val="005A56F7"/>
    <w:rsid w:val="005C6186"/>
    <w:rsid w:val="005D0C62"/>
    <w:rsid w:val="005D1EF6"/>
    <w:rsid w:val="005E3476"/>
    <w:rsid w:val="005E6004"/>
    <w:rsid w:val="005F149F"/>
    <w:rsid w:val="005F6745"/>
    <w:rsid w:val="0060066A"/>
    <w:rsid w:val="00601BFA"/>
    <w:rsid w:val="00610281"/>
    <w:rsid w:val="00611DF1"/>
    <w:rsid w:val="00612177"/>
    <w:rsid w:val="006124D9"/>
    <w:rsid w:val="006146D5"/>
    <w:rsid w:val="00614DC3"/>
    <w:rsid w:val="00617C70"/>
    <w:rsid w:val="006245F6"/>
    <w:rsid w:val="00637229"/>
    <w:rsid w:val="00643646"/>
    <w:rsid w:val="00647225"/>
    <w:rsid w:val="00651A22"/>
    <w:rsid w:val="00651B95"/>
    <w:rsid w:val="0065370F"/>
    <w:rsid w:val="00654276"/>
    <w:rsid w:val="00657CC7"/>
    <w:rsid w:val="00661C89"/>
    <w:rsid w:val="00665CA0"/>
    <w:rsid w:val="00676FEF"/>
    <w:rsid w:val="00677869"/>
    <w:rsid w:val="00680327"/>
    <w:rsid w:val="00684C0D"/>
    <w:rsid w:val="00691734"/>
    <w:rsid w:val="0069527C"/>
    <w:rsid w:val="006A047D"/>
    <w:rsid w:val="006A0AFE"/>
    <w:rsid w:val="006A7955"/>
    <w:rsid w:val="006B481B"/>
    <w:rsid w:val="006C6738"/>
    <w:rsid w:val="006D7221"/>
    <w:rsid w:val="006D7AA8"/>
    <w:rsid w:val="006E021C"/>
    <w:rsid w:val="006E0CAA"/>
    <w:rsid w:val="006E5817"/>
    <w:rsid w:val="006E778E"/>
    <w:rsid w:val="006F2389"/>
    <w:rsid w:val="00704DF5"/>
    <w:rsid w:val="00705444"/>
    <w:rsid w:val="00705B17"/>
    <w:rsid w:val="00710756"/>
    <w:rsid w:val="00711C13"/>
    <w:rsid w:val="00721F45"/>
    <w:rsid w:val="00724220"/>
    <w:rsid w:val="0072584F"/>
    <w:rsid w:val="00726619"/>
    <w:rsid w:val="0073114C"/>
    <w:rsid w:val="00734522"/>
    <w:rsid w:val="00736231"/>
    <w:rsid w:val="0073746C"/>
    <w:rsid w:val="0074159A"/>
    <w:rsid w:val="00751AB7"/>
    <w:rsid w:val="00752696"/>
    <w:rsid w:val="00752FAB"/>
    <w:rsid w:val="00762E38"/>
    <w:rsid w:val="00772090"/>
    <w:rsid w:val="007819C1"/>
    <w:rsid w:val="007820A3"/>
    <w:rsid w:val="00783D76"/>
    <w:rsid w:val="00785826"/>
    <w:rsid w:val="00790D56"/>
    <w:rsid w:val="00792B42"/>
    <w:rsid w:val="007945C8"/>
    <w:rsid w:val="00795EC2"/>
    <w:rsid w:val="007A0F65"/>
    <w:rsid w:val="007A7A7E"/>
    <w:rsid w:val="007B268F"/>
    <w:rsid w:val="007B2A66"/>
    <w:rsid w:val="007B2FD7"/>
    <w:rsid w:val="007D02AD"/>
    <w:rsid w:val="007D1508"/>
    <w:rsid w:val="007D4DCE"/>
    <w:rsid w:val="007E14BA"/>
    <w:rsid w:val="007E3230"/>
    <w:rsid w:val="007E5C05"/>
    <w:rsid w:val="007F3409"/>
    <w:rsid w:val="007F3EB4"/>
    <w:rsid w:val="00802725"/>
    <w:rsid w:val="00803553"/>
    <w:rsid w:val="00806787"/>
    <w:rsid w:val="0080757E"/>
    <w:rsid w:val="00807C5A"/>
    <w:rsid w:val="00834648"/>
    <w:rsid w:val="00836057"/>
    <w:rsid w:val="00836A08"/>
    <w:rsid w:val="00836ACB"/>
    <w:rsid w:val="00842E07"/>
    <w:rsid w:val="0084645F"/>
    <w:rsid w:val="0084779A"/>
    <w:rsid w:val="00850674"/>
    <w:rsid w:val="00852145"/>
    <w:rsid w:val="0085226D"/>
    <w:rsid w:val="0085250C"/>
    <w:rsid w:val="0085358D"/>
    <w:rsid w:val="00853D4E"/>
    <w:rsid w:val="00863C90"/>
    <w:rsid w:val="00870A68"/>
    <w:rsid w:val="008777F3"/>
    <w:rsid w:val="008874F0"/>
    <w:rsid w:val="00891FBB"/>
    <w:rsid w:val="00892042"/>
    <w:rsid w:val="00897464"/>
    <w:rsid w:val="008A1AE0"/>
    <w:rsid w:val="008A3E6A"/>
    <w:rsid w:val="008B03B0"/>
    <w:rsid w:val="008B2394"/>
    <w:rsid w:val="008B6460"/>
    <w:rsid w:val="008C17D9"/>
    <w:rsid w:val="008C3C4E"/>
    <w:rsid w:val="008E20CA"/>
    <w:rsid w:val="008E2233"/>
    <w:rsid w:val="008E3FB8"/>
    <w:rsid w:val="008E5344"/>
    <w:rsid w:val="008F584E"/>
    <w:rsid w:val="008F7A5D"/>
    <w:rsid w:val="008F7C5F"/>
    <w:rsid w:val="00900331"/>
    <w:rsid w:val="009011BD"/>
    <w:rsid w:val="009217FD"/>
    <w:rsid w:val="009274D6"/>
    <w:rsid w:val="0093217F"/>
    <w:rsid w:val="0093475A"/>
    <w:rsid w:val="00946A58"/>
    <w:rsid w:val="009578E0"/>
    <w:rsid w:val="00965DB4"/>
    <w:rsid w:val="00971069"/>
    <w:rsid w:val="00971136"/>
    <w:rsid w:val="009727C9"/>
    <w:rsid w:val="00972A67"/>
    <w:rsid w:val="00975D3E"/>
    <w:rsid w:val="009837A8"/>
    <w:rsid w:val="0098634E"/>
    <w:rsid w:val="00991C4E"/>
    <w:rsid w:val="0099264F"/>
    <w:rsid w:val="00992CFF"/>
    <w:rsid w:val="00993F05"/>
    <w:rsid w:val="00994124"/>
    <w:rsid w:val="00996906"/>
    <w:rsid w:val="00996AC8"/>
    <w:rsid w:val="009A15D0"/>
    <w:rsid w:val="009A1AA2"/>
    <w:rsid w:val="009A68EB"/>
    <w:rsid w:val="009B2A8C"/>
    <w:rsid w:val="009B385D"/>
    <w:rsid w:val="009B4C98"/>
    <w:rsid w:val="009B6405"/>
    <w:rsid w:val="009C0311"/>
    <w:rsid w:val="009C0937"/>
    <w:rsid w:val="009C0CA0"/>
    <w:rsid w:val="009C17A3"/>
    <w:rsid w:val="009C6F1F"/>
    <w:rsid w:val="009D420A"/>
    <w:rsid w:val="009E1EEC"/>
    <w:rsid w:val="009E1F98"/>
    <w:rsid w:val="009E3E3A"/>
    <w:rsid w:val="009E48DA"/>
    <w:rsid w:val="009E5615"/>
    <w:rsid w:val="009F13FA"/>
    <w:rsid w:val="00A00E7B"/>
    <w:rsid w:val="00A01795"/>
    <w:rsid w:val="00A051D1"/>
    <w:rsid w:val="00A1164C"/>
    <w:rsid w:val="00A16062"/>
    <w:rsid w:val="00A31C7C"/>
    <w:rsid w:val="00A32D72"/>
    <w:rsid w:val="00A341EA"/>
    <w:rsid w:val="00A42687"/>
    <w:rsid w:val="00A47BA7"/>
    <w:rsid w:val="00A56F52"/>
    <w:rsid w:val="00A64C59"/>
    <w:rsid w:val="00A666A9"/>
    <w:rsid w:val="00A76267"/>
    <w:rsid w:val="00A8032F"/>
    <w:rsid w:val="00A86E32"/>
    <w:rsid w:val="00A9021F"/>
    <w:rsid w:val="00A91D2C"/>
    <w:rsid w:val="00AA4B59"/>
    <w:rsid w:val="00AB1441"/>
    <w:rsid w:val="00AB235C"/>
    <w:rsid w:val="00AB2580"/>
    <w:rsid w:val="00AC16A4"/>
    <w:rsid w:val="00AD1EFA"/>
    <w:rsid w:val="00AE069D"/>
    <w:rsid w:val="00AE069F"/>
    <w:rsid w:val="00AE2DF4"/>
    <w:rsid w:val="00AE4F7F"/>
    <w:rsid w:val="00AE6A82"/>
    <w:rsid w:val="00AE6C29"/>
    <w:rsid w:val="00AF0F2E"/>
    <w:rsid w:val="00AF1E9C"/>
    <w:rsid w:val="00AF465F"/>
    <w:rsid w:val="00AF62AF"/>
    <w:rsid w:val="00B00144"/>
    <w:rsid w:val="00B0604B"/>
    <w:rsid w:val="00B074F5"/>
    <w:rsid w:val="00B1004E"/>
    <w:rsid w:val="00B12119"/>
    <w:rsid w:val="00B215D4"/>
    <w:rsid w:val="00B220E4"/>
    <w:rsid w:val="00B236AD"/>
    <w:rsid w:val="00B30DC9"/>
    <w:rsid w:val="00B4119E"/>
    <w:rsid w:val="00B42167"/>
    <w:rsid w:val="00B448FE"/>
    <w:rsid w:val="00B50F70"/>
    <w:rsid w:val="00B609A8"/>
    <w:rsid w:val="00B645FA"/>
    <w:rsid w:val="00B65D45"/>
    <w:rsid w:val="00B70D87"/>
    <w:rsid w:val="00B72511"/>
    <w:rsid w:val="00B72FCE"/>
    <w:rsid w:val="00B7472C"/>
    <w:rsid w:val="00B758D8"/>
    <w:rsid w:val="00B76C35"/>
    <w:rsid w:val="00B81F42"/>
    <w:rsid w:val="00B8627D"/>
    <w:rsid w:val="00B87906"/>
    <w:rsid w:val="00B9186E"/>
    <w:rsid w:val="00B91EF3"/>
    <w:rsid w:val="00BA0142"/>
    <w:rsid w:val="00BA2621"/>
    <w:rsid w:val="00BA6353"/>
    <w:rsid w:val="00BC1F85"/>
    <w:rsid w:val="00BC5B0D"/>
    <w:rsid w:val="00BD20B8"/>
    <w:rsid w:val="00BD6879"/>
    <w:rsid w:val="00BE0A3C"/>
    <w:rsid w:val="00BE3570"/>
    <w:rsid w:val="00BE5647"/>
    <w:rsid w:val="00BF02EC"/>
    <w:rsid w:val="00BF62E1"/>
    <w:rsid w:val="00BF660A"/>
    <w:rsid w:val="00C002D3"/>
    <w:rsid w:val="00C01E64"/>
    <w:rsid w:val="00C0228B"/>
    <w:rsid w:val="00C0468C"/>
    <w:rsid w:val="00C1147B"/>
    <w:rsid w:val="00C1429C"/>
    <w:rsid w:val="00C2765D"/>
    <w:rsid w:val="00C30739"/>
    <w:rsid w:val="00C31A99"/>
    <w:rsid w:val="00C336F3"/>
    <w:rsid w:val="00C34AAE"/>
    <w:rsid w:val="00C35236"/>
    <w:rsid w:val="00C42994"/>
    <w:rsid w:val="00C45558"/>
    <w:rsid w:val="00C46F2B"/>
    <w:rsid w:val="00C56D99"/>
    <w:rsid w:val="00C57EBC"/>
    <w:rsid w:val="00C640F0"/>
    <w:rsid w:val="00C65650"/>
    <w:rsid w:val="00C72DE2"/>
    <w:rsid w:val="00C800DB"/>
    <w:rsid w:val="00C854DE"/>
    <w:rsid w:val="00C92C47"/>
    <w:rsid w:val="00CA4AFD"/>
    <w:rsid w:val="00CA6E2A"/>
    <w:rsid w:val="00CB44CF"/>
    <w:rsid w:val="00CB63A4"/>
    <w:rsid w:val="00CC3CD3"/>
    <w:rsid w:val="00CC463C"/>
    <w:rsid w:val="00CD00B4"/>
    <w:rsid w:val="00CD0BF9"/>
    <w:rsid w:val="00CE2A34"/>
    <w:rsid w:val="00CE36B9"/>
    <w:rsid w:val="00CF4430"/>
    <w:rsid w:val="00D118CE"/>
    <w:rsid w:val="00D15523"/>
    <w:rsid w:val="00D15FD8"/>
    <w:rsid w:val="00D221DD"/>
    <w:rsid w:val="00D24820"/>
    <w:rsid w:val="00D24F42"/>
    <w:rsid w:val="00D348AF"/>
    <w:rsid w:val="00D37703"/>
    <w:rsid w:val="00D4250F"/>
    <w:rsid w:val="00D434C0"/>
    <w:rsid w:val="00D44889"/>
    <w:rsid w:val="00D45588"/>
    <w:rsid w:val="00D50F7D"/>
    <w:rsid w:val="00D54386"/>
    <w:rsid w:val="00D56C56"/>
    <w:rsid w:val="00D571E4"/>
    <w:rsid w:val="00D7199A"/>
    <w:rsid w:val="00D754F0"/>
    <w:rsid w:val="00D81D42"/>
    <w:rsid w:val="00D84B2F"/>
    <w:rsid w:val="00D85E77"/>
    <w:rsid w:val="00D9029E"/>
    <w:rsid w:val="00D93435"/>
    <w:rsid w:val="00D934AC"/>
    <w:rsid w:val="00DA4600"/>
    <w:rsid w:val="00DA6875"/>
    <w:rsid w:val="00DA6EA7"/>
    <w:rsid w:val="00DB3783"/>
    <w:rsid w:val="00DB53B2"/>
    <w:rsid w:val="00DB7CB0"/>
    <w:rsid w:val="00DC4533"/>
    <w:rsid w:val="00DC55BE"/>
    <w:rsid w:val="00DC7392"/>
    <w:rsid w:val="00DC7587"/>
    <w:rsid w:val="00DD1ED4"/>
    <w:rsid w:val="00DD6491"/>
    <w:rsid w:val="00DE1C90"/>
    <w:rsid w:val="00DE5128"/>
    <w:rsid w:val="00DF3AE7"/>
    <w:rsid w:val="00DF4D87"/>
    <w:rsid w:val="00E00FB3"/>
    <w:rsid w:val="00E0134C"/>
    <w:rsid w:val="00E01B2B"/>
    <w:rsid w:val="00E01B86"/>
    <w:rsid w:val="00E043DE"/>
    <w:rsid w:val="00E06278"/>
    <w:rsid w:val="00E117BC"/>
    <w:rsid w:val="00E12EFE"/>
    <w:rsid w:val="00E132DD"/>
    <w:rsid w:val="00E356B9"/>
    <w:rsid w:val="00E41977"/>
    <w:rsid w:val="00E41DDB"/>
    <w:rsid w:val="00E4402D"/>
    <w:rsid w:val="00E44C73"/>
    <w:rsid w:val="00E44D25"/>
    <w:rsid w:val="00E50C21"/>
    <w:rsid w:val="00E52874"/>
    <w:rsid w:val="00E57956"/>
    <w:rsid w:val="00E62C17"/>
    <w:rsid w:val="00E6620B"/>
    <w:rsid w:val="00E74EB5"/>
    <w:rsid w:val="00E95030"/>
    <w:rsid w:val="00E955CD"/>
    <w:rsid w:val="00E9609F"/>
    <w:rsid w:val="00EA01F9"/>
    <w:rsid w:val="00EA6049"/>
    <w:rsid w:val="00EA71C3"/>
    <w:rsid w:val="00EB28DF"/>
    <w:rsid w:val="00EB3EA8"/>
    <w:rsid w:val="00EB3FB3"/>
    <w:rsid w:val="00EC47F3"/>
    <w:rsid w:val="00EC6704"/>
    <w:rsid w:val="00EC6D7D"/>
    <w:rsid w:val="00EC719A"/>
    <w:rsid w:val="00ED2117"/>
    <w:rsid w:val="00ED3136"/>
    <w:rsid w:val="00ED6211"/>
    <w:rsid w:val="00ED6D84"/>
    <w:rsid w:val="00ED7634"/>
    <w:rsid w:val="00EE406B"/>
    <w:rsid w:val="00EE691C"/>
    <w:rsid w:val="00EF028B"/>
    <w:rsid w:val="00EF0D95"/>
    <w:rsid w:val="00EF209B"/>
    <w:rsid w:val="00F00548"/>
    <w:rsid w:val="00F015F6"/>
    <w:rsid w:val="00F02E76"/>
    <w:rsid w:val="00F03027"/>
    <w:rsid w:val="00F14AE9"/>
    <w:rsid w:val="00F14B1F"/>
    <w:rsid w:val="00F14CFB"/>
    <w:rsid w:val="00F205D5"/>
    <w:rsid w:val="00F20EE2"/>
    <w:rsid w:val="00F2202B"/>
    <w:rsid w:val="00F233F2"/>
    <w:rsid w:val="00F23B41"/>
    <w:rsid w:val="00F34619"/>
    <w:rsid w:val="00F34EDF"/>
    <w:rsid w:val="00F411E2"/>
    <w:rsid w:val="00F41DB5"/>
    <w:rsid w:val="00F42648"/>
    <w:rsid w:val="00F5422B"/>
    <w:rsid w:val="00F64D0C"/>
    <w:rsid w:val="00F82B5A"/>
    <w:rsid w:val="00F853D6"/>
    <w:rsid w:val="00F917F3"/>
    <w:rsid w:val="00FA131A"/>
    <w:rsid w:val="00FA1D01"/>
    <w:rsid w:val="00FA20C7"/>
    <w:rsid w:val="00FA4CB2"/>
    <w:rsid w:val="00FA52B9"/>
    <w:rsid w:val="00FA5BC4"/>
    <w:rsid w:val="00FA619B"/>
    <w:rsid w:val="00FA671C"/>
    <w:rsid w:val="00FB29AD"/>
    <w:rsid w:val="00FB40C1"/>
    <w:rsid w:val="00FB54B8"/>
    <w:rsid w:val="00FB6434"/>
    <w:rsid w:val="00FC04D8"/>
    <w:rsid w:val="00FC4705"/>
    <w:rsid w:val="00FC6C49"/>
    <w:rsid w:val="00FD1F64"/>
    <w:rsid w:val="00FE0740"/>
    <w:rsid w:val="00FE3EA4"/>
    <w:rsid w:val="00FF5CA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38D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BalloonText">
    <w:name w:val="Balloon Text"/>
    <w:basedOn w:val="Normal"/>
    <w:link w:val="BalloonTextChar"/>
    <w:rsid w:val="00B00144"/>
    <w:rPr>
      <w:rFonts w:ascii="Tahoma" w:hAnsi="Tahoma"/>
      <w:sz w:val="16"/>
      <w:szCs w:val="16"/>
      <w:lang w:val="x-none" w:eastAsia="x-none"/>
    </w:rPr>
  </w:style>
  <w:style w:type="character" w:customStyle="1" w:styleId="BalloonTextChar">
    <w:name w:val="Balloon Text Char"/>
    <w:link w:val="BalloonText"/>
    <w:rsid w:val="00B00144"/>
    <w:rPr>
      <w:rFonts w:ascii="Tahoma" w:hAnsi="Tahoma" w:cs="Tahoma"/>
      <w:sz w:val="16"/>
      <w:szCs w:val="16"/>
    </w:rPr>
  </w:style>
  <w:style w:type="character" w:styleId="CommentReference">
    <w:name w:val="annotation reference"/>
    <w:rsid w:val="00EC6D7D"/>
    <w:rPr>
      <w:sz w:val="16"/>
      <w:szCs w:val="16"/>
    </w:rPr>
  </w:style>
  <w:style w:type="paragraph" w:styleId="CommentText">
    <w:name w:val="annotation text"/>
    <w:basedOn w:val="Normal"/>
    <w:link w:val="CommentTextChar"/>
    <w:rsid w:val="00EC6D7D"/>
    <w:rPr>
      <w:sz w:val="20"/>
      <w:szCs w:val="20"/>
    </w:rPr>
  </w:style>
  <w:style w:type="character" w:customStyle="1" w:styleId="CommentTextChar">
    <w:name w:val="Comment Text Char"/>
    <w:basedOn w:val="DefaultParagraphFont"/>
    <w:link w:val="CommentText"/>
    <w:rsid w:val="00EC6D7D"/>
  </w:style>
  <w:style w:type="paragraph" w:styleId="CommentSubject">
    <w:name w:val="annotation subject"/>
    <w:basedOn w:val="CommentText"/>
    <w:next w:val="CommentText"/>
    <w:link w:val="CommentSubjectChar"/>
    <w:rsid w:val="00EC6D7D"/>
    <w:rPr>
      <w:b/>
      <w:bCs/>
      <w:lang w:val="x-none" w:eastAsia="x-none"/>
    </w:rPr>
  </w:style>
  <w:style w:type="character" w:customStyle="1" w:styleId="CommentSubjectChar">
    <w:name w:val="Comment Subject Char"/>
    <w:link w:val="CommentSubject"/>
    <w:rsid w:val="00EC6D7D"/>
    <w:rPr>
      <w:b/>
      <w:bCs/>
    </w:rPr>
  </w:style>
  <w:style w:type="character" w:styleId="Hyperlink">
    <w:name w:val="Hyperlink"/>
    <w:uiPriority w:val="99"/>
    <w:unhideWhenUsed/>
    <w:rsid w:val="00684C0D"/>
    <w:rPr>
      <w:color w:val="0000FF"/>
      <w:u w:val="single"/>
    </w:rPr>
  </w:style>
  <w:style w:type="paragraph" w:styleId="Header">
    <w:name w:val="header"/>
    <w:basedOn w:val="Normal"/>
    <w:link w:val="HeaderChar"/>
    <w:rsid w:val="009217FD"/>
    <w:pPr>
      <w:tabs>
        <w:tab w:val="center" w:pos="4680"/>
        <w:tab w:val="right" w:pos="9360"/>
      </w:tabs>
    </w:pPr>
  </w:style>
  <w:style w:type="character" w:customStyle="1" w:styleId="HeaderChar">
    <w:name w:val="Header Char"/>
    <w:link w:val="Header"/>
    <w:rsid w:val="009217FD"/>
    <w:rPr>
      <w:sz w:val="24"/>
      <w:szCs w:val="24"/>
    </w:rPr>
  </w:style>
  <w:style w:type="paragraph" w:styleId="Footer">
    <w:name w:val="footer"/>
    <w:basedOn w:val="Normal"/>
    <w:link w:val="FooterChar"/>
    <w:rsid w:val="009217FD"/>
    <w:pPr>
      <w:tabs>
        <w:tab w:val="center" w:pos="4680"/>
        <w:tab w:val="right" w:pos="9360"/>
      </w:tabs>
    </w:pPr>
  </w:style>
  <w:style w:type="character" w:customStyle="1" w:styleId="FooterChar">
    <w:name w:val="Footer Char"/>
    <w:link w:val="Footer"/>
    <w:rsid w:val="009217FD"/>
    <w:rPr>
      <w:sz w:val="24"/>
      <w:szCs w:val="24"/>
    </w:rPr>
  </w:style>
  <w:style w:type="paragraph" w:styleId="ListParagraph">
    <w:name w:val="List Paragraph"/>
    <w:basedOn w:val="Normal"/>
    <w:uiPriority w:val="34"/>
    <w:qFormat/>
    <w:rsid w:val="004B38D7"/>
    <w:pPr>
      <w:ind w:left="720"/>
      <w:contextualSpacing/>
    </w:pPr>
  </w:style>
  <w:style w:type="paragraph" w:styleId="Revision">
    <w:name w:val="Revision"/>
    <w:hidden/>
    <w:uiPriority w:val="99"/>
    <w:semiHidden/>
    <w:rsid w:val="00405C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551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2039</Words>
  <Characters>11628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2020-10-29T14:34:00Z</dcterms:created>
  <dcterms:modified xsi:type="dcterms:W3CDTF">2020-10-29T18:31:00Z</dcterms:modified>
</cp:coreProperties>
</file>