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227B" w:rsidRPr="00AC416F" w:rsidP="00D96337" w14:paraId="3670EEFC" w14:textId="77777777">
      <w:pPr>
        <w:pStyle w:val="Heading2"/>
        <w:tabs>
          <w:tab w:val="left" w:pos="900"/>
        </w:tabs>
        <w:ind w:right="-180"/>
        <w:rPr>
          <w:b w:val="0"/>
        </w:rPr>
      </w:pPr>
      <w:r>
        <w:rPr>
          <w:b w:val="0"/>
        </w:rPr>
        <w:t>United States Food and Drug Administration</w:t>
      </w:r>
      <w:r>
        <w:rPr>
          <w:b w:val="0"/>
        </w:rPr>
        <w:br/>
      </w:r>
      <w:r w:rsidRPr="00AC416F">
        <w:rPr>
          <w:b w:val="0"/>
        </w:rPr>
        <w:t>Generic Clearance: FDA Rapid Response Surveys</w:t>
      </w:r>
    </w:p>
    <w:p w:rsidR="0029227B" w:rsidRPr="00AC416F" w:rsidP="00D96337" w14:paraId="258D1C14" w14:textId="77777777">
      <w:pPr>
        <w:jc w:val="center"/>
      </w:pPr>
      <w:r w:rsidRPr="00AC416F">
        <w:t>OMB Control Number 0910-0500</w:t>
      </w:r>
    </w:p>
    <w:p w:rsidR="00F30929" w:rsidRPr="00AC416F" w:rsidP="00D96337" w14:paraId="317AFFA3" w14:textId="77777777">
      <w:pPr>
        <w:jc w:val="center"/>
      </w:pPr>
      <w:r w:rsidRPr="00AC416F">
        <w:t>G</w:t>
      </w:r>
      <w:r w:rsidR="00AC416F">
        <w:t xml:space="preserve">en </w:t>
      </w:r>
      <w:r w:rsidRPr="00AC416F">
        <w:t xml:space="preserve">IC </w:t>
      </w:r>
      <w:r w:rsidR="00AC416F">
        <w:t>Request for Approval</w:t>
      </w:r>
    </w:p>
    <w:p w:rsidR="003F1C7A" w:rsidP="00D96337" w14:paraId="56ADD7EC" w14:textId="77777777"/>
    <w:p w:rsidR="00FF0D11" w:rsidP="00690B02" w14:paraId="40CEB30A" w14:textId="77777777">
      <w:pPr>
        <w:rPr>
          <w:sz w:val="22"/>
          <w:szCs w:val="22"/>
        </w:rPr>
      </w:pPr>
    </w:p>
    <w:p w:rsidR="00FF0D11" w:rsidP="00FF0D11" w14:paraId="4F081193" w14:textId="77777777">
      <w:pPr>
        <w:rPr>
          <w:sz w:val="20"/>
          <w:szCs w:val="20"/>
        </w:rPr>
      </w:pPr>
      <w:r w:rsidRPr="00085F9E">
        <w:rPr>
          <w:sz w:val="20"/>
          <w:szCs w:val="20"/>
        </w:rPr>
        <w:t>FDA uses the Rapid Response Surveys to further develop tools and science necessary to better understand where vulnerabilities are and the most effective ways to minimize them, as well as to intervene and respond once a problem occurs.</w:t>
      </w:r>
    </w:p>
    <w:p w:rsidR="00FF0D11" w:rsidP="00690B02" w14:paraId="1AF6E861" w14:textId="77777777">
      <w:pPr>
        <w:rPr>
          <w:sz w:val="22"/>
          <w:szCs w:val="22"/>
        </w:rPr>
      </w:pPr>
    </w:p>
    <w:p w:rsidR="008C5AAC" w:rsidRPr="00EF2C89" w:rsidP="00B823F4" w14:paraId="59D3ECCE" w14:textId="0B928CC5">
      <w:pPr>
        <w:spacing w:after="200"/>
        <w:rPr>
          <w:rFonts w:eastAsia="Calibri"/>
        </w:rPr>
      </w:pPr>
      <w:r w:rsidRPr="00EF2C89">
        <w:rPr>
          <w:rFonts w:eastAsia="Calibri"/>
          <w:b/>
        </w:rPr>
        <w:t>Title of Gen IC:</w:t>
      </w:r>
      <w:r w:rsidRPr="00EF2C89">
        <w:rPr>
          <w:rFonts w:eastAsia="Calibri"/>
        </w:rPr>
        <w:t xml:space="preserve"> </w:t>
      </w:r>
      <w:r w:rsidRPr="00FE5BD7" w:rsidR="00FE5BD7">
        <w:rPr>
          <w:rFonts w:eastAsia="Calibri"/>
        </w:rPr>
        <w:t>CDER COVID-19 Critical Care Drug Monitoring Survey Portal</w:t>
      </w:r>
    </w:p>
    <w:p w:rsidR="008C5AAC" w:rsidRPr="00EF2C89" w:rsidP="008C5AAC" w14:paraId="32306EFB" w14:textId="77777777">
      <w:pPr>
        <w:numPr>
          <w:ilvl w:val="0"/>
          <w:numId w:val="34"/>
        </w:numPr>
        <w:spacing w:after="200" w:line="276" w:lineRule="auto"/>
        <w:rPr>
          <w:b/>
        </w:rPr>
      </w:pPr>
      <w:r w:rsidRPr="00EF2C89">
        <w:rPr>
          <w:b/>
        </w:rPr>
        <w:t>Statement of Need:</w:t>
      </w:r>
    </w:p>
    <w:p w:rsidR="00B823F4" w:rsidRPr="00B823F4" w:rsidP="00B823F4" w14:paraId="36607A3F" w14:textId="77777777">
      <w:pPr>
        <w:ind w:left="360"/>
        <w:rPr>
          <w:rFonts w:eastAsia="Calibri"/>
        </w:rPr>
      </w:pPr>
      <w:r w:rsidRPr="00B823F4">
        <w:rPr>
          <w:rFonts w:eastAsia="Calibri"/>
        </w:rPr>
        <w:t xml:space="preserve">A critical component of FDA’s public health mission is to help ensure patients have access to safe and effective medicines.  Drug shortages and supply chain disruptions hinder the ability of patients to have access to critical medicines and can occur for several reasons, including manufacturing and quality challenges, supply discontinuations, and increases in demand.  </w:t>
      </w:r>
    </w:p>
    <w:p w:rsidR="00B823F4" w:rsidRPr="00B823F4" w:rsidP="00B823F4" w14:paraId="2E3E95AF" w14:textId="77777777">
      <w:pPr>
        <w:ind w:left="360"/>
        <w:rPr>
          <w:rFonts w:eastAsia="Calibri"/>
        </w:rPr>
      </w:pPr>
    </w:p>
    <w:p w:rsidR="00B823F4" w:rsidP="00B823F4" w14:paraId="32012966" w14:textId="742BEF53">
      <w:pPr>
        <w:ind w:left="360"/>
        <w:rPr>
          <w:rFonts w:eastAsia="Calibri"/>
        </w:rPr>
      </w:pPr>
      <w:r w:rsidRPr="00B823F4">
        <w:rPr>
          <w:rFonts w:eastAsia="Calibri"/>
        </w:rPr>
        <w:t xml:space="preserve">Supply chains for medical products are highly complex.  Process and distribution logistics, including source (starting) materials, active (bulk), pharmaceutical ingredients, and finished (final) product are often not well understood given the number of manufacturers, variability in production capacity, geographic and environmental factors, and uncertain demand.  Due to this level of complexity, supply chain strains, disruptions, and medical product shortages are multi-factorial and can occur at any point in the chain. These issues can be further exacerbated by factors such as pandemics, other biological threats, cyber-attacks, extreme weather events, and geopolitical instability that can reduce critical manufacturing capacity and the availability and integrity of critical goods, products, and services.  </w:t>
      </w:r>
    </w:p>
    <w:p w:rsidR="00B823F4" w:rsidRPr="00B823F4" w:rsidP="007F56EE" w14:paraId="719E0B30" w14:textId="77777777">
      <w:pPr>
        <w:rPr>
          <w:rFonts w:eastAsia="Calibri"/>
        </w:rPr>
      </w:pPr>
    </w:p>
    <w:p w:rsidR="00B823F4" w:rsidRPr="00B823F4" w:rsidP="00B823F4" w14:paraId="5720282C" w14:textId="77777777">
      <w:pPr>
        <w:ind w:left="360"/>
        <w:rPr>
          <w:rFonts w:eastAsia="Calibri"/>
        </w:rPr>
      </w:pPr>
      <w:r w:rsidRPr="00B823F4">
        <w:rPr>
          <w:rFonts w:eastAsia="Calibri"/>
        </w:rPr>
        <w:t xml:space="preserve">Based on CDER’s regulatory and surveillance data, the supply chain of numerous drugs has been further disrupted since the beginning of the COVID-19 pandemic because of rapid increases in the number of hospitalized patients and, consequently, an increased demand for products used in the treatment of COVID-19.  Hence, this pandemic has led to national and regional supply disruptions and shortages of drugs and biological products used in the treatment of COVID-19 in the United States.  </w:t>
      </w:r>
    </w:p>
    <w:p w:rsidR="00B823F4" w:rsidRPr="00B823F4" w:rsidP="00B823F4" w14:paraId="07B20404" w14:textId="77777777">
      <w:pPr>
        <w:ind w:left="360"/>
        <w:rPr>
          <w:rFonts w:eastAsia="Calibri"/>
        </w:rPr>
      </w:pPr>
    </w:p>
    <w:p w:rsidR="00B823F4" w:rsidRPr="00B823F4" w:rsidP="00B823F4" w14:paraId="5350D3BC" w14:textId="6F7306CC">
      <w:pPr>
        <w:ind w:left="360"/>
        <w:rPr>
          <w:rFonts w:eastAsia="Calibri"/>
        </w:rPr>
      </w:pPr>
      <w:r w:rsidRPr="00B823F4">
        <w:rPr>
          <w:rFonts w:eastAsia="Calibri"/>
        </w:rPr>
        <w:t xml:space="preserve">On April 9, 2020, FDA obtained a PRA waiver to conduct a repeated cross-sectional, voluntary survey based on a purposive sample (i.e., a convenience sample that is not probability based and, therefore, not nationally representative) from external stakeholders of U.S. hospital and health system pharmacies.  Data from these stakeholders regarding their organization’s drug supply were first collected in April 2020 from severe COVID-19 hotspots (CA, FL, LA, MA, MI, NY, PA), and eventually in 45 states (starting May 2020).  </w:t>
      </w:r>
    </w:p>
    <w:p w:rsidR="00B823F4" w:rsidRPr="00B823F4" w:rsidP="00B823F4" w14:paraId="5ED7BBAC" w14:textId="77777777">
      <w:pPr>
        <w:ind w:left="360"/>
        <w:rPr>
          <w:rFonts w:eastAsia="Calibri"/>
        </w:rPr>
      </w:pPr>
    </w:p>
    <w:p w:rsidR="00166B46" w:rsidP="00B823F4" w14:paraId="071E6C5A" w14:textId="7192A516">
      <w:pPr>
        <w:ind w:left="360"/>
        <w:rPr>
          <w:rFonts w:eastAsia="Calibri"/>
        </w:rPr>
      </w:pPr>
      <w:r w:rsidRPr="00B823F4">
        <w:rPr>
          <w:rFonts w:eastAsia="Calibri"/>
        </w:rPr>
        <w:t>FDA recognizes that the COVID-19 pandemic may continue to affect the supply chain of various drug and biological products after the expiration of the public health emergency.  To mitigate potential disruptions in the supply chain, FDA seeks to continue collecting data from these voluntary surveys after the expiration of the public health emergency to monitor the drug supply and help identify early signals of drug supply chain vulnerability.</w:t>
      </w:r>
    </w:p>
    <w:p w:rsidR="00166B46" w14:paraId="21D443CA" w14:textId="77777777">
      <w:pPr>
        <w:rPr>
          <w:rFonts w:eastAsia="Calibri"/>
        </w:rPr>
      </w:pPr>
      <w:r>
        <w:rPr>
          <w:rFonts w:eastAsia="Calibri"/>
        </w:rPr>
        <w:br w:type="page"/>
      </w:r>
    </w:p>
    <w:p w:rsidR="008C5AAC" w:rsidRPr="00EF2C89" w:rsidP="00B823F4" w14:paraId="41082C27" w14:textId="77777777">
      <w:pPr>
        <w:ind w:left="360"/>
      </w:pPr>
    </w:p>
    <w:p w:rsidR="00682448" w:rsidRPr="00EF2C89" w:rsidP="008C5AAC" w14:paraId="689C371F" w14:textId="77777777"/>
    <w:p w:rsidR="008C5AAC" w:rsidRPr="007F56EE" w:rsidP="007F56EE" w14:paraId="7835DB91" w14:textId="31CBD353">
      <w:pPr>
        <w:numPr>
          <w:ilvl w:val="0"/>
          <w:numId w:val="34"/>
        </w:numPr>
      </w:pPr>
      <w:r w:rsidRPr="00EF2C89">
        <w:rPr>
          <w:b/>
        </w:rPr>
        <w:t>Intended Use of the Information:</w:t>
      </w:r>
      <w:r w:rsidRPr="00EF2C89">
        <w:rPr>
          <w:b/>
        </w:rPr>
        <w:br/>
      </w:r>
      <w:r w:rsidRPr="00EF2C89">
        <w:br/>
      </w:r>
      <w:r w:rsidR="00B823F4">
        <w:rPr>
          <w:rFonts w:eastAsia="Calibri"/>
        </w:rPr>
        <w:t>FDA intends to use this information to mitigate potential disruptions in the supply chain by monitoring the drug supply and identifying early signals of drug supply chain vulnerability.</w:t>
      </w:r>
      <w:r w:rsidR="00474EE9">
        <w:rPr>
          <w:rFonts w:eastAsia="Calibri"/>
        </w:rPr>
        <w:t xml:space="preserve"> FDA’s current efforts for drug supply surveillance include the Center for Drug Evaluation and Research</w:t>
      </w:r>
      <w:r w:rsidRPr="00CC023B" w:rsidR="00474EE9">
        <w:rPr>
          <w:rFonts w:eastAsia="Calibri"/>
        </w:rPr>
        <w:t>’s Drug Supply Chain Surveillance System</w:t>
      </w:r>
      <w:r w:rsidR="00474EE9">
        <w:rPr>
          <w:rFonts w:eastAsia="Calibri"/>
        </w:rPr>
        <w:t>, which</w:t>
      </w:r>
      <w:r w:rsidRPr="00CC023B" w:rsidR="00474EE9">
        <w:rPr>
          <w:rFonts w:eastAsia="Calibri"/>
        </w:rPr>
        <w:t xml:space="preserve"> provides enhanced insight into the drug supply chain—from active ingredient suppliers to clinical settings such as hospitals and pharmacies. This system will utilize existing as well as new data sources to identify early signals that may indicate shortages so they can be prevented and mitigated. FDA is also in constant communication and closely working with manufacturers to prevent or reduce the impact of shortages.</w:t>
      </w:r>
    </w:p>
    <w:p w:rsidR="007F56EE" w:rsidRPr="00EF2C89" w:rsidP="007F56EE" w14:paraId="7376F39C" w14:textId="77777777">
      <w:pPr>
        <w:ind w:left="360"/>
      </w:pPr>
    </w:p>
    <w:p w:rsidR="008C5AAC" w:rsidRPr="00EF2C89" w:rsidP="008C5AAC" w14:paraId="45353AE4" w14:textId="77777777">
      <w:pPr>
        <w:widowControl w:val="0"/>
        <w:numPr>
          <w:ilvl w:val="0"/>
          <w:numId w:val="34"/>
        </w:numPr>
        <w:spacing w:after="200" w:line="276" w:lineRule="auto"/>
        <w:contextualSpacing/>
        <w:rPr>
          <w:b/>
          <w:snapToGrid w:val="0"/>
        </w:rPr>
      </w:pPr>
      <w:r w:rsidRPr="00EF2C89">
        <w:rPr>
          <w:b/>
          <w:snapToGrid w:val="0"/>
        </w:rPr>
        <w:t>Description of Respondents:</w:t>
      </w:r>
    </w:p>
    <w:p w:rsidR="008C5AAC" w:rsidRPr="00EF2C89" w:rsidP="008C5AAC" w14:paraId="2621285A" w14:textId="77777777">
      <w:pPr>
        <w:widowControl w:val="0"/>
        <w:ind w:left="360"/>
        <w:contextualSpacing/>
        <w:rPr>
          <w:snapToGrid w:val="0"/>
        </w:rPr>
      </w:pPr>
    </w:p>
    <w:p w:rsidR="008C5AAC" w:rsidRPr="00EF2C89" w:rsidP="008C5AAC" w14:paraId="6115D145" w14:textId="7C52C576">
      <w:pPr>
        <w:widowControl w:val="0"/>
        <w:ind w:left="360"/>
        <w:rPr>
          <w:snapToGrid w:val="0"/>
        </w:rPr>
      </w:pPr>
      <w:r>
        <w:t xml:space="preserve">Respondents include hospitals </w:t>
      </w:r>
      <w:r w:rsidR="00254A49">
        <w:t>and community pharmacies in 45 states</w:t>
      </w:r>
      <w:r w:rsidR="00474EE9">
        <w:t>; respondents will not change from the respondents contacted during the Public Health Emergency.</w:t>
      </w:r>
      <w:r w:rsidRPr="00EF2C89">
        <w:rPr>
          <w:snapToGrid w:val="0"/>
        </w:rPr>
        <w:t xml:space="preserve"> </w:t>
      </w:r>
      <w:r w:rsidRPr="00785668" w:rsidR="00785668">
        <w:rPr>
          <w:snapToGrid w:val="0"/>
        </w:rPr>
        <w:t>The survey participants represented a total of over 550 in-patient hospitals including over 40 healthcare organizations (i.e., more than 1 hospital), consisting of 65,413 hospital beds and 8,293 intensive care unit beds, in 45 U.S. states and territories. The survey participants were predominately pharmacists (86.4%) followed by administrative personnel (4.5%) and other hospital personnel (9.1%), such as physician assistants and nurses.  The states represented in the weekly surveys ≥75% of the time (i.e., ≥68 weeks) included Maryland, Texas, Arizona, North Carolina, Indiana, Minnesota, Massachusetts, New York, and New Jersey.</w:t>
      </w:r>
    </w:p>
    <w:p w:rsidR="00B93717" w:rsidP="00B93717" w14:paraId="1D0A3656" w14:textId="77777777">
      <w:pPr>
        <w:widowControl w:val="0"/>
        <w:rPr>
          <w:snapToGrid w:val="0"/>
        </w:rPr>
      </w:pPr>
    </w:p>
    <w:p w:rsidR="00B93717" w:rsidRPr="009A728E" w:rsidP="00B93717" w14:paraId="2BD334CB" w14:textId="77777777">
      <w:pPr>
        <w:pStyle w:val="ListParagraph"/>
        <w:numPr>
          <w:ilvl w:val="0"/>
          <w:numId w:val="34"/>
        </w:numPr>
        <w:contextualSpacing/>
      </w:pPr>
      <w:r>
        <w:rPr>
          <w:b/>
        </w:rPr>
        <w:t>H</w:t>
      </w:r>
      <w:r w:rsidR="008C5AAC">
        <w:rPr>
          <w:b/>
        </w:rPr>
        <w:t>ow the Information is Collected</w:t>
      </w:r>
      <w:r>
        <w:rPr>
          <w:b/>
        </w:rPr>
        <w:t>:</w:t>
      </w:r>
      <w:r w:rsidRPr="009A728E">
        <w:rPr>
          <w:b/>
        </w:rPr>
        <w:t xml:space="preserve"> </w:t>
      </w:r>
    </w:p>
    <w:p w:rsidR="00B93717" w:rsidP="00B93717" w14:paraId="609D2862" w14:textId="77777777"/>
    <w:p w:rsidR="00B93717" w:rsidRPr="00340973" w:rsidP="00B93717" w14:paraId="0823333D" w14:textId="547A3B58">
      <w:pPr>
        <w:ind w:left="360"/>
      </w:pPr>
      <w:r>
        <w:t>FDA initially obtained information by</w:t>
      </w:r>
      <w:r w:rsidRPr="00340973">
        <w:t xml:space="preserve"> </w:t>
      </w:r>
      <w:r>
        <w:t xml:space="preserve">telephone and has expanded engagement efforts through a </w:t>
      </w:r>
      <w:hyperlink r:id="rId8" w:history="1">
        <w:r w:rsidRPr="00BE5554">
          <w:rPr>
            <w:rStyle w:val="Hyperlink"/>
          </w:rPr>
          <w:t>secure online portal</w:t>
        </w:r>
      </w:hyperlink>
      <w:r>
        <w:t>.</w:t>
      </w:r>
      <w:r w:rsidR="00BE5554">
        <w:t xml:space="preserve"> </w:t>
      </w:r>
      <w:r w:rsidR="00CC023B">
        <w:t xml:space="preserve">The list of drugs on the survey was generated through </w:t>
      </w:r>
      <w:r w:rsidRPr="00CC023B" w:rsidR="00CC023B">
        <w:t xml:space="preserve">FDA outreach phone calls with external stakeholders from hospital and community pharmacies in eleven states with 5,000 or more cumulative COVID-19 cases. A total of 44 drugs were reported during the phone interviews as a critical need or on short supply by a healthcare professional at U.S. hospitals.  Of the 44 drugs mentioned in the outreach interviews, 32 of those drugs were included in the survey based on hospital needs and an additional three drugs were included in the </w:t>
      </w:r>
      <w:r w:rsidR="005F66CF">
        <w:t xml:space="preserve">initial </w:t>
      </w:r>
      <w:r w:rsidRPr="00CC023B" w:rsidR="00CC023B">
        <w:t>survey based on clinical and regulatory judgement.</w:t>
      </w:r>
    </w:p>
    <w:p w:rsidR="004C52E1" w:rsidP="00B93717" w14:paraId="49715365" w14:textId="77777777"/>
    <w:p w:rsidR="004C52E1" w:rsidRPr="004C52E1" w:rsidP="00B93717" w14:paraId="1B99384A" w14:textId="77777777">
      <w:pPr>
        <w:numPr>
          <w:ilvl w:val="0"/>
          <w:numId w:val="34"/>
        </w:numPr>
        <w:rPr>
          <w:b/>
        </w:rPr>
      </w:pPr>
      <w:r>
        <w:rPr>
          <w:b/>
        </w:rPr>
        <w:t>C</w:t>
      </w:r>
      <w:r w:rsidR="008C5AAC">
        <w:rPr>
          <w:b/>
        </w:rPr>
        <w:t>onsistent with Currently Approved Supporting Statement</w:t>
      </w:r>
    </w:p>
    <w:p w:rsidR="004C52E1" w:rsidP="00B93717" w14:paraId="60112641" w14:textId="77777777"/>
    <w:p w:rsidR="00166B46" w:rsidP="00B93717" w14:paraId="0CF56E5F" w14:textId="27D97950">
      <w:pPr>
        <w:ind w:left="360"/>
      </w:pPr>
      <w:r>
        <w:t>There are no deviations</w:t>
      </w:r>
      <w:r w:rsidR="001575A2">
        <w:t xml:space="preserve"> from the Rapid Response Survey 20</w:t>
      </w:r>
      <w:r w:rsidR="00582819">
        <w:t>20</w:t>
      </w:r>
      <w:r w:rsidR="001575A2">
        <w:t xml:space="preserve"> version of the Supporting Statement.</w:t>
      </w:r>
      <w:r w:rsidRPr="009F3D06" w:rsidR="001575A2">
        <w:t xml:space="preserve"> </w:t>
      </w:r>
    </w:p>
    <w:p w:rsidR="00166B46" w14:paraId="5D0FBB31" w14:textId="77777777">
      <w:r>
        <w:br w:type="page"/>
      </w:r>
    </w:p>
    <w:p w:rsidR="00F12AEE" w:rsidP="008B33F3" w14:paraId="3E97F56C" w14:textId="15FFE680">
      <w:pPr>
        <w:ind w:left="360"/>
      </w:pPr>
    </w:p>
    <w:p w:rsidR="00DD1CCA" w:rsidP="00156311" w14:paraId="236D2B44" w14:textId="051B8CB9">
      <w:pPr>
        <w:numPr>
          <w:ilvl w:val="0"/>
          <w:numId w:val="34"/>
        </w:numPr>
      </w:pPr>
      <w:r w:rsidRPr="008B33F3">
        <w:rPr>
          <w:b/>
        </w:rPr>
        <w:t>B</w:t>
      </w:r>
      <w:r w:rsidRPr="008B33F3" w:rsidR="008C5AAC">
        <w:rPr>
          <w:b/>
        </w:rPr>
        <w:t>urden</w:t>
      </w:r>
      <w:r w:rsidRPr="008B33F3" w:rsidR="00B93717">
        <w:rPr>
          <w:b/>
        </w:rPr>
        <w:t xml:space="preserve">: </w:t>
      </w:r>
      <w:r w:rsidRPr="008B33F3">
        <w:rPr>
          <w:i/>
        </w:rPr>
        <w:br/>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2496"/>
        <w:gridCol w:w="1619"/>
        <w:gridCol w:w="1877"/>
      </w:tblGrid>
      <w:tr w14:paraId="2CC965DF" w14:textId="77777777" w:rsidTr="00B93717">
        <w:tblPrEx>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4"/>
          <w:jc w:val="center"/>
        </w:trPr>
        <w:tc>
          <w:tcPr>
            <w:tcW w:w="2790" w:type="dxa"/>
            <w:shd w:val="clear" w:color="auto" w:fill="E0E0E0"/>
          </w:tcPr>
          <w:p w:rsidR="003F1C7A" w:rsidP="00B93717" w14:paraId="2E2182F5" w14:textId="77777777">
            <w:pPr>
              <w:jc w:val="center"/>
              <w:rPr>
                <w:b/>
              </w:rPr>
            </w:pPr>
            <w:r>
              <w:rPr>
                <w:b/>
              </w:rPr>
              <w:t>Type/</w:t>
            </w:r>
            <w:r>
              <w:rPr>
                <w:b/>
              </w:rPr>
              <w:t>Category of Respondent</w:t>
            </w:r>
          </w:p>
        </w:tc>
        <w:tc>
          <w:tcPr>
            <w:tcW w:w="2496" w:type="dxa"/>
            <w:shd w:val="clear" w:color="auto" w:fill="E0E0E0"/>
          </w:tcPr>
          <w:p w:rsidR="003F1C7A" w:rsidP="00B93717" w14:paraId="56A9ADC5" w14:textId="77777777">
            <w:pPr>
              <w:jc w:val="center"/>
              <w:rPr>
                <w:b/>
              </w:rPr>
            </w:pPr>
            <w:r>
              <w:rPr>
                <w:b/>
              </w:rPr>
              <w:t>No. of Respondent</w:t>
            </w:r>
            <w:r w:rsidR="00696B03">
              <w:rPr>
                <w:b/>
              </w:rPr>
              <w:t>s</w:t>
            </w:r>
          </w:p>
        </w:tc>
        <w:tc>
          <w:tcPr>
            <w:tcW w:w="1619" w:type="dxa"/>
            <w:shd w:val="clear" w:color="auto" w:fill="E0E0E0"/>
          </w:tcPr>
          <w:p w:rsidR="003F1C7A" w:rsidP="00B93717" w14:paraId="467C4452" w14:textId="77777777">
            <w:pPr>
              <w:jc w:val="center"/>
              <w:rPr>
                <w:b/>
              </w:rPr>
            </w:pPr>
            <w:r>
              <w:rPr>
                <w:b/>
              </w:rPr>
              <w:t>Participation Time</w:t>
            </w:r>
            <w:r w:rsidR="00696B03">
              <w:rPr>
                <w:b/>
              </w:rPr>
              <w:t xml:space="preserve"> (minutes)</w:t>
            </w:r>
          </w:p>
        </w:tc>
        <w:tc>
          <w:tcPr>
            <w:tcW w:w="1877" w:type="dxa"/>
            <w:shd w:val="clear" w:color="auto" w:fill="E0E0E0"/>
            <w:vAlign w:val="bottom"/>
          </w:tcPr>
          <w:p w:rsidR="003F1C7A" w:rsidP="00B93717" w14:paraId="2855CAE4" w14:textId="77777777">
            <w:pPr>
              <w:jc w:val="center"/>
              <w:rPr>
                <w:b/>
              </w:rPr>
            </w:pPr>
            <w:r>
              <w:rPr>
                <w:b/>
              </w:rPr>
              <w:t>Burden</w:t>
            </w:r>
          </w:p>
          <w:p w:rsidR="00696B03" w:rsidP="00B93717" w14:paraId="7E556324" w14:textId="77777777">
            <w:pPr>
              <w:jc w:val="center"/>
              <w:rPr>
                <w:b/>
              </w:rPr>
            </w:pPr>
            <w:r>
              <w:rPr>
                <w:b/>
              </w:rPr>
              <w:t>(hours)</w:t>
            </w:r>
          </w:p>
        </w:tc>
      </w:tr>
      <w:tr w14:paraId="6E3D8F0D" w14:textId="77777777" w:rsidTr="00B93717">
        <w:tblPrEx>
          <w:tblW w:w="8782" w:type="dxa"/>
          <w:jc w:val="center"/>
          <w:tblLook w:val="01E0"/>
        </w:tblPrEx>
        <w:trPr>
          <w:trHeight w:val="274"/>
          <w:jc w:val="center"/>
        </w:trPr>
        <w:tc>
          <w:tcPr>
            <w:tcW w:w="2790" w:type="dxa"/>
          </w:tcPr>
          <w:p w:rsidR="000733F3" w:rsidP="000733F3" w14:paraId="4555F759" w14:textId="4F661451">
            <w:pPr>
              <w:jc w:val="center"/>
            </w:pPr>
            <w:r w:rsidRPr="00CE408B">
              <w:t>Hospital or Health Care Organization Survey Respondent</w:t>
            </w:r>
          </w:p>
        </w:tc>
        <w:tc>
          <w:tcPr>
            <w:tcW w:w="2496" w:type="dxa"/>
          </w:tcPr>
          <w:p w:rsidR="000733F3" w:rsidP="000733F3" w14:paraId="0DFEFB49" w14:textId="61627210">
            <w:pPr>
              <w:jc w:val="center"/>
            </w:pPr>
            <w:r>
              <w:t>300</w:t>
            </w:r>
          </w:p>
        </w:tc>
        <w:tc>
          <w:tcPr>
            <w:tcW w:w="1619" w:type="dxa"/>
          </w:tcPr>
          <w:p w:rsidR="000733F3" w:rsidP="000733F3" w14:paraId="09FACCDB" w14:textId="0A09AEE9">
            <w:pPr>
              <w:jc w:val="center"/>
            </w:pPr>
            <w:r w:rsidRPr="00CE408B">
              <w:t>15</w:t>
            </w:r>
          </w:p>
        </w:tc>
        <w:tc>
          <w:tcPr>
            <w:tcW w:w="1877" w:type="dxa"/>
          </w:tcPr>
          <w:p w:rsidR="000733F3" w:rsidP="000733F3" w14:paraId="75919CE9" w14:textId="6B4B0A54">
            <w:pPr>
              <w:jc w:val="center"/>
            </w:pPr>
            <w:r>
              <w:t xml:space="preserve">75 </w:t>
            </w:r>
            <w:r w:rsidR="00655E68">
              <w:t xml:space="preserve">per week x 52 weeks/year = </w:t>
            </w:r>
            <w:r>
              <w:t>3,900</w:t>
            </w:r>
            <w:r w:rsidR="00655E68">
              <w:t xml:space="preserve"> hours</w:t>
            </w:r>
          </w:p>
        </w:tc>
      </w:tr>
    </w:tbl>
    <w:p w:rsidR="003F1C7A" w:rsidP="00B93717" w14:paraId="13BD1DA7" w14:textId="5673D2FB"/>
    <w:p w:rsidR="004217D1" w:rsidP="00B93717" w14:paraId="3471BC61" w14:textId="4A3CF7EF">
      <w:r>
        <w:t xml:space="preserve">177 </w:t>
      </w:r>
      <w:r>
        <w:t>unique users made 2,</w:t>
      </w:r>
      <w:r>
        <w:t>460</w:t>
      </w:r>
      <w:r>
        <w:t xml:space="preserve"> responses through </w:t>
      </w:r>
      <w:r w:rsidR="00F81C62">
        <w:t>February 10, 2023</w:t>
      </w:r>
      <w:r>
        <w:t xml:space="preserve">, based on information provided by the Office of Business Informatics. FDA estimates that there could be up to </w:t>
      </w:r>
      <w:r w:rsidR="009D3EF4">
        <w:t xml:space="preserve">300 </w:t>
      </w:r>
      <w:r>
        <w:t>respondents</w:t>
      </w:r>
      <w:r w:rsidR="009D3EF4">
        <w:t>, based on the current total of 177 unique users, with respondents potentially corresponding to more than one hospital or pharmacy</w:t>
      </w:r>
      <w:r>
        <w:t>. In total, there are 49 survey questions, including both required (n=22) and optional (n=27) questions. Between 10 and 15 minutes is an estimate of time to complete a survey response in its entirety.</w:t>
      </w:r>
    </w:p>
    <w:p w:rsidR="0035593F" w:rsidP="0035593F" w14:paraId="16785EA8" w14:textId="77777777"/>
    <w:p w:rsidR="0035593F" w:rsidP="0035593F" w14:paraId="22D40ADB" w14:textId="102BA4CA">
      <w:r>
        <w:t>Below are the counts of respondents per year</w:t>
      </w:r>
      <w:r w:rsidR="00F81C62">
        <w:t>:</w:t>
      </w:r>
    </w:p>
    <w:p w:rsidR="004217D1" w:rsidP="00B93717" w14:paraId="6B12E35D" w14:textId="6CBBFC98"/>
    <w:tbl>
      <w:tblPr>
        <w:tblStyle w:val="TableGrid"/>
        <w:tblW w:w="0" w:type="auto"/>
        <w:tblLook w:val="04A0"/>
      </w:tblPr>
      <w:tblGrid>
        <w:gridCol w:w="1165"/>
        <w:gridCol w:w="3510"/>
        <w:gridCol w:w="5107"/>
      </w:tblGrid>
      <w:tr w14:paraId="7D54C05C" w14:textId="77777777" w:rsidTr="007F56EE">
        <w:tblPrEx>
          <w:tblW w:w="0" w:type="auto"/>
          <w:tblLook w:val="04A0"/>
        </w:tblPrEx>
        <w:tc>
          <w:tcPr>
            <w:tcW w:w="1165" w:type="dxa"/>
            <w:shd w:val="clear" w:color="auto" w:fill="E7E6E6" w:themeFill="background2"/>
          </w:tcPr>
          <w:p w:rsidR="00474EE9" w:rsidRPr="007F56EE" w:rsidP="00B93717" w14:paraId="4133FE68" w14:textId="20BD0824">
            <w:pPr>
              <w:rPr>
                <w:b/>
                <w:bCs/>
              </w:rPr>
            </w:pPr>
            <w:r>
              <w:rPr>
                <w:b/>
                <w:bCs/>
              </w:rPr>
              <w:t>Year</w:t>
            </w:r>
          </w:p>
        </w:tc>
        <w:tc>
          <w:tcPr>
            <w:tcW w:w="3510" w:type="dxa"/>
            <w:shd w:val="clear" w:color="auto" w:fill="E7E6E6" w:themeFill="background2"/>
          </w:tcPr>
          <w:p w:rsidR="00474EE9" w:rsidRPr="007F56EE" w:rsidP="00B93717" w14:paraId="02B3C2E3" w14:textId="114B26E0">
            <w:pPr>
              <w:rPr>
                <w:b/>
                <w:bCs/>
              </w:rPr>
            </w:pPr>
            <w:r w:rsidRPr="007F56EE">
              <w:rPr>
                <w:b/>
                <w:bCs/>
              </w:rPr>
              <w:t>Hospital Respondent</w:t>
            </w:r>
          </w:p>
        </w:tc>
        <w:tc>
          <w:tcPr>
            <w:tcW w:w="5107" w:type="dxa"/>
            <w:shd w:val="clear" w:color="auto" w:fill="E7E6E6" w:themeFill="background2"/>
          </w:tcPr>
          <w:p w:rsidR="00474EE9" w:rsidRPr="007F56EE" w:rsidP="00B93717" w14:paraId="45482F8B" w14:textId="0A29D613">
            <w:pPr>
              <w:rPr>
                <w:b/>
                <w:bCs/>
              </w:rPr>
            </w:pPr>
            <w:r w:rsidRPr="007F56EE">
              <w:rPr>
                <w:b/>
                <w:bCs/>
              </w:rPr>
              <w:t>Pharmacy Respondent</w:t>
            </w:r>
          </w:p>
        </w:tc>
      </w:tr>
      <w:tr w14:paraId="1068FE5D" w14:textId="77777777" w:rsidTr="007F56EE">
        <w:tblPrEx>
          <w:tblW w:w="0" w:type="auto"/>
          <w:tblLook w:val="04A0"/>
        </w:tblPrEx>
        <w:tc>
          <w:tcPr>
            <w:tcW w:w="1165" w:type="dxa"/>
          </w:tcPr>
          <w:p w:rsidR="00474EE9" w:rsidP="00B93717" w14:paraId="37648A99" w14:textId="505FAED6">
            <w:r>
              <w:t>2020</w:t>
            </w:r>
          </w:p>
        </w:tc>
        <w:tc>
          <w:tcPr>
            <w:tcW w:w="3510" w:type="dxa"/>
          </w:tcPr>
          <w:p w:rsidR="00474EE9" w:rsidP="00B93717" w14:paraId="2725EF1E" w14:textId="268CD8E1">
            <w:r>
              <w:t>157</w:t>
            </w:r>
          </w:p>
        </w:tc>
        <w:tc>
          <w:tcPr>
            <w:tcW w:w="5107" w:type="dxa"/>
          </w:tcPr>
          <w:p w:rsidR="00474EE9" w:rsidP="00B93717" w14:paraId="75531C13" w14:textId="77720C73">
            <w:r>
              <w:t>3</w:t>
            </w:r>
          </w:p>
        </w:tc>
      </w:tr>
      <w:tr w14:paraId="2EBFEFBC" w14:textId="77777777" w:rsidTr="007F56EE">
        <w:tblPrEx>
          <w:tblW w:w="0" w:type="auto"/>
          <w:tblLook w:val="04A0"/>
        </w:tblPrEx>
        <w:tc>
          <w:tcPr>
            <w:tcW w:w="1165" w:type="dxa"/>
          </w:tcPr>
          <w:p w:rsidR="00474EE9" w:rsidP="00B93717" w14:paraId="26F2FA32" w14:textId="5647F176">
            <w:r>
              <w:t>2021</w:t>
            </w:r>
          </w:p>
        </w:tc>
        <w:tc>
          <w:tcPr>
            <w:tcW w:w="3510" w:type="dxa"/>
          </w:tcPr>
          <w:p w:rsidR="00474EE9" w:rsidP="00B93717" w14:paraId="527523C9" w14:textId="43770A57">
            <w:r>
              <w:t>61</w:t>
            </w:r>
          </w:p>
        </w:tc>
        <w:tc>
          <w:tcPr>
            <w:tcW w:w="5107" w:type="dxa"/>
          </w:tcPr>
          <w:p w:rsidR="00474EE9" w:rsidP="00B93717" w14:paraId="72EAA4C4" w14:textId="32A98491">
            <w:r>
              <w:t>2</w:t>
            </w:r>
          </w:p>
        </w:tc>
      </w:tr>
      <w:tr w14:paraId="28C845EE" w14:textId="77777777" w:rsidTr="007F56EE">
        <w:tblPrEx>
          <w:tblW w:w="0" w:type="auto"/>
          <w:tblLook w:val="04A0"/>
        </w:tblPrEx>
        <w:tc>
          <w:tcPr>
            <w:tcW w:w="1165" w:type="dxa"/>
          </w:tcPr>
          <w:p w:rsidR="00474EE9" w:rsidP="00B93717" w14:paraId="145CD4F1" w14:textId="7DE369C9">
            <w:r>
              <w:t>2022</w:t>
            </w:r>
          </w:p>
        </w:tc>
        <w:tc>
          <w:tcPr>
            <w:tcW w:w="3510" w:type="dxa"/>
          </w:tcPr>
          <w:p w:rsidR="00474EE9" w:rsidP="00B93717" w14:paraId="4861ECA1" w14:textId="30760606">
            <w:r>
              <w:t>32</w:t>
            </w:r>
          </w:p>
        </w:tc>
        <w:tc>
          <w:tcPr>
            <w:tcW w:w="5107" w:type="dxa"/>
          </w:tcPr>
          <w:p w:rsidR="00474EE9" w:rsidP="00B93717" w14:paraId="6FBFB679" w14:textId="19AD0BB6">
            <w:r>
              <w:t>1</w:t>
            </w:r>
          </w:p>
        </w:tc>
      </w:tr>
      <w:tr w14:paraId="6DA1F695" w14:textId="77777777" w:rsidTr="007F56EE">
        <w:tblPrEx>
          <w:tblW w:w="0" w:type="auto"/>
          <w:tblLook w:val="04A0"/>
        </w:tblPrEx>
        <w:tc>
          <w:tcPr>
            <w:tcW w:w="1165" w:type="dxa"/>
          </w:tcPr>
          <w:p w:rsidR="00474EE9" w:rsidP="00B93717" w14:paraId="262F8C9C" w14:textId="21C5931D">
            <w:r>
              <w:t>2023</w:t>
            </w:r>
          </w:p>
        </w:tc>
        <w:tc>
          <w:tcPr>
            <w:tcW w:w="3510" w:type="dxa"/>
          </w:tcPr>
          <w:p w:rsidR="00474EE9" w:rsidP="00B93717" w14:paraId="09320BA6" w14:textId="1F34CB19">
            <w:r>
              <w:t>9</w:t>
            </w:r>
          </w:p>
        </w:tc>
        <w:tc>
          <w:tcPr>
            <w:tcW w:w="5107" w:type="dxa"/>
          </w:tcPr>
          <w:p w:rsidR="00474EE9" w:rsidP="00B93717" w14:paraId="5FF5A403" w14:textId="09F29C37">
            <w:r>
              <w:t>--</w:t>
            </w:r>
          </w:p>
        </w:tc>
      </w:tr>
    </w:tbl>
    <w:p w:rsidR="00474EE9" w:rsidP="00B93717" w14:paraId="02D6530D" w14:textId="0D237B0D"/>
    <w:p w:rsidR="00BD2C4E" w:rsidRPr="00555DB7" w:rsidP="0031207C" w14:paraId="389B2BAE" w14:textId="0819F126">
      <w:pPr>
        <w:numPr>
          <w:ilvl w:val="0"/>
          <w:numId w:val="34"/>
        </w:numPr>
        <w:spacing w:after="240" w:line="276" w:lineRule="auto"/>
        <w:contextualSpacing/>
      </w:pPr>
      <w:r>
        <w:rPr>
          <w:b/>
        </w:rPr>
        <w:t>D</w:t>
      </w:r>
      <w:r w:rsidR="008C5AAC">
        <w:rPr>
          <w:b/>
        </w:rPr>
        <w:t>ate(s) to be Conducted</w:t>
      </w:r>
      <w:r w:rsidRPr="00AE32B0" w:rsidR="00886AFC">
        <w:rPr>
          <w:b/>
        </w:rPr>
        <w:t xml:space="preserve">: </w:t>
      </w:r>
      <w:r w:rsidRPr="00AE32B0" w:rsidR="009012B2">
        <w:rPr>
          <w:rFonts w:eastAsia="Calibri"/>
        </w:rPr>
        <w:t xml:space="preserve">Weekly, starting </w:t>
      </w:r>
      <w:r w:rsidRPr="009766D0" w:rsidR="00A92318">
        <w:rPr>
          <w:rFonts w:eastAsia="Calibri"/>
        </w:rPr>
        <w:t>May 11, 2023</w:t>
      </w:r>
      <w:r w:rsidR="00555DB7">
        <w:rPr>
          <w:rFonts w:eastAsia="Calibri"/>
        </w:rPr>
        <w:t>,</w:t>
      </w:r>
      <w:r w:rsidRPr="009766D0" w:rsidR="00973F8D">
        <w:rPr>
          <w:rFonts w:eastAsia="Calibri"/>
        </w:rPr>
        <w:t xml:space="preserve"> </w:t>
      </w:r>
      <w:r w:rsidR="00973F8D">
        <w:rPr>
          <w:rFonts w:eastAsia="Calibri"/>
        </w:rPr>
        <w:t>and ending September 30, 2023</w:t>
      </w:r>
      <w:r w:rsidR="00F57112">
        <w:rPr>
          <w:rFonts w:eastAsia="Calibri"/>
        </w:rPr>
        <w:t>,</w:t>
      </w:r>
      <w:r w:rsidR="00E2792B">
        <w:rPr>
          <w:rFonts w:eastAsia="Calibri"/>
        </w:rPr>
        <w:t xml:space="preserve"> due to the expiration date of the generic umbrella.</w:t>
      </w:r>
    </w:p>
    <w:p w:rsidR="00BD2C4E" w:rsidRPr="00555DB7" w:rsidP="00C85BA0" w14:paraId="541FE9F7" w14:textId="77777777">
      <w:pPr>
        <w:spacing w:after="240" w:line="276" w:lineRule="auto"/>
        <w:contextualSpacing/>
      </w:pPr>
    </w:p>
    <w:p w:rsidR="007F56EE" w:rsidRPr="007F56EE" w:rsidP="00C13034" w14:paraId="55030E52" w14:textId="77777777">
      <w:pPr>
        <w:numPr>
          <w:ilvl w:val="0"/>
          <w:numId w:val="34"/>
        </w:numPr>
        <w:spacing w:after="200" w:line="276" w:lineRule="auto"/>
        <w:contextualSpacing/>
        <w:rPr>
          <w:b/>
        </w:rPr>
      </w:pPr>
      <w:r w:rsidRPr="007F56EE">
        <w:rPr>
          <w:b/>
        </w:rPr>
        <w:t>R</w:t>
      </w:r>
      <w:r w:rsidRPr="007F56EE" w:rsidR="008C5AAC">
        <w:rPr>
          <w:b/>
        </w:rPr>
        <w:t>equested Approval Date</w:t>
      </w:r>
      <w:r w:rsidRPr="007F56EE">
        <w:rPr>
          <w:b/>
        </w:rPr>
        <w:t xml:space="preserve">: </w:t>
      </w:r>
      <w:r w:rsidRPr="007F56EE" w:rsidR="00CE24A0">
        <w:rPr>
          <w:rFonts w:eastAsia="Calibri"/>
        </w:rPr>
        <w:t xml:space="preserve"> </w:t>
      </w:r>
      <w:r w:rsidRPr="007F56EE" w:rsidR="00ED39DB">
        <w:rPr>
          <w:rFonts w:eastAsia="Calibri"/>
        </w:rPr>
        <w:t>March 2023</w:t>
      </w:r>
    </w:p>
    <w:p w:rsidR="007F56EE" w:rsidP="007F56EE" w14:paraId="714940E5" w14:textId="77777777">
      <w:pPr>
        <w:pStyle w:val="ListParagraph"/>
        <w:rPr>
          <w:b/>
        </w:rPr>
      </w:pPr>
    </w:p>
    <w:p w:rsidR="00B93717" w:rsidRPr="007F56EE" w:rsidP="00C13034" w14:paraId="11144834" w14:textId="257D5A6F">
      <w:pPr>
        <w:numPr>
          <w:ilvl w:val="0"/>
          <w:numId w:val="34"/>
        </w:numPr>
        <w:spacing w:after="200" w:line="276" w:lineRule="auto"/>
        <w:contextualSpacing/>
        <w:rPr>
          <w:b/>
        </w:rPr>
      </w:pPr>
      <w:r w:rsidRPr="007F56EE">
        <w:rPr>
          <w:b/>
        </w:rPr>
        <w:t>FDA C</w:t>
      </w:r>
      <w:r w:rsidRPr="007F56EE" w:rsidR="008C5AAC">
        <w:rPr>
          <w:b/>
        </w:rPr>
        <w:t>ontacts</w:t>
      </w:r>
      <w:r w:rsidRPr="007F56EE">
        <w:rPr>
          <w:b/>
        </w:rPr>
        <w:t>:</w:t>
      </w:r>
    </w:p>
    <w:p w:rsidR="00B93717" w:rsidRPr="009C15EA" w:rsidP="00B93717" w14:paraId="5222AA1D" w14:textId="77777777">
      <w:pPr>
        <w:ind w:left="720"/>
        <w:contextualSpacing/>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4320"/>
      </w:tblGrid>
      <w:tr w14:paraId="2F359593" w14:textId="77777777" w:rsidTr="00A80454">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shd w:val="clear" w:color="auto" w:fill="auto"/>
          </w:tcPr>
          <w:p w:rsidR="00B93717" w:rsidRPr="009C15EA" w:rsidP="00B93717" w14:paraId="16E4EF5B" w14:textId="77777777">
            <w:pPr>
              <w:rPr>
                <w:rFonts w:eastAsia="Calibri"/>
                <w:bCs/>
              </w:rPr>
            </w:pPr>
            <w:r w:rsidRPr="009C15EA">
              <w:rPr>
                <w:rFonts w:eastAsia="Calibri"/>
                <w:bCs/>
              </w:rPr>
              <w:t>Program Office Contact</w:t>
            </w:r>
          </w:p>
        </w:tc>
        <w:tc>
          <w:tcPr>
            <w:tcW w:w="4320" w:type="dxa"/>
            <w:shd w:val="clear" w:color="auto" w:fill="auto"/>
          </w:tcPr>
          <w:p w:rsidR="00B93717" w:rsidRPr="009C15EA" w:rsidP="00B93717" w14:paraId="67BF4136" w14:textId="77777777">
            <w:pPr>
              <w:rPr>
                <w:rFonts w:eastAsia="Calibri"/>
                <w:bCs/>
              </w:rPr>
            </w:pPr>
            <w:r w:rsidRPr="009C15EA">
              <w:rPr>
                <w:rFonts w:eastAsia="Calibri"/>
                <w:bCs/>
              </w:rPr>
              <w:t>FDA PRA Contact</w:t>
            </w:r>
          </w:p>
        </w:tc>
      </w:tr>
      <w:tr w14:paraId="39452F26" w14:textId="77777777" w:rsidTr="00A80454">
        <w:tblPrEx>
          <w:tblW w:w="0" w:type="auto"/>
          <w:tblInd w:w="355" w:type="dxa"/>
          <w:tblLook w:val="04A0"/>
        </w:tblPrEx>
        <w:tc>
          <w:tcPr>
            <w:tcW w:w="4320" w:type="dxa"/>
            <w:shd w:val="clear" w:color="auto" w:fill="auto"/>
          </w:tcPr>
          <w:p w:rsidR="00476FE2" w:rsidP="00476FE2" w14:paraId="08540071" w14:textId="77777777">
            <w:pPr>
              <w:rPr>
                <w:rFonts w:eastAsia="Calibri"/>
                <w:bCs/>
              </w:rPr>
            </w:pPr>
            <w:r>
              <w:rPr>
                <w:rFonts w:eastAsia="Calibri"/>
                <w:bCs/>
              </w:rPr>
              <w:t>Jamie Gamerman</w:t>
            </w:r>
          </w:p>
          <w:p w:rsidR="006223A6" w:rsidP="00476FE2" w14:paraId="7AB128D0" w14:textId="05F6523B">
            <w:pPr>
              <w:rPr>
                <w:rFonts w:eastAsia="Calibri"/>
                <w:bCs/>
              </w:rPr>
            </w:pPr>
            <w:hyperlink r:id="rId9" w:history="1">
              <w:r w:rsidRPr="008D159B" w:rsidR="006706E2">
                <w:rPr>
                  <w:rStyle w:val="Hyperlink"/>
                  <w:rFonts w:eastAsia="Calibri"/>
                  <w:bCs/>
                </w:rPr>
                <w:t>Jamie.Gamerman@fda.hhs.gov</w:t>
              </w:r>
            </w:hyperlink>
          </w:p>
          <w:p w:rsidR="006223A6" w:rsidRPr="009C15EA" w:rsidP="00476FE2" w14:paraId="35B803E4" w14:textId="393E03C6">
            <w:pPr>
              <w:rPr>
                <w:rFonts w:eastAsia="Calibri"/>
                <w:bCs/>
              </w:rPr>
            </w:pPr>
            <w:r>
              <w:rPr>
                <w:rFonts w:eastAsia="Calibri"/>
                <w:bCs/>
              </w:rPr>
              <w:t>240-402-5958</w:t>
            </w:r>
          </w:p>
        </w:tc>
        <w:tc>
          <w:tcPr>
            <w:tcW w:w="4320" w:type="dxa"/>
            <w:shd w:val="clear" w:color="auto" w:fill="auto"/>
          </w:tcPr>
          <w:p w:rsidR="00B93717" w:rsidP="00B93717" w14:paraId="53E7ED44" w14:textId="77777777">
            <w:pPr>
              <w:rPr>
                <w:rFonts w:eastAsia="Calibri"/>
                <w:bCs/>
              </w:rPr>
            </w:pPr>
            <w:r>
              <w:rPr>
                <w:rFonts w:eastAsia="Calibri"/>
                <w:bCs/>
              </w:rPr>
              <w:t>JonnaLynn Capezzuto</w:t>
            </w:r>
          </w:p>
          <w:p w:rsidR="007F56EE" w:rsidRPr="009C15EA" w:rsidP="00B93717" w14:paraId="6F7A1359" w14:textId="1E4A0884">
            <w:pPr>
              <w:rPr>
                <w:rFonts w:eastAsia="Calibri"/>
                <w:bCs/>
              </w:rPr>
            </w:pPr>
            <w:hyperlink r:id="rId10" w:history="1">
              <w:r w:rsidRPr="001D7B18">
                <w:rPr>
                  <w:rStyle w:val="Hyperlink"/>
                  <w:rFonts w:eastAsia="Calibri"/>
                  <w:bCs/>
                </w:rPr>
                <w:t>Jonnalynn.capezzuto@fda.hhs.gov</w:t>
              </w:r>
            </w:hyperlink>
            <w:r>
              <w:rPr>
                <w:rFonts w:eastAsia="Calibri"/>
                <w:bCs/>
              </w:rPr>
              <w:br/>
              <w:t>301-796-3794</w:t>
            </w:r>
          </w:p>
        </w:tc>
      </w:tr>
    </w:tbl>
    <w:p w:rsidR="00B93717" w:rsidRPr="009C15EA" w:rsidP="00B93717" w14:paraId="2E2E9B59" w14:textId="77777777"/>
    <w:p w:rsidR="0029227B" w:rsidRPr="00E215FA" w14:paraId="419D4317" w14:textId="77777777">
      <w:pPr>
        <w:tabs>
          <w:tab w:val="left" w:pos="5670"/>
        </w:tabs>
        <w:suppressAutoHyphens/>
      </w:pPr>
    </w:p>
    <w:sectPr w:rsidSect="00D96337">
      <w:headerReference w:type="even" r:id="rId11"/>
      <w:headerReference w:type="default" r:id="rId12"/>
      <w:footerReference w:type="even" r:id="rId13"/>
      <w:footerReference w:type="default" r:id="rId14"/>
      <w:headerReference w:type="first" r:id="rId15"/>
      <w:footerReference w:type="first" r:id="rId16"/>
      <w:pgSz w:w="12240" w:h="15840"/>
      <w:pgMar w:top="72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467" w14:paraId="5593E1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AEE" w14:paraId="19F23E0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C06A5">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467" w14:paraId="3467CB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467" w14:paraId="34D8E3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467" w14:paraId="579508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467" w14:paraId="0316FB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78C28BE"/>
    <w:multiLevelType w:val="hybridMultilevel"/>
    <w:tmpl w:val="998AE928"/>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6">
    <w:nsid w:val="13A60AA7"/>
    <w:multiLevelType w:val="hybridMultilevel"/>
    <w:tmpl w:val="DF5454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11E7589"/>
    <w:multiLevelType w:val="hybridMultilevel"/>
    <w:tmpl w:val="DF5454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9">
    <w:nsid w:val="6C0D07D9"/>
    <w:multiLevelType w:val="hybrid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3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2">
    <w:nsid w:val="7A196EC6"/>
    <w:multiLevelType w:val="hybridMultilevel"/>
    <w:tmpl w:val="29C850E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1530945">
    <w:abstractNumId w:val="24"/>
  </w:num>
  <w:num w:numId="2" w16cid:durableId="380984035">
    <w:abstractNumId w:val="33"/>
  </w:num>
  <w:num w:numId="3" w16cid:durableId="1405034653">
    <w:abstractNumId w:val="31"/>
  </w:num>
  <w:num w:numId="4" w16cid:durableId="195510856">
    <w:abstractNumId w:val="34"/>
  </w:num>
  <w:num w:numId="5" w16cid:durableId="747314654">
    <w:abstractNumId w:val="15"/>
  </w:num>
  <w:num w:numId="6" w16cid:durableId="952903405">
    <w:abstractNumId w:val="12"/>
  </w:num>
  <w:num w:numId="7" w16cid:durableId="708189105">
    <w:abstractNumId w:val="22"/>
  </w:num>
  <w:num w:numId="8" w16cid:durableId="794952002">
    <w:abstractNumId w:val="28"/>
  </w:num>
  <w:num w:numId="9" w16cid:durableId="1862665330">
    <w:abstractNumId w:val="23"/>
  </w:num>
  <w:num w:numId="10" w16cid:durableId="1904754792">
    <w:abstractNumId w:val="13"/>
  </w:num>
  <w:num w:numId="11" w16cid:durableId="1616324507">
    <w:abstractNumId w:val="17"/>
  </w:num>
  <w:num w:numId="12" w16cid:durableId="1631477423">
    <w:abstractNumId w:val="19"/>
  </w:num>
  <w:num w:numId="13" w16cid:durableId="46539527">
    <w:abstractNumId w:val="11"/>
  </w:num>
  <w:num w:numId="14" w16cid:durableId="950476658">
    <w:abstractNumId w:val="21"/>
  </w:num>
  <w:num w:numId="15" w16cid:durableId="887303977">
    <w:abstractNumId w:val="29"/>
  </w:num>
  <w:num w:numId="16" w16cid:durableId="1641304068">
    <w:abstractNumId w:val="25"/>
  </w:num>
  <w:num w:numId="17" w16cid:durableId="1957247383">
    <w:abstractNumId w:val="10"/>
  </w:num>
  <w:num w:numId="18" w16cid:durableId="706948986">
    <w:abstractNumId w:val="20"/>
  </w:num>
  <w:num w:numId="19" w16cid:durableId="125854132">
    <w:abstractNumId w:val="18"/>
  </w:num>
  <w:num w:numId="20" w16cid:durableId="1981642200">
    <w:abstractNumId w:val="9"/>
  </w:num>
  <w:num w:numId="21" w16cid:durableId="2140412371">
    <w:abstractNumId w:val="7"/>
  </w:num>
  <w:num w:numId="22" w16cid:durableId="682779532">
    <w:abstractNumId w:val="6"/>
  </w:num>
  <w:num w:numId="23" w16cid:durableId="213351804">
    <w:abstractNumId w:val="5"/>
  </w:num>
  <w:num w:numId="24" w16cid:durableId="1700544004">
    <w:abstractNumId w:val="4"/>
  </w:num>
  <w:num w:numId="25" w16cid:durableId="338778369">
    <w:abstractNumId w:val="8"/>
  </w:num>
  <w:num w:numId="26" w16cid:durableId="132799051">
    <w:abstractNumId w:val="3"/>
  </w:num>
  <w:num w:numId="27" w16cid:durableId="1182889026">
    <w:abstractNumId w:val="2"/>
  </w:num>
  <w:num w:numId="28" w16cid:durableId="1414623439">
    <w:abstractNumId w:val="1"/>
  </w:num>
  <w:num w:numId="29" w16cid:durableId="335811078">
    <w:abstractNumId w:val="0"/>
  </w:num>
  <w:num w:numId="30" w16cid:durableId="1891913625">
    <w:abstractNumId w:val="30"/>
  </w:num>
  <w:num w:numId="31" w16cid:durableId="1199659123">
    <w:abstractNumId w:val="32"/>
  </w:num>
  <w:num w:numId="32" w16cid:durableId="230625812">
    <w:abstractNumId w:val="16"/>
  </w:num>
  <w:num w:numId="33" w16cid:durableId="299651932">
    <w:abstractNumId w:val="26"/>
  </w:num>
  <w:num w:numId="34" w16cid:durableId="799998663">
    <w:abstractNumId w:val="14"/>
  </w:num>
  <w:num w:numId="35" w16cid:durableId="18424266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167D6"/>
    <w:rsid w:val="00035B5C"/>
    <w:rsid w:val="00040930"/>
    <w:rsid w:val="000733F3"/>
    <w:rsid w:val="00081D33"/>
    <w:rsid w:val="00085F9E"/>
    <w:rsid w:val="000861DD"/>
    <w:rsid w:val="00087E83"/>
    <w:rsid w:val="0009039B"/>
    <w:rsid w:val="000A291A"/>
    <w:rsid w:val="000A525C"/>
    <w:rsid w:val="000B2358"/>
    <w:rsid w:val="000B6938"/>
    <w:rsid w:val="000B7FD3"/>
    <w:rsid w:val="000C12BA"/>
    <w:rsid w:val="000C386B"/>
    <w:rsid w:val="000C62E7"/>
    <w:rsid w:val="000E00D1"/>
    <w:rsid w:val="000E7569"/>
    <w:rsid w:val="000F1CDA"/>
    <w:rsid w:val="000F60F7"/>
    <w:rsid w:val="00101AFC"/>
    <w:rsid w:val="00121E80"/>
    <w:rsid w:val="00126D06"/>
    <w:rsid w:val="00132EF8"/>
    <w:rsid w:val="00135B5E"/>
    <w:rsid w:val="00140343"/>
    <w:rsid w:val="00154423"/>
    <w:rsid w:val="00156311"/>
    <w:rsid w:val="001575A2"/>
    <w:rsid w:val="00161AAA"/>
    <w:rsid w:val="00166629"/>
    <w:rsid w:val="00166B46"/>
    <w:rsid w:val="00172A6E"/>
    <w:rsid w:val="00190AA2"/>
    <w:rsid w:val="00194477"/>
    <w:rsid w:val="001A68F4"/>
    <w:rsid w:val="001A7B84"/>
    <w:rsid w:val="001B4985"/>
    <w:rsid w:val="001C0117"/>
    <w:rsid w:val="001C06A5"/>
    <w:rsid w:val="001D19B4"/>
    <w:rsid w:val="001D7B18"/>
    <w:rsid w:val="001F09C0"/>
    <w:rsid w:val="00207805"/>
    <w:rsid w:val="00222115"/>
    <w:rsid w:val="00227C8C"/>
    <w:rsid w:val="00233825"/>
    <w:rsid w:val="00234DDD"/>
    <w:rsid w:val="0023691D"/>
    <w:rsid w:val="002549AA"/>
    <w:rsid w:val="00254A49"/>
    <w:rsid w:val="00255B16"/>
    <w:rsid w:val="00266C5C"/>
    <w:rsid w:val="00270AE2"/>
    <w:rsid w:val="00272DE8"/>
    <w:rsid w:val="00291453"/>
    <w:rsid w:val="0029227B"/>
    <w:rsid w:val="002A55E2"/>
    <w:rsid w:val="002C3168"/>
    <w:rsid w:val="002C36CA"/>
    <w:rsid w:val="002E115A"/>
    <w:rsid w:val="00300237"/>
    <w:rsid w:val="003073BF"/>
    <w:rsid w:val="0031207C"/>
    <w:rsid w:val="003122D4"/>
    <w:rsid w:val="00312AD1"/>
    <w:rsid w:val="00326B9C"/>
    <w:rsid w:val="00340973"/>
    <w:rsid w:val="00340A5B"/>
    <w:rsid w:val="00342DC1"/>
    <w:rsid w:val="0035593F"/>
    <w:rsid w:val="00363B42"/>
    <w:rsid w:val="00364051"/>
    <w:rsid w:val="00371F4B"/>
    <w:rsid w:val="00391C84"/>
    <w:rsid w:val="003B2B91"/>
    <w:rsid w:val="003D05D3"/>
    <w:rsid w:val="003F1C7A"/>
    <w:rsid w:val="00407C60"/>
    <w:rsid w:val="0041085B"/>
    <w:rsid w:val="00411149"/>
    <w:rsid w:val="0041140E"/>
    <w:rsid w:val="004217D1"/>
    <w:rsid w:val="0042316B"/>
    <w:rsid w:val="004255A8"/>
    <w:rsid w:val="0042739C"/>
    <w:rsid w:val="004572C1"/>
    <w:rsid w:val="00463CC6"/>
    <w:rsid w:val="00474EE9"/>
    <w:rsid w:val="00476FE2"/>
    <w:rsid w:val="00493E8F"/>
    <w:rsid w:val="0049411C"/>
    <w:rsid w:val="0049419A"/>
    <w:rsid w:val="004A7CA4"/>
    <w:rsid w:val="004B1F83"/>
    <w:rsid w:val="004B694D"/>
    <w:rsid w:val="004C2F26"/>
    <w:rsid w:val="004C3558"/>
    <w:rsid w:val="004C52E1"/>
    <w:rsid w:val="004D36EC"/>
    <w:rsid w:val="00502622"/>
    <w:rsid w:val="00535D71"/>
    <w:rsid w:val="005528F1"/>
    <w:rsid w:val="00552A82"/>
    <w:rsid w:val="00555DB7"/>
    <w:rsid w:val="0056646B"/>
    <w:rsid w:val="00582819"/>
    <w:rsid w:val="00584CBD"/>
    <w:rsid w:val="005A18A4"/>
    <w:rsid w:val="005A6189"/>
    <w:rsid w:val="005D5842"/>
    <w:rsid w:val="005E23BA"/>
    <w:rsid w:val="005E4981"/>
    <w:rsid w:val="005E5E87"/>
    <w:rsid w:val="005F07EC"/>
    <w:rsid w:val="005F1A02"/>
    <w:rsid w:val="005F1B67"/>
    <w:rsid w:val="005F1D5E"/>
    <w:rsid w:val="005F3381"/>
    <w:rsid w:val="005F66CF"/>
    <w:rsid w:val="006164CB"/>
    <w:rsid w:val="006223A6"/>
    <w:rsid w:val="00645A67"/>
    <w:rsid w:val="00655E68"/>
    <w:rsid w:val="006576E4"/>
    <w:rsid w:val="00660BC0"/>
    <w:rsid w:val="00662BAA"/>
    <w:rsid w:val="006706E2"/>
    <w:rsid w:val="00676E59"/>
    <w:rsid w:val="00682448"/>
    <w:rsid w:val="0068439D"/>
    <w:rsid w:val="00684B84"/>
    <w:rsid w:val="00685446"/>
    <w:rsid w:val="006872E2"/>
    <w:rsid w:val="00690729"/>
    <w:rsid w:val="00690B02"/>
    <w:rsid w:val="00696B03"/>
    <w:rsid w:val="006A342D"/>
    <w:rsid w:val="006C383C"/>
    <w:rsid w:val="006D3B31"/>
    <w:rsid w:val="006E062A"/>
    <w:rsid w:val="00700C44"/>
    <w:rsid w:val="0071153D"/>
    <w:rsid w:val="007163C3"/>
    <w:rsid w:val="00733BEF"/>
    <w:rsid w:val="007408D4"/>
    <w:rsid w:val="0074463A"/>
    <w:rsid w:val="00744F5B"/>
    <w:rsid w:val="00785668"/>
    <w:rsid w:val="007A4331"/>
    <w:rsid w:val="007B045B"/>
    <w:rsid w:val="007E7876"/>
    <w:rsid w:val="007F56EE"/>
    <w:rsid w:val="00801423"/>
    <w:rsid w:val="00817FFA"/>
    <w:rsid w:val="008303D8"/>
    <w:rsid w:val="0084173A"/>
    <w:rsid w:val="00863E49"/>
    <w:rsid w:val="0088087F"/>
    <w:rsid w:val="00882AE4"/>
    <w:rsid w:val="00882C84"/>
    <w:rsid w:val="008838C0"/>
    <w:rsid w:val="008863D0"/>
    <w:rsid w:val="00886AFC"/>
    <w:rsid w:val="008B33F3"/>
    <w:rsid w:val="008C5AAC"/>
    <w:rsid w:val="008D159B"/>
    <w:rsid w:val="008D7831"/>
    <w:rsid w:val="008E469B"/>
    <w:rsid w:val="008E6145"/>
    <w:rsid w:val="008F6E91"/>
    <w:rsid w:val="009012B2"/>
    <w:rsid w:val="00925EF7"/>
    <w:rsid w:val="00927A28"/>
    <w:rsid w:val="0093358C"/>
    <w:rsid w:val="00942790"/>
    <w:rsid w:val="0094600D"/>
    <w:rsid w:val="00973F8D"/>
    <w:rsid w:val="009763C5"/>
    <w:rsid w:val="009766D0"/>
    <w:rsid w:val="009A728E"/>
    <w:rsid w:val="009C15EA"/>
    <w:rsid w:val="009D3EF4"/>
    <w:rsid w:val="009E46A2"/>
    <w:rsid w:val="009E62C1"/>
    <w:rsid w:val="009E7BE4"/>
    <w:rsid w:val="009F3D06"/>
    <w:rsid w:val="00A12927"/>
    <w:rsid w:val="00A246DC"/>
    <w:rsid w:val="00A26BA5"/>
    <w:rsid w:val="00A375A4"/>
    <w:rsid w:val="00A44BF9"/>
    <w:rsid w:val="00A54F78"/>
    <w:rsid w:val="00A761CB"/>
    <w:rsid w:val="00A80454"/>
    <w:rsid w:val="00A82DCC"/>
    <w:rsid w:val="00A92250"/>
    <w:rsid w:val="00A92318"/>
    <w:rsid w:val="00AA4E1E"/>
    <w:rsid w:val="00AC2F59"/>
    <w:rsid w:val="00AC416F"/>
    <w:rsid w:val="00AD0ADC"/>
    <w:rsid w:val="00AE2652"/>
    <w:rsid w:val="00AE32B0"/>
    <w:rsid w:val="00B34787"/>
    <w:rsid w:val="00B721B9"/>
    <w:rsid w:val="00B823F4"/>
    <w:rsid w:val="00B90467"/>
    <w:rsid w:val="00B93717"/>
    <w:rsid w:val="00B95FF1"/>
    <w:rsid w:val="00BA0FC7"/>
    <w:rsid w:val="00BD2C4E"/>
    <w:rsid w:val="00BD4B34"/>
    <w:rsid w:val="00BD55DA"/>
    <w:rsid w:val="00BD7007"/>
    <w:rsid w:val="00BE2DAA"/>
    <w:rsid w:val="00BE5554"/>
    <w:rsid w:val="00BE7B8D"/>
    <w:rsid w:val="00BF4E59"/>
    <w:rsid w:val="00C02B51"/>
    <w:rsid w:val="00C10A5C"/>
    <w:rsid w:val="00C13034"/>
    <w:rsid w:val="00C227AB"/>
    <w:rsid w:val="00C22E7B"/>
    <w:rsid w:val="00C32982"/>
    <w:rsid w:val="00C5631E"/>
    <w:rsid w:val="00C57415"/>
    <w:rsid w:val="00C63CB7"/>
    <w:rsid w:val="00C65DEC"/>
    <w:rsid w:val="00C766DE"/>
    <w:rsid w:val="00C85BA0"/>
    <w:rsid w:val="00C911DB"/>
    <w:rsid w:val="00CC023B"/>
    <w:rsid w:val="00CE097F"/>
    <w:rsid w:val="00CE2222"/>
    <w:rsid w:val="00CE24A0"/>
    <w:rsid w:val="00CE408B"/>
    <w:rsid w:val="00CE57C2"/>
    <w:rsid w:val="00CF10F4"/>
    <w:rsid w:val="00D21EA1"/>
    <w:rsid w:val="00D340AB"/>
    <w:rsid w:val="00D542D4"/>
    <w:rsid w:val="00D556CF"/>
    <w:rsid w:val="00D80CCA"/>
    <w:rsid w:val="00D83981"/>
    <w:rsid w:val="00D96337"/>
    <w:rsid w:val="00D963F2"/>
    <w:rsid w:val="00DB66DA"/>
    <w:rsid w:val="00DC76EE"/>
    <w:rsid w:val="00DD1CCA"/>
    <w:rsid w:val="00DD6106"/>
    <w:rsid w:val="00DF2D8C"/>
    <w:rsid w:val="00E06BD2"/>
    <w:rsid w:val="00E12BC5"/>
    <w:rsid w:val="00E215FA"/>
    <w:rsid w:val="00E254E7"/>
    <w:rsid w:val="00E26798"/>
    <w:rsid w:val="00E2792B"/>
    <w:rsid w:val="00E3738F"/>
    <w:rsid w:val="00E41914"/>
    <w:rsid w:val="00E45BA0"/>
    <w:rsid w:val="00E563B5"/>
    <w:rsid w:val="00E629FF"/>
    <w:rsid w:val="00E62FA6"/>
    <w:rsid w:val="00E912F6"/>
    <w:rsid w:val="00EA0586"/>
    <w:rsid w:val="00EA444F"/>
    <w:rsid w:val="00EC4F31"/>
    <w:rsid w:val="00ED39DB"/>
    <w:rsid w:val="00EE7334"/>
    <w:rsid w:val="00EF2C89"/>
    <w:rsid w:val="00EF2FFC"/>
    <w:rsid w:val="00EF58EC"/>
    <w:rsid w:val="00F1224D"/>
    <w:rsid w:val="00F12AEE"/>
    <w:rsid w:val="00F22C5A"/>
    <w:rsid w:val="00F27DD5"/>
    <w:rsid w:val="00F30929"/>
    <w:rsid w:val="00F323B1"/>
    <w:rsid w:val="00F335C5"/>
    <w:rsid w:val="00F35875"/>
    <w:rsid w:val="00F3704A"/>
    <w:rsid w:val="00F52628"/>
    <w:rsid w:val="00F57112"/>
    <w:rsid w:val="00F64C23"/>
    <w:rsid w:val="00F81C62"/>
    <w:rsid w:val="00F8587B"/>
    <w:rsid w:val="00F8680C"/>
    <w:rsid w:val="00FA791D"/>
    <w:rsid w:val="00FC0445"/>
    <w:rsid w:val="00FD7B12"/>
    <w:rsid w:val="00FE5BD7"/>
    <w:rsid w:val="00FF0D11"/>
    <w:rsid w:val="00FF20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BE6D69"/>
  <w15:chartTrackingRefBased/>
  <w15:docId w15:val="{E40A5210-9AEC-4B0A-B2AF-06630CCC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semiHidden/>
    <w:rPr>
      <w:color w:val="0000FF"/>
      <w:u w:val="single"/>
    </w:rPr>
  </w:style>
  <w:style w:type="paragraph" w:styleId="ListParagraph">
    <w:name w:val="List Paragraph"/>
    <w:basedOn w:val="Normal"/>
    <w:uiPriority w:val="34"/>
    <w:qFormat/>
    <w:rsid w:val="00E26798"/>
    <w:pPr>
      <w:ind w:left="720"/>
    </w:pPr>
  </w:style>
  <w:style w:type="paragraph" w:styleId="FootnoteText">
    <w:name w:val="footnote text"/>
    <w:basedOn w:val="Normal"/>
    <w:link w:val="FootnoteTextChar"/>
    <w:uiPriority w:val="99"/>
    <w:semiHidden/>
    <w:unhideWhenUsed/>
    <w:rsid w:val="00B93717"/>
    <w:rPr>
      <w:rFonts w:ascii="Calibri" w:eastAsia="Calibri" w:hAnsi="Calibri"/>
      <w:sz w:val="20"/>
      <w:szCs w:val="20"/>
    </w:rPr>
  </w:style>
  <w:style w:type="character" w:customStyle="1" w:styleId="FootnoteTextChar">
    <w:name w:val="Footnote Text Char"/>
    <w:link w:val="FootnoteText"/>
    <w:uiPriority w:val="99"/>
    <w:semiHidden/>
    <w:rsid w:val="00B93717"/>
    <w:rPr>
      <w:rFonts w:ascii="Calibri" w:eastAsia="Calibri" w:hAnsi="Calibri"/>
    </w:rPr>
  </w:style>
  <w:style w:type="character" w:styleId="FootnoteReference">
    <w:name w:val="footnote reference"/>
    <w:uiPriority w:val="99"/>
    <w:rsid w:val="00B93717"/>
    <w:rPr>
      <w:vertAlign w:val="superscript"/>
    </w:rPr>
  </w:style>
  <w:style w:type="table" w:customStyle="1" w:styleId="TableGrid1">
    <w:name w:val="Table Grid1"/>
    <w:basedOn w:val="TableNormal"/>
    <w:next w:val="TableGrid"/>
    <w:uiPriority w:val="59"/>
    <w:rsid w:val="00B937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9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62C1"/>
    <w:rPr>
      <w:sz w:val="16"/>
      <w:szCs w:val="16"/>
    </w:rPr>
  </w:style>
  <w:style w:type="paragraph" w:styleId="CommentText">
    <w:name w:val="annotation text"/>
    <w:basedOn w:val="Normal"/>
    <w:link w:val="CommentTextChar"/>
    <w:uiPriority w:val="99"/>
    <w:semiHidden/>
    <w:unhideWhenUsed/>
    <w:rsid w:val="009E62C1"/>
    <w:rPr>
      <w:sz w:val="20"/>
      <w:szCs w:val="20"/>
    </w:rPr>
  </w:style>
  <w:style w:type="character" w:customStyle="1" w:styleId="CommentTextChar">
    <w:name w:val="Comment Text Char"/>
    <w:basedOn w:val="DefaultParagraphFont"/>
    <w:link w:val="CommentText"/>
    <w:uiPriority w:val="99"/>
    <w:semiHidden/>
    <w:rsid w:val="009E62C1"/>
  </w:style>
  <w:style w:type="paragraph" w:styleId="CommentSubject">
    <w:name w:val="annotation subject"/>
    <w:basedOn w:val="CommentText"/>
    <w:next w:val="CommentText"/>
    <w:link w:val="CommentSubjectChar"/>
    <w:uiPriority w:val="99"/>
    <w:semiHidden/>
    <w:unhideWhenUsed/>
    <w:rsid w:val="009E62C1"/>
    <w:rPr>
      <w:b/>
      <w:bCs/>
    </w:rPr>
  </w:style>
  <w:style w:type="character" w:customStyle="1" w:styleId="CommentSubjectChar">
    <w:name w:val="Comment Subject Char"/>
    <w:basedOn w:val="CommentTextChar"/>
    <w:link w:val="CommentSubject"/>
    <w:uiPriority w:val="99"/>
    <w:semiHidden/>
    <w:rsid w:val="009E62C1"/>
    <w:rPr>
      <w:b/>
      <w:bCs/>
    </w:rPr>
  </w:style>
  <w:style w:type="character" w:styleId="UnresolvedMention">
    <w:name w:val="Unresolved Mention"/>
    <w:basedOn w:val="DefaultParagraphFont"/>
    <w:uiPriority w:val="99"/>
    <w:semiHidden/>
    <w:unhideWhenUsed/>
    <w:rsid w:val="00CE24A0"/>
    <w:rPr>
      <w:color w:val="605E5C"/>
      <w:shd w:val="clear" w:color="auto" w:fill="E1DFDD"/>
    </w:rPr>
  </w:style>
  <w:style w:type="paragraph" w:styleId="Revision">
    <w:name w:val="Revision"/>
    <w:hidden/>
    <w:uiPriority w:val="99"/>
    <w:semiHidden/>
    <w:rsid w:val="008B33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onnalynn.capezzuto@fda.hh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nformaticsconnect.fda.gov/" TargetMode="External" /><Relationship Id="rId9" Type="http://schemas.openxmlformats.org/officeDocument/2006/relationships/hyperlink" Target="mailto:Jamie.Gamerman@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6" ma:contentTypeDescription="Create a new document." ma:contentTypeScope="" ma:versionID="1057a58e781fdc88b8705287933f9fd4">
  <xsd:schema xmlns:xsd="http://www.w3.org/2001/XMLSchema" xmlns:xs="http://www.w3.org/2001/XMLSchema" xmlns:p="http://schemas.microsoft.com/office/2006/metadata/properties" xmlns:ns2="b5022a83-871b-4d85-bad2-b5228c1d4066" targetNamespace="http://schemas.microsoft.com/office/2006/metadata/properties" ma:root="true" ma:fieldsID="93de2c6b4f40ac2ab22141ff566d0aaf" ns2:_="">
    <xsd:import namespace="b5022a83-871b-4d85-bad2-b5228c1d40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73D5A-8C00-4B81-BDC0-FBFAC7056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22a83-871b-4d85-bad2-b5228c1d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7DE07-DEB8-4900-894C-B955B35C76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5022a83-871b-4d85-bad2-b5228c1d4066"/>
    <ds:schemaRef ds:uri="http://www.w3.org/XML/1998/namespace"/>
    <ds:schemaRef ds:uri="http://purl.org/dc/dcmitype/"/>
  </ds:schemaRefs>
</ds:datastoreItem>
</file>

<file path=customXml/itemProps3.xml><?xml version="1.0" encoding="utf-8"?>
<ds:datastoreItem xmlns:ds="http://schemas.openxmlformats.org/officeDocument/2006/customXml" ds:itemID="{7C4D118A-6185-4120-99DD-F41AE0251A26}">
  <ds:schemaRefs>
    <ds:schemaRef ds:uri="http://schemas.openxmlformats.org/officeDocument/2006/bibliography"/>
  </ds:schemaRefs>
</ds:datastoreItem>
</file>

<file path=customXml/itemProps4.xml><?xml version="1.0" encoding="utf-8"?>
<ds:datastoreItem xmlns:ds="http://schemas.openxmlformats.org/officeDocument/2006/customXml" ds:itemID="{20A00385-98C5-4CFA-A8C0-F7A17D946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1021</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Capezzuto, JonnaLynn</cp:lastModifiedBy>
  <cp:revision>6</cp:revision>
  <cp:lastPrinted>2010-11-01T20:07:00Z</cp:lastPrinted>
  <dcterms:created xsi:type="dcterms:W3CDTF">2023-03-06T17:27:00Z</dcterms:created>
  <dcterms:modified xsi:type="dcterms:W3CDTF">2023-03-15T20:05:00Z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_NewReviewCycle">
    <vt:lpwstr/>
  </property>
</Properties>
</file>