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1E2" w:rsidP="00EB104F" w:rsidRDefault="007111E2" w14:paraId="405A115B" w14:textId="77777777">
      <w:pPr>
        <w:widowControl/>
        <w:jc w:val="center"/>
        <w:rPr>
          <w:b/>
          <w:bCs/>
        </w:rPr>
      </w:pPr>
    </w:p>
    <w:p w:rsidR="007111E2" w:rsidP="00EB104F" w:rsidRDefault="007111E2" w14:paraId="5A58B283" w14:textId="77777777">
      <w:pPr>
        <w:widowControl/>
        <w:jc w:val="center"/>
        <w:rPr>
          <w:b/>
          <w:bCs/>
        </w:rPr>
      </w:pPr>
    </w:p>
    <w:p w:rsidR="007111E2" w:rsidP="00EB104F" w:rsidRDefault="007111E2" w14:paraId="17C53F5B" w14:textId="77777777">
      <w:pPr>
        <w:widowControl/>
        <w:jc w:val="center"/>
        <w:rPr>
          <w:b/>
          <w:bCs/>
        </w:rPr>
      </w:pPr>
    </w:p>
    <w:p w:rsidR="007111E2" w:rsidP="00EB104F" w:rsidRDefault="007111E2" w14:paraId="051C51E4" w14:textId="77777777">
      <w:pPr>
        <w:widowControl/>
        <w:jc w:val="center"/>
        <w:rPr>
          <w:b/>
          <w:bCs/>
        </w:rPr>
      </w:pPr>
    </w:p>
    <w:p w:rsidR="007111E2" w:rsidP="00EB104F" w:rsidRDefault="007111E2" w14:paraId="2A7E4469" w14:textId="77777777">
      <w:pPr>
        <w:widowControl/>
        <w:jc w:val="center"/>
        <w:rPr>
          <w:b/>
          <w:bCs/>
        </w:rPr>
      </w:pPr>
    </w:p>
    <w:p w:rsidR="007111E2" w:rsidP="00EB104F" w:rsidRDefault="007111E2" w14:paraId="49134CE8" w14:textId="77777777">
      <w:pPr>
        <w:widowControl/>
        <w:jc w:val="center"/>
        <w:rPr>
          <w:b/>
          <w:bCs/>
        </w:rPr>
      </w:pPr>
    </w:p>
    <w:p w:rsidR="00EB104F" w:rsidP="00EB104F" w:rsidRDefault="00A93F89" w14:paraId="047A352E" w14:textId="77777777">
      <w:pPr>
        <w:widowControl/>
        <w:jc w:val="center"/>
        <w:rPr>
          <w:b/>
          <w:bCs/>
        </w:rPr>
      </w:pPr>
      <w:r>
        <w:rPr>
          <w:b/>
          <w:bCs/>
        </w:rPr>
        <w:t>OMB SUPPORTING STATEMENT: Part A</w:t>
      </w:r>
      <w:r w:rsidR="00EB104F">
        <w:rPr>
          <w:b/>
          <w:bCs/>
        </w:rPr>
        <w:t xml:space="preserve"> </w:t>
      </w:r>
    </w:p>
    <w:p w:rsidR="00EB104F" w:rsidP="00EB104F" w:rsidRDefault="00EB104F" w14:paraId="5F56D178" w14:textId="77777777">
      <w:pPr>
        <w:widowControl/>
        <w:jc w:val="center"/>
        <w:rPr>
          <w:b/>
          <w:bCs/>
        </w:rPr>
      </w:pPr>
    </w:p>
    <w:p w:rsidR="00EB104F" w:rsidP="00EB104F" w:rsidRDefault="00EB104F" w14:paraId="20AEC56F" w14:textId="77777777">
      <w:pPr>
        <w:widowControl/>
        <w:jc w:val="center"/>
        <w:rPr>
          <w:b/>
          <w:bCs/>
        </w:rPr>
      </w:pPr>
    </w:p>
    <w:p w:rsidRPr="00FA2CED" w:rsidR="00EB104F" w:rsidP="00EB104F" w:rsidRDefault="00EB104F" w14:paraId="6BD8E8D2" w14:textId="6464882B">
      <w:pPr>
        <w:widowControl/>
        <w:jc w:val="center"/>
        <w:rPr>
          <w:b/>
          <w:bCs/>
          <w:sz w:val="20"/>
          <w:szCs w:val="20"/>
        </w:rPr>
      </w:pPr>
      <w:r w:rsidRPr="00FA2CED">
        <w:rPr>
          <w:b/>
          <w:bCs/>
          <w:sz w:val="20"/>
          <w:szCs w:val="20"/>
        </w:rPr>
        <w:t xml:space="preserve"> </w:t>
      </w:r>
      <w:r w:rsidRPr="00FA2CED" w:rsidR="00781A67">
        <w:rPr>
          <w:b/>
          <w:bCs/>
          <w:sz w:val="20"/>
          <w:szCs w:val="20"/>
        </w:rPr>
        <w:t>School Health Profiles</w:t>
      </w:r>
      <w:r w:rsidRPr="00FA2CED" w:rsidR="00094498">
        <w:rPr>
          <w:b/>
          <w:bCs/>
          <w:sz w:val="20"/>
          <w:szCs w:val="20"/>
        </w:rPr>
        <w:t xml:space="preserve"> Test-Retest</w:t>
      </w:r>
      <w:r w:rsidRPr="00FA2CED" w:rsidR="00781A67">
        <w:rPr>
          <w:b/>
          <w:bCs/>
          <w:sz w:val="20"/>
          <w:szCs w:val="20"/>
        </w:rPr>
        <w:t xml:space="preserve"> Reliability Study</w:t>
      </w:r>
    </w:p>
    <w:p w:rsidR="00EB104F" w:rsidP="00EB104F" w:rsidRDefault="00EB104F" w14:paraId="7B68B4A6" w14:textId="77777777">
      <w:pPr>
        <w:widowControl/>
        <w:jc w:val="center"/>
        <w:rPr>
          <w:b/>
          <w:bCs/>
        </w:rPr>
      </w:pPr>
    </w:p>
    <w:p w:rsidR="00EB104F" w:rsidP="00EB104F" w:rsidRDefault="00EB104F" w14:paraId="7AE747F3" w14:textId="77777777">
      <w:pPr>
        <w:widowControl/>
        <w:jc w:val="center"/>
        <w:rPr>
          <w:b/>
          <w:bCs/>
        </w:rPr>
      </w:pPr>
    </w:p>
    <w:p w:rsidR="00781A67" w:rsidP="00EB104F" w:rsidRDefault="00781A67" w14:paraId="15C03B07" w14:textId="77777777">
      <w:pPr>
        <w:widowControl/>
        <w:jc w:val="center"/>
        <w:rPr>
          <w:b/>
          <w:bCs/>
        </w:rPr>
      </w:pPr>
    </w:p>
    <w:p w:rsidR="00781A67" w:rsidP="00EB104F" w:rsidRDefault="00781A67" w14:paraId="0AA537DD" w14:textId="77777777">
      <w:pPr>
        <w:widowControl/>
        <w:jc w:val="center"/>
        <w:rPr>
          <w:b/>
          <w:bCs/>
        </w:rPr>
      </w:pPr>
    </w:p>
    <w:p w:rsidR="00EB104F" w:rsidP="00EB104F" w:rsidRDefault="00EB104F" w14:paraId="7F5CD539" w14:textId="77777777">
      <w:pPr>
        <w:widowControl/>
        <w:jc w:val="center"/>
        <w:rPr>
          <w:b/>
          <w:bCs/>
        </w:rPr>
      </w:pPr>
    </w:p>
    <w:p w:rsidR="00EB104F" w:rsidP="00EB104F" w:rsidRDefault="00EB104F" w14:paraId="276CF7E6" w14:textId="77777777">
      <w:pPr>
        <w:widowControl/>
        <w:jc w:val="center"/>
        <w:rPr>
          <w:b/>
          <w:bCs/>
        </w:rPr>
      </w:pPr>
    </w:p>
    <w:p w:rsidR="00EB104F" w:rsidP="00A93F89" w:rsidRDefault="00EB104F" w14:paraId="1A6F06B4" w14:textId="77777777">
      <w:pPr>
        <w:widowControl/>
        <w:rPr>
          <w:b/>
          <w:bCs/>
        </w:rPr>
      </w:pPr>
    </w:p>
    <w:p w:rsidR="00EB104F" w:rsidP="00EB104F" w:rsidRDefault="0004659C" w14:paraId="3060DA31" w14:textId="41780A26">
      <w:pPr>
        <w:widowControl/>
        <w:jc w:val="center"/>
        <w:rPr>
          <w:b/>
          <w:bCs/>
        </w:rPr>
      </w:pPr>
      <w:r>
        <w:rPr>
          <w:b/>
          <w:bCs/>
        </w:rPr>
        <w:t>August 1</w:t>
      </w:r>
      <w:r w:rsidR="00BA6931">
        <w:rPr>
          <w:b/>
          <w:bCs/>
        </w:rPr>
        <w:t>2</w:t>
      </w:r>
      <w:r w:rsidR="00224531">
        <w:rPr>
          <w:b/>
          <w:bCs/>
        </w:rPr>
        <w:t xml:space="preserve">, </w:t>
      </w:r>
      <w:r w:rsidR="00B5454A">
        <w:rPr>
          <w:b/>
          <w:bCs/>
        </w:rPr>
        <w:t>2020</w:t>
      </w:r>
    </w:p>
    <w:p w:rsidR="00EB104F" w:rsidP="00EB104F" w:rsidRDefault="00EB104F" w14:paraId="0E9F697D" w14:textId="77777777">
      <w:pPr>
        <w:widowControl/>
        <w:jc w:val="center"/>
        <w:rPr>
          <w:b/>
          <w:bCs/>
        </w:rPr>
      </w:pPr>
    </w:p>
    <w:p w:rsidR="00EB104F" w:rsidP="00EB104F" w:rsidRDefault="00EB104F" w14:paraId="149E922A" w14:textId="77777777">
      <w:pPr>
        <w:widowControl/>
        <w:jc w:val="center"/>
        <w:rPr>
          <w:b/>
          <w:bCs/>
        </w:rPr>
      </w:pPr>
    </w:p>
    <w:p w:rsidR="00EB104F" w:rsidP="00EB104F" w:rsidRDefault="00EB104F" w14:paraId="225A201D" w14:textId="77777777">
      <w:pPr>
        <w:widowControl/>
        <w:jc w:val="center"/>
        <w:rPr>
          <w:b/>
          <w:bCs/>
        </w:rPr>
      </w:pPr>
    </w:p>
    <w:p w:rsidR="00EB104F" w:rsidP="00EB104F" w:rsidRDefault="00EB104F" w14:paraId="768EBD9E" w14:textId="77777777">
      <w:pPr>
        <w:widowControl/>
        <w:jc w:val="center"/>
        <w:rPr>
          <w:b/>
          <w:bCs/>
        </w:rPr>
      </w:pPr>
      <w:r>
        <w:rPr>
          <w:b/>
          <w:bCs/>
        </w:rPr>
        <w:t>Submitted by:</w:t>
      </w:r>
    </w:p>
    <w:p w:rsidR="00EB104F" w:rsidP="00EB104F" w:rsidRDefault="00EB104F" w14:paraId="5D0D425E" w14:textId="77777777">
      <w:pPr>
        <w:widowControl/>
        <w:jc w:val="center"/>
        <w:rPr>
          <w:b/>
          <w:bCs/>
        </w:rPr>
      </w:pPr>
    </w:p>
    <w:p w:rsidR="00EB104F" w:rsidP="00EB104F" w:rsidRDefault="00EB104F" w14:paraId="60B8069C" w14:textId="77777777">
      <w:pPr>
        <w:widowControl/>
        <w:jc w:val="center"/>
        <w:rPr>
          <w:b/>
          <w:bCs/>
        </w:rPr>
      </w:pPr>
      <w:r>
        <w:rPr>
          <w:b/>
          <w:bCs/>
        </w:rPr>
        <w:t xml:space="preserve">Division of Adolescent and School Health </w:t>
      </w:r>
    </w:p>
    <w:p w:rsidRPr="00FE5EA8" w:rsidR="00FE5EA8" w:rsidP="00FE5EA8" w:rsidRDefault="00FE5EA8" w14:paraId="0EE26F2F" w14:textId="77777777">
      <w:pPr>
        <w:widowControl/>
        <w:jc w:val="center"/>
        <w:rPr>
          <w:b/>
          <w:bCs/>
        </w:rPr>
      </w:pPr>
      <w:r w:rsidRPr="00FE5EA8">
        <w:rPr>
          <w:b/>
          <w:bCs/>
        </w:rPr>
        <w:t>National Center for HIV/AIDS, Viral Hepatitis, STD, and TB Prevention</w:t>
      </w:r>
    </w:p>
    <w:p w:rsidR="00EB104F" w:rsidP="00EB104F" w:rsidRDefault="00EB104F" w14:paraId="1FD00FC1" w14:textId="77777777">
      <w:pPr>
        <w:widowControl/>
        <w:jc w:val="center"/>
        <w:rPr>
          <w:b/>
          <w:bCs/>
        </w:rPr>
      </w:pPr>
    </w:p>
    <w:p w:rsidR="00EB104F" w:rsidP="00EB104F" w:rsidRDefault="00EB104F" w14:paraId="0BF92300" w14:textId="77777777">
      <w:pPr>
        <w:widowControl/>
        <w:jc w:val="center"/>
        <w:rPr>
          <w:b/>
          <w:bCs/>
        </w:rPr>
      </w:pPr>
      <w:r>
        <w:rPr>
          <w:b/>
          <w:bCs/>
        </w:rPr>
        <w:t>Centers for Disease Control and Prevention</w:t>
      </w:r>
    </w:p>
    <w:p w:rsidR="00EB104F" w:rsidP="00EB104F" w:rsidRDefault="00EB104F" w14:paraId="6FC08034" w14:textId="77777777">
      <w:pPr>
        <w:widowControl/>
        <w:jc w:val="center"/>
        <w:rPr>
          <w:b/>
          <w:bCs/>
        </w:rPr>
      </w:pPr>
      <w:r>
        <w:rPr>
          <w:b/>
          <w:bCs/>
        </w:rPr>
        <w:t>Department of Health and Human Services</w:t>
      </w:r>
    </w:p>
    <w:p w:rsidR="00EB104F" w:rsidP="00EB104F" w:rsidRDefault="00EB104F" w14:paraId="4703367D" w14:textId="77777777">
      <w:pPr>
        <w:widowControl/>
        <w:jc w:val="center"/>
      </w:pPr>
    </w:p>
    <w:p w:rsidR="00EB104F" w:rsidP="00EB104F" w:rsidRDefault="00EB104F" w14:paraId="614E2CF4" w14:textId="77777777">
      <w:pPr>
        <w:widowControl/>
        <w:jc w:val="center"/>
      </w:pPr>
    </w:p>
    <w:p w:rsidR="00EB104F" w:rsidP="00EB104F" w:rsidRDefault="00EB104F" w14:paraId="0F1F7ACA" w14:textId="77777777">
      <w:pPr>
        <w:widowControl/>
      </w:pPr>
      <w:r>
        <w:t>Project Officer:</w:t>
      </w:r>
    </w:p>
    <w:p w:rsidR="00EB104F" w:rsidP="00EB104F" w:rsidRDefault="00EB104F" w14:paraId="45B64B4F" w14:textId="77777777">
      <w:pPr>
        <w:widowControl/>
      </w:pPr>
    </w:p>
    <w:p w:rsidR="00EB104F" w:rsidP="00EB104F" w:rsidRDefault="001C266C" w14:paraId="7D73EAD0" w14:textId="008DF126">
      <w:pPr>
        <w:widowControl/>
      </w:pPr>
      <w:r>
        <w:t>Sherry Everett Jones</w:t>
      </w:r>
      <w:r w:rsidR="00EB104F">
        <w:t>, PhD</w:t>
      </w:r>
      <w:r>
        <w:t>, MPH, JD</w:t>
      </w:r>
    </w:p>
    <w:p w:rsidR="00DE3A7F" w:rsidP="00EB104F" w:rsidRDefault="00DE3A7F" w14:paraId="0B09F725" w14:textId="296EFD89">
      <w:pPr>
        <w:widowControl/>
      </w:pPr>
      <w:r>
        <w:t>School-Based Surveillance Branch</w:t>
      </w:r>
    </w:p>
    <w:p w:rsidR="00EB104F" w:rsidP="00EB104F" w:rsidRDefault="00EB104F" w14:paraId="63043AF3" w14:textId="77777777">
      <w:pPr>
        <w:widowControl/>
      </w:pPr>
      <w:r>
        <w:t>Division of Adolescent and School Health</w:t>
      </w:r>
    </w:p>
    <w:p w:rsidR="00EB104F" w:rsidP="00EB104F" w:rsidRDefault="00EB104F" w14:paraId="34567331" w14:textId="77777777">
      <w:pPr>
        <w:widowControl/>
      </w:pPr>
      <w:r>
        <w:t xml:space="preserve">National Center for </w:t>
      </w:r>
      <w:r w:rsidR="0051467B">
        <w:t>HIV/AIDS, Viral Hepatitis, STD, and TB Prevention</w:t>
      </w:r>
    </w:p>
    <w:p w:rsidR="00EB104F" w:rsidP="00EB104F" w:rsidRDefault="00EB104F" w14:paraId="738DDC64" w14:textId="77777777">
      <w:pPr>
        <w:widowControl/>
      </w:pPr>
      <w:r>
        <w:t>Centers for Disease Control and Prevention</w:t>
      </w:r>
    </w:p>
    <w:p w:rsidR="00DE3A7F" w:rsidP="00DE3A7F" w:rsidRDefault="00DE3A7F" w14:paraId="7615AC26" w14:textId="4CEE6A31">
      <w:r>
        <w:t xml:space="preserve">1600 Clifton Road MS </w:t>
      </w:r>
      <w:r w:rsidR="001C266C">
        <w:t>US8-1</w:t>
      </w:r>
    </w:p>
    <w:p w:rsidRPr="00E15DF4" w:rsidR="00EB104F" w:rsidP="00DE3A7F" w:rsidRDefault="00DE3A7F" w14:paraId="45FFFA3B" w14:textId="00DF8428">
      <w:pPr>
        <w:widowControl/>
        <w:rPr>
          <w:highlight w:val="yellow"/>
        </w:rPr>
      </w:pPr>
      <w:r w:rsidRPr="008C1D08">
        <w:t>Atlanta, GA 303</w:t>
      </w:r>
      <w:r>
        <w:t>29-4027</w:t>
      </w:r>
    </w:p>
    <w:p w:rsidRPr="00DE3A7F" w:rsidR="00EB104F" w:rsidP="00EB104F" w:rsidRDefault="00EB104F" w14:paraId="082F885F" w14:textId="799D225F">
      <w:pPr>
        <w:widowControl/>
      </w:pPr>
      <w:r w:rsidRPr="00DE3A7F">
        <w:t xml:space="preserve">Phone: </w:t>
      </w:r>
      <w:r w:rsidRPr="00DE3A7F" w:rsidR="00DE3A7F">
        <w:t>404-718-8</w:t>
      </w:r>
      <w:r w:rsidR="001C266C">
        <w:t>288</w:t>
      </w:r>
    </w:p>
    <w:p w:rsidRPr="00E15DF4" w:rsidR="00EB104F" w:rsidP="00EB104F" w:rsidRDefault="00EB104F" w14:paraId="228F5D4F" w14:textId="7431090B">
      <w:pPr>
        <w:widowControl/>
        <w:rPr>
          <w:highlight w:val="yellow"/>
        </w:rPr>
      </w:pPr>
      <w:r w:rsidRPr="00DE3A7F">
        <w:t xml:space="preserve">Fax: </w:t>
      </w:r>
      <w:r w:rsidRPr="00DE3A7F" w:rsidR="00DE3A7F">
        <w:t>404-718-8010</w:t>
      </w:r>
    </w:p>
    <w:p w:rsidR="00EB104F" w:rsidP="001C266C" w:rsidRDefault="00EB104F" w14:paraId="78A0C9C1" w14:textId="00612B21">
      <w:pPr>
        <w:widowControl/>
        <w:rPr>
          <w:b/>
          <w:bCs/>
        </w:rPr>
        <w:sectPr w:rsidR="00EB104F" w:rsidSect="002B1594">
          <w:footerReference w:type="even" r:id="rId8"/>
          <w:footerReference w:type="default" r:id="rId9"/>
          <w:endnotePr>
            <w:numFmt w:val="decimal"/>
          </w:endnotePr>
          <w:pgSz w:w="12240" w:h="15840" w:code="1"/>
          <w:pgMar w:top="1440" w:right="1440" w:bottom="720" w:left="1440" w:header="1440" w:footer="720" w:gutter="0"/>
          <w:pgNumType w:fmt="lowerRoman"/>
          <w:cols w:space="720"/>
          <w:noEndnote/>
          <w:titlePg/>
          <w:docGrid w:linePitch="326"/>
        </w:sectPr>
      </w:pPr>
      <w:r w:rsidRPr="00DE3A7F">
        <w:t xml:space="preserve">E-mail: </w:t>
      </w:r>
      <w:hyperlink w:history="1" r:id="rId10">
        <w:r w:rsidRPr="00602B9F" w:rsidR="00B5454A">
          <w:rPr>
            <w:rStyle w:val="Hyperlink"/>
          </w:rPr>
          <w:t>sce2@cdc.gov</w:t>
        </w:r>
      </w:hyperlink>
      <w:r w:rsidR="00B5454A">
        <w:t xml:space="preserve"> </w:t>
      </w:r>
    </w:p>
    <w:p w:rsidR="00EB104F" w:rsidP="00810658" w:rsidRDefault="00767F05" w14:paraId="4B68D9F0" w14:textId="6480EBB3">
      <w:pPr>
        <w:pStyle w:val="TOCHeading"/>
        <w:spacing w:before="0" w:after="480"/>
      </w:pPr>
      <w:r>
        <w:lastRenderedPageBreak/>
        <w:t>Contents</w:t>
      </w:r>
    </w:p>
    <w:p w:rsidRPr="00767F05" w:rsidR="002B1594" w:rsidP="00767F05" w:rsidRDefault="00767F05" w14:paraId="107DAA87" w14:textId="10F1BCD0">
      <w:pPr>
        <w:pStyle w:val="TOC1"/>
      </w:pPr>
      <w:r w:rsidRPr="00767F05">
        <w:t>A</w:t>
      </w:r>
      <w:r w:rsidR="00810658">
        <w:t>.</w:t>
      </w:r>
      <w:r w:rsidRPr="00767F05">
        <w:tab/>
        <w:t>JUSTIFICATION</w:t>
      </w:r>
      <w:r w:rsidRPr="00767F05">
        <w:tab/>
        <w:t>1</w:t>
      </w:r>
    </w:p>
    <w:p w:rsidRPr="009105E2" w:rsidR="00767F05" w:rsidP="00767F05" w:rsidRDefault="00767F05" w14:paraId="315A9DB8" w14:textId="392A72C4">
      <w:pPr>
        <w:pStyle w:val="TOC2"/>
      </w:pPr>
      <w:r w:rsidRPr="00767F05">
        <w:t>A.1</w:t>
      </w:r>
      <w:r w:rsidRPr="00767F05">
        <w:tab/>
        <w:t>CIRCUMSTANCES MAKING THE COLLECTION OF INFORMATION NECESSARY</w:t>
      </w:r>
      <w:r w:rsidRPr="009105E2">
        <w:tab/>
        <w:t>1</w:t>
      </w:r>
    </w:p>
    <w:p w:rsidR="00767F05" w:rsidP="00767F05" w:rsidRDefault="00767F05" w14:paraId="2C81ADFC" w14:textId="72155DEE">
      <w:pPr>
        <w:pStyle w:val="TOC2"/>
      </w:pPr>
      <w:r w:rsidRPr="00767F05">
        <w:t>A.2</w:t>
      </w:r>
      <w:r w:rsidRPr="00767F05">
        <w:tab/>
        <w:t>PURPOSE AND USE OF INFORMATION COLLECTED</w:t>
      </w:r>
      <w:r w:rsidRPr="00767F05">
        <w:tab/>
        <w:t>3</w:t>
      </w:r>
    </w:p>
    <w:p w:rsidR="00767F05" w:rsidP="00767F05" w:rsidRDefault="00767F05" w14:paraId="38C1625B" w14:textId="6586F41E">
      <w:pPr>
        <w:pStyle w:val="TOC2"/>
      </w:pPr>
      <w:r w:rsidRPr="00957D8A">
        <w:t>A.3</w:t>
      </w:r>
      <w:r w:rsidRPr="00957D8A">
        <w:tab/>
        <w:t xml:space="preserve">USE OF IMPROVED INFORMATION TECHNOLOGY AND </w:t>
      </w:r>
      <w:r>
        <w:br/>
      </w:r>
      <w:r w:rsidRPr="00957D8A">
        <w:t>BURDEN REDUCTION</w:t>
      </w:r>
      <w:r>
        <w:tab/>
        <w:t>4</w:t>
      </w:r>
    </w:p>
    <w:p w:rsidR="00767F05" w:rsidP="00767F05" w:rsidRDefault="00767F05" w14:paraId="05501DA3" w14:textId="130C0A89">
      <w:pPr>
        <w:pStyle w:val="TOC2"/>
      </w:pPr>
      <w:r w:rsidRPr="006D6B92">
        <w:t>A.4</w:t>
      </w:r>
      <w:r w:rsidRPr="006D6B92">
        <w:tab/>
        <w:t xml:space="preserve">EFFORTS TO IDENTIFY DUPLICATION AND USE OF SIMILAR </w:t>
      </w:r>
      <w:r>
        <w:br/>
      </w:r>
      <w:r w:rsidRPr="006D6B92">
        <w:t>INFORMATION</w:t>
      </w:r>
      <w:r>
        <w:tab/>
        <w:t>4</w:t>
      </w:r>
    </w:p>
    <w:p w:rsidR="00767F05" w:rsidP="00767F05" w:rsidRDefault="00767F05" w14:paraId="4FFCE63C" w14:textId="6458AF47">
      <w:pPr>
        <w:pStyle w:val="TOC2"/>
      </w:pPr>
      <w:r w:rsidRPr="0029780B">
        <w:t>A.5</w:t>
      </w:r>
      <w:r w:rsidRPr="0029780B">
        <w:tab/>
        <w:t>IMPACT ON SMALL BUSINESSES OR OTHER SMALL ENTITIES</w:t>
      </w:r>
      <w:r>
        <w:tab/>
        <w:t>4</w:t>
      </w:r>
    </w:p>
    <w:p w:rsidR="00767F05" w:rsidP="00767F05" w:rsidRDefault="00767F05" w14:paraId="449A1A27" w14:textId="4E22AB0B">
      <w:pPr>
        <w:pStyle w:val="TOC2"/>
      </w:pPr>
      <w:r w:rsidRPr="00DB012E">
        <w:t>A.6</w:t>
      </w:r>
      <w:r w:rsidRPr="00DB012E">
        <w:tab/>
        <w:t>CONSEQUENCES OF COLLECTING THE INFORMATION LESS FREQUENTLY</w:t>
      </w:r>
      <w:r>
        <w:tab/>
      </w:r>
      <w:r w:rsidR="00AD26EB">
        <w:t>4</w:t>
      </w:r>
    </w:p>
    <w:p w:rsidR="00767F05" w:rsidP="00767F05" w:rsidRDefault="00767F05" w14:paraId="068AE8CA" w14:textId="417D89B5">
      <w:pPr>
        <w:pStyle w:val="TOC2"/>
      </w:pPr>
      <w:r w:rsidRPr="00DB012E">
        <w:t>A.7</w:t>
      </w:r>
      <w:r w:rsidRPr="00DB012E">
        <w:tab/>
        <w:t>SPECIAL CIRCUMSTANCES RELATING TO THE GUIDELINE OF 5 CFR 1320.5</w:t>
      </w:r>
      <w:r>
        <w:tab/>
        <w:t>5</w:t>
      </w:r>
    </w:p>
    <w:p w:rsidR="00767F05" w:rsidP="00767F05" w:rsidRDefault="00767F05" w14:paraId="3DB0933B" w14:textId="7BCB3509">
      <w:pPr>
        <w:pStyle w:val="TOC2"/>
      </w:pPr>
      <w:r>
        <w:t>A</w:t>
      </w:r>
      <w:r w:rsidRPr="00DB012E">
        <w:t>.8</w:t>
      </w:r>
      <w:r w:rsidRPr="00DB012E">
        <w:tab/>
        <w:t>COMMENTS IN RESPONSE TO THE FEDERAL REGISTER NOTICE AND EFFORTS TO CONSULT OUTSIDE THE AGENCY</w:t>
      </w:r>
      <w:r>
        <w:tab/>
        <w:t>5</w:t>
      </w:r>
    </w:p>
    <w:p w:rsidR="00767F05" w:rsidP="00767F05" w:rsidRDefault="00767F05" w14:paraId="3DBE88CA" w14:textId="75597AA4">
      <w:pPr>
        <w:pStyle w:val="TOC2"/>
      </w:pPr>
      <w:r w:rsidRPr="00DB012E">
        <w:t>A.9</w:t>
      </w:r>
      <w:r w:rsidRPr="00DB012E">
        <w:tab/>
        <w:t>EXPLANATION OF ANY PAYMENT OR GIFT TO RESPONDENTS</w:t>
      </w:r>
      <w:r>
        <w:tab/>
        <w:t>5</w:t>
      </w:r>
    </w:p>
    <w:p w:rsidR="00767F05" w:rsidP="00767F05" w:rsidRDefault="00767F05" w14:paraId="15B408CD" w14:textId="46319BED">
      <w:pPr>
        <w:pStyle w:val="TOC2"/>
      </w:pPr>
      <w:r w:rsidRPr="00DB012E">
        <w:t>A.10</w:t>
      </w:r>
      <w:r w:rsidRPr="00DB012E">
        <w:tab/>
      </w:r>
      <w:r>
        <w:t>PROTECTION OF THE PRIVACY AND</w:t>
      </w:r>
      <w:r w:rsidRPr="00DB012E">
        <w:t xml:space="preserve"> CONFIDENTIALITY</w:t>
      </w:r>
      <w:r>
        <w:t xml:space="preserve"> OF INFORMATION</w:t>
      </w:r>
      <w:r w:rsidRPr="00DB012E">
        <w:t xml:space="preserve"> PROVIDED </w:t>
      </w:r>
      <w:r>
        <w:t>BY</w:t>
      </w:r>
      <w:r w:rsidRPr="00DB012E">
        <w:t xml:space="preserve"> RESPONDENTS</w:t>
      </w:r>
      <w:r>
        <w:tab/>
      </w:r>
      <w:r w:rsidR="00AD26EB">
        <w:t>5</w:t>
      </w:r>
    </w:p>
    <w:p w:rsidR="00767F05" w:rsidP="00767F05" w:rsidRDefault="00767F05" w14:paraId="17A85631" w14:textId="39E5D9BB">
      <w:pPr>
        <w:pStyle w:val="TOC2"/>
      </w:pPr>
      <w:r w:rsidRPr="00DB012E">
        <w:t>A.11</w:t>
      </w:r>
      <w:r w:rsidRPr="00DB012E">
        <w:tab/>
      </w:r>
      <w:r>
        <w:t xml:space="preserve">INSTITUTIONAL REVIEW BOARD (IRB) AND </w:t>
      </w:r>
      <w:r w:rsidRPr="00DB012E">
        <w:t xml:space="preserve">JUSTIFICATION FOR </w:t>
      </w:r>
      <w:r>
        <w:br/>
      </w:r>
      <w:r w:rsidRPr="00DB012E">
        <w:t>SENSITIVE QUESTIONS</w:t>
      </w:r>
      <w:r>
        <w:tab/>
        <w:t>6</w:t>
      </w:r>
    </w:p>
    <w:p w:rsidRPr="00767F05" w:rsidR="00767F05" w:rsidP="00767F05" w:rsidRDefault="00767F05" w14:paraId="41DEBED0" w14:textId="1D89F191">
      <w:pPr>
        <w:pStyle w:val="TOC2"/>
      </w:pPr>
      <w:r w:rsidRPr="00DB012E">
        <w:t>A.12</w:t>
      </w:r>
      <w:r w:rsidRPr="00DB012E">
        <w:tab/>
        <w:t>ESTIMATES OF ANNUALIZED BURDEN HOURS AND COSTS</w:t>
      </w:r>
      <w:r>
        <w:tab/>
      </w:r>
      <w:r w:rsidR="00AD26EB">
        <w:t>6</w:t>
      </w:r>
    </w:p>
    <w:p w:rsidR="00767F05" w:rsidP="00767F05" w:rsidRDefault="00767F05" w14:paraId="04C2DCDE" w14:textId="45005178">
      <w:pPr>
        <w:pStyle w:val="TOC2"/>
      </w:pPr>
      <w:r w:rsidRPr="00DB012E">
        <w:t>A.13</w:t>
      </w:r>
      <w:r w:rsidRPr="00DB012E">
        <w:tab/>
        <w:t xml:space="preserve">ESTIMATES OF OTHER TOTAL ANNUAL COST BURDEN TO </w:t>
      </w:r>
      <w:r>
        <w:br/>
      </w:r>
      <w:r w:rsidRPr="00DB012E">
        <w:t>RESPONDENTS AND RECORD</w:t>
      </w:r>
      <w:r>
        <w:t xml:space="preserve"> </w:t>
      </w:r>
      <w:r w:rsidRPr="00DB012E">
        <w:t>KEEPERS</w:t>
      </w:r>
      <w:r>
        <w:tab/>
      </w:r>
      <w:r w:rsidR="00AD26EB">
        <w:t>8</w:t>
      </w:r>
    </w:p>
    <w:p w:rsidR="00767F05" w:rsidP="00767F05" w:rsidRDefault="00767F05" w14:paraId="0F02A632" w14:textId="421C06CB">
      <w:pPr>
        <w:pStyle w:val="TOC2"/>
      </w:pPr>
      <w:r w:rsidRPr="00DB012E">
        <w:t>A.14</w:t>
      </w:r>
      <w:r w:rsidRPr="00DB012E">
        <w:tab/>
        <w:t xml:space="preserve">ANNUALIZED COSTS TO THE </w:t>
      </w:r>
      <w:r>
        <w:t xml:space="preserve">FEDERAL </w:t>
      </w:r>
      <w:r w:rsidRPr="00DB012E">
        <w:t>GOVERNMENT</w:t>
      </w:r>
      <w:r>
        <w:tab/>
      </w:r>
      <w:r w:rsidR="00B4006F">
        <w:t>8</w:t>
      </w:r>
    </w:p>
    <w:p w:rsidR="00767F05" w:rsidP="00767F05" w:rsidRDefault="00767F05" w14:paraId="71A238AB" w14:textId="5201F584">
      <w:pPr>
        <w:pStyle w:val="TOC2"/>
      </w:pPr>
      <w:r w:rsidRPr="00DB012E">
        <w:t>A.15</w:t>
      </w:r>
      <w:r w:rsidRPr="00DB012E">
        <w:tab/>
        <w:t xml:space="preserve">EXPLANATION </w:t>
      </w:r>
      <w:r>
        <w:t>FOR</w:t>
      </w:r>
      <w:r w:rsidRPr="00DB012E">
        <w:t xml:space="preserve"> PROGRAM CHANGES OR ADJUSTMENTS</w:t>
      </w:r>
      <w:r>
        <w:tab/>
      </w:r>
      <w:r w:rsidR="00AD26EB">
        <w:t>9</w:t>
      </w:r>
    </w:p>
    <w:p w:rsidR="00767F05" w:rsidP="00767F05" w:rsidRDefault="00767F05" w14:paraId="170CD5F4" w14:textId="69DC78DB">
      <w:pPr>
        <w:pStyle w:val="TOC2"/>
      </w:pPr>
      <w:r w:rsidRPr="00DB012E">
        <w:t>A.16</w:t>
      </w:r>
      <w:r w:rsidRPr="00DB012E">
        <w:tab/>
        <w:t>PLANS FOR TABULATION AND PUBLICATION AND PROJECT TIME SCHEDULE</w:t>
      </w:r>
      <w:r>
        <w:tab/>
      </w:r>
      <w:r w:rsidR="00AD26EB">
        <w:t>9</w:t>
      </w:r>
    </w:p>
    <w:p w:rsidR="00767F05" w:rsidP="00767F05" w:rsidRDefault="00767F05" w14:paraId="4FA330A0" w14:textId="20684D85">
      <w:pPr>
        <w:pStyle w:val="TOC2"/>
      </w:pPr>
      <w:r w:rsidRPr="00DB012E">
        <w:t>A.17</w:t>
      </w:r>
      <w:r w:rsidRPr="00DB012E">
        <w:tab/>
        <w:t>REASON(S) DISPLAY OF OMB EXPIRATION DATE IS INAPPROPRIATE</w:t>
      </w:r>
      <w:r>
        <w:tab/>
        <w:t>1</w:t>
      </w:r>
      <w:r w:rsidR="00AD26EB">
        <w:t>0</w:t>
      </w:r>
    </w:p>
    <w:p w:rsidR="00767F05" w:rsidP="00256384" w:rsidRDefault="00767F05" w14:paraId="47C5D591" w14:textId="6F3F15F5">
      <w:pPr>
        <w:pStyle w:val="TOC2"/>
        <w:spacing w:after="240"/>
        <w:ind w:left="1397" w:hanging="677"/>
      </w:pPr>
      <w:r w:rsidRPr="00DB012E">
        <w:t>A.18</w:t>
      </w:r>
      <w:r w:rsidRPr="00DB012E">
        <w:tab/>
        <w:t>EXCEPTIONS TO CERTIFICATION FOR PAPERWORK REDUCTION ACT SUBMISSIONS</w:t>
      </w:r>
      <w:r>
        <w:tab/>
        <w:t>1</w:t>
      </w:r>
      <w:r w:rsidR="00AD26EB">
        <w:t>0</w:t>
      </w:r>
    </w:p>
    <w:p w:rsidRPr="00767F05" w:rsidR="00767F05" w:rsidP="00767F05" w:rsidRDefault="00767F05" w14:paraId="59A3AED9" w14:textId="275F8863">
      <w:pPr>
        <w:rPr>
          <w:b/>
        </w:rPr>
      </w:pPr>
      <w:r w:rsidRPr="00767F05">
        <w:rPr>
          <w:b/>
        </w:rPr>
        <w:t>List of Exhibits</w:t>
      </w:r>
    </w:p>
    <w:p w:rsidR="00767F05" w:rsidP="00767F05" w:rsidRDefault="00767F05" w14:paraId="16FFFABC" w14:textId="5A234913"/>
    <w:p w:rsidRPr="00767F05" w:rsidR="00767F05" w:rsidP="00256384" w:rsidRDefault="00767F05" w14:paraId="16B73FD6" w14:textId="49DE48B2">
      <w:pPr>
        <w:pStyle w:val="TOC1"/>
        <w:numPr>
          <w:ilvl w:val="0"/>
          <w:numId w:val="13"/>
        </w:numPr>
        <w:rPr>
          <w:b w:val="0"/>
        </w:rPr>
      </w:pPr>
      <w:r w:rsidRPr="00767F05">
        <w:rPr>
          <w:b w:val="0"/>
        </w:rPr>
        <w:t>Estimated Annualized Burden Hours</w:t>
      </w:r>
      <w:r w:rsidRPr="00767F05">
        <w:rPr>
          <w:b w:val="0"/>
        </w:rPr>
        <w:tab/>
        <w:t>7</w:t>
      </w:r>
    </w:p>
    <w:p w:rsidRPr="00767F05" w:rsidR="00767F05" w:rsidP="00256384" w:rsidRDefault="00767F05" w14:paraId="29966EB0" w14:textId="7147B8B7">
      <w:pPr>
        <w:pStyle w:val="TOC1"/>
        <w:numPr>
          <w:ilvl w:val="0"/>
          <w:numId w:val="13"/>
        </w:numPr>
        <w:rPr>
          <w:b w:val="0"/>
        </w:rPr>
      </w:pPr>
      <w:r w:rsidRPr="00767F05">
        <w:rPr>
          <w:b w:val="0"/>
        </w:rPr>
        <w:t>Estimated Annualized Burden Costs</w:t>
      </w:r>
      <w:r w:rsidRPr="00767F05">
        <w:rPr>
          <w:b w:val="0"/>
        </w:rPr>
        <w:tab/>
        <w:t>8</w:t>
      </w:r>
    </w:p>
    <w:p w:rsidR="00767F05" w:rsidP="00256384" w:rsidRDefault="00767F05" w14:paraId="48BCCCFD" w14:textId="39B50E07">
      <w:pPr>
        <w:pStyle w:val="TOC1"/>
        <w:numPr>
          <w:ilvl w:val="0"/>
          <w:numId w:val="13"/>
        </w:numPr>
        <w:rPr>
          <w:b w:val="0"/>
        </w:rPr>
      </w:pPr>
      <w:r w:rsidRPr="00767F05">
        <w:rPr>
          <w:b w:val="0"/>
        </w:rPr>
        <w:t>Costs to the Federal Government</w:t>
      </w:r>
      <w:r w:rsidRPr="00767F05">
        <w:rPr>
          <w:b w:val="0"/>
        </w:rPr>
        <w:tab/>
        <w:t>9</w:t>
      </w:r>
    </w:p>
    <w:p w:rsidRPr="00AD26EB" w:rsidR="00AD26EB" w:rsidP="00AD26EB" w:rsidRDefault="00AD26EB" w14:paraId="71E7FFD3" w14:textId="20FDA26F">
      <w:pPr>
        <w:pStyle w:val="TOC1"/>
        <w:numPr>
          <w:ilvl w:val="0"/>
          <w:numId w:val="13"/>
        </w:numPr>
        <w:rPr>
          <w:b w:val="0"/>
        </w:rPr>
      </w:pPr>
      <w:r w:rsidRPr="00AD26EB">
        <w:rPr>
          <w:b w:val="0"/>
          <w:color w:val="000000" w:themeColor="text1"/>
        </w:rPr>
        <w:t>Time schedule for the School Health Profiles Test-Retest Reliability Study</w:t>
      </w:r>
      <w:r w:rsidRPr="00AD26EB">
        <w:rPr>
          <w:b w:val="0"/>
          <w:color w:val="000000" w:themeColor="text1"/>
        </w:rPr>
        <w:tab/>
        <w:t>10</w:t>
      </w:r>
    </w:p>
    <w:p w:rsidRPr="00767F05" w:rsidR="00767F05" w:rsidP="00767F05" w:rsidRDefault="00767F05" w14:paraId="1A923A8B" w14:textId="0379C45E">
      <w:pPr>
        <w:pStyle w:val="TOC1"/>
        <w:ind w:left="446" w:hanging="446"/>
      </w:pPr>
      <w:r w:rsidRPr="00767F05">
        <w:lastRenderedPageBreak/>
        <w:t>List of Attachments</w:t>
      </w:r>
    </w:p>
    <w:p w:rsidRPr="00352619" w:rsidR="002575C6" w:rsidP="002575C6" w:rsidRDefault="002575C6" w14:paraId="77CB8AA6"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A – Authorizing Legislation</w:t>
      </w:r>
    </w:p>
    <w:p w:rsidR="002575C6" w:rsidP="002575C6" w:rsidRDefault="002575C6" w14:paraId="5692FB76" w14:textId="23DB1DC5">
      <w:pPr>
        <w:widowControl/>
        <w:tabs>
          <w:tab w:val="right" w:leader="dot" w:pos="9350"/>
        </w:tabs>
        <w:autoSpaceDE/>
        <w:autoSpaceDN/>
        <w:adjustRightInd/>
        <w:spacing w:after="100" w:line="276" w:lineRule="auto"/>
        <w:ind w:left="720" w:hanging="450"/>
        <w:rPr>
          <w:noProof/>
          <w:sz w:val="22"/>
          <w:szCs w:val="22"/>
        </w:rPr>
      </w:pPr>
      <w:bookmarkStart w:name="_Hlk39489735" w:id="0"/>
      <w:r w:rsidRPr="00352619">
        <w:rPr>
          <w:noProof/>
          <w:sz w:val="22"/>
          <w:szCs w:val="22"/>
        </w:rPr>
        <w:t>Attachment B</w:t>
      </w:r>
      <w:r w:rsidR="00C81723">
        <w:rPr>
          <w:noProof/>
          <w:sz w:val="22"/>
          <w:szCs w:val="22"/>
        </w:rPr>
        <w:t>-1</w:t>
      </w:r>
      <w:r w:rsidRPr="00352619">
        <w:rPr>
          <w:noProof/>
          <w:sz w:val="22"/>
          <w:szCs w:val="22"/>
        </w:rPr>
        <w:t xml:space="preserve"> –</w:t>
      </w:r>
      <w:r w:rsidR="00945D18">
        <w:rPr>
          <w:noProof/>
          <w:sz w:val="22"/>
          <w:szCs w:val="22"/>
        </w:rPr>
        <w:t xml:space="preserve"> 60-Day</w:t>
      </w:r>
      <w:r w:rsidRPr="00352619">
        <w:rPr>
          <w:noProof/>
          <w:sz w:val="22"/>
          <w:szCs w:val="22"/>
        </w:rPr>
        <w:t xml:space="preserve"> Federal Register Notice </w:t>
      </w:r>
    </w:p>
    <w:p w:rsidR="00C81723" w:rsidP="00C81723" w:rsidRDefault="00C81723" w14:paraId="43B3A104" w14:textId="212C0CDD">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B</w:t>
      </w:r>
      <w:r>
        <w:rPr>
          <w:noProof/>
          <w:sz w:val="22"/>
          <w:szCs w:val="22"/>
        </w:rPr>
        <w:t>-2</w:t>
      </w:r>
      <w:r w:rsidRPr="00352619">
        <w:rPr>
          <w:noProof/>
          <w:sz w:val="22"/>
          <w:szCs w:val="22"/>
        </w:rPr>
        <w:t xml:space="preserve"> – </w:t>
      </w:r>
      <w:r w:rsidR="00945D18">
        <w:rPr>
          <w:noProof/>
          <w:sz w:val="22"/>
          <w:szCs w:val="22"/>
        </w:rPr>
        <w:t xml:space="preserve">60-Day </w:t>
      </w:r>
      <w:r w:rsidRPr="00352619">
        <w:rPr>
          <w:noProof/>
          <w:sz w:val="22"/>
          <w:szCs w:val="22"/>
        </w:rPr>
        <w:t>Federal Register Notice</w:t>
      </w:r>
      <w:r>
        <w:rPr>
          <w:noProof/>
          <w:sz w:val="22"/>
          <w:szCs w:val="22"/>
        </w:rPr>
        <w:t xml:space="preserve"> Comments</w:t>
      </w:r>
      <w:r w:rsidRPr="00352619">
        <w:rPr>
          <w:noProof/>
          <w:sz w:val="22"/>
          <w:szCs w:val="22"/>
        </w:rPr>
        <w:t xml:space="preserve"> </w:t>
      </w:r>
    </w:p>
    <w:bookmarkEnd w:id="0"/>
    <w:p w:rsidRPr="00352619" w:rsidR="002575C6" w:rsidP="002575C6" w:rsidRDefault="002575C6" w14:paraId="5FC5D321"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C – School Principal Questionnaire </w:t>
      </w:r>
    </w:p>
    <w:p w:rsidRPr="00352619" w:rsidR="002575C6" w:rsidP="002575C6" w:rsidRDefault="002575C6" w14:paraId="43417D18"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D – Lead Health Education Teacher Questionnaire</w:t>
      </w:r>
    </w:p>
    <w:p w:rsidRPr="00352619" w:rsidR="002575C6" w:rsidP="002575C6" w:rsidRDefault="002575C6" w14:paraId="4268CEF8"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E – Time 2 Supplemental Questions </w:t>
      </w:r>
    </w:p>
    <w:p w:rsidRPr="00352619" w:rsidR="002575C6" w:rsidP="002575C6" w:rsidRDefault="002575C6" w14:paraId="49D8E459"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F – Advance Superintendent Letter</w:t>
      </w:r>
    </w:p>
    <w:p w:rsidRPr="00352619" w:rsidR="002575C6" w:rsidP="002575C6" w:rsidRDefault="002575C6" w14:paraId="20BD0586"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G – Advance Principal and Lead Health Education Teacher Letters</w:t>
      </w:r>
    </w:p>
    <w:p w:rsidRPr="00352619" w:rsidR="002575C6" w:rsidP="002575C6" w:rsidRDefault="002575C6" w14:paraId="0E899B55"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H – Time1 Initial Mailing Letters – Paper</w:t>
      </w:r>
    </w:p>
    <w:p w:rsidRPr="00352619" w:rsidR="002575C6" w:rsidP="002575C6" w:rsidRDefault="002575C6" w14:paraId="5018C174"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I – Time 1 Initial Mailing Letters – Web-based</w:t>
      </w:r>
    </w:p>
    <w:p w:rsidRPr="00352619" w:rsidR="002575C6" w:rsidP="002575C6" w:rsidRDefault="002575C6" w14:paraId="60C2541C"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J – Time 1 Reminder Postcards – Paper</w:t>
      </w:r>
    </w:p>
    <w:p w:rsidRPr="00352619" w:rsidR="002575C6" w:rsidP="002575C6" w:rsidRDefault="002575C6" w14:paraId="1A218F44"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K – Time 1 Reminder Postcards – Web-based</w:t>
      </w:r>
    </w:p>
    <w:p w:rsidRPr="00352619" w:rsidR="002575C6" w:rsidP="002575C6" w:rsidRDefault="002575C6" w14:paraId="1481D60F"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L – Time 1 Follow-up </w:t>
      </w:r>
      <w:r>
        <w:rPr>
          <w:noProof/>
          <w:sz w:val="22"/>
          <w:szCs w:val="22"/>
        </w:rPr>
        <w:t>and</w:t>
      </w:r>
      <w:r w:rsidRPr="00352619">
        <w:rPr>
          <w:noProof/>
          <w:sz w:val="22"/>
          <w:szCs w:val="22"/>
        </w:rPr>
        <w:t xml:space="preserve"> Final Mailings – Paper </w:t>
      </w:r>
    </w:p>
    <w:p w:rsidRPr="00352619" w:rsidR="002575C6" w:rsidP="002575C6" w:rsidRDefault="002575C6" w14:paraId="53FDB352"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M – Time 1 Follow-up </w:t>
      </w:r>
      <w:r>
        <w:rPr>
          <w:noProof/>
          <w:sz w:val="22"/>
          <w:szCs w:val="22"/>
        </w:rPr>
        <w:t>and</w:t>
      </w:r>
      <w:r w:rsidRPr="00352619">
        <w:rPr>
          <w:noProof/>
          <w:sz w:val="22"/>
          <w:szCs w:val="22"/>
        </w:rPr>
        <w:t xml:space="preserve"> Final Mailings – Web-based</w:t>
      </w:r>
    </w:p>
    <w:p w:rsidRPr="00352619" w:rsidR="002575C6" w:rsidP="002575C6" w:rsidRDefault="002575C6" w14:paraId="46D541A2"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N – Telephone Prompt Script</w:t>
      </w:r>
    </w:p>
    <w:p w:rsidRPr="00352619" w:rsidR="002575C6" w:rsidP="002575C6" w:rsidRDefault="002575C6" w14:paraId="7E43AC74"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O – Time 2 Initial Mailing Letters – Paper </w:t>
      </w:r>
    </w:p>
    <w:p w:rsidRPr="00352619" w:rsidR="002575C6" w:rsidP="002575C6" w:rsidRDefault="002575C6" w14:paraId="053BDEB9"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P – Time 2 Initial Mailing Letters – Web-based</w:t>
      </w:r>
    </w:p>
    <w:p w:rsidRPr="00352619" w:rsidR="002575C6" w:rsidP="002575C6" w:rsidRDefault="002575C6" w14:paraId="64DC06FE"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Q – Time 2 Reminder Postcards – Paper </w:t>
      </w:r>
    </w:p>
    <w:p w:rsidRPr="00352619" w:rsidR="002575C6" w:rsidP="002575C6" w:rsidRDefault="002575C6" w14:paraId="6805296B"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R – Time 2 Reminder Postcards</w:t>
      </w:r>
      <w:r>
        <w:rPr>
          <w:noProof/>
          <w:sz w:val="22"/>
          <w:szCs w:val="22"/>
        </w:rPr>
        <w:t xml:space="preserve"> and Emails</w:t>
      </w:r>
      <w:r w:rsidRPr="00352619">
        <w:rPr>
          <w:noProof/>
          <w:sz w:val="22"/>
          <w:szCs w:val="22"/>
        </w:rPr>
        <w:t xml:space="preserve"> – Web-based</w:t>
      </w:r>
    </w:p>
    <w:p w:rsidRPr="00352619" w:rsidR="002575C6" w:rsidP="002575C6" w:rsidRDefault="002575C6" w14:paraId="2912E456"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S – Time 2 Follow-up </w:t>
      </w:r>
      <w:r>
        <w:rPr>
          <w:noProof/>
          <w:sz w:val="22"/>
          <w:szCs w:val="22"/>
        </w:rPr>
        <w:t>and</w:t>
      </w:r>
      <w:r w:rsidRPr="00352619">
        <w:rPr>
          <w:noProof/>
          <w:sz w:val="22"/>
          <w:szCs w:val="22"/>
        </w:rPr>
        <w:t xml:space="preserve"> Final Mailings – Paper </w:t>
      </w:r>
    </w:p>
    <w:p w:rsidRPr="00352619" w:rsidR="002575C6" w:rsidP="002575C6" w:rsidRDefault="002575C6" w14:paraId="54CE7163"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T – Time 2 Follow-up </w:t>
      </w:r>
      <w:r>
        <w:rPr>
          <w:noProof/>
          <w:sz w:val="22"/>
          <w:szCs w:val="22"/>
        </w:rPr>
        <w:t>and</w:t>
      </w:r>
      <w:r w:rsidRPr="00352619">
        <w:rPr>
          <w:noProof/>
          <w:sz w:val="22"/>
          <w:szCs w:val="22"/>
        </w:rPr>
        <w:t xml:space="preserve"> Final Mailings</w:t>
      </w:r>
      <w:r>
        <w:rPr>
          <w:noProof/>
          <w:sz w:val="22"/>
          <w:szCs w:val="22"/>
        </w:rPr>
        <w:t xml:space="preserve"> to Principals</w:t>
      </w:r>
      <w:r w:rsidRPr="00352619">
        <w:rPr>
          <w:noProof/>
          <w:sz w:val="22"/>
          <w:szCs w:val="22"/>
        </w:rPr>
        <w:t xml:space="preserve"> – Web-based</w:t>
      </w:r>
    </w:p>
    <w:p w:rsidR="002575C6" w:rsidP="002575C6" w:rsidRDefault="002575C6" w14:paraId="0EE0BB02" w14:textId="0BACE9AB">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U – IRB Approval Letter</w:t>
      </w:r>
    </w:p>
    <w:p w:rsidRPr="00352619" w:rsidR="007E1DDA" w:rsidP="002575C6" w:rsidRDefault="007E1DDA" w14:paraId="5782E8B3" w14:textId="5D2451BF">
      <w:pPr>
        <w:widowControl/>
        <w:tabs>
          <w:tab w:val="right" w:leader="dot" w:pos="9350"/>
        </w:tabs>
        <w:autoSpaceDE/>
        <w:autoSpaceDN/>
        <w:adjustRightInd/>
        <w:spacing w:after="100" w:line="276" w:lineRule="auto"/>
        <w:ind w:left="720" w:hanging="450"/>
        <w:rPr>
          <w:noProof/>
          <w:sz w:val="22"/>
          <w:szCs w:val="22"/>
        </w:rPr>
      </w:pPr>
      <w:r>
        <w:rPr>
          <w:noProof/>
          <w:sz w:val="22"/>
          <w:szCs w:val="22"/>
        </w:rPr>
        <w:t>Attachment V – Privacy Impact Assessment Form</w:t>
      </w:r>
    </w:p>
    <w:p w:rsidRPr="007D5C10" w:rsidR="002575C6" w:rsidP="002575C6" w:rsidRDefault="002575C6" w14:paraId="5E72FF9C" w14:textId="77777777">
      <w:pPr>
        <w:widowControl/>
        <w:autoSpaceDE/>
        <w:autoSpaceDN/>
        <w:adjustRightInd/>
        <w:rPr>
          <w:b/>
          <w:bCs/>
        </w:rPr>
      </w:pPr>
    </w:p>
    <w:p w:rsidRPr="00767F05" w:rsidR="00767F05" w:rsidP="00767F05" w:rsidRDefault="00767F05" w14:paraId="70CBD16C" w14:textId="77777777"/>
    <w:p w:rsidRPr="00767F05" w:rsidR="00EB104F" w:rsidP="00EB104F" w:rsidRDefault="00EB104F" w14:paraId="4003A475" w14:textId="77777777">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ind w:firstLine="1814"/>
        <w:sectPr w:rsidRPr="00767F05" w:rsidR="00EB104F" w:rsidSect="00767F05">
          <w:endnotePr>
            <w:numFmt w:val="decimal"/>
          </w:endnotePr>
          <w:pgSz w:w="12240" w:h="15840" w:code="1"/>
          <w:pgMar w:top="1440" w:right="1440" w:bottom="720" w:left="1440" w:header="1440" w:footer="720" w:gutter="0"/>
          <w:pgNumType w:fmt="lowerRoman"/>
          <w:cols w:space="720"/>
          <w:noEndnote/>
        </w:sectPr>
      </w:pPr>
    </w:p>
    <w:p w:rsidR="00F55AF7" w:rsidP="007A7FA1" w:rsidRDefault="00F55AF7" w14:paraId="0172EBE2" w14:textId="77777777">
      <w:pPr>
        <w:widowControl/>
        <w:tabs>
          <w:tab w:val="center" w:pos="4687"/>
          <w:tab w:val="left" w:pos="5040"/>
          <w:tab w:val="left" w:pos="5443"/>
          <w:tab w:val="left" w:pos="5760"/>
          <w:tab w:val="left" w:pos="6480"/>
          <w:tab w:val="left" w:pos="7200"/>
          <w:tab w:val="left" w:pos="7920"/>
          <w:tab w:val="left" w:pos="8640"/>
          <w:tab w:val="left" w:pos="9360"/>
        </w:tabs>
        <w:spacing w:line="232" w:lineRule="auto"/>
      </w:pPr>
    </w:p>
    <w:p w:rsidR="008247EE" w:rsidP="00116E39" w:rsidRDefault="008247EE" w14:paraId="5891FA0D" w14:textId="69C8D4D6">
      <w:pPr>
        <w:pStyle w:val="ListParagraph"/>
        <w:widowControl/>
        <w:numPr>
          <w:ilvl w:val="0"/>
          <w:numId w:val="7"/>
        </w:numPr>
        <w:pBdr>
          <w:top w:val="single" w:color="auto" w:sz="4" w:space="1"/>
          <w:left w:val="single" w:color="auto" w:sz="4" w:space="4"/>
          <w:bottom w:val="single" w:color="auto" w:sz="4" w:space="29"/>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bookmarkStart w:name="_Hlk32595600" w:id="1"/>
      <w:r w:rsidRPr="00F55AF7">
        <w:rPr>
          <w:sz w:val="22"/>
          <w:szCs w:val="22"/>
        </w:rPr>
        <w:t>T</w:t>
      </w:r>
      <w:r>
        <w:rPr>
          <w:sz w:val="22"/>
          <w:szCs w:val="22"/>
        </w:rPr>
        <w:t xml:space="preserve">he goal of the </w:t>
      </w:r>
      <w:r w:rsidRPr="00F55AF7">
        <w:rPr>
          <w:sz w:val="22"/>
          <w:szCs w:val="22"/>
        </w:rPr>
        <w:t xml:space="preserve">School Health Profiles Test-Retest Reliability Study is to test the reliability of the data collected through the School Health Profiles </w:t>
      </w:r>
      <w:r w:rsidR="00A83B1D">
        <w:rPr>
          <w:sz w:val="22"/>
          <w:szCs w:val="22"/>
        </w:rPr>
        <w:t xml:space="preserve">School </w:t>
      </w:r>
      <w:r w:rsidRPr="00F55AF7">
        <w:rPr>
          <w:sz w:val="22"/>
          <w:szCs w:val="22"/>
        </w:rPr>
        <w:t>Principal and Lead Health Education Teacher questionnaires.</w:t>
      </w:r>
    </w:p>
    <w:p w:rsidR="008247EE" w:rsidP="00116E39" w:rsidRDefault="008247EE" w14:paraId="7332AE12" w14:textId="57B75965">
      <w:pPr>
        <w:pStyle w:val="ListParagraph"/>
        <w:widowControl/>
        <w:numPr>
          <w:ilvl w:val="0"/>
          <w:numId w:val="7"/>
        </w:numPr>
        <w:pBdr>
          <w:top w:val="single" w:color="auto" w:sz="4" w:space="1"/>
          <w:left w:val="single" w:color="auto" w:sz="4" w:space="4"/>
          <w:bottom w:val="single" w:color="auto" w:sz="4" w:space="29"/>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sidRPr="00F55AF7">
        <w:rPr>
          <w:sz w:val="22"/>
          <w:szCs w:val="22"/>
        </w:rPr>
        <w:t xml:space="preserve">The results of the </w:t>
      </w:r>
      <w:r w:rsidR="00CC0F54">
        <w:rPr>
          <w:sz w:val="22"/>
          <w:szCs w:val="22"/>
        </w:rPr>
        <w:t>study</w:t>
      </w:r>
      <w:r w:rsidRPr="00F55AF7">
        <w:rPr>
          <w:sz w:val="22"/>
          <w:szCs w:val="22"/>
        </w:rPr>
        <w:t xml:space="preserve"> will be used to improve the questionnaires for future cycles. For example, questions that show poor reliability will be revised to clarify question wording. This will, in turn improve the quality of the data collected using the</w:t>
      </w:r>
      <w:r w:rsidR="00DF2287">
        <w:rPr>
          <w:sz w:val="22"/>
          <w:szCs w:val="22"/>
        </w:rPr>
        <w:t xml:space="preserve"> School Health</w:t>
      </w:r>
      <w:r w:rsidRPr="00F55AF7">
        <w:rPr>
          <w:sz w:val="22"/>
          <w:szCs w:val="22"/>
        </w:rPr>
        <w:t xml:space="preserve"> Profiles questionnaires.</w:t>
      </w:r>
    </w:p>
    <w:p w:rsidR="008247EE" w:rsidP="00116E39" w:rsidRDefault="008247EE" w14:paraId="7A4CD136" w14:textId="0CF7CB89">
      <w:pPr>
        <w:pStyle w:val="ListParagraph"/>
        <w:widowControl/>
        <w:numPr>
          <w:ilvl w:val="0"/>
          <w:numId w:val="7"/>
        </w:numPr>
        <w:pBdr>
          <w:top w:val="single" w:color="auto" w:sz="4" w:space="1"/>
          <w:left w:val="single" w:color="auto" w:sz="4" w:space="4"/>
          <w:bottom w:val="single" w:color="auto" w:sz="4" w:space="29"/>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Pr>
          <w:sz w:val="22"/>
          <w:szCs w:val="22"/>
        </w:rPr>
        <w:t>A</w:t>
      </w:r>
      <w:r w:rsidRPr="00F55AF7">
        <w:rPr>
          <w:sz w:val="22"/>
          <w:szCs w:val="22"/>
        </w:rPr>
        <w:t xml:space="preserve"> test-retest study</w:t>
      </w:r>
      <w:r>
        <w:rPr>
          <w:sz w:val="22"/>
          <w:szCs w:val="22"/>
        </w:rPr>
        <w:t xml:space="preserve"> will be implemented for eac</w:t>
      </w:r>
      <w:r w:rsidR="00CC0F54">
        <w:rPr>
          <w:sz w:val="22"/>
          <w:szCs w:val="22"/>
        </w:rPr>
        <w:t>h questionnaire.</w:t>
      </w:r>
      <w:r w:rsidR="00AD26EB">
        <w:rPr>
          <w:sz w:val="22"/>
          <w:szCs w:val="22"/>
        </w:rPr>
        <w:t xml:space="preserve"> </w:t>
      </w:r>
      <w:r w:rsidR="00CC0F54">
        <w:rPr>
          <w:sz w:val="22"/>
          <w:szCs w:val="22"/>
        </w:rPr>
        <w:t xml:space="preserve">Each </w:t>
      </w:r>
      <w:r>
        <w:rPr>
          <w:sz w:val="22"/>
          <w:szCs w:val="22"/>
        </w:rPr>
        <w:t>questionnaire</w:t>
      </w:r>
      <w:r w:rsidRPr="00F55AF7">
        <w:rPr>
          <w:sz w:val="22"/>
          <w:szCs w:val="22"/>
        </w:rPr>
        <w:t xml:space="preserve"> will be administered to the same respondents at two time points, approximately two weeks apart.</w:t>
      </w:r>
      <w:r w:rsidR="00AD26EB">
        <w:rPr>
          <w:sz w:val="22"/>
          <w:szCs w:val="22"/>
        </w:rPr>
        <w:t xml:space="preserve"> </w:t>
      </w:r>
      <w:r w:rsidRPr="00F55AF7">
        <w:rPr>
          <w:sz w:val="22"/>
          <w:szCs w:val="22"/>
        </w:rPr>
        <w:t>Five additional questions will be added at the end of both the principal and lead health education teacher questionnaires at the Time 2 administration to gather data on why responses to the same questions may have changed or stayed the same between the two administrations</w:t>
      </w:r>
      <w:r>
        <w:rPr>
          <w:sz w:val="22"/>
          <w:szCs w:val="22"/>
        </w:rPr>
        <w:t>.</w:t>
      </w:r>
    </w:p>
    <w:p w:rsidR="008247EE" w:rsidP="00116E39" w:rsidRDefault="008247EE" w14:paraId="7002FB60" w14:textId="79F34D92">
      <w:pPr>
        <w:pStyle w:val="ListParagraph"/>
        <w:widowControl/>
        <w:numPr>
          <w:ilvl w:val="0"/>
          <w:numId w:val="7"/>
        </w:numPr>
        <w:pBdr>
          <w:top w:val="single" w:color="auto" w:sz="4" w:space="1"/>
          <w:left w:val="single" w:color="auto" w:sz="4" w:space="4"/>
          <w:bottom w:val="single" w:color="auto" w:sz="4" w:space="29"/>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sidRPr="00F55AF7">
        <w:rPr>
          <w:sz w:val="22"/>
          <w:szCs w:val="22"/>
        </w:rPr>
        <w:t xml:space="preserve">The respondents for the School Health </w:t>
      </w:r>
      <w:proofErr w:type="gramStart"/>
      <w:r w:rsidRPr="00F55AF7">
        <w:rPr>
          <w:sz w:val="22"/>
          <w:szCs w:val="22"/>
        </w:rPr>
        <w:t>Profiles</w:t>
      </w:r>
      <w:proofErr w:type="gramEnd"/>
      <w:r w:rsidRPr="00F55AF7">
        <w:rPr>
          <w:sz w:val="22"/>
          <w:szCs w:val="22"/>
        </w:rPr>
        <w:t xml:space="preserve"> Test-Retest Reliability Study will include principals and lead health education teachers in public secondary schools containing at least one of grades 6 through 12.</w:t>
      </w:r>
      <w:r w:rsidR="00AD26EB">
        <w:rPr>
          <w:sz w:val="22"/>
          <w:szCs w:val="22"/>
        </w:rPr>
        <w:t xml:space="preserve"> </w:t>
      </w:r>
      <w:r w:rsidRPr="00F55AF7">
        <w:rPr>
          <w:sz w:val="22"/>
          <w:szCs w:val="22"/>
        </w:rPr>
        <w:t>A sample of 300 regular public secondary schools in the U.S. containing at least one of grades 6 through 12 will be selected in no more than 40 districts.</w:t>
      </w:r>
    </w:p>
    <w:p w:rsidR="008247EE" w:rsidP="00116E39" w:rsidRDefault="008247EE" w14:paraId="3D728E55" w14:textId="7CBA48D4">
      <w:pPr>
        <w:pStyle w:val="ListParagraph"/>
        <w:widowControl/>
        <w:numPr>
          <w:ilvl w:val="0"/>
          <w:numId w:val="7"/>
        </w:numPr>
        <w:pBdr>
          <w:top w:val="single" w:color="auto" w:sz="4" w:space="1"/>
          <w:left w:val="single" w:color="auto" w:sz="4" w:space="4"/>
          <w:bottom w:val="single" w:color="auto" w:sz="4" w:space="29"/>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Pr>
          <w:sz w:val="22"/>
          <w:szCs w:val="22"/>
        </w:rPr>
        <w:t>D</w:t>
      </w:r>
      <w:r w:rsidRPr="00F55AF7">
        <w:rPr>
          <w:sz w:val="22"/>
          <w:szCs w:val="22"/>
        </w:rPr>
        <w:t>ata will be assessed in two ways. First, the extent of the agreement between Time 1 and Time 2 responses will be calculated. Using Time 1 and Time 2 data, reliability will be estimated through Cohen’s kappa. Second, prevalence estimates obtained at Time 1 will be compared to those obtained at Time 2.</w:t>
      </w:r>
    </w:p>
    <w:p w:rsidR="0004659C" w:rsidP="00116E39" w:rsidRDefault="0004659C" w14:paraId="12D8DF17" w14:textId="095C14D1">
      <w:pPr>
        <w:pStyle w:val="ListParagraph"/>
        <w:widowControl/>
        <w:numPr>
          <w:ilvl w:val="0"/>
          <w:numId w:val="7"/>
        </w:numPr>
        <w:pBdr>
          <w:top w:val="single" w:color="auto" w:sz="4" w:space="1"/>
          <w:left w:val="single" w:color="auto" w:sz="4" w:space="4"/>
          <w:bottom w:val="single" w:color="auto" w:sz="4" w:space="29"/>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Pr>
          <w:sz w:val="22"/>
          <w:szCs w:val="22"/>
        </w:rPr>
        <w:t>The Centers for Disease Control and Prevention (CDC) is aware that some schools will be operating virtually in the semester leading up to data collection, but CDC assumes most faculty will be “in person” in the spring 2021.</w:t>
      </w:r>
    </w:p>
    <w:p w:rsidRPr="00F55AF7" w:rsidR="0004659C" w:rsidP="00116E39" w:rsidRDefault="0004659C" w14:paraId="1188F6E3" w14:textId="10D901AC">
      <w:pPr>
        <w:pStyle w:val="ListParagraph"/>
        <w:widowControl/>
        <w:numPr>
          <w:ilvl w:val="0"/>
          <w:numId w:val="7"/>
        </w:numPr>
        <w:pBdr>
          <w:top w:val="single" w:color="auto" w:sz="4" w:space="1"/>
          <w:left w:val="single" w:color="auto" w:sz="4" w:space="4"/>
          <w:bottom w:val="single" w:color="auto" w:sz="4" w:space="29"/>
          <w:right w:val="single" w:color="auto" w:sz="4" w:space="4"/>
        </w:pBdr>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Pr>
          <w:sz w:val="22"/>
          <w:szCs w:val="22"/>
        </w:rPr>
        <w:t xml:space="preserve">This study does not address COVID-19 issues specifically as such policies and practices related to this pandemic specifically will not be incorporated into School Health Profiles questionnaires.    </w:t>
      </w:r>
    </w:p>
    <w:bookmarkEnd w:id="1"/>
    <w:p w:rsidRPr="00F55AF7" w:rsidR="00EB104F" w:rsidP="007A7FA1" w:rsidRDefault="00EB104F" w14:paraId="66C8E4CF" w14:textId="27CBDEEF">
      <w:pPr>
        <w:widowControl/>
        <w:tabs>
          <w:tab w:val="center" w:pos="4687"/>
          <w:tab w:val="left" w:pos="5040"/>
          <w:tab w:val="left" w:pos="5443"/>
          <w:tab w:val="left" w:pos="5760"/>
          <w:tab w:val="left" w:pos="6480"/>
          <w:tab w:val="left" w:pos="7200"/>
          <w:tab w:val="left" w:pos="7920"/>
          <w:tab w:val="left" w:pos="8640"/>
          <w:tab w:val="left" w:pos="9360"/>
        </w:tabs>
        <w:spacing w:line="232" w:lineRule="auto"/>
        <w:rPr>
          <w:sz w:val="22"/>
          <w:szCs w:val="22"/>
        </w:rPr>
      </w:pPr>
      <w:r w:rsidRPr="00F55AF7">
        <w:rPr>
          <w:sz w:val="22"/>
          <w:szCs w:val="22"/>
        </w:rPr>
        <w:tab/>
      </w:r>
    </w:p>
    <w:p w:rsidR="00EB104F" w:rsidP="004304EF" w:rsidRDefault="00EB104F" w14:paraId="43FEBDE7" w14:textId="781C41DA">
      <w:pPr>
        <w:pStyle w:val="Heading1"/>
      </w:pPr>
      <w:bookmarkStart w:name="_Toc339868796" w:id="2"/>
      <w:bookmarkStart w:name="_Toc344295548" w:id="3"/>
      <w:r>
        <w:t>A.</w:t>
      </w:r>
      <w:r w:rsidR="00AD26EB">
        <w:t xml:space="preserve"> </w:t>
      </w:r>
      <w:r w:rsidRPr="004304EF">
        <w:t>JUSTIFICATION</w:t>
      </w:r>
      <w:bookmarkEnd w:id="2"/>
      <w:bookmarkEnd w:id="3"/>
    </w:p>
    <w:p w:rsidR="00EB104F" w:rsidP="00EB104F" w:rsidRDefault="00EB104F" w14:paraId="1EC8258E" w14:textId="77777777">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864" w:right="576"/>
      </w:pPr>
    </w:p>
    <w:p w:rsidRPr="005A25D4" w:rsidR="00AD2A89" w:rsidP="004304EF" w:rsidRDefault="00AD2A89" w14:paraId="7F557BDE" w14:textId="77777777">
      <w:pPr>
        <w:pStyle w:val="ExhibitText"/>
        <w:outlineLvl w:val="1"/>
        <w:rPr>
          <w:b/>
          <w:sz w:val="22"/>
          <w:szCs w:val="22"/>
        </w:rPr>
      </w:pPr>
      <w:bookmarkStart w:name="_Toc344295549" w:id="4"/>
      <w:r w:rsidRPr="005A25D4">
        <w:rPr>
          <w:b/>
          <w:sz w:val="22"/>
          <w:szCs w:val="22"/>
        </w:rPr>
        <w:t>A.1.</w:t>
      </w:r>
      <w:r w:rsidRPr="005A25D4">
        <w:rPr>
          <w:b/>
          <w:sz w:val="22"/>
          <w:szCs w:val="22"/>
        </w:rPr>
        <w:tab/>
        <w:t>CIRCUMSTANCES MAKING THE COLLECTION OF INFORMATION NECESSARY</w:t>
      </w:r>
      <w:bookmarkEnd w:id="4"/>
    </w:p>
    <w:p w:rsidR="00AD2A89" w:rsidP="00EB104F" w:rsidRDefault="00AD2A89" w14:paraId="0D7DF833" w14:textId="77777777">
      <w:pPr>
        <w:ind w:firstLine="720"/>
      </w:pPr>
    </w:p>
    <w:p w:rsidR="00794AE7" w:rsidP="00474FF8" w:rsidRDefault="00474FF8" w14:paraId="34A77C71" w14:textId="2577A6A9">
      <w:pPr>
        <w:rPr>
          <w:sz w:val="22"/>
          <w:szCs w:val="22"/>
        </w:rPr>
      </w:pPr>
      <w:r w:rsidRPr="00603BAF">
        <w:rPr>
          <w:sz w:val="22"/>
          <w:szCs w:val="22"/>
        </w:rPr>
        <w:t xml:space="preserve">This request is for OMB approval for the </w:t>
      </w:r>
      <w:r w:rsidRPr="0024660F" w:rsidR="0024660F">
        <w:rPr>
          <w:sz w:val="22"/>
          <w:szCs w:val="22"/>
        </w:rPr>
        <w:t>Scho</w:t>
      </w:r>
      <w:r w:rsidR="0024660F">
        <w:rPr>
          <w:sz w:val="22"/>
          <w:szCs w:val="22"/>
        </w:rPr>
        <w:t xml:space="preserve">ol Health Profiles Test-Retest </w:t>
      </w:r>
      <w:r w:rsidRPr="0024660F" w:rsidR="0024660F">
        <w:rPr>
          <w:sz w:val="22"/>
          <w:szCs w:val="22"/>
        </w:rPr>
        <w:t>Reliability Study</w:t>
      </w:r>
      <w:r w:rsidRPr="0024660F" w:rsidDel="0024660F" w:rsidR="0024660F">
        <w:rPr>
          <w:sz w:val="22"/>
          <w:szCs w:val="22"/>
        </w:rPr>
        <w:t xml:space="preserve"> </w:t>
      </w:r>
      <w:r w:rsidR="00603BAF">
        <w:rPr>
          <w:sz w:val="22"/>
          <w:szCs w:val="22"/>
        </w:rPr>
        <w:t>to be conducted in 2020</w:t>
      </w:r>
      <w:r w:rsidRPr="00603BAF">
        <w:rPr>
          <w:sz w:val="22"/>
          <w:szCs w:val="22"/>
        </w:rPr>
        <w:t>.</w:t>
      </w:r>
      <w:r w:rsidR="00AD26EB">
        <w:rPr>
          <w:sz w:val="22"/>
          <w:szCs w:val="22"/>
        </w:rPr>
        <w:t xml:space="preserve"> </w:t>
      </w:r>
      <w:r w:rsidRPr="00603BAF">
        <w:rPr>
          <w:sz w:val="22"/>
          <w:szCs w:val="22"/>
        </w:rPr>
        <w:t>The study would</w:t>
      </w:r>
      <w:r w:rsidR="002D38CB">
        <w:rPr>
          <w:sz w:val="22"/>
          <w:szCs w:val="22"/>
        </w:rPr>
        <w:t xml:space="preserve"> assess</w:t>
      </w:r>
      <w:r w:rsidRPr="00603BAF">
        <w:rPr>
          <w:sz w:val="22"/>
          <w:szCs w:val="22"/>
        </w:rPr>
        <w:t xml:space="preserve"> the reliability of the data collected by</w:t>
      </w:r>
      <w:r w:rsidRPr="00603BAF" w:rsidR="00603BAF">
        <w:rPr>
          <w:sz w:val="22"/>
          <w:szCs w:val="22"/>
        </w:rPr>
        <w:t xml:space="preserve"> the</w:t>
      </w:r>
      <w:r w:rsidRPr="00603BAF">
        <w:rPr>
          <w:sz w:val="22"/>
          <w:szCs w:val="22"/>
        </w:rPr>
        <w:t xml:space="preserve"> </w:t>
      </w:r>
      <w:r w:rsidRPr="00603BAF" w:rsidR="00603BAF">
        <w:rPr>
          <w:sz w:val="22"/>
          <w:szCs w:val="22"/>
        </w:rPr>
        <w:t>School Health Profiles Survey</w:t>
      </w:r>
      <w:r w:rsidR="00603BAF">
        <w:rPr>
          <w:sz w:val="22"/>
          <w:szCs w:val="22"/>
        </w:rPr>
        <w:t xml:space="preserve"> (“Profiles”)</w:t>
      </w:r>
      <w:r w:rsidRPr="00603BAF">
        <w:rPr>
          <w:sz w:val="22"/>
          <w:szCs w:val="22"/>
        </w:rPr>
        <w:t xml:space="preserve">, </w:t>
      </w:r>
      <w:r w:rsidR="00456ACF">
        <w:rPr>
          <w:sz w:val="22"/>
          <w:szCs w:val="22"/>
        </w:rPr>
        <w:t xml:space="preserve">a system of school-based surveys </w:t>
      </w:r>
      <w:r w:rsidR="00603BAF">
        <w:rPr>
          <w:sz w:val="22"/>
          <w:szCs w:val="22"/>
        </w:rPr>
        <w:t>developed by the Center</w:t>
      </w:r>
      <w:r w:rsidR="00DE3A7F">
        <w:rPr>
          <w:sz w:val="22"/>
          <w:szCs w:val="22"/>
        </w:rPr>
        <w:t>s</w:t>
      </w:r>
      <w:r w:rsidR="00603BAF">
        <w:rPr>
          <w:sz w:val="22"/>
          <w:szCs w:val="22"/>
        </w:rPr>
        <w:t xml:space="preserve"> for Disease Control and Prevention (CDC) and </w:t>
      </w:r>
      <w:r w:rsidR="00456ACF">
        <w:rPr>
          <w:sz w:val="22"/>
          <w:szCs w:val="22"/>
        </w:rPr>
        <w:t xml:space="preserve">conducted </w:t>
      </w:r>
      <w:r w:rsidR="008B3D5A">
        <w:rPr>
          <w:sz w:val="22"/>
          <w:szCs w:val="22"/>
        </w:rPr>
        <w:t xml:space="preserve">by state and local education and health agencies </w:t>
      </w:r>
      <w:r w:rsidR="00456ACF">
        <w:rPr>
          <w:sz w:val="22"/>
          <w:szCs w:val="22"/>
        </w:rPr>
        <w:t xml:space="preserve">among school principals and lead health education teachers at the secondary school level. </w:t>
      </w:r>
      <w:r w:rsidR="00603BAF">
        <w:rPr>
          <w:sz w:val="22"/>
          <w:szCs w:val="22"/>
        </w:rPr>
        <w:t xml:space="preserve">This reliability study is funded by </w:t>
      </w:r>
      <w:r w:rsidR="00CB2AE2">
        <w:rPr>
          <w:sz w:val="22"/>
          <w:szCs w:val="22"/>
        </w:rPr>
        <w:t>the Division of Adolescent and School Health (DASH)</w:t>
      </w:r>
      <w:r w:rsidR="005D148F">
        <w:rPr>
          <w:sz w:val="22"/>
          <w:szCs w:val="22"/>
        </w:rPr>
        <w:t>,</w:t>
      </w:r>
      <w:r w:rsidR="00CB2AE2">
        <w:rPr>
          <w:sz w:val="22"/>
          <w:szCs w:val="22"/>
        </w:rPr>
        <w:t xml:space="preserve"> National Center for HIV/AIDS, Viral Hepatitis, STD, and TB Prevention</w:t>
      </w:r>
      <w:r w:rsidR="00337601">
        <w:rPr>
          <w:sz w:val="22"/>
          <w:szCs w:val="22"/>
        </w:rPr>
        <w:t xml:space="preserve"> (NCHHSTP)</w:t>
      </w:r>
      <w:r w:rsidR="005D148F">
        <w:rPr>
          <w:sz w:val="22"/>
          <w:szCs w:val="22"/>
        </w:rPr>
        <w:t>,</w:t>
      </w:r>
      <w:r w:rsidR="00CB2AE2">
        <w:rPr>
          <w:sz w:val="22"/>
          <w:szCs w:val="22"/>
        </w:rPr>
        <w:t xml:space="preserve"> </w:t>
      </w:r>
      <w:r w:rsidR="003A2298">
        <w:rPr>
          <w:sz w:val="22"/>
          <w:szCs w:val="22"/>
        </w:rPr>
        <w:t>Centers for Disease Control and Prevention</w:t>
      </w:r>
      <w:r w:rsidR="00CB2AE2">
        <w:rPr>
          <w:sz w:val="22"/>
          <w:szCs w:val="22"/>
        </w:rPr>
        <w:t>.</w:t>
      </w:r>
      <w:r w:rsidR="000E3DFF">
        <w:rPr>
          <w:sz w:val="22"/>
          <w:szCs w:val="22"/>
        </w:rPr>
        <w:t xml:space="preserve">  The data collection is authorized under Section 24</w:t>
      </w:r>
      <w:r w:rsidRPr="000E3DFF" w:rsidR="000E3DFF">
        <w:rPr>
          <w:sz w:val="22"/>
          <w:szCs w:val="22"/>
        </w:rPr>
        <w:t>1 of the Public Health Service Act (42 U.S.C.241)</w:t>
      </w:r>
      <w:r w:rsidR="000E3DFF">
        <w:rPr>
          <w:sz w:val="22"/>
          <w:szCs w:val="22"/>
        </w:rPr>
        <w:t xml:space="preserve"> (see Attachment A).  This is a new Information Collection Request</w:t>
      </w:r>
      <w:r w:rsidR="00234418">
        <w:rPr>
          <w:sz w:val="22"/>
          <w:szCs w:val="22"/>
        </w:rPr>
        <w:t>. A</w:t>
      </w:r>
      <w:r w:rsidR="000E3DFF">
        <w:rPr>
          <w:sz w:val="22"/>
          <w:szCs w:val="22"/>
        </w:rPr>
        <w:t xml:space="preserve"> </w:t>
      </w:r>
      <w:r w:rsidR="00234418">
        <w:rPr>
          <w:sz w:val="22"/>
          <w:szCs w:val="22"/>
        </w:rPr>
        <w:t>one</w:t>
      </w:r>
      <w:r w:rsidRPr="008F4096" w:rsidR="00E52590">
        <w:rPr>
          <w:sz w:val="22"/>
          <w:szCs w:val="22"/>
        </w:rPr>
        <w:t>-year approval of this study is being requested.</w:t>
      </w:r>
      <w:r w:rsidRPr="00E52590" w:rsidR="00E52590">
        <w:rPr>
          <w:sz w:val="22"/>
          <w:szCs w:val="22"/>
        </w:rPr>
        <w:t xml:space="preserve">  </w:t>
      </w:r>
    </w:p>
    <w:p w:rsidR="000E3DFF" w:rsidP="00474FF8" w:rsidRDefault="000E3DFF" w14:paraId="4A0ECDF0" w14:textId="61B6EDB9">
      <w:pPr>
        <w:rPr>
          <w:sz w:val="22"/>
          <w:szCs w:val="22"/>
        </w:rPr>
      </w:pPr>
    </w:p>
    <w:p w:rsidRPr="00794AE7" w:rsidR="00794AE7" w:rsidP="00474FF8" w:rsidRDefault="009828C0" w14:paraId="6263E482" w14:textId="6B30FC8B">
      <w:pPr>
        <w:rPr>
          <w:b/>
          <w:sz w:val="22"/>
          <w:szCs w:val="22"/>
        </w:rPr>
      </w:pPr>
      <w:r>
        <w:rPr>
          <w:b/>
          <w:sz w:val="22"/>
          <w:szCs w:val="22"/>
        </w:rPr>
        <w:t xml:space="preserve">School Health Profiles </w:t>
      </w:r>
    </w:p>
    <w:p w:rsidR="00456ACF" w:rsidP="00474FF8" w:rsidRDefault="00456ACF" w14:paraId="2D423548" w14:textId="7A416AE5">
      <w:pPr>
        <w:rPr>
          <w:sz w:val="22"/>
          <w:szCs w:val="22"/>
        </w:rPr>
      </w:pPr>
      <w:r>
        <w:rPr>
          <w:sz w:val="22"/>
          <w:szCs w:val="22"/>
        </w:rPr>
        <w:t xml:space="preserve">Education and health agencies </w:t>
      </w:r>
      <w:r w:rsidR="002D38CB">
        <w:rPr>
          <w:sz w:val="22"/>
          <w:szCs w:val="22"/>
        </w:rPr>
        <w:t>administer</w:t>
      </w:r>
      <w:r>
        <w:rPr>
          <w:sz w:val="22"/>
          <w:szCs w:val="22"/>
        </w:rPr>
        <w:t xml:space="preserve"> Profiles biennially in even-numbered years. In 1995, </w:t>
      </w:r>
      <w:r w:rsidR="003A2298">
        <w:rPr>
          <w:sz w:val="22"/>
          <w:szCs w:val="22"/>
        </w:rPr>
        <w:t xml:space="preserve">the Centers for Disease Control and Prevention </w:t>
      </w:r>
      <w:r>
        <w:rPr>
          <w:sz w:val="22"/>
          <w:szCs w:val="22"/>
        </w:rPr>
        <w:t>collaborated with state, territorial, and local education and health agencies to develop Profiles. At that time, the survey assessed mainly health education and some school policies primarily related to HIV infection and AIDS. Based on input from education and health agencies, Profiles has evolved to provide a more comprehensive assessment of school health</w:t>
      </w:r>
      <w:r w:rsidR="00865F6A">
        <w:rPr>
          <w:sz w:val="22"/>
          <w:szCs w:val="22"/>
        </w:rPr>
        <w:t xml:space="preserve"> policies and practices</w:t>
      </w:r>
      <w:r w:rsidR="00217EF8">
        <w:rPr>
          <w:sz w:val="22"/>
          <w:szCs w:val="22"/>
        </w:rPr>
        <w:t xml:space="preserve"> related to </w:t>
      </w:r>
      <w:r>
        <w:rPr>
          <w:sz w:val="22"/>
          <w:szCs w:val="22"/>
        </w:rPr>
        <w:t>health education, physical education and physical activity</w:t>
      </w:r>
      <w:r w:rsidR="00217EF8">
        <w:rPr>
          <w:sz w:val="22"/>
          <w:szCs w:val="22"/>
        </w:rPr>
        <w:t xml:space="preserve">, </w:t>
      </w:r>
      <w:r>
        <w:rPr>
          <w:sz w:val="22"/>
          <w:szCs w:val="22"/>
        </w:rPr>
        <w:t>tobacco use prevention</w:t>
      </w:r>
      <w:r w:rsidR="00217EF8">
        <w:rPr>
          <w:sz w:val="22"/>
          <w:szCs w:val="22"/>
        </w:rPr>
        <w:t xml:space="preserve">, </w:t>
      </w:r>
      <w:r>
        <w:rPr>
          <w:sz w:val="22"/>
          <w:szCs w:val="22"/>
        </w:rPr>
        <w:t xml:space="preserve">nutrition, school-based health services, family and community involvement in school health, and school </w:t>
      </w:r>
      <w:r>
        <w:rPr>
          <w:sz w:val="22"/>
          <w:szCs w:val="22"/>
        </w:rPr>
        <w:lastRenderedPageBreak/>
        <w:t xml:space="preserve">health coordination. </w:t>
      </w:r>
    </w:p>
    <w:p w:rsidR="00456ACF" w:rsidP="00456ACF" w:rsidRDefault="00456ACF" w14:paraId="6002CDC4" w14:textId="77777777">
      <w:pPr>
        <w:pStyle w:val="Default"/>
        <w:rPr>
          <w:sz w:val="22"/>
          <w:szCs w:val="22"/>
        </w:rPr>
      </w:pPr>
    </w:p>
    <w:p w:rsidR="00456ACF" w:rsidP="00456ACF" w:rsidRDefault="00CE262E" w14:paraId="272761FC" w14:textId="75333791">
      <w:pPr>
        <w:pStyle w:val="Default"/>
        <w:rPr>
          <w:sz w:val="22"/>
          <w:szCs w:val="22"/>
        </w:rPr>
      </w:pPr>
      <w:r>
        <w:rPr>
          <w:sz w:val="22"/>
          <w:szCs w:val="22"/>
        </w:rPr>
        <w:t>States and large urban school districts</w:t>
      </w:r>
      <w:r w:rsidR="005D148F">
        <w:rPr>
          <w:sz w:val="22"/>
          <w:szCs w:val="22"/>
        </w:rPr>
        <w:t xml:space="preserve"> </w:t>
      </w:r>
      <w:r w:rsidR="00456ACF">
        <w:rPr>
          <w:sz w:val="22"/>
          <w:szCs w:val="22"/>
        </w:rPr>
        <w:t>use</w:t>
      </w:r>
      <w:r>
        <w:rPr>
          <w:sz w:val="22"/>
          <w:szCs w:val="22"/>
        </w:rPr>
        <w:t xml:space="preserve"> Profiles</w:t>
      </w:r>
      <w:r w:rsidR="00456ACF">
        <w:rPr>
          <w:sz w:val="22"/>
          <w:szCs w:val="22"/>
        </w:rPr>
        <w:t xml:space="preserve"> as a data source for performance measures for two </w:t>
      </w:r>
      <w:r w:rsidR="003A2298">
        <w:rPr>
          <w:sz w:val="22"/>
          <w:szCs w:val="22"/>
        </w:rPr>
        <w:t>Centers for Disease Control and Prevention</w:t>
      </w:r>
      <w:r w:rsidDel="003A2298" w:rsidR="003A2298">
        <w:rPr>
          <w:sz w:val="22"/>
          <w:szCs w:val="22"/>
        </w:rPr>
        <w:t xml:space="preserve"> </w:t>
      </w:r>
      <w:r w:rsidR="00456ACF">
        <w:rPr>
          <w:sz w:val="22"/>
          <w:szCs w:val="22"/>
        </w:rPr>
        <w:t xml:space="preserve">cooperative agreements: CDC-RFA-PS18-1807, </w:t>
      </w:r>
      <w:r w:rsidR="00456ACF">
        <w:rPr>
          <w:i/>
          <w:iCs/>
          <w:sz w:val="22"/>
          <w:szCs w:val="22"/>
        </w:rPr>
        <w:t>Promoting Adolescent Health Through School-Based HIV Prevention (PS18-1807)</w:t>
      </w:r>
      <w:r w:rsidR="00456ACF">
        <w:rPr>
          <w:sz w:val="22"/>
          <w:szCs w:val="22"/>
        </w:rPr>
        <w:t xml:space="preserve">, and CDC-RFA-DP18-1801 </w:t>
      </w:r>
      <w:r w:rsidR="00456ACF">
        <w:rPr>
          <w:i/>
          <w:iCs/>
          <w:sz w:val="22"/>
          <w:szCs w:val="22"/>
        </w:rPr>
        <w:t xml:space="preserve">Improving Student Health and Academic Achievement Through Nutrition, Physical Activity and the Management of Chronic Conditions in Schools </w:t>
      </w:r>
      <w:r w:rsidR="00456ACF">
        <w:rPr>
          <w:sz w:val="22"/>
          <w:szCs w:val="22"/>
        </w:rPr>
        <w:t>(DP18-1801). Profiles assesses some information related to</w:t>
      </w:r>
      <w:r w:rsidR="00217EF8">
        <w:rPr>
          <w:sz w:val="22"/>
          <w:szCs w:val="22"/>
        </w:rPr>
        <w:t xml:space="preserve"> </w:t>
      </w:r>
      <w:r w:rsidR="00456ACF">
        <w:rPr>
          <w:sz w:val="22"/>
          <w:szCs w:val="22"/>
        </w:rPr>
        <w:t>the Whole School, Whole Community, Whole Child Model</w:t>
      </w:r>
      <w:r w:rsidR="0094318A">
        <w:rPr>
          <w:sz w:val="22"/>
          <w:szCs w:val="22"/>
        </w:rPr>
        <w:t xml:space="preserve"> (WSCC), which</w:t>
      </w:r>
      <w:r w:rsidRPr="0094318A" w:rsidR="0094318A">
        <w:rPr>
          <w:sz w:val="22"/>
          <w:szCs w:val="22"/>
        </w:rPr>
        <w:t xml:space="preserve"> is CDC’s framework for addressing health in schools.  The </w:t>
      </w:r>
      <w:r w:rsidR="0094318A">
        <w:rPr>
          <w:sz w:val="22"/>
          <w:szCs w:val="22"/>
        </w:rPr>
        <w:t>WSCC m</w:t>
      </w:r>
      <w:r w:rsidRPr="0094318A" w:rsidR="0094318A">
        <w:rPr>
          <w:sz w:val="22"/>
          <w:szCs w:val="22"/>
        </w:rPr>
        <w:t>odel is student-centered and emphasizes the role of the community in supporting the school, the connections between health and academic achievement</w:t>
      </w:r>
      <w:r w:rsidR="0094318A">
        <w:rPr>
          <w:sz w:val="22"/>
          <w:szCs w:val="22"/>
        </w:rPr>
        <w:t>,</w:t>
      </w:r>
      <w:r w:rsidRPr="0094318A" w:rsidR="0094318A">
        <w:rPr>
          <w:sz w:val="22"/>
          <w:szCs w:val="22"/>
        </w:rPr>
        <w:t xml:space="preserve"> and the importance of evidence-based school policies and practices</w:t>
      </w:r>
      <w:r w:rsidR="0094318A">
        <w:rPr>
          <w:sz w:val="22"/>
          <w:szCs w:val="22"/>
        </w:rPr>
        <w:t>. Profiles addresses the following 8 of the 10 WSCC model components:</w:t>
      </w:r>
    </w:p>
    <w:p w:rsidR="00456ACF" w:rsidP="00456ACF" w:rsidRDefault="00456ACF" w14:paraId="2CE6CDB9" w14:textId="77777777">
      <w:pPr>
        <w:pStyle w:val="Default"/>
        <w:rPr>
          <w:sz w:val="22"/>
          <w:szCs w:val="22"/>
        </w:rPr>
      </w:pPr>
    </w:p>
    <w:p w:rsidR="00456ACF" w:rsidP="0057558E" w:rsidRDefault="00456ACF" w14:paraId="2D6F0F7F" w14:textId="77777777">
      <w:pPr>
        <w:pStyle w:val="Default"/>
        <w:numPr>
          <w:ilvl w:val="0"/>
          <w:numId w:val="6"/>
        </w:numPr>
        <w:rPr>
          <w:sz w:val="22"/>
          <w:szCs w:val="22"/>
        </w:rPr>
      </w:pPr>
      <w:r>
        <w:rPr>
          <w:sz w:val="22"/>
          <w:szCs w:val="22"/>
        </w:rPr>
        <w:t xml:space="preserve">Health education </w:t>
      </w:r>
    </w:p>
    <w:p w:rsidR="00456ACF" w:rsidP="0057558E" w:rsidRDefault="00456ACF" w14:paraId="18B23416" w14:textId="77777777">
      <w:pPr>
        <w:pStyle w:val="Default"/>
        <w:numPr>
          <w:ilvl w:val="0"/>
          <w:numId w:val="6"/>
        </w:numPr>
        <w:rPr>
          <w:sz w:val="22"/>
          <w:szCs w:val="22"/>
        </w:rPr>
      </w:pPr>
      <w:r>
        <w:rPr>
          <w:sz w:val="22"/>
          <w:szCs w:val="22"/>
        </w:rPr>
        <w:t xml:space="preserve">Physical education and physical activity </w:t>
      </w:r>
    </w:p>
    <w:p w:rsidR="00456ACF" w:rsidP="0057558E" w:rsidRDefault="00456ACF" w14:paraId="0784E545" w14:textId="77777777">
      <w:pPr>
        <w:pStyle w:val="Default"/>
        <w:numPr>
          <w:ilvl w:val="0"/>
          <w:numId w:val="6"/>
        </w:numPr>
        <w:rPr>
          <w:sz w:val="22"/>
          <w:szCs w:val="22"/>
        </w:rPr>
      </w:pPr>
      <w:r>
        <w:rPr>
          <w:sz w:val="22"/>
          <w:szCs w:val="22"/>
        </w:rPr>
        <w:t xml:space="preserve">Health services </w:t>
      </w:r>
    </w:p>
    <w:p w:rsidR="00456ACF" w:rsidP="0057558E" w:rsidRDefault="00456ACF" w14:paraId="105C412A" w14:textId="77777777">
      <w:pPr>
        <w:pStyle w:val="Default"/>
        <w:numPr>
          <w:ilvl w:val="0"/>
          <w:numId w:val="6"/>
        </w:numPr>
        <w:rPr>
          <w:sz w:val="22"/>
          <w:szCs w:val="22"/>
        </w:rPr>
      </w:pPr>
      <w:r>
        <w:rPr>
          <w:sz w:val="22"/>
          <w:szCs w:val="22"/>
        </w:rPr>
        <w:t xml:space="preserve">Counseling, psychological, and social services </w:t>
      </w:r>
    </w:p>
    <w:p w:rsidR="00456ACF" w:rsidP="0057558E" w:rsidRDefault="00456ACF" w14:paraId="3E3CAB78" w14:textId="77777777">
      <w:pPr>
        <w:pStyle w:val="Default"/>
        <w:numPr>
          <w:ilvl w:val="0"/>
          <w:numId w:val="6"/>
        </w:numPr>
        <w:rPr>
          <w:sz w:val="22"/>
          <w:szCs w:val="22"/>
        </w:rPr>
      </w:pPr>
      <w:r>
        <w:rPr>
          <w:sz w:val="22"/>
          <w:szCs w:val="22"/>
        </w:rPr>
        <w:t xml:space="preserve">Nutrition environment and services </w:t>
      </w:r>
    </w:p>
    <w:p w:rsidR="00456ACF" w:rsidP="0057558E" w:rsidRDefault="00456ACF" w14:paraId="388AF1D0" w14:textId="77777777">
      <w:pPr>
        <w:pStyle w:val="Default"/>
        <w:numPr>
          <w:ilvl w:val="0"/>
          <w:numId w:val="6"/>
        </w:numPr>
        <w:rPr>
          <w:sz w:val="22"/>
          <w:szCs w:val="22"/>
        </w:rPr>
      </w:pPr>
      <w:r>
        <w:rPr>
          <w:sz w:val="22"/>
          <w:szCs w:val="22"/>
        </w:rPr>
        <w:t xml:space="preserve">Social and emotional climate </w:t>
      </w:r>
    </w:p>
    <w:p w:rsidR="00456ACF" w:rsidP="0057558E" w:rsidRDefault="00456ACF" w14:paraId="456B7C86" w14:textId="77777777">
      <w:pPr>
        <w:pStyle w:val="Default"/>
        <w:numPr>
          <w:ilvl w:val="0"/>
          <w:numId w:val="6"/>
        </w:numPr>
        <w:rPr>
          <w:sz w:val="22"/>
          <w:szCs w:val="22"/>
        </w:rPr>
      </w:pPr>
      <w:r>
        <w:rPr>
          <w:sz w:val="22"/>
          <w:szCs w:val="22"/>
        </w:rPr>
        <w:t xml:space="preserve">Family engagement </w:t>
      </w:r>
    </w:p>
    <w:p w:rsidR="0082784A" w:rsidP="0057558E" w:rsidRDefault="00456ACF" w14:paraId="4794F0DA" w14:textId="522C368E">
      <w:pPr>
        <w:pStyle w:val="Default"/>
        <w:numPr>
          <w:ilvl w:val="0"/>
          <w:numId w:val="6"/>
        </w:numPr>
        <w:rPr>
          <w:rFonts w:eastAsia="Times New Roman"/>
          <w:color w:val="auto"/>
          <w:sz w:val="22"/>
          <w:szCs w:val="22"/>
        </w:rPr>
      </w:pPr>
      <w:r w:rsidRPr="0048664B">
        <w:rPr>
          <w:rFonts w:eastAsia="Times New Roman"/>
          <w:color w:val="auto"/>
          <w:sz w:val="22"/>
          <w:szCs w:val="22"/>
        </w:rPr>
        <w:t xml:space="preserve">Community involvement </w:t>
      </w:r>
    </w:p>
    <w:p w:rsidRPr="0048664B" w:rsidR="0057558E" w:rsidP="0057558E" w:rsidRDefault="0057558E" w14:paraId="0535CB6B" w14:textId="77777777">
      <w:pPr>
        <w:pStyle w:val="Default"/>
        <w:ind w:left="720"/>
        <w:rPr>
          <w:rFonts w:eastAsia="Times New Roman"/>
          <w:color w:val="auto"/>
          <w:sz w:val="22"/>
          <w:szCs w:val="22"/>
        </w:rPr>
      </w:pPr>
    </w:p>
    <w:p w:rsidR="00CE262E" w:rsidP="00AD26EB" w:rsidRDefault="0048664B" w14:paraId="7D5793C2" w14:textId="45B18A6C">
      <w:pPr>
        <w:rPr>
          <w:sz w:val="22"/>
          <w:szCs w:val="22"/>
        </w:rPr>
      </w:pPr>
      <w:r w:rsidRPr="0048664B">
        <w:rPr>
          <w:sz w:val="22"/>
          <w:szCs w:val="22"/>
        </w:rPr>
        <w:t xml:space="preserve">Profiles </w:t>
      </w:r>
      <w:r w:rsidR="0072014A">
        <w:rPr>
          <w:sz w:val="22"/>
          <w:szCs w:val="22"/>
        </w:rPr>
        <w:t xml:space="preserve">surveys </w:t>
      </w:r>
      <w:r w:rsidRPr="0048664B">
        <w:rPr>
          <w:sz w:val="22"/>
          <w:szCs w:val="22"/>
        </w:rPr>
        <w:t xml:space="preserve">are conducted by state, </w:t>
      </w:r>
      <w:r w:rsidR="003F4A8B">
        <w:rPr>
          <w:sz w:val="22"/>
          <w:szCs w:val="22"/>
        </w:rPr>
        <w:t xml:space="preserve">tribal, </w:t>
      </w:r>
      <w:r w:rsidRPr="0048664B">
        <w:rPr>
          <w:sz w:val="22"/>
          <w:szCs w:val="22"/>
        </w:rPr>
        <w:t>territorial, and local education and health agencies.</w:t>
      </w:r>
      <w:r w:rsidR="00AD26EB">
        <w:rPr>
          <w:sz w:val="22"/>
          <w:szCs w:val="22"/>
        </w:rPr>
        <w:t xml:space="preserve"> </w:t>
      </w:r>
      <w:r w:rsidRPr="0048664B" w:rsidR="0082784A">
        <w:rPr>
          <w:sz w:val="22"/>
          <w:szCs w:val="22"/>
        </w:rPr>
        <w:t xml:space="preserve">Profiles uses two </w:t>
      </w:r>
      <w:r w:rsidRPr="0048664B">
        <w:rPr>
          <w:sz w:val="22"/>
          <w:szCs w:val="22"/>
        </w:rPr>
        <w:t xml:space="preserve">self-administered </w:t>
      </w:r>
      <w:r w:rsidRPr="0048664B" w:rsidR="0082784A">
        <w:rPr>
          <w:sz w:val="22"/>
          <w:szCs w:val="22"/>
        </w:rPr>
        <w:t>questionnaires to collect data from secondary schools in each jurisdiction. One questionnaire is administered to principals and the other to lead health education teachers</w:t>
      </w:r>
      <w:r w:rsidRPr="0048664B">
        <w:rPr>
          <w:sz w:val="22"/>
          <w:szCs w:val="22"/>
        </w:rPr>
        <w:t xml:space="preserve"> (or the individual most knowledgeable about health education within a designated school)</w:t>
      </w:r>
      <w:r w:rsidRPr="0048664B" w:rsidR="0082784A">
        <w:rPr>
          <w:sz w:val="22"/>
          <w:szCs w:val="22"/>
        </w:rPr>
        <w:t>.</w:t>
      </w:r>
      <w:r w:rsidR="00AD26EB">
        <w:rPr>
          <w:sz w:val="22"/>
          <w:szCs w:val="22"/>
        </w:rPr>
        <w:t xml:space="preserve"> </w:t>
      </w:r>
      <w:r w:rsidRPr="0048664B" w:rsidR="0082784A">
        <w:rPr>
          <w:sz w:val="22"/>
          <w:szCs w:val="22"/>
        </w:rPr>
        <w:t>The School Principal Questionnaire collects information on school health coordination, physical education and physical activity, tobacco-use prevention policies, nutrition-related policies and practices, health services, family and community involvement.</w:t>
      </w:r>
      <w:r w:rsidR="00AD26EB">
        <w:rPr>
          <w:sz w:val="22"/>
          <w:szCs w:val="22"/>
        </w:rPr>
        <w:t xml:space="preserve"> </w:t>
      </w:r>
      <w:r w:rsidRPr="0048664B" w:rsidR="0082784A">
        <w:rPr>
          <w:sz w:val="22"/>
          <w:szCs w:val="22"/>
        </w:rPr>
        <w:t>The Lead Health Education Teacher Questionnaire collects information about required health education courses, health education materials, required health education content, collaboration, professional development, and professional preparation.</w:t>
      </w:r>
    </w:p>
    <w:p w:rsidR="00AD26EB" w:rsidP="00AD26EB" w:rsidRDefault="00AD26EB" w14:paraId="6090A7C3" w14:textId="77777777">
      <w:pPr>
        <w:rPr>
          <w:sz w:val="22"/>
          <w:szCs w:val="22"/>
        </w:rPr>
      </w:pPr>
    </w:p>
    <w:p w:rsidR="00CE262E" w:rsidP="00AD26EB" w:rsidRDefault="00CE262E" w14:paraId="74AA2DDF" w14:textId="6FE76E6D">
      <w:pPr>
        <w:rPr>
          <w:sz w:val="22"/>
          <w:szCs w:val="22"/>
        </w:rPr>
      </w:pPr>
      <w:r>
        <w:rPr>
          <w:sz w:val="22"/>
          <w:szCs w:val="22"/>
        </w:rPr>
        <w:t>Profiles surveys are administered widely</w:t>
      </w:r>
      <w:r w:rsidRPr="00CF4114">
        <w:rPr>
          <w:sz w:val="22"/>
          <w:szCs w:val="22"/>
        </w:rPr>
        <w:t xml:space="preserve">. In 2018, 48 states, 21 large urban school districts, and two territories conducted School Health Profiles. Across </w:t>
      </w:r>
      <w:proofErr w:type="gramStart"/>
      <w:r w:rsidRPr="00CF4114">
        <w:rPr>
          <w:sz w:val="22"/>
          <w:szCs w:val="22"/>
        </w:rPr>
        <w:t>all of</w:t>
      </w:r>
      <w:proofErr w:type="gramEnd"/>
      <w:r w:rsidRPr="00CF4114">
        <w:rPr>
          <w:sz w:val="22"/>
          <w:szCs w:val="22"/>
        </w:rPr>
        <w:t xml:space="preserve"> these jurisdictions, questionnaires were completed by</w:t>
      </w:r>
      <w:r w:rsidRPr="00CF4114" w:rsidR="00D05535">
        <w:rPr>
          <w:sz w:val="22"/>
          <w:szCs w:val="22"/>
        </w:rPr>
        <w:t xml:space="preserve"> approximately 10,000</w:t>
      </w:r>
      <w:r w:rsidRPr="00CF4114">
        <w:rPr>
          <w:sz w:val="22"/>
          <w:szCs w:val="22"/>
        </w:rPr>
        <w:t xml:space="preserve"> principals and by </w:t>
      </w:r>
      <w:r w:rsidRPr="00CF4114" w:rsidR="00D05535">
        <w:rPr>
          <w:sz w:val="22"/>
          <w:szCs w:val="22"/>
        </w:rPr>
        <w:t>approximately 9,000</w:t>
      </w:r>
      <w:r w:rsidRPr="00CF4114">
        <w:rPr>
          <w:sz w:val="22"/>
          <w:szCs w:val="22"/>
        </w:rPr>
        <w:t xml:space="preserve"> lead health education teachers.</w:t>
      </w:r>
    </w:p>
    <w:p w:rsidRPr="00AD26EB" w:rsidR="00AD26EB" w:rsidP="00AD26EB" w:rsidRDefault="00AD26EB" w14:paraId="1C8433AD" w14:textId="77777777">
      <w:pPr>
        <w:rPr>
          <w:rFonts w:eastAsia="Calibri"/>
          <w:color w:val="000000"/>
          <w:sz w:val="22"/>
          <w:szCs w:val="22"/>
        </w:rPr>
      </w:pPr>
    </w:p>
    <w:p w:rsidRPr="00794AE7" w:rsidR="00794AE7" w:rsidP="0082784A" w:rsidRDefault="00794AE7" w14:paraId="77811467" w14:textId="77777777">
      <w:pPr>
        <w:pStyle w:val="Default"/>
        <w:spacing w:after="218"/>
        <w:rPr>
          <w:rFonts w:eastAsia="Times New Roman"/>
          <w:b/>
          <w:color w:val="auto"/>
          <w:sz w:val="22"/>
          <w:szCs w:val="22"/>
        </w:rPr>
      </w:pPr>
      <w:r w:rsidRPr="00794AE7">
        <w:rPr>
          <w:rFonts w:eastAsia="Times New Roman"/>
          <w:b/>
          <w:color w:val="auto"/>
          <w:sz w:val="22"/>
          <w:szCs w:val="22"/>
        </w:rPr>
        <w:t>Test-Retest Reliability Study</w:t>
      </w:r>
      <w:r w:rsidR="00DC51F7">
        <w:rPr>
          <w:rFonts w:eastAsia="Times New Roman"/>
          <w:b/>
          <w:color w:val="auto"/>
          <w:sz w:val="22"/>
          <w:szCs w:val="22"/>
        </w:rPr>
        <w:t xml:space="preserve"> Data Collection</w:t>
      </w:r>
      <w:r w:rsidR="00AC2BCA">
        <w:rPr>
          <w:rFonts w:eastAsia="Times New Roman"/>
          <w:b/>
          <w:color w:val="auto"/>
          <w:sz w:val="22"/>
          <w:szCs w:val="22"/>
        </w:rPr>
        <w:t xml:space="preserve"> Overview</w:t>
      </w:r>
    </w:p>
    <w:p w:rsidR="0094318A" w:rsidP="001F0E7E" w:rsidRDefault="0048664B" w14:paraId="5078F954" w14:textId="7A2E2205">
      <w:pPr>
        <w:rPr>
          <w:sz w:val="22"/>
          <w:szCs w:val="22"/>
        </w:rPr>
      </w:pPr>
      <w:r w:rsidRPr="0048664B">
        <w:rPr>
          <w:sz w:val="22"/>
          <w:szCs w:val="22"/>
        </w:rPr>
        <w:t xml:space="preserve">Profiles has been conducted since 1996 and </w:t>
      </w:r>
      <w:r w:rsidR="0072014A">
        <w:rPr>
          <w:sz w:val="22"/>
          <w:szCs w:val="22"/>
        </w:rPr>
        <w:t xml:space="preserve">the questionnaires </w:t>
      </w:r>
      <w:r w:rsidRPr="0048664B" w:rsidR="0072014A">
        <w:rPr>
          <w:sz w:val="22"/>
          <w:szCs w:val="22"/>
        </w:rPr>
        <w:t>ha</w:t>
      </w:r>
      <w:r w:rsidR="0072014A">
        <w:rPr>
          <w:sz w:val="22"/>
          <w:szCs w:val="22"/>
        </w:rPr>
        <w:t>ve</w:t>
      </w:r>
      <w:r w:rsidRPr="0048664B" w:rsidR="0072014A">
        <w:rPr>
          <w:sz w:val="22"/>
          <w:szCs w:val="22"/>
        </w:rPr>
        <w:t xml:space="preserve"> </w:t>
      </w:r>
      <w:r w:rsidRPr="0048664B">
        <w:rPr>
          <w:sz w:val="22"/>
          <w:szCs w:val="22"/>
        </w:rPr>
        <w:t>undergone many updates and revisions to address emerging health priorities and provide a comprehens</w:t>
      </w:r>
      <w:r w:rsidR="00410304">
        <w:rPr>
          <w:sz w:val="22"/>
          <w:szCs w:val="22"/>
        </w:rPr>
        <w:t xml:space="preserve">ive assessment of school health; however, the </w:t>
      </w:r>
      <w:r w:rsidR="003A2298">
        <w:rPr>
          <w:sz w:val="22"/>
          <w:szCs w:val="22"/>
        </w:rPr>
        <w:t>Centers for Disease Control and Prevention</w:t>
      </w:r>
      <w:r w:rsidDel="003A2298" w:rsidR="003A2298">
        <w:rPr>
          <w:sz w:val="22"/>
          <w:szCs w:val="22"/>
        </w:rPr>
        <w:t xml:space="preserve"> </w:t>
      </w:r>
      <w:r w:rsidR="003A2298">
        <w:rPr>
          <w:sz w:val="22"/>
          <w:szCs w:val="22"/>
        </w:rPr>
        <w:t>ha</w:t>
      </w:r>
      <w:r w:rsidR="0042062B">
        <w:rPr>
          <w:sz w:val="22"/>
          <w:szCs w:val="22"/>
        </w:rPr>
        <w:t>s</w:t>
      </w:r>
      <w:r w:rsidR="003A2298">
        <w:rPr>
          <w:sz w:val="22"/>
          <w:szCs w:val="22"/>
        </w:rPr>
        <w:t xml:space="preserve"> </w:t>
      </w:r>
      <w:r w:rsidR="00410304">
        <w:rPr>
          <w:sz w:val="22"/>
          <w:szCs w:val="22"/>
        </w:rPr>
        <w:t>never conducted a test-retest reliability study o</w:t>
      </w:r>
      <w:r w:rsidR="00922189">
        <w:rPr>
          <w:sz w:val="22"/>
          <w:szCs w:val="22"/>
        </w:rPr>
        <w:t>f</w:t>
      </w:r>
      <w:r w:rsidR="00410304">
        <w:rPr>
          <w:sz w:val="22"/>
          <w:szCs w:val="22"/>
        </w:rPr>
        <w:t xml:space="preserve"> the </w:t>
      </w:r>
      <w:r w:rsidR="0072014A">
        <w:rPr>
          <w:sz w:val="22"/>
          <w:szCs w:val="22"/>
        </w:rPr>
        <w:t>questionnaires</w:t>
      </w:r>
      <w:r w:rsidR="00410304">
        <w:rPr>
          <w:sz w:val="22"/>
          <w:szCs w:val="22"/>
        </w:rPr>
        <w:t>.</w:t>
      </w:r>
      <w:r w:rsidRPr="0048664B">
        <w:rPr>
          <w:sz w:val="22"/>
          <w:szCs w:val="22"/>
        </w:rPr>
        <w:t xml:space="preserve"> Because of the large impact this survey has on the assessment and development of school health policies, </w:t>
      </w:r>
      <w:r w:rsidR="003A2298">
        <w:rPr>
          <w:sz w:val="22"/>
          <w:szCs w:val="22"/>
        </w:rPr>
        <w:t>the Centers for Disease Control and Prevention</w:t>
      </w:r>
      <w:r w:rsidRPr="0048664B" w:rsidR="003A2298">
        <w:rPr>
          <w:sz w:val="22"/>
          <w:szCs w:val="22"/>
        </w:rPr>
        <w:t xml:space="preserve"> h</w:t>
      </w:r>
      <w:r w:rsidR="0042062B">
        <w:rPr>
          <w:sz w:val="22"/>
          <w:szCs w:val="22"/>
        </w:rPr>
        <w:t>as</w:t>
      </w:r>
      <w:r w:rsidRPr="0048664B" w:rsidR="003A2298">
        <w:rPr>
          <w:sz w:val="22"/>
          <w:szCs w:val="22"/>
        </w:rPr>
        <w:t xml:space="preserve"> </w:t>
      </w:r>
      <w:r w:rsidRPr="0048664B">
        <w:rPr>
          <w:sz w:val="22"/>
          <w:szCs w:val="22"/>
        </w:rPr>
        <w:t xml:space="preserve">determined there is a need to assess the reliability of the self-administered </w:t>
      </w:r>
      <w:r w:rsidR="0072014A">
        <w:rPr>
          <w:sz w:val="22"/>
          <w:szCs w:val="22"/>
        </w:rPr>
        <w:t>questionnaires</w:t>
      </w:r>
      <w:r w:rsidRPr="0048664B">
        <w:rPr>
          <w:sz w:val="22"/>
          <w:szCs w:val="22"/>
        </w:rPr>
        <w:t xml:space="preserve">. Reliability of the </w:t>
      </w:r>
      <w:r w:rsidR="0072014A">
        <w:rPr>
          <w:sz w:val="22"/>
          <w:szCs w:val="22"/>
        </w:rPr>
        <w:t xml:space="preserve">Profiles </w:t>
      </w:r>
      <w:r w:rsidR="00603BAF">
        <w:rPr>
          <w:sz w:val="22"/>
          <w:szCs w:val="22"/>
        </w:rPr>
        <w:t>data will</w:t>
      </w:r>
      <w:r w:rsidRPr="0048664B">
        <w:rPr>
          <w:sz w:val="22"/>
          <w:szCs w:val="22"/>
        </w:rPr>
        <w:t xml:space="preserve"> be </w:t>
      </w:r>
      <w:r w:rsidRPr="000E4C60">
        <w:rPr>
          <w:sz w:val="22"/>
          <w:szCs w:val="22"/>
        </w:rPr>
        <w:t xml:space="preserve">assessed through a test-retest assessment using the </w:t>
      </w:r>
      <w:r w:rsidR="007E1C43">
        <w:rPr>
          <w:sz w:val="22"/>
          <w:szCs w:val="22"/>
        </w:rPr>
        <w:t xml:space="preserve">School </w:t>
      </w:r>
      <w:r w:rsidRPr="000E4C60">
        <w:rPr>
          <w:sz w:val="22"/>
          <w:szCs w:val="22"/>
        </w:rPr>
        <w:t>Principal</w:t>
      </w:r>
      <w:r w:rsidRPr="000E4C60" w:rsidR="00BB1FBE">
        <w:rPr>
          <w:sz w:val="22"/>
          <w:szCs w:val="22"/>
        </w:rPr>
        <w:t xml:space="preserve"> Questionnaire (see A</w:t>
      </w:r>
      <w:r w:rsidR="002C3725">
        <w:rPr>
          <w:sz w:val="22"/>
          <w:szCs w:val="22"/>
        </w:rPr>
        <w:t>ttachment</w:t>
      </w:r>
      <w:r w:rsidRPr="000E4C60" w:rsidR="00BB1FBE">
        <w:rPr>
          <w:sz w:val="22"/>
          <w:szCs w:val="22"/>
        </w:rPr>
        <w:t xml:space="preserve"> </w:t>
      </w:r>
      <w:r w:rsidR="00504AD6">
        <w:rPr>
          <w:sz w:val="22"/>
          <w:szCs w:val="22"/>
        </w:rPr>
        <w:t>C</w:t>
      </w:r>
      <w:r w:rsidRPr="000E4C60" w:rsidR="00BB1FBE">
        <w:rPr>
          <w:sz w:val="22"/>
          <w:szCs w:val="22"/>
        </w:rPr>
        <w:t>)</w:t>
      </w:r>
      <w:r w:rsidRPr="000E4C60">
        <w:rPr>
          <w:sz w:val="22"/>
          <w:szCs w:val="22"/>
        </w:rPr>
        <w:t xml:space="preserve"> and Lead Health </w:t>
      </w:r>
      <w:r w:rsidRPr="000E4C60" w:rsidR="00BB1FBE">
        <w:rPr>
          <w:sz w:val="22"/>
          <w:szCs w:val="22"/>
        </w:rPr>
        <w:t xml:space="preserve">Education Teacher Questionnaire (see </w:t>
      </w:r>
      <w:r w:rsidRPr="000E4C60" w:rsidR="002C3725">
        <w:rPr>
          <w:sz w:val="22"/>
          <w:szCs w:val="22"/>
        </w:rPr>
        <w:t>A</w:t>
      </w:r>
      <w:r w:rsidR="002C3725">
        <w:rPr>
          <w:sz w:val="22"/>
          <w:szCs w:val="22"/>
        </w:rPr>
        <w:t>ttachment</w:t>
      </w:r>
      <w:r w:rsidRPr="000E4C60" w:rsidR="002C3725">
        <w:rPr>
          <w:sz w:val="22"/>
          <w:szCs w:val="22"/>
        </w:rPr>
        <w:t xml:space="preserve"> </w:t>
      </w:r>
      <w:r w:rsidR="00504AD6">
        <w:rPr>
          <w:sz w:val="22"/>
          <w:szCs w:val="22"/>
        </w:rPr>
        <w:t>D</w:t>
      </w:r>
      <w:r w:rsidRPr="000E4C60" w:rsidR="00BB1FBE">
        <w:rPr>
          <w:sz w:val="22"/>
          <w:szCs w:val="22"/>
        </w:rPr>
        <w:t>)</w:t>
      </w:r>
      <w:r w:rsidRPr="000E4C60">
        <w:rPr>
          <w:sz w:val="22"/>
          <w:szCs w:val="22"/>
        </w:rPr>
        <w:t xml:space="preserve"> developed for the 2020 cycle.</w:t>
      </w:r>
      <w:r w:rsidR="00AD26EB">
        <w:rPr>
          <w:sz w:val="22"/>
          <w:szCs w:val="22"/>
        </w:rPr>
        <w:t xml:space="preserve"> </w:t>
      </w:r>
      <w:r w:rsidRPr="000E4C60" w:rsidR="001E665A">
        <w:rPr>
          <w:sz w:val="22"/>
          <w:szCs w:val="22"/>
        </w:rPr>
        <w:t>For the test-retest study, the questionnaires will be administered to the same respondents at two time points, approximately two weeks apart</w:t>
      </w:r>
      <w:r w:rsidR="00315E30">
        <w:rPr>
          <w:sz w:val="22"/>
          <w:szCs w:val="22"/>
        </w:rPr>
        <w:t xml:space="preserve">. </w:t>
      </w:r>
      <w:r w:rsidRPr="000E4C60" w:rsidR="00BB1FBE">
        <w:rPr>
          <w:sz w:val="22"/>
          <w:szCs w:val="22"/>
        </w:rPr>
        <w:t xml:space="preserve">Five additional questions will be added at the end of both the principal and lead health education teacher questionnaires at the Time 2 administration to gather data on why responses to the same questions may have changed or stayed the same between the two administrations (see </w:t>
      </w:r>
      <w:r w:rsidRPr="000E4C60" w:rsidR="002C3725">
        <w:rPr>
          <w:sz w:val="22"/>
          <w:szCs w:val="22"/>
        </w:rPr>
        <w:t>A</w:t>
      </w:r>
      <w:r w:rsidR="002C3725">
        <w:rPr>
          <w:sz w:val="22"/>
          <w:szCs w:val="22"/>
        </w:rPr>
        <w:t>ttachment</w:t>
      </w:r>
      <w:r w:rsidRPr="000E4C60" w:rsidR="002C3725">
        <w:rPr>
          <w:sz w:val="22"/>
          <w:szCs w:val="22"/>
        </w:rPr>
        <w:t xml:space="preserve"> </w:t>
      </w:r>
      <w:r w:rsidR="00504AD6">
        <w:rPr>
          <w:sz w:val="22"/>
          <w:szCs w:val="22"/>
        </w:rPr>
        <w:t>E</w:t>
      </w:r>
      <w:r w:rsidRPr="000E4C60" w:rsidR="00BB1FBE">
        <w:rPr>
          <w:sz w:val="22"/>
          <w:szCs w:val="22"/>
        </w:rPr>
        <w:t>).</w:t>
      </w:r>
      <w:r w:rsidRPr="00315E30" w:rsidR="00315E30">
        <w:rPr>
          <w:sz w:val="22"/>
          <w:szCs w:val="22"/>
        </w:rPr>
        <w:t xml:space="preserve"> </w:t>
      </w:r>
      <w:r w:rsidRPr="000E4C60" w:rsidR="00315E30">
        <w:rPr>
          <w:sz w:val="22"/>
          <w:szCs w:val="22"/>
        </w:rPr>
        <w:t xml:space="preserve">Data collection will occur between </w:t>
      </w:r>
      <w:r w:rsidR="00315E30">
        <w:rPr>
          <w:sz w:val="22"/>
          <w:szCs w:val="22"/>
        </w:rPr>
        <w:t>January and June</w:t>
      </w:r>
      <w:r w:rsidRPr="000E4C60" w:rsidR="00315E30">
        <w:rPr>
          <w:sz w:val="22"/>
          <w:szCs w:val="22"/>
        </w:rPr>
        <w:t xml:space="preserve"> of 202</w:t>
      </w:r>
      <w:r w:rsidR="00315E30">
        <w:rPr>
          <w:sz w:val="22"/>
          <w:szCs w:val="22"/>
        </w:rPr>
        <w:t>1</w:t>
      </w:r>
      <w:r w:rsidRPr="000E4C60" w:rsidR="00315E30">
        <w:rPr>
          <w:sz w:val="22"/>
          <w:szCs w:val="22"/>
        </w:rPr>
        <w:t xml:space="preserve"> after completion of the school clearance process.</w:t>
      </w:r>
      <w:r w:rsidRPr="00315E30" w:rsidR="00315E30">
        <w:t xml:space="preserve"> </w:t>
      </w:r>
      <w:r w:rsidRPr="00315E30" w:rsidR="00315E30">
        <w:rPr>
          <w:sz w:val="22"/>
          <w:szCs w:val="22"/>
        </w:rPr>
        <w:t xml:space="preserve">To reduce the burden on schools, schools that were selected </w:t>
      </w:r>
      <w:r w:rsidRPr="00315E30" w:rsidR="00315E30">
        <w:rPr>
          <w:sz w:val="22"/>
          <w:szCs w:val="22"/>
        </w:rPr>
        <w:lastRenderedPageBreak/>
        <w:t>for the 2020 Profiles regular state and large urban school district samples will be excluded.</w:t>
      </w:r>
    </w:p>
    <w:p w:rsidR="00315E30" w:rsidP="001F0E7E" w:rsidRDefault="00315E30" w14:paraId="7315A8EF" w14:textId="77777777">
      <w:pPr>
        <w:rPr>
          <w:sz w:val="22"/>
          <w:szCs w:val="22"/>
        </w:rPr>
      </w:pPr>
    </w:p>
    <w:p w:rsidRPr="0048664B" w:rsidR="0004659C" w:rsidP="001F0E7E" w:rsidRDefault="0004659C" w14:paraId="1EBC312D" w14:textId="7E976729">
      <w:pPr>
        <w:rPr>
          <w:sz w:val="22"/>
          <w:szCs w:val="22"/>
        </w:rPr>
      </w:pPr>
      <w:r>
        <w:rPr>
          <w:sz w:val="22"/>
          <w:szCs w:val="22"/>
        </w:rPr>
        <w:t>As no in-person data collection will be necessary for Time 1 or Time 2</w:t>
      </w:r>
      <w:r w:rsidR="002D38CB">
        <w:rPr>
          <w:sz w:val="22"/>
          <w:szCs w:val="22"/>
        </w:rPr>
        <w:t xml:space="preserve"> participation</w:t>
      </w:r>
      <w:r>
        <w:rPr>
          <w:sz w:val="22"/>
          <w:szCs w:val="22"/>
        </w:rPr>
        <w:t xml:space="preserve">, </w:t>
      </w:r>
      <w:r w:rsidR="002D38CB">
        <w:rPr>
          <w:sz w:val="22"/>
          <w:szCs w:val="22"/>
        </w:rPr>
        <w:t>no COVID-19 transmission precautions are necessary.  Respondents will complete either a paper and pencil questionnaire or complete the questionnaire online via weblink.</w:t>
      </w:r>
    </w:p>
    <w:p w:rsidRPr="00AD26EB" w:rsidR="0048664B" w:rsidP="00AD26EB" w:rsidRDefault="0048664B" w14:paraId="2EBA109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00EB104F" w:rsidP="005305CD" w:rsidRDefault="00EB104F" w14:paraId="331C7476" w14:textId="77777777">
      <w:pPr>
        <w:pStyle w:val="ExhibitText"/>
        <w:outlineLvl w:val="1"/>
        <w:rPr>
          <w:b/>
          <w:bCs/>
          <w:u w:val="single"/>
        </w:rPr>
      </w:pPr>
      <w:bookmarkStart w:name="_Toc344295558" w:id="5"/>
      <w:r w:rsidRPr="005305CD">
        <w:rPr>
          <w:b/>
          <w:sz w:val="22"/>
          <w:szCs w:val="22"/>
        </w:rPr>
        <w:t>A.2</w:t>
      </w:r>
      <w:r w:rsidRPr="005305CD">
        <w:rPr>
          <w:b/>
          <w:sz w:val="22"/>
          <w:szCs w:val="22"/>
        </w:rPr>
        <w:tab/>
        <w:t>PURPOSE AND USE OF INFORMATION COLLECTED</w:t>
      </w:r>
      <w:bookmarkEnd w:id="5"/>
    </w:p>
    <w:p w:rsidRPr="003C2899" w:rsidR="000F07C2" w:rsidP="00EB104F" w:rsidRDefault="000F07C2" w14:paraId="2A45662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00EC5246" w:rsidP="00EB104F" w:rsidRDefault="00FA757C" w14:paraId="107250D3" w14:textId="7D5CD7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FA757C">
        <w:rPr>
          <w:sz w:val="22"/>
          <w:szCs w:val="22"/>
        </w:rPr>
        <w:t xml:space="preserve">The primary purpose </w:t>
      </w:r>
      <w:r w:rsidR="00C621C6">
        <w:rPr>
          <w:sz w:val="22"/>
          <w:szCs w:val="22"/>
        </w:rPr>
        <w:t>of</w:t>
      </w:r>
      <w:r w:rsidRPr="00FA757C" w:rsidR="00C621C6">
        <w:rPr>
          <w:sz w:val="22"/>
          <w:szCs w:val="22"/>
        </w:rPr>
        <w:t xml:space="preserve"> </w:t>
      </w:r>
      <w:r w:rsidRPr="00FA757C">
        <w:rPr>
          <w:sz w:val="22"/>
          <w:szCs w:val="22"/>
        </w:rPr>
        <w:t>this data collection is to obtain data that can be used to establish the reliability of data collected by Profiles.</w:t>
      </w:r>
      <w:r w:rsidR="00AD26EB">
        <w:rPr>
          <w:sz w:val="22"/>
          <w:szCs w:val="22"/>
        </w:rPr>
        <w:t xml:space="preserve"> </w:t>
      </w:r>
      <w:r w:rsidRPr="00FA757C">
        <w:rPr>
          <w:sz w:val="22"/>
          <w:szCs w:val="22"/>
        </w:rPr>
        <w:t xml:space="preserve">The data will be used by </w:t>
      </w:r>
      <w:r w:rsidR="003A2298">
        <w:rPr>
          <w:sz w:val="22"/>
          <w:szCs w:val="22"/>
        </w:rPr>
        <w:t>the Centers for Disease Control and Prevention</w:t>
      </w:r>
      <w:r w:rsidRPr="00FA757C" w:rsidR="003A2298">
        <w:rPr>
          <w:sz w:val="22"/>
          <w:szCs w:val="22"/>
        </w:rPr>
        <w:t xml:space="preserve"> </w:t>
      </w:r>
      <w:r w:rsidRPr="00FA757C">
        <w:rPr>
          <w:sz w:val="22"/>
          <w:szCs w:val="22"/>
        </w:rPr>
        <w:t xml:space="preserve">and analyzed for methodological purposes, rather than substantive purposes. </w:t>
      </w:r>
      <w:r w:rsidR="00EC5246">
        <w:rPr>
          <w:sz w:val="22"/>
          <w:szCs w:val="22"/>
        </w:rPr>
        <w:t xml:space="preserve">Test-retest reliability will be assessed in two ways. First, the extent of the agreement between Time 1 and Time 2 responses will be calculated. Second, prevalence estimates obtained at Time 1 will be compared to those obtained at Time 2. Together, these analyses will provide information about the quality of each item in both the Principal and Lead Health Education Teacher </w:t>
      </w:r>
      <w:r w:rsidR="004068FD">
        <w:rPr>
          <w:sz w:val="22"/>
          <w:szCs w:val="22"/>
        </w:rPr>
        <w:t>q</w:t>
      </w:r>
      <w:r w:rsidR="00EC5246">
        <w:rPr>
          <w:sz w:val="22"/>
          <w:szCs w:val="22"/>
        </w:rPr>
        <w:t>uestionnaires.</w:t>
      </w:r>
    </w:p>
    <w:p w:rsidR="00EC5246" w:rsidP="00EB104F" w:rsidRDefault="00EC5246" w14:paraId="10F9B1B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00711D9C" w:rsidP="00EB104F" w:rsidRDefault="00B54D6C" w14:paraId="7DC33239" w14:textId="5434C3A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Pr>
          <w:sz w:val="22"/>
          <w:szCs w:val="22"/>
        </w:rPr>
        <w:t xml:space="preserve">The results of the </w:t>
      </w:r>
      <w:r w:rsidR="00711D9C">
        <w:rPr>
          <w:sz w:val="22"/>
          <w:szCs w:val="22"/>
        </w:rPr>
        <w:t>T</w:t>
      </w:r>
      <w:r>
        <w:rPr>
          <w:sz w:val="22"/>
          <w:szCs w:val="22"/>
        </w:rPr>
        <w:t>est-</w:t>
      </w:r>
      <w:r w:rsidR="00711D9C">
        <w:rPr>
          <w:sz w:val="22"/>
          <w:szCs w:val="22"/>
        </w:rPr>
        <w:t>R</w:t>
      </w:r>
      <w:r>
        <w:rPr>
          <w:sz w:val="22"/>
          <w:szCs w:val="22"/>
        </w:rPr>
        <w:t xml:space="preserve">etest </w:t>
      </w:r>
      <w:r w:rsidR="00711D9C">
        <w:rPr>
          <w:sz w:val="22"/>
          <w:szCs w:val="22"/>
        </w:rPr>
        <w:t>R</w:t>
      </w:r>
      <w:r>
        <w:rPr>
          <w:sz w:val="22"/>
          <w:szCs w:val="22"/>
        </w:rPr>
        <w:t xml:space="preserve">eliability </w:t>
      </w:r>
      <w:r w:rsidR="00711D9C">
        <w:rPr>
          <w:sz w:val="22"/>
          <w:szCs w:val="22"/>
        </w:rPr>
        <w:t>S</w:t>
      </w:r>
      <w:r>
        <w:rPr>
          <w:sz w:val="22"/>
          <w:szCs w:val="22"/>
        </w:rPr>
        <w:t xml:space="preserve">tudy will be used to </w:t>
      </w:r>
      <w:r w:rsidR="00711D9C">
        <w:rPr>
          <w:sz w:val="22"/>
          <w:szCs w:val="22"/>
        </w:rPr>
        <w:t>improve</w:t>
      </w:r>
      <w:r>
        <w:rPr>
          <w:sz w:val="22"/>
          <w:szCs w:val="22"/>
        </w:rPr>
        <w:t xml:space="preserve"> the questionnaires for future cycles. For example,</w:t>
      </w:r>
      <w:r w:rsidR="00711D9C">
        <w:rPr>
          <w:sz w:val="22"/>
          <w:szCs w:val="22"/>
        </w:rPr>
        <w:t xml:space="preserve"> questions that show poor reliability will be revised to clarify question wording. This will, in turn improve the quality of the data collected using the Profiles questionnaires. </w:t>
      </w:r>
    </w:p>
    <w:p w:rsidR="00711D9C" w:rsidP="00EB104F" w:rsidRDefault="00711D9C" w14:paraId="4B07734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FA757C" w:rsidR="00FA757C" w:rsidP="00EB104F" w:rsidRDefault="00711D9C" w14:paraId="436BC6DF" w14:textId="0A5E8F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Pr>
          <w:sz w:val="22"/>
          <w:szCs w:val="22"/>
        </w:rPr>
        <w:t>It is important for Profiles to produce the highest quality data possible because</w:t>
      </w:r>
      <w:r w:rsidR="00C42D57">
        <w:rPr>
          <w:sz w:val="22"/>
          <w:szCs w:val="22"/>
        </w:rPr>
        <w:t xml:space="preserve"> data from the surveys are used by </w:t>
      </w:r>
      <w:r w:rsidR="00285A59">
        <w:rPr>
          <w:sz w:val="22"/>
          <w:szCs w:val="22"/>
        </w:rPr>
        <w:t xml:space="preserve">nearly all states, plus multiple territories and large urban school districts. Specifically, in 2018, 48 states, 21 large urban school districts, and two territories conducted School Health Profiles. The state, territorial, and </w:t>
      </w:r>
      <w:r w:rsidR="007741B5">
        <w:rPr>
          <w:sz w:val="22"/>
          <w:szCs w:val="22"/>
        </w:rPr>
        <w:t>large urban school districts</w:t>
      </w:r>
      <w:r w:rsidDel="007741B5" w:rsidR="007741B5">
        <w:rPr>
          <w:sz w:val="22"/>
          <w:szCs w:val="22"/>
        </w:rPr>
        <w:t xml:space="preserve"> </w:t>
      </w:r>
      <w:r w:rsidR="00285A59">
        <w:rPr>
          <w:sz w:val="22"/>
          <w:szCs w:val="22"/>
        </w:rPr>
        <w:t>that conduct these surveys use them for a variety of purposes, including describing school health policies and practices, identifying professional development needs, planning and monitoring programs, supporting health-related policies and legislation, seeking funding, and garnering support for future surveys.</w:t>
      </w:r>
      <w:r w:rsidR="00AD26EB">
        <w:rPr>
          <w:sz w:val="22"/>
          <w:szCs w:val="22"/>
        </w:rPr>
        <w:t xml:space="preserve"> </w:t>
      </w:r>
      <w:r w:rsidR="00AD17C5">
        <w:rPr>
          <w:sz w:val="22"/>
          <w:szCs w:val="22"/>
        </w:rPr>
        <w:t xml:space="preserve">In addition, </w:t>
      </w:r>
      <w:r w:rsidRPr="00AD17C5" w:rsidR="00AD17C5">
        <w:rPr>
          <w:sz w:val="22"/>
          <w:szCs w:val="22"/>
        </w:rPr>
        <w:t>Profiles</w:t>
      </w:r>
      <w:r w:rsidR="00AD17C5">
        <w:rPr>
          <w:sz w:val="22"/>
          <w:szCs w:val="22"/>
        </w:rPr>
        <w:t xml:space="preserve"> is </w:t>
      </w:r>
      <w:r w:rsidRPr="00AD17C5" w:rsidR="00AD17C5">
        <w:rPr>
          <w:sz w:val="22"/>
          <w:szCs w:val="22"/>
        </w:rPr>
        <w:t xml:space="preserve">a data source for performance measures for two </w:t>
      </w:r>
      <w:r w:rsidR="003A2298">
        <w:rPr>
          <w:sz w:val="22"/>
          <w:szCs w:val="22"/>
        </w:rPr>
        <w:t>Centers for Disease Control and Prevention</w:t>
      </w:r>
      <w:r w:rsidRPr="00AD17C5" w:rsidDel="003A2298" w:rsidR="003A2298">
        <w:rPr>
          <w:sz w:val="22"/>
          <w:szCs w:val="22"/>
        </w:rPr>
        <w:t xml:space="preserve"> </w:t>
      </w:r>
      <w:r w:rsidRPr="00AD17C5" w:rsidR="00AD17C5">
        <w:rPr>
          <w:sz w:val="22"/>
          <w:szCs w:val="22"/>
        </w:rPr>
        <w:t>cooperative agreements: CDC-RFA-PS18-1807, Promoting Adolescent Health Through School-Based HIV Prevention (PS18-1807), and CDC-RFA-DP18-1801 Improving Student Health and Academic Achievement Through Nutrition, Physical Activity and the Management of Chronic Conditions in Schools (DP18-1801).</w:t>
      </w:r>
      <w:r w:rsidR="00AD26EB">
        <w:rPr>
          <w:sz w:val="22"/>
          <w:szCs w:val="22"/>
        </w:rPr>
        <w:t xml:space="preserve">   </w:t>
      </w:r>
    </w:p>
    <w:p w:rsidR="00956B9E" w:rsidP="00EB104F" w:rsidRDefault="00956B9E" w14:paraId="18B92C6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P="00957D8A" w:rsidRDefault="00EB104F" w14:paraId="12E971FE" w14:textId="77777777">
      <w:pPr>
        <w:pStyle w:val="ExhibitText"/>
        <w:outlineLvl w:val="1"/>
        <w:rPr>
          <w:b/>
          <w:sz w:val="22"/>
          <w:szCs w:val="22"/>
        </w:rPr>
      </w:pPr>
      <w:bookmarkStart w:name="_Toc344295564" w:id="6"/>
      <w:r w:rsidRPr="00957D8A">
        <w:rPr>
          <w:b/>
          <w:sz w:val="22"/>
          <w:szCs w:val="22"/>
        </w:rPr>
        <w:t>A.3</w:t>
      </w:r>
      <w:r w:rsidRPr="00957D8A">
        <w:rPr>
          <w:b/>
          <w:sz w:val="22"/>
          <w:szCs w:val="22"/>
        </w:rPr>
        <w:tab/>
        <w:t>USE OF IMPROVED INFORMATION TECHNOLOGY AND BURDEN REDUCTION</w:t>
      </w:r>
      <w:bookmarkEnd w:id="6"/>
    </w:p>
    <w:p w:rsidRPr="00315E30" w:rsidR="00410304" w:rsidP="00957D8A" w:rsidRDefault="00410304" w14:paraId="20C6D971" w14:textId="77777777">
      <w:pPr>
        <w:pStyle w:val="ExhibitText"/>
        <w:outlineLvl w:val="1"/>
        <w:rPr>
          <w:rFonts w:ascii="Times New Roman" w:hAnsi="Times New Roman" w:eastAsia="Times New Roman" w:cs="Times New Roman"/>
          <w:color w:val="auto"/>
          <w:sz w:val="22"/>
          <w:szCs w:val="22"/>
          <w:lang w:eastAsia="en-US"/>
        </w:rPr>
      </w:pPr>
    </w:p>
    <w:p w:rsidRPr="00E10D96" w:rsidR="00315E30" w:rsidP="00315E30" w:rsidRDefault="00FA757C" w14:paraId="16342634" w14:textId="77777777">
      <w:pPr>
        <w:pStyle w:val="ExhibitText"/>
        <w:outlineLvl w:val="1"/>
        <w:rPr>
          <w:rFonts w:ascii="Times New Roman" w:hAnsi="Times New Roman" w:eastAsia="Times New Roman" w:cs="Times New Roman"/>
          <w:color w:val="auto"/>
          <w:sz w:val="22"/>
          <w:szCs w:val="22"/>
          <w:lang w:eastAsia="en-US"/>
        </w:rPr>
      </w:pPr>
      <w:r w:rsidRPr="00BA6931">
        <w:rPr>
          <w:rFonts w:ascii="Times New Roman" w:hAnsi="Times New Roman" w:cs="Times New Roman"/>
          <w:sz w:val="22"/>
          <w:szCs w:val="22"/>
        </w:rPr>
        <w:t xml:space="preserve">The School </w:t>
      </w:r>
      <w:r w:rsidRPr="00BA6931" w:rsidR="005A0D6D">
        <w:rPr>
          <w:rFonts w:ascii="Times New Roman" w:hAnsi="Times New Roman" w:cs="Times New Roman"/>
          <w:sz w:val="22"/>
          <w:szCs w:val="22"/>
        </w:rPr>
        <w:t xml:space="preserve">Health </w:t>
      </w:r>
      <w:r w:rsidRPr="00BA6931">
        <w:rPr>
          <w:rFonts w:ascii="Times New Roman" w:hAnsi="Times New Roman" w:cs="Times New Roman"/>
          <w:sz w:val="22"/>
          <w:szCs w:val="22"/>
        </w:rPr>
        <w:t xml:space="preserve">Profiles </w:t>
      </w:r>
      <w:r w:rsidRPr="00BA6931" w:rsidR="005A0D6D">
        <w:rPr>
          <w:rFonts w:ascii="Times New Roman" w:hAnsi="Times New Roman" w:cs="Times New Roman"/>
          <w:sz w:val="22"/>
          <w:szCs w:val="22"/>
        </w:rPr>
        <w:t xml:space="preserve">Test-Retest </w:t>
      </w:r>
      <w:r w:rsidRPr="00BA6931">
        <w:rPr>
          <w:rFonts w:ascii="Times New Roman" w:hAnsi="Times New Roman" w:cs="Times New Roman"/>
          <w:sz w:val="22"/>
          <w:szCs w:val="22"/>
        </w:rPr>
        <w:t xml:space="preserve">Reliability Study will employ the same </w:t>
      </w:r>
      <w:r w:rsidRPr="00BA6931" w:rsidR="006E7FD1">
        <w:rPr>
          <w:rFonts w:ascii="Times New Roman" w:hAnsi="Times New Roman" w:cs="Times New Roman"/>
          <w:sz w:val="22"/>
          <w:szCs w:val="22"/>
        </w:rPr>
        <w:t xml:space="preserve">data collection </w:t>
      </w:r>
      <w:r w:rsidRPr="00BA6931">
        <w:rPr>
          <w:rFonts w:ascii="Times New Roman" w:hAnsi="Times New Roman" w:cs="Times New Roman"/>
          <w:sz w:val="22"/>
          <w:szCs w:val="22"/>
        </w:rPr>
        <w:t xml:space="preserve">procedures currently used in </w:t>
      </w:r>
      <w:r w:rsidRPr="00BA6931" w:rsidR="00702161">
        <w:rPr>
          <w:rFonts w:ascii="Times New Roman" w:hAnsi="Times New Roman" w:cs="Times New Roman"/>
          <w:sz w:val="22"/>
          <w:szCs w:val="22"/>
        </w:rPr>
        <w:t xml:space="preserve">state and </w:t>
      </w:r>
      <w:r w:rsidRPr="00BA6931">
        <w:rPr>
          <w:rFonts w:ascii="Times New Roman" w:hAnsi="Times New Roman" w:cs="Times New Roman"/>
          <w:sz w:val="22"/>
          <w:szCs w:val="22"/>
        </w:rPr>
        <w:t xml:space="preserve">district implementations of the Profiles </w:t>
      </w:r>
      <w:r w:rsidRPr="00BA6931" w:rsidR="006E7FD1">
        <w:rPr>
          <w:rFonts w:ascii="Times New Roman" w:hAnsi="Times New Roman" w:cs="Times New Roman"/>
          <w:sz w:val="22"/>
          <w:szCs w:val="22"/>
        </w:rPr>
        <w:t>to ensure that the data collected for the test-retest study are comparable to data collected during actual Profiles data collection</w:t>
      </w:r>
      <w:r w:rsidRPr="00BA6931">
        <w:rPr>
          <w:rFonts w:ascii="Times New Roman" w:hAnsi="Times New Roman" w:cs="Times New Roman"/>
          <w:sz w:val="22"/>
          <w:szCs w:val="22"/>
        </w:rPr>
        <w:t xml:space="preserve">. </w:t>
      </w:r>
      <w:r w:rsidRPr="00BA6931" w:rsidR="00410304">
        <w:rPr>
          <w:rFonts w:ascii="Times New Roman" w:hAnsi="Times New Roman" w:cs="Times New Roman"/>
          <w:sz w:val="22"/>
          <w:szCs w:val="22"/>
        </w:rPr>
        <w:t xml:space="preserve">Sites </w:t>
      </w:r>
      <w:r w:rsidRPr="00BA6931" w:rsidR="006E7FD1">
        <w:rPr>
          <w:rFonts w:ascii="Times New Roman" w:hAnsi="Times New Roman" w:cs="Times New Roman"/>
          <w:sz w:val="22"/>
          <w:szCs w:val="22"/>
        </w:rPr>
        <w:t xml:space="preserve">currently </w:t>
      </w:r>
      <w:r w:rsidRPr="00BA6931" w:rsidR="00410304">
        <w:rPr>
          <w:rFonts w:ascii="Times New Roman" w:hAnsi="Times New Roman" w:cs="Times New Roman"/>
          <w:sz w:val="22"/>
          <w:szCs w:val="22"/>
        </w:rPr>
        <w:t>administering the Profiles are provided with the option of pape</w:t>
      </w:r>
      <w:r w:rsidRPr="00BA6931" w:rsidR="006E7FD1">
        <w:rPr>
          <w:rFonts w:ascii="Times New Roman" w:hAnsi="Times New Roman" w:cs="Times New Roman"/>
          <w:sz w:val="22"/>
          <w:szCs w:val="22"/>
        </w:rPr>
        <w:t>r surveys or web-based surveys.</w:t>
      </w:r>
      <w:r w:rsidRPr="00BA6931" w:rsidR="00410304">
        <w:rPr>
          <w:rFonts w:ascii="Times New Roman" w:hAnsi="Times New Roman" w:cs="Times New Roman"/>
          <w:sz w:val="22"/>
          <w:szCs w:val="22"/>
        </w:rPr>
        <w:t xml:space="preserve"> </w:t>
      </w:r>
      <w:r w:rsidRPr="00315E30" w:rsidR="00315E30">
        <w:rPr>
          <w:rFonts w:ascii="Times New Roman" w:hAnsi="Times New Roman" w:eastAsia="Times New Roman" w:cs="Times New Roman"/>
          <w:color w:val="auto"/>
          <w:sz w:val="22"/>
          <w:szCs w:val="22"/>
          <w:lang w:eastAsia="en-US"/>
        </w:rPr>
        <w:t>NCHHSTP supports and encourages web-based responses because electronic collection is efficient for both CDC and respondents. However, maintaining a p</w:t>
      </w:r>
      <w:r w:rsidRPr="00C2038F" w:rsidR="00315E30">
        <w:rPr>
          <w:rFonts w:ascii="Times New Roman" w:hAnsi="Times New Roman" w:eastAsia="Times New Roman" w:cs="Times New Roman"/>
          <w:color w:val="auto"/>
          <w:sz w:val="22"/>
          <w:szCs w:val="22"/>
          <w:lang w:eastAsia="en-US"/>
        </w:rPr>
        <w:t>aper option may be necessary because some schools require or prefer the paper option. The mode tests are therefore necessary.</w:t>
      </w:r>
    </w:p>
    <w:p w:rsidR="009828C0" w:rsidP="009828C0" w:rsidRDefault="009828C0" w14:paraId="0790986C" w14:textId="2C340686">
      <w:pPr>
        <w:widowControl/>
        <w:rPr>
          <w:sz w:val="22"/>
          <w:szCs w:val="22"/>
        </w:rPr>
      </w:pPr>
    </w:p>
    <w:p w:rsidRPr="00F55AF7" w:rsidR="009828C0" w:rsidP="009828C0" w:rsidRDefault="009828C0" w14:paraId="51342EF1" w14:textId="77777777">
      <w:pPr>
        <w:widowControl/>
        <w:rPr>
          <w:sz w:val="22"/>
          <w:szCs w:val="22"/>
        </w:rPr>
      </w:pPr>
    </w:p>
    <w:p w:rsidRPr="00410304" w:rsidR="00410304" w:rsidP="006E7FD1" w:rsidRDefault="006E7FD1" w14:paraId="59F9A6DF" w14:textId="78462086">
      <w:pPr>
        <w:pStyle w:val="ExhibitText"/>
        <w:outlineLvl w:val="1"/>
        <w:rPr>
          <w:sz w:val="22"/>
          <w:szCs w:val="22"/>
        </w:rPr>
      </w:pPr>
      <w:bookmarkStart w:name="_Hlk26966407" w:id="7"/>
      <w:r w:rsidRPr="00410304">
        <w:rPr>
          <w:rFonts w:ascii="Times New Roman" w:hAnsi="Times New Roman" w:eastAsia="Times New Roman" w:cs="Times New Roman"/>
          <w:color w:val="auto"/>
          <w:sz w:val="22"/>
          <w:szCs w:val="22"/>
          <w:lang w:eastAsia="en-US"/>
        </w:rPr>
        <w:t xml:space="preserve">In 2018, </w:t>
      </w:r>
      <w:r w:rsidRPr="00410304" w:rsidR="00811D49">
        <w:rPr>
          <w:rFonts w:ascii="Times New Roman" w:hAnsi="Times New Roman" w:eastAsia="Times New Roman" w:cs="Times New Roman"/>
          <w:color w:val="auto"/>
          <w:sz w:val="22"/>
          <w:szCs w:val="22"/>
          <w:lang w:eastAsia="en-US"/>
        </w:rPr>
        <w:t>7</w:t>
      </w:r>
      <w:r w:rsidR="00811D49">
        <w:rPr>
          <w:rFonts w:ascii="Times New Roman" w:hAnsi="Times New Roman" w:eastAsia="Times New Roman" w:cs="Times New Roman"/>
          <w:color w:val="auto"/>
          <w:sz w:val="22"/>
          <w:szCs w:val="22"/>
          <w:lang w:eastAsia="en-US"/>
        </w:rPr>
        <w:t>1</w:t>
      </w:r>
      <w:r w:rsidRPr="00410304" w:rsidR="00811D49">
        <w:rPr>
          <w:rFonts w:ascii="Times New Roman" w:hAnsi="Times New Roman" w:eastAsia="Times New Roman" w:cs="Times New Roman"/>
          <w:color w:val="auto"/>
          <w:sz w:val="22"/>
          <w:szCs w:val="22"/>
          <w:lang w:eastAsia="en-US"/>
        </w:rPr>
        <w:t xml:space="preserve"> </w:t>
      </w:r>
      <w:r w:rsidRPr="00410304">
        <w:rPr>
          <w:rFonts w:ascii="Times New Roman" w:hAnsi="Times New Roman" w:eastAsia="Times New Roman" w:cs="Times New Roman"/>
          <w:color w:val="auto"/>
          <w:sz w:val="22"/>
          <w:szCs w:val="22"/>
          <w:lang w:eastAsia="en-US"/>
        </w:rPr>
        <w:t xml:space="preserve">sites (state, </w:t>
      </w:r>
      <w:r w:rsidRPr="00F55AF7" w:rsidR="004A15D5">
        <w:rPr>
          <w:rFonts w:ascii="Times New Roman" w:hAnsi="Times New Roman" w:eastAsia="Times New Roman" w:cs="Times New Roman"/>
          <w:color w:val="auto"/>
          <w:sz w:val="22"/>
          <w:szCs w:val="22"/>
          <w:lang w:eastAsia="en-US"/>
        </w:rPr>
        <w:t>large urban school district</w:t>
      </w:r>
      <w:r w:rsidRPr="00410304">
        <w:rPr>
          <w:rFonts w:ascii="Times New Roman" w:hAnsi="Times New Roman" w:eastAsia="Times New Roman" w:cs="Times New Roman"/>
          <w:color w:val="auto"/>
          <w:sz w:val="22"/>
          <w:szCs w:val="22"/>
          <w:lang w:eastAsia="en-US"/>
        </w:rPr>
        <w:t xml:space="preserve">, and territorial health or education agencies) conducted a Profiles. Of those, </w:t>
      </w:r>
      <w:r w:rsidRPr="00410304" w:rsidR="004A15D5">
        <w:rPr>
          <w:rFonts w:ascii="Times New Roman" w:hAnsi="Times New Roman" w:eastAsia="Times New Roman" w:cs="Times New Roman"/>
          <w:color w:val="auto"/>
          <w:sz w:val="22"/>
          <w:szCs w:val="22"/>
          <w:lang w:eastAsia="en-US"/>
        </w:rPr>
        <w:t>3</w:t>
      </w:r>
      <w:r w:rsidR="004A15D5">
        <w:rPr>
          <w:rFonts w:ascii="Times New Roman" w:hAnsi="Times New Roman" w:eastAsia="Times New Roman" w:cs="Times New Roman"/>
          <w:color w:val="auto"/>
          <w:sz w:val="22"/>
          <w:szCs w:val="22"/>
          <w:lang w:eastAsia="en-US"/>
        </w:rPr>
        <w:t>0</w:t>
      </w:r>
      <w:r w:rsidRPr="00410304" w:rsidR="004A15D5">
        <w:rPr>
          <w:rFonts w:ascii="Times New Roman" w:hAnsi="Times New Roman" w:eastAsia="Times New Roman" w:cs="Times New Roman"/>
          <w:color w:val="auto"/>
          <w:sz w:val="22"/>
          <w:szCs w:val="22"/>
          <w:lang w:eastAsia="en-US"/>
        </w:rPr>
        <w:t xml:space="preserve"> </w:t>
      </w:r>
      <w:r w:rsidRPr="00410304">
        <w:rPr>
          <w:rFonts w:ascii="Times New Roman" w:hAnsi="Times New Roman" w:eastAsia="Times New Roman" w:cs="Times New Roman"/>
          <w:color w:val="auto"/>
          <w:sz w:val="22"/>
          <w:szCs w:val="22"/>
          <w:lang w:eastAsia="en-US"/>
        </w:rPr>
        <w:t xml:space="preserve">state and </w:t>
      </w:r>
      <w:r w:rsidRPr="00F55AF7" w:rsidR="004A15D5">
        <w:rPr>
          <w:rFonts w:ascii="Times New Roman" w:hAnsi="Times New Roman" w:eastAsia="Times New Roman" w:cs="Times New Roman"/>
          <w:color w:val="auto"/>
          <w:sz w:val="22"/>
          <w:szCs w:val="22"/>
          <w:lang w:eastAsia="en-US"/>
        </w:rPr>
        <w:t>large urban school district</w:t>
      </w:r>
      <w:r w:rsidRPr="00F55AF7" w:rsidDel="007741B5" w:rsidR="004A15D5">
        <w:rPr>
          <w:rFonts w:ascii="Times New Roman" w:hAnsi="Times New Roman" w:eastAsia="Times New Roman" w:cs="Times New Roman"/>
          <w:color w:val="auto"/>
          <w:sz w:val="22"/>
          <w:szCs w:val="22"/>
          <w:lang w:eastAsia="en-US"/>
        </w:rPr>
        <w:t xml:space="preserve"> </w:t>
      </w:r>
      <w:r w:rsidRPr="00410304">
        <w:rPr>
          <w:rFonts w:ascii="Times New Roman" w:hAnsi="Times New Roman" w:eastAsia="Times New Roman" w:cs="Times New Roman"/>
          <w:color w:val="auto"/>
          <w:sz w:val="22"/>
          <w:szCs w:val="22"/>
          <w:lang w:eastAsia="en-US"/>
        </w:rPr>
        <w:t>education or health agencies</w:t>
      </w:r>
      <w:r>
        <w:rPr>
          <w:rFonts w:ascii="Times New Roman" w:hAnsi="Times New Roman" w:eastAsia="Times New Roman" w:cs="Times New Roman"/>
          <w:color w:val="auto"/>
          <w:sz w:val="22"/>
          <w:szCs w:val="22"/>
          <w:lang w:eastAsia="en-US"/>
        </w:rPr>
        <w:t xml:space="preserve"> and two territories</w:t>
      </w:r>
      <w:r w:rsidRPr="00410304">
        <w:rPr>
          <w:rFonts w:ascii="Times New Roman" w:hAnsi="Times New Roman" w:eastAsia="Times New Roman" w:cs="Times New Roman"/>
          <w:color w:val="auto"/>
          <w:sz w:val="22"/>
          <w:szCs w:val="22"/>
          <w:lang w:eastAsia="en-US"/>
        </w:rPr>
        <w:t xml:space="preserve"> used the paper-based survey administration method, </w:t>
      </w:r>
      <w:r w:rsidR="004A15D5">
        <w:rPr>
          <w:rFonts w:ascii="Times New Roman" w:hAnsi="Times New Roman" w:eastAsia="Times New Roman" w:cs="Times New Roman"/>
          <w:color w:val="auto"/>
          <w:sz w:val="22"/>
          <w:szCs w:val="22"/>
          <w:lang w:eastAsia="en-US"/>
        </w:rPr>
        <w:t xml:space="preserve">and </w:t>
      </w:r>
      <w:bookmarkEnd w:id="7"/>
      <w:r w:rsidR="004A15D5">
        <w:rPr>
          <w:rFonts w:ascii="Times New Roman" w:hAnsi="Times New Roman" w:eastAsia="Times New Roman" w:cs="Times New Roman"/>
          <w:color w:val="auto"/>
          <w:sz w:val="22"/>
          <w:szCs w:val="22"/>
          <w:lang w:eastAsia="en-US"/>
        </w:rPr>
        <w:t>39</w:t>
      </w:r>
      <w:r w:rsidRPr="00410304" w:rsidR="004A15D5">
        <w:rPr>
          <w:rFonts w:ascii="Times New Roman" w:hAnsi="Times New Roman" w:eastAsia="Times New Roman" w:cs="Times New Roman"/>
          <w:color w:val="auto"/>
          <w:sz w:val="22"/>
          <w:szCs w:val="22"/>
          <w:lang w:eastAsia="en-US"/>
        </w:rPr>
        <w:t xml:space="preserve"> </w:t>
      </w:r>
      <w:r w:rsidRPr="00410304">
        <w:rPr>
          <w:rFonts w:ascii="Times New Roman" w:hAnsi="Times New Roman" w:eastAsia="Times New Roman" w:cs="Times New Roman"/>
          <w:color w:val="auto"/>
          <w:sz w:val="22"/>
          <w:szCs w:val="22"/>
          <w:lang w:eastAsia="en-US"/>
        </w:rPr>
        <w:t xml:space="preserve">state and </w:t>
      </w:r>
      <w:r w:rsidRPr="00F55AF7" w:rsidR="004A15D5">
        <w:rPr>
          <w:rFonts w:ascii="Times New Roman" w:hAnsi="Times New Roman" w:eastAsia="Times New Roman" w:cs="Times New Roman"/>
          <w:color w:val="auto"/>
          <w:sz w:val="22"/>
          <w:szCs w:val="22"/>
          <w:lang w:eastAsia="en-US"/>
        </w:rPr>
        <w:t>large urban school district education</w:t>
      </w:r>
      <w:r w:rsidRPr="00F55AF7" w:rsidDel="007741B5" w:rsidR="004A15D5">
        <w:rPr>
          <w:rFonts w:ascii="Times New Roman" w:hAnsi="Times New Roman" w:eastAsia="Times New Roman" w:cs="Times New Roman"/>
          <w:color w:val="auto"/>
          <w:sz w:val="22"/>
          <w:szCs w:val="22"/>
          <w:lang w:eastAsia="en-US"/>
        </w:rPr>
        <w:t xml:space="preserve"> </w:t>
      </w:r>
      <w:r w:rsidRPr="00410304">
        <w:rPr>
          <w:rFonts w:ascii="Times New Roman" w:hAnsi="Times New Roman" w:eastAsia="Times New Roman" w:cs="Times New Roman"/>
          <w:color w:val="auto"/>
          <w:sz w:val="22"/>
          <w:szCs w:val="22"/>
          <w:lang w:eastAsia="en-US"/>
        </w:rPr>
        <w:t xml:space="preserve">or health agencies used the web-based method. </w:t>
      </w:r>
      <w:r>
        <w:rPr>
          <w:rFonts w:ascii="Times New Roman" w:hAnsi="Times New Roman" w:eastAsia="Times New Roman" w:cs="Times New Roman"/>
          <w:color w:val="auto"/>
          <w:sz w:val="22"/>
          <w:szCs w:val="22"/>
          <w:lang w:eastAsia="en-US"/>
        </w:rPr>
        <w:t>Where feasible to implement the web-based method, t</w:t>
      </w:r>
      <w:r w:rsidRPr="006E7FD1" w:rsidR="00410304">
        <w:rPr>
          <w:rFonts w:ascii="Times New Roman" w:hAnsi="Times New Roman" w:eastAsia="Times New Roman" w:cs="Times New Roman"/>
          <w:color w:val="auto"/>
          <w:sz w:val="22"/>
          <w:szCs w:val="22"/>
          <w:lang w:eastAsia="en-US"/>
        </w:rPr>
        <w:t xml:space="preserve">he web-based survey </w:t>
      </w:r>
      <w:r w:rsidRPr="006E7FD1">
        <w:rPr>
          <w:rFonts w:ascii="Times New Roman" w:hAnsi="Times New Roman" w:eastAsia="Times New Roman" w:cs="Times New Roman"/>
          <w:color w:val="auto"/>
          <w:sz w:val="22"/>
          <w:szCs w:val="22"/>
          <w:lang w:eastAsia="en-US"/>
        </w:rPr>
        <w:t xml:space="preserve">is preferable as it </w:t>
      </w:r>
      <w:r w:rsidRPr="006E7FD1" w:rsidR="00410304">
        <w:rPr>
          <w:rFonts w:ascii="Times New Roman" w:hAnsi="Times New Roman" w:eastAsia="Times New Roman" w:cs="Times New Roman"/>
          <w:color w:val="auto"/>
          <w:sz w:val="22"/>
          <w:szCs w:val="22"/>
          <w:lang w:eastAsia="en-US"/>
        </w:rPr>
        <w:t xml:space="preserve">reduces respondent burden by automating the skip patterns used throughout the Profiles questionnaire. This programming also helps improve data quality by automatically skipping questions that are </w:t>
      </w:r>
      <w:r w:rsidR="004A15D5">
        <w:rPr>
          <w:rFonts w:ascii="Times New Roman" w:hAnsi="Times New Roman" w:eastAsia="Times New Roman" w:cs="Times New Roman"/>
          <w:color w:val="auto"/>
          <w:sz w:val="22"/>
          <w:szCs w:val="22"/>
          <w:lang w:eastAsia="en-US"/>
        </w:rPr>
        <w:t xml:space="preserve">not applicable </w:t>
      </w:r>
      <w:r w:rsidRPr="006E7FD1" w:rsidR="00410304">
        <w:rPr>
          <w:rFonts w:ascii="Times New Roman" w:hAnsi="Times New Roman" w:eastAsia="Times New Roman" w:cs="Times New Roman"/>
          <w:color w:val="auto"/>
          <w:sz w:val="22"/>
          <w:szCs w:val="22"/>
          <w:lang w:eastAsia="en-US"/>
        </w:rPr>
        <w:t>based on answers to other questions. When using the paper-based method, the respondent may inadvertently provide answers to questions that should have been skipped based on an answer to a previous question.</w:t>
      </w:r>
      <w:r w:rsidRPr="0082784A" w:rsidR="00410304">
        <w:rPr>
          <w:sz w:val="22"/>
          <w:szCs w:val="22"/>
        </w:rPr>
        <w:t xml:space="preserve"> </w:t>
      </w:r>
    </w:p>
    <w:p w:rsidR="00DB3334" w:rsidP="00EB104F" w:rsidRDefault="00DB3334" w14:paraId="598392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P="006D6B92" w:rsidRDefault="00EB104F" w14:paraId="278E87E7" w14:textId="77777777">
      <w:pPr>
        <w:pStyle w:val="ExhibitText"/>
        <w:outlineLvl w:val="1"/>
        <w:rPr>
          <w:b/>
          <w:sz w:val="22"/>
          <w:szCs w:val="22"/>
        </w:rPr>
      </w:pPr>
      <w:bookmarkStart w:name="_Toc344295565" w:id="8"/>
      <w:r w:rsidRPr="006D6B92">
        <w:rPr>
          <w:b/>
          <w:sz w:val="22"/>
          <w:szCs w:val="22"/>
        </w:rPr>
        <w:lastRenderedPageBreak/>
        <w:t>A.4</w:t>
      </w:r>
      <w:r w:rsidRPr="006D6B92">
        <w:rPr>
          <w:b/>
          <w:sz w:val="22"/>
          <w:szCs w:val="22"/>
        </w:rPr>
        <w:tab/>
        <w:t>EFFORTS TO IDENTIFY DUPLICATION AND USE OF SIMILAR INFORMATION</w:t>
      </w:r>
      <w:bookmarkEnd w:id="8"/>
    </w:p>
    <w:p w:rsidR="00B41B1A" w:rsidP="006D6B92" w:rsidRDefault="00B41B1A" w14:paraId="22007CEA" w14:textId="77777777">
      <w:pPr>
        <w:pStyle w:val="ExhibitText"/>
        <w:outlineLvl w:val="1"/>
        <w:rPr>
          <w:b/>
          <w:sz w:val="22"/>
          <w:szCs w:val="22"/>
        </w:rPr>
      </w:pPr>
    </w:p>
    <w:p w:rsidR="00315E30" w:rsidP="00315E30" w:rsidRDefault="00410304" w14:paraId="033998A6" w14:textId="77777777">
      <w:pPr>
        <w:widowControl/>
        <w:rPr>
          <w:sz w:val="22"/>
          <w:szCs w:val="22"/>
        </w:rPr>
      </w:pPr>
      <w:r w:rsidRPr="00410304">
        <w:rPr>
          <w:sz w:val="22"/>
          <w:szCs w:val="22"/>
        </w:rPr>
        <w:t xml:space="preserve">Implementing a test-retest </w:t>
      </w:r>
      <w:r w:rsidR="00FA3071">
        <w:rPr>
          <w:sz w:val="22"/>
          <w:szCs w:val="22"/>
        </w:rPr>
        <w:t>reliability</w:t>
      </w:r>
      <w:r w:rsidR="00BD0E1A">
        <w:rPr>
          <w:sz w:val="22"/>
          <w:szCs w:val="22"/>
        </w:rPr>
        <w:t xml:space="preserve"> </w:t>
      </w:r>
      <w:r w:rsidRPr="00410304">
        <w:rPr>
          <w:sz w:val="22"/>
          <w:szCs w:val="22"/>
        </w:rPr>
        <w:t xml:space="preserve">study is the only current means of collecting the data needed to test the reliability of the </w:t>
      </w:r>
      <w:r w:rsidR="006E7FD1">
        <w:rPr>
          <w:sz w:val="22"/>
          <w:szCs w:val="22"/>
        </w:rPr>
        <w:t xml:space="preserve">Profiles </w:t>
      </w:r>
      <w:r w:rsidRPr="00410304">
        <w:rPr>
          <w:sz w:val="22"/>
          <w:szCs w:val="22"/>
        </w:rPr>
        <w:t xml:space="preserve">survey items. </w:t>
      </w:r>
      <w:r w:rsidR="00E75158">
        <w:rPr>
          <w:sz w:val="22"/>
          <w:szCs w:val="22"/>
        </w:rPr>
        <w:t xml:space="preserve">Although the Profiles surveys are conducted biennially by </w:t>
      </w:r>
      <w:bookmarkStart w:name="_Hlk26968484" w:id="9"/>
      <w:r w:rsidR="00BD0E1A">
        <w:rPr>
          <w:sz w:val="22"/>
          <w:szCs w:val="22"/>
        </w:rPr>
        <w:t>state,</w:t>
      </w:r>
      <w:r w:rsidR="00581DBC">
        <w:rPr>
          <w:sz w:val="22"/>
          <w:szCs w:val="22"/>
        </w:rPr>
        <w:t xml:space="preserve"> </w:t>
      </w:r>
      <w:r w:rsidR="00BD0E1A">
        <w:rPr>
          <w:sz w:val="22"/>
          <w:szCs w:val="22"/>
        </w:rPr>
        <w:t xml:space="preserve">territorial, tribal, and </w:t>
      </w:r>
      <w:r w:rsidR="00581DBC">
        <w:rPr>
          <w:sz w:val="22"/>
          <w:szCs w:val="22"/>
        </w:rPr>
        <w:t xml:space="preserve">large urban school district </w:t>
      </w:r>
      <w:bookmarkEnd w:id="9"/>
      <w:r w:rsidR="00BD0E1A">
        <w:rPr>
          <w:sz w:val="22"/>
          <w:szCs w:val="22"/>
        </w:rPr>
        <w:t xml:space="preserve">education </w:t>
      </w:r>
      <w:r w:rsidR="00581DBC">
        <w:rPr>
          <w:sz w:val="22"/>
          <w:szCs w:val="22"/>
        </w:rPr>
        <w:t xml:space="preserve">and health </w:t>
      </w:r>
      <w:r w:rsidR="00BD0E1A">
        <w:rPr>
          <w:sz w:val="22"/>
          <w:szCs w:val="22"/>
        </w:rPr>
        <w:t>agencies</w:t>
      </w:r>
      <w:r w:rsidR="00E75158">
        <w:rPr>
          <w:sz w:val="22"/>
          <w:szCs w:val="22"/>
        </w:rPr>
        <w:t>, a test-retest reliability study requires two controlled administrations of an identical instrument over a short period of time to the same respondents.</w:t>
      </w:r>
      <w:r w:rsidR="00AD26EB">
        <w:rPr>
          <w:sz w:val="22"/>
          <w:szCs w:val="22"/>
        </w:rPr>
        <w:t xml:space="preserve"> </w:t>
      </w:r>
      <w:r w:rsidR="00E75158">
        <w:rPr>
          <w:sz w:val="22"/>
          <w:szCs w:val="22"/>
        </w:rPr>
        <w:t>For this reason, a separate study including two survey administrations is necessary.</w:t>
      </w:r>
      <w:r w:rsidR="00AD26EB">
        <w:rPr>
          <w:sz w:val="22"/>
          <w:szCs w:val="22"/>
        </w:rPr>
        <w:t xml:space="preserve"> </w:t>
      </w:r>
      <w:r w:rsidRPr="006E7FD1" w:rsidR="006E7FD1">
        <w:rPr>
          <w:sz w:val="22"/>
          <w:szCs w:val="22"/>
        </w:rPr>
        <w:t xml:space="preserve">To reduce the burden on schools, schools that were selected for the 2020 Profiles regular state and </w:t>
      </w:r>
      <w:r w:rsidRPr="008247EE" w:rsidR="00BC7D8A">
        <w:rPr>
          <w:sz w:val="22"/>
          <w:szCs w:val="22"/>
        </w:rPr>
        <w:t>large urban school districts</w:t>
      </w:r>
      <w:r w:rsidRPr="006E7FD1" w:rsidR="006B6EFB">
        <w:rPr>
          <w:sz w:val="22"/>
          <w:szCs w:val="22"/>
        </w:rPr>
        <w:t xml:space="preserve"> </w:t>
      </w:r>
      <w:r w:rsidRPr="006E7FD1" w:rsidR="006E7FD1">
        <w:rPr>
          <w:sz w:val="22"/>
          <w:szCs w:val="22"/>
        </w:rPr>
        <w:t>samples</w:t>
      </w:r>
      <w:r w:rsidR="006E7FD1">
        <w:rPr>
          <w:sz w:val="22"/>
          <w:szCs w:val="22"/>
        </w:rPr>
        <w:t xml:space="preserve"> </w:t>
      </w:r>
      <w:r w:rsidR="002A0EC0">
        <w:rPr>
          <w:sz w:val="22"/>
          <w:szCs w:val="22"/>
        </w:rPr>
        <w:t xml:space="preserve">will be excluded </w:t>
      </w:r>
      <w:r w:rsidR="006E7FD1">
        <w:rPr>
          <w:sz w:val="22"/>
          <w:szCs w:val="22"/>
        </w:rPr>
        <w:t>from the sample used for the test-retest reliability study</w:t>
      </w:r>
      <w:r w:rsidRPr="006E7FD1" w:rsidR="006E7FD1">
        <w:rPr>
          <w:sz w:val="22"/>
          <w:szCs w:val="22"/>
        </w:rPr>
        <w:t>.</w:t>
      </w:r>
      <w:r w:rsidR="00AD26EB">
        <w:rPr>
          <w:sz w:val="22"/>
          <w:szCs w:val="22"/>
        </w:rPr>
        <w:t xml:space="preserve"> </w:t>
      </w:r>
      <w:r w:rsidR="00315E30">
        <w:rPr>
          <w:sz w:val="22"/>
          <w:szCs w:val="22"/>
        </w:rPr>
        <w:t>In order to test item reliability for both modes of survey administration, the School Health Profiles Test-Retest Re</w:t>
      </w:r>
      <w:r w:rsidRPr="00410304" w:rsidR="00315E30">
        <w:rPr>
          <w:sz w:val="22"/>
          <w:szCs w:val="22"/>
        </w:rPr>
        <w:t xml:space="preserve">liability </w:t>
      </w:r>
      <w:r w:rsidR="00315E30">
        <w:rPr>
          <w:sz w:val="22"/>
          <w:szCs w:val="22"/>
        </w:rPr>
        <w:t>S</w:t>
      </w:r>
      <w:r w:rsidRPr="00410304" w:rsidR="00315E30">
        <w:rPr>
          <w:sz w:val="22"/>
          <w:szCs w:val="22"/>
        </w:rPr>
        <w:t xml:space="preserve">tudy will employ both </w:t>
      </w:r>
      <w:r w:rsidR="00315E30">
        <w:rPr>
          <w:sz w:val="22"/>
          <w:szCs w:val="22"/>
        </w:rPr>
        <w:t xml:space="preserve">paper surveys and web-based surveys.  </w:t>
      </w:r>
    </w:p>
    <w:p w:rsidR="00EB104F" w:rsidP="00EB104F" w:rsidRDefault="00EB104F" w14:paraId="280E2D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EB104F" w:rsidP="0029780B" w:rsidRDefault="00EB104F" w14:paraId="42FCE993" w14:textId="77777777">
      <w:pPr>
        <w:pStyle w:val="ExhibitText"/>
        <w:outlineLvl w:val="1"/>
        <w:rPr>
          <w:rFonts w:ascii="Times New Roman TUR" w:hAnsi="Times New Roman TUR" w:cs="Times New Roman TUR"/>
          <w:b/>
          <w:bCs/>
        </w:rPr>
      </w:pPr>
      <w:bookmarkStart w:name="_Toc344295566" w:id="10"/>
      <w:r w:rsidRPr="0029780B">
        <w:rPr>
          <w:b/>
          <w:sz w:val="22"/>
          <w:szCs w:val="22"/>
        </w:rPr>
        <w:t>A.5</w:t>
      </w:r>
      <w:r w:rsidRPr="0029780B">
        <w:rPr>
          <w:b/>
          <w:sz w:val="22"/>
          <w:szCs w:val="22"/>
        </w:rPr>
        <w:tab/>
        <w:t>IMPACT ON SMALL BUSINESSES OR OTHER SMALL ENTITIES</w:t>
      </w:r>
      <w:bookmarkEnd w:id="10"/>
    </w:p>
    <w:p w:rsidRPr="003C2899" w:rsidR="00EB104F" w:rsidP="00EB104F" w:rsidRDefault="00EB104F" w14:paraId="7B997E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3C2899" w:rsidR="00EB104F" w:rsidP="00AC2BCA" w:rsidRDefault="00EB104F" w14:paraId="4A8F17E7" w14:textId="482E6D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3C2899">
        <w:rPr>
          <w:rFonts w:ascii="Times New Roman TUR" w:hAnsi="Times New Roman TUR" w:cs="Times New Roman TUR"/>
          <w:sz w:val="22"/>
          <w:szCs w:val="22"/>
        </w:rPr>
        <w:t xml:space="preserve">No small businesses will be involved in this </w:t>
      </w:r>
      <w:r w:rsidRPr="003C2899" w:rsidR="00B84379">
        <w:rPr>
          <w:rFonts w:ascii="Times New Roman TUR" w:hAnsi="Times New Roman TUR" w:cs="Times New Roman TUR"/>
          <w:sz w:val="22"/>
          <w:szCs w:val="22"/>
        </w:rPr>
        <w:t>data collection</w:t>
      </w:r>
      <w:r w:rsidRPr="003C2899">
        <w:rPr>
          <w:rFonts w:ascii="Times New Roman TUR" w:hAnsi="Times New Roman TUR" w:cs="Times New Roman TUR"/>
          <w:sz w:val="22"/>
          <w:szCs w:val="22"/>
        </w:rPr>
        <w:t>.</w:t>
      </w:r>
      <w:r w:rsidR="00AD26EB">
        <w:rPr>
          <w:rFonts w:ascii="Times New Roman TUR" w:hAnsi="Times New Roman TUR" w:cs="Times New Roman TUR"/>
          <w:sz w:val="22"/>
          <w:szCs w:val="22"/>
        </w:rPr>
        <w:t xml:space="preserve"> </w:t>
      </w:r>
      <w:r w:rsidRPr="003C2899">
        <w:rPr>
          <w:rFonts w:ascii="Times New Roman TUR" w:hAnsi="Times New Roman TUR" w:cs="Times New Roman TUR"/>
          <w:sz w:val="22"/>
          <w:szCs w:val="22"/>
        </w:rPr>
        <w:t>Many school districts and schools have populations &lt; 50,000 people and therefore are considered small entities.</w:t>
      </w:r>
      <w:r w:rsidR="00AD26EB">
        <w:rPr>
          <w:rFonts w:ascii="Times New Roman TUR" w:hAnsi="Times New Roman TUR" w:cs="Times New Roman TUR"/>
          <w:sz w:val="22"/>
          <w:szCs w:val="22"/>
        </w:rPr>
        <w:t xml:space="preserve"> </w:t>
      </w:r>
      <w:r w:rsidRPr="003C2899">
        <w:rPr>
          <w:rFonts w:ascii="Times New Roman TUR" w:hAnsi="Times New Roman TUR" w:cs="Times New Roman TUR"/>
          <w:sz w:val="22"/>
          <w:szCs w:val="22"/>
        </w:rPr>
        <w:t>These entities are the focus of this study.</w:t>
      </w:r>
      <w:r w:rsidR="00AD26EB">
        <w:rPr>
          <w:rFonts w:ascii="Times New Roman TUR" w:hAnsi="Times New Roman TUR" w:cs="Times New Roman TUR"/>
          <w:sz w:val="22"/>
          <w:szCs w:val="22"/>
        </w:rPr>
        <w:t xml:space="preserve"> </w:t>
      </w:r>
      <w:r w:rsidRPr="003C2899">
        <w:rPr>
          <w:rFonts w:ascii="Times New Roman TUR" w:hAnsi="Times New Roman TUR" w:cs="Times New Roman TUR"/>
          <w:sz w:val="22"/>
          <w:szCs w:val="22"/>
        </w:rPr>
        <w:t>There will be no significant economic impact on these small entities.</w:t>
      </w:r>
      <w:r w:rsidRPr="00690A88" w:rsidR="00690A88">
        <w:rPr>
          <w:rFonts w:ascii="Times New Roman TUR" w:hAnsi="Times New Roman TUR" w:cs="Times New Roman TUR"/>
          <w:sz w:val="22"/>
          <w:szCs w:val="22"/>
        </w:rPr>
        <w:t xml:space="preserve"> </w:t>
      </w:r>
      <w:r w:rsidR="008247EE">
        <w:rPr>
          <w:rFonts w:ascii="Times New Roman TUR" w:hAnsi="Times New Roman TUR" w:cs="Times New Roman TUR"/>
          <w:sz w:val="22"/>
          <w:szCs w:val="22"/>
        </w:rPr>
        <w:t xml:space="preserve">The burden on principals and teachers is minimized </w:t>
      </w:r>
      <w:r w:rsidRPr="004068FD" w:rsidR="008247EE">
        <w:rPr>
          <w:rFonts w:ascii="Times New Roman TUR" w:hAnsi="Times New Roman TUR" w:cs="Times New Roman TUR"/>
          <w:sz w:val="22"/>
          <w:szCs w:val="22"/>
        </w:rPr>
        <w:t>by limiting the questions on the questionnaires used for the test-retest reliability study to the same questions used for the School Health Profiles questionnaire</w:t>
      </w:r>
      <w:r w:rsidR="009B0801">
        <w:rPr>
          <w:rFonts w:ascii="Times New Roman TUR" w:hAnsi="Times New Roman TUR" w:cs="Times New Roman TUR"/>
          <w:sz w:val="22"/>
          <w:szCs w:val="22"/>
        </w:rPr>
        <w:t>s</w:t>
      </w:r>
      <w:r w:rsidRPr="004068FD" w:rsidR="008247EE">
        <w:rPr>
          <w:rFonts w:ascii="Times New Roman TUR" w:hAnsi="Times New Roman TUR" w:cs="Times New Roman TUR"/>
          <w:sz w:val="22"/>
          <w:szCs w:val="22"/>
        </w:rPr>
        <w:t xml:space="preserve"> implemented by state, territorial, tribal, and large urban school districts.</w:t>
      </w:r>
      <w:r w:rsidR="00AD26EB">
        <w:rPr>
          <w:rFonts w:ascii="Times New Roman TUR" w:hAnsi="Times New Roman TUR" w:cs="Times New Roman TUR"/>
          <w:sz w:val="22"/>
          <w:szCs w:val="22"/>
        </w:rPr>
        <w:t xml:space="preserve"> </w:t>
      </w:r>
      <w:r w:rsidRPr="004068FD" w:rsidR="008247EE">
        <w:rPr>
          <w:rFonts w:ascii="Times New Roman TUR" w:hAnsi="Times New Roman TUR" w:cs="Times New Roman TUR"/>
          <w:sz w:val="22"/>
          <w:szCs w:val="22"/>
        </w:rPr>
        <w:t>The exception is five additional questions included at Time 2 administration as a quality control measure.</w:t>
      </w:r>
      <w:r w:rsidR="00AD26EB">
        <w:rPr>
          <w:rFonts w:ascii="Times New Roman TUR" w:hAnsi="Times New Roman TUR" w:cs="Times New Roman TUR"/>
          <w:sz w:val="22"/>
          <w:szCs w:val="22"/>
        </w:rPr>
        <w:t xml:space="preserve"> </w:t>
      </w:r>
      <w:r w:rsidRPr="004068FD" w:rsidR="008247EE">
        <w:rPr>
          <w:rFonts w:ascii="Times New Roman TUR" w:hAnsi="Times New Roman TUR" w:cs="Times New Roman TUR"/>
          <w:sz w:val="22"/>
          <w:szCs w:val="22"/>
        </w:rPr>
        <w:t xml:space="preserve">The questions used on the Profiles questionnaires address policies and practices that principals and teachers will be aware </w:t>
      </w:r>
      <w:proofErr w:type="gramStart"/>
      <w:r w:rsidRPr="004068FD" w:rsidR="008247EE">
        <w:rPr>
          <w:rFonts w:ascii="Times New Roman TUR" w:hAnsi="Times New Roman TUR" w:cs="Times New Roman TUR"/>
          <w:sz w:val="22"/>
          <w:szCs w:val="22"/>
        </w:rPr>
        <w:t>of, and</w:t>
      </w:r>
      <w:proofErr w:type="gramEnd"/>
      <w:r w:rsidRPr="004068FD" w:rsidR="008247EE">
        <w:rPr>
          <w:rFonts w:ascii="Times New Roman TUR" w:hAnsi="Times New Roman TUR" w:cs="Times New Roman TUR"/>
          <w:sz w:val="22"/>
          <w:szCs w:val="22"/>
        </w:rPr>
        <w:t xml:space="preserve"> are not burdensome information requests for respondents who work in the participating schools.</w:t>
      </w:r>
    </w:p>
    <w:p w:rsidR="00EB104F" w:rsidP="00EB104F" w:rsidRDefault="00EB104F" w14:paraId="6E94E1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Pr="00DB012E" w:rsidR="00EB104F" w:rsidP="00767F05" w:rsidRDefault="00EB104F" w14:paraId="608E1551" w14:textId="77777777">
      <w:pPr>
        <w:pStyle w:val="ExhibitText"/>
        <w:keepNext/>
        <w:outlineLvl w:val="1"/>
        <w:rPr>
          <w:b/>
          <w:sz w:val="22"/>
          <w:szCs w:val="22"/>
        </w:rPr>
      </w:pPr>
      <w:bookmarkStart w:name="_Toc344295567" w:id="11"/>
      <w:r w:rsidRPr="00DB012E">
        <w:rPr>
          <w:b/>
          <w:sz w:val="22"/>
          <w:szCs w:val="22"/>
        </w:rPr>
        <w:t>A.6</w:t>
      </w:r>
      <w:r w:rsidRPr="00DB012E">
        <w:rPr>
          <w:b/>
          <w:sz w:val="22"/>
          <w:szCs w:val="22"/>
        </w:rPr>
        <w:tab/>
        <w:t>CONSEQUENCES OF COLLECTING THE INFORMATION LESS FREQUENTLY</w:t>
      </w:r>
      <w:bookmarkEnd w:id="11"/>
    </w:p>
    <w:p w:rsidR="00EB104F" w:rsidP="00EB104F" w:rsidRDefault="00EB104F" w14:paraId="45D4AC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Pr="003C2899" w:rsidR="00614F16" w:rsidP="00AC2BCA" w:rsidRDefault="00614F16" w14:paraId="0AE4D011" w14:textId="7E80D962">
      <w:pPr>
        <w:rPr>
          <w:sz w:val="22"/>
          <w:szCs w:val="22"/>
        </w:rPr>
      </w:pPr>
      <w:r w:rsidRPr="003C2899">
        <w:rPr>
          <w:sz w:val="22"/>
          <w:szCs w:val="22"/>
        </w:rPr>
        <w:t>The planned data collection</w:t>
      </w:r>
      <w:r w:rsidRPr="003C2899" w:rsidR="00884606">
        <w:rPr>
          <w:sz w:val="22"/>
          <w:szCs w:val="22"/>
        </w:rPr>
        <w:t>s</w:t>
      </w:r>
      <w:r w:rsidRPr="003C2899">
        <w:rPr>
          <w:sz w:val="22"/>
          <w:szCs w:val="22"/>
        </w:rPr>
        <w:t xml:space="preserve"> </w:t>
      </w:r>
      <w:r w:rsidRPr="003C2899" w:rsidR="00227B30">
        <w:rPr>
          <w:sz w:val="22"/>
          <w:szCs w:val="22"/>
        </w:rPr>
        <w:t xml:space="preserve">for the test-retest </w:t>
      </w:r>
      <w:r w:rsidR="00BB235A">
        <w:rPr>
          <w:sz w:val="22"/>
          <w:szCs w:val="22"/>
        </w:rPr>
        <w:t xml:space="preserve">reliability </w:t>
      </w:r>
      <w:r w:rsidRPr="003C2899" w:rsidR="00227B30">
        <w:rPr>
          <w:sz w:val="22"/>
          <w:szCs w:val="22"/>
        </w:rPr>
        <w:t xml:space="preserve">study </w:t>
      </w:r>
      <w:r w:rsidRPr="003C2899">
        <w:rPr>
          <w:sz w:val="22"/>
          <w:szCs w:val="22"/>
        </w:rPr>
        <w:t xml:space="preserve">will occur </w:t>
      </w:r>
      <w:r w:rsidRPr="003C2899" w:rsidR="00E75158">
        <w:rPr>
          <w:sz w:val="22"/>
          <w:szCs w:val="22"/>
        </w:rPr>
        <w:t xml:space="preserve">only </w:t>
      </w:r>
      <w:r w:rsidRPr="003C2899">
        <w:rPr>
          <w:sz w:val="22"/>
          <w:szCs w:val="22"/>
        </w:rPr>
        <w:t>once.</w:t>
      </w:r>
      <w:r w:rsidR="00AD26EB">
        <w:rPr>
          <w:sz w:val="22"/>
          <w:szCs w:val="22"/>
        </w:rPr>
        <w:t xml:space="preserve"> </w:t>
      </w:r>
      <w:r w:rsidR="00A76D8A">
        <w:rPr>
          <w:sz w:val="22"/>
          <w:szCs w:val="22"/>
        </w:rPr>
        <w:t>T</w:t>
      </w:r>
      <w:r w:rsidRPr="003C2899" w:rsidR="00227B30">
        <w:rPr>
          <w:sz w:val="22"/>
          <w:szCs w:val="22"/>
        </w:rPr>
        <w:t xml:space="preserve">he </w:t>
      </w:r>
      <w:r w:rsidRPr="003C2899" w:rsidR="00E75158">
        <w:rPr>
          <w:sz w:val="22"/>
          <w:szCs w:val="22"/>
        </w:rPr>
        <w:t>2020 School Principal Questionnaire</w:t>
      </w:r>
      <w:r w:rsidR="00FE427F">
        <w:rPr>
          <w:sz w:val="22"/>
          <w:szCs w:val="22"/>
        </w:rPr>
        <w:t xml:space="preserve"> </w:t>
      </w:r>
      <w:r w:rsidR="00A76D8A">
        <w:rPr>
          <w:sz w:val="22"/>
          <w:szCs w:val="22"/>
        </w:rPr>
        <w:t xml:space="preserve">will be administered </w:t>
      </w:r>
      <w:r w:rsidRPr="003C2899" w:rsidR="00227B30">
        <w:rPr>
          <w:sz w:val="22"/>
          <w:szCs w:val="22"/>
        </w:rPr>
        <w:t>two times, two weeks apart</w:t>
      </w:r>
      <w:r w:rsidRPr="003C2899" w:rsidR="00E75158">
        <w:rPr>
          <w:sz w:val="22"/>
          <w:szCs w:val="22"/>
        </w:rPr>
        <w:t>, and the 2020 Lead Health Educat</w:t>
      </w:r>
      <w:r w:rsidR="00E00BF4">
        <w:rPr>
          <w:sz w:val="22"/>
          <w:szCs w:val="22"/>
        </w:rPr>
        <w:t>ion Teacher</w:t>
      </w:r>
      <w:r w:rsidR="00FE427F">
        <w:rPr>
          <w:sz w:val="22"/>
          <w:szCs w:val="22"/>
        </w:rPr>
        <w:t xml:space="preserve"> Questionnaire</w:t>
      </w:r>
      <w:r w:rsidRPr="003C2899" w:rsidR="00E75158">
        <w:rPr>
          <w:sz w:val="22"/>
          <w:szCs w:val="22"/>
        </w:rPr>
        <w:t xml:space="preserve"> </w:t>
      </w:r>
      <w:r w:rsidR="00A76D8A">
        <w:rPr>
          <w:sz w:val="22"/>
          <w:szCs w:val="22"/>
        </w:rPr>
        <w:t xml:space="preserve">will be administered </w:t>
      </w:r>
      <w:r w:rsidRPr="003C2899" w:rsidR="00E75158">
        <w:rPr>
          <w:sz w:val="22"/>
          <w:szCs w:val="22"/>
        </w:rPr>
        <w:t>two times, two weeks apart</w:t>
      </w:r>
      <w:r w:rsidRPr="003C2899" w:rsidR="00227B30">
        <w:rPr>
          <w:sz w:val="22"/>
          <w:szCs w:val="22"/>
        </w:rPr>
        <w:t>.</w:t>
      </w:r>
      <w:r w:rsidRPr="003C2899" w:rsidR="00E75158">
        <w:rPr>
          <w:sz w:val="22"/>
          <w:szCs w:val="22"/>
        </w:rPr>
        <w:t xml:space="preserve"> A test-retest reliability study cannot be conducted with fewer than two survey administrations.</w:t>
      </w:r>
      <w:r w:rsidR="00AD26EB">
        <w:rPr>
          <w:sz w:val="22"/>
          <w:szCs w:val="22"/>
        </w:rPr>
        <w:t xml:space="preserve"> </w:t>
      </w:r>
      <w:r w:rsidRPr="003C2899">
        <w:rPr>
          <w:i/>
          <w:sz w:val="22"/>
          <w:szCs w:val="22"/>
        </w:rPr>
        <w:t xml:space="preserve"> </w:t>
      </w:r>
    </w:p>
    <w:p w:rsidRPr="003C2899" w:rsidR="00614F16" w:rsidP="00EB104F" w:rsidRDefault="00614F16" w14:paraId="070EC7B7" w14:textId="77777777">
      <w:pPr>
        <w:ind w:firstLine="720"/>
        <w:rPr>
          <w:sz w:val="22"/>
          <w:szCs w:val="22"/>
          <w:highlight w:val="yellow"/>
        </w:rPr>
      </w:pPr>
    </w:p>
    <w:p w:rsidRPr="00DB012E" w:rsidR="00EB104F" w:rsidP="00DB012E" w:rsidRDefault="00EB104F" w14:paraId="5D10590C" w14:textId="6188EA9A">
      <w:pPr>
        <w:pStyle w:val="ExhibitText"/>
        <w:outlineLvl w:val="1"/>
        <w:rPr>
          <w:b/>
          <w:sz w:val="22"/>
          <w:szCs w:val="22"/>
        </w:rPr>
      </w:pPr>
      <w:bookmarkStart w:name="_Toc344295568" w:id="12"/>
      <w:r w:rsidRPr="00DB012E">
        <w:rPr>
          <w:b/>
          <w:sz w:val="22"/>
          <w:szCs w:val="22"/>
        </w:rPr>
        <w:t>A.7</w:t>
      </w:r>
      <w:r w:rsidRPr="00DB012E">
        <w:rPr>
          <w:b/>
          <w:sz w:val="22"/>
          <w:szCs w:val="22"/>
        </w:rPr>
        <w:tab/>
        <w:t>SPECIAL CIRCUMSTANCES RELATING TO THE GUIDELINE OF 5 CFR 1320.5</w:t>
      </w:r>
      <w:bookmarkEnd w:id="12"/>
    </w:p>
    <w:p w:rsidR="00EB104F" w:rsidP="00EB104F" w:rsidRDefault="00EB104F" w14:paraId="573509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Pr="003C2899" w:rsidR="00EB104F" w:rsidP="00AC2BCA" w:rsidRDefault="00EB104F" w14:paraId="28BD8C5F" w14:textId="3F150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3C2899">
        <w:rPr>
          <w:rFonts w:ascii="Times New Roman TUR" w:hAnsi="Times New Roman TUR" w:cs="Times New Roman TUR"/>
          <w:sz w:val="22"/>
          <w:szCs w:val="22"/>
        </w:rPr>
        <w:t>The data collection will be implemented in a manner</w:t>
      </w:r>
      <w:r w:rsidRPr="003C2899" w:rsidR="003C2899">
        <w:rPr>
          <w:rFonts w:ascii="Times New Roman TUR" w:hAnsi="Times New Roman TUR" w:cs="Times New Roman TUR"/>
          <w:sz w:val="22"/>
          <w:szCs w:val="22"/>
        </w:rPr>
        <w:t xml:space="preserve"> consistent with 5 CFR 1320.5.</w:t>
      </w:r>
      <w:r w:rsidR="00AD26EB">
        <w:rPr>
          <w:rFonts w:ascii="Times New Roman TUR" w:hAnsi="Times New Roman TUR" w:cs="Times New Roman TUR"/>
          <w:sz w:val="22"/>
          <w:szCs w:val="22"/>
        </w:rPr>
        <w:t xml:space="preserve"> </w:t>
      </w:r>
      <w:r w:rsidRPr="003C2899" w:rsidR="003C2899">
        <w:rPr>
          <w:rFonts w:ascii="Times New Roman TUR" w:hAnsi="Times New Roman TUR" w:cs="Times New Roman TUR"/>
          <w:sz w:val="22"/>
          <w:szCs w:val="22"/>
        </w:rPr>
        <w:t>The only exception is that Time 2 survey responses will be requested in fewer than 30 days. The time between the Time 1 and Time 2 data collections will target a two-week interval.</w:t>
      </w:r>
      <w:r w:rsidR="00AD26EB">
        <w:rPr>
          <w:rFonts w:ascii="Times New Roman TUR" w:hAnsi="Times New Roman TUR" w:cs="Times New Roman TUR"/>
          <w:sz w:val="22"/>
          <w:szCs w:val="22"/>
        </w:rPr>
        <w:t xml:space="preserve"> </w:t>
      </w:r>
      <w:r w:rsidRPr="0024660F" w:rsidR="0024660F">
        <w:rPr>
          <w:rFonts w:ascii="Times New Roman TUR" w:hAnsi="Times New Roman TUR" w:cs="Times New Roman TUR"/>
          <w:sz w:val="22"/>
          <w:szCs w:val="22"/>
        </w:rPr>
        <w:t xml:space="preserve">A two-week interval </w:t>
      </w:r>
      <w:r w:rsidR="0024660F">
        <w:rPr>
          <w:rFonts w:ascii="Times New Roman TUR" w:hAnsi="Times New Roman TUR" w:cs="Times New Roman TUR"/>
          <w:sz w:val="22"/>
          <w:szCs w:val="22"/>
        </w:rPr>
        <w:t>is the standard used in most test-retest reliability studies</w:t>
      </w:r>
      <w:r w:rsidRPr="0024660F" w:rsidR="0024660F">
        <w:rPr>
          <w:rFonts w:ascii="Times New Roman TUR" w:hAnsi="Times New Roman TUR" w:cs="Times New Roman TUR"/>
          <w:sz w:val="22"/>
          <w:szCs w:val="22"/>
        </w:rPr>
        <w:t xml:space="preserve"> for two reasons. First, </w:t>
      </w:r>
      <w:r w:rsidR="0024660F">
        <w:rPr>
          <w:rFonts w:ascii="Times New Roman TUR" w:hAnsi="Times New Roman TUR" w:cs="Times New Roman TUR"/>
          <w:sz w:val="22"/>
          <w:szCs w:val="22"/>
        </w:rPr>
        <w:t xml:space="preserve">it is unlikely that any changes in practice or other situations will occur </w:t>
      </w:r>
      <w:r w:rsidR="00933730">
        <w:rPr>
          <w:rFonts w:ascii="Times New Roman TUR" w:hAnsi="Times New Roman TUR" w:cs="Times New Roman TUR"/>
          <w:sz w:val="22"/>
          <w:szCs w:val="22"/>
        </w:rPr>
        <w:t>during</w:t>
      </w:r>
      <w:r w:rsidR="0024660F">
        <w:rPr>
          <w:rFonts w:ascii="Times New Roman TUR" w:hAnsi="Times New Roman TUR" w:cs="Times New Roman TUR"/>
          <w:sz w:val="22"/>
          <w:szCs w:val="22"/>
        </w:rPr>
        <w:t xml:space="preserve"> a two-week time period that would </w:t>
      </w:r>
      <w:r w:rsidRPr="0024660F" w:rsidR="0024660F">
        <w:rPr>
          <w:rFonts w:ascii="Times New Roman TUR" w:hAnsi="Times New Roman TUR" w:cs="Times New Roman TUR"/>
          <w:sz w:val="22"/>
          <w:szCs w:val="22"/>
        </w:rPr>
        <w:t xml:space="preserve">impact the </w:t>
      </w:r>
      <w:r w:rsidR="00933730">
        <w:rPr>
          <w:rFonts w:ascii="Times New Roman TUR" w:hAnsi="Times New Roman TUR" w:cs="Times New Roman TUR"/>
          <w:sz w:val="22"/>
          <w:szCs w:val="22"/>
        </w:rPr>
        <w:t>responses</w:t>
      </w:r>
      <w:r w:rsidRPr="0024660F" w:rsidR="0024660F">
        <w:rPr>
          <w:rFonts w:ascii="Times New Roman TUR" w:hAnsi="Times New Roman TUR" w:cs="Times New Roman TUR"/>
          <w:sz w:val="22"/>
          <w:szCs w:val="22"/>
        </w:rPr>
        <w:t xml:space="preserve">. Second, </w:t>
      </w:r>
      <w:r w:rsidR="0024660F">
        <w:rPr>
          <w:rFonts w:ascii="Times New Roman TUR" w:hAnsi="Times New Roman TUR" w:cs="Times New Roman TUR"/>
          <w:sz w:val="22"/>
          <w:szCs w:val="22"/>
        </w:rPr>
        <w:t>a two-week interval</w:t>
      </w:r>
      <w:r w:rsidRPr="0024660F" w:rsidR="0024660F">
        <w:rPr>
          <w:rFonts w:ascii="Times New Roman TUR" w:hAnsi="Times New Roman TUR" w:cs="Times New Roman TUR"/>
          <w:sz w:val="22"/>
          <w:szCs w:val="22"/>
        </w:rPr>
        <w:t xml:space="preserve"> is </w:t>
      </w:r>
      <w:r w:rsidR="0024660F">
        <w:rPr>
          <w:rFonts w:ascii="Times New Roman TUR" w:hAnsi="Times New Roman TUR" w:cs="Times New Roman TUR"/>
          <w:sz w:val="22"/>
          <w:szCs w:val="22"/>
        </w:rPr>
        <w:t xml:space="preserve">long </w:t>
      </w:r>
      <w:r w:rsidRPr="0024660F" w:rsidR="0024660F">
        <w:rPr>
          <w:rFonts w:ascii="Times New Roman TUR" w:hAnsi="Times New Roman TUR" w:cs="Times New Roman TUR"/>
          <w:sz w:val="22"/>
          <w:szCs w:val="22"/>
        </w:rPr>
        <w:t xml:space="preserve">enough </w:t>
      </w:r>
      <w:r w:rsidR="0024660F">
        <w:rPr>
          <w:rFonts w:ascii="Times New Roman TUR" w:hAnsi="Times New Roman TUR" w:cs="Times New Roman TUR"/>
          <w:sz w:val="22"/>
          <w:szCs w:val="22"/>
        </w:rPr>
        <w:t xml:space="preserve">to prevent </w:t>
      </w:r>
      <w:r w:rsidRPr="0024660F" w:rsidR="0024660F">
        <w:rPr>
          <w:rFonts w:ascii="Times New Roman TUR" w:hAnsi="Times New Roman TUR" w:cs="Times New Roman TUR"/>
          <w:sz w:val="22"/>
          <w:szCs w:val="22"/>
        </w:rPr>
        <w:t xml:space="preserve">respondents </w:t>
      </w:r>
      <w:r w:rsidR="0024660F">
        <w:rPr>
          <w:rFonts w:ascii="Times New Roman TUR" w:hAnsi="Times New Roman TUR" w:cs="Times New Roman TUR"/>
          <w:sz w:val="22"/>
          <w:szCs w:val="22"/>
        </w:rPr>
        <w:t>from simply providing answers that had been</w:t>
      </w:r>
      <w:r w:rsidRPr="0024660F" w:rsidR="0024660F">
        <w:rPr>
          <w:rFonts w:ascii="Times New Roman TUR" w:hAnsi="Times New Roman TUR" w:cs="Times New Roman TUR"/>
          <w:sz w:val="22"/>
          <w:szCs w:val="22"/>
        </w:rPr>
        <w:t xml:space="preserve"> memorize</w:t>
      </w:r>
      <w:r w:rsidR="0024660F">
        <w:rPr>
          <w:rFonts w:ascii="Times New Roman TUR" w:hAnsi="Times New Roman TUR" w:cs="Times New Roman TUR"/>
          <w:sz w:val="22"/>
          <w:szCs w:val="22"/>
        </w:rPr>
        <w:t>d</w:t>
      </w:r>
      <w:r w:rsidRPr="0024660F" w:rsidR="0024660F">
        <w:rPr>
          <w:rFonts w:ascii="Times New Roman TUR" w:hAnsi="Times New Roman TUR" w:cs="Times New Roman TUR"/>
          <w:sz w:val="22"/>
          <w:szCs w:val="22"/>
        </w:rPr>
        <w:t xml:space="preserve"> </w:t>
      </w:r>
      <w:r w:rsidR="0024660F">
        <w:rPr>
          <w:rFonts w:ascii="Times New Roman TUR" w:hAnsi="Times New Roman TUR" w:cs="Times New Roman TUR"/>
          <w:sz w:val="22"/>
          <w:szCs w:val="22"/>
        </w:rPr>
        <w:t>from</w:t>
      </w:r>
      <w:r w:rsidRPr="0024660F" w:rsidR="0024660F">
        <w:rPr>
          <w:rFonts w:ascii="Times New Roman TUR" w:hAnsi="Times New Roman TUR" w:cs="Times New Roman TUR"/>
          <w:sz w:val="22"/>
          <w:szCs w:val="22"/>
        </w:rPr>
        <w:t xml:space="preserve"> the Time 1 questionnaire. </w:t>
      </w:r>
    </w:p>
    <w:p w:rsidR="00EB104F" w:rsidP="00EB104F" w:rsidRDefault="00EB104F" w14:paraId="0ABED9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p w:rsidRPr="00DB012E" w:rsidR="00EB104F" w:rsidP="00460357" w:rsidRDefault="00EB104F" w14:paraId="56BB2287" w14:textId="77777777">
      <w:pPr>
        <w:pStyle w:val="ExhibitText"/>
        <w:ind w:left="720" w:hanging="720"/>
        <w:outlineLvl w:val="1"/>
        <w:rPr>
          <w:b/>
          <w:sz w:val="22"/>
          <w:szCs w:val="22"/>
        </w:rPr>
      </w:pPr>
      <w:bookmarkStart w:name="_Toc344295569" w:id="13"/>
      <w:bookmarkStart w:name="_Hlk39490228" w:id="14"/>
      <w:bookmarkStart w:name="_Hlk39488331" w:id="15"/>
      <w:r w:rsidRPr="00DB012E">
        <w:rPr>
          <w:b/>
          <w:sz w:val="22"/>
          <w:szCs w:val="22"/>
        </w:rPr>
        <w:t>A.8</w:t>
      </w:r>
      <w:r w:rsidRPr="00DB012E">
        <w:rPr>
          <w:b/>
          <w:sz w:val="22"/>
          <w:szCs w:val="22"/>
        </w:rPr>
        <w:tab/>
        <w:t>COMMENTS IN RESPONSE TO THE FEDERAL REGISTER NOTICE AND EFFORTS TO CONSULT OUTSIDE THE AGENCY</w:t>
      </w:r>
      <w:bookmarkEnd w:id="13"/>
    </w:p>
    <w:p w:rsidR="00EB104F" w:rsidP="00EB104F" w:rsidRDefault="00EB104F" w14:paraId="64286F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rFonts w:ascii="Times New Roman TUR" w:hAnsi="Times New Roman TUR" w:cs="Times New Roman TUR"/>
          <w:b/>
          <w:bCs/>
        </w:rPr>
      </w:pPr>
    </w:p>
    <w:p w:rsidRPr="00BA6931" w:rsidR="001B0570" w:rsidP="001B0570" w:rsidRDefault="001B0570" w14:paraId="4AF36288" w14:textId="4F04A0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BA6931">
        <w:rPr>
          <w:sz w:val="22"/>
          <w:szCs w:val="22"/>
        </w:rPr>
        <w:t>CDC published a</w:t>
      </w:r>
      <w:r w:rsidRPr="00BA6931" w:rsidR="00096F5C">
        <w:rPr>
          <w:sz w:val="22"/>
          <w:szCs w:val="22"/>
        </w:rPr>
        <w:t xml:space="preserve"> 60-day</w:t>
      </w:r>
      <w:r w:rsidRPr="00BA6931">
        <w:rPr>
          <w:sz w:val="22"/>
          <w:szCs w:val="22"/>
        </w:rPr>
        <w:t xml:space="preserve"> </w:t>
      </w:r>
      <w:r w:rsidRPr="00BA6931">
        <w:rPr>
          <w:i/>
          <w:iCs/>
          <w:sz w:val="22"/>
          <w:szCs w:val="22"/>
        </w:rPr>
        <w:t>Federal Register</w:t>
      </w:r>
      <w:r w:rsidRPr="00BA6931">
        <w:rPr>
          <w:sz w:val="22"/>
          <w:szCs w:val="22"/>
        </w:rPr>
        <w:t xml:space="preserve"> notice of the proposed data collection on</w:t>
      </w:r>
      <w:r w:rsidRPr="00BA6931" w:rsidR="00667599">
        <w:rPr>
          <w:sz w:val="22"/>
          <w:szCs w:val="22"/>
        </w:rPr>
        <w:t xml:space="preserve"> March 16, 2020</w:t>
      </w:r>
      <w:r w:rsidRPr="00BA6931">
        <w:rPr>
          <w:sz w:val="22"/>
          <w:szCs w:val="22"/>
        </w:rPr>
        <w:t xml:space="preserve"> (Volume </w:t>
      </w:r>
      <w:r w:rsidRPr="00BA6931" w:rsidR="00667599">
        <w:rPr>
          <w:sz w:val="22"/>
          <w:szCs w:val="22"/>
        </w:rPr>
        <w:t>85</w:t>
      </w:r>
      <w:r w:rsidRPr="00BA6931">
        <w:rPr>
          <w:sz w:val="22"/>
          <w:szCs w:val="22"/>
        </w:rPr>
        <w:t xml:space="preserve">, Number </w:t>
      </w:r>
      <w:r w:rsidRPr="00BA6931" w:rsidR="00667599">
        <w:rPr>
          <w:sz w:val="22"/>
          <w:szCs w:val="22"/>
        </w:rPr>
        <w:t>51</w:t>
      </w:r>
      <w:r w:rsidRPr="00BA6931">
        <w:rPr>
          <w:sz w:val="22"/>
          <w:szCs w:val="22"/>
        </w:rPr>
        <w:t xml:space="preserve">, pages </w:t>
      </w:r>
      <w:r w:rsidRPr="00BA6931" w:rsidR="00667599">
        <w:rPr>
          <w:sz w:val="22"/>
          <w:szCs w:val="22"/>
        </w:rPr>
        <w:t>14942</w:t>
      </w:r>
      <w:r w:rsidRPr="00BA6931">
        <w:rPr>
          <w:sz w:val="22"/>
          <w:szCs w:val="22"/>
        </w:rPr>
        <w:t>-</w:t>
      </w:r>
      <w:r w:rsidRPr="00BA6931" w:rsidR="00667599">
        <w:rPr>
          <w:sz w:val="22"/>
          <w:szCs w:val="22"/>
        </w:rPr>
        <w:t>14943</w:t>
      </w:r>
      <w:r w:rsidRPr="00BA6931">
        <w:rPr>
          <w:sz w:val="22"/>
          <w:szCs w:val="22"/>
        </w:rPr>
        <w:t xml:space="preserve">) (See </w:t>
      </w:r>
      <w:r w:rsidRPr="00C2038F" w:rsidR="002C3725">
        <w:rPr>
          <w:sz w:val="22"/>
          <w:szCs w:val="22"/>
        </w:rPr>
        <w:t xml:space="preserve">Attachment </w:t>
      </w:r>
      <w:r w:rsidRPr="00BA6931" w:rsidR="002C3725">
        <w:rPr>
          <w:sz w:val="22"/>
          <w:szCs w:val="22"/>
        </w:rPr>
        <w:t>B</w:t>
      </w:r>
      <w:r w:rsidRPr="00BA6931" w:rsidR="00C81723">
        <w:rPr>
          <w:sz w:val="22"/>
          <w:szCs w:val="22"/>
        </w:rPr>
        <w:t>-1</w:t>
      </w:r>
      <w:r w:rsidRPr="00BA6931">
        <w:rPr>
          <w:sz w:val="22"/>
          <w:szCs w:val="22"/>
        </w:rPr>
        <w:t>).</w:t>
      </w:r>
      <w:r w:rsidRPr="00BA6931" w:rsidR="00AD26EB">
        <w:rPr>
          <w:sz w:val="22"/>
          <w:szCs w:val="22"/>
        </w:rPr>
        <w:t xml:space="preserve"> </w:t>
      </w:r>
      <w:r w:rsidRPr="00BA6931" w:rsidR="00DD547D">
        <w:rPr>
          <w:sz w:val="22"/>
          <w:szCs w:val="22"/>
        </w:rPr>
        <w:t xml:space="preserve"> </w:t>
      </w:r>
      <w:r w:rsidRPr="00BA6931" w:rsidR="00096F5C">
        <w:rPr>
          <w:sz w:val="22"/>
          <w:szCs w:val="22"/>
        </w:rPr>
        <w:t xml:space="preserve">CDC received </w:t>
      </w:r>
      <w:r w:rsidRPr="00BA6931" w:rsidR="001117AE">
        <w:rPr>
          <w:sz w:val="22"/>
          <w:szCs w:val="22"/>
        </w:rPr>
        <w:t xml:space="preserve">two </w:t>
      </w:r>
      <w:r w:rsidRPr="00BA6931">
        <w:rPr>
          <w:sz w:val="22"/>
          <w:szCs w:val="22"/>
        </w:rPr>
        <w:t>comment</w:t>
      </w:r>
      <w:r w:rsidRPr="00BA6931" w:rsidR="001117AE">
        <w:rPr>
          <w:sz w:val="22"/>
          <w:szCs w:val="22"/>
        </w:rPr>
        <w:t>s</w:t>
      </w:r>
      <w:r w:rsidRPr="00BA6931">
        <w:rPr>
          <w:sz w:val="22"/>
          <w:szCs w:val="22"/>
        </w:rPr>
        <w:t xml:space="preserve"> </w:t>
      </w:r>
      <w:r w:rsidRPr="00BA6931" w:rsidR="00C81723">
        <w:rPr>
          <w:sz w:val="22"/>
          <w:szCs w:val="22"/>
        </w:rPr>
        <w:t>(See Attachment B-2)</w:t>
      </w:r>
      <w:r w:rsidRPr="00BA6931" w:rsidR="001117AE">
        <w:rPr>
          <w:sz w:val="22"/>
          <w:szCs w:val="22"/>
        </w:rPr>
        <w:t>. Both comments</w:t>
      </w:r>
      <w:r w:rsidRPr="00BA6931" w:rsidR="00096F5C">
        <w:rPr>
          <w:sz w:val="22"/>
          <w:szCs w:val="22"/>
        </w:rPr>
        <w:t xml:space="preserve"> support</w:t>
      </w:r>
      <w:r w:rsidRPr="00BA6931" w:rsidR="001117AE">
        <w:rPr>
          <w:sz w:val="22"/>
          <w:szCs w:val="22"/>
        </w:rPr>
        <w:t xml:space="preserve">ed the </w:t>
      </w:r>
      <w:r w:rsidRPr="00BA6931" w:rsidR="00096F5C">
        <w:rPr>
          <w:sz w:val="22"/>
          <w:szCs w:val="22"/>
        </w:rPr>
        <w:t>School Health Profiles</w:t>
      </w:r>
      <w:r w:rsidRPr="00BA6931" w:rsidR="001117AE">
        <w:rPr>
          <w:sz w:val="22"/>
          <w:szCs w:val="22"/>
        </w:rPr>
        <w:t>. The first comment suggested t</w:t>
      </w:r>
      <w:r w:rsidRPr="00BA6931" w:rsidR="0047641E">
        <w:rPr>
          <w:sz w:val="22"/>
          <w:szCs w:val="22"/>
        </w:rPr>
        <w:t xml:space="preserve">he need for similar data collection at the university level; however, the comment suggests a misunderstanding of this </w:t>
      </w:r>
      <w:proofErr w:type="gramStart"/>
      <w:r w:rsidRPr="00BA6931" w:rsidR="0047641E">
        <w:rPr>
          <w:sz w:val="22"/>
          <w:szCs w:val="22"/>
        </w:rPr>
        <w:t>particular study</w:t>
      </w:r>
      <w:proofErr w:type="gramEnd"/>
      <w:r w:rsidRPr="00BA6931" w:rsidR="0047641E">
        <w:rPr>
          <w:sz w:val="22"/>
          <w:szCs w:val="22"/>
        </w:rPr>
        <w:t xml:space="preserve"> which is not meant to actually collect generalizable school health policy and program data.</w:t>
      </w:r>
      <w:r w:rsidRPr="00BA6931" w:rsidR="001117AE">
        <w:rPr>
          <w:sz w:val="22"/>
          <w:szCs w:val="22"/>
        </w:rPr>
        <w:t xml:space="preserve"> Because no contact information was submitted, no CDC response was sent to the first respondent.  </w:t>
      </w:r>
      <w:r w:rsidRPr="00BA6931" w:rsidR="00BD33C0">
        <w:rPr>
          <w:sz w:val="22"/>
          <w:szCs w:val="22"/>
        </w:rPr>
        <w:t xml:space="preserve">The second comment was non-substantive. It was written to support School Health Profiles generally, and this study specifically.  CDC sent an </w:t>
      </w:r>
      <w:r w:rsidRPr="00BA6931" w:rsidR="001117AE">
        <w:rPr>
          <w:sz w:val="22"/>
          <w:szCs w:val="22"/>
        </w:rPr>
        <w:t>email thanking the</w:t>
      </w:r>
      <w:r w:rsidRPr="00BA6931" w:rsidR="00BD33C0">
        <w:rPr>
          <w:sz w:val="22"/>
          <w:szCs w:val="22"/>
        </w:rPr>
        <w:t xml:space="preserve"> respondents for </w:t>
      </w:r>
      <w:r w:rsidRPr="00BA6931" w:rsidR="00BD33C0">
        <w:rPr>
          <w:sz w:val="22"/>
          <w:szCs w:val="22"/>
        </w:rPr>
        <w:lastRenderedPageBreak/>
        <w:t>their comments.</w:t>
      </w:r>
      <w:r w:rsidRPr="00BA6931" w:rsidR="001117AE">
        <w:rPr>
          <w:sz w:val="22"/>
          <w:szCs w:val="22"/>
        </w:rPr>
        <w:t xml:space="preserve"> </w:t>
      </w:r>
    </w:p>
    <w:bookmarkEnd w:id="14"/>
    <w:p w:rsidRPr="00C2038F" w:rsidR="00687122" w:rsidP="00687122" w:rsidRDefault="00687122" w14:paraId="140D3487" w14:textId="77777777">
      <w:pPr>
        <w:pStyle w:val="ExhibitHeaderRow"/>
        <w:jc w:val="left"/>
        <w:outlineLvl w:val="2"/>
        <w:rPr>
          <w:rFonts w:ascii="Times New Roman" w:hAnsi="Times New Roman" w:cs="Times New Roman"/>
          <w:b w:val="0"/>
          <w:sz w:val="22"/>
          <w:szCs w:val="22"/>
        </w:rPr>
      </w:pPr>
    </w:p>
    <w:p w:rsidRPr="00C2038F" w:rsidR="00687122" w:rsidP="00687122" w:rsidRDefault="00687122" w14:paraId="4E3DDDEA" w14:textId="5392EA58">
      <w:pPr>
        <w:pStyle w:val="ExhibitHeaderRow"/>
        <w:jc w:val="left"/>
        <w:outlineLvl w:val="2"/>
        <w:rPr>
          <w:rFonts w:ascii="Times New Roman" w:hAnsi="Times New Roman" w:cs="Times New Roman"/>
          <w:b w:val="0"/>
          <w:sz w:val="22"/>
          <w:szCs w:val="22"/>
        </w:rPr>
      </w:pPr>
      <w:r w:rsidRPr="00C2038F">
        <w:rPr>
          <w:rFonts w:ascii="Times New Roman" w:hAnsi="Times New Roman" w:cs="Times New Roman"/>
          <w:b w:val="0"/>
          <w:sz w:val="22"/>
          <w:szCs w:val="22"/>
        </w:rPr>
        <w:t>No additional efforts have been made to consult with persons outside the agency.</w:t>
      </w:r>
      <w:r w:rsidRPr="00C2038F" w:rsidR="00AD26EB">
        <w:rPr>
          <w:rFonts w:ascii="Times New Roman" w:hAnsi="Times New Roman" w:cs="Times New Roman"/>
          <w:b w:val="0"/>
          <w:sz w:val="22"/>
          <w:szCs w:val="22"/>
        </w:rPr>
        <w:t xml:space="preserve"> </w:t>
      </w:r>
      <w:r w:rsidRPr="00C2038F">
        <w:rPr>
          <w:rFonts w:ascii="Times New Roman" w:hAnsi="Times New Roman" w:cs="Times New Roman"/>
          <w:b w:val="0"/>
          <w:sz w:val="22"/>
          <w:szCs w:val="22"/>
        </w:rPr>
        <w:t xml:space="preserve"> </w:t>
      </w:r>
    </w:p>
    <w:bookmarkEnd w:id="15"/>
    <w:p w:rsidRPr="002B19EE" w:rsidR="00EB104F" w:rsidP="00EB104F" w:rsidRDefault="00EB104F" w14:paraId="31281D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u w:val="single"/>
        </w:rPr>
      </w:pPr>
    </w:p>
    <w:p w:rsidRPr="00DB012E" w:rsidR="00EB104F" w:rsidP="00DB012E" w:rsidRDefault="00EB104F" w14:paraId="41BA008D" w14:textId="77777777">
      <w:pPr>
        <w:pStyle w:val="ExhibitText"/>
        <w:outlineLvl w:val="1"/>
        <w:rPr>
          <w:b/>
          <w:sz w:val="22"/>
          <w:szCs w:val="22"/>
        </w:rPr>
      </w:pPr>
      <w:bookmarkStart w:name="_Toc344295575" w:id="16"/>
      <w:r w:rsidRPr="00DB012E">
        <w:rPr>
          <w:b/>
          <w:sz w:val="22"/>
          <w:szCs w:val="22"/>
        </w:rPr>
        <w:t>A.9</w:t>
      </w:r>
      <w:r w:rsidRPr="00DB012E">
        <w:rPr>
          <w:b/>
          <w:sz w:val="22"/>
          <w:szCs w:val="22"/>
        </w:rPr>
        <w:tab/>
        <w:t>EXPLANATION OF ANY PAYMENT OR GIFT TO RESPONDENTS</w:t>
      </w:r>
      <w:bookmarkEnd w:id="16"/>
    </w:p>
    <w:p w:rsidR="00EB104F" w:rsidP="00EB104F" w:rsidRDefault="00EB104F" w14:paraId="17B409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07699" w:rsidP="00AC2BCA" w:rsidRDefault="001043F7" w14:paraId="70E6CD22" w14:textId="2B8C9C20">
      <w:pPr>
        <w:rPr>
          <w:sz w:val="22"/>
          <w:szCs w:val="22"/>
        </w:rPr>
      </w:pPr>
      <w:r>
        <w:rPr>
          <w:sz w:val="22"/>
          <w:szCs w:val="22"/>
        </w:rPr>
        <w:t>T</w:t>
      </w:r>
      <w:r w:rsidRPr="003C2899" w:rsidR="00E07699">
        <w:rPr>
          <w:sz w:val="22"/>
          <w:szCs w:val="22"/>
        </w:rPr>
        <w:t>o encourage principal and teacher participation</w:t>
      </w:r>
      <w:r w:rsidR="007521FE">
        <w:rPr>
          <w:sz w:val="22"/>
          <w:szCs w:val="22"/>
        </w:rPr>
        <w:t xml:space="preserve">, </w:t>
      </w:r>
      <w:r w:rsidRPr="0024660F" w:rsidR="006A1D75">
        <w:rPr>
          <w:sz w:val="22"/>
          <w:szCs w:val="22"/>
        </w:rPr>
        <w:t>respondents</w:t>
      </w:r>
      <w:r w:rsidR="006A1D75">
        <w:rPr>
          <w:sz w:val="22"/>
          <w:szCs w:val="22"/>
        </w:rPr>
        <w:t xml:space="preserve"> will be given</w:t>
      </w:r>
      <w:r w:rsidRPr="003C2899" w:rsidR="006A1D75">
        <w:rPr>
          <w:sz w:val="22"/>
          <w:szCs w:val="22"/>
        </w:rPr>
        <w:t xml:space="preserve"> </w:t>
      </w:r>
      <w:r w:rsidRPr="003C2899" w:rsidR="00E07699">
        <w:rPr>
          <w:sz w:val="22"/>
          <w:szCs w:val="22"/>
        </w:rPr>
        <w:t xml:space="preserve">$25 for completing both the Time 1 and Time 2 </w:t>
      </w:r>
      <w:r w:rsidRPr="0024660F" w:rsidR="00E07699">
        <w:rPr>
          <w:sz w:val="22"/>
          <w:szCs w:val="22"/>
        </w:rPr>
        <w:t>surveys. Th</w:t>
      </w:r>
      <w:r w:rsidR="006A1D75">
        <w:rPr>
          <w:sz w:val="22"/>
          <w:szCs w:val="22"/>
        </w:rPr>
        <w:t>is token of appreciation</w:t>
      </w:r>
      <w:r w:rsidRPr="0024660F" w:rsidR="00E07699">
        <w:rPr>
          <w:sz w:val="22"/>
          <w:szCs w:val="22"/>
        </w:rPr>
        <w:t xml:space="preserve"> will be provided in two stages. After the Time 1 survey is completed, a </w:t>
      </w:r>
      <w:r w:rsidR="006A1D75">
        <w:rPr>
          <w:sz w:val="22"/>
          <w:szCs w:val="22"/>
        </w:rPr>
        <w:t xml:space="preserve">$5 </w:t>
      </w:r>
      <w:r w:rsidRPr="0024660F" w:rsidR="00E07699">
        <w:rPr>
          <w:sz w:val="22"/>
          <w:szCs w:val="22"/>
        </w:rPr>
        <w:t>check made out to the respondent will be included with the initial Time 2 survey mailing sent to the respondent.</w:t>
      </w:r>
      <w:r w:rsidR="00AD26EB">
        <w:rPr>
          <w:sz w:val="22"/>
          <w:szCs w:val="22"/>
        </w:rPr>
        <w:t xml:space="preserve"> </w:t>
      </w:r>
      <w:r w:rsidRPr="0024660F" w:rsidR="00E07699">
        <w:rPr>
          <w:sz w:val="22"/>
          <w:szCs w:val="22"/>
        </w:rPr>
        <w:t xml:space="preserve">These will be sent via FedEx and require a signature upon delivery. Including the first </w:t>
      </w:r>
      <w:r w:rsidR="006A1D75">
        <w:rPr>
          <w:sz w:val="22"/>
          <w:szCs w:val="22"/>
        </w:rPr>
        <w:t>token</w:t>
      </w:r>
      <w:r w:rsidRPr="0024660F" w:rsidR="00E07699">
        <w:rPr>
          <w:sz w:val="22"/>
          <w:szCs w:val="22"/>
        </w:rPr>
        <w:t xml:space="preserve"> with the Time 2 survey mailing will also help ensure that attention is given to completing the Time 2 survey. With the Time 2 survey request, respondents will be informed that an additional </w:t>
      </w:r>
      <w:r w:rsidR="006A1D75">
        <w:rPr>
          <w:sz w:val="22"/>
          <w:szCs w:val="22"/>
        </w:rPr>
        <w:t>token</w:t>
      </w:r>
      <w:r w:rsidRPr="0024660F" w:rsidR="00E07699">
        <w:rPr>
          <w:sz w:val="22"/>
          <w:szCs w:val="22"/>
        </w:rPr>
        <w:t xml:space="preserve"> </w:t>
      </w:r>
      <w:r w:rsidRPr="00C77435" w:rsidR="00E07699">
        <w:rPr>
          <w:sz w:val="22"/>
          <w:szCs w:val="22"/>
        </w:rPr>
        <w:t>(</w:t>
      </w:r>
      <w:r w:rsidRPr="00C77435" w:rsidR="00287AB7">
        <w:rPr>
          <w:sz w:val="22"/>
          <w:szCs w:val="22"/>
        </w:rPr>
        <w:t>$20</w:t>
      </w:r>
      <w:r w:rsidRPr="00C77435" w:rsidR="00E07699">
        <w:rPr>
          <w:sz w:val="22"/>
          <w:szCs w:val="22"/>
        </w:rPr>
        <w:t>)</w:t>
      </w:r>
      <w:r w:rsidRPr="0024660F" w:rsidR="00E07699">
        <w:rPr>
          <w:sz w:val="22"/>
          <w:szCs w:val="22"/>
        </w:rPr>
        <w:t xml:space="preserve"> will be sent</w:t>
      </w:r>
      <w:r w:rsidRPr="003C2899" w:rsidR="00E07699">
        <w:rPr>
          <w:sz w:val="22"/>
          <w:szCs w:val="22"/>
        </w:rPr>
        <w:t xml:space="preserve"> via FedEx for completing the Time 2 survey.</w:t>
      </w:r>
      <w:r w:rsidR="00AD26EB">
        <w:rPr>
          <w:sz w:val="22"/>
          <w:szCs w:val="22"/>
        </w:rPr>
        <w:t xml:space="preserve"> </w:t>
      </w:r>
      <w:r w:rsidR="00184115">
        <w:rPr>
          <w:sz w:val="22"/>
          <w:szCs w:val="22"/>
        </w:rPr>
        <w:t>The higher token after the second survey completion is meant to encourage completion of the Time 2 survey.</w:t>
      </w:r>
    </w:p>
    <w:p w:rsidRPr="0091687C" w:rsidR="00542B00" w:rsidP="00AC2BCA" w:rsidRDefault="00542B00" w14:paraId="32937A99" w14:textId="5EB7468A">
      <w:pPr>
        <w:rPr>
          <w:sz w:val="22"/>
          <w:szCs w:val="22"/>
        </w:rPr>
      </w:pPr>
    </w:p>
    <w:p w:rsidRPr="0091687C" w:rsidR="00542B00" w:rsidP="00AC2BCA" w:rsidRDefault="00542B00" w14:paraId="3A8874C3" w14:textId="08DA1EE2">
      <w:pPr>
        <w:rPr>
          <w:sz w:val="22"/>
          <w:szCs w:val="22"/>
        </w:rPr>
      </w:pPr>
      <w:r w:rsidRPr="0091687C">
        <w:rPr>
          <w:sz w:val="22"/>
          <w:szCs w:val="22"/>
        </w:rPr>
        <w:t xml:space="preserve">Research indicates positive effects on response rates for the use of cash </w:t>
      </w:r>
      <w:r w:rsidR="0091687C">
        <w:rPr>
          <w:sz w:val="22"/>
          <w:szCs w:val="22"/>
        </w:rPr>
        <w:t>tokens of appreciation</w:t>
      </w:r>
      <w:r w:rsidRPr="0091687C">
        <w:rPr>
          <w:sz w:val="22"/>
          <w:szCs w:val="22"/>
        </w:rPr>
        <w:t xml:space="preserve">. For example, Cantor, O’Hare and O’Connor (2007) found that </w:t>
      </w:r>
      <w:r w:rsidR="006C228F">
        <w:rPr>
          <w:sz w:val="22"/>
          <w:szCs w:val="22"/>
        </w:rPr>
        <w:t xml:space="preserve">a </w:t>
      </w:r>
      <w:r w:rsidRPr="0091687C">
        <w:rPr>
          <w:sz w:val="22"/>
          <w:szCs w:val="22"/>
        </w:rPr>
        <w:t>promised $15 – $35</w:t>
      </w:r>
      <w:r w:rsidR="006C228F">
        <w:rPr>
          <w:sz w:val="22"/>
          <w:szCs w:val="22"/>
        </w:rPr>
        <w:t xml:space="preserve"> for survey completion</w:t>
      </w:r>
      <w:r w:rsidRPr="0091687C">
        <w:rPr>
          <w:sz w:val="22"/>
          <w:szCs w:val="22"/>
        </w:rPr>
        <w:t xml:space="preserve"> increase</w:t>
      </w:r>
      <w:r w:rsidR="006C228F">
        <w:rPr>
          <w:sz w:val="22"/>
          <w:szCs w:val="22"/>
        </w:rPr>
        <w:t>s</w:t>
      </w:r>
      <w:r w:rsidRPr="0091687C">
        <w:rPr>
          <w:sz w:val="22"/>
          <w:szCs w:val="22"/>
        </w:rPr>
        <w:t xml:space="preserve"> response rates.</w:t>
      </w:r>
      <w:r w:rsidRPr="00BC465E" w:rsidR="000820A1">
        <w:rPr>
          <w:rStyle w:val="FootnoteReference"/>
          <w:sz w:val="22"/>
          <w:szCs w:val="22"/>
          <w:vertAlign w:val="superscript"/>
        </w:rPr>
        <w:footnoteReference w:id="1"/>
      </w:r>
      <w:r w:rsidRPr="0091687C">
        <w:rPr>
          <w:sz w:val="22"/>
          <w:szCs w:val="22"/>
        </w:rPr>
        <w:t xml:space="preserve"> Further, </w:t>
      </w:r>
      <w:r w:rsidR="0091687C">
        <w:rPr>
          <w:sz w:val="22"/>
          <w:szCs w:val="22"/>
        </w:rPr>
        <w:t>Mercer, et</w:t>
      </w:r>
      <w:r w:rsidRPr="0091687C">
        <w:rPr>
          <w:sz w:val="22"/>
          <w:szCs w:val="22"/>
        </w:rPr>
        <w:t xml:space="preserve"> al. (2015) found a 20 percent increase in the response rate to mail surveys due to </w:t>
      </w:r>
      <w:r w:rsidRPr="00CF4114">
        <w:rPr>
          <w:sz w:val="22"/>
          <w:szCs w:val="22"/>
        </w:rPr>
        <w:t xml:space="preserve">offering </w:t>
      </w:r>
      <w:r w:rsidRPr="00CF4114" w:rsidR="00BC465E">
        <w:rPr>
          <w:sz w:val="22"/>
          <w:szCs w:val="22"/>
        </w:rPr>
        <w:t>something for participation</w:t>
      </w:r>
      <w:r w:rsidRPr="00CF4114">
        <w:rPr>
          <w:sz w:val="22"/>
          <w:szCs w:val="22"/>
        </w:rPr>
        <w:t xml:space="preserve"> compared to no</w:t>
      </w:r>
      <w:r w:rsidRPr="00CF4114" w:rsidR="00BC465E">
        <w:rPr>
          <w:sz w:val="22"/>
          <w:szCs w:val="22"/>
        </w:rPr>
        <w:t>t offering anything</w:t>
      </w:r>
      <w:r w:rsidRPr="00CF4114">
        <w:rPr>
          <w:sz w:val="22"/>
          <w:szCs w:val="22"/>
        </w:rPr>
        <w:t>.</w:t>
      </w:r>
      <w:r w:rsidRPr="00CF4114" w:rsidR="000820A1">
        <w:rPr>
          <w:rStyle w:val="FootnoteReference"/>
          <w:sz w:val="22"/>
          <w:szCs w:val="22"/>
          <w:vertAlign w:val="superscript"/>
        </w:rPr>
        <w:footnoteReference w:id="2"/>
      </w:r>
      <w:r w:rsidR="00AD26EB">
        <w:rPr>
          <w:sz w:val="22"/>
          <w:szCs w:val="22"/>
          <w:vertAlign w:val="superscript"/>
        </w:rPr>
        <w:t xml:space="preserve"> </w:t>
      </w:r>
      <w:r w:rsidRPr="00CF4114" w:rsidR="006C228F">
        <w:rPr>
          <w:sz w:val="22"/>
          <w:szCs w:val="22"/>
        </w:rPr>
        <w:t>In</w:t>
      </w:r>
      <w:r w:rsidR="006C228F">
        <w:rPr>
          <w:sz w:val="22"/>
          <w:szCs w:val="22"/>
        </w:rPr>
        <w:t xml:space="preserve"> the </w:t>
      </w:r>
      <w:r w:rsidRPr="006C228F" w:rsidR="006C228F">
        <w:rPr>
          <w:bCs/>
          <w:sz w:val="22"/>
          <w:szCs w:val="22"/>
        </w:rPr>
        <w:t>School Health Profiles Test-Retest Reliability Study, we</w:t>
      </w:r>
      <w:r w:rsidRPr="006C228F" w:rsidR="006C228F">
        <w:rPr>
          <w:sz w:val="22"/>
          <w:szCs w:val="22"/>
        </w:rPr>
        <w:t xml:space="preserve"> </w:t>
      </w:r>
      <w:r w:rsidRPr="006C228F">
        <w:rPr>
          <w:sz w:val="22"/>
          <w:szCs w:val="22"/>
        </w:rPr>
        <w:t>expect the token of appreciation to: in</w:t>
      </w:r>
      <w:r w:rsidRPr="0091687C">
        <w:rPr>
          <w:sz w:val="22"/>
          <w:szCs w:val="22"/>
        </w:rPr>
        <w:t>crease teacher and principal interest and encourage teachers and principals to prioritize participation over other activities that do not provide a monetary reward; improve the quality of the data; increase the likelihood of principals and teachers completing both a Time 1 and Time 2 survey; and partially compensate teachers’ and principals’ time and effort related to completing the surveys</w:t>
      </w:r>
      <w:r w:rsidRPr="0091687C" w:rsidR="00C10352">
        <w:rPr>
          <w:sz w:val="22"/>
          <w:szCs w:val="22"/>
        </w:rPr>
        <w:t>.</w:t>
      </w:r>
      <w:r w:rsidR="00AD26EB">
        <w:rPr>
          <w:sz w:val="22"/>
          <w:szCs w:val="22"/>
        </w:rPr>
        <w:t xml:space="preserve"> </w:t>
      </w:r>
    </w:p>
    <w:p w:rsidR="00EB104F" w:rsidP="00EB104F" w:rsidRDefault="00EB104F" w14:paraId="61588F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DB012E" w:rsidR="00EB104F" w:rsidP="00AD26EB" w:rsidRDefault="00EB104F" w14:paraId="1D730ABB" w14:textId="3FCC7069">
      <w:pPr>
        <w:pStyle w:val="ExhibitText"/>
        <w:ind w:left="630" w:hanging="630"/>
        <w:outlineLvl w:val="1"/>
        <w:rPr>
          <w:b/>
          <w:sz w:val="22"/>
          <w:szCs w:val="22"/>
        </w:rPr>
      </w:pPr>
      <w:bookmarkStart w:name="_Toc344295576" w:id="17"/>
      <w:bookmarkStart w:name="_Hlk33713987" w:id="18"/>
      <w:r w:rsidRPr="00DB012E">
        <w:rPr>
          <w:b/>
          <w:sz w:val="22"/>
          <w:szCs w:val="22"/>
        </w:rPr>
        <w:t>A.10</w:t>
      </w:r>
      <w:r w:rsidRPr="00DB012E">
        <w:rPr>
          <w:b/>
          <w:sz w:val="22"/>
          <w:szCs w:val="22"/>
        </w:rPr>
        <w:tab/>
      </w:r>
      <w:r w:rsidR="00F73447">
        <w:rPr>
          <w:b/>
          <w:sz w:val="22"/>
          <w:szCs w:val="22"/>
        </w:rPr>
        <w:t>PROTECTION OF THE PRIVACY AND</w:t>
      </w:r>
      <w:r w:rsidRPr="00DB012E">
        <w:rPr>
          <w:b/>
          <w:sz w:val="22"/>
          <w:szCs w:val="22"/>
        </w:rPr>
        <w:t xml:space="preserve"> CONFIDENTIALITY</w:t>
      </w:r>
      <w:r w:rsidR="00F73447">
        <w:rPr>
          <w:b/>
          <w:sz w:val="22"/>
          <w:szCs w:val="22"/>
        </w:rPr>
        <w:t xml:space="preserve"> OF INFORMATION</w:t>
      </w:r>
      <w:r w:rsidRPr="00DB012E">
        <w:rPr>
          <w:b/>
          <w:sz w:val="22"/>
          <w:szCs w:val="22"/>
        </w:rPr>
        <w:t xml:space="preserve"> PROVIDED </w:t>
      </w:r>
      <w:r w:rsidR="00F73447">
        <w:rPr>
          <w:b/>
          <w:sz w:val="22"/>
          <w:szCs w:val="22"/>
        </w:rPr>
        <w:t>BY</w:t>
      </w:r>
      <w:r w:rsidRPr="00DB012E">
        <w:rPr>
          <w:b/>
          <w:sz w:val="22"/>
          <w:szCs w:val="22"/>
        </w:rPr>
        <w:t xml:space="preserve"> RESPONDENTS</w:t>
      </w:r>
      <w:bookmarkEnd w:id="17"/>
    </w:p>
    <w:p w:rsidR="00EB104F" w:rsidP="00EB104F" w:rsidRDefault="00EB104F" w14:paraId="616F7A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047359" w:rsidR="007F1B05" w:rsidP="007946E7" w:rsidRDefault="007F1B05" w14:paraId="58B60C09" w14:textId="6A7DB33F">
      <w:pPr>
        <w:widowControl/>
        <w:autoSpaceDE/>
        <w:autoSpaceDN/>
        <w:adjustRightInd/>
        <w:rPr>
          <w:sz w:val="22"/>
          <w:szCs w:val="22"/>
        </w:rPr>
      </w:pPr>
      <w:r w:rsidRPr="007F1B05">
        <w:rPr>
          <w:sz w:val="22"/>
          <w:szCs w:val="22"/>
        </w:rPr>
        <w:t>The CDC NCHHSTP Privacy Review Officer and the NCHHSTP IT Security Information System Security Officer (ISSO), have assessed this package for applicability of 5 U.S.C. § 552a, and determined that the Privacy Act does apply to the overall information collection</w:t>
      </w:r>
      <w:r w:rsidRPr="00047359">
        <w:rPr>
          <w:sz w:val="22"/>
          <w:szCs w:val="22"/>
        </w:rPr>
        <w:t>.</w:t>
      </w:r>
      <w:r w:rsidRPr="00047359" w:rsidR="007B1755">
        <w:rPr>
          <w:sz w:val="22"/>
          <w:szCs w:val="22"/>
        </w:rPr>
        <w:t xml:space="preserve"> A Privacy Impact Assessment was completed (Attachment </w:t>
      </w:r>
      <w:r w:rsidRPr="00047359" w:rsidR="008929EC">
        <w:rPr>
          <w:sz w:val="22"/>
          <w:szCs w:val="22"/>
        </w:rPr>
        <w:t>V</w:t>
      </w:r>
      <w:r w:rsidRPr="00047359" w:rsidR="007B1755">
        <w:rPr>
          <w:sz w:val="22"/>
          <w:szCs w:val="22"/>
        </w:rPr>
        <w:t>).</w:t>
      </w:r>
    </w:p>
    <w:p w:rsidRPr="00047359" w:rsidR="007F1B05" w:rsidP="007946E7" w:rsidRDefault="007F1B05" w14:paraId="109368F0" w14:textId="77777777">
      <w:pPr>
        <w:widowControl/>
        <w:autoSpaceDE/>
        <w:autoSpaceDN/>
        <w:adjustRightInd/>
        <w:rPr>
          <w:sz w:val="22"/>
          <w:szCs w:val="22"/>
        </w:rPr>
      </w:pPr>
    </w:p>
    <w:p w:rsidRPr="007946E7" w:rsidR="00C22655" w:rsidP="007946E7" w:rsidRDefault="007F1B05" w14:paraId="6CCEF203" w14:textId="117081AA">
      <w:pPr>
        <w:widowControl/>
        <w:autoSpaceDE/>
        <w:autoSpaceDN/>
        <w:adjustRightInd/>
        <w:rPr>
          <w:rFonts w:ascii="Arial" w:hAnsi="Arial" w:eastAsia="SimSun" w:cs="Arial"/>
          <w:b/>
          <w:color w:val="000000"/>
          <w:sz w:val="22"/>
          <w:szCs w:val="22"/>
          <w:lang w:eastAsia="zh-CN"/>
        </w:rPr>
      </w:pPr>
      <w:proofErr w:type="gramStart"/>
      <w:r w:rsidRPr="00047359">
        <w:rPr>
          <w:sz w:val="22"/>
          <w:szCs w:val="22"/>
        </w:rPr>
        <w:t>Personally</w:t>
      </w:r>
      <w:proofErr w:type="gramEnd"/>
      <w:r w:rsidRPr="00047359">
        <w:rPr>
          <w:sz w:val="22"/>
          <w:szCs w:val="22"/>
        </w:rPr>
        <w:t xml:space="preserve"> identifiable information (PII) is being collected </w:t>
      </w:r>
      <w:r w:rsidRPr="00047359" w:rsidR="001E1317">
        <w:rPr>
          <w:sz w:val="22"/>
          <w:szCs w:val="22"/>
        </w:rPr>
        <w:t>as part of the School Principal Questionnaire (see Attachment C) and Lead Health Education Teacher Questionnaire (see Attachment D)</w:t>
      </w:r>
      <w:r w:rsidRPr="00047359">
        <w:rPr>
          <w:sz w:val="22"/>
          <w:szCs w:val="22"/>
        </w:rPr>
        <w:t xml:space="preserve">. </w:t>
      </w:r>
      <w:r w:rsidRPr="00047359" w:rsidR="00632967">
        <w:rPr>
          <w:sz w:val="22"/>
          <w:szCs w:val="22"/>
        </w:rPr>
        <w:t>Although identifiable information (name, school address, etc.) will be collected</w:t>
      </w:r>
      <w:r w:rsidRPr="00047359" w:rsidR="00EF23ED">
        <w:rPr>
          <w:sz w:val="22"/>
          <w:szCs w:val="22"/>
        </w:rPr>
        <w:t xml:space="preserve"> from </w:t>
      </w:r>
      <w:r w:rsidRPr="00047359" w:rsidR="00632967">
        <w:rPr>
          <w:sz w:val="22"/>
          <w:szCs w:val="22"/>
        </w:rPr>
        <w:t>participants</w:t>
      </w:r>
      <w:r w:rsidRPr="00047359" w:rsidR="001E1317">
        <w:rPr>
          <w:sz w:val="22"/>
          <w:szCs w:val="22"/>
        </w:rPr>
        <w:t>,</w:t>
      </w:r>
      <w:r w:rsidRPr="00047359" w:rsidR="00632967">
        <w:rPr>
          <w:sz w:val="22"/>
          <w:szCs w:val="22"/>
        </w:rPr>
        <w:t xml:space="preserve"> </w:t>
      </w:r>
      <w:r w:rsidRPr="00047359" w:rsidR="00EF23ED">
        <w:rPr>
          <w:sz w:val="22"/>
          <w:szCs w:val="22"/>
        </w:rPr>
        <w:t>th</w:t>
      </w:r>
      <w:r w:rsidRPr="00047359" w:rsidR="001E1317">
        <w:rPr>
          <w:sz w:val="22"/>
          <w:szCs w:val="22"/>
        </w:rPr>
        <w:t>ey</w:t>
      </w:r>
      <w:r w:rsidRPr="00047359" w:rsidR="00EF23ED">
        <w:rPr>
          <w:sz w:val="22"/>
          <w:szCs w:val="22"/>
        </w:rPr>
        <w:t xml:space="preserve"> </w:t>
      </w:r>
      <w:r w:rsidRPr="00047359" w:rsidR="00632967">
        <w:rPr>
          <w:sz w:val="22"/>
          <w:szCs w:val="22"/>
        </w:rPr>
        <w:t>will</w:t>
      </w:r>
      <w:r w:rsidRPr="007946E7" w:rsidR="00632967">
        <w:rPr>
          <w:sz w:val="22"/>
          <w:szCs w:val="22"/>
        </w:rPr>
        <w:t xml:space="preserve"> be speaking from their roles as staff knowledgeable about school health policies and practices and will </w:t>
      </w:r>
      <w:r w:rsidR="00B7739A">
        <w:rPr>
          <w:sz w:val="22"/>
          <w:szCs w:val="22"/>
        </w:rPr>
        <w:t xml:space="preserve">not </w:t>
      </w:r>
      <w:r w:rsidRPr="007946E7" w:rsidR="00632967">
        <w:rPr>
          <w:sz w:val="22"/>
          <w:szCs w:val="22"/>
        </w:rPr>
        <w:t>be providing personal information about themselves</w:t>
      </w:r>
      <w:r w:rsidR="00B7739A">
        <w:rPr>
          <w:sz w:val="22"/>
          <w:szCs w:val="22"/>
        </w:rPr>
        <w:t xml:space="preserve"> </w:t>
      </w:r>
      <w:r w:rsidRPr="00C84931" w:rsidR="00B7739A">
        <w:rPr>
          <w:sz w:val="22"/>
          <w:szCs w:val="22"/>
        </w:rPr>
        <w:t>(other than name, title, and school name, district, and address)</w:t>
      </w:r>
      <w:r w:rsidRPr="00C84931" w:rsidR="00632967">
        <w:rPr>
          <w:sz w:val="22"/>
          <w:szCs w:val="22"/>
        </w:rPr>
        <w:t>.</w:t>
      </w:r>
      <w:r w:rsidRPr="007946E7" w:rsidR="00632967">
        <w:rPr>
          <w:sz w:val="22"/>
          <w:szCs w:val="22"/>
        </w:rPr>
        <w:t xml:space="preserve"> </w:t>
      </w:r>
      <w:r w:rsidRPr="007946E7" w:rsidR="00C22655">
        <w:rPr>
          <w:sz w:val="22"/>
          <w:szCs w:val="22"/>
        </w:rPr>
        <w:t>No identifying information will be retained in data records</w:t>
      </w:r>
      <w:r w:rsidR="007B1755">
        <w:rPr>
          <w:sz w:val="22"/>
          <w:szCs w:val="22"/>
        </w:rPr>
        <w:t xml:space="preserve"> or transmitted to the CDC</w:t>
      </w:r>
      <w:r w:rsidRPr="007946E7" w:rsidR="00C22655">
        <w:rPr>
          <w:sz w:val="22"/>
          <w:szCs w:val="22"/>
        </w:rPr>
        <w:t>.</w:t>
      </w:r>
      <w:r w:rsidR="00AD26EB">
        <w:rPr>
          <w:sz w:val="22"/>
          <w:szCs w:val="22"/>
        </w:rPr>
        <w:t xml:space="preserve"> </w:t>
      </w:r>
      <w:r w:rsidRPr="007946E7" w:rsidR="001B337F">
        <w:rPr>
          <w:sz w:val="22"/>
          <w:szCs w:val="22"/>
        </w:rPr>
        <w:t xml:space="preserve">Upon identification of a respondent by the </w:t>
      </w:r>
      <w:r w:rsidRPr="007946E7" w:rsidR="007A4871">
        <w:rPr>
          <w:sz w:val="22"/>
          <w:szCs w:val="22"/>
        </w:rPr>
        <w:t xml:space="preserve">school or </w:t>
      </w:r>
      <w:r w:rsidRPr="007946E7" w:rsidR="001B337F">
        <w:rPr>
          <w:sz w:val="22"/>
          <w:szCs w:val="22"/>
        </w:rPr>
        <w:t xml:space="preserve">district contact as the most knowledgeable respondent </w:t>
      </w:r>
      <w:proofErr w:type="gramStart"/>
      <w:r w:rsidRPr="007946E7" w:rsidR="001B337F">
        <w:rPr>
          <w:sz w:val="22"/>
          <w:szCs w:val="22"/>
        </w:rPr>
        <w:t>in a given</w:t>
      </w:r>
      <w:proofErr w:type="gramEnd"/>
      <w:r w:rsidRPr="007946E7" w:rsidR="001B337F">
        <w:rPr>
          <w:sz w:val="22"/>
          <w:szCs w:val="22"/>
        </w:rPr>
        <w:t xml:space="preserve"> content area, s</w:t>
      </w:r>
      <w:r w:rsidRPr="007946E7" w:rsidR="00632967">
        <w:rPr>
          <w:sz w:val="22"/>
          <w:szCs w:val="22"/>
        </w:rPr>
        <w:t>tudy participants are assigned a unique identification number.</w:t>
      </w:r>
      <w:r w:rsidR="00AD26EB">
        <w:rPr>
          <w:sz w:val="22"/>
          <w:szCs w:val="22"/>
        </w:rPr>
        <w:t xml:space="preserve"> </w:t>
      </w:r>
      <w:r w:rsidRPr="007946E7" w:rsidR="00C22655">
        <w:rPr>
          <w:sz w:val="22"/>
          <w:szCs w:val="22"/>
        </w:rPr>
        <w:t>The identifying information</w:t>
      </w:r>
      <w:r w:rsidRPr="007946E7" w:rsidR="007A4871">
        <w:rPr>
          <w:sz w:val="22"/>
          <w:szCs w:val="22"/>
        </w:rPr>
        <w:t xml:space="preserve"> </w:t>
      </w:r>
      <w:r w:rsidRPr="007946E7" w:rsidR="00C22655">
        <w:rPr>
          <w:sz w:val="22"/>
          <w:szCs w:val="22"/>
        </w:rPr>
        <w:t>used to dis</w:t>
      </w:r>
      <w:r w:rsidRPr="007946E7" w:rsidR="00632967">
        <w:rPr>
          <w:sz w:val="22"/>
          <w:szCs w:val="22"/>
        </w:rPr>
        <w:t xml:space="preserve">tribute study materials </w:t>
      </w:r>
      <w:r w:rsidRPr="007946E7" w:rsidR="00C22655">
        <w:rPr>
          <w:sz w:val="22"/>
          <w:szCs w:val="22"/>
        </w:rPr>
        <w:t xml:space="preserve">(i.e., respondents’ name, email address, mailing address, and phone number) </w:t>
      </w:r>
      <w:r w:rsidRPr="007946E7" w:rsidR="00E07699">
        <w:rPr>
          <w:sz w:val="22"/>
          <w:szCs w:val="22"/>
        </w:rPr>
        <w:t>will be</w:t>
      </w:r>
      <w:r w:rsidRPr="007946E7" w:rsidR="00C22655">
        <w:rPr>
          <w:sz w:val="22"/>
          <w:szCs w:val="22"/>
        </w:rPr>
        <w:t xml:space="preserve"> maintained in a file that is separate from the response data.</w:t>
      </w:r>
      <w:r w:rsidR="00AD26EB">
        <w:rPr>
          <w:sz w:val="22"/>
          <w:szCs w:val="22"/>
        </w:rPr>
        <w:t xml:space="preserve"> </w:t>
      </w:r>
      <w:r w:rsidRPr="007946E7" w:rsidR="00632967">
        <w:rPr>
          <w:sz w:val="22"/>
          <w:szCs w:val="22"/>
        </w:rPr>
        <w:t xml:space="preserve">The connection between respondents’ </w:t>
      </w:r>
      <w:r w:rsidR="00A20F32">
        <w:rPr>
          <w:sz w:val="22"/>
          <w:szCs w:val="22"/>
        </w:rPr>
        <w:t>unique identifier</w:t>
      </w:r>
      <w:r w:rsidRPr="007946E7" w:rsidR="00A20F32">
        <w:rPr>
          <w:sz w:val="22"/>
          <w:szCs w:val="22"/>
        </w:rPr>
        <w:t xml:space="preserve"> </w:t>
      </w:r>
      <w:r w:rsidRPr="007946E7" w:rsidR="00632967">
        <w:rPr>
          <w:sz w:val="22"/>
          <w:szCs w:val="22"/>
        </w:rPr>
        <w:t>and their identifying information is retained</w:t>
      </w:r>
      <w:r w:rsidR="00FE427F">
        <w:rPr>
          <w:sz w:val="22"/>
          <w:szCs w:val="22"/>
        </w:rPr>
        <w:t xml:space="preserve"> </w:t>
      </w:r>
      <w:r w:rsidR="00A20F32">
        <w:rPr>
          <w:sz w:val="22"/>
          <w:szCs w:val="22"/>
        </w:rPr>
        <w:t>until scanning and analyses are completed</w:t>
      </w:r>
      <w:r w:rsidRPr="007946E7" w:rsidR="00632967">
        <w:rPr>
          <w:sz w:val="22"/>
          <w:szCs w:val="22"/>
        </w:rPr>
        <w:t>.</w:t>
      </w:r>
      <w:r w:rsidR="00AD26EB">
        <w:rPr>
          <w:sz w:val="22"/>
          <w:szCs w:val="22"/>
        </w:rPr>
        <w:t xml:space="preserve"> </w:t>
      </w:r>
      <w:r w:rsidR="00A20F32">
        <w:rPr>
          <w:sz w:val="22"/>
          <w:szCs w:val="22"/>
        </w:rPr>
        <w:t xml:space="preserve">This information is only available to </w:t>
      </w:r>
      <w:r w:rsidR="00287AB7">
        <w:rPr>
          <w:sz w:val="22"/>
          <w:szCs w:val="22"/>
        </w:rPr>
        <w:t>project staff</w:t>
      </w:r>
      <w:r w:rsidRPr="007946E7" w:rsidR="00632967">
        <w:rPr>
          <w:sz w:val="22"/>
          <w:szCs w:val="22"/>
        </w:rPr>
        <w:t>.</w:t>
      </w:r>
      <w:r w:rsidR="00AD26EB">
        <w:rPr>
          <w:sz w:val="22"/>
          <w:szCs w:val="22"/>
        </w:rPr>
        <w:t xml:space="preserve"> </w:t>
      </w:r>
      <w:r w:rsidRPr="007946E7" w:rsidR="00632967">
        <w:rPr>
          <w:sz w:val="22"/>
          <w:szCs w:val="22"/>
        </w:rPr>
        <w:t>These data can only be linked with effort because they are stored in separate data files.</w:t>
      </w:r>
      <w:r w:rsidR="00AD26EB">
        <w:rPr>
          <w:sz w:val="22"/>
          <w:szCs w:val="22"/>
        </w:rPr>
        <w:t xml:space="preserve"> </w:t>
      </w:r>
    </w:p>
    <w:bookmarkEnd w:id="18"/>
    <w:p w:rsidRPr="007946E7" w:rsidR="00C22655" w:rsidP="00EB104F" w:rsidRDefault="00C22655" w14:paraId="5A275CC4" w14:textId="77777777">
      <w:pPr>
        <w:ind w:firstLine="720"/>
        <w:rPr>
          <w:sz w:val="22"/>
          <w:szCs w:val="22"/>
          <w:highlight w:val="green"/>
        </w:rPr>
      </w:pPr>
    </w:p>
    <w:p w:rsidRPr="007946E7" w:rsidR="00632967" w:rsidP="007946E7" w:rsidRDefault="00632967" w14:paraId="331EB8D3" w14:textId="754CD945">
      <w:pPr>
        <w:widowControl/>
        <w:tabs>
          <w:tab w:val="left" w:pos="720"/>
          <w:tab w:val="left" w:pos="2880"/>
        </w:tabs>
        <w:rPr>
          <w:sz w:val="22"/>
          <w:szCs w:val="22"/>
        </w:rPr>
      </w:pPr>
      <w:r w:rsidRPr="007946E7">
        <w:rPr>
          <w:sz w:val="22"/>
          <w:szCs w:val="22"/>
        </w:rPr>
        <w:t>The data collection contractor has several security procedures in place to safeguard data.</w:t>
      </w:r>
      <w:r w:rsidR="00AD26EB">
        <w:rPr>
          <w:sz w:val="22"/>
          <w:szCs w:val="22"/>
        </w:rPr>
        <w:t xml:space="preserve"> </w:t>
      </w:r>
      <w:r w:rsidRPr="007946E7">
        <w:rPr>
          <w:sz w:val="22"/>
          <w:szCs w:val="22"/>
        </w:rPr>
        <w:t>All electronic data will be stored on secured servers and will be accessible only to staff directly involved in the project.</w:t>
      </w:r>
      <w:r w:rsidR="00AD26EB">
        <w:rPr>
          <w:sz w:val="22"/>
          <w:szCs w:val="22"/>
        </w:rPr>
        <w:t xml:space="preserve"> </w:t>
      </w:r>
      <w:r w:rsidRPr="007946E7" w:rsidR="00C929B3">
        <w:rPr>
          <w:sz w:val="22"/>
          <w:szCs w:val="22"/>
        </w:rPr>
        <w:t>Also, a</w:t>
      </w:r>
      <w:r w:rsidRPr="007946E7">
        <w:rPr>
          <w:sz w:val="22"/>
          <w:szCs w:val="22"/>
        </w:rPr>
        <w:t xml:space="preserve">ll contractor staff involved with the project will be required to sign a </w:t>
      </w:r>
      <w:r w:rsidR="00184115">
        <w:rPr>
          <w:sz w:val="22"/>
          <w:szCs w:val="22"/>
        </w:rPr>
        <w:t>form related to safeguarding participant PII</w:t>
      </w:r>
      <w:r w:rsidRPr="007946E7">
        <w:rPr>
          <w:sz w:val="22"/>
          <w:szCs w:val="22"/>
        </w:rPr>
        <w:t>, which is a statement of personal commitment to guard the of data.</w:t>
      </w:r>
      <w:r w:rsidR="00AD26EB">
        <w:rPr>
          <w:sz w:val="22"/>
          <w:szCs w:val="22"/>
        </w:rPr>
        <w:t xml:space="preserve"> </w:t>
      </w:r>
    </w:p>
    <w:p w:rsidRPr="007946E7" w:rsidR="0027143B" w:rsidP="008C6922" w:rsidRDefault="0027143B" w14:paraId="3CA54687" w14:textId="77777777">
      <w:pPr>
        <w:rPr>
          <w:sz w:val="22"/>
          <w:szCs w:val="22"/>
        </w:rPr>
      </w:pPr>
    </w:p>
    <w:p w:rsidRPr="007946E7" w:rsidR="00EB104F" w:rsidP="007946E7" w:rsidRDefault="00EB104F" w14:paraId="2B8F74A6" w14:textId="14412980">
      <w:pPr>
        <w:rPr>
          <w:sz w:val="22"/>
          <w:szCs w:val="22"/>
        </w:rPr>
      </w:pPr>
      <w:r w:rsidRPr="007946E7">
        <w:rPr>
          <w:sz w:val="22"/>
          <w:szCs w:val="22"/>
        </w:rPr>
        <w:t>Provision of the information provided by respondents is voluntary and sample</w:t>
      </w:r>
      <w:r w:rsidR="0024660F">
        <w:rPr>
          <w:sz w:val="22"/>
          <w:szCs w:val="22"/>
        </w:rPr>
        <w:t>d</w:t>
      </w:r>
      <w:r w:rsidRPr="007946E7">
        <w:rPr>
          <w:sz w:val="22"/>
          <w:szCs w:val="22"/>
        </w:rPr>
        <w:t xml:space="preserve"> </w:t>
      </w:r>
      <w:r w:rsidR="0024660F">
        <w:rPr>
          <w:sz w:val="22"/>
          <w:szCs w:val="22"/>
        </w:rPr>
        <w:t>participants</w:t>
      </w:r>
      <w:r w:rsidRPr="007946E7" w:rsidR="0024660F">
        <w:rPr>
          <w:sz w:val="22"/>
          <w:szCs w:val="22"/>
        </w:rPr>
        <w:t xml:space="preserve"> </w:t>
      </w:r>
      <w:r w:rsidRPr="007946E7">
        <w:rPr>
          <w:sz w:val="22"/>
          <w:szCs w:val="22"/>
        </w:rPr>
        <w:t xml:space="preserve">will be assured that there is no penalty if they decide not to respond, either to the information collection as a whole or to any </w:t>
      </w:r>
      <w:proofErr w:type="gramStart"/>
      <w:r w:rsidRPr="007946E7">
        <w:rPr>
          <w:sz w:val="22"/>
          <w:szCs w:val="22"/>
        </w:rPr>
        <w:t>particular question</w:t>
      </w:r>
      <w:proofErr w:type="gramEnd"/>
      <w:r w:rsidRPr="007946E7">
        <w:rPr>
          <w:sz w:val="22"/>
          <w:szCs w:val="22"/>
        </w:rPr>
        <w:t>.</w:t>
      </w:r>
      <w:r w:rsidR="00AD26EB">
        <w:rPr>
          <w:sz w:val="22"/>
          <w:szCs w:val="22"/>
        </w:rPr>
        <w:t xml:space="preserve"> </w:t>
      </w:r>
      <w:r w:rsidRPr="007946E7">
        <w:rPr>
          <w:sz w:val="22"/>
          <w:szCs w:val="22"/>
        </w:rPr>
        <w:t>All</w:t>
      </w:r>
      <w:r w:rsidRPr="007946E7" w:rsidR="00BC04F9">
        <w:rPr>
          <w:sz w:val="22"/>
          <w:szCs w:val="22"/>
        </w:rPr>
        <w:t xml:space="preserve"> </w:t>
      </w:r>
      <w:r w:rsidRPr="007946E7" w:rsidR="00E07699">
        <w:rPr>
          <w:sz w:val="22"/>
          <w:szCs w:val="22"/>
        </w:rPr>
        <w:t xml:space="preserve">principal and lead health </w:t>
      </w:r>
      <w:r w:rsidR="00A20F32">
        <w:rPr>
          <w:sz w:val="22"/>
          <w:szCs w:val="22"/>
        </w:rPr>
        <w:t>education teacher</w:t>
      </w:r>
      <w:r w:rsidRPr="007946E7" w:rsidR="00A20F32">
        <w:rPr>
          <w:sz w:val="22"/>
          <w:szCs w:val="22"/>
        </w:rPr>
        <w:t xml:space="preserve"> </w:t>
      </w:r>
      <w:r w:rsidRPr="007946E7">
        <w:rPr>
          <w:sz w:val="22"/>
          <w:szCs w:val="22"/>
        </w:rPr>
        <w:t xml:space="preserve">respondents will be informed that </w:t>
      </w:r>
      <w:r w:rsidRPr="007946E7" w:rsidR="00BC04F9">
        <w:rPr>
          <w:sz w:val="22"/>
          <w:szCs w:val="22"/>
        </w:rPr>
        <w:t xml:space="preserve">security </w:t>
      </w:r>
      <w:r w:rsidRPr="007946E7">
        <w:rPr>
          <w:sz w:val="22"/>
          <w:szCs w:val="22"/>
        </w:rPr>
        <w:t xml:space="preserve">will be </w:t>
      </w:r>
      <w:r w:rsidRPr="004420E7">
        <w:rPr>
          <w:sz w:val="22"/>
          <w:szCs w:val="22"/>
        </w:rPr>
        <w:t xml:space="preserve">maintained throughout data collection (to the extent permitted by law), all data will be closely </w:t>
      </w:r>
      <w:r w:rsidRPr="004420E7" w:rsidR="00A32E69">
        <w:rPr>
          <w:sz w:val="22"/>
          <w:szCs w:val="22"/>
        </w:rPr>
        <w:t>safeguarded</w:t>
      </w:r>
      <w:r w:rsidRPr="004420E7">
        <w:rPr>
          <w:sz w:val="22"/>
          <w:szCs w:val="22"/>
        </w:rPr>
        <w:t xml:space="preserve"> and no institutional or individual identifiers will be used in study reports; only aggregated data will be reported.</w:t>
      </w:r>
    </w:p>
    <w:p w:rsidR="00EB104F" w:rsidP="00EB104F" w:rsidRDefault="00EB104F" w14:paraId="397AC259" w14:textId="77777777"/>
    <w:p w:rsidRPr="00DB012E" w:rsidR="00EB104F" w:rsidP="00AD26EB" w:rsidRDefault="00EB104F" w14:paraId="357E9318" w14:textId="1D6A719D">
      <w:pPr>
        <w:pStyle w:val="ExhibitText"/>
        <w:ind w:left="630" w:hanging="630"/>
        <w:outlineLvl w:val="1"/>
        <w:rPr>
          <w:b/>
          <w:sz w:val="22"/>
          <w:szCs w:val="22"/>
        </w:rPr>
      </w:pPr>
      <w:bookmarkStart w:name="_Toc344295578" w:id="19"/>
      <w:r w:rsidRPr="00DB012E">
        <w:rPr>
          <w:b/>
          <w:sz w:val="22"/>
          <w:szCs w:val="22"/>
        </w:rPr>
        <w:t>A.11</w:t>
      </w:r>
      <w:r w:rsidRPr="00DB012E">
        <w:rPr>
          <w:b/>
          <w:sz w:val="22"/>
          <w:szCs w:val="22"/>
        </w:rPr>
        <w:tab/>
      </w:r>
      <w:r w:rsidR="00F73447">
        <w:rPr>
          <w:b/>
          <w:sz w:val="22"/>
          <w:szCs w:val="22"/>
        </w:rPr>
        <w:t xml:space="preserve">INSTITUTIONAL REVIEW BOARD (IRB) AND </w:t>
      </w:r>
      <w:r w:rsidRPr="00DB012E">
        <w:rPr>
          <w:b/>
          <w:sz w:val="22"/>
          <w:szCs w:val="22"/>
        </w:rPr>
        <w:t>JUSTIFICATION FOR SENSITIVE QUESTIONS</w:t>
      </w:r>
      <w:bookmarkEnd w:id="19"/>
    </w:p>
    <w:p w:rsidR="00EB104F" w:rsidP="00EB104F" w:rsidRDefault="00EB104F" w14:paraId="53DDD37D" w14:textId="77777777"/>
    <w:p w:rsidRPr="004068FD" w:rsidR="00F73447" w:rsidP="007946E7" w:rsidRDefault="00F73447" w14:paraId="3377A24A" w14:textId="77777777">
      <w:pPr>
        <w:rPr>
          <w:b/>
          <w:sz w:val="22"/>
          <w:szCs w:val="22"/>
        </w:rPr>
      </w:pPr>
      <w:r w:rsidRPr="004068FD">
        <w:rPr>
          <w:b/>
          <w:sz w:val="22"/>
          <w:szCs w:val="22"/>
        </w:rPr>
        <w:t>IRB Approval</w:t>
      </w:r>
    </w:p>
    <w:p w:rsidR="00F73447" w:rsidP="00F73447" w:rsidRDefault="00F73447" w14:paraId="48614D2C" w14:textId="77777777">
      <w:pPr>
        <w:rPr>
          <w:sz w:val="22"/>
          <w:szCs w:val="22"/>
        </w:rPr>
      </w:pPr>
    </w:p>
    <w:p w:rsidRPr="007946E7" w:rsidR="00F73447" w:rsidP="00F73447" w:rsidRDefault="00F73447" w14:paraId="58D009BE" w14:textId="4AFCF218">
      <w:pPr>
        <w:rPr>
          <w:sz w:val="22"/>
          <w:szCs w:val="22"/>
        </w:rPr>
      </w:pPr>
      <w:r w:rsidRPr="00421A33">
        <w:rPr>
          <w:sz w:val="22"/>
          <w:szCs w:val="22"/>
        </w:rPr>
        <w:t xml:space="preserve">This data collection has received IRB approval from the Westat </w:t>
      </w:r>
      <w:proofErr w:type="gramStart"/>
      <w:r w:rsidRPr="00421A33">
        <w:rPr>
          <w:sz w:val="22"/>
          <w:szCs w:val="22"/>
        </w:rPr>
        <w:t>IRB</w:t>
      </w:r>
      <w:proofErr w:type="gramEnd"/>
      <w:r w:rsidRPr="00421A33">
        <w:rPr>
          <w:sz w:val="22"/>
          <w:szCs w:val="22"/>
        </w:rPr>
        <w:t xml:space="preserve"> and </w:t>
      </w:r>
      <w:r w:rsidRPr="00421A33" w:rsidR="003A2298">
        <w:rPr>
          <w:sz w:val="22"/>
          <w:szCs w:val="22"/>
        </w:rPr>
        <w:t>the Centers for Disease Control and Prevention</w:t>
      </w:r>
      <w:r w:rsidRPr="00421A33" w:rsidDel="003A2298" w:rsidR="003A2298">
        <w:rPr>
          <w:sz w:val="22"/>
          <w:szCs w:val="22"/>
        </w:rPr>
        <w:t xml:space="preserve"> </w:t>
      </w:r>
      <w:r w:rsidRPr="00421A33">
        <w:rPr>
          <w:sz w:val="22"/>
          <w:szCs w:val="22"/>
        </w:rPr>
        <w:t>recognize</w:t>
      </w:r>
      <w:r w:rsidRPr="00421A33" w:rsidR="0042062B">
        <w:rPr>
          <w:sz w:val="22"/>
          <w:szCs w:val="22"/>
        </w:rPr>
        <w:t>s</w:t>
      </w:r>
      <w:r w:rsidRPr="00421A33">
        <w:rPr>
          <w:sz w:val="22"/>
          <w:szCs w:val="22"/>
        </w:rPr>
        <w:t xml:space="preserve"> the Westat IRB </w:t>
      </w:r>
      <w:r w:rsidRPr="00421A33" w:rsidR="004068FD">
        <w:rPr>
          <w:sz w:val="22"/>
          <w:szCs w:val="22"/>
        </w:rPr>
        <w:t>approval</w:t>
      </w:r>
      <w:r w:rsidRPr="00421A33">
        <w:rPr>
          <w:sz w:val="22"/>
          <w:szCs w:val="22"/>
        </w:rPr>
        <w:t xml:space="preserve">. The current IRB approval letter is in </w:t>
      </w:r>
      <w:r w:rsidRPr="000E4C60" w:rsidR="002C3725">
        <w:rPr>
          <w:sz w:val="22"/>
          <w:szCs w:val="22"/>
        </w:rPr>
        <w:t>A</w:t>
      </w:r>
      <w:r w:rsidR="002C3725">
        <w:rPr>
          <w:sz w:val="22"/>
          <w:szCs w:val="22"/>
        </w:rPr>
        <w:t>ttachment</w:t>
      </w:r>
      <w:r w:rsidRPr="000E4C60" w:rsidR="002C3725">
        <w:rPr>
          <w:sz w:val="22"/>
          <w:szCs w:val="22"/>
        </w:rPr>
        <w:t xml:space="preserve"> </w:t>
      </w:r>
      <w:r w:rsidR="00504AD6">
        <w:rPr>
          <w:sz w:val="22"/>
          <w:szCs w:val="22"/>
        </w:rPr>
        <w:t>U</w:t>
      </w:r>
      <w:r w:rsidRPr="00421A33" w:rsidR="00244C51">
        <w:rPr>
          <w:sz w:val="22"/>
          <w:szCs w:val="22"/>
        </w:rPr>
        <w:t>.</w:t>
      </w:r>
      <w:r w:rsidR="00AD26EB">
        <w:rPr>
          <w:sz w:val="22"/>
          <w:szCs w:val="22"/>
        </w:rPr>
        <w:t xml:space="preserve"> </w:t>
      </w:r>
    </w:p>
    <w:p w:rsidR="00F73447" w:rsidP="007946E7" w:rsidRDefault="00F73447" w14:paraId="18877DF4" w14:textId="77777777">
      <w:pPr>
        <w:rPr>
          <w:sz w:val="22"/>
          <w:szCs w:val="22"/>
        </w:rPr>
      </w:pPr>
    </w:p>
    <w:p w:rsidRPr="004068FD" w:rsidR="00F73447" w:rsidP="007946E7" w:rsidRDefault="00F73447" w14:paraId="3C35AB6A" w14:textId="77777777">
      <w:pPr>
        <w:rPr>
          <w:b/>
          <w:sz w:val="22"/>
          <w:szCs w:val="22"/>
        </w:rPr>
      </w:pPr>
      <w:r w:rsidRPr="004068FD">
        <w:rPr>
          <w:b/>
          <w:sz w:val="22"/>
          <w:szCs w:val="22"/>
        </w:rPr>
        <w:t>Sensitive Questions</w:t>
      </w:r>
    </w:p>
    <w:p w:rsidR="00F73447" w:rsidP="007946E7" w:rsidRDefault="00F73447" w14:paraId="3302B4F0" w14:textId="77777777">
      <w:pPr>
        <w:rPr>
          <w:sz w:val="22"/>
          <w:szCs w:val="22"/>
        </w:rPr>
      </w:pPr>
    </w:p>
    <w:p w:rsidRPr="007946E7" w:rsidR="00EB104F" w:rsidP="007946E7" w:rsidRDefault="00EB104F" w14:paraId="00073F1A" w14:textId="61F19D4C">
      <w:pPr>
        <w:rPr>
          <w:sz w:val="22"/>
          <w:szCs w:val="22"/>
        </w:rPr>
      </w:pPr>
      <w:r w:rsidRPr="007946E7">
        <w:rPr>
          <w:sz w:val="22"/>
          <w:szCs w:val="22"/>
        </w:rPr>
        <w:t xml:space="preserve">The </w:t>
      </w:r>
      <w:r w:rsidRPr="00B7739A">
        <w:rPr>
          <w:sz w:val="22"/>
          <w:szCs w:val="22"/>
        </w:rPr>
        <w:t>questionnaires do not ask any personally invasive or personally sensitive questions.</w:t>
      </w:r>
      <w:r w:rsidR="00AD26EB">
        <w:rPr>
          <w:sz w:val="22"/>
          <w:szCs w:val="22"/>
        </w:rPr>
        <w:t xml:space="preserve"> </w:t>
      </w:r>
      <w:r w:rsidRPr="00B7739A">
        <w:rPr>
          <w:sz w:val="22"/>
          <w:szCs w:val="22"/>
        </w:rPr>
        <w:t>The questionnaires do not ask about gender, race, or ethnicity of respondents because those characteristics are not relevant to the study.</w:t>
      </w:r>
      <w:r w:rsidR="00AD26EB">
        <w:rPr>
          <w:sz w:val="22"/>
          <w:szCs w:val="22"/>
        </w:rPr>
        <w:t xml:space="preserve"> </w:t>
      </w:r>
      <w:r w:rsidRPr="007946E7" w:rsidR="00CA163C">
        <w:rPr>
          <w:sz w:val="22"/>
          <w:szCs w:val="22"/>
        </w:rPr>
        <w:t>The data collection pertains to the organizations represented by respondents, not about respondents themselves.</w:t>
      </w:r>
      <w:r w:rsidR="00AD26EB">
        <w:rPr>
          <w:sz w:val="22"/>
          <w:szCs w:val="22"/>
        </w:rPr>
        <w:t xml:space="preserve"> </w:t>
      </w:r>
      <w:r w:rsidRPr="007946E7" w:rsidR="00CA163C">
        <w:rPr>
          <w:sz w:val="22"/>
          <w:szCs w:val="22"/>
        </w:rPr>
        <w:t xml:space="preserve">Participants will be speaking from their roles as staff knowledgeable about school health policies and practices and will </w:t>
      </w:r>
      <w:r w:rsidR="00B7739A">
        <w:rPr>
          <w:sz w:val="22"/>
          <w:szCs w:val="22"/>
        </w:rPr>
        <w:t xml:space="preserve">not </w:t>
      </w:r>
      <w:r w:rsidRPr="007946E7" w:rsidR="00CA163C">
        <w:rPr>
          <w:sz w:val="22"/>
          <w:szCs w:val="22"/>
        </w:rPr>
        <w:t>be providing personal information about themselves.</w:t>
      </w:r>
    </w:p>
    <w:p w:rsidRPr="007946E7" w:rsidR="00EB104F" w:rsidP="00EB104F" w:rsidRDefault="00EB104F" w14:paraId="310C7002" w14:textId="77777777">
      <w:pPr>
        <w:ind w:firstLine="720"/>
        <w:rPr>
          <w:sz w:val="22"/>
          <w:szCs w:val="22"/>
        </w:rPr>
      </w:pPr>
    </w:p>
    <w:p w:rsidRPr="00DB012E" w:rsidR="00EB104F" w:rsidP="00AD26EB" w:rsidRDefault="00EB104F" w14:paraId="4531D2F8" w14:textId="77777777">
      <w:pPr>
        <w:pStyle w:val="ExhibitText"/>
        <w:ind w:left="630" w:hanging="630"/>
        <w:outlineLvl w:val="1"/>
        <w:rPr>
          <w:b/>
          <w:sz w:val="22"/>
          <w:szCs w:val="22"/>
        </w:rPr>
      </w:pPr>
      <w:bookmarkStart w:name="_Toc344295579" w:id="20"/>
      <w:r w:rsidRPr="00DB012E">
        <w:rPr>
          <w:b/>
          <w:sz w:val="22"/>
          <w:szCs w:val="22"/>
        </w:rPr>
        <w:t>A.12</w:t>
      </w:r>
      <w:r w:rsidRPr="00DB012E">
        <w:rPr>
          <w:b/>
          <w:sz w:val="22"/>
          <w:szCs w:val="22"/>
        </w:rPr>
        <w:tab/>
        <w:t>ESTIMATES OF ANNUALIZED BURDEN HOURS AND COSTS</w:t>
      </w:r>
      <w:bookmarkEnd w:id="20"/>
    </w:p>
    <w:p w:rsidR="00EB104F" w:rsidP="00EB104F" w:rsidRDefault="00EB104F" w14:paraId="23775E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452BCB" w:rsidP="00452BCB" w:rsidRDefault="008247EE" w14:paraId="35655F6F" w14:textId="337BA067">
      <w:pPr>
        <w:pStyle w:val="SL-FlLftSgl"/>
        <w:widowControl w:val="0"/>
        <w:spacing w:after="120" w:line="240" w:lineRule="auto"/>
        <w:jc w:val="left"/>
        <w:rPr>
          <w:spacing w:val="-1"/>
        </w:rPr>
      </w:pPr>
      <w:bookmarkStart w:name="_Toc344295580" w:id="21"/>
      <w:r>
        <w:rPr>
          <w:spacing w:val="-1"/>
        </w:rPr>
        <w:t>A. Exhibit 1 below shows estimated burden hours for both preliminary activities and data collection activities.</w:t>
      </w:r>
      <w:r w:rsidR="00AD26EB">
        <w:rPr>
          <w:spacing w:val="-1"/>
        </w:rPr>
        <w:t xml:space="preserve"> </w:t>
      </w:r>
      <w:r w:rsidR="00452BCB">
        <w:rPr>
          <w:spacing w:val="-1"/>
        </w:rPr>
        <w:t>Preliminary</w:t>
      </w:r>
      <w:r w:rsidRPr="001024AB" w:rsidR="00452BCB">
        <w:rPr>
          <w:spacing w:val="-1"/>
        </w:rPr>
        <w:t xml:space="preserve"> activities</w:t>
      </w:r>
      <w:r w:rsidR="00452BCB">
        <w:rPr>
          <w:spacing w:val="-1"/>
        </w:rPr>
        <w:t xml:space="preserve"> include</w:t>
      </w:r>
      <w:r w:rsidRPr="001024AB" w:rsidR="00452BCB">
        <w:rPr>
          <w:spacing w:val="-1"/>
        </w:rPr>
        <w:t xml:space="preserve">: (a) </w:t>
      </w:r>
      <w:r w:rsidRPr="008D327D" w:rsidR="00452BCB">
        <w:rPr>
          <w:spacing w:val="-1"/>
        </w:rPr>
        <w:t>contacting and seeking research approvals from public school districts with an established research approval process (“special contact districts”), (b) notifying the superintendent of districts with sampled schools about the study, and (c) notifying sampled schools of their selection for the survey</w:t>
      </w:r>
      <w:r w:rsidRPr="001024AB" w:rsidR="00452BCB">
        <w:rPr>
          <w:spacing w:val="-1"/>
        </w:rPr>
        <w:t>.</w:t>
      </w:r>
      <w:r w:rsidR="00452BCB">
        <w:rPr>
          <w:spacing w:val="-1"/>
        </w:rPr>
        <w:t xml:space="preserve"> </w:t>
      </w:r>
      <w:r w:rsidRPr="001024AB" w:rsidR="00184115">
        <w:rPr>
          <w:spacing w:val="-1"/>
        </w:rPr>
        <w:t>The special contact districts are those known to require completion of a research application before they will allow schools under their jurisdiction to participate in a study.</w:t>
      </w:r>
    </w:p>
    <w:p w:rsidR="00184115" w:rsidP="00452BCB" w:rsidRDefault="00184115" w14:paraId="6EF1DA05" w14:textId="77777777">
      <w:pPr>
        <w:pStyle w:val="SL-FlLftSgl"/>
        <w:widowControl w:val="0"/>
        <w:spacing w:after="120" w:line="240" w:lineRule="auto"/>
        <w:jc w:val="left"/>
      </w:pPr>
    </w:p>
    <w:p w:rsidR="00452BCB" w:rsidP="00452BCB" w:rsidRDefault="00452BCB" w14:paraId="78117544" w14:textId="6752CF91">
      <w:pPr>
        <w:pStyle w:val="SL-FlLftSgl"/>
        <w:widowControl w:val="0"/>
        <w:spacing w:after="120" w:line="240" w:lineRule="auto"/>
        <w:jc w:val="left"/>
      </w:pPr>
      <w:r>
        <w:t>The notification letter to district superintendents is not included in the burden estimates because the superintendents are not asked to take any action upon receiving the letter.</w:t>
      </w:r>
    </w:p>
    <w:p w:rsidR="00FA5A19" w:rsidP="00FA5A19" w:rsidRDefault="00FA5A19" w14:paraId="3D879374" w14:textId="62E73F62">
      <w:pPr>
        <w:widowControl/>
        <w:autoSpaceDE/>
        <w:autoSpaceDN/>
        <w:adjustRightInd/>
      </w:pPr>
      <w:r w:rsidRPr="0071243D">
        <w:rPr>
          <w:sz w:val="22"/>
          <w:szCs w:val="20"/>
        </w:rPr>
        <w:t xml:space="preserve">In this submission, we are requesting approval to conduct the School Principal Questionnaire at Time 1 and Time 2, and the Lead Health </w:t>
      </w:r>
      <w:r>
        <w:rPr>
          <w:sz w:val="22"/>
          <w:szCs w:val="20"/>
        </w:rPr>
        <w:t>Education Teacher</w:t>
      </w:r>
      <w:r w:rsidRPr="0071243D">
        <w:rPr>
          <w:sz w:val="22"/>
          <w:szCs w:val="20"/>
        </w:rPr>
        <w:t xml:space="preserve"> Questionnaire at Time 1 and Time 2.</w:t>
      </w:r>
      <w:r w:rsidR="00AD26EB">
        <w:rPr>
          <w:sz w:val="22"/>
          <w:szCs w:val="20"/>
        </w:rPr>
        <w:t xml:space="preserve"> </w:t>
      </w:r>
      <w:r w:rsidR="008247EE">
        <w:rPr>
          <w:sz w:val="22"/>
          <w:szCs w:val="20"/>
        </w:rPr>
        <w:t xml:space="preserve">As described </w:t>
      </w:r>
      <w:r w:rsidRPr="0038351F" w:rsidR="008247EE">
        <w:rPr>
          <w:sz w:val="22"/>
          <w:szCs w:val="20"/>
        </w:rPr>
        <w:t>in Section A.5, Time 2 questionnaires include an additional 5 questions for quality control purposes.</w:t>
      </w:r>
      <w:r w:rsidR="00AD26EB">
        <w:rPr>
          <w:sz w:val="22"/>
          <w:szCs w:val="20"/>
        </w:rPr>
        <w:t xml:space="preserve"> </w:t>
      </w:r>
      <w:r w:rsidRPr="0038351F" w:rsidR="0038351F">
        <w:rPr>
          <w:sz w:val="22"/>
          <w:szCs w:val="20"/>
        </w:rPr>
        <w:t xml:space="preserve">Based on </w:t>
      </w:r>
      <w:r w:rsidR="00542B00">
        <w:rPr>
          <w:sz w:val="22"/>
          <w:szCs w:val="20"/>
        </w:rPr>
        <w:t xml:space="preserve">school </w:t>
      </w:r>
      <w:r w:rsidRPr="0038351F" w:rsidR="0038351F">
        <w:rPr>
          <w:sz w:val="22"/>
          <w:szCs w:val="20"/>
        </w:rPr>
        <w:t>district experience administering the School Health Profiles School Principal Questionnaire and Lead Health Education Teacher Questionnaire, the Time 1 surveys are estimated to take 45 minutes to complete</w:t>
      </w:r>
      <w:r w:rsidRPr="0038351F" w:rsidR="008247EE">
        <w:rPr>
          <w:sz w:val="22"/>
          <w:szCs w:val="20"/>
        </w:rPr>
        <w:t>.</w:t>
      </w:r>
      <w:r w:rsidR="008247EE">
        <w:rPr>
          <w:sz w:val="22"/>
          <w:szCs w:val="20"/>
        </w:rPr>
        <w:t xml:space="preserve"> The Time 2 surveys are estimated to take </w:t>
      </w:r>
      <w:r w:rsidR="00CE51D3">
        <w:rPr>
          <w:sz w:val="22"/>
          <w:szCs w:val="20"/>
        </w:rPr>
        <w:t>4</w:t>
      </w:r>
      <w:r w:rsidR="008247EE">
        <w:rPr>
          <w:sz w:val="22"/>
          <w:szCs w:val="20"/>
        </w:rPr>
        <w:t>5 minutes</w:t>
      </w:r>
      <w:r w:rsidR="00CE51D3">
        <w:rPr>
          <w:sz w:val="22"/>
          <w:szCs w:val="20"/>
        </w:rPr>
        <w:t xml:space="preserve"> to complete with an additional 5 minutes to complete the supplemental questions </w:t>
      </w:r>
      <w:r w:rsidR="0038351F">
        <w:rPr>
          <w:sz w:val="22"/>
          <w:szCs w:val="20"/>
        </w:rPr>
        <w:t>added to</w:t>
      </w:r>
      <w:r w:rsidR="008247EE">
        <w:rPr>
          <w:sz w:val="22"/>
          <w:szCs w:val="20"/>
        </w:rPr>
        <w:t xml:space="preserve"> the end of the survey.</w:t>
      </w:r>
    </w:p>
    <w:p w:rsidR="00BA6931" w:rsidRDefault="00BA6931" w14:paraId="2BBEA7F6" w14:textId="77777777">
      <w:pPr>
        <w:widowControl/>
        <w:autoSpaceDE/>
        <w:autoSpaceDN/>
        <w:adjustRightInd/>
        <w:rPr>
          <w:rFonts w:eastAsiaTheme="majorEastAsia"/>
          <w:b/>
          <w:bCs/>
          <w:color w:val="000000" w:themeColor="text1"/>
          <w:sz w:val="22"/>
          <w:szCs w:val="22"/>
        </w:rPr>
      </w:pPr>
      <w:r>
        <w:rPr>
          <w:color w:val="000000" w:themeColor="text1"/>
          <w:sz w:val="22"/>
          <w:szCs w:val="22"/>
        </w:rPr>
        <w:br w:type="page"/>
      </w:r>
    </w:p>
    <w:p w:rsidRPr="00AD26EB" w:rsidR="00EE5139" w:rsidP="001853D5" w:rsidRDefault="006C4DD2" w14:paraId="5B325E84" w14:textId="419C7EF1">
      <w:pPr>
        <w:pStyle w:val="Heading3"/>
        <w:rPr>
          <w:rFonts w:ascii="Times New Roman" w:hAnsi="Times New Roman" w:cs="Times New Roman"/>
          <w:color w:val="000000" w:themeColor="text1"/>
          <w:sz w:val="22"/>
          <w:szCs w:val="22"/>
        </w:rPr>
      </w:pPr>
      <w:r w:rsidRPr="00AD26EB">
        <w:rPr>
          <w:rFonts w:ascii="Times New Roman" w:hAnsi="Times New Roman" w:cs="Times New Roman"/>
          <w:color w:val="000000" w:themeColor="text1"/>
          <w:sz w:val="22"/>
          <w:szCs w:val="22"/>
        </w:rPr>
        <w:lastRenderedPageBreak/>
        <w:t>Exhibit 1.</w:t>
      </w:r>
      <w:r w:rsidR="00AD26EB">
        <w:rPr>
          <w:rFonts w:ascii="Times New Roman" w:hAnsi="Times New Roman" w:cs="Times New Roman"/>
          <w:color w:val="000000" w:themeColor="text1"/>
          <w:sz w:val="22"/>
          <w:szCs w:val="22"/>
        </w:rPr>
        <w:t xml:space="preserve"> </w:t>
      </w:r>
      <w:r w:rsidRPr="00AD26EB" w:rsidR="00EE5139">
        <w:rPr>
          <w:rFonts w:ascii="Times New Roman" w:hAnsi="Times New Roman" w:cs="Times New Roman"/>
          <w:color w:val="000000" w:themeColor="text1"/>
          <w:sz w:val="22"/>
          <w:szCs w:val="22"/>
        </w:rPr>
        <w:t>Estimated Annualized Burden Hour</w:t>
      </w:r>
      <w:r w:rsidRPr="00AD26EB" w:rsidR="00EB104F">
        <w:rPr>
          <w:rFonts w:ascii="Times New Roman" w:hAnsi="Times New Roman" w:cs="Times New Roman"/>
          <w:color w:val="000000" w:themeColor="text1"/>
          <w:sz w:val="22"/>
          <w:szCs w:val="22"/>
        </w:rPr>
        <w:t>s</w:t>
      </w:r>
      <w:bookmarkEnd w:id="21"/>
    </w:p>
    <w:p w:rsidR="00EE5139" w:rsidP="00EE5139" w:rsidRDefault="00EE5139" w14:paraId="51490760" w14:textId="70DAC78B"/>
    <w:tbl>
      <w:tblPr>
        <w:tblStyle w:val="TableGrid"/>
        <w:tblW w:w="9355" w:type="dxa"/>
        <w:tblLook w:val="04A0" w:firstRow="1" w:lastRow="0" w:firstColumn="1" w:lastColumn="0" w:noHBand="0" w:noVBand="1"/>
      </w:tblPr>
      <w:tblGrid>
        <w:gridCol w:w="1795"/>
        <w:gridCol w:w="2348"/>
        <w:gridCol w:w="1574"/>
        <w:gridCol w:w="1228"/>
        <w:gridCol w:w="1150"/>
        <w:gridCol w:w="1260"/>
      </w:tblGrid>
      <w:tr w:rsidRPr="000E4BC8" w:rsidR="00B925FF" w:rsidTr="00AD26EB" w14:paraId="367EACED" w14:textId="77777777">
        <w:tc>
          <w:tcPr>
            <w:tcW w:w="1795" w:type="dxa"/>
            <w:vAlign w:val="bottom"/>
          </w:tcPr>
          <w:p w:rsidRPr="00B925FF" w:rsidR="00B925FF" w:rsidDel="004420E7" w:rsidP="00AD26EB" w:rsidRDefault="00B925FF" w14:paraId="01703093" w14:textId="77777777">
            <w:pPr>
              <w:rPr>
                <w:b/>
                <w:sz w:val="20"/>
                <w:szCs w:val="20"/>
              </w:rPr>
            </w:pPr>
            <w:r w:rsidRPr="00B925FF">
              <w:rPr>
                <w:b/>
                <w:sz w:val="20"/>
                <w:szCs w:val="20"/>
              </w:rPr>
              <w:t>Respondent</w:t>
            </w:r>
          </w:p>
        </w:tc>
        <w:tc>
          <w:tcPr>
            <w:tcW w:w="2348" w:type="dxa"/>
            <w:vAlign w:val="bottom"/>
          </w:tcPr>
          <w:p w:rsidRPr="00B925FF" w:rsidR="00B925FF" w:rsidP="00AD26EB" w:rsidRDefault="00B925FF" w14:paraId="480418F8" w14:textId="77777777">
            <w:pPr>
              <w:rPr>
                <w:b/>
                <w:sz w:val="20"/>
                <w:szCs w:val="20"/>
              </w:rPr>
            </w:pPr>
            <w:r w:rsidRPr="00B925FF">
              <w:rPr>
                <w:b/>
                <w:sz w:val="20"/>
                <w:szCs w:val="20"/>
              </w:rPr>
              <w:t>Form Name</w:t>
            </w:r>
          </w:p>
        </w:tc>
        <w:tc>
          <w:tcPr>
            <w:tcW w:w="1574" w:type="dxa"/>
            <w:vAlign w:val="bottom"/>
          </w:tcPr>
          <w:p w:rsidRPr="00B925FF" w:rsidR="00B925FF" w:rsidP="00AD26EB" w:rsidRDefault="00B925FF" w14:paraId="603ECA52" w14:textId="77777777">
            <w:pPr>
              <w:jc w:val="right"/>
              <w:rPr>
                <w:b/>
                <w:sz w:val="20"/>
                <w:szCs w:val="20"/>
              </w:rPr>
            </w:pPr>
            <w:r w:rsidRPr="00B925FF">
              <w:rPr>
                <w:b/>
                <w:sz w:val="20"/>
                <w:szCs w:val="20"/>
              </w:rPr>
              <w:t>Number of Respondents</w:t>
            </w:r>
          </w:p>
        </w:tc>
        <w:tc>
          <w:tcPr>
            <w:tcW w:w="1228" w:type="dxa"/>
            <w:vAlign w:val="bottom"/>
          </w:tcPr>
          <w:p w:rsidRPr="00B925FF" w:rsidR="00B925FF" w:rsidP="00AD26EB" w:rsidRDefault="00B925FF" w14:paraId="63E48421" w14:textId="77777777">
            <w:pPr>
              <w:jc w:val="right"/>
              <w:rPr>
                <w:b/>
                <w:sz w:val="20"/>
                <w:szCs w:val="20"/>
              </w:rPr>
            </w:pPr>
            <w:r w:rsidRPr="00B925FF">
              <w:rPr>
                <w:b/>
                <w:sz w:val="20"/>
                <w:szCs w:val="20"/>
              </w:rPr>
              <w:t>Number of Responses per Respondent</w:t>
            </w:r>
          </w:p>
        </w:tc>
        <w:tc>
          <w:tcPr>
            <w:tcW w:w="1150" w:type="dxa"/>
            <w:vAlign w:val="bottom"/>
          </w:tcPr>
          <w:p w:rsidRPr="00B925FF" w:rsidR="00B925FF" w:rsidP="00AD26EB" w:rsidRDefault="00B925FF" w14:paraId="50ADC5BF" w14:textId="77777777">
            <w:pPr>
              <w:jc w:val="right"/>
              <w:rPr>
                <w:b/>
                <w:sz w:val="20"/>
                <w:szCs w:val="20"/>
              </w:rPr>
            </w:pPr>
            <w:r w:rsidRPr="00B925FF">
              <w:rPr>
                <w:b/>
                <w:sz w:val="20"/>
                <w:szCs w:val="20"/>
              </w:rPr>
              <w:t>Average Burden per Response (in hours)</w:t>
            </w:r>
          </w:p>
        </w:tc>
        <w:tc>
          <w:tcPr>
            <w:tcW w:w="1260" w:type="dxa"/>
            <w:vAlign w:val="bottom"/>
          </w:tcPr>
          <w:p w:rsidRPr="00B925FF" w:rsidR="00B925FF" w:rsidP="00AD26EB" w:rsidRDefault="00B925FF" w14:paraId="35880F79" w14:textId="77777777">
            <w:pPr>
              <w:jc w:val="right"/>
              <w:rPr>
                <w:b/>
                <w:sz w:val="20"/>
                <w:szCs w:val="20"/>
              </w:rPr>
            </w:pPr>
            <w:r w:rsidRPr="00B925FF">
              <w:rPr>
                <w:b/>
                <w:sz w:val="20"/>
                <w:szCs w:val="20"/>
              </w:rPr>
              <w:t>Total Burden (in hours)</w:t>
            </w:r>
          </w:p>
        </w:tc>
      </w:tr>
      <w:tr w:rsidRPr="000E4BC8" w:rsidR="00FA5A19" w:rsidTr="00062F2C" w14:paraId="7D8DC419" w14:textId="77777777">
        <w:tc>
          <w:tcPr>
            <w:tcW w:w="9355" w:type="dxa"/>
            <w:gridSpan w:val="6"/>
          </w:tcPr>
          <w:p w:rsidRPr="00FA5A19" w:rsidR="00FA5A19" w:rsidP="003D663C" w:rsidRDefault="00FA5A19" w14:paraId="04BA63A8" w14:textId="7AA736D3">
            <w:pPr>
              <w:rPr>
                <w:b/>
                <w:sz w:val="20"/>
                <w:szCs w:val="20"/>
              </w:rPr>
            </w:pPr>
            <w:r w:rsidRPr="00FA5A19">
              <w:rPr>
                <w:b/>
                <w:sz w:val="20"/>
                <w:szCs w:val="20"/>
              </w:rPr>
              <w:t>Data Collection Activities</w:t>
            </w:r>
          </w:p>
        </w:tc>
      </w:tr>
      <w:tr w:rsidRPr="000E4BC8" w:rsidR="00B925FF" w:rsidTr="003A18DA" w14:paraId="67202585" w14:textId="77777777">
        <w:tc>
          <w:tcPr>
            <w:tcW w:w="1795" w:type="dxa"/>
          </w:tcPr>
          <w:p w:rsidRPr="000E4BC8" w:rsidR="00B925FF" w:rsidP="003D663C" w:rsidRDefault="00B925FF" w14:paraId="55777AEC" w14:textId="77777777">
            <w:pPr>
              <w:widowControl/>
              <w:autoSpaceDE/>
              <w:autoSpaceDN/>
              <w:adjustRightInd/>
              <w:rPr>
                <w:sz w:val="20"/>
                <w:szCs w:val="20"/>
              </w:rPr>
            </w:pPr>
            <w:r>
              <w:rPr>
                <w:sz w:val="20"/>
                <w:szCs w:val="20"/>
              </w:rPr>
              <w:t>School Principal</w:t>
            </w:r>
          </w:p>
        </w:tc>
        <w:tc>
          <w:tcPr>
            <w:tcW w:w="2348" w:type="dxa"/>
            <w:vAlign w:val="center"/>
          </w:tcPr>
          <w:p w:rsidRPr="000E4BC8" w:rsidR="00B925FF" w:rsidP="003D663C" w:rsidRDefault="00B925FF" w14:paraId="63B3A5F8" w14:textId="52F966A7">
            <w:pPr>
              <w:widowControl/>
              <w:autoSpaceDE/>
              <w:autoSpaceDN/>
              <w:adjustRightInd/>
              <w:rPr>
                <w:color w:val="000000"/>
                <w:sz w:val="20"/>
                <w:szCs w:val="20"/>
              </w:rPr>
            </w:pPr>
            <w:r w:rsidRPr="000E4BC8">
              <w:rPr>
                <w:sz w:val="20"/>
                <w:szCs w:val="20"/>
              </w:rPr>
              <w:t xml:space="preserve">School Principal Questionnaire </w:t>
            </w:r>
            <w:r w:rsidRPr="00FA2CED">
              <w:rPr>
                <w:sz w:val="20"/>
                <w:szCs w:val="20"/>
              </w:rPr>
              <w:t>Time</w:t>
            </w:r>
            <w:r w:rsidRPr="000E4BC8">
              <w:rPr>
                <w:sz w:val="20"/>
                <w:szCs w:val="20"/>
              </w:rPr>
              <w:t xml:space="preserve"> 1</w:t>
            </w:r>
            <w:r w:rsidR="00FA2CED">
              <w:rPr>
                <w:sz w:val="20"/>
                <w:szCs w:val="20"/>
              </w:rPr>
              <w:t xml:space="preserve"> (Attachment C)</w:t>
            </w:r>
          </w:p>
        </w:tc>
        <w:tc>
          <w:tcPr>
            <w:tcW w:w="1574" w:type="dxa"/>
          </w:tcPr>
          <w:p w:rsidRPr="000E4BC8" w:rsidR="00B925FF" w:rsidP="003A18DA" w:rsidRDefault="00B925FF" w14:paraId="7DF30D0E" w14:textId="77777777">
            <w:pPr>
              <w:jc w:val="center"/>
              <w:rPr>
                <w:sz w:val="20"/>
                <w:szCs w:val="20"/>
              </w:rPr>
            </w:pPr>
            <w:r>
              <w:rPr>
                <w:sz w:val="20"/>
                <w:szCs w:val="20"/>
              </w:rPr>
              <w:t>200</w:t>
            </w:r>
          </w:p>
        </w:tc>
        <w:tc>
          <w:tcPr>
            <w:tcW w:w="1228" w:type="dxa"/>
          </w:tcPr>
          <w:p w:rsidR="00B925FF" w:rsidP="003A18DA" w:rsidRDefault="00B925FF" w14:paraId="7048DCDA" w14:textId="77777777">
            <w:pPr>
              <w:jc w:val="center"/>
              <w:rPr>
                <w:sz w:val="20"/>
                <w:szCs w:val="20"/>
              </w:rPr>
            </w:pPr>
            <w:r>
              <w:rPr>
                <w:sz w:val="20"/>
                <w:szCs w:val="20"/>
              </w:rPr>
              <w:t>1</w:t>
            </w:r>
          </w:p>
        </w:tc>
        <w:tc>
          <w:tcPr>
            <w:tcW w:w="1150" w:type="dxa"/>
          </w:tcPr>
          <w:p w:rsidRPr="000E4BC8" w:rsidR="00B925FF" w:rsidP="003A18DA" w:rsidRDefault="00B925FF" w14:paraId="364D8052" w14:textId="77777777">
            <w:pPr>
              <w:jc w:val="center"/>
              <w:rPr>
                <w:sz w:val="20"/>
                <w:szCs w:val="20"/>
              </w:rPr>
            </w:pPr>
            <w:r>
              <w:rPr>
                <w:sz w:val="20"/>
                <w:szCs w:val="20"/>
              </w:rPr>
              <w:t>45/60</w:t>
            </w:r>
          </w:p>
        </w:tc>
        <w:tc>
          <w:tcPr>
            <w:tcW w:w="1260" w:type="dxa"/>
          </w:tcPr>
          <w:p w:rsidRPr="00B66567" w:rsidR="00B925FF" w:rsidP="003A18DA" w:rsidRDefault="00B925FF" w14:paraId="56409DA2" w14:textId="77777777">
            <w:pPr>
              <w:jc w:val="center"/>
              <w:rPr>
                <w:sz w:val="20"/>
                <w:szCs w:val="20"/>
              </w:rPr>
            </w:pPr>
            <w:r w:rsidRPr="00B66567">
              <w:rPr>
                <w:sz w:val="20"/>
                <w:szCs w:val="20"/>
              </w:rPr>
              <w:t>150</w:t>
            </w:r>
          </w:p>
        </w:tc>
      </w:tr>
      <w:tr w:rsidRPr="000E4BC8" w:rsidR="00B925FF" w:rsidTr="003A18DA" w14:paraId="4E1A1D47" w14:textId="77777777">
        <w:tc>
          <w:tcPr>
            <w:tcW w:w="1795" w:type="dxa"/>
          </w:tcPr>
          <w:p w:rsidR="00B925FF" w:rsidP="003D663C" w:rsidRDefault="00B925FF" w14:paraId="574C5E9E" w14:textId="77777777">
            <w:pPr>
              <w:widowControl/>
              <w:autoSpaceDE/>
              <w:autoSpaceDN/>
              <w:adjustRightInd/>
              <w:rPr>
                <w:sz w:val="20"/>
                <w:szCs w:val="20"/>
              </w:rPr>
            </w:pPr>
            <w:r>
              <w:rPr>
                <w:sz w:val="20"/>
                <w:szCs w:val="20"/>
              </w:rPr>
              <w:t>School Principal</w:t>
            </w:r>
          </w:p>
        </w:tc>
        <w:tc>
          <w:tcPr>
            <w:tcW w:w="2348" w:type="dxa"/>
            <w:vAlign w:val="center"/>
          </w:tcPr>
          <w:p w:rsidRPr="000E4BC8" w:rsidR="00B925FF" w:rsidP="003D663C" w:rsidRDefault="00B925FF" w14:paraId="27D6C48B" w14:textId="561D2FAB">
            <w:pPr>
              <w:widowControl/>
              <w:autoSpaceDE/>
              <w:autoSpaceDN/>
              <w:adjustRightInd/>
              <w:rPr>
                <w:sz w:val="20"/>
                <w:szCs w:val="20"/>
              </w:rPr>
            </w:pPr>
            <w:r>
              <w:rPr>
                <w:sz w:val="20"/>
                <w:szCs w:val="20"/>
              </w:rPr>
              <w:t>Nonresponse follow-up call</w:t>
            </w:r>
            <w:r w:rsidR="00712BAB">
              <w:rPr>
                <w:sz w:val="20"/>
                <w:szCs w:val="20"/>
              </w:rPr>
              <w:t xml:space="preserve"> </w:t>
            </w:r>
            <w:r w:rsidR="00184115">
              <w:rPr>
                <w:sz w:val="20"/>
                <w:szCs w:val="20"/>
              </w:rPr>
              <w:t xml:space="preserve">Time 1 </w:t>
            </w:r>
            <w:r w:rsidR="00712BAB">
              <w:rPr>
                <w:sz w:val="20"/>
                <w:szCs w:val="20"/>
              </w:rPr>
              <w:t>(Attachment N)</w:t>
            </w:r>
          </w:p>
        </w:tc>
        <w:tc>
          <w:tcPr>
            <w:tcW w:w="1574" w:type="dxa"/>
          </w:tcPr>
          <w:p w:rsidR="00B925FF" w:rsidP="003A18DA" w:rsidRDefault="00B925FF" w14:paraId="753EC69C" w14:textId="77777777">
            <w:pPr>
              <w:jc w:val="center"/>
              <w:rPr>
                <w:sz w:val="20"/>
                <w:szCs w:val="20"/>
              </w:rPr>
            </w:pPr>
            <w:r>
              <w:rPr>
                <w:sz w:val="20"/>
                <w:szCs w:val="20"/>
              </w:rPr>
              <w:t>150</w:t>
            </w:r>
          </w:p>
        </w:tc>
        <w:tc>
          <w:tcPr>
            <w:tcW w:w="1228" w:type="dxa"/>
          </w:tcPr>
          <w:p w:rsidR="00B925FF" w:rsidP="003A18DA" w:rsidRDefault="00B925FF" w14:paraId="04563EC5" w14:textId="77777777">
            <w:pPr>
              <w:jc w:val="center"/>
              <w:rPr>
                <w:sz w:val="20"/>
                <w:szCs w:val="20"/>
              </w:rPr>
            </w:pPr>
            <w:r>
              <w:rPr>
                <w:sz w:val="20"/>
                <w:szCs w:val="20"/>
              </w:rPr>
              <w:t>1</w:t>
            </w:r>
          </w:p>
        </w:tc>
        <w:tc>
          <w:tcPr>
            <w:tcW w:w="1150" w:type="dxa"/>
          </w:tcPr>
          <w:p w:rsidR="00B925FF" w:rsidP="003A18DA" w:rsidRDefault="00B925FF" w14:paraId="7BB2B4D9" w14:textId="77777777">
            <w:pPr>
              <w:jc w:val="center"/>
              <w:rPr>
                <w:sz w:val="20"/>
                <w:szCs w:val="20"/>
              </w:rPr>
            </w:pPr>
            <w:r>
              <w:rPr>
                <w:sz w:val="20"/>
                <w:szCs w:val="20"/>
              </w:rPr>
              <w:t>5/60</w:t>
            </w:r>
          </w:p>
        </w:tc>
        <w:tc>
          <w:tcPr>
            <w:tcW w:w="1260" w:type="dxa"/>
          </w:tcPr>
          <w:p w:rsidRPr="00B66567" w:rsidR="00B925FF" w:rsidP="003A18DA" w:rsidRDefault="001C51EB" w14:paraId="11D0EC42" w14:textId="0E1102D9">
            <w:pPr>
              <w:jc w:val="center"/>
              <w:rPr>
                <w:sz w:val="20"/>
                <w:szCs w:val="20"/>
              </w:rPr>
            </w:pPr>
            <w:r>
              <w:rPr>
                <w:sz w:val="20"/>
                <w:szCs w:val="20"/>
              </w:rPr>
              <w:t>13</w:t>
            </w:r>
          </w:p>
        </w:tc>
      </w:tr>
      <w:tr w:rsidRPr="000E4BC8" w:rsidR="00B925FF" w:rsidTr="003A18DA" w14:paraId="5955D493" w14:textId="77777777">
        <w:tc>
          <w:tcPr>
            <w:tcW w:w="1795" w:type="dxa"/>
          </w:tcPr>
          <w:p w:rsidRPr="000E4BC8" w:rsidR="00B925FF" w:rsidP="003D663C" w:rsidRDefault="00B925FF" w14:paraId="5AE1FB51" w14:textId="77777777">
            <w:pPr>
              <w:widowControl/>
              <w:autoSpaceDE/>
              <w:autoSpaceDN/>
              <w:adjustRightInd/>
              <w:rPr>
                <w:sz w:val="20"/>
                <w:szCs w:val="20"/>
              </w:rPr>
            </w:pPr>
            <w:r>
              <w:rPr>
                <w:sz w:val="20"/>
                <w:szCs w:val="20"/>
              </w:rPr>
              <w:t>School Principal</w:t>
            </w:r>
          </w:p>
        </w:tc>
        <w:tc>
          <w:tcPr>
            <w:tcW w:w="2348" w:type="dxa"/>
            <w:vAlign w:val="center"/>
          </w:tcPr>
          <w:p w:rsidRPr="000E4BC8" w:rsidR="00B925FF" w:rsidP="003D663C" w:rsidRDefault="00B925FF" w14:paraId="2A733A0E" w14:textId="00158533">
            <w:pPr>
              <w:widowControl/>
              <w:autoSpaceDE/>
              <w:autoSpaceDN/>
              <w:adjustRightInd/>
              <w:rPr>
                <w:color w:val="000000"/>
                <w:sz w:val="20"/>
                <w:szCs w:val="20"/>
              </w:rPr>
            </w:pPr>
            <w:r w:rsidRPr="000E4BC8">
              <w:rPr>
                <w:sz w:val="20"/>
                <w:szCs w:val="20"/>
              </w:rPr>
              <w:t xml:space="preserve">School Principal Questionnaire </w:t>
            </w:r>
            <w:r w:rsidRPr="00FA2CED">
              <w:rPr>
                <w:sz w:val="20"/>
                <w:szCs w:val="20"/>
              </w:rPr>
              <w:t>Time</w:t>
            </w:r>
            <w:r w:rsidRPr="000E4BC8">
              <w:rPr>
                <w:sz w:val="20"/>
                <w:szCs w:val="20"/>
              </w:rPr>
              <w:t xml:space="preserve"> 2</w:t>
            </w:r>
            <w:r w:rsidR="00FA2CED">
              <w:rPr>
                <w:sz w:val="20"/>
                <w:szCs w:val="20"/>
              </w:rPr>
              <w:t xml:space="preserve"> (Attachment C) </w:t>
            </w:r>
          </w:p>
        </w:tc>
        <w:tc>
          <w:tcPr>
            <w:tcW w:w="1574" w:type="dxa"/>
          </w:tcPr>
          <w:p w:rsidRPr="000E4BC8" w:rsidR="00B925FF" w:rsidP="003A18DA" w:rsidRDefault="00B925FF" w14:paraId="2186E695" w14:textId="06BB5374">
            <w:pPr>
              <w:jc w:val="center"/>
              <w:rPr>
                <w:sz w:val="20"/>
                <w:szCs w:val="20"/>
              </w:rPr>
            </w:pPr>
            <w:r>
              <w:rPr>
                <w:sz w:val="20"/>
                <w:szCs w:val="20"/>
              </w:rPr>
              <w:t>200</w:t>
            </w:r>
          </w:p>
        </w:tc>
        <w:tc>
          <w:tcPr>
            <w:tcW w:w="1228" w:type="dxa"/>
          </w:tcPr>
          <w:p w:rsidR="00B925FF" w:rsidP="003A18DA" w:rsidRDefault="00B925FF" w14:paraId="4F489E25" w14:textId="77777777">
            <w:pPr>
              <w:jc w:val="center"/>
              <w:rPr>
                <w:sz w:val="20"/>
                <w:szCs w:val="20"/>
              </w:rPr>
            </w:pPr>
            <w:r>
              <w:rPr>
                <w:sz w:val="20"/>
                <w:szCs w:val="20"/>
              </w:rPr>
              <w:t>1</w:t>
            </w:r>
          </w:p>
        </w:tc>
        <w:tc>
          <w:tcPr>
            <w:tcW w:w="1150" w:type="dxa"/>
          </w:tcPr>
          <w:p w:rsidRPr="000E4BC8" w:rsidR="00B925FF" w:rsidP="003A18DA" w:rsidRDefault="006B0C8F" w14:paraId="2FE7DE3D" w14:textId="6F02322F">
            <w:pPr>
              <w:jc w:val="center"/>
              <w:rPr>
                <w:sz w:val="20"/>
                <w:szCs w:val="20"/>
              </w:rPr>
            </w:pPr>
            <w:r>
              <w:rPr>
                <w:sz w:val="20"/>
                <w:szCs w:val="20"/>
              </w:rPr>
              <w:t>45</w:t>
            </w:r>
            <w:r w:rsidR="00B925FF">
              <w:rPr>
                <w:sz w:val="20"/>
                <w:szCs w:val="20"/>
              </w:rPr>
              <w:t>/60</w:t>
            </w:r>
          </w:p>
        </w:tc>
        <w:tc>
          <w:tcPr>
            <w:tcW w:w="1260" w:type="dxa"/>
          </w:tcPr>
          <w:p w:rsidRPr="00B66567" w:rsidR="00B925FF" w:rsidP="003A18DA" w:rsidRDefault="006B0C8F" w14:paraId="6D459A1B" w14:textId="1D49FACD">
            <w:pPr>
              <w:jc w:val="center"/>
              <w:rPr>
                <w:sz w:val="20"/>
                <w:szCs w:val="20"/>
              </w:rPr>
            </w:pPr>
            <w:r>
              <w:rPr>
                <w:sz w:val="20"/>
                <w:szCs w:val="20"/>
              </w:rPr>
              <w:t>150</w:t>
            </w:r>
          </w:p>
        </w:tc>
      </w:tr>
      <w:tr w:rsidRPr="000E4BC8" w:rsidR="006B0C8F" w:rsidTr="003A18DA" w14:paraId="51C5BC4C" w14:textId="77777777">
        <w:tc>
          <w:tcPr>
            <w:tcW w:w="1795" w:type="dxa"/>
          </w:tcPr>
          <w:p w:rsidR="006B0C8F" w:rsidP="006B0C8F" w:rsidRDefault="006B0C8F" w14:paraId="5EC52DF3" w14:textId="0733A9A2">
            <w:pPr>
              <w:widowControl/>
              <w:autoSpaceDE/>
              <w:autoSpaceDN/>
              <w:adjustRightInd/>
              <w:rPr>
                <w:sz w:val="20"/>
                <w:szCs w:val="20"/>
              </w:rPr>
            </w:pPr>
            <w:r>
              <w:rPr>
                <w:sz w:val="20"/>
                <w:szCs w:val="20"/>
              </w:rPr>
              <w:t>School Principal</w:t>
            </w:r>
          </w:p>
        </w:tc>
        <w:tc>
          <w:tcPr>
            <w:tcW w:w="2348" w:type="dxa"/>
            <w:vAlign w:val="center"/>
          </w:tcPr>
          <w:p w:rsidRPr="000E4BC8" w:rsidR="006B0C8F" w:rsidP="006B0C8F" w:rsidRDefault="00D24CCF" w14:paraId="4D80BCBC" w14:textId="4F0F8672">
            <w:pPr>
              <w:widowControl/>
              <w:autoSpaceDE/>
              <w:autoSpaceDN/>
              <w:adjustRightInd/>
              <w:rPr>
                <w:sz w:val="20"/>
                <w:szCs w:val="20"/>
              </w:rPr>
            </w:pPr>
            <w:r w:rsidRPr="00AD26EB">
              <w:rPr>
                <w:sz w:val="18"/>
                <w:szCs w:val="18"/>
              </w:rPr>
              <w:t xml:space="preserve">School Principal </w:t>
            </w:r>
            <w:r w:rsidR="006B0C8F">
              <w:rPr>
                <w:sz w:val="20"/>
                <w:szCs w:val="20"/>
              </w:rPr>
              <w:t xml:space="preserve">Supplemental </w:t>
            </w:r>
            <w:r>
              <w:rPr>
                <w:sz w:val="20"/>
                <w:szCs w:val="20"/>
              </w:rPr>
              <w:t>Q</w:t>
            </w:r>
            <w:r w:rsidR="006B0C8F">
              <w:rPr>
                <w:sz w:val="20"/>
                <w:szCs w:val="20"/>
              </w:rPr>
              <w:t>uestions (Attachment E)</w:t>
            </w:r>
          </w:p>
        </w:tc>
        <w:tc>
          <w:tcPr>
            <w:tcW w:w="1574" w:type="dxa"/>
          </w:tcPr>
          <w:p w:rsidR="006B0C8F" w:rsidP="003A18DA" w:rsidRDefault="006B0C8F" w14:paraId="5ED562FE" w14:textId="4C469DB5">
            <w:pPr>
              <w:jc w:val="center"/>
              <w:rPr>
                <w:sz w:val="20"/>
                <w:szCs w:val="20"/>
              </w:rPr>
            </w:pPr>
            <w:r>
              <w:rPr>
                <w:sz w:val="20"/>
                <w:szCs w:val="20"/>
              </w:rPr>
              <w:t>200</w:t>
            </w:r>
          </w:p>
        </w:tc>
        <w:tc>
          <w:tcPr>
            <w:tcW w:w="1228" w:type="dxa"/>
          </w:tcPr>
          <w:p w:rsidR="006B0C8F" w:rsidP="003A18DA" w:rsidRDefault="006B0C8F" w14:paraId="3B439D4A" w14:textId="4C1D0EBB">
            <w:pPr>
              <w:jc w:val="center"/>
              <w:rPr>
                <w:sz w:val="20"/>
                <w:szCs w:val="20"/>
              </w:rPr>
            </w:pPr>
            <w:r>
              <w:rPr>
                <w:sz w:val="20"/>
                <w:szCs w:val="20"/>
              </w:rPr>
              <w:t>1</w:t>
            </w:r>
          </w:p>
        </w:tc>
        <w:tc>
          <w:tcPr>
            <w:tcW w:w="1150" w:type="dxa"/>
          </w:tcPr>
          <w:p w:rsidR="006B0C8F" w:rsidP="003A18DA" w:rsidRDefault="006B0C8F" w14:paraId="2BF5F2C1" w14:textId="159680E9">
            <w:pPr>
              <w:jc w:val="center"/>
              <w:rPr>
                <w:sz w:val="20"/>
                <w:szCs w:val="20"/>
              </w:rPr>
            </w:pPr>
            <w:r>
              <w:rPr>
                <w:sz w:val="20"/>
                <w:szCs w:val="20"/>
              </w:rPr>
              <w:t>5/60</w:t>
            </w:r>
          </w:p>
        </w:tc>
        <w:tc>
          <w:tcPr>
            <w:tcW w:w="1260" w:type="dxa"/>
          </w:tcPr>
          <w:p w:rsidR="006B0C8F" w:rsidP="003A18DA" w:rsidRDefault="006B0C8F" w14:paraId="156EABE9" w14:textId="7F9FA38E">
            <w:pPr>
              <w:jc w:val="center"/>
              <w:rPr>
                <w:sz w:val="20"/>
                <w:szCs w:val="20"/>
              </w:rPr>
            </w:pPr>
            <w:r>
              <w:rPr>
                <w:sz w:val="20"/>
                <w:szCs w:val="20"/>
              </w:rPr>
              <w:t>1</w:t>
            </w:r>
            <w:r w:rsidR="00C9508F">
              <w:rPr>
                <w:sz w:val="20"/>
                <w:szCs w:val="20"/>
              </w:rPr>
              <w:t>7</w:t>
            </w:r>
          </w:p>
        </w:tc>
      </w:tr>
      <w:tr w:rsidRPr="000E4BC8" w:rsidR="00B925FF" w:rsidTr="003A18DA" w14:paraId="01CB3507" w14:textId="77777777">
        <w:tc>
          <w:tcPr>
            <w:tcW w:w="1795" w:type="dxa"/>
          </w:tcPr>
          <w:p w:rsidR="00B925FF" w:rsidP="003D663C" w:rsidRDefault="00B925FF" w14:paraId="4CC8F9C5" w14:textId="77777777">
            <w:pPr>
              <w:widowControl/>
              <w:autoSpaceDE/>
              <w:autoSpaceDN/>
              <w:adjustRightInd/>
              <w:rPr>
                <w:sz w:val="20"/>
                <w:szCs w:val="20"/>
              </w:rPr>
            </w:pPr>
            <w:r>
              <w:rPr>
                <w:sz w:val="20"/>
                <w:szCs w:val="20"/>
              </w:rPr>
              <w:t>School Principal</w:t>
            </w:r>
          </w:p>
        </w:tc>
        <w:tc>
          <w:tcPr>
            <w:tcW w:w="2348" w:type="dxa"/>
            <w:vAlign w:val="center"/>
          </w:tcPr>
          <w:p w:rsidRPr="000E4BC8" w:rsidR="00B925FF" w:rsidP="003D663C" w:rsidRDefault="00B925FF" w14:paraId="5522E9C2" w14:textId="492C42D1">
            <w:pPr>
              <w:widowControl/>
              <w:autoSpaceDE/>
              <w:autoSpaceDN/>
              <w:adjustRightInd/>
              <w:rPr>
                <w:sz w:val="20"/>
                <w:szCs w:val="20"/>
              </w:rPr>
            </w:pPr>
            <w:r>
              <w:rPr>
                <w:sz w:val="20"/>
                <w:szCs w:val="20"/>
              </w:rPr>
              <w:t>Nonresponse follow-up call</w:t>
            </w:r>
            <w:r w:rsidR="00184115">
              <w:rPr>
                <w:sz w:val="20"/>
                <w:szCs w:val="20"/>
              </w:rPr>
              <w:t xml:space="preserve"> Time 2</w:t>
            </w:r>
            <w:r w:rsidR="00712BAB">
              <w:rPr>
                <w:sz w:val="20"/>
                <w:szCs w:val="20"/>
              </w:rPr>
              <w:t xml:space="preserve"> (Attachment N)</w:t>
            </w:r>
          </w:p>
        </w:tc>
        <w:tc>
          <w:tcPr>
            <w:tcW w:w="1574" w:type="dxa"/>
          </w:tcPr>
          <w:p w:rsidR="00B925FF" w:rsidP="003A18DA" w:rsidRDefault="00B925FF" w14:paraId="376EA699" w14:textId="77777777">
            <w:pPr>
              <w:jc w:val="center"/>
              <w:rPr>
                <w:sz w:val="20"/>
                <w:szCs w:val="20"/>
              </w:rPr>
            </w:pPr>
            <w:r>
              <w:rPr>
                <w:sz w:val="20"/>
                <w:szCs w:val="20"/>
              </w:rPr>
              <w:t>150</w:t>
            </w:r>
          </w:p>
        </w:tc>
        <w:tc>
          <w:tcPr>
            <w:tcW w:w="1228" w:type="dxa"/>
          </w:tcPr>
          <w:p w:rsidR="00B925FF" w:rsidP="003A18DA" w:rsidRDefault="00B925FF" w14:paraId="2AF9FD5F" w14:textId="77777777">
            <w:pPr>
              <w:jc w:val="center"/>
              <w:rPr>
                <w:sz w:val="20"/>
                <w:szCs w:val="20"/>
              </w:rPr>
            </w:pPr>
            <w:r>
              <w:rPr>
                <w:sz w:val="20"/>
                <w:szCs w:val="20"/>
              </w:rPr>
              <w:t>1</w:t>
            </w:r>
          </w:p>
        </w:tc>
        <w:tc>
          <w:tcPr>
            <w:tcW w:w="1150" w:type="dxa"/>
          </w:tcPr>
          <w:p w:rsidR="00B925FF" w:rsidP="003A18DA" w:rsidRDefault="00B925FF" w14:paraId="5379EB6B" w14:textId="77777777">
            <w:pPr>
              <w:jc w:val="center"/>
              <w:rPr>
                <w:sz w:val="20"/>
                <w:szCs w:val="20"/>
              </w:rPr>
            </w:pPr>
            <w:r>
              <w:rPr>
                <w:sz w:val="20"/>
                <w:szCs w:val="20"/>
              </w:rPr>
              <w:t>5/60</w:t>
            </w:r>
          </w:p>
        </w:tc>
        <w:tc>
          <w:tcPr>
            <w:tcW w:w="1260" w:type="dxa"/>
          </w:tcPr>
          <w:p w:rsidRPr="00B66567" w:rsidR="00B925FF" w:rsidP="003A18DA" w:rsidRDefault="006B0C8F" w14:paraId="074953C6" w14:textId="111731E2">
            <w:pPr>
              <w:jc w:val="center"/>
              <w:rPr>
                <w:sz w:val="20"/>
                <w:szCs w:val="20"/>
              </w:rPr>
            </w:pPr>
            <w:r>
              <w:rPr>
                <w:sz w:val="20"/>
                <w:szCs w:val="20"/>
              </w:rPr>
              <w:t>13</w:t>
            </w:r>
          </w:p>
        </w:tc>
      </w:tr>
      <w:tr w:rsidRPr="000E4BC8" w:rsidR="00B925FF" w:rsidTr="003A18DA" w14:paraId="7CF6F202" w14:textId="77777777">
        <w:tc>
          <w:tcPr>
            <w:tcW w:w="1795" w:type="dxa"/>
          </w:tcPr>
          <w:p w:rsidRPr="000E4BC8" w:rsidR="00B925FF" w:rsidP="003D663C" w:rsidRDefault="00B925FF" w14:paraId="6BBDEE36" w14:textId="77777777">
            <w:pPr>
              <w:widowControl/>
              <w:autoSpaceDE/>
              <w:autoSpaceDN/>
              <w:adjustRightInd/>
              <w:rPr>
                <w:color w:val="000000"/>
                <w:sz w:val="20"/>
                <w:szCs w:val="20"/>
              </w:rPr>
            </w:pPr>
            <w:r>
              <w:rPr>
                <w:color w:val="000000"/>
                <w:sz w:val="20"/>
                <w:szCs w:val="20"/>
              </w:rPr>
              <w:t>Lead Health Education Teacher</w:t>
            </w:r>
          </w:p>
        </w:tc>
        <w:tc>
          <w:tcPr>
            <w:tcW w:w="2348" w:type="dxa"/>
            <w:vAlign w:val="center"/>
          </w:tcPr>
          <w:p w:rsidRPr="000E4BC8" w:rsidR="00B925FF" w:rsidP="003D663C" w:rsidRDefault="00B925FF" w14:paraId="70686EF3" w14:textId="383C4428">
            <w:pPr>
              <w:widowControl/>
              <w:autoSpaceDE/>
              <w:autoSpaceDN/>
              <w:adjustRightInd/>
              <w:rPr>
                <w:color w:val="000000"/>
                <w:sz w:val="20"/>
                <w:szCs w:val="20"/>
              </w:rPr>
            </w:pPr>
            <w:r w:rsidRPr="000E4BC8">
              <w:rPr>
                <w:color w:val="000000"/>
                <w:sz w:val="20"/>
                <w:szCs w:val="20"/>
              </w:rPr>
              <w:t>Lead Health Educat</w:t>
            </w:r>
            <w:r>
              <w:rPr>
                <w:color w:val="000000"/>
                <w:sz w:val="20"/>
                <w:szCs w:val="20"/>
              </w:rPr>
              <w:t>ion Teacher</w:t>
            </w:r>
            <w:r w:rsidRPr="000E4BC8">
              <w:rPr>
                <w:color w:val="000000"/>
                <w:sz w:val="20"/>
                <w:szCs w:val="20"/>
              </w:rPr>
              <w:t xml:space="preserve"> Questionnaire Time 1</w:t>
            </w:r>
            <w:r w:rsidR="00FA2CED">
              <w:rPr>
                <w:color w:val="000000"/>
                <w:sz w:val="20"/>
                <w:szCs w:val="20"/>
              </w:rPr>
              <w:t xml:space="preserve"> </w:t>
            </w:r>
            <w:r w:rsidR="00FA2CED">
              <w:rPr>
                <w:sz w:val="20"/>
                <w:szCs w:val="20"/>
              </w:rPr>
              <w:t>(Attachment D)</w:t>
            </w:r>
          </w:p>
        </w:tc>
        <w:tc>
          <w:tcPr>
            <w:tcW w:w="1574" w:type="dxa"/>
          </w:tcPr>
          <w:p w:rsidRPr="000E4BC8" w:rsidR="00B925FF" w:rsidP="003A18DA" w:rsidRDefault="00B925FF" w14:paraId="71754F3E" w14:textId="77777777">
            <w:pPr>
              <w:jc w:val="center"/>
              <w:rPr>
                <w:sz w:val="20"/>
                <w:szCs w:val="20"/>
              </w:rPr>
            </w:pPr>
            <w:r>
              <w:rPr>
                <w:sz w:val="20"/>
                <w:szCs w:val="20"/>
              </w:rPr>
              <w:t>200</w:t>
            </w:r>
          </w:p>
        </w:tc>
        <w:tc>
          <w:tcPr>
            <w:tcW w:w="1228" w:type="dxa"/>
          </w:tcPr>
          <w:p w:rsidR="00B925FF" w:rsidP="003A18DA" w:rsidRDefault="00B925FF" w14:paraId="3C6DFE2D" w14:textId="77777777">
            <w:pPr>
              <w:jc w:val="center"/>
              <w:rPr>
                <w:sz w:val="20"/>
                <w:szCs w:val="20"/>
              </w:rPr>
            </w:pPr>
            <w:r>
              <w:rPr>
                <w:sz w:val="20"/>
                <w:szCs w:val="20"/>
              </w:rPr>
              <w:t>1</w:t>
            </w:r>
          </w:p>
        </w:tc>
        <w:tc>
          <w:tcPr>
            <w:tcW w:w="1150" w:type="dxa"/>
          </w:tcPr>
          <w:p w:rsidRPr="000E4BC8" w:rsidR="00B925FF" w:rsidP="003A18DA" w:rsidRDefault="00B925FF" w14:paraId="62BCD98A" w14:textId="77777777">
            <w:pPr>
              <w:jc w:val="center"/>
              <w:rPr>
                <w:sz w:val="20"/>
                <w:szCs w:val="20"/>
              </w:rPr>
            </w:pPr>
            <w:r>
              <w:rPr>
                <w:sz w:val="20"/>
                <w:szCs w:val="20"/>
              </w:rPr>
              <w:t>45/60</w:t>
            </w:r>
          </w:p>
        </w:tc>
        <w:tc>
          <w:tcPr>
            <w:tcW w:w="1260" w:type="dxa"/>
          </w:tcPr>
          <w:p w:rsidRPr="00B66567" w:rsidR="00B925FF" w:rsidP="003A18DA" w:rsidRDefault="00B925FF" w14:paraId="01F27122" w14:textId="77777777">
            <w:pPr>
              <w:jc w:val="center"/>
              <w:rPr>
                <w:sz w:val="20"/>
                <w:szCs w:val="20"/>
              </w:rPr>
            </w:pPr>
            <w:r w:rsidRPr="00B66567">
              <w:rPr>
                <w:sz w:val="20"/>
                <w:szCs w:val="20"/>
              </w:rPr>
              <w:t>150</w:t>
            </w:r>
          </w:p>
        </w:tc>
      </w:tr>
      <w:tr w:rsidRPr="000E4BC8" w:rsidR="00B925FF" w:rsidTr="003A18DA" w14:paraId="193A6739" w14:textId="77777777">
        <w:tc>
          <w:tcPr>
            <w:tcW w:w="1795" w:type="dxa"/>
          </w:tcPr>
          <w:p w:rsidR="00B925FF" w:rsidP="003D663C" w:rsidRDefault="00B925FF" w14:paraId="28AF2B8B" w14:textId="77777777">
            <w:pPr>
              <w:widowControl/>
              <w:autoSpaceDE/>
              <w:autoSpaceDN/>
              <w:adjustRightInd/>
              <w:rPr>
                <w:sz w:val="20"/>
                <w:szCs w:val="20"/>
              </w:rPr>
            </w:pPr>
            <w:r>
              <w:rPr>
                <w:color w:val="000000"/>
                <w:sz w:val="20"/>
                <w:szCs w:val="20"/>
              </w:rPr>
              <w:t>Lead Health Education Teacher</w:t>
            </w:r>
          </w:p>
        </w:tc>
        <w:tc>
          <w:tcPr>
            <w:tcW w:w="2348" w:type="dxa"/>
            <w:vAlign w:val="center"/>
          </w:tcPr>
          <w:p w:rsidRPr="000E4BC8" w:rsidR="00B925FF" w:rsidP="003D663C" w:rsidRDefault="00B925FF" w14:paraId="63262DDD" w14:textId="5944605D">
            <w:pPr>
              <w:widowControl/>
              <w:autoSpaceDE/>
              <w:autoSpaceDN/>
              <w:adjustRightInd/>
              <w:rPr>
                <w:color w:val="000000"/>
                <w:sz w:val="20"/>
                <w:szCs w:val="20"/>
              </w:rPr>
            </w:pPr>
            <w:r>
              <w:rPr>
                <w:sz w:val="20"/>
                <w:szCs w:val="20"/>
              </w:rPr>
              <w:t>Nonresponse follow-up call</w:t>
            </w:r>
            <w:r w:rsidR="004259C6">
              <w:rPr>
                <w:sz w:val="20"/>
                <w:szCs w:val="20"/>
              </w:rPr>
              <w:t xml:space="preserve"> </w:t>
            </w:r>
            <w:r w:rsidR="00184115">
              <w:rPr>
                <w:sz w:val="20"/>
                <w:szCs w:val="20"/>
              </w:rPr>
              <w:t xml:space="preserve">Time 1 </w:t>
            </w:r>
            <w:r w:rsidR="004259C6">
              <w:rPr>
                <w:sz w:val="20"/>
                <w:szCs w:val="20"/>
              </w:rPr>
              <w:t>(Attachment N)</w:t>
            </w:r>
          </w:p>
        </w:tc>
        <w:tc>
          <w:tcPr>
            <w:tcW w:w="1574" w:type="dxa"/>
          </w:tcPr>
          <w:p w:rsidR="00B925FF" w:rsidP="003A18DA" w:rsidRDefault="00B925FF" w14:paraId="4ABA643B" w14:textId="77777777">
            <w:pPr>
              <w:jc w:val="center"/>
              <w:rPr>
                <w:sz w:val="20"/>
                <w:szCs w:val="20"/>
              </w:rPr>
            </w:pPr>
            <w:r>
              <w:rPr>
                <w:sz w:val="20"/>
                <w:szCs w:val="20"/>
              </w:rPr>
              <w:t>150</w:t>
            </w:r>
          </w:p>
        </w:tc>
        <w:tc>
          <w:tcPr>
            <w:tcW w:w="1228" w:type="dxa"/>
          </w:tcPr>
          <w:p w:rsidR="00B925FF" w:rsidP="003A18DA" w:rsidRDefault="00B925FF" w14:paraId="6BA40951" w14:textId="77777777">
            <w:pPr>
              <w:jc w:val="center"/>
              <w:rPr>
                <w:sz w:val="20"/>
                <w:szCs w:val="20"/>
              </w:rPr>
            </w:pPr>
            <w:r>
              <w:rPr>
                <w:sz w:val="20"/>
                <w:szCs w:val="20"/>
              </w:rPr>
              <w:t>1</w:t>
            </w:r>
          </w:p>
        </w:tc>
        <w:tc>
          <w:tcPr>
            <w:tcW w:w="1150" w:type="dxa"/>
          </w:tcPr>
          <w:p w:rsidR="00B925FF" w:rsidP="003A18DA" w:rsidRDefault="00B925FF" w14:paraId="0F06591F" w14:textId="77777777">
            <w:pPr>
              <w:jc w:val="center"/>
              <w:rPr>
                <w:sz w:val="20"/>
                <w:szCs w:val="20"/>
              </w:rPr>
            </w:pPr>
            <w:r>
              <w:rPr>
                <w:sz w:val="20"/>
                <w:szCs w:val="20"/>
              </w:rPr>
              <w:t>5/60</w:t>
            </w:r>
          </w:p>
        </w:tc>
        <w:tc>
          <w:tcPr>
            <w:tcW w:w="1260" w:type="dxa"/>
          </w:tcPr>
          <w:p w:rsidRPr="00B66567" w:rsidR="00B925FF" w:rsidP="003A18DA" w:rsidRDefault="001C51EB" w14:paraId="0195B4EF" w14:textId="3F850515">
            <w:pPr>
              <w:jc w:val="center"/>
              <w:rPr>
                <w:sz w:val="20"/>
                <w:szCs w:val="20"/>
              </w:rPr>
            </w:pPr>
            <w:r>
              <w:rPr>
                <w:sz w:val="20"/>
                <w:szCs w:val="20"/>
              </w:rPr>
              <w:t>13</w:t>
            </w:r>
          </w:p>
        </w:tc>
      </w:tr>
      <w:tr w:rsidRPr="000E4BC8" w:rsidR="006B0C8F" w:rsidTr="003A18DA" w14:paraId="331988CD" w14:textId="77777777">
        <w:tc>
          <w:tcPr>
            <w:tcW w:w="1795" w:type="dxa"/>
          </w:tcPr>
          <w:p w:rsidRPr="000E4BC8" w:rsidR="006B0C8F" w:rsidP="006B0C8F" w:rsidRDefault="006B0C8F" w14:paraId="7096C0A2" w14:textId="77777777">
            <w:pPr>
              <w:widowControl/>
              <w:autoSpaceDE/>
              <w:autoSpaceDN/>
              <w:adjustRightInd/>
              <w:rPr>
                <w:color w:val="000000"/>
                <w:sz w:val="20"/>
                <w:szCs w:val="20"/>
              </w:rPr>
            </w:pPr>
            <w:r>
              <w:rPr>
                <w:color w:val="000000"/>
                <w:sz w:val="20"/>
                <w:szCs w:val="20"/>
              </w:rPr>
              <w:t>Lead Health Education Teacher</w:t>
            </w:r>
          </w:p>
        </w:tc>
        <w:tc>
          <w:tcPr>
            <w:tcW w:w="2348" w:type="dxa"/>
            <w:vAlign w:val="center"/>
          </w:tcPr>
          <w:p w:rsidRPr="000E4BC8" w:rsidR="006B0C8F" w:rsidP="006B0C8F" w:rsidRDefault="006B0C8F" w14:paraId="6268F944" w14:textId="3C98F395">
            <w:pPr>
              <w:widowControl/>
              <w:autoSpaceDE/>
              <w:autoSpaceDN/>
              <w:adjustRightInd/>
              <w:rPr>
                <w:color w:val="000000"/>
                <w:sz w:val="20"/>
                <w:szCs w:val="20"/>
              </w:rPr>
            </w:pPr>
            <w:r w:rsidRPr="000E4BC8">
              <w:rPr>
                <w:color w:val="000000"/>
                <w:sz w:val="20"/>
                <w:szCs w:val="20"/>
              </w:rPr>
              <w:t>Lead Health Educat</w:t>
            </w:r>
            <w:r>
              <w:rPr>
                <w:color w:val="000000"/>
                <w:sz w:val="20"/>
                <w:szCs w:val="20"/>
              </w:rPr>
              <w:t>ion Teacher</w:t>
            </w:r>
            <w:r w:rsidRPr="000E4BC8">
              <w:rPr>
                <w:color w:val="000000"/>
                <w:sz w:val="20"/>
                <w:szCs w:val="20"/>
              </w:rPr>
              <w:t xml:space="preserve"> Questionnaire Time 2</w:t>
            </w:r>
            <w:r>
              <w:rPr>
                <w:color w:val="000000"/>
                <w:sz w:val="20"/>
                <w:szCs w:val="20"/>
              </w:rPr>
              <w:t xml:space="preserve"> </w:t>
            </w:r>
            <w:r>
              <w:rPr>
                <w:sz w:val="20"/>
                <w:szCs w:val="20"/>
              </w:rPr>
              <w:t xml:space="preserve">(Attachment D) </w:t>
            </w:r>
          </w:p>
        </w:tc>
        <w:tc>
          <w:tcPr>
            <w:tcW w:w="1574" w:type="dxa"/>
          </w:tcPr>
          <w:p w:rsidRPr="000E4BC8" w:rsidR="006B0C8F" w:rsidP="003A18DA" w:rsidRDefault="006B0C8F" w14:paraId="702F8DA0" w14:textId="5B7D503F">
            <w:pPr>
              <w:jc w:val="center"/>
              <w:rPr>
                <w:sz w:val="20"/>
                <w:szCs w:val="20"/>
              </w:rPr>
            </w:pPr>
            <w:r>
              <w:rPr>
                <w:sz w:val="20"/>
                <w:szCs w:val="20"/>
              </w:rPr>
              <w:t>200</w:t>
            </w:r>
          </w:p>
        </w:tc>
        <w:tc>
          <w:tcPr>
            <w:tcW w:w="1228" w:type="dxa"/>
          </w:tcPr>
          <w:p w:rsidR="006B0C8F" w:rsidP="003A18DA" w:rsidRDefault="006B0C8F" w14:paraId="6B5930DA" w14:textId="77777777">
            <w:pPr>
              <w:jc w:val="center"/>
              <w:rPr>
                <w:sz w:val="20"/>
                <w:szCs w:val="20"/>
              </w:rPr>
            </w:pPr>
            <w:r>
              <w:rPr>
                <w:sz w:val="20"/>
                <w:szCs w:val="20"/>
              </w:rPr>
              <w:t>1</w:t>
            </w:r>
          </w:p>
        </w:tc>
        <w:tc>
          <w:tcPr>
            <w:tcW w:w="1150" w:type="dxa"/>
          </w:tcPr>
          <w:p w:rsidRPr="000E4BC8" w:rsidR="006B0C8F" w:rsidP="003A18DA" w:rsidRDefault="006B0C8F" w14:paraId="57B4139B" w14:textId="1759E534">
            <w:pPr>
              <w:jc w:val="center"/>
              <w:rPr>
                <w:sz w:val="20"/>
                <w:szCs w:val="20"/>
              </w:rPr>
            </w:pPr>
            <w:r>
              <w:rPr>
                <w:sz w:val="20"/>
                <w:szCs w:val="20"/>
              </w:rPr>
              <w:t>45/60</w:t>
            </w:r>
          </w:p>
        </w:tc>
        <w:tc>
          <w:tcPr>
            <w:tcW w:w="1260" w:type="dxa"/>
          </w:tcPr>
          <w:p w:rsidRPr="0033557E" w:rsidR="006B0C8F" w:rsidP="003A18DA" w:rsidRDefault="006B0C8F" w14:paraId="3260F741" w14:textId="0D44FF89">
            <w:pPr>
              <w:jc w:val="center"/>
              <w:rPr>
                <w:sz w:val="20"/>
                <w:szCs w:val="20"/>
                <w:highlight w:val="yellow"/>
              </w:rPr>
            </w:pPr>
            <w:r>
              <w:rPr>
                <w:sz w:val="20"/>
                <w:szCs w:val="20"/>
              </w:rPr>
              <w:t>150</w:t>
            </w:r>
          </w:p>
        </w:tc>
      </w:tr>
      <w:tr w:rsidRPr="000E4BC8" w:rsidR="006B0C8F" w:rsidTr="003A18DA" w14:paraId="2E86387C" w14:textId="77777777">
        <w:tc>
          <w:tcPr>
            <w:tcW w:w="1795" w:type="dxa"/>
          </w:tcPr>
          <w:p w:rsidR="006B0C8F" w:rsidP="006B0C8F" w:rsidRDefault="006B0C8F" w14:paraId="64A523FF" w14:textId="33B3A646">
            <w:pPr>
              <w:widowControl/>
              <w:autoSpaceDE/>
              <w:autoSpaceDN/>
              <w:adjustRightInd/>
              <w:rPr>
                <w:color w:val="000000"/>
                <w:sz w:val="20"/>
                <w:szCs w:val="20"/>
              </w:rPr>
            </w:pPr>
            <w:r>
              <w:rPr>
                <w:color w:val="000000"/>
                <w:sz w:val="20"/>
                <w:szCs w:val="20"/>
              </w:rPr>
              <w:t>Lead Health Education Teacher</w:t>
            </w:r>
          </w:p>
        </w:tc>
        <w:tc>
          <w:tcPr>
            <w:tcW w:w="2348" w:type="dxa"/>
            <w:vAlign w:val="center"/>
          </w:tcPr>
          <w:p w:rsidRPr="006B0C8F" w:rsidR="006B0C8F" w:rsidP="006B0C8F" w:rsidRDefault="00D24CCF" w14:paraId="2E62D4AA" w14:textId="58DF5782">
            <w:pPr>
              <w:widowControl/>
              <w:autoSpaceDE/>
              <w:autoSpaceDN/>
              <w:adjustRightInd/>
              <w:rPr>
                <w:color w:val="000000"/>
                <w:sz w:val="20"/>
                <w:szCs w:val="20"/>
              </w:rPr>
            </w:pPr>
            <w:r w:rsidRPr="000E4BC8">
              <w:rPr>
                <w:color w:val="000000"/>
                <w:sz w:val="20"/>
                <w:szCs w:val="20"/>
              </w:rPr>
              <w:t>Lead Health Educat</w:t>
            </w:r>
            <w:r>
              <w:rPr>
                <w:color w:val="000000"/>
                <w:sz w:val="20"/>
                <w:szCs w:val="20"/>
              </w:rPr>
              <w:t>ion Teacher</w:t>
            </w:r>
            <w:r w:rsidRPr="000E4BC8">
              <w:rPr>
                <w:color w:val="000000"/>
                <w:sz w:val="20"/>
                <w:szCs w:val="20"/>
              </w:rPr>
              <w:t xml:space="preserve"> </w:t>
            </w:r>
            <w:r w:rsidRPr="006B0C8F" w:rsidR="006B0C8F">
              <w:rPr>
                <w:sz w:val="20"/>
                <w:szCs w:val="20"/>
              </w:rPr>
              <w:t xml:space="preserve">Supplemental </w:t>
            </w:r>
            <w:r>
              <w:rPr>
                <w:sz w:val="20"/>
                <w:szCs w:val="20"/>
              </w:rPr>
              <w:t>Q</w:t>
            </w:r>
            <w:r w:rsidRPr="006B0C8F" w:rsidR="006B0C8F">
              <w:rPr>
                <w:sz w:val="20"/>
                <w:szCs w:val="20"/>
              </w:rPr>
              <w:t>uestions (Attachment E)</w:t>
            </w:r>
          </w:p>
        </w:tc>
        <w:tc>
          <w:tcPr>
            <w:tcW w:w="1574" w:type="dxa"/>
          </w:tcPr>
          <w:p w:rsidR="006B0C8F" w:rsidP="003A18DA" w:rsidRDefault="00D24CCF" w14:paraId="20854E3C" w14:textId="23FFF9CF">
            <w:pPr>
              <w:jc w:val="center"/>
              <w:rPr>
                <w:sz w:val="20"/>
                <w:szCs w:val="20"/>
              </w:rPr>
            </w:pPr>
            <w:r>
              <w:rPr>
                <w:sz w:val="20"/>
                <w:szCs w:val="20"/>
              </w:rPr>
              <w:t>200</w:t>
            </w:r>
          </w:p>
        </w:tc>
        <w:tc>
          <w:tcPr>
            <w:tcW w:w="1228" w:type="dxa"/>
          </w:tcPr>
          <w:p w:rsidR="006B0C8F" w:rsidP="003A18DA" w:rsidRDefault="00D24CCF" w14:paraId="35170A6C" w14:textId="2E1F33F8">
            <w:pPr>
              <w:jc w:val="center"/>
              <w:rPr>
                <w:sz w:val="20"/>
                <w:szCs w:val="20"/>
              </w:rPr>
            </w:pPr>
            <w:r>
              <w:rPr>
                <w:sz w:val="20"/>
                <w:szCs w:val="20"/>
              </w:rPr>
              <w:t>1</w:t>
            </w:r>
          </w:p>
        </w:tc>
        <w:tc>
          <w:tcPr>
            <w:tcW w:w="1150" w:type="dxa"/>
          </w:tcPr>
          <w:p w:rsidR="006B0C8F" w:rsidP="003A18DA" w:rsidRDefault="006B0C8F" w14:paraId="4FF794AB" w14:textId="2EB0B202">
            <w:pPr>
              <w:jc w:val="center"/>
              <w:rPr>
                <w:sz w:val="20"/>
                <w:szCs w:val="20"/>
              </w:rPr>
            </w:pPr>
            <w:r>
              <w:rPr>
                <w:sz w:val="20"/>
                <w:szCs w:val="20"/>
              </w:rPr>
              <w:t>5/60</w:t>
            </w:r>
          </w:p>
        </w:tc>
        <w:tc>
          <w:tcPr>
            <w:tcW w:w="1260" w:type="dxa"/>
          </w:tcPr>
          <w:p w:rsidR="006B0C8F" w:rsidP="003A18DA" w:rsidRDefault="006B0C8F" w14:paraId="680F503E" w14:textId="38D708B7">
            <w:pPr>
              <w:jc w:val="center"/>
              <w:rPr>
                <w:sz w:val="20"/>
                <w:szCs w:val="20"/>
              </w:rPr>
            </w:pPr>
            <w:r>
              <w:rPr>
                <w:sz w:val="20"/>
                <w:szCs w:val="20"/>
              </w:rPr>
              <w:t>1</w:t>
            </w:r>
            <w:r w:rsidR="00C9508F">
              <w:rPr>
                <w:sz w:val="20"/>
                <w:szCs w:val="20"/>
              </w:rPr>
              <w:t>7</w:t>
            </w:r>
          </w:p>
        </w:tc>
      </w:tr>
      <w:tr w:rsidRPr="000E4BC8" w:rsidR="00B925FF" w:rsidTr="003A18DA" w14:paraId="51C54EA8" w14:textId="77777777">
        <w:tc>
          <w:tcPr>
            <w:tcW w:w="1795" w:type="dxa"/>
          </w:tcPr>
          <w:p w:rsidR="00B925FF" w:rsidP="003D663C" w:rsidRDefault="00B925FF" w14:paraId="75A1E388" w14:textId="77777777">
            <w:pPr>
              <w:widowControl/>
              <w:autoSpaceDE/>
              <w:autoSpaceDN/>
              <w:adjustRightInd/>
              <w:rPr>
                <w:sz w:val="20"/>
                <w:szCs w:val="20"/>
              </w:rPr>
            </w:pPr>
            <w:r>
              <w:rPr>
                <w:color w:val="000000"/>
                <w:sz w:val="20"/>
                <w:szCs w:val="20"/>
              </w:rPr>
              <w:t>Lead Health Education Teacher</w:t>
            </w:r>
          </w:p>
        </w:tc>
        <w:tc>
          <w:tcPr>
            <w:tcW w:w="2348" w:type="dxa"/>
            <w:vAlign w:val="center"/>
          </w:tcPr>
          <w:p w:rsidRPr="004259C6" w:rsidR="00B925FF" w:rsidP="003D663C" w:rsidRDefault="00B925FF" w14:paraId="5EA2C80C" w14:textId="72B3934F">
            <w:pPr>
              <w:widowControl/>
              <w:autoSpaceDE/>
              <w:autoSpaceDN/>
              <w:adjustRightInd/>
              <w:rPr>
                <w:b/>
                <w:bCs/>
                <w:color w:val="000000"/>
                <w:sz w:val="20"/>
                <w:szCs w:val="20"/>
              </w:rPr>
            </w:pPr>
            <w:r>
              <w:rPr>
                <w:sz w:val="20"/>
                <w:szCs w:val="20"/>
              </w:rPr>
              <w:t>Nonresponse follow-up call</w:t>
            </w:r>
            <w:r w:rsidR="00184115">
              <w:rPr>
                <w:sz w:val="20"/>
                <w:szCs w:val="20"/>
              </w:rPr>
              <w:t xml:space="preserve"> Time 2</w:t>
            </w:r>
            <w:r w:rsidR="004259C6">
              <w:rPr>
                <w:sz w:val="20"/>
                <w:szCs w:val="20"/>
              </w:rPr>
              <w:t xml:space="preserve"> (Attachment N)</w:t>
            </w:r>
          </w:p>
        </w:tc>
        <w:tc>
          <w:tcPr>
            <w:tcW w:w="1574" w:type="dxa"/>
          </w:tcPr>
          <w:p w:rsidR="00B925FF" w:rsidP="003A18DA" w:rsidRDefault="00B925FF" w14:paraId="25E16714" w14:textId="77777777">
            <w:pPr>
              <w:jc w:val="center"/>
              <w:rPr>
                <w:sz w:val="20"/>
                <w:szCs w:val="20"/>
              </w:rPr>
            </w:pPr>
            <w:r>
              <w:rPr>
                <w:sz w:val="20"/>
                <w:szCs w:val="20"/>
              </w:rPr>
              <w:t>150</w:t>
            </w:r>
          </w:p>
        </w:tc>
        <w:tc>
          <w:tcPr>
            <w:tcW w:w="1228" w:type="dxa"/>
          </w:tcPr>
          <w:p w:rsidR="00B925FF" w:rsidP="003A18DA" w:rsidRDefault="00B925FF" w14:paraId="533C2143" w14:textId="77777777">
            <w:pPr>
              <w:jc w:val="center"/>
              <w:rPr>
                <w:sz w:val="20"/>
                <w:szCs w:val="20"/>
              </w:rPr>
            </w:pPr>
            <w:r>
              <w:rPr>
                <w:sz w:val="20"/>
                <w:szCs w:val="20"/>
              </w:rPr>
              <w:t>1</w:t>
            </w:r>
          </w:p>
        </w:tc>
        <w:tc>
          <w:tcPr>
            <w:tcW w:w="1150" w:type="dxa"/>
          </w:tcPr>
          <w:p w:rsidR="00B925FF" w:rsidP="003A18DA" w:rsidRDefault="00B925FF" w14:paraId="44D4ED9E" w14:textId="77777777">
            <w:pPr>
              <w:jc w:val="center"/>
              <w:rPr>
                <w:sz w:val="20"/>
                <w:szCs w:val="20"/>
              </w:rPr>
            </w:pPr>
            <w:r>
              <w:rPr>
                <w:sz w:val="20"/>
                <w:szCs w:val="20"/>
              </w:rPr>
              <w:t>5/60</w:t>
            </w:r>
          </w:p>
        </w:tc>
        <w:tc>
          <w:tcPr>
            <w:tcW w:w="1260" w:type="dxa"/>
          </w:tcPr>
          <w:p w:rsidRPr="00B66567" w:rsidR="00B925FF" w:rsidP="003A18DA" w:rsidRDefault="001C51EB" w14:paraId="37AC9DEA" w14:textId="546FA3C6">
            <w:pPr>
              <w:jc w:val="center"/>
              <w:rPr>
                <w:sz w:val="20"/>
                <w:szCs w:val="20"/>
              </w:rPr>
            </w:pPr>
            <w:r>
              <w:rPr>
                <w:sz w:val="20"/>
                <w:szCs w:val="20"/>
              </w:rPr>
              <w:t>13</w:t>
            </w:r>
          </w:p>
        </w:tc>
      </w:tr>
      <w:tr w:rsidRPr="0024511E" w:rsidR="00B925FF" w:rsidTr="003A18DA" w14:paraId="338A9F0C" w14:textId="77777777">
        <w:tc>
          <w:tcPr>
            <w:tcW w:w="1795" w:type="dxa"/>
          </w:tcPr>
          <w:p w:rsidRPr="0024511E" w:rsidR="00B925FF" w:rsidP="003D663C" w:rsidRDefault="003D663C" w14:paraId="196756CE" w14:textId="70EAF27E">
            <w:pPr>
              <w:rPr>
                <w:b/>
                <w:sz w:val="20"/>
                <w:szCs w:val="20"/>
              </w:rPr>
            </w:pPr>
            <w:r w:rsidRPr="0024511E">
              <w:rPr>
                <w:b/>
                <w:sz w:val="20"/>
                <w:szCs w:val="20"/>
              </w:rPr>
              <w:t>Total</w:t>
            </w:r>
          </w:p>
        </w:tc>
        <w:tc>
          <w:tcPr>
            <w:tcW w:w="2348" w:type="dxa"/>
          </w:tcPr>
          <w:p w:rsidRPr="0024511E" w:rsidR="00B925FF" w:rsidP="003D663C" w:rsidRDefault="00B925FF" w14:paraId="2C79D329" w14:textId="504C6919">
            <w:pPr>
              <w:rPr>
                <w:b/>
                <w:sz w:val="20"/>
                <w:szCs w:val="20"/>
              </w:rPr>
            </w:pPr>
          </w:p>
        </w:tc>
        <w:tc>
          <w:tcPr>
            <w:tcW w:w="1574" w:type="dxa"/>
          </w:tcPr>
          <w:p w:rsidRPr="0024511E" w:rsidR="00B925FF" w:rsidP="003A18DA" w:rsidRDefault="00B925FF" w14:paraId="58A699D2" w14:textId="72BBCF52">
            <w:pPr>
              <w:jc w:val="center"/>
              <w:rPr>
                <w:b/>
                <w:sz w:val="20"/>
                <w:szCs w:val="20"/>
              </w:rPr>
            </w:pPr>
          </w:p>
        </w:tc>
        <w:tc>
          <w:tcPr>
            <w:tcW w:w="1228" w:type="dxa"/>
          </w:tcPr>
          <w:p w:rsidRPr="0024511E" w:rsidR="00B925FF" w:rsidP="003A18DA" w:rsidRDefault="00B925FF" w14:paraId="0A67E389" w14:textId="77777777">
            <w:pPr>
              <w:jc w:val="center"/>
              <w:rPr>
                <w:b/>
                <w:sz w:val="20"/>
                <w:szCs w:val="20"/>
              </w:rPr>
            </w:pPr>
          </w:p>
        </w:tc>
        <w:tc>
          <w:tcPr>
            <w:tcW w:w="1150" w:type="dxa"/>
          </w:tcPr>
          <w:p w:rsidRPr="0024511E" w:rsidR="00B925FF" w:rsidP="003A18DA" w:rsidRDefault="00B925FF" w14:paraId="4E90B4DE" w14:textId="77777777">
            <w:pPr>
              <w:jc w:val="center"/>
              <w:rPr>
                <w:b/>
                <w:sz w:val="20"/>
                <w:szCs w:val="20"/>
              </w:rPr>
            </w:pPr>
          </w:p>
        </w:tc>
        <w:tc>
          <w:tcPr>
            <w:tcW w:w="1260" w:type="dxa"/>
          </w:tcPr>
          <w:p w:rsidRPr="0024511E" w:rsidR="00B925FF" w:rsidP="003A18DA" w:rsidRDefault="001C51EB" w14:paraId="20778809" w14:textId="51DD3FF4">
            <w:pPr>
              <w:jc w:val="center"/>
              <w:rPr>
                <w:b/>
                <w:sz w:val="20"/>
                <w:szCs w:val="20"/>
              </w:rPr>
            </w:pPr>
            <w:r w:rsidRPr="00297611">
              <w:rPr>
                <w:b/>
                <w:sz w:val="20"/>
                <w:szCs w:val="20"/>
              </w:rPr>
              <w:t>6</w:t>
            </w:r>
            <w:r w:rsidRPr="00297611" w:rsidR="006B0C8F">
              <w:rPr>
                <w:b/>
                <w:sz w:val="20"/>
                <w:szCs w:val="20"/>
              </w:rPr>
              <w:t>8</w:t>
            </w:r>
            <w:r w:rsidR="00C9508F">
              <w:rPr>
                <w:b/>
                <w:sz w:val="20"/>
                <w:szCs w:val="20"/>
              </w:rPr>
              <w:t>6</w:t>
            </w:r>
          </w:p>
        </w:tc>
      </w:tr>
    </w:tbl>
    <w:p w:rsidRPr="00EE5139" w:rsidR="00EE5139" w:rsidP="00EE5139" w:rsidRDefault="00EE5139" w14:paraId="142614C3" w14:textId="77777777"/>
    <w:p w:rsidRPr="0071243D" w:rsidR="00FA5A19" w:rsidP="00FA5A19" w:rsidRDefault="008247EE" w14:paraId="77415219" w14:textId="32A7080A">
      <w:pPr>
        <w:widowControl/>
        <w:autoSpaceDE/>
        <w:autoSpaceDN/>
        <w:adjustRightInd/>
        <w:rPr>
          <w:sz w:val="22"/>
          <w:szCs w:val="20"/>
        </w:rPr>
      </w:pPr>
      <w:r>
        <w:rPr>
          <w:sz w:val="22"/>
          <w:szCs w:val="20"/>
        </w:rPr>
        <w:t>B.</w:t>
      </w:r>
      <w:r w:rsidR="00AD26EB">
        <w:rPr>
          <w:sz w:val="22"/>
          <w:szCs w:val="20"/>
        </w:rPr>
        <w:t xml:space="preserve"> </w:t>
      </w:r>
      <w:r w:rsidRPr="0071243D">
        <w:rPr>
          <w:sz w:val="22"/>
          <w:szCs w:val="20"/>
        </w:rPr>
        <w:t xml:space="preserve">Information about estimated costs for the principal and lead health </w:t>
      </w:r>
      <w:r>
        <w:rPr>
          <w:sz w:val="22"/>
          <w:szCs w:val="20"/>
        </w:rPr>
        <w:t>education teacher</w:t>
      </w:r>
      <w:r w:rsidRPr="0071243D">
        <w:rPr>
          <w:sz w:val="22"/>
          <w:szCs w:val="20"/>
        </w:rPr>
        <w:t xml:space="preserve"> data collections are summarized in Exhibit </w:t>
      </w:r>
      <w:r>
        <w:rPr>
          <w:sz w:val="22"/>
          <w:szCs w:val="20"/>
        </w:rPr>
        <w:t>2</w:t>
      </w:r>
      <w:r w:rsidRPr="0071243D">
        <w:rPr>
          <w:sz w:val="22"/>
          <w:szCs w:val="20"/>
        </w:rPr>
        <w:t>.</w:t>
      </w:r>
      <w:r w:rsidR="00AD26EB">
        <w:rPr>
          <w:sz w:val="22"/>
          <w:szCs w:val="20"/>
        </w:rPr>
        <w:t xml:space="preserve"> </w:t>
      </w:r>
      <w:r w:rsidRPr="0071243D" w:rsidR="00FA5A19">
        <w:rPr>
          <w:sz w:val="22"/>
          <w:szCs w:val="20"/>
        </w:rPr>
        <w:t>There are no direct costs to the respondents themselves or to participating schools and districts.</w:t>
      </w:r>
      <w:r w:rsidR="00AD26EB">
        <w:rPr>
          <w:sz w:val="22"/>
          <w:szCs w:val="20"/>
        </w:rPr>
        <w:t xml:space="preserve"> </w:t>
      </w:r>
      <w:r w:rsidRPr="0071243D" w:rsidR="00FA5A19">
        <w:rPr>
          <w:sz w:val="22"/>
          <w:szCs w:val="20"/>
        </w:rPr>
        <w:t>The costs may, however, be calculated in terms of the costs of staff time spent in responding to the questionnaires.</w:t>
      </w:r>
      <w:r w:rsidR="00AD26EB">
        <w:rPr>
          <w:sz w:val="22"/>
          <w:szCs w:val="20"/>
        </w:rPr>
        <w:t xml:space="preserve"> </w:t>
      </w:r>
    </w:p>
    <w:p w:rsidRPr="0071243D" w:rsidR="00FA5A19" w:rsidP="00FA5A19" w:rsidRDefault="00FA5A19" w14:paraId="1FF78431" w14:textId="77777777">
      <w:pPr>
        <w:widowControl/>
        <w:autoSpaceDE/>
        <w:autoSpaceDN/>
        <w:adjustRightInd/>
        <w:rPr>
          <w:sz w:val="22"/>
          <w:szCs w:val="20"/>
        </w:rPr>
      </w:pPr>
    </w:p>
    <w:p w:rsidR="00FA5A19" w:rsidP="00FA5A19" w:rsidRDefault="00FA5A19" w14:paraId="2D41B9DC" w14:textId="23A7CD31">
      <w:pPr>
        <w:widowControl/>
        <w:autoSpaceDE/>
        <w:autoSpaceDN/>
        <w:adjustRightInd/>
        <w:rPr>
          <w:sz w:val="22"/>
          <w:szCs w:val="20"/>
        </w:rPr>
      </w:pPr>
      <w:r w:rsidRPr="00932F1D">
        <w:rPr>
          <w:sz w:val="22"/>
          <w:szCs w:val="20"/>
        </w:rPr>
        <w:t>The estimated average hourly earnings of secondary administrators are $47 and lead health education teachers are $3</w:t>
      </w:r>
      <w:r w:rsidRPr="00932F1D" w:rsidR="00932F1D">
        <w:rPr>
          <w:sz w:val="22"/>
          <w:szCs w:val="20"/>
        </w:rPr>
        <w:t>1</w:t>
      </w:r>
      <w:r w:rsidRPr="00932F1D">
        <w:rPr>
          <w:rStyle w:val="FootnoteReference"/>
          <w:sz w:val="22"/>
          <w:szCs w:val="20"/>
          <w:vertAlign w:val="superscript"/>
        </w:rPr>
        <w:footnoteReference w:id="3"/>
      </w:r>
      <w:r w:rsidRPr="00932F1D">
        <w:rPr>
          <w:sz w:val="22"/>
          <w:szCs w:val="20"/>
        </w:rPr>
        <w:t>. Therefore, based on 6</w:t>
      </w:r>
      <w:r w:rsidR="007252DD">
        <w:rPr>
          <w:sz w:val="22"/>
          <w:szCs w:val="20"/>
        </w:rPr>
        <w:t>86</w:t>
      </w:r>
      <w:r w:rsidRPr="00932F1D">
        <w:rPr>
          <w:sz w:val="22"/>
          <w:szCs w:val="20"/>
        </w:rPr>
        <w:t xml:space="preserve"> total burden hours for the School Health Profiles Test-Retest Reliability Study survey data collection activities, the associated total estimated burden time cost to respondents is $</w:t>
      </w:r>
      <w:r w:rsidRPr="00932F1D" w:rsidR="00234418">
        <w:rPr>
          <w:sz w:val="22"/>
          <w:szCs w:val="20"/>
        </w:rPr>
        <w:t>26,</w:t>
      </w:r>
      <w:r w:rsidR="00924EC2">
        <w:rPr>
          <w:sz w:val="22"/>
          <w:szCs w:val="20"/>
        </w:rPr>
        <w:t>648.</w:t>
      </w:r>
    </w:p>
    <w:p w:rsidR="00C2038F" w:rsidRDefault="00C2038F" w14:paraId="6C1E79BC" w14:textId="497B475B">
      <w:pPr>
        <w:widowControl/>
        <w:autoSpaceDE/>
        <w:autoSpaceDN/>
        <w:adjustRightInd/>
        <w:rPr>
          <w:sz w:val="22"/>
          <w:szCs w:val="20"/>
        </w:rPr>
      </w:pPr>
      <w:r>
        <w:rPr>
          <w:sz w:val="22"/>
          <w:szCs w:val="20"/>
        </w:rPr>
        <w:br w:type="page"/>
      </w:r>
    </w:p>
    <w:p w:rsidRPr="00AD26EB" w:rsidR="00EB104F" w:rsidP="001853D5" w:rsidRDefault="00EE5139" w14:paraId="15AA39DD" w14:textId="1A17E47E">
      <w:pPr>
        <w:pStyle w:val="Heading3"/>
        <w:rPr>
          <w:rFonts w:ascii="Times New Roman" w:hAnsi="Times New Roman" w:cs="Times New Roman"/>
          <w:color w:val="000000" w:themeColor="text1"/>
          <w:sz w:val="22"/>
          <w:szCs w:val="22"/>
        </w:rPr>
      </w:pPr>
      <w:r w:rsidRPr="00AD26EB">
        <w:rPr>
          <w:rFonts w:ascii="Times New Roman" w:hAnsi="Times New Roman" w:cs="Times New Roman"/>
          <w:color w:val="000000" w:themeColor="text1"/>
          <w:sz w:val="22"/>
          <w:szCs w:val="22"/>
        </w:rPr>
        <w:lastRenderedPageBreak/>
        <w:t>Exhibit 2.</w:t>
      </w:r>
      <w:r w:rsidR="00AD26EB">
        <w:rPr>
          <w:rFonts w:ascii="Times New Roman" w:hAnsi="Times New Roman" w:cs="Times New Roman"/>
          <w:color w:val="000000" w:themeColor="text1"/>
          <w:sz w:val="22"/>
          <w:szCs w:val="22"/>
        </w:rPr>
        <w:t xml:space="preserve"> </w:t>
      </w:r>
      <w:r w:rsidRPr="00AD26EB">
        <w:rPr>
          <w:rFonts w:ascii="Times New Roman" w:hAnsi="Times New Roman" w:cs="Times New Roman"/>
          <w:color w:val="000000" w:themeColor="text1"/>
          <w:sz w:val="22"/>
          <w:szCs w:val="22"/>
        </w:rPr>
        <w:t xml:space="preserve"> Estimated Annualized Burden Costs</w:t>
      </w:r>
    </w:p>
    <w:p w:rsidR="000E4BC8" w:rsidP="000E4BC8" w:rsidRDefault="000E4BC8" w14:paraId="3E7A9D8A" w14:textId="77777777"/>
    <w:tbl>
      <w:tblPr>
        <w:tblStyle w:val="TableGrid"/>
        <w:tblW w:w="8786" w:type="dxa"/>
        <w:tblLook w:val="04A0" w:firstRow="1" w:lastRow="0" w:firstColumn="1" w:lastColumn="0" w:noHBand="0" w:noVBand="1"/>
      </w:tblPr>
      <w:tblGrid>
        <w:gridCol w:w="1661"/>
        <w:gridCol w:w="1591"/>
        <w:gridCol w:w="1197"/>
        <w:gridCol w:w="1221"/>
        <w:gridCol w:w="1011"/>
        <w:gridCol w:w="884"/>
        <w:gridCol w:w="1221"/>
      </w:tblGrid>
      <w:tr w:rsidRPr="00AD26EB" w:rsidR="00E10D96" w:rsidTr="00BA6931" w14:paraId="35282D25" w14:textId="77777777">
        <w:tc>
          <w:tcPr>
            <w:tcW w:w="1661" w:type="dxa"/>
            <w:vAlign w:val="bottom"/>
          </w:tcPr>
          <w:p w:rsidRPr="00AD26EB" w:rsidR="00E10D96" w:rsidDel="004420E7" w:rsidP="00AD26EB" w:rsidRDefault="00E10D96" w14:paraId="17FD2C92" w14:textId="133ED07C">
            <w:pPr>
              <w:rPr>
                <w:b/>
                <w:sz w:val="18"/>
                <w:szCs w:val="18"/>
              </w:rPr>
            </w:pPr>
            <w:r w:rsidRPr="00AD26EB">
              <w:rPr>
                <w:b/>
                <w:sz w:val="18"/>
                <w:szCs w:val="18"/>
              </w:rPr>
              <w:t>Respondent</w:t>
            </w:r>
          </w:p>
        </w:tc>
        <w:tc>
          <w:tcPr>
            <w:tcW w:w="1591" w:type="dxa"/>
            <w:vAlign w:val="bottom"/>
          </w:tcPr>
          <w:p w:rsidRPr="00AD26EB" w:rsidR="00E10D96" w:rsidP="00AD26EB" w:rsidRDefault="00E10D96" w14:paraId="00FA9133" w14:textId="5CDD4F6C">
            <w:pPr>
              <w:rPr>
                <w:b/>
                <w:sz w:val="18"/>
                <w:szCs w:val="18"/>
              </w:rPr>
            </w:pPr>
            <w:r w:rsidRPr="00AD26EB">
              <w:rPr>
                <w:b/>
                <w:sz w:val="18"/>
                <w:szCs w:val="18"/>
              </w:rPr>
              <w:t>Form Name</w:t>
            </w:r>
          </w:p>
        </w:tc>
        <w:tc>
          <w:tcPr>
            <w:tcW w:w="1197" w:type="dxa"/>
            <w:vAlign w:val="bottom"/>
          </w:tcPr>
          <w:p w:rsidRPr="00AD26EB" w:rsidR="00E10D96" w:rsidP="00AD26EB" w:rsidRDefault="00E10D96" w14:paraId="46749B47" w14:textId="65E63D91">
            <w:pPr>
              <w:jc w:val="right"/>
              <w:rPr>
                <w:b/>
                <w:sz w:val="18"/>
                <w:szCs w:val="18"/>
              </w:rPr>
            </w:pPr>
            <w:r w:rsidRPr="00AD26EB">
              <w:rPr>
                <w:b/>
                <w:sz w:val="18"/>
                <w:szCs w:val="18"/>
              </w:rPr>
              <w:t>Number of Respondents</w:t>
            </w:r>
          </w:p>
        </w:tc>
        <w:tc>
          <w:tcPr>
            <w:tcW w:w="1221" w:type="dxa"/>
            <w:vAlign w:val="bottom"/>
          </w:tcPr>
          <w:p w:rsidRPr="00AD26EB" w:rsidR="00E10D96" w:rsidP="00AD26EB" w:rsidRDefault="00E10D96" w14:paraId="793E79A0" w14:textId="464DA387">
            <w:pPr>
              <w:jc w:val="right"/>
              <w:rPr>
                <w:b/>
                <w:sz w:val="18"/>
                <w:szCs w:val="18"/>
              </w:rPr>
            </w:pPr>
            <w:r w:rsidRPr="00AD26EB">
              <w:rPr>
                <w:b/>
                <w:sz w:val="18"/>
                <w:szCs w:val="18"/>
              </w:rPr>
              <w:t>Number of Responses per Respondent</w:t>
            </w:r>
          </w:p>
        </w:tc>
        <w:tc>
          <w:tcPr>
            <w:tcW w:w="1011" w:type="dxa"/>
            <w:vAlign w:val="bottom"/>
          </w:tcPr>
          <w:p w:rsidRPr="00AD26EB" w:rsidR="00E10D96" w:rsidP="00AD26EB" w:rsidRDefault="00E10D96" w14:paraId="0275BE66" w14:textId="54C13FFF">
            <w:pPr>
              <w:jc w:val="right"/>
              <w:rPr>
                <w:b/>
                <w:sz w:val="18"/>
                <w:szCs w:val="18"/>
              </w:rPr>
            </w:pPr>
            <w:r w:rsidRPr="00AD26EB">
              <w:rPr>
                <w:b/>
                <w:sz w:val="18"/>
                <w:szCs w:val="18"/>
              </w:rPr>
              <w:t>Average Burden per Response (in hours)</w:t>
            </w:r>
          </w:p>
        </w:tc>
        <w:tc>
          <w:tcPr>
            <w:tcW w:w="884" w:type="dxa"/>
            <w:vAlign w:val="bottom"/>
          </w:tcPr>
          <w:p w:rsidRPr="00AD26EB" w:rsidR="00E10D96" w:rsidP="00AD26EB" w:rsidRDefault="00E10D96" w14:paraId="3B013AD9" w14:textId="6E98F701">
            <w:pPr>
              <w:jc w:val="right"/>
              <w:rPr>
                <w:b/>
                <w:sz w:val="18"/>
                <w:szCs w:val="18"/>
              </w:rPr>
            </w:pPr>
            <w:r w:rsidRPr="00AD26EB">
              <w:rPr>
                <w:b/>
                <w:sz w:val="18"/>
                <w:szCs w:val="18"/>
              </w:rPr>
              <w:t>Hourly Wage Rate</w:t>
            </w:r>
          </w:p>
        </w:tc>
        <w:tc>
          <w:tcPr>
            <w:tcW w:w="1221" w:type="dxa"/>
            <w:vAlign w:val="bottom"/>
          </w:tcPr>
          <w:p w:rsidRPr="00AD26EB" w:rsidR="00E10D96" w:rsidP="00AD26EB" w:rsidRDefault="00E10D96" w14:paraId="393B5B3E" w14:textId="78931974">
            <w:pPr>
              <w:jc w:val="right"/>
              <w:rPr>
                <w:b/>
                <w:sz w:val="18"/>
                <w:szCs w:val="18"/>
              </w:rPr>
            </w:pPr>
            <w:r w:rsidRPr="00AD26EB">
              <w:rPr>
                <w:b/>
                <w:sz w:val="18"/>
                <w:szCs w:val="18"/>
              </w:rPr>
              <w:t>Total Respondent Costs</w:t>
            </w:r>
          </w:p>
        </w:tc>
      </w:tr>
      <w:tr w:rsidRPr="00AD26EB" w:rsidR="00E10D96" w:rsidTr="00BA6931" w14:paraId="4FC22E40" w14:textId="77777777">
        <w:tc>
          <w:tcPr>
            <w:tcW w:w="1661" w:type="dxa"/>
          </w:tcPr>
          <w:p w:rsidRPr="00AD26EB" w:rsidR="00E10D96" w:rsidP="00932F1D" w:rsidRDefault="00E10D96" w14:paraId="47B0859A" w14:textId="7F4CCCD1">
            <w:pPr>
              <w:widowControl/>
              <w:autoSpaceDE/>
              <w:autoSpaceDN/>
              <w:adjustRightInd/>
              <w:rPr>
                <w:sz w:val="18"/>
                <w:szCs w:val="18"/>
              </w:rPr>
            </w:pPr>
            <w:r w:rsidRPr="00AD26EB">
              <w:rPr>
                <w:sz w:val="18"/>
                <w:szCs w:val="18"/>
              </w:rPr>
              <w:t>School Principal</w:t>
            </w:r>
          </w:p>
        </w:tc>
        <w:tc>
          <w:tcPr>
            <w:tcW w:w="1591" w:type="dxa"/>
          </w:tcPr>
          <w:p w:rsidRPr="00AD26EB" w:rsidR="00E10D96" w:rsidP="00932F1D" w:rsidRDefault="00E10D96" w14:paraId="78296DDE" w14:textId="41507BF7">
            <w:pPr>
              <w:widowControl/>
              <w:autoSpaceDE/>
              <w:autoSpaceDN/>
              <w:adjustRightInd/>
              <w:rPr>
                <w:color w:val="000000"/>
                <w:sz w:val="18"/>
                <w:szCs w:val="18"/>
              </w:rPr>
            </w:pPr>
            <w:r w:rsidRPr="00AD26EB">
              <w:rPr>
                <w:sz w:val="18"/>
                <w:szCs w:val="18"/>
              </w:rPr>
              <w:t>School Principal Questionnaire Time 1</w:t>
            </w:r>
          </w:p>
        </w:tc>
        <w:tc>
          <w:tcPr>
            <w:tcW w:w="1197" w:type="dxa"/>
          </w:tcPr>
          <w:p w:rsidRPr="00AD26EB" w:rsidR="00E10D96" w:rsidP="007252DD" w:rsidRDefault="00E10D96" w14:paraId="00C003A5" w14:textId="77777777">
            <w:pPr>
              <w:rPr>
                <w:sz w:val="18"/>
                <w:szCs w:val="18"/>
              </w:rPr>
            </w:pPr>
            <w:r w:rsidRPr="00AD26EB">
              <w:rPr>
                <w:sz w:val="18"/>
                <w:szCs w:val="18"/>
              </w:rPr>
              <w:t>200</w:t>
            </w:r>
          </w:p>
        </w:tc>
        <w:tc>
          <w:tcPr>
            <w:tcW w:w="1221" w:type="dxa"/>
          </w:tcPr>
          <w:p w:rsidRPr="00AD26EB" w:rsidR="00E10D96" w:rsidP="007252DD" w:rsidRDefault="00E10D96" w14:paraId="4FE21C19" w14:textId="48D1F060">
            <w:pPr>
              <w:rPr>
                <w:sz w:val="18"/>
                <w:szCs w:val="18"/>
              </w:rPr>
            </w:pPr>
            <w:r w:rsidRPr="00AD26EB">
              <w:rPr>
                <w:sz w:val="18"/>
                <w:szCs w:val="18"/>
              </w:rPr>
              <w:t>1</w:t>
            </w:r>
          </w:p>
        </w:tc>
        <w:tc>
          <w:tcPr>
            <w:tcW w:w="1011" w:type="dxa"/>
          </w:tcPr>
          <w:p w:rsidRPr="00AD26EB" w:rsidR="00E10D96" w:rsidP="007252DD" w:rsidRDefault="00E10D96" w14:paraId="61588876" w14:textId="2E45FF46">
            <w:pPr>
              <w:rPr>
                <w:sz w:val="18"/>
                <w:szCs w:val="18"/>
              </w:rPr>
            </w:pPr>
            <w:r w:rsidRPr="00AD26EB">
              <w:rPr>
                <w:sz w:val="18"/>
                <w:szCs w:val="18"/>
              </w:rPr>
              <w:t>45/60</w:t>
            </w:r>
          </w:p>
        </w:tc>
        <w:tc>
          <w:tcPr>
            <w:tcW w:w="884" w:type="dxa"/>
          </w:tcPr>
          <w:p w:rsidRPr="00AD26EB" w:rsidR="00E10D96" w:rsidP="007252DD" w:rsidRDefault="00E10D96" w14:paraId="43C6E572" w14:textId="0132C03B">
            <w:pPr>
              <w:rPr>
                <w:sz w:val="18"/>
                <w:szCs w:val="18"/>
              </w:rPr>
            </w:pPr>
            <w:r w:rsidRPr="00AD26EB">
              <w:rPr>
                <w:sz w:val="18"/>
                <w:szCs w:val="18"/>
              </w:rPr>
              <w:t>$47</w:t>
            </w:r>
          </w:p>
        </w:tc>
        <w:tc>
          <w:tcPr>
            <w:tcW w:w="1221" w:type="dxa"/>
          </w:tcPr>
          <w:p w:rsidRPr="00AD26EB" w:rsidR="00E10D96" w:rsidP="007252DD" w:rsidRDefault="00E10D96" w14:paraId="405D20DA" w14:textId="7E8AAFEC">
            <w:pPr>
              <w:rPr>
                <w:sz w:val="18"/>
                <w:szCs w:val="18"/>
              </w:rPr>
            </w:pPr>
            <w:r w:rsidRPr="00AD26EB">
              <w:rPr>
                <w:sz w:val="18"/>
                <w:szCs w:val="18"/>
              </w:rPr>
              <w:t>$7,</w:t>
            </w:r>
            <w:r>
              <w:rPr>
                <w:sz w:val="18"/>
                <w:szCs w:val="18"/>
              </w:rPr>
              <w:t>050</w:t>
            </w:r>
          </w:p>
        </w:tc>
      </w:tr>
      <w:tr w:rsidRPr="00AD26EB" w:rsidR="00E10D96" w:rsidTr="00BA6931" w14:paraId="1E6FCA49" w14:textId="77777777">
        <w:tc>
          <w:tcPr>
            <w:tcW w:w="1661" w:type="dxa"/>
          </w:tcPr>
          <w:p w:rsidRPr="00AD26EB" w:rsidR="00E10D96" w:rsidP="00932F1D" w:rsidRDefault="00E10D96" w14:paraId="22943DAD" w14:textId="6B59F600">
            <w:pPr>
              <w:widowControl/>
              <w:autoSpaceDE/>
              <w:autoSpaceDN/>
              <w:adjustRightInd/>
              <w:rPr>
                <w:sz w:val="18"/>
                <w:szCs w:val="18"/>
              </w:rPr>
            </w:pPr>
            <w:r w:rsidRPr="00AD26EB">
              <w:rPr>
                <w:sz w:val="18"/>
                <w:szCs w:val="18"/>
              </w:rPr>
              <w:t>School Principal</w:t>
            </w:r>
          </w:p>
        </w:tc>
        <w:tc>
          <w:tcPr>
            <w:tcW w:w="1591" w:type="dxa"/>
          </w:tcPr>
          <w:p w:rsidRPr="00AD26EB" w:rsidR="00E10D96" w:rsidP="00932F1D" w:rsidRDefault="00E10D96" w14:paraId="67752C08" w14:textId="5A023ABD">
            <w:pPr>
              <w:widowControl/>
              <w:autoSpaceDE/>
              <w:autoSpaceDN/>
              <w:adjustRightInd/>
              <w:rPr>
                <w:sz w:val="18"/>
                <w:szCs w:val="18"/>
              </w:rPr>
            </w:pPr>
            <w:r w:rsidRPr="00AD26EB">
              <w:rPr>
                <w:sz w:val="18"/>
                <w:szCs w:val="18"/>
              </w:rPr>
              <w:t>Nonresponse follow-up call</w:t>
            </w:r>
          </w:p>
        </w:tc>
        <w:tc>
          <w:tcPr>
            <w:tcW w:w="1197" w:type="dxa"/>
          </w:tcPr>
          <w:p w:rsidRPr="00AD26EB" w:rsidR="00E10D96" w:rsidP="007252DD" w:rsidRDefault="00E10D96" w14:paraId="058AFFD5" w14:textId="47EF656C">
            <w:pPr>
              <w:rPr>
                <w:sz w:val="18"/>
                <w:szCs w:val="18"/>
              </w:rPr>
            </w:pPr>
            <w:r w:rsidRPr="00AD26EB">
              <w:rPr>
                <w:sz w:val="18"/>
                <w:szCs w:val="18"/>
              </w:rPr>
              <w:t>150</w:t>
            </w:r>
          </w:p>
        </w:tc>
        <w:tc>
          <w:tcPr>
            <w:tcW w:w="1221" w:type="dxa"/>
          </w:tcPr>
          <w:p w:rsidRPr="00AD26EB" w:rsidR="00E10D96" w:rsidP="007252DD" w:rsidRDefault="00E10D96" w14:paraId="7109EE44" w14:textId="762C1CCE">
            <w:pPr>
              <w:rPr>
                <w:sz w:val="18"/>
                <w:szCs w:val="18"/>
              </w:rPr>
            </w:pPr>
            <w:r w:rsidRPr="00AD26EB">
              <w:rPr>
                <w:sz w:val="18"/>
                <w:szCs w:val="18"/>
              </w:rPr>
              <w:t>1</w:t>
            </w:r>
          </w:p>
        </w:tc>
        <w:tc>
          <w:tcPr>
            <w:tcW w:w="1011" w:type="dxa"/>
          </w:tcPr>
          <w:p w:rsidRPr="00AD26EB" w:rsidR="00E10D96" w:rsidP="007252DD" w:rsidRDefault="00E10D96" w14:paraId="4085491F" w14:textId="58C5380E">
            <w:pPr>
              <w:rPr>
                <w:sz w:val="18"/>
                <w:szCs w:val="18"/>
              </w:rPr>
            </w:pPr>
            <w:r w:rsidRPr="00AD26EB">
              <w:rPr>
                <w:sz w:val="18"/>
                <w:szCs w:val="18"/>
              </w:rPr>
              <w:t>5/60</w:t>
            </w:r>
          </w:p>
        </w:tc>
        <w:tc>
          <w:tcPr>
            <w:tcW w:w="884" w:type="dxa"/>
          </w:tcPr>
          <w:p w:rsidRPr="00AD26EB" w:rsidR="00E10D96" w:rsidP="007252DD" w:rsidRDefault="00E10D96" w14:paraId="12271038" w14:textId="188BDF3C">
            <w:pPr>
              <w:rPr>
                <w:sz w:val="18"/>
                <w:szCs w:val="18"/>
              </w:rPr>
            </w:pPr>
            <w:r w:rsidRPr="00AD26EB">
              <w:rPr>
                <w:sz w:val="18"/>
                <w:szCs w:val="18"/>
              </w:rPr>
              <w:t>$47</w:t>
            </w:r>
          </w:p>
        </w:tc>
        <w:tc>
          <w:tcPr>
            <w:tcW w:w="1221" w:type="dxa"/>
          </w:tcPr>
          <w:p w:rsidRPr="00AD26EB" w:rsidR="00E10D96" w:rsidP="007252DD" w:rsidRDefault="00E10D96" w14:paraId="7FA6008B" w14:textId="77779F2C">
            <w:pPr>
              <w:rPr>
                <w:sz w:val="18"/>
                <w:szCs w:val="18"/>
              </w:rPr>
            </w:pPr>
            <w:r w:rsidRPr="00AD26EB">
              <w:rPr>
                <w:sz w:val="18"/>
                <w:szCs w:val="18"/>
              </w:rPr>
              <w:t>$</w:t>
            </w:r>
            <w:r>
              <w:rPr>
                <w:sz w:val="18"/>
                <w:szCs w:val="18"/>
              </w:rPr>
              <w:t>587</w:t>
            </w:r>
          </w:p>
        </w:tc>
      </w:tr>
      <w:tr w:rsidRPr="00AD26EB" w:rsidR="00E10D96" w:rsidTr="00BA6931" w14:paraId="75CE1D66" w14:textId="77777777">
        <w:tc>
          <w:tcPr>
            <w:tcW w:w="1661" w:type="dxa"/>
          </w:tcPr>
          <w:p w:rsidRPr="00AD26EB" w:rsidR="00E10D96" w:rsidP="00D24CCF" w:rsidRDefault="00E10D96" w14:paraId="52D79293" w14:textId="6BE87028">
            <w:pPr>
              <w:widowControl/>
              <w:autoSpaceDE/>
              <w:autoSpaceDN/>
              <w:adjustRightInd/>
              <w:rPr>
                <w:sz w:val="18"/>
                <w:szCs w:val="18"/>
              </w:rPr>
            </w:pPr>
            <w:r w:rsidRPr="00AD26EB">
              <w:rPr>
                <w:sz w:val="18"/>
                <w:szCs w:val="18"/>
              </w:rPr>
              <w:t>School Principal</w:t>
            </w:r>
          </w:p>
        </w:tc>
        <w:tc>
          <w:tcPr>
            <w:tcW w:w="1591" w:type="dxa"/>
          </w:tcPr>
          <w:p w:rsidRPr="00AD26EB" w:rsidR="00E10D96" w:rsidP="00D24CCF" w:rsidRDefault="00E10D96" w14:paraId="41B01AAD" w14:textId="2C0EE799">
            <w:pPr>
              <w:widowControl/>
              <w:autoSpaceDE/>
              <w:autoSpaceDN/>
              <w:adjustRightInd/>
              <w:rPr>
                <w:color w:val="000000"/>
                <w:sz w:val="18"/>
                <w:szCs w:val="18"/>
              </w:rPr>
            </w:pPr>
            <w:r w:rsidRPr="00AD26EB">
              <w:rPr>
                <w:sz w:val="18"/>
                <w:szCs w:val="18"/>
              </w:rPr>
              <w:t>School Principal Questionnaire Time 2</w:t>
            </w:r>
          </w:p>
        </w:tc>
        <w:tc>
          <w:tcPr>
            <w:tcW w:w="1197" w:type="dxa"/>
          </w:tcPr>
          <w:p w:rsidRPr="00AD26EB" w:rsidR="00E10D96" w:rsidP="007252DD" w:rsidRDefault="00E10D96" w14:paraId="603AFEB9" w14:textId="720559B9">
            <w:pPr>
              <w:rPr>
                <w:sz w:val="18"/>
                <w:szCs w:val="18"/>
              </w:rPr>
            </w:pPr>
            <w:r w:rsidRPr="00AD26EB">
              <w:rPr>
                <w:sz w:val="18"/>
                <w:szCs w:val="18"/>
              </w:rPr>
              <w:t>200</w:t>
            </w:r>
          </w:p>
        </w:tc>
        <w:tc>
          <w:tcPr>
            <w:tcW w:w="1221" w:type="dxa"/>
          </w:tcPr>
          <w:p w:rsidRPr="00AD26EB" w:rsidR="00E10D96" w:rsidP="007252DD" w:rsidRDefault="00E10D96" w14:paraId="0B4F2341" w14:textId="0F0AF1FF">
            <w:pPr>
              <w:rPr>
                <w:sz w:val="18"/>
                <w:szCs w:val="18"/>
              </w:rPr>
            </w:pPr>
            <w:r w:rsidRPr="00AD26EB">
              <w:rPr>
                <w:sz w:val="18"/>
                <w:szCs w:val="18"/>
              </w:rPr>
              <w:t>1</w:t>
            </w:r>
          </w:p>
        </w:tc>
        <w:tc>
          <w:tcPr>
            <w:tcW w:w="1011" w:type="dxa"/>
          </w:tcPr>
          <w:p w:rsidRPr="00AD26EB" w:rsidR="00E10D96" w:rsidP="007252DD" w:rsidRDefault="00E10D96" w14:paraId="524AE841" w14:textId="2F669E47">
            <w:pPr>
              <w:rPr>
                <w:sz w:val="18"/>
                <w:szCs w:val="18"/>
              </w:rPr>
            </w:pPr>
            <w:r w:rsidRPr="00AD26EB">
              <w:rPr>
                <w:sz w:val="18"/>
                <w:szCs w:val="18"/>
              </w:rPr>
              <w:t>45/60</w:t>
            </w:r>
          </w:p>
        </w:tc>
        <w:tc>
          <w:tcPr>
            <w:tcW w:w="884" w:type="dxa"/>
          </w:tcPr>
          <w:p w:rsidRPr="00AD26EB" w:rsidR="00E10D96" w:rsidP="007252DD" w:rsidRDefault="00E10D96" w14:paraId="52A0CB19" w14:textId="12DB0DEF">
            <w:pPr>
              <w:rPr>
                <w:sz w:val="18"/>
                <w:szCs w:val="18"/>
              </w:rPr>
            </w:pPr>
            <w:r w:rsidRPr="00AD26EB">
              <w:rPr>
                <w:sz w:val="18"/>
                <w:szCs w:val="18"/>
              </w:rPr>
              <w:t>$47</w:t>
            </w:r>
          </w:p>
        </w:tc>
        <w:tc>
          <w:tcPr>
            <w:tcW w:w="1221" w:type="dxa"/>
          </w:tcPr>
          <w:p w:rsidRPr="00AD26EB" w:rsidR="00E10D96" w:rsidP="007252DD" w:rsidRDefault="00E10D96" w14:paraId="7D9C71FE" w14:textId="6928A1AB">
            <w:pPr>
              <w:rPr>
                <w:sz w:val="18"/>
                <w:szCs w:val="18"/>
              </w:rPr>
            </w:pPr>
            <w:r w:rsidRPr="00AD26EB">
              <w:rPr>
                <w:sz w:val="18"/>
                <w:szCs w:val="18"/>
              </w:rPr>
              <w:t>$7,</w:t>
            </w:r>
            <w:r>
              <w:rPr>
                <w:sz w:val="18"/>
                <w:szCs w:val="18"/>
              </w:rPr>
              <w:t>050</w:t>
            </w:r>
          </w:p>
        </w:tc>
      </w:tr>
      <w:tr w:rsidRPr="00AD26EB" w:rsidR="00E10D96" w:rsidTr="00BA6931" w14:paraId="69C22A2B" w14:textId="77777777">
        <w:tc>
          <w:tcPr>
            <w:tcW w:w="1661" w:type="dxa"/>
          </w:tcPr>
          <w:p w:rsidRPr="00AD26EB" w:rsidR="00E10D96" w:rsidP="00D24CCF" w:rsidRDefault="00E10D96" w14:paraId="448DF2BA" w14:textId="7DE43243">
            <w:pPr>
              <w:widowControl/>
              <w:autoSpaceDE/>
              <w:autoSpaceDN/>
              <w:adjustRightInd/>
              <w:rPr>
                <w:sz w:val="18"/>
                <w:szCs w:val="18"/>
              </w:rPr>
            </w:pPr>
            <w:r>
              <w:rPr>
                <w:sz w:val="20"/>
                <w:szCs w:val="20"/>
              </w:rPr>
              <w:t>School Principal</w:t>
            </w:r>
          </w:p>
        </w:tc>
        <w:tc>
          <w:tcPr>
            <w:tcW w:w="1591" w:type="dxa"/>
            <w:vAlign w:val="center"/>
          </w:tcPr>
          <w:p w:rsidRPr="00AD26EB" w:rsidR="00E10D96" w:rsidP="00D24CCF" w:rsidRDefault="00E10D96" w14:paraId="14A59C72" w14:textId="37686A5E">
            <w:pPr>
              <w:widowControl/>
              <w:autoSpaceDE/>
              <w:autoSpaceDN/>
              <w:adjustRightInd/>
              <w:rPr>
                <w:sz w:val="18"/>
                <w:szCs w:val="18"/>
              </w:rPr>
            </w:pPr>
            <w:r w:rsidRPr="00AD26EB">
              <w:rPr>
                <w:sz w:val="18"/>
                <w:szCs w:val="18"/>
              </w:rPr>
              <w:t xml:space="preserve">School Principal </w:t>
            </w:r>
            <w:r>
              <w:rPr>
                <w:sz w:val="20"/>
                <w:szCs w:val="20"/>
              </w:rPr>
              <w:t>Supplemental questions</w:t>
            </w:r>
          </w:p>
        </w:tc>
        <w:tc>
          <w:tcPr>
            <w:tcW w:w="1197" w:type="dxa"/>
          </w:tcPr>
          <w:p w:rsidRPr="00AD26EB" w:rsidR="00E10D96" w:rsidP="007252DD" w:rsidRDefault="00E10D96" w14:paraId="306F70D8" w14:textId="7D6AA64E">
            <w:pPr>
              <w:rPr>
                <w:sz w:val="18"/>
                <w:szCs w:val="18"/>
              </w:rPr>
            </w:pPr>
            <w:r>
              <w:rPr>
                <w:sz w:val="20"/>
                <w:szCs w:val="20"/>
              </w:rPr>
              <w:t>200</w:t>
            </w:r>
          </w:p>
        </w:tc>
        <w:tc>
          <w:tcPr>
            <w:tcW w:w="1221" w:type="dxa"/>
          </w:tcPr>
          <w:p w:rsidRPr="00AD26EB" w:rsidR="00E10D96" w:rsidP="007252DD" w:rsidRDefault="00E10D96" w14:paraId="3E48E77C" w14:textId="7F7AFF5C">
            <w:pPr>
              <w:rPr>
                <w:sz w:val="18"/>
                <w:szCs w:val="18"/>
              </w:rPr>
            </w:pPr>
            <w:r>
              <w:rPr>
                <w:sz w:val="20"/>
                <w:szCs w:val="20"/>
              </w:rPr>
              <w:t>1</w:t>
            </w:r>
          </w:p>
        </w:tc>
        <w:tc>
          <w:tcPr>
            <w:tcW w:w="1011" w:type="dxa"/>
          </w:tcPr>
          <w:p w:rsidRPr="00AD26EB" w:rsidR="00E10D96" w:rsidP="007252DD" w:rsidRDefault="00E10D96" w14:paraId="0DE551CC" w14:textId="2CA36489">
            <w:pPr>
              <w:rPr>
                <w:sz w:val="18"/>
                <w:szCs w:val="18"/>
              </w:rPr>
            </w:pPr>
            <w:r>
              <w:rPr>
                <w:sz w:val="20"/>
                <w:szCs w:val="20"/>
              </w:rPr>
              <w:t>5/60</w:t>
            </w:r>
          </w:p>
        </w:tc>
        <w:tc>
          <w:tcPr>
            <w:tcW w:w="884" w:type="dxa"/>
          </w:tcPr>
          <w:p w:rsidRPr="007252DD" w:rsidR="00E10D96" w:rsidP="007252DD" w:rsidRDefault="00E10D96" w14:paraId="0BED0AEB" w14:textId="4B99CFA4">
            <w:pPr>
              <w:rPr>
                <w:sz w:val="18"/>
                <w:szCs w:val="18"/>
              </w:rPr>
            </w:pPr>
            <w:r w:rsidRPr="007252DD">
              <w:rPr>
                <w:sz w:val="18"/>
                <w:szCs w:val="18"/>
              </w:rPr>
              <w:t>$47</w:t>
            </w:r>
          </w:p>
        </w:tc>
        <w:tc>
          <w:tcPr>
            <w:tcW w:w="1221" w:type="dxa"/>
          </w:tcPr>
          <w:p w:rsidRPr="007252DD" w:rsidR="00E10D96" w:rsidP="007252DD" w:rsidRDefault="00E10D96" w14:paraId="1FC87F23" w14:textId="43225B09">
            <w:pPr>
              <w:rPr>
                <w:sz w:val="18"/>
                <w:szCs w:val="18"/>
              </w:rPr>
            </w:pPr>
            <w:r w:rsidRPr="007252DD">
              <w:rPr>
                <w:sz w:val="18"/>
                <w:szCs w:val="18"/>
              </w:rPr>
              <w:t>$7</w:t>
            </w:r>
            <w:r>
              <w:rPr>
                <w:sz w:val="18"/>
                <w:szCs w:val="18"/>
              </w:rPr>
              <w:t>83</w:t>
            </w:r>
          </w:p>
        </w:tc>
      </w:tr>
      <w:tr w:rsidRPr="00AD26EB" w:rsidR="00E10D96" w:rsidTr="00BA6931" w14:paraId="099DC2B3" w14:textId="77777777">
        <w:tc>
          <w:tcPr>
            <w:tcW w:w="1661" w:type="dxa"/>
          </w:tcPr>
          <w:p w:rsidRPr="00AD26EB" w:rsidR="00E10D96" w:rsidP="00D24CCF" w:rsidRDefault="00E10D96" w14:paraId="47979424" w14:textId="3A97B315">
            <w:pPr>
              <w:widowControl/>
              <w:autoSpaceDE/>
              <w:autoSpaceDN/>
              <w:adjustRightInd/>
              <w:rPr>
                <w:sz w:val="18"/>
                <w:szCs w:val="18"/>
              </w:rPr>
            </w:pPr>
            <w:r w:rsidRPr="00AD26EB">
              <w:rPr>
                <w:sz w:val="18"/>
                <w:szCs w:val="18"/>
              </w:rPr>
              <w:t>School Principal</w:t>
            </w:r>
          </w:p>
        </w:tc>
        <w:tc>
          <w:tcPr>
            <w:tcW w:w="1591" w:type="dxa"/>
          </w:tcPr>
          <w:p w:rsidRPr="00AD26EB" w:rsidR="00E10D96" w:rsidP="00D24CCF" w:rsidRDefault="00E10D96" w14:paraId="7F4AC345" w14:textId="331F01DF">
            <w:pPr>
              <w:widowControl/>
              <w:autoSpaceDE/>
              <w:autoSpaceDN/>
              <w:adjustRightInd/>
              <w:rPr>
                <w:sz w:val="18"/>
                <w:szCs w:val="18"/>
              </w:rPr>
            </w:pPr>
            <w:r w:rsidRPr="00AD26EB">
              <w:rPr>
                <w:sz w:val="18"/>
                <w:szCs w:val="18"/>
              </w:rPr>
              <w:t>Nonresponse follow-up call</w:t>
            </w:r>
          </w:p>
        </w:tc>
        <w:tc>
          <w:tcPr>
            <w:tcW w:w="1197" w:type="dxa"/>
          </w:tcPr>
          <w:p w:rsidRPr="00AD26EB" w:rsidR="00E10D96" w:rsidP="007252DD" w:rsidRDefault="00E10D96" w14:paraId="042FDCC0" w14:textId="46BAF1B7">
            <w:pPr>
              <w:rPr>
                <w:sz w:val="18"/>
                <w:szCs w:val="18"/>
              </w:rPr>
            </w:pPr>
            <w:r w:rsidRPr="00AD26EB">
              <w:rPr>
                <w:sz w:val="18"/>
                <w:szCs w:val="18"/>
              </w:rPr>
              <w:t>150</w:t>
            </w:r>
          </w:p>
        </w:tc>
        <w:tc>
          <w:tcPr>
            <w:tcW w:w="1221" w:type="dxa"/>
          </w:tcPr>
          <w:p w:rsidRPr="00AD26EB" w:rsidR="00E10D96" w:rsidP="007252DD" w:rsidRDefault="00E10D96" w14:paraId="34FC093D" w14:textId="3995781D">
            <w:pPr>
              <w:rPr>
                <w:sz w:val="18"/>
                <w:szCs w:val="18"/>
              </w:rPr>
            </w:pPr>
            <w:r w:rsidRPr="00AD26EB">
              <w:rPr>
                <w:sz w:val="18"/>
                <w:szCs w:val="18"/>
              </w:rPr>
              <w:t>1</w:t>
            </w:r>
          </w:p>
        </w:tc>
        <w:tc>
          <w:tcPr>
            <w:tcW w:w="1011" w:type="dxa"/>
          </w:tcPr>
          <w:p w:rsidRPr="00AD26EB" w:rsidR="00E10D96" w:rsidP="007252DD" w:rsidRDefault="00E10D96" w14:paraId="3B346048" w14:textId="16169DEA">
            <w:pPr>
              <w:rPr>
                <w:sz w:val="18"/>
                <w:szCs w:val="18"/>
              </w:rPr>
            </w:pPr>
            <w:r w:rsidRPr="00AD26EB">
              <w:rPr>
                <w:sz w:val="18"/>
                <w:szCs w:val="18"/>
              </w:rPr>
              <w:t>5/60</w:t>
            </w:r>
          </w:p>
        </w:tc>
        <w:tc>
          <w:tcPr>
            <w:tcW w:w="884" w:type="dxa"/>
          </w:tcPr>
          <w:p w:rsidRPr="00AD26EB" w:rsidR="00E10D96" w:rsidP="007252DD" w:rsidRDefault="00E10D96" w14:paraId="3AD28CA1" w14:textId="4F8B4457">
            <w:pPr>
              <w:rPr>
                <w:sz w:val="18"/>
                <w:szCs w:val="18"/>
              </w:rPr>
            </w:pPr>
            <w:r w:rsidRPr="00AD26EB">
              <w:rPr>
                <w:sz w:val="18"/>
                <w:szCs w:val="18"/>
              </w:rPr>
              <w:t>$47</w:t>
            </w:r>
          </w:p>
        </w:tc>
        <w:tc>
          <w:tcPr>
            <w:tcW w:w="1221" w:type="dxa"/>
          </w:tcPr>
          <w:p w:rsidRPr="00AD26EB" w:rsidR="00E10D96" w:rsidP="007252DD" w:rsidRDefault="00E10D96" w14:paraId="3A69D85A" w14:textId="180B5272">
            <w:pPr>
              <w:rPr>
                <w:sz w:val="18"/>
                <w:szCs w:val="18"/>
              </w:rPr>
            </w:pPr>
            <w:r w:rsidRPr="00AD26EB">
              <w:rPr>
                <w:sz w:val="18"/>
                <w:szCs w:val="18"/>
              </w:rPr>
              <w:t>$</w:t>
            </w:r>
            <w:r>
              <w:rPr>
                <w:sz w:val="18"/>
                <w:szCs w:val="18"/>
              </w:rPr>
              <w:t>587</w:t>
            </w:r>
          </w:p>
        </w:tc>
      </w:tr>
      <w:tr w:rsidRPr="00AD26EB" w:rsidR="00E10D96" w:rsidTr="00BA6931" w14:paraId="4076600A" w14:textId="77777777">
        <w:tc>
          <w:tcPr>
            <w:tcW w:w="1661" w:type="dxa"/>
          </w:tcPr>
          <w:p w:rsidRPr="00AD26EB" w:rsidR="00E10D96" w:rsidP="00D24CCF" w:rsidRDefault="00E10D96" w14:paraId="2DB0E10C" w14:textId="3BDEC226">
            <w:pPr>
              <w:widowControl/>
              <w:autoSpaceDE/>
              <w:autoSpaceDN/>
              <w:adjustRightInd/>
              <w:rPr>
                <w:color w:val="000000"/>
                <w:sz w:val="18"/>
                <w:szCs w:val="18"/>
              </w:rPr>
            </w:pPr>
            <w:r w:rsidRPr="00AD26EB">
              <w:rPr>
                <w:color w:val="000000"/>
                <w:sz w:val="18"/>
                <w:szCs w:val="18"/>
              </w:rPr>
              <w:t>Lead Health Education Teacher</w:t>
            </w:r>
          </w:p>
        </w:tc>
        <w:tc>
          <w:tcPr>
            <w:tcW w:w="1591" w:type="dxa"/>
          </w:tcPr>
          <w:p w:rsidRPr="00AD26EB" w:rsidR="00E10D96" w:rsidP="00D24CCF" w:rsidRDefault="00E10D96" w14:paraId="044303E1" w14:textId="1D1AF189">
            <w:pPr>
              <w:widowControl/>
              <w:autoSpaceDE/>
              <w:autoSpaceDN/>
              <w:adjustRightInd/>
              <w:rPr>
                <w:color w:val="000000"/>
                <w:sz w:val="18"/>
                <w:szCs w:val="18"/>
              </w:rPr>
            </w:pPr>
            <w:r w:rsidRPr="00AD26EB">
              <w:rPr>
                <w:color w:val="000000"/>
                <w:sz w:val="18"/>
                <w:szCs w:val="18"/>
              </w:rPr>
              <w:t>Lead Health Education Teacher Questionnaire Time 1</w:t>
            </w:r>
          </w:p>
        </w:tc>
        <w:tc>
          <w:tcPr>
            <w:tcW w:w="1197" w:type="dxa"/>
          </w:tcPr>
          <w:p w:rsidRPr="00AD26EB" w:rsidR="00E10D96" w:rsidP="007252DD" w:rsidRDefault="00E10D96" w14:paraId="23217AB2" w14:textId="77777777">
            <w:pPr>
              <w:rPr>
                <w:sz w:val="18"/>
                <w:szCs w:val="18"/>
              </w:rPr>
            </w:pPr>
            <w:r w:rsidRPr="00AD26EB">
              <w:rPr>
                <w:sz w:val="18"/>
                <w:szCs w:val="18"/>
              </w:rPr>
              <w:t>200</w:t>
            </w:r>
          </w:p>
        </w:tc>
        <w:tc>
          <w:tcPr>
            <w:tcW w:w="1221" w:type="dxa"/>
          </w:tcPr>
          <w:p w:rsidRPr="00AD26EB" w:rsidR="00E10D96" w:rsidP="007252DD" w:rsidRDefault="00E10D96" w14:paraId="19D02278" w14:textId="4EADD6FC">
            <w:pPr>
              <w:rPr>
                <w:sz w:val="18"/>
                <w:szCs w:val="18"/>
              </w:rPr>
            </w:pPr>
            <w:r w:rsidRPr="00AD26EB">
              <w:rPr>
                <w:sz w:val="18"/>
                <w:szCs w:val="18"/>
              </w:rPr>
              <w:t>1</w:t>
            </w:r>
          </w:p>
        </w:tc>
        <w:tc>
          <w:tcPr>
            <w:tcW w:w="1011" w:type="dxa"/>
          </w:tcPr>
          <w:p w:rsidRPr="00AD26EB" w:rsidR="00E10D96" w:rsidP="007252DD" w:rsidRDefault="00E10D96" w14:paraId="566CCB17" w14:textId="7E307F1A">
            <w:pPr>
              <w:rPr>
                <w:sz w:val="18"/>
                <w:szCs w:val="18"/>
              </w:rPr>
            </w:pPr>
            <w:r w:rsidRPr="00AD26EB">
              <w:rPr>
                <w:sz w:val="18"/>
                <w:szCs w:val="18"/>
              </w:rPr>
              <w:t>45/60</w:t>
            </w:r>
          </w:p>
        </w:tc>
        <w:tc>
          <w:tcPr>
            <w:tcW w:w="884" w:type="dxa"/>
          </w:tcPr>
          <w:p w:rsidRPr="00AD26EB" w:rsidR="00E10D96" w:rsidP="007252DD" w:rsidRDefault="00E10D96" w14:paraId="7F24BCBA" w14:textId="298A3AF4">
            <w:pPr>
              <w:rPr>
                <w:sz w:val="18"/>
                <w:szCs w:val="18"/>
              </w:rPr>
            </w:pPr>
            <w:r w:rsidRPr="00AD26EB">
              <w:rPr>
                <w:sz w:val="18"/>
                <w:szCs w:val="18"/>
              </w:rPr>
              <w:t>$3</w:t>
            </w:r>
            <w:r>
              <w:rPr>
                <w:sz w:val="18"/>
                <w:szCs w:val="18"/>
              </w:rPr>
              <w:t>1</w:t>
            </w:r>
          </w:p>
        </w:tc>
        <w:tc>
          <w:tcPr>
            <w:tcW w:w="1221" w:type="dxa"/>
          </w:tcPr>
          <w:p w:rsidRPr="00AD26EB" w:rsidR="00E10D96" w:rsidP="007252DD" w:rsidRDefault="00E10D96" w14:paraId="3F6929D3" w14:textId="2AFD8CFE">
            <w:pPr>
              <w:rPr>
                <w:sz w:val="18"/>
                <w:szCs w:val="18"/>
              </w:rPr>
            </w:pPr>
            <w:r w:rsidRPr="00AD26EB">
              <w:rPr>
                <w:sz w:val="18"/>
                <w:szCs w:val="18"/>
              </w:rPr>
              <w:t>$4,6</w:t>
            </w:r>
            <w:r>
              <w:rPr>
                <w:sz w:val="18"/>
                <w:szCs w:val="18"/>
              </w:rPr>
              <w:t>50</w:t>
            </w:r>
          </w:p>
        </w:tc>
      </w:tr>
      <w:tr w:rsidRPr="00AD26EB" w:rsidR="00E10D96" w:rsidTr="00BA6931" w14:paraId="19A4E877" w14:textId="77777777">
        <w:tc>
          <w:tcPr>
            <w:tcW w:w="1661" w:type="dxa"/>
          </w:tcPr>
          <w:p w:rsidRPr="00AD26EB" w:rsidR="00E10D96" w:rsidP="00D24CCF" w:rsidRDefault="00E10D96" w14:paraId="70843325" w14:textId="3B7E181E">
            <w:pPr>
              <w:widowControl/>
              <w:autoSpaceDE/>
              <w:autoSpaceDN/>
              <w:adjustRightInd/>
              <w:rPr>
                <w:sz w:val="18"/>
                <w:szCs w:val="18"/>
              </w:rPr>
            </w:pPr>
            <w:r w:rsidRPr="00AD26EB">
              <w:rPr>
                <w:color w:val="000000"/>
                <w:sz w:val="18"/>
                <w:szCs w:val="18"/>
              </w:rPr>
              <w:t>Lead Health Education Teacher</w:t>
            </w:r>
          </w:p>
        </w:tc>
        <w:tc>
          <w:tcPr>
            <w:tcW w:w="1591" w:type="dxa"/>
          </w:tcPr>
          <w:p w:rsidRPr="00AD26EB" w:rsidR="00E10D96" w:rsidP="00D24CCF" w:rsidRDefault="00E10D96" w14:paraId="184F380D" w14:textId="75B65FC0">
            <w:pPr>
              <w:widowControl/>
              <w:autoSpaceDE/>
              <w:autoSpaceDN/>
              <w:adjustRightInd/>
              <w:rPr>
                <w:color w:val="000000"/>
                <w:sz w:val="18"/>
                <w:szCs w:val="18"/>
              </w:rPr>
            </w:pPr>
            <w:r w:rsidRPr="00AD26EB">
              <w:rPr>
                <w:sz w:val="18"/>
                <w:szCs w:val="18"/>
              </w:rPr>
              <w:t>Nonresponse follow-up call</w:t>
            </w:r>
          </w:p>
        </w:tc>
        <w:tc>
          <w:tcPr>
            <w:tcW w:w="1197" w:type="dxa"/>
          </w:tcPr>
          <w:p w:rsidRPr="00AD26EB" w:rsidR="00E10D96" w:rsidP="007252DD" w:rsidRDefault="00E10D96" w14:paraId="1ED1ED8D" w14:textId="5C18DA99">
            <w:pPr>
              <w:rPr>
                <w:sz w:val="18"/>
                <w:szCs w:val="18"/>
              </w:rPr>
            </w:pPr>
            <w:r w:rsidRPr="00AD26EB">
              <w:rPr>
                <w:sz w:val="18"/>
                <w:szCs w:val="18"/>
              </w:rPr>
              <w:t>150</w:t>
            </w:r>
          </w:p>
        </w:tc>
        <w:tc>
          <w:tcPr>
            <w:tcW w:w="1221" w:type="dxa"/>
          </w:tcPr>
          <w:p w:rsidRPr="00AD26EB" w:rsidR="00E10D96" w:rsidP="007252DD" w:rsidRDefault="00E10D96" w14:paraId="4DBC9455" w14:textId="3BB32DA0">
            <w:pPr>
              <w:rPr>
                <w:sz w:val="18"/>
                <w:szCs w:val="18"/>
              </w:rPr>
            </w:pPr>
            <w:r w:rsidRPr="00AD26EB">
              <w:rPr>
                <w:sz w:val="18"/>
                <w:szCs w:val="18"/>
              </w:rPr>
              <w:t>1</w:t>
            </w:r>
          </w:p>
        </w:tc>
        <w:tc>
          <w:tcPr>
            <w:tcW w:w="1011" w:type="dxa"/>
          </w:tcPr>
          <w:p w:rsidRPr="00AD26EB" w:rsidR="00E10D96" w:rsidP="007252DD" w:rsidRDefault="00E10D96" w14:paraId="7692EEAC" w14:textId="73CA26AC">
            <w:pPr>
              <w:rPr>
                <w:sz w:val="18"/>
                <w:szCs w:val="18"/>
              </w:rPr>
            </w:pPr>
            <w:r w:rsidRPr="00AD26EB">
              <w:rPr>
                <w:sz w:val="18"/>
                <w:szCs w:val="18"/>
              </w:rPr>
              <w:t>5/60</w:t>
            </w:r>
          </w:p>
        </w:tc>
        <w:tc>
          <w:tcPr>
            <w:tcW w:w="884" w:type="dxa"/>
          </w:tcPr>
          <w:p w:rsidRPr="00AD26EB" w:rsidR="00E10D96" w:rsidP="007252DD" w:rsidRDefault="00E10D96" w14:paraId="5B87F241" w14:textId="44A397FF">
            <w:pPr>
              <w:rPr>
                <w:sz w:val="18"/>
                <w:szCs w:val="18"/>
              </w:rPr>
            </w:pPr>
            <w:r w:rsidRPr="00AD26EB">
              <w:rPr>
                <w:sz w:val="18"/>
                <w:szCs w:val="18"/>
              </w:rPr>
              <w:t>$3</w:t>
            </w:r>
            <w:r>
              <w:rPr>
                <w:sz w:val="18"/>
                <w:szCs w:val="18"/>
              </w:rPr>
              <w:t>1</w:t>
            </w:r>
          </w:p>
        </w:tc>
        <w:tc>
          <w:tcPr>
            <w:tcW w:w="1221" w:type="dxa"/>
          </w:tcPr>
          <w:p w:rsidRPr="00AD26EB" w:rsidR="00E10D96" w:rsidP="007252DD" w:rsidRDefault="00E10D96" w14:paraId="096598D5" w14:textId="0566A1A8">
            <w:pPr>
              <w:rPr>
                <w:sz w:val="18"/>
                <w:szCs w:val="18"/>
              </w:rPr>
            </w:pPr>
            <w:r w:rsidRPr="00AD26EB">
              <w:rPr>
                <w:sz w:val="18"/>
                <w:szCs w:val="18"/>
              </w:rPr>
              <w:t>$</w:t>
            </w:r>
            <w:r>
              <w:rPr>
                <w:sz w:val="18"/>
                <w:szCs w:val="18"/>
              </w:rPr>
              <w:t>387</w:t>
            </w:r>
          </w:p>
        </w:tc>
      </w:tr>
      <w:tr w:rsidRPr="00AD26EB" w:rsidR="00E10D96" w:rsidTr="00BA6931" w14:paraId="37D7032A" w14:textId="77777777">
        <w:tc>
          <w:tcPr>
            <w:tcW w:w="1661" w:type="dxa"/>
          </w:tcPr>
          <w:p w:rsidRPr="00AD26EB" w:rsidR="00E10D96" w:rsidP="00DB655B" w:rsidRDefault="00E10D96" w14:paraId="2F8F9A58" w14:textId="2AEFBB11">
            <w:pPr>
              <w:widowControl/>
              <w:autoSpaceDE/>
              <w:autoSpaceDN/>
              <w:adjustRightInd/>
              <w:rPr>
                <w:color w:val="000000"/>
                <w:sz w:val="18"/>
                <w:szCs w:val="18"/>
              </w:rPr>
            </w:pPr>
            <w:r w:rsidRPr="00AD26EB">
              <w:rPr>
                <w:color w:val="000000"/>
                <w:sz w:val="18"/>
                <w:szCs w:val="18"/>
              </w:rPr>
              <w:t>Lead Health Education Teacher</w:t>
            </w:r>
          </w:p>
        </w:tc>
        <w:tc>
          <w:tcPr>
            <w:tcW w:w="1591" w:type="dxa"/>
          </w:tcPr>
          <w:p w:rsidRPr="00AD26EB" w:rsidR="00E10D96" w:rsidP="00DB655B" w:rsidRDefault="00E10D96" w14:paraId="6676E2D6" w14:textId="1AAB0FF3">
            <w:pPr>
              <w:widowControl/>
              <w:autoSpaceDE/>
              <w:autoSpaceDN/>
              <w:adjustRightInd/>
              <w:rPr>
                <w:color w:val="000000"/>
                <w:sz w:val="18"/>
                <w:szCs w:val="18"/>
              </w:rPr>
            </w:pPr>
            <w:r w:rsidRPr="00AD26EB">
              <w:rPr>
                <w:color w:val="000000"/>
                <w:sz w:val="18"/>
                <w:szCs w:val="18"/>
              </w:rPr>
              <w:t>Lead Health Education Teacher Questionnaire Time 2</w:t>
            </w:r>
          </w:p>
        </w:tc>
        <w:tc>
          <w:tcPr>
            <w:tcW w:w="1197" w:type="dxa"/>
          </w:tcPr>
          <w:p w:rsidRPr="00AD26EB" w:rsidR="00E10D96" w:rsidP="007252DD" w:rsidRDefault="00E10D96" w14:paraId="427BFCB6" w14:textId="61D8BFD3">
            <w:pPr>
              <w:rPr>
                <w:sz w:val="18"/>
                <w:szCs w:val="18"/>
              </w:rPr>
            </w:pPr>
            <w:r w:rsidRPr="00AD26EB">
              <w:rPr>
                <w:sz w:val="18"/>
                <w:szCs w:val="18"/>
              </w:rPr>
              <w:t>200</w:t>
            </w:r>
          </w:p>
        </w:tc>
        <w:tc>
          <w:tcPr>
            <w:tcW w:w="1221" w:type="dxa"/>
          </w:tcPr>
          <w:p w:rsidRPr="00AD26EB" w:rsidR="00E10D96" w:rsidP="007252DD" w:rsidRDefault="00E10D96" w14:paraId="6F598783" w14:textId="1823A5A1">
            <w:pPr>
              <w:rPr>
                <w:sz w:val="18"/>
                <w:szCs w:val="18"/>
              </w:rPr>
            </w:pPr>
            <w:r w:rsidRPr="00AD26EB">
              <w:rPr>
                <w:sz w:val="18"/>
                <w:szCs w:val="18"/>
              </w:rPr>
              <w:t>1</w:t>
            </w:r>
          </w:p>
        </w:tc>
        <w:tc>
          <w:tcPr>
            <w:tcW w:w="1011" w:type="dxa"/>
          </w:tcPr>
          <w:p w:rsidRPr="00AD26EB" w:rsidR="00E10D96" w:rsidP="007252DD" w:rsidRDefault="00E10D96" w14:paraId="299AA1B1" w14:textId="47E56166">
            <w:pPr>
              <w:rPr>
                <w:sz w:val="18"/>
                <w:szCs w:val="18"/>
              </w:rPr>
            </w:pPr>
            <w:r w:rsidRPr="00AD26EB">
              <w:rPr>
                <w:sz w:val="18"/>
                <w:szCs w:val="18"/>
              </w:rPr>
              <w:t>45/60</w:t>
            </w:r>
          </w:p>
        </w:tc>
        <w:tc>
          <w:tcPr>
            <w:tcW w:w="884" w:type="dxa"/>
          </w:tcPr>
          <w:p w:rsidRPr="00AD26EB" w:rsidR="00E10D96" w:rsidP="007252DD" w:rsidRDefault="00E10D96" w14:paraId="4255C637" w14:textId="118A9C3D">
            <w:pPr>
              <w:rPr>
                <w:sz w:val="18"/>
                <w:szCs w:val="18"/>
              </w:rPr>
            </w:pPr>
            <w:r w:rsidRPr="00AD26EB">
              <w:rPr>
                <w:sz w:val="18"/>
                <w:szCs w:val="18"/>
              </w:rPr>
              <w:t>$3</w:t>
            </w:r>
            <w:r>
              <w:rPr>
                <w:sz w:val="18"/>
                <w:szCs w:val="18"/>
              </w:rPr>
              <w:t>1</w:t>
            </w:r>
          </w:p>
        </w:tc>
        <w:tc>
          <w:tcPr>
            <w:tcW w:w="1221" w:type="dxa"/>
          </w:tcPr>
          <w:p w:rsidRPr="00AD26EB" w:rsidR="00E10D96" w:rsidP="007252DD" w:rsidRDefault="00E10D96" w14:paraId="6FA2139B" w14:textId="2EFBF604">
            <w:pPr>
              <w:rPr>
                <w:sz w:val="18"/>
                <w:szCs w:val="18"/>
              </w:rPr>
            </w:pPr>
            <w:r w:rsidRPr="00AD26EB">
              <w:rPr>
                <w:sz w:val="18"/>
                <w:szCs w:val="18"/>
              </w:rPr>
              <w:t>$4,6</w:t>
            </w:r>
            <w:r>
              <w:rPr>
                <w:sz w:val="18"/>
                <w:szCs w:val="18"/>
              </w:rPr>
              <w:t>50</w:t>
            </w:r>
          </w:p>
        </w:tc>
      </w:tr>
      <w:tr w:rsidRPr="00AD26EB" w:rsidR="00E10D96" w:rsidTr="00BA6931" w14:paraId="50D33EB1" w14:textId="77777777">
        <w:tc>
          <w:tcPr>
            <w:tcW w:w="1661" w:type="dxa"/>
          </w:tcPr>
          <w:p w:rsidRPr="00AD26EB" w:rsidR="00E10D96" w:rsidP="00DB655B" w:rsidRDefault="00E10D96" w14:paraId="6F8ACC79" w14:textId="1FBE8F69">
            <w:pPr>
              <w:widowControl/>
              <w:autoSpaceDE/>
              <w:autoSpaceDN/>
              <w:adjustRightInd/>
              <w:rPr>
                <w:color w:val="000000"/>
                <w:sz w:val="18"/>
                <w:szCs w:val="18"/>
              </w:rPr>
            </w:pPr>
            <w:r w:rsidRPr="00AD26EB">
              <w:rPr>
                <w:color w:val="000000"/>
                <w:sz w:val="18"/>
                <w:szCs w:val="18"/>
              </w:rPr>
              <w:t>Lead Health Education Teacher</w:t>
            </w:r>
          </w:p>
        </w:tc>
        <w:tc>
          <w:tcPr>
            <w:tcW w:w="1591" w:type="dxa"/>
          </w:tcPr>
          <w:p w:rsidRPr="00AD26EB" w:rsidR="00E10D96" w:rsidP="00DB655B" w:rsidRDefault="00E10D96" w14:paraId="3AD33C96" w14:textId="59806155">
            <w:pPr>
              <w:widowControl/>
              <w:autoSpaceDE/>
              <w:autoSpaceDN/>
              <w:adjustRightInd/>
              <w:rPr>
                <w:color w:val="000000"/>
                <w:sz w:val="18"/>
                <w:szCs w:val="18"/>
              </w:rPr>
            </w:pPr>
            <w:r w:rsidRPr="000E4BC8">
              <w:rPr>
                <w:color w:val="000000"/>
                <w:sz w:val="20"/>
                <w:szCs w:val="20"/>
              </w:rPr>
              <w:t>Lead Health Educat</w:t>
            </w:r>
            <w:r>
              <w:rPr>
                <w:color w:val="000000"/>
                <w:sz w:val="20"/>
                <w:szCs w:val="20"/>
              </w:rPr>
              <w:t>ion Teacher</w:t>
            </w:r>
            <w:r w:rsidRPr="000E4BC8">
              <w:rPr>
                <w:color w:val="000000"/>
                <w:sz w:val="20"/>
                <w:szCs w:val="20"/>
              </w:rPr>
              <w:t xml:space="preserve"> </w:t>
            </w:r>
            <w:r w:rsidRPr="006B0C8F">
              <w:rPr>
                <w:sz w:val="20"/>
                <w:szCs w:val="20"/>
              </w:rPr>
              <w:t xml:space="preserve">Supplemental </w:t>
            </w:r>
            <w:r>
              <w:rPr>
                <w:sz w:val="20"/>
                <w:szCs w:val="20"/>
              </w:rPr>
              <w:t>Q</w:t>
            </w:r>
            <w:r w:rsidRPr="006B0C8F">
              <w:rPr>
                <w:sz w:val="20"/>
                <w:szCs w:val="20"/>
              </w:rPr>
              <w:t>uestions</w:t>
            </w:r>
          </w:p>
        </w:tc>
        <w:tc>
          <w:tcPr>
            <w:tcW w:w="1197" w:type="dxa"/>
          </w:tcPr>
          <w:p w:rsidRPr="00AD26EB" w:rsidR="00E10D96" w:rsidP="007252DD" w:rsidRDefault="00E10D96" w14:paraId="54C81F6E" w14:textId="58AD061D">
            <w:pPr>
              <w:rPr>
                <w:sz w:val="18"/>
                <w:szCs w:val="18"/>
              </w:rPr>
            </w:pPr>
            <w:r>
              <w:rPr>
                <w:sz w:val="18"/>
                <w:szCs w:val="18"/>
              </w:rPr>
              <w:t>200</w:t>
            </w:r>
          </w:p>
        </w:tc>
        <w:tc>
          <w:tcPr>
            <w:tcW w:w="1221" w:type="dxa"/>
          </w:tcPr>
          <w:p w:rsidRPr="00AD26EB" w:rsidR="00E10D96" w:rsidP="007252DD" w:rsidRDefault="00E10D96" w14:paraId="1C6AB01B" w14:textId="7AB58A71">
            <w:pPr>
              <w:rPr>
                <w:sz w:val="18"/>
                <w:szCs w:val="18"/>
              </w:rPr>
            </w:pPr>
            <w:r>
              <w:rPr>
                <w:sz w:val="18"/>
                <w:szCs w:val="18"/>
              </w:rPr>
              <w:t>1</w:t>
            </w:r>
          </w:p>
        </w:tc>
        <w:tc>
          <w:tcPr>
            <w:tcW w:w="1011" w:type="dxa"/>
          </w:tcPr>
          <w:p w:rsidRPr="00AD26EB" w:rsidR="00E10D96" w:rsidP="007252DD" w:rsidRDefault="00E10D96" w14:paraId="43F2B9ED" w14:textId="16405CE7">
            <w:pPr>
              <w:rPr>
                <w:sz w:val="18"/>
                <w:szCs w:val="18"/>
              </w:rPr>
            </w:pPr>
            <w:r w:rsidRPr="00AD26EB">
              <w:rPr>
                <w:sz w:val="18"/>
                <w:szCs w:val="18"/>
              </w:rPr>
              <w:t>5/60</w:t>
            </w:r>
          </w:p>
        </w:tc>
        <w:tc>
          <w:tcPr>
            <w:tcW w:w="884" w:type="dxa"/>
          </w:tcPr>
          <w:p w:rsidRPr="007252DD" w:rsidR="00E10D96" w:rsidP="007252DD" w:rsidRDefault="00E10D96" w14:paraId="3A4ECEAA" w14:textId="22E050B1">
            <w:pPr>
              <w:rPr>
                <w:sz w:val="18"/>
                <w:szCs w:val="18"/>
              </w:rPr>
            </w:pPr>
            <w:r w:rsidRPr="007252DD">
              <w:rPr>
                <w:sz w:val="18"/>
                <w:szCs w:val="18"/>
              </w:rPr>
              <w:t>$31</w:t>
            </w:r>
          </w:p>
        </w:tc>
        <w:tc>
          <w:tcPr>
            <w:tcW w:w="1221" w:type="dxa"/>
          </w:tcPr>
          <w:p w:rsidRPr="007252DD" w:rsidR="00E10D96" w:rsidP="007252DD" w:rsidRDefault="00E10D96" w14:paraId="7C5B2CD1" w14:textId="4D544D06">
            <w:pPr>
              <w:rPr>
                <w:sz w:val="18"/>
                <w:szCs w:val="18"/>
              </w:rPr>
            </w:pPr>
            <w:r w:rsidRPr="007252DD">
              <w:rPr>
                <w:sz w:val="18"/>
                <w:szCs w:val="18"/>
              </w:rPr>
              <w:t>$5</w:t>
            </w:r>
            <w:r>
              <w:rPr>
                <w:sz w:val="18"/>
                <w:szCs w:val="18"/>
              </w:rPr>
              <w:t>17</w:t>
            </w:r>
          </w:p>
        </w:tc>
      </w:tr>
      <w:tr w:rsidRPr="00AD26EB" w:rsidR="00E10D96" w:rsidTr="00BA6931" w14:paraId="46F32C08" w14:textId="77777777">
        <w:tc>
          <w:tcPr>
            <w:tcW w:w="1661" w:type="dxa"/>
          </w:tcPr>
          <w:p w:rsidRPr="00AD26EB" w:rsidR="00E10D96" w:rsidP="00D24CCF" w:rsidRDefault="00E10D96" w14:paraId="139FA36B" w14:textId="030475C5">
            <w:pPr>
              <w:widowControl/>
              <w:autoSpaceDE/>
              <w:autoSpaceDN/>
              <w:adjustRightInd/>
              <w:rPr>
                <w:sz w:val="18"/>
                <w:szCs w:val="18"/>
              </w:rPr>
            </w:pPr>
            <w:r w:rsidRPr="00AD26EB">
              <w:rPr>
                <w:color w:val="000000"/>
                <w:sz w:val="18"/>
                <w:szCs w:val="18"/>
              </w:rPr>
              <w:t>Lead Health Education Teacher</w:t>
            </w:r>
          </w:p>
        </w:tc>
        <w:tc>
          <w:tcPr>
            <w:tcW w:w="1591" w:type="dxa"/>
          </w:tcPr>
          <w:p w:rsidRPr="00AD26EB" w:rsidR="00E10D96" w:rsidP="00D24CCF" w:rsidRDefault="00E10D96" w14:paraId="4EA144CA" w14:textId="3320FD3C">
            <w:pPr>
              <w:widowControl/>
              <w:autoSpaceDE/>
              <w:autoSpaceDN/>
              <w:adjustRightInd/>
              <w:rPr>
                <w:color w:val="000000"/>
                <w:sz w:val="18"/>
                <w:szCs w:val="18"/>
              </w:rPr>
            </w:pPr>
            <w:r w:rsidRPr="00AD26EB">
              <w:rPr>
                <w:sz w:val="18"/>
                <w:szCs w:val="18"/>
              </w:rPr>
              <w:t>Nonresponse follow-up call</w:t>
            </w:r>
          </w:p>
        </w:tc>
        <w:tc>
          <w:tcPr>
            <w:tcW w:w="1197" w:type="dxa"/>
          </w:tcPr>
          <w:p w:rsidRPr="00AD26EB" w:rsidR="00E10D96" w:rsidP="007252DD" w:rsidRDefault="00E10D96" w14:paraId="19A604EA" w14:textId="3ADB38DB">
            <w:pPr>
              <w:rPr>
                <w:sz w:val="18"/>
                <w:szCs w:val="18"/>
              </w:rPr>
            </w:pPr>
            <w:r w:rsidRPr="00AD26EB">
              <w:rPr>
                <w:sz w:val="18"/>
                <w:szCs w:val="18"/>
              </w:rPr>
              <w:t>150</w:t>
            </w:r>
          </w:p>
        </w:tc>
        <w:tc>
          <w:tcPr>
            <w:tcW w:w="1221" w:type="dxa"/>
          </w:tcPr>
          <w:p w:rsidRPr="00AD26EB" w:rsidR="00E10D96" w:rsidP="007252DD" w:rsidRDefault="00E10D96" w14:paraId="0A2A18CB" w14:textId="47010F1D">
            <w:pPr>
              <w:rPr>
                <w:sz w:val="18"/>
                <w:szCs w:val="18"/>
              </w:rPr>
            </w:pPr>
            <w:r w:rsidRPr="00AD26EB">
              <w:rPr>
                <w:sz w:val="18"/>
                <w:szCs w:val="18"/>
              </w:rPr>
              <w:t>1</w:t>
            </w:r>
          </w:p>
        </w:tc>
        <w:tc>
          <w:tcPr>
            <w:tcW w:w="1011" w:type="dxa"/>
          </w:tcPr>
          <w:p w:rsidRPr="00AD26EB" w:rsidR="00E10D96" w:rsidP="007252DD" w:rsidRDefault="00E10D96" w14:paraId="1117454D" w14:textId="2E11284F">
            <w:pPr>
              <w:rPr>
                <w:sz w:val="18"/>
                <w:szCs w:val="18"/>
              </w:rPr>
            </w:pPr>
            <w:r w:rsidRPr="00AD26EB">
              <w:rPr>
                <w:sz w:val="18"/>
                <w:szCs w:val="18"/>
              </w:rPr>
              <w:t>5/60</w:t>
            </w:r>
          </w:p>
        </w:tc>
        <w:tc>
          <w:tcPr>
            <w:tcW w:w="884" w:type="dxa"/>
          </w:tcPr>
          <w:p w:rsidRPr="00AD26EB" w:rsidR="00E10D96" w:rsidP="007252DD" w:rsidRDefault="00E10D96" w14:paraId="1F502D8A" w14:textId="09A49DA7">
            <w:pPr>
              <w:rPr>
                <w:sz w:val="18"/>
                <w:szCs w:val="18"/>
              </w:rPr>
            </w:pPr>
            <w:r w:rsidRPr="00AD26EB">
              <w:rPr>
                <w:sz w:val="18"/>
                <w:szCs w:val="18"/>
              </w:rPr>
              <w:t>$3</w:t>
            </w:r>
            <w:r>
              <w:rPr>
                <w:sz w:val="18"/>
                <w:szCs w:val="18"/>
              </w:rPr>
              <w:t>1</w:t>
            </w:r>
          </w:p>
        </w:tc>
        <w:tc>
          <w:tcPr>
            <w:tcW w:w="1221" w:type="dxa"/>
          </w:tcPr>
          <w:p w:rsidRPr="00AD26EB" w:rsidR="00E10D96" w:rsidP="007252DD" w:rsidRDefault="00E10D96" w14:paraId="61EFC8B1" w14:textId="361BB25A">
            <w:pPr>
              <w:rPr>
                <w:sz w:val="18"/>
                <w:szCs w:val="18"/>
              </w:rPr>
            </w:pPr>
            <w:r w:rsidRPr="00AD26EB">
              <w:rPr>
                <w:sz w:val="18"/>
                <w:szCs w:val="18"/>
              </w:rPr>
              <w:t>$</w:t>
            </w:r>
            <w:r>
              <w:rPr>
                <w:sz w:val="18"/>
                <w:szCs w:val="18"/>
              </w:rPr>
              <w:t>387</w:t>
            </w:r>
          </w:p>
        </w:tc>
      </w:tr>
      <w:tr w:rsidRPr="00AD26EB" w:rsidR="00E10D96" w:rsidTr="00BA6931" w14:paraId="1185174A" w14:textId="77777777">
        <w:tc>
          <w:tcPr>
            <w:tcW w:w="1661" w:type="dxa"/>
          </w:tcPr>
          <w:p w:rsidRPr="00AD26EB" w:rsidR="00E10D96" w:rsidP="00D24CCF" w:rsidRDefault="00E10D96" w14:paraId="18D2D280" w14:textId="7DBC2819">
            <w:pPr>
              <w:rPr>
                <w:b/>
                <w:sz w:val="18"/>
                <w:szCs w:val="18"/>
              </w:rPr>
            </w:pPr>
            <w:r w:rsidRPr="00AD26EB">
              <w:rPr>
                <w:b/>
                <w:sz w:val="18"/>
                <w:szCs w:val="18"/>
              </w:rPr>
              <w:t>Total</w:t>
            </w:r>
          </w:p>
        </w:tc>
        <w:tc>
          <w:tcPr>
            <w:tcW w:w="1591" w:type="dxa"/>
          </w:tcPr>
          <w:p w:rsidRPr="00AD26EB" w:rsidR="00E10D96" w:rsidP="00D24CCF" w:rsidRDefault="00E10D96" w14:paraId="79ED00CD" w14:textId="747F637B">
            <w:pPr>
              <w:rPr>
                <w:b/>
                <w:sz w:val="18"/>
                <w:szCs w:val="18"/>
              </w:rPr>
            </w:pPr>
          </w:p>
        </w:tc>
        <w:tc>
          <w:tcPr>
            <w:tcW w:w="1197" w:type="dxa"/>
          </w:tcPr>
          <w:p w:rsidRPr="00AD26EB" w:rsidR="00E10D96" w:rsidP="00D24CCF" w:rsidRDefault="00E10D96" w14:paraId="2A241E85" w14:textId="449A5DF9">
            <w:pPr>
              <w:jc w:val="center"/>
              <w:rPr>
                <w:b/>
                <w:sz w:val="18"/>
                <w:szCs w:val="18"/>
              </w:rPr>
            </w:pPr>
          </w:p>
        </w:tc>
        <w:tc>
          <w:tcPr>
            <w:tcW w:w="1221" w:type="dxa"/>
          </w:tcPr>
          <w:p w:rsidRPr="00AD26EB" w:rsidR="00E10D96" w:rsidP="00D24CCF" w:rsidRDefault="00E10D96" w14:paraId="5812CC63" w14:textId="77777777">
            <w:pPr>
              <w:jc w:val="center"/>
              <w:rPr>
                <w:b/>
                <w:sz w:val="18"/>
                <w:szCs w:val="18"/>
              </w:rPr>
            </w:pPr>
          </w:p>
        </w:tc>
        <w:tc>
          <w:tcPr>
            <w:tcW w:w="1011" w:type="dxa"/>
          </w:tcPr>
          <w:p w:rsidRPr="00AD26EB" w:rsidR="00E10D96" w:rsidP="00D24CCF" w:rsidRDefault="00E10D96" w14:paraId="46B39DBF" w14:textId="0C05DD98">
            <w:pPr>
              <w:jc w:val="center"/>
              <w:rPr>
                <w:b/>
                <w:sz w:val="18"/>
                <w:szCs w:val="18"/>
              </w:rPr>
            </w:pPr>
          </w:p>
        </w:tc>
        <w:tc>
          <w:tcPr>
            <w:tcW w:w="884" w:type="dxa"/>
          </w:tcPr>
          <w:p w:rsidRPr="00AD26EB" w:rsidR="00E10D96" w:rsidP="00D24CCF" w:rsidRDefault="00E10D96" w14:paraId="62173C39" w14:textId="77777777">
            <w:pPr>
              <w:jc w:val="center"/>
              <w:rPr>
                <w:b/>
                <w:sz w:val="18"/>
                <w:szCs w:val="18"/>
              </w:rPr>
            </w:pPr>
          </w:p>
        </w:tc>
        <w:tc>
          <w:tcPr>
            <w:tcW w:w="1221" w:type="dxa"/>
          </w:tcPr>
          <w:p w:rsidRPr="00AD26EB" w:rsidR="00E10D96" w:rsidP="00D24CCF" w:rsidRDefault="00E10D96" w14:paraId="306E4620" w14:textId="5F95F1FF">
            <w:pPr>
              <w:jc w:val="center"/>
              <w:rPr>
                <w:b/>
                <w:sz w:val="18"/>
                <w:szCs w:val="18"/>
              </w:rPr>
            </w:pPr>
            <w:r w:rsidRPr="00AD26EB">
              <w:rPr>
                <w:b/>
                <w:sz w:val="18"/>
                <w:szCs w:val="18"/>
              </w:rPr>
              <w:t>$2</w:t>
            </w:r>
            <w:r>
              <w:rPr>
                <w:b/>
                <w:sz w:val="18"/>
                <w:szCs w:val="18"/>
              </w:rPr>
              <w:t>6,648</w:t>
            </w:r>
          </w:p>
        </w:tc>
      </w:tr>
    </w:tbl>
    <w:p w:rsidRPr="000E4BC8" w:rsidR="000E4BC8" w:rsidP="000E4BC8" w:rsidRDefault="000E4BC8" w14:paraId="718F3621" w14:textId="77777777"/>
    <w:p w:rsidRPr="00DB012E" w:rsidR="00EB104F" w:rsidP="00AD26EB" w:rsidRDefault="00EB104F" w14:paraId="106AE473" w14:textId="77777777">
      <w:pPr>
        <w:pStyle w:val="ExhibitText"/>
        <w:ind w:left="720" w:hanging="720"/>
        <w:outlineLvl w:val="1"/>
        <w:rPr>
          <w:b/>
          <w:sz w:val="22"/>
          <w:szCs w:val="22"/>
        </w:rPr>
      </w:pPr>
      <w:bookmarkStart w:name="_Toc344295582" w:id="22"/>
      <w:r w:rsidRPr="00DB012E">
        <w:rPr>
          <w:b/>
          <w:sz w:val="22"/>
          <w:szCs w:val="22"/>
        </w:rPr>
        <w:t>A.13</w:t>
      </w:r>
      <w:r w:rsidRPr="00DB012E">
        <w:rPr>
          <w:b/>
          <w:sz w:val="22"/>
          <w:szCs w:val="22"/>
        </w:rPr>
        <w:tab/>
        <w:t>ESTIMATES OF OTHER TOTAL ANNUAL COST BURDEN TO RESPONDENTS AND RECORD</w:t>
      </w:r>
      <w:r w:rsidR="0008612F">
        <w:rPr>
          <w:b/>
          <w:sz w:val="22"/>
          <w:szCs w:val="22"/>
        </w:rPr>
        <w:t xml:space="preserve"> </w:t>
      </w:r>
      <w:r w:rsidRPr="00DB012E">
        <w:rPr>
          <w:b/>
          <w:sz w:val="22"/>
          <w:szCs w:val="22"/>
        </w:rPr>
        <w:t>KEEPERS</w:t>
      </w:r>
      <w:bookmarkEnd w:id="22"/>
    </w:p>
    <w:p w:rsidR="00EB104F" w:rsidP="00EB104F" w:rsidRDefault="00EB104F" w14:paraId="6FCADB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Pr="008247EE" w:rsidR="00EB104F" w:rsidP="007946E7" w:rsidRDefault="00EB104F" w14:paraId="544EFC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Fonts w:ascii="Times New Roman TUR" w:hAnsi="Times New Roman TUR" w:cs="Times New Roman TUR"/>
          <w:b/>
          <w:bCs/>
          <w:sz w:val="22"/>
          <w:szCs w:val="22"/>
        </w:rPr>
      </w:pPr>
      <w:r w:rsidRPr="008247EE">
        <w:rPr>
          <w:sz w:val="22"/>
          <w:szCs w:val="22"/>
        </w:rPr>
        <w:t>There will be no respondent capital and maintenance costs.</w:t>
      </w:r>
    </w:p>
    <w:p w:rsidR="00EB104F" w:rsidP="00EB104F" w:rsidRDefault="00EB104F" w14:paraId="753F08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rsidRPr="00DB012E" w:rsidR="00EB104F" w:rsidP="00DB012E" w:rsidRDefault="00EB104F" w14:paraId="0E3DB52A" w14:textId="77777777">
      <w:pPr>
        <w:pStyle w:val="ExhibitText"/>
        <w:outlineLvl w:val="1"/>
        <w:rPr>
          <w:b/>
          <w:sz w:val="22"/>
          <w:szCs w:val="22"/>
        </w:rPr>
      </w:pPr>
      <w:bookmarkStart w:name="_Toc344295583" w:id="23"/>
      <w:r w:rsidRPr="00DB012E">
        <w:rPr>
          <w:b/>
          <w:sz w:val="22"/>
          <w:szCs w:val="22"/>
        </w:rPr>
        <w:t>A.14</w:t>
      </w:r>
      <w:r w:rsidRPr="00DB012E">
        <w:rPr>
          <w:b/>
          <w:sz w:val="22"/>
          <w:szCs w:val="22"/>
        </w:rPr>
        <w:tab/>
        <w:t xml:space="preserve">ANNUALIZED COSTS TO THE </w:t>
      </w:r>
      <w:r w:rsidR="0008612F">
        <w:rPr>
          <w:b/>
          <w:sz w:val="22"/>
          <w:szCs w:val="22"/>
        </w:rPr>
        <w:t xml:space="preserve">FEDERAL </w:t>
      </w:r>
      <w:r w:rsidRPr="00DB012E">
        <w:rPr>
          <w:b/>
          <w:sz w:val="22"/>
          <w:szCs w:val="22"/>
        </w:rPr>
        <w:t>GOVERNMENT</w:t>
      </w:r>
      <w:bookmarkEnd w:id="23"/>
    </w:p>
    <w:p w:rsidRPr="008247EE" w:rsidR="00EB104F" w:rsidP="00EB104F" w:rsidRDefault="00EB104F" w14:paraId="705BC2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8247EE" w:rsidR="003310E2" w:rsidP="007946E7" w:rsidRDefault="00EB104F" w14:paraId="1BCE26C9" w14:textId="1B78052B">
      <w:pPr>
        <w:spacing w:line="228" w:lineRule="auto"/>
        <w:rPr>
          <w:sz w:val="22"/>
          <w:szCs w:val="22"/>
        </w:rPr>
      </w:pPr>
      <w:r w:rsidRPr="008247EE">
        <w:rPr>
          <w:sz w:val="22"/>
          <w:szCs w:val="22"/>
        </w:rPr>
        <w:t xml:space="preserve">The </w:t>
      </w:r>
      <w:r w:rsidRPr="00CF4114">
        <w:rPr>
          <w:sz w:val="22"/>
          <w:szCs w:val="22"/>
        </w:rPr>
        <w:t xml:space="preserve">survey is funded under Contract No. </w:t>
      </w:r>
      <w:r w:rsidRPr="00CF4114" w:rsidR="00291924">
        <w:rPr>
          <w:sz w:val="22"/>
          <w:szCs w:val="22"/>
        </w:rPr>
        <w:t>200-2017-F-93487</w:t>
      </w:r>
      <w:r w:rsidRPr="00CF4114" w:rsidR="00A76D8A">
        <w:rPr>
          <w:sz w:val="22"/>
          <w:szCs w:val="22"/>
        </w:rPr>
        <w:t xml:space="preserve"> which has a total award amount of </w:t>
      </w:r>
      <w:r w:rsidRPr="00CF4114">
        <w:rPr>
          <w:sz w:val="22"/>
          <w:szCs w:val="22"/>
        </w:rPr>
        <w:t>$</w:t>
      </w:r>
      <w:r w:rsidRPr="00CF4114" w:rsidR="00291924">
        <w:rPr>
          <w:sz w:val="22"/>
          <w:szCs w:val="22"/>
        </w:rPr>
        <w:t>379,603.00</w:t>
      </w:r>
      <w:r w:rsidRPr="00CF4114" w:rsidR="00C64CE2">
        <w:rPr>
          <w:sz w:val="22"/>
          <w:szCs w:val="22"/>
        </w:rPr>
        <w:t>.</w:t>
      </w:r>
      <w:r w:rsidR="00AD26EB">
        <w:rPr>
          <w:sz w:val="22"/>
          <w:szCs w:val="22"/>
        </w:rPr>
        <w:t xml:space="preserve"> </w:t>
      </w:r>
      <w:r w:rsidRPr="00CF4114" w:rsidR="00E2717F">
        <w:rPr>
          <w:sz w:val="22"/>
          <w:szCs w:val="22"/>
        </w:rPr>
        <w:t xml:space="preserve">The contract amount for the </w:t>
      </w:r>
      <w:r w:rsidRPr="00CF4114" w:rsidR="00E2717F">
        <w:rPr>
          <w:bCs/>
          <w:sz w:val="22"/>
          <w:szCs w:val="22"/>
        </w:rPr>
        <w:t>School Health Profiles Test-Retest Reliability Study is $</w:t>
      </w:r>
      <w:r w:rsidRPr="00CF4114" w:rsidR="007C03D1">
        <w:rPr>
          <w:bCs/>
          <w:sz w:val="22"/>
          <w:szCs w:val="22"/>
        </w:rPr>
        <w:t>176,356.00</w:t>
      </w:r>
      <w:r w:rsidRPr="00CF4114" w:rsidR="003310E2">
        <w:rPr>
          <w:bCs/>
          <w:sz w:val="22"/>
          <w:szCs w:val="22"/>
        </w:rPr>
        <w:t xml:space="preserve"> over a </w:t>
      </w:r>
      <w:r w:rsidRPr="00CF4114" w:rsidR="00BE3766">
        <w:rPr>
          <w:bCs/>
          <w:sz w:val="22"/>
          <w:szCs w:val="22"/>
        </w:rPr>
        <w:t>34</w:t>
      </w:r>
      <w:r w:rsidRPr="00CF4114" w:rsidR="003310E2">
        <w:rPr>
          <w:bCs/>
          <w:sz w:val="22"/>
          <w:szCs w:val="22"/>
        </w:rPr>
        <w:t>-month period</w:t>
      </w:r>
      <w:r w:rsidRPr="00CF4114" w:rsidR="00E2717F">
        <w:rPr>
          <w:bCs/>
          <w:sz w:val="22"/>
          <w:szCs w:val="22"/>
        </w:rPr>
        <w:t>.</w:t>
      </w:r>
      <w:r w:rsidRPr="00CF4114" w:rsidR="003310E2">
        <w:rPr>
          <w:bCs/>
          <w:sz w:val="22"/>
          <w:szCs w:val="22"/>
        </w:rPr>
        <w:t xml:space="preserve"> Thus, the annualized contract cost is approximately</w:t>
      </w:r>
      <w:r w:rsidRPr="00CF4114" w:rsidR="00BE3766">
        <w:rPr>
          <w:bCs/>
          <w:sz w:val="22"/>
          <w:szCs w:val="22"/>
        </w:rPr>
        <w:t xml:space="preserve"> $62,243.29</w:t>
      </w:r>
      <w:r w:rsidRPr="00CF4114" w:rsidR="00834FF3">
        <w:rPr>
          <w:bCs/>
          <w:sz w:val="22"/>
          <w:szCs w:val="22"/>
        </w:rPr>
        <w:t>.</w:t>
      </w:r>
      <w:r w:rsidR="00AD26EB">
        <w:rPr>
          <w:bCs/>
          <w:sz w:val="22"/>
          <w:szCs w:val="22"/>
        </w:rPr>
        <w:t xml:space="preserve"> </w:t>
      </w:r>
      <w:r w:rsidRPr="00CF4114">
        <w:rPr>
          <w:sz w:val="22"/>
          <w:szCs w:val="22"/>
        </w:rPr>
        <w:t xml:space="preserve">These costs cover the </w:t>
      </w:r>
      <w:r w:rsidRPr="00CF4114" w:rsidR="005457F3">
        <w:rPr>
          <w:sz w:val="22"/>
          <w:szCs w:val="22"/>
        </w:rPr>
        <w:t xml:space="preserve">expenses </w:t>
      </w:r>
      <w:r w:rsidRPr="00CF4114" w:rsidR="002E0224">
        <w:rPr>
          <w:sz w:val="22"/>
          <w:szCs w:val="22"/>
        </w:rPr>
        <w:t xml:space="preserve">listed in </w:t>
      </w:r>
      <w:r w:rsidRPr="00CF4114" w:rsidR="00AD7246">
        <w:rPr>
          <w:sz w:val="22"/>
          <w:szCs w:val="22"/>
        </w:rPr>
        <w:t xml:space="preserve">Exhibit </w:t>
      </w:r>
      <w:r w:rsidRPr="00CF4114" w:rsidR="00BE3766">
        <w:rPr>
          <w:sz w:val="22"/>
          <w:szCs w:val="22"/>
        </w:rPr>
        <w:t xml:space="preserve">3 </w:t>
      </w:r>
      <w:r w:rsidRPr="00CF4114" w:rsidR="002E0224">
        <w:rPr>
          <w:sz w:val="22"/>
          <w:szCs w:val="22"/>
        </w:rPr>
        <w:t>below.</w:t>
      </w:r>
      <w:r w:rsidR="00AD26EB">
        <w:rPr>
          <w:sz w:val="22"/>
          <w:szCs w:val="22"/>
        </w:rPr>
        <w:t xml:space="preserve"> </w:t>
      </w:r>
    </w:p>
    <w:p w:rsidRPr="008247EE" w:rsidR="003310E2" w:rsidP="007946E7" w:rsidRDefault="003310E2" w14:paraId="37144AAE" w14:textId="77777777">
      <w:pPr>
        <w:spacing w:line="228" w:lineRule="auto"/>
        <w:rPr>
          <w:sz w:val="22"/>
          <w:szCs w:val="22"/>
        </w:rPr>
      </w:pPr>
    </w:p>
    <w:p w:rsidRPr="008247EE" w:rsidR="002E0224" w:rsidP="007946E7" w:rsidRDefault="002E0224" w14:paraId="0B4A5BCD" w14:textId="26C4A52E">
      <w:pPr>
        <w:spacing w:line="228" w:lineRule="auto"/>
        <w:rPr>
          <w:sz w:val="22"/>
          <w:szCs w:val="22"/>
        </w:rPr>
      </w:pPr>
      <w:bookmarkStart w:name="_Hlk26972546" w:id="24"/>
      <w:r w:rsidRPr="008247EE">
        <w:rPr>
          <w:sz w:val="22"/>
          <w:szCs w:val="22"/>
        </w:rPr>
        <w:t xml:space="preserve">Additional costs will be incurred indirectly by the government in personnel costs of </w:t>
      </w:r>
      <w:r w:rsidRPr="008247EE" w:rsidR="003A2298">
        <w:rPr>
          <w:sz w:val="22"/>
          <w:szCs w:val="22"/>
        </w:rPr>
        <w:t>Centers for Disease Control and Prevention</w:t>
      </w:r>
      <w:r w:rsidRPr="008247EE" w:rsidDel="003A2298" w:rsidR="003A2298">
        <w:rPr>
          <w:sz w:val="22"/>
          <w:szCs w:val="22"/>
        </w:rPr>
        <w:t xml:space="preserve"> </w:t>
      </w:r>
      <w:r w:rsidRPr="008247EE">
        <w:rPr>
          <w:sz w:val="22"/>
          <w:szCs w:val="22"/>
        </w:rPr>
        <w:t>staff involved in oversight of the survey and conduct of data analysis.</w:t>
      </w:r>
      <w:r w:rsidR="00AD26EB">
        <w:rPr>
          <w:sz w:val="22"/>
          <w:szCs w:val="22"/>
        </w:rPr>
        <w:t xml:space="preserve"> </w:t>
      </w:r>
      <w:r w:rsidRPr="008247EE" w:rsidR="001E4671">
        <w:rPr>
          <w:sz w:val="22"/>
          <w:szCs w:val="22"/>
        </w:rPr>
        <w:t xml:space="preserve">It is estimated that one </w:t>
      </w:r>
      <w:r w:rsidRPr="008247EE" w:rsidR="003A2298">
        <w:rPr>
          <w:sz w:val="22"/>
          <w:szCs w:val="22"/>
        </w:rPr>
        <w:t>Centers for Disease Control and Prevention</w:t>
      </w:r>
      <w:r w:rsidRPr="008247EE" w:rsidDel="003A2298" w:rsidR="003A2298">
        <w:rPr>
          <w:sz w:val="22"/>
          <w:szCs w:val="22"/>
        </w:rPr>
        <w:t xml:space="preserve"> </w:t>
      </w:r>
      <w:r w:rsidRPr="008247EE" w:rsidR="001E4671">
        <w:rPr>
          <w:sz w:val="22"/>
          <w:szCs w:val="22"/>
        </w:rPr>
        <w:t xml:space="preserve">full-time equivalent employee will be involved for approximately </w:t>
      </w:r>
      <w:r w:rsidRPr="008247EE" w:rsidR="00536A29">
        <w:rPr>
          <w:sz w:val="22"/>
          <w:szCs w:val="22"/>
        </w:rPr>
        <w:t>15</w:t>
      </w:r>
      <w:r w:rsidRPr="008247EE" w:rsidR="001E4671">
        <w:rPr>
          <w:sz w:val="22"/>
          <w:szCs w:val="22"/>
        </w:rPr>
        <w:t>%</w:t>
      </w:r>
      <w:r w:rsidRPr="008247EE" w:rsidR="0011701F">
        <w:rPr>
          <w:sz w:val="22"/>
          <w:szCs w:val="22"/>
        </w:rPr>
        <w:t xml:space="preserve"> </w:t>
      </w:r>
      <w:r w:rsidRPr="008247EE" w:rsidR="001E4671">
        <w:rPr>
          <w:sz w:val="22"/>
          <w:szCs w:val="22"/>
        </w:rPr>
        <w:t>of her time (for federal personnel, 100% time = 2080 hours annually) at a salary of $</w:t>
      </w:r>
      <w:r w:rsidRPr="008247EE" w:rsidR="00EA1058">
        <w:rPr>
          <w:sz w:val="22"/>
          <w:szCs w:val="22"/>
        </w:rPr>
        <w:t>68.67</w:t>
      </w:r>
      <w:r w:rsidRPr="008247EE" w:rsidR="001E4671">
        <w:rPr>
          <w:sz w:val="22"/>
          <w:szCs w:val="22"/>
        </w:rPr>
        <w:t xml:space="preserve"> per hour. The direct annual costs in </w:t>
      </w:r>
      <w:r w:rsidRPr="008247EE" w:rsidR="003A2298">
        <w:rPr>
          <w:sz w:val="22"/>
          <w:szCs w:val="22"/>
        </w:rPr>
        <w:t>Centers for Disease Control and Prevention</w:t>
      </w:r>
      <w:r w:rsidRPr="008247EE" w:rsidDel="003A2298" w:rsidR="003A2298">
        <w:rPr>
          <w:sz w:val="22"/>
          <w:szCs w:val="22"/>
        </w:rPr>
        <w:t xml:space="preserve"> </w:t>
      </w:r>
      <w:r w:rsidRPr="008247EE" w:rsidR="001E4671">
        <w:rPr>
          <w:sz w:val="22"/>
          <w:szCs w:val="22"/>
        </w:rPr>
        <w:t>staff time, therefore, will be approximately $</w:t>
      </w:r>
      <w:r w:rsidRPr="008247EE" w:rsidR="00BD6A0A">
        <w:rPr>
          <w:sz w:val="22"/>
          <w:szCs w:val="22"/>
        </w:rPr>
        <w:t>21,425.04</w:t>
      </w:r>
      <w:r w:rsidRPr="008247EE" w:rsidR="001E4671">
        <w:rPr>
          <w:sz w:val="22"/>
          <w:szCs w:val="22"/>
        </w:rPr>
        <w:t xml:space="preserve"> annually. </w:t>
      </w:r>
    </w:p>
    <w:bookmarkEnd w:id="24"/>
    <w:p w:rsidRPr="008247EE" w:rsidR="00E2717F" w:rsidP="007946E7" w:rsidRDefault="00E2717F" w14:paraId="76F96C5B" w14:textId="0249F0CD">
      <w:pPr>
        <w:spacing w:line="228" w:lineRule="auto"/>
        <w:rPr>
          <w:sz w:val="22"/>
          <w:szCs w:val="22"/>
        </w:rPr>
      </w:pPr>
    </w:p>
    <w:p w:rsidRPr="008247EE" w:rsidR="003310E2" w:rsidP="007946E7" w:rsidRDefault="003310E2" w14:paraId="69A78CD0" w14:textId="2AA4C808">
      <w:pPr>
        <w:spacing w:line="228" w:lineRule="auto"/>
        <w:rPr>
          <w:sz w:val="22"/>
          <w:szCs w:val="22"/>
        </w:rPr>
      </w:pPr>
      <w:r w:rsidRPr="00CF4114">
        <w:rPr>
          <w:sz w:val="22"/>
          <w:szCs w:val="22"/>
        </w:rPr>
        <w:lastRenderedPageBreak/>
        <w:t xml:space="preserve">The total cost for the study over a </w:t>
      </w:r>
      <w:r w:rsidRPr="00CF4114" w:rsidR="00BE3766">
        <w:rPr>
          <w:sz w:val="22"/>
          <w:szCs w:val="22"/>
        </w:rPr>
        <w:t>34</w:t>
      </w:r>
      <w:r w:rsidRPr="00CF4114">
        <w:rPr>
          <w:sz w:val="22"/>
          <w:szCs w:val="22"/>
        </w:rPr>
        <w:t>-month period, including the contract cost and federal government personnel cost is $</w:t>
      </w:r>
      <w:r w:rsidRPr="00CF4114" w:rsidR="00BE3766">
        <w:rPr>
          <w:sz w:val="22"/>
          <w:szCs w:val="22"/>
        </w:rPr>
        <w:t>197,781</w:t>
      </w:r>
      <w:r w:rsidRPr="00CF4114">
        <w:rPr>
          <w:sz w:val="22"/>
          <w:szCs w:val="22"/>
        </w:rPr>
        <w:t xml:space="preserve">. The annualized cost to the government for the study will be </w:t>
      </w:r>
      <w:r w:rsidRPr="00CF4114" w:rsidR="00C67041">
        <w:rPr>
          <w:sz w:val="22"/>
          <w:szCs w:val="22"/>
        </w:rPr>
        <w:t>$</w:t>
      </w:r>
      <w:r w:rsidRPr="00CF4114" w:rsidR="00EA5345">
        <w:rPr>
          <w:sz w:val="22"/>
          <w:szCs w:val="22"/>
        </w:rPr>
        <w:t>69,804</w:t>
      </w:r>
      <w:r w:rsidRPr="00CF4114" w:rsidR="00062F2C">
        <w:rPr>
          <w:sz w:val="22"/>
          <w:szCs w:val="22"/>
        </w:rPr>
        <w:t>.00</w:t>
      </w:r>
      <w:r w:rsidRPr="00CF4114" w:rsidR="00C67041">
        <w:rPr>
          <w:sz w:val="22"/>
          <w:szCs w:val="22"/>
        </w:rPr>
        <w:t>.</w:t>
      </w:r>
    </w:p>
    <w:p w:rsidRPr="00AD26EB" w:rsidR="00E2717F" w:rsidP="00E2717F" w:rsidRDefault="00E2717F" w14:paraId="246BBD6B" w14:textId="0558AA44">
      <w:pPr>
        <w:pStyle w:val="Heading3"/>
        <w:rPr>
          <w:rFonts w:ascii="Times New Roman" w:hAnsi="Times New Roman" w:cs="Times New Roman"/>
          <w:color w:val="000000" w:themeColor="text1"/>
          <w:sz w:val="22"/>
          <w:szCs w:val="22"/>
        </w:rPr>
      </w:pPr>
      <w:r w:rsidRPr="00AD26EB">
        <w:rPr>
          <w:rFonts w:ascii="Times New Roman" w:hAnsi="Times New Roman" w:cs="Times New Roman"/>
          <w:color w:val="000000" w:themeColor="text1"/>
          <w:sz w:val="22"/>
          <w:szCs w:val="22"/>
        </w:rPr>
        <w:t xml:space="preserve">Exhibit </w:t>
      </w:r>
      <w:r w:rsidRPr="00AD26EB" w:rsidR="003F4E69">
        <w:rPr>
          <w:rFonts w:ascii="Times New Roman" w:hAnsi="Times New Roman" w:cs="Times New Roman"/>
          <w:color w:val="000000" w:themeColor="text1"/>
          <w:sz w:val="22"/>
          <w:szCs w:val="22"/>
        </w:rPr>
        <w:t>3</w:t>
      </w:r>
      <w:r w:rsidRPr="00AD26EB">
        <w:rPr>
          <w:rFonts w:ascii="Times New Roman" w:hAnsi="Times New Roman" w:cs="Times New Roman"/>
          <w:color w:val="000000" w:themeColor="text1"/>
          <w:sz w:val="22"/>
          <w:szCs w:val="22"/>
        </w:rPr>
        <w:t>.</w:t>
      </w:r>
      <w:r w:rsidR="00AD26EB">
        <w:rPr>
          <w:rFonts w:ascii="Times New Roman" w:hAnsi="Times New Roman" w:cs="Times New Roman"/>
          <w:color w:val="000000" w:themeColor="text1"/>
          <w:sz w:val="22"/>
          <w:szCs w:val="22"/>
        </w:rPr>
        <w:t xml:space="preserve"> </w:t>
      </w:r>
      <w:r w:rsidRPr="00AD26EB">
        <w:rPr>
          <w:rFonts w:ascii="Times New Roman" w:hAnsi="Times New Roman" w:cs="Times New Roman"/>
          <w:color w:val="000000" w:themeColor="text1"/>
          <w:sz w:val="22"/>
          <w:szCs w:val="22"/>
        </w:rPr>
        <w:t>Costs to the Federal Government</w:t>
      </w:r>
    </w:p>
    <w:p w:rsidR="00E2717F" w:rsidP="007946E7" w:rsidRDefault="00E2717F" w14:paraId="13E9C116" w14:textId="66F147CC">
      <w:pPr>
        <w:spacing w:line="228" w:lineRule="auto"/>
        <w:rPr>
          <w:rFonts w:ascii="Times New Roman TUR" w:hAnsi="Times New Roman TUR" w:cs="Times New Roman TUR"/>
        </w:rPr>
      </w:pPr>
    </w:p>
    <w:tbl>
      <w:tblPr>
        <w:tblW w:w="728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842"/>
        <w:gridCol w:w="1440"/>
      </w:tblGrid>
      <w:tr w:rsidRPr="0066642D" w:rsidR="00E2717F" w:rsidTr="00AD26EB" w14:paraId="02A2B1A6" w14:textId="77777777">
        <w:trPr>
          <w:trHeight w:val="285"/>
        </w:trPr>
        <w:tc>
          <w:tcPr>
            <w:tcW w:w="5842" w:type="dxa"/>
            <w:shd w:val="clear" w:color="auto" w:fill="auto"/>
            <w:vAlign w:val="bottom"/>
          </w:tcPr>
          <w:p w:rsidRPr="003F4E69" w:rsidR="00E2717F" w:rsidP="001E4671" w:rsidRDefault="003F4E69" w14:paraId="1880D834" w14:textId="540AA943">
            <w:pPr>
              <w:rPr>
                <w:b/>
                <w:sz w:val="22"/>
                <w:szCs w:val="22"/>
              </w:rPr>
            </w:pPr>
            <w:r w:rsidRPr="003F4E69">
              <w:rPr>
                <w:b/>
                <w:sz w:val="22"/>
                <w:szCs w:val="22"/>
              </w:rPr>
              <w:t>Cost Type</w:t>
            </w:r>
          </w:p>
        </w:tc>
        <w:tc>
          <w:tcPr>
            <w:tcW w:w="1440" w:type="dxa"/>
            <w:shd w:val="clear" w:color="auto" w:fill="auto"/>
            <w:vAlign w:val="bottom"/>
          </w:tcPr>
          <w:p w:rsidRPr="003F4E69" w:rsidR="00E2717F" w:rsidP="00AD26EB" w:rsidRDefault="003F4E69" w14:paraId="21F3020F" w14:textId="61AE1DFA">
            <w:pPr>
              <w:jc w:val="right"/>
              <w:rPr>
                <w:b/>
                <w:sz w:val="22"/>
                <w:szCs w:val="22"/>
              </w:rPr>
            </w:pPr>
            <w:r w:rsidRPr="003F4E69">
              <w:rPr>
                <w:b/>
                <w:sz w:val="22"/>
                <w:szCs w:val="22"/>
              </w:rPr>
              <w:t>Amount</w:t>
            </w:r>
          </w:p>
        </w:tc>
      </w:tr>
      <w:tr w:rsidRPr="0066642D" w:rsidR="003F4E69" w:rsidTr="00AD26EB" w14:paraId="33EC720A" w14:textId="77777777">
        <w:trPr>
          <w:trHeight w:val="285"/>
        </w:trPr>
        <w:tc>
          <w:tcPr>
            <w:tcW w:w="5842" w:type="dxa"/>
            <w:shd w:val="clear" w:color="auto" w:fill="auto"/>
            <w:vAlign w:val="bottom"/>
          </w:tcPr>
          <w:p w:rsidR="003F4E69" w:rsidP="003F4E69" w:rsidRDefault="003F4E69" w14:paraId="5319A5CC" w14:textId="2EBDBCE7">
            <w:pPr>
              <w:rPr>
                <w:sz w:val="22"/>
                <w:szCs w:val="22"/>
              </w:rPr>
            </w:pPr>
            <w:r>
              <w:rPr>
                <w:sz w:val="22"/>
                <w:szCs w:val="22"/>
              </w:rPr>
              <w:t>Westat Personnel</w:t>
            </w:r>
          </w:p>
        </w:tc>
        <w:tc>
          <w:tcPr>
            <w:tcW w:w="1440" w:type="dxa"/>
            <w:shd w:val="clear" w:color="auto" w:fill="auto"/>
            <w:vAlign w:val="bottom"/>
          </w:tcPr>
          <w:p w:rsidR="003F4E69" w:rsidP="00AD26EB" w:rsidRDefault="003F4E69" w14:paraId="19FA571B" w14:textId="4004C688">
            <w:pPr>
              <w:jc w:val="right"/>
              <w:rPr>
                <w:sz w:val="22"/>
                <w:szCs w:val="22"/>
              </w:rPr>
            </w:pPr>
            <w:r>
              <w:rPr>
                <w:sz w:val="22"/>
                <w:szCs w:val="22"/>
              </w:rPr>
              <w:t>$160,743</w:t>
            </w:r>
          </w:p>
        </w:tc>
      </w:tr>
      <w:tr w:rsidRPr="0066642D" w:rsidR="008247EE" w:rsidTr="00AD26EB" w14:paraId="1CDB554D" w14:textId="77777777">
        <w:trPr>
          <w:trHeight w:val="285"/>
        </w:trPr>
        <w:tc>
          <w:tcPr>
            <w:tcW w:w="5842" w:type="dxa"/>
            <w:shd w:val="clear" w:color="auto" w:fill="auto"/>
            <w:vAlign w:val="bottom"/>
          </w:tcPr>
          <w:p w:rsidR="008247EE" w:rsidP="008247EE" w:rsidRDefault="008247EE" w14:paraId="7B8C634E" w14:textId="0554F393">
            <w:pPr>
              <w:rPr>
                <w:sz w:val="22"/>
                <w:szCs w:val="22"/>
              </w:rPr>
            </w:pPr>
            <w:r>
              <w:rPr>
                <w:sz w:val="22"/>
                <w:szCs w:val="22"/>
              </w:rPr>
              <w:t>Centers for Disease Control and Prevention</w:t>
            </w:r>
            <w:r w:rsidDel="003A2298">
              <w:rPr>
                <w:rFonts w:ascii="Times New Roman TUR" w:hAnsi="Times New Roman TUR" w:cs="Times New Roman TUR"/>
              </w:rPr>
              <w:t xml:space="preserve"> </w:t>
            </w:r>
            <w:r>
              <w:rPr>
                <w:sz w:val="22"/>
                <w:szCs w:val="22"/>
              </w:rPr>
              <w:t>Personnel</w:t>
            </w:r>
          </w:p>
        </w:tc>
        <w:tc>
          <w:tcPr>
            <w:tcW w:w="1440" w:type="dxa"/>
            <w:shd w:val="clear" w:color="auto" w:fill="auto"/>
            <w:vAlign w:val="bottom"/>
          </w:tcPr>
          <w:p w:rsidR="008247EE" w:rsidP="00AD26EB" w:rsidRDefault="008247EE" w14:paraId="53CA8EF6" w14:textId="2711131D">
            <w:pPr>
              <w:jc w:val="right"/>
              <w:rPr>
                <w:sz w:val="22"/>
                <w:szCs w:val="22"/>
              </w:rPr>
            </w:pPr>
            <w:r>
              <w:rPr>
                <w:sz w:val="22"/>
                <w:szCs w:val="22"/>
              </w:rPr>
              <w:t>$21,425</w:t>
            </w:r>
          </w:p>
        </w:tc>
      </w:tr>
      <w:tr w:rsidRPr="0066642D" w:rsidR="008247EE" w:rsidTr="00AD26EB" w14:paraId="1B70D9DC" w14:textId="77777777">
        <w:trPr>
          <w:trHeight w:val="285"/>
        </w:trPr>
        <w:tc>
          <w:tcPr>
            <w:tcW w:w="5842" w:type="dxa"/>
            <w:shd w:val="clear" w:color="auto" w:fill="auto"/>
            <w:vAlign w:val="bottom"/>
          </w:tcPr>
          <w:p w:rsidRPr="003868F4" w:rsidR="008247EE" w:rsidP="008247EE" w:rsidRDefault="008247EE" w14:paraId="19387FF6" w14:textId="6270584D">
            <w:pPr>
              <w:rPr>
                <w:sz w:val="22"/>
                <w:szCs w:val="22"/>
              </w:rPr>
            </w:pPr>
            <w:r w:rsidRPr="003868F4">
              <w:rPr>
                <w:sz w:val="22"/>
                <w:szCs w:val="22"/>
              </w:rPr>
              <w:t>Computing</w:t>
            </w:r>
          </w:p>
        </w:tc>
        <w:tc>
          <w:tcPr>
            <w:tcW w:w="1440" w:type="dxa"/>
            <w:shd w:val="clear" w:color="auto" w:fill="auto"/>
            <w:vAlign w:val="bottom"/>
          </w:tcPr>
          <w:p w:rsidRPr="003868F4" w:rsidR="008247EE" w:rsidP="00AD26EB" w:rsidRDefault="008247EE" w14:paraId="2791B245" w14:textId="39DCF42D">
            <w:pPr>
              <w:jc w:val="right"/>
              <w:rPr>
                <w:sz w:val="22"/>
                <w:szCs w:val="22"/>
              </w:rPr>
            </w:pPr>
            <w:r>
              <w:rPr>
                <w:sz w:val="22"/>
                <w:szCs w:val="22"/>
              </w:rPr>
              <w:t>$1,359</w:t>
            </w:r>
          </w:p>
        </w:tc>
      </w:tr>
      <w:tr w:rsidRPr="0066642D" w:rsidR="008247EE" w:rsidTr="00AD26EB" w14:paraId="3BB4CCE5" w14:textId="77777777">
        <w:trPr>
          <w:trHeight w:val="285"/>
        </w:trPr>
        <w:tc>
          <w:tcPr>
            <w:tcW w:w="5842" w:type="dxa"/>
            <w:shd w:val="clear" w:color="auto" w:fill="auto"/>
            <w:vAlign w:val="bottom"/>
          </w:tcPr>
          <w:p w:rsidRPr="003868F4" w:rsidR="008247EE" w:rsidP="008247EE" w:rsidRDefault="008247EE" w14:paraId="08A14A10" w14:textId="03F7E803">
            <w:pPr>
              <w:rPr>
                <w:sz w:val="22"/>
                <w:szCs w:val="22"/>
              </w:rPr>
            </w:pPr>
            <w:r>
              <w:rPr>
                <w:sz w:val="22"/>
                <w:szCs w:val="22"/>
              </w:rPr>
              <w:t>Participant Recruitment and Follow-up</w:t>
            </w:r>
          </w:p>
        </w:tc>
        <w:tc>
          <w:tcPr>
            <w:tcW w:w="1440" w:type="dxa"/>
            <w:shd w:val="clear" w:color="auto" w:fill="auto"/>
            <w:vAlign w:val="bottom"/>
          </w:tcPr>
          <w:p w:rsidRPr="003868F4" w:rsidR="008247EE" w:rsidP="00AD26EB" w:rsidRDefault="008247EE" w14:paraId="2EA2EEED" w14:textId="52D0882E">
            <w:pPr>
              <w:jc w:val="right"/>
              <w:rPr>
                <w:sz w:val="22"/>
                <w:szCs w:val="22"/>
              </w:rPr>
            </w:pPr>
            <w:r>
              <w:rPr>
                <w:sz w:val="22"/>
                <w:szCs w:val="22"/>
              </w:rPr>
              <w:t>$10,000</w:t>
            </w:r>
          </w:p>
        </w:tc>
      </w:tr>
      <w:tr w:rsidRPr="0066642D" w:rsidR="008247EE" w:rsidTr="00AD26EB" w14:paraId="47263421" w14:textId="77777777">
        <w:trPr>
          <w:trHeight w:val="285"/>
        </w:trPr>
        <w:tc>
          <w:tcPr>
            <w:tcW w:w="5842" w:type="dxa"/>
            <w:shd w:val="clear" w:color="auto" w:fill="auto"/>
            <w:vAlign w:val="bottom"/>
          </w:tcPr>
          <w:p w:rsidRPr="003868F4" w:rsidR="008247EE" w:rsidP="008247EE" w:rsidRDefault="008247EE" w14:paraId="307DC12E" w14:textId="34FAB8DE">
            <w:pPr>
              <w:rPr>
                <w:sz w:val="22"/>
                <w:szCs w:val="22"/>
              </w:rPr>
            </w:pPr>
            <w:r>
              <w:rPr>
                <w:sz w:val="22"/>
                <w:szCs w:val="22"/>
              </w:rPr>
              <w:t>Other Direct Costs</w:t>
            </w:r>
          </w:p>
        </w:tc>
        <w:tc>
          <w:tcPr>
            <w:tcW w:w="1440" w:type="dxa"/>
            <w:shd w:val="clear" w:color="auto" w:fill="auto"/>
            <w:vAlign w:val="bottom"/>
          </w:tcPr>
          <w:p w:rsidRPr="003868F4" w:rsidR="008247EE" w:rsidP="00AD26EB" w:rsidRDefault="008247EE" w14:paraId="6368D0FC" w14:textId="11573ECD">
            <w:pPr>
              <w:jc w:val="right"/>
              <w:rPr>
                <w:sz w:val="22"/>
                <w:szCs w:val="22"/>
              </w:rPr>
            </w:pPr>
            <w:r>
              <w:rPr>
                <w:sz w:val="22"/>
                <w:szCs w:val="22"/>
              </w:rPr>
              <w:t>$3,596</w:t>
            </w:r>
          </w:p>
        </w:tc>
      </w:tr>
      <w:tr w:rsidRPr="0066642D" w:rsidR="008247EE" w:rsidTr="00AD26EB" w14:paraId="2F7F5CB5" w14:textId="77777777">
        <w:trPr>
          <w:trHeight w:val="285"/>
        </w:trPr>
        <w:tc>
          <w:tcPr>
            <w:tcW w:w="5842" w:type="dxa"/>
            <w:shd w:val="clear" w:color="auto" w:fill="auto"/>
            <w:vAlign w:val="bottom"/>
          </w:tcPr>
          <w:p w:rsidR="008247EE" w:rsidP="008247EE" w:rsidRDefault="008247EE" w14:paraId="322FA5D0" w14:textId="7516B13A">
            <w:pPr>
              <w:rPr>
                <w:sz w:val="22"/>
                <w:szCs w:val="22"/>
              </w:rPr>
            </w:pPr>
            <w:r>
              <w:rPr>
                <w:sz w:val="22"/>
                <w:szCs w:val="22"/>
              </w:rPr>
              <w:t>G&amp;A</w:t>
            </w:r>
          </w:p>
        </w:tc>
        <w:tc>
          <w:tcPr>
            <w:tcW w:w="1440" w:type="dxa"/>
            <w:shd w:val="clear" w:color="auto" w:fill="auto"/>
            <w:vAlign w:val="bottom"/>
          </w:tcPr>
          <w:p w:rsidRPr="003868F4" w:rsidR="008247EE" w:rsidP="00AD26EB" w:rsidRDefault="008247EE" w14:paraId="68F8E53E" w14:textId="64FF6051">
            <w:pPr>
              <w:jc w:val="right"/>
              <w:rPr>
                <w:sz w:val="22"/>
                <w:szCs w:val="22"/>
              </w:rPr>
            </w:pPr>
            <w:r>
              <w:rPr>
                <w:sz w:val="22"/>
                <w:szCs w:val="22"/>
              </w:rPr>
              <w:t>$658</w:t>
            </w:r>
          </w:p>
        </w:tc>
      </w:tr>
      <w:tr w:rsidRPr="00254E40" w:rsidR="008247EE" w:rsidTr="00AD26EB" w14:paraId="069830FF" w14:textId="77777777">
        <w:trPr>
          <w:trHeight w:val="285"/>
        </w:trPr>
        <w:tc>
          <w:tcPr>
            <w:tcW w:w="5842" w:type="dxa"/>
            <w:shd w:val="clear" w:color="auto" w:fill="auto"/>
            <w:vAlign w:val="bottom"/>
          </w:tcPr>
          <w:p w:rsidRPr="00254E40" w:rsidR="008247EE" w:rsidP="008247EE" w:rsidRDefault="008247EE" w14:paraId="3CC10722" w14:textId="1FD07A3C">
            <w:pPr>
              <w:rPr>
                <w:b/>
                <w:sz w:val="22"/>
                <w:szCs w:val="22"/>
              </w:rPr>
            </w:pPr>
            <w:r w:rsidRPr="00254E40">
              <w:rPr>
                <w:b/>
                <w:sz w:val="22"/>
                <w:szCs w:val="22"/>
              </w:rPr>
              <w:t>Total Costs</w:t>
            </w:r>
          </w:p>
        </w:tc>
        <w:tc>
          <w:tcPr>
            <w:tcW w:w="1440" w:type="dxa"/>
            <w:shd w:val="clear" w:color="auto" w:fill="auto"/>
            <w:vAlign w:val="bottom"/>
          </w:tcPr>
          <w:p w:rsidRPr="00254E40" w:rsidR="008247EE" w:rsidP="00AD26EB" w:rsidRDefault="008247EE" w14:paraId="543B6B82" w14:textId="539AAE89">
            <w:pPr>
              <w:jc w:val="right"/>
              <w:rPr>
                <w:b/>
                <w:sz w:val="22"/>
                <w:szCs w:val="22"/>
              </w:rPr>
            </w:pPr>
            <w:r>
              <w:rPr>
                <w:b/>
                <w:sz w:val="22"/>
                <w:szCs w:val="22"/>
              </w:rPr>
              <w:t>$197,781</w:t>
            </w:r>
          </w:p>
        </w:tc>
      </w:tr>
    </w:tbl>
    <w:p w:rsidRPr="00254E40" w:rsidR="00E2717F" w:rsidP="007946E7" w:rsidRDefault="00E2717F" w14:paraId="515C4974" w14:textId="77777777">
      <w:pPr>
        <w:spacing w:line="228" w:lineRule="auto"/>
        <w:rPr>
          <w:rFonts w:ascii="Times New Roman TUR" w:hAnsi="Times New Roman TUR" w:cs="Times New Roman TUR"/>
          <w:b/>
        </w:rPr>
      </w:pPr>
    </w:p>
    <w:p w:rsidRPr="00DB012E" w:rsidR="00EB104F" w:rsidP="00DB012E" w:rsidRDefault="00EB104F" w14:paraId="27759AB7" w14:textId="77777777">
      <w:pPr>
        <w:pStyle w:val="ExhibitText"/>
        <w:outlineLvl w:val="1"/>
        <w:rPr>
          <w:b/>
          <w:sz w:val="22"/>
          <w:szCs w:val="22"/>
        </w:rPr>
      </w:pPr>
      <w:bookmarkStart w:name="_Toc344295585" w:id="25"/>
      <w:r w:rsidRPr="00DB012E">
        <w:rPr>
          <w:b/>
          <w:sz w:val="22"/>
          <w:szCs w:val="22"/>
        </w:rPr>
        <w:t>A.15</w:t>
      </w:r>
      <w:r w:rsidRPr="00DB012E">
        <w:rPr>
          <w:b/>
          <w:sz w:val="22"/>
          <w:szCs w:val="22"/>
        </w:rPr>
        <w:tab/>
        <w:t xml:space="preserve">EXPLANATION </w:t>
      </w:r>
      <w:r w:rsidR="0008612F">
        <w:rPr>
          <w:b/>
          <w:sz w:val="22"/>
          <w:szCs w:val="22"/>
        </w:rPr>
        <w:t>FOR</w:t>
      </w:r>
      <w:r w:rsidRPr="00DB012E">
        <w:rPr>
          <w:b/>
          <w:sz w:val="22"/>
          <w:szCs w:val="22"/>
        </w:rPr>
        <w:t xml:space="preserve"> PROGRAM CHANGES OR ADJUSTMENTS</w:t>
      </w:r>
      <w:bookmarkEnd w:id="25"/>
      <w:r w:rsidRPr="00DB012E">
        <w:rPr>
          <w:b/>
          <w:sz w:val="22"/>
          <w:szCs w:val="22"/>
        </w:rPr>
        <w:t xml:space="preserve"> </w:t>
      </w:r>
    </w:p>
    <w:p w:rsidR="00EB104F" w:rsidP="00EB104F" w:rsidRDefault="00EB104F" w14:paraId="65BD36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Pr="008247EE" w:rsidR="0046652C" w:rsidP="00024771" w:rsidRDefault="00E560F5" w14:paraId="26E17691" w14:textId="77777777">
      <w:pPr>
        <w:rPr>
          <w:sz w:val="22"/>
          <w:szCs w:val="22"/>
        </w:rPr>
      </w:pPr>
      <w:r w:rsidRPr="008247EE">
        <w:rPr>
          <w:sz w:val="22"/>
          <w:szCs w:val="22"/>
        </w:rPr>
        <w:t>As this is a new request, there are no program changes or adjustments.</w:t>
      </w:r>
    </w:p>
    <w:p w:rsidR="0046652C" w:rsidP="00EB104F" w:rsidRDefault="0046652C" w14:paraId="328E61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rsidRPr="00DB012E" w:rsidR="00EB104F" w:rsidP="00DB012E" w:rsidRDefault="00EB104F" w14:paraId="15A416CA" w14:textId="77777777">
      <w:pPr>
        <w:pStyle w:val="ExhibitText"/>
        <w:outlineLvl w:val="1"/>
        <w:rPr>
          <w:b/>
          <w:sz w:val="22"/>
          <w:szCs w:val="22"/>
        </w:rPr>
      </w:pPr>
      <w:bookmarkStart w:name="_Toc344295586" w:id="26"/>
      <w:r w:rsidRPr="00DB012E">
        <w:rPr>
          <w:b/>
          <w:sz w:val="22"/>
          <w:szCs w:val="22"/>
        </w:rPr>
        <w:t>A.16</w:t>
      </w:r>
      <w:r w:rsidRPr="00DB012E">
        <w:rPr>
          <w:b/>
          <w:sz w:val="22"/>
          <w:szCs w:val="22"/>
        </w:rPr>
        <w:tab/>
        <w:t>PLANS FOR TABULATION AND PUBLICATION AND PROJECT TIME SCHEDULE</w:t>
      </w:r>
      <w:bookmarkEnd w:id="26"/>
    </w:p>
    <w:p w:rsidRPr="008247EE" w:rsidR="00EB104F" w:rsidP="00EB104F" w:rsidRDefault="00EB104F" w14:paraId="585EE3FA" w14:textId="0B477D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8247EE" w:rsidR="00F65844" w:rsidP="00F65844" w:rsidRDefault="00F65844" w14:paraId="59E7076C" w14:textId="1671B2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8247EE">
        <w:rPr>
          <w:sz w:val="22"/>
          <w:szCs w:val="22"/>
        </w:rPr>
        <w:t xml:space="preserve">The </w:t>
      </w:r>
      <w:r w:rsidR="009A7108">
        <w:rPr>
          <w:sz w:val="22"/>
          <w:szCs w:val="22"/>
        </w:rPr>
        <w:t xml:space="preserve">School Health </w:t>
      </w:r>
      <w:r w:rsidRPr="008247EE">
        <w:rPr>
          <w:sz w:val="22"/>
          <w:szCs w:val="22"/>
        </w:rPr>
        <w:t>Profiles Test-Retest Reliability Study</w:t>
      </w:r>
      <w:r w:rsidRPr="008247EE" w:rsidR="00450A68">
        <w:rPr>
          <w:sz w:val="22"/>
          <w:szCs w:val="22"/>
        </w:rPr>
        <w:t>’s</w:t>
      </w:r>
      <w:r w:rsidRPr="008247EE">
        <w:rPr>
          <w:sz w:val="22"/>
          <w:szCs w:val="22"/>
        </w:rPr>
        <w:t xml:space="preserve"> primary purpose is to obtain data that can be used to establish the reliability of data collected by Profiles.</w:t>
      </w:r>
      <w:r w:rsidR="00AD26EB">
        <w:rPr>
          <w:sz w:val="22"/>
          <w:szCs w:val="22"/>
        </w:rPr>
        <w:t xml:space="preserve"> </w:t>
      </w:r>
      <w:r w:rsidRPr="008247EE">
        <w:rPr>
          <w:sz w:val="22"/>
          <w:szCs w:val="22"/>
        </w:rPr>
        <w:t xml:space="preserve">The data will be used by </w:t>
      </w:r>
      <w:r w:rsidRPr="008247EE" w:rsidR="003A2298">
        <w:rPr>
          <w:sz w:val="22"/>
          <w:szCs w:val="22"/>
        </w:rPr>
        <w:t>the Centers for Disease Control and Prevention</w:t>
      </w:r>
      <w:r w:rsidRPr="008247EE">
        <w:rPr>
          <w:sz w:val="22"/>
          <w:szCs w:val="22"/>
        </w:rPr>
        <w:t xml:space="preserve"> and analyzed for methodological purposes</w:t>
      </w:r>
      <w:r w:rsidR="00C2038F">
        <w:rPr>
          <w:sz w:val="22"/>
          <w:szCs w:val="22"/>
        </w:rPr>
        <w:t xml:space="preserve"> and not combined with any state, tribal, territorial, or local Profiles data</w:t>
      </w:r>
      <w:r w:rsidRPr="008247EE">
        <w:rPr>
          <w:sz w:val="22"/>
          <w:szCs w:val="22"/>
        </w:rPr>
        <w:t xml:space="preserve">. </w:t>
      </w:r>
    </w:p>
    <w:p w:rsidRPr="008247EE" w:rsidR="00F65844" w:rsidP="00F65844" w:rsidRDefault="00F65844" w14:paraId="233991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8247EE" w:rsidR="00F65844" w:rsidP="00F65844" w:rsidRDefault="00F65844" w14:paraId="242E310E" w14:textId="498ED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8247EE">
        <w:rPr>
          <w:sz w:val="22"/>
          <w:szCs w:val="22"/>
        </w:rPr>
        <w:t>The test-retest reliability data will be assessed in two ways. First, the extent of the agreement between Time 1 and Time 2 responses will be calculated.</w:t>
      </w:r>
      <w:r w:rsidRPr="008247EE" w:rsidR="00450A68">
        <w:rPr>
          <w:sz w:val="22"/>
          <w:szCs w:val="22"/>
        </w:rPr>
        <w:t xml:space="preserve"> Using Time 1 and Time 2 data, reliability will be estimated through Cohen’s kappa. Cohen’s kappa provides a measure of agreement that corrects for chance agreement.</w:t>
      </w:r>
      <w:r w:rsidR="00AD26EB">
        <w:rPr>
          <w:sz w:val="22"/>
          <w:szCs w:val="22"/>
        </w:rPr>
        <w:t xml:space="preserve"> </w:t>
      </w:r>
      <w:r w:rsidRPr="008247EE">
        <w:rPr>
          <w:sz w:val="22"/>
          <w:szCs w:val="22"/>
        </w:rPr>
        <w:t>Second, prevalence estimates obtained at Time 1 will be compared to those obtained at Time 2. Together, these analyses will provide information about the quality of each item in both the Principal and Lead Health Education Teacher questionnaires.</w:t>
      </w:r>
    </w:p>
    <w:p w:rsidRPr="008247EE" w:rsidR="00F65844" w:rsidP="00F65844" w:rsidRDefault="00F65844" w14:paraId="1B1CB1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8247EE" w:rsidR="00F65844" w:rsidP="00F65844" w:rsidRDefault="00F65844" w14:paraId="50B29D75" w14:textId="37789D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8247EE">
        <w:rPr>
          <w:sz w:val="22"/>
          <w:szCs w:val="22"/>
        </w:rPr>
        <w:t>The results of the Test-Retest Reliability Study will be used to improve the questionnaires for future cycles. For example, questions that show poor reliability will be revised to clarify question wording. This will, in turn improve the quality of the data collected using the Profiles questionnaires.</w:t>
      </w:r>
    </w:p>
    <w:p w:rsidRPr="008247EE" w:rsidR="003B377E" w:rsidP="00F65844" w:rsidRDefault="003B377E" w14:paraId="294B22A2" w14:textId="427C74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00AD26EB" w:rsidRDefault="00AD26EB" w14:paraId="34D69524" w14:textId="77777777">
      <w:pPr>
        <w:widowControl/>
        <w:autoSpaceDE/>
        <w:autoSpaceDN/>
        <w:adjustRightInd/>
        <w:rPr>
          <w:sz w:val="22"/>
          <w:szCs w:val="22"/>
        </w:rPr>
      </w:pPr>
      <w:r>
        <w:rPr>
          <w:sz w:val="22"/>
          <w:szCs w:val="22"/>
        </w:rPr>
        <w:br w:type="page"/>
      </w:r>
    </w:p>
    <w:p w:rsidRPr="008247EE" w:rsidR="003B377E" w:rsidP="00F65844" w:rsidRDefault="003B377E" w14:paraId="3B819539" w14:textId="52918C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8247EE">
        <w:rPr>
          <w:sz w:val="22"/>
          <w:szCs w:val="22"/>
        </w:rPr>
        <w:lastRenderedPageBreak/>
        <w:t>A manuscript will be developed for submission to a journal such that the study findings are documented and publicly available.</w:t>
      </w:r>
      <w:r w:rsidR="00AD26EB">
        <w:rPr>
          <w:sz w:val="22"/>
          <w:szCs w:val="22"/>
        </w:rPr>
        <w:t xml:space="preserve"> </w:t>
      </w:r>
      <w:r w:rsidRPr="008247EE">
        <w:rPr>
          <w:sz w:val="22"/>
          <w:szCs w:val="22"/>
        </w:rPr>
        <w:t>The manuscript will describe the following: the study’s sampling strategy and design; the district and school clearance process; how data were collected at Time 1 and Time 2, including the ways in which respondent privacy was protected;</w:t>
      </w:r>
      <w:r w:rsidR="00AD26EB">
        <w:rPr>
          <w:sz w:val="22"/>
          <w:szCs w:val="22"/>
        </w:rPr>
        <w:t xml:space="preserve"> </w:t>
      </w:r>
      <w:r w:rsidRPr="008247EE">
        <w:rPr>
          <w:sz w:val="22"/>
          <w:szCs w:val="22"/>
        </w:rPr>
        <w:t xml:space="preserve">all statistical analyses conducted to examine Time 1 and Time 2 data; </w:t>
      </w:r>
      <w:r w:rsidRPr="008247EE" w:rsidR="003D6596">
        <w:rPr>
          <w:sz w:val="22"/>
          <w:szCs w:val="22"/>
        </w:rPr>
        <w:t xml:space="preserve">an aggregate description of the study participants; </w:t>
      </w:r>
      <w:r w:rsidRPr="008247EE" w:rsidR="00223620">
        <w:rPr>
          <w:sz w:val="22"/>
          <w:szCs w:val="22"/>
        </w:rPr>
        <w:t xml:space="preserve">the findings, including </w:t>
      </w:r>
      <w:r w:rsidRPr="008247EE" w:rsidR="003D6596">
        <w:rPr>
          <w:sz w:val="22"/>
          <w:szCs w:val="22"/>
        </w:rPr>
        <w:t xml:space="preserve">the Time 1 and Time 2 prevalence estimates and the Cohen’s kappa statistics; </w:t>
      </w:r>
      <w:r w:rsidRPr="008247EE">
        <w:rPr>
          <w:sz w:val="22"/>
          <w:szCs w:val="22"/>
        </w:rPr>
        <w:t xml:space="preserve">and conclusions about the study findings. </w:t>
      </w:r>
    </w:p>
    <w:p w:rsidRPr="008247EE" w:rsidR="00F65844" w:rsidP="00EB104F" w:rsidRDefault="00F65844" w14:paraId="54040A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8247EE" w:rsidR="00EB104F" w:rsidP="00EB104F" w:rsidRDefault="00EB104F" w14:paraId="4B5CD4D9" w14:textId="22DADE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8247EE">
        <w:rPr>
          <w:sz w:val="22"/>
          <w:szCs w:val="22"/>
        </w:rPr>
        <w:t>The following</w:t>
      </w:r>
      <w:r w:rsidRPr="008247EE" w:rsidR="00036488">
        <w:rPr>
          <w:sz w:val="22"/>
          <w:szCs w:val="22"/>
        </w:rPr>
        <w:t xml:space="preserve"> </w:t>
      </w:r>
      <w:r w:rsidRPr="008247EE" w:rsidR="00AE2620">
        <w:rPr>
          <w:sz w:val="22"/>
          <w:szCs w:val="22"/>
        </w:rPr>
        <w:t xml:space="preserve">assumes an OMB approval date of </w:t>
      </w:r>
      <w:proofErr w:type="gramStart"/>
      <w:r w:rsidR="00317C14">
        <w:rPr>
          <w:sz w:val="22"/>
          <w:szCs w:val="22"/>
        </w:rPr>
        <w:t>December</w:t>
      </w:r>
      <w:r w:rsidRPr="008247EE" w:rsidR="00AE2620">
        <w:rPr>
          <w:sz w:val="22"/>
          <w:szCs w:val="22"/>
        </w:rPr>
        <w:t xml:space="preserve"> 1, 2020, and</w:t>
      </w:r>
      <w:proofErr w:type="gramEnd"/>
      <w:r w:rsidRPr="008247EE" w:rsidR="00AE2620">
        <w:rPr>
          <w:sz w:val="22"/>
          <w:szCs w:val="22"/>
        </w:rPr>
        <w:t xml:space="preserve"> </w:t>
      </w:r>
      <w:r w:rsidRPr="008247EE">
        <w:rPr>
          <w:sz w:val="22"/>
          <w:szCs w:val="22"/>
        </w:rPr>
        <w:t>represents our proposed schedule of activities for</w:t>
      </w:r>
      <w:r w:rsidRPr="008247EE" w:rsidR="00EF1D93">
        <w:rPr>
          <w:sz w:val="22"/>
          <w:szCs w:val="22"/>
        </w:rPr>
        <w:t xml:space="preserve"> the</w:t>
      </w:r>
      <w:r w:rsidRPr="008247EE">
        <w:rPr>
          <w:sz w:val="22"/>
          <w:szCs w:val="22"/>
        </w:rPr>
        <w:t xml:space="preserve"> </w:t>
      </w:r>
      <w:r w:rsidRPr="008247EE" w:rsidR="00EF1D93">
        <w:rPr>
          <w:bCs/>
          <w:sz w:val="22"/>
          <w:szCs w:val="22"/>
        </w:rPr>
        <w:t xml:space="preserve">School Health Profiles </w:t>
      </w:r>
      <w:r w:rsidRPr="008247EE" w:rsidR="003064FD">
        <w:rPr>
          <w:bCs/>
          <w:sz w:val="22"/>
          <w:szCs w:val="22"/>
        </w:rPr>
        <w:t xml:space="preserve">Test-Retest </w:t>
      </w:r>
      <w:r w:rsidRPr="008247EE" w:rsidR="00EF1D93">
        <w:rPr>
          <w:bCs/>
          <w:sz w:val="22"/>
          <w:szCs w:val="22"/>
        </w:rPr>
        <w:t>Reliability Study</w:t>
      </w:r>
      <w:r w:rsidRPr="008247EE">
        <w:rPr>
          <w:sz w:val="22"/>
          <w:szCs w:val="22"/>
        </w:rPr>
        <w:t>.</w:t>
      </w:r>
      <w:r w:rsidR="00AD26EB">
        <w:rPr>
          <w:sz w:val="22"/>
          <w:szCs w:val="22"/>
        </w:rPr>
        <w:t xml:space="preserve"> </w:t>
      </w:r>
    </w:p>
    <w:p w:rsidR="00EB104F" w:rsidP="00EB104F" w:rsidRDefault="00EB104F" w14:paraId="435E59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p w:rsidRPr="00AD26EB" w:rsidR="00EB104F" w:rsidP="00AD7246" w:rsidRDefault="00AD7246" w14:paraId="7C887EE5" w14:textId="519F59D1">
      <w:pPr>
        <w:pStyle w:val="Heading3"/>
        <w:rPr>
          <w:rFonts w:ascii="Times New Roman" w:hAnsi="Times New Roman" w:cs="Times New Roman"/>
          <w:color w:val="000000" w:themeColor="text1"/>
          <w:sz w:val="22"/>
          <w:szCs w:val="22"/>
        </w:rPr>
      </w:pPr>
      <w:r w:rsidRPr="00AD26EB">
        <w:rPr>
          <w:rFonts w:ascii="Times New Roman" w:hAnsi="Times New Roman" w:cs="Times New Roman"/>
          <w:color w:val="000000" w:themeColor="text1"/>
          <w:sz w:val="22"/>
          <w:szCs w:val="22"/>
        </w:rPr>
        <w:t xml:space="preserve">Exhibit </w:t>
      </w:r>
      <w:r w:rsidRPr="00AD26EB" w:rsidR="003F4E69">
        <w:rPr>
          <w:rFonts w:ascii="Times New Roman" w:hAnsi="Times New Roman" w:cs="Times New Roman"/>
          <w:color w:val="000000" w:themeColor="text1"/>
          <w:sz w:val="22"/>
          <w:szCs w:val="22"/>
        </w:rPr>
        <w:t>4</w:t>
      </w:r>
      <w:r w:rsidRPr="00AD26EB">
        <w:rPr>
          <w:rFonts w:ascii="Times New Roman" w:hAnsi="Times New Roman" w:cs="Times New Roman"/>
          <w:color w:val="000000" w:themeColor="text1"/>
          <w:sz w:val="22"/>
          <w:szCs w:val="22"/>
        </w:rPr>
        <w:t xml:space="preserve">. Time schedule for the School Health Profiles </w:t>
      </w:r>
      <w:r w:rsidRPr="00AD26EB" w:rsidR="003064FD">
        <w:rPr>
          <w:rFonts w:ascii="Times New Roman" w:hAnsi="Times New Roman" w:cs="Times New Roman"/>
          <w:color w:val="000000" w:themeColor="text1"/>
          <w:sz w:val="22"/>
          <w:szCs w:val="22"/>
        </w:rPr>
        <w:t xml:space="preserve">Test-Retest </w:t>
      </w:r>
      <w:r w:rsidRPr="00AD26EB">
        <w:rPr>
          <w:rFonts w:ascii="Times New Roman" w:hAnsi="Times New Roman" w:cs="Times New Roman"/>
          <w:color w:val="000000" w:themeColor="text1"/>
          <w:sz w:val="22"/>
          <w:szCs w:val="22"/>
        </w:rPr>
        <w:t>Reliability Study</w:t>
      </w:r>
    </w:p>
    <w:p w:rsidR="00AD7246" w:rsidP="00EB104F" w:rsidRDefault="00AD7246" w14:paraId="65A261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tbl>
      <w:tblPr>
        <w:tblStyle w:val="TableGrid"/>
        <w:tblW w:w="0" w:type="auto"/>
        <w:tblLook w:val="04A0" w:firstRow="1" w:lastRow="0" w:firstColumn="1" w:lastColumn="0" w:noHBand="0" w:noVBand="1"/>
      </w:tblPr>
      <w:tblGrid>
        <w:gridCol w:w="4675"/>
        <w:gridCol w:w="4675"/>
      </w:tblGrid>
      <w:tr w:rsidR="000B7617" w:rsidTr="001E4671" w14:paraId="30DAC9D0" w14:textId="77777777">
        <w:trPr>
          <w:tblHeader/>
        </w:trPr>
        <w:tc>
          <w:tcPr>
            <w:tcW w:w="4675" w:type="dxa"/>
          </w:tcPr>
          <w:p w:rsidRPr="00300D68" w:rsidR="000B7617" w:rsidP="001E4671" w:rsidRDefault="000B7617" w14:paraId="22F29734" w14:textId="77777777">
            <w:pPr>
              <w:jc w:val="center"/>
              <w:rPr>
                <w:rFonts w:asciiTheme="minorHAnsi" w:hAnsiTheme="minorHAnsi" w:cstheme="minorHAnsi"/>
                <w:b/>
              </w:rPr>
            </w:pPr>
            <w:r w:rsidRPr="00300D68">
              <w:rPr>
                <w:rFonts w:asciiTheme="minorHAnsi" w:hAnsiTheme="minorHAnsi" w:cstheme="minorHAnsi"/>
                <w:b/>
              </w:rPr>
              <w:t>Task</w:t>
            </w:r>
          </w:p>
        </w:tc>
        <w:tc>
          <w:tcPr>
            <w:tcW w:w="4675" w:type="dxa"/>
          </w:tcPr>
          <w:p w:rsidRPr="00300D68" w:rsidR="000B7617" w:rsidP="001E4671" w:rsidRDefault="000B7617" w14:paraId="4F9F6461" w14:textId="77777777">
            <w:pPr>
              <w:jc w:val="center"/>
              <w:rPr>
                <w:rFonts w:asciiTheme="minorHAnsi" w:hAnsiTheme="minorHAnsi" w:cstheme="minorHAnsi"/>
                <w:b/>
              </w:rPr>
            </w:pPr>
            <w:r w:rsidRPr="00300D68">
              <w:rPr>
                <w:rFonts w:asciiTheme="minorHAnsi" w:hAnsiTheme="minorHAnsi" w:cstheme="minorHAnsi"/>
                <w:b/>
              </w:rPr>
              <w:t>Date</w:t>
            </w:r>
          </w:p>
        </w:tc>
      </w:tr>
      <w:tr w:rsidR="00AE2620" w:rsidTr="001E4671" w14:paraId="63B2C624" w14:textId="77777777">
        <w:trPr>
          <w:trHeight w:val="328"/>
        </w:trPr>
        <w:tc>
          <w:tcPr>
            <w:tcW w:w="4675" w:type="dxa"/>
          </w:tcPr>
          <w:p w:rsidRPr="00BC51C5" w:rsidR="00AE2620" w:rsidP="00AE2620" w:rsidRDefault="00AE2620" w14:paraId="569E95D5" w14:textId="77777777">
            <w:pPr>
              <w:rPr>
                <w:rFonts w:asciiTheme="minorHAnsi" w:hAnsiTheme="minorHAnsi" w:cstheme="minorHAnsi"/>
                <w:i/>
              </w:rPr>
            </w:pPr>
            <w:r w:rsidRPr="00BC51C5">
              <w:rPr>
                <w:rFonts w:asciiTheme="minorHAnsi" w:hAnsiTheme="minorHAnsi" w:cstheme="minorHAnsi"/>
                <w:i/>
              </w:rPr>
              <w:t>Data Collection Time 1</w:t>
            </w:r>
          </w:p>
        </w:tc>
        <w:tc>
          <w:tcPr>
            <w:tcW w:w="4675" w:type="dxa"/>
          </w:tcPr>
          <w:p w:rsidR="00AE2620" w:rsidP="00AE2620" w:rsidRDefault="00AE2620" w14:paraId="1CE6F787" w14:textId="77777777">
            <w:pPr>
              <w:jc w:val="center"/>
              <w:rPr>
                <w:rFonts w:asciiTheme="minorHAnsi" w:hAnsiTheme="minorHAnsi" w:cstheme="minorHAnsi"/>
              </w:rPr>
            </w:pPr>
          </w:p>
        </w:tc>
      </w:tr>
      <w:tr w:rsidR="00AE2620" w:rsidTr="001E4671" w14:paraId="3D9920A8" w14:textId="77777777">
        <w:trPr>
          <w:trHeight w:val="328"/>
        </w:trPr>
        <w:tc>
          <w:tcPr>
            <w:tcW w:w="4675" w:type="dxa"/>
          </w:tcPr>
          <w:p w:rsidR="00AE2620" w:rsidP="00AE2620" w:rsidRDefault="00AE2620" w14:paraId="5C683396" w14:textId="287125AA">
            <w:pPr>
              <w:ind w:left="330"/>
              <w:rPr>
                <w:rFonts w:asciiTheme="minorHAnsi" w:hAnsiTheme="minorHAnsi" w:cstheme="minorHAnsi"/>
              </w:rPr>
            </w:pPr>
            <w:r>
              <w:rPr>
                <w:rFonts w:asciiTheme="minorHAnsi" w:hAnsiTheme="minorHAnsi" w:cstheme="minorHAnsi"/>
              </w:rPr>
              <w:t>Advance Mailing</w:t>
            </w:r>
          </w:p>
        </w:tc>
        <w:tc>
          <w:tcPr>
            <w:tcW w:w="4675" w:type="dxa"/>
          </w:tcPr>
          <w:p w:rsidR="00AE2620" w:rsidP="00AE2620" w:rsidRDefault="00AE2620" w14:paraId="248FD989" w14:textId="19D0D2DF">
            <w:pPr>
              <w:jc w:val="center"/>
              <w:rPr>
                <w:rFonts w:asciiTheme="minorHAnsi" w:hAnsiTheme="minorHAnsi" w:cstheme="minorHAnsi"/>
              </w:rPr>
            </w:pPr>
            <w:r>
              <w:rPr>
                <w:rFonts w:asciiTheme="minorHAnsi" w:hAnsiTheme="minorHAnsi" w:cstheme="minorHAnsi"/>
              </w:rPr>
              <w:t>1-4 weeks following OMB approval</w:t>
            </w:r>
          </w:p>
        </w:tc>
      </w:tr>
      <w:tr w:rsidR="00AE2620" w:rsidTr="001E4671" w14:paraId="4911613C" w14:textId="77777777">
        <w:trPr>
          <w:trHeight w:val="328"/>
        </w:trPr>
        <w:tc>
          <w:tcPr>
            <w:tcW w:w="4675" w:type="dxa"/>
          </w:tcPr>
          <w:p w:rsidR="00AE2620" w:rsidP="00AE2620" w:rsidRDefault="00AE2620" w14:paraId="3686963D" w14:textId="77777777">
            <w:pPr>
              <w:ind w:left="330"/>
              <w:rPr>
                <w:rFonts w:asciiTheme="minorHAnsi" w:hAnsiTheme="minorHAnsi" w:cstheme="minorHAnsi"/>
              </w:rPr>
            </w:pPr>
            <w:r>
              <w:rPr>
                <w:rFonts w:asciiTheme="minorHAnsi" w:hAnsiTheme="minorHAnsi" w:cstheme="minorHAnsi"/>
              </w:rPr>
              <w:t>Initial Mailing</w:t>
            </w:r>
          </w:p>
        </w:tc>
        <w:tc>
          <w:tcPr>
            <w:tcW w:w="4675" w:type="dxa"/>
          </w:tcPr>
          <w:p w:rsidR="00AE2620" w:rsidP="00AE2620" w:rsidRDefault="00AE2620" w14:paraId="643E6764" w14:textId="7B367FC9">
            <w:pPr>
              <w:jc w:val="center"/>
              <w:rPr>
                <w:rFonts w:asciiTheme="minorHAnsi" w:hAnsiTheme="minorHAnsi" w:cstheme="minorHAnsi"/>
              </w:rPr>
            </w:pPr>
            <w:r>
              <w:rPr>
                <w:rFonts w:asciiTheme="minorHAnsi" w:hAnsiTheme="minorHAnsi" w:cstheme="minorHAnsi"/>
              </w:rPr>
              <w:t>1-4 weeks following OMB approval</w:t>
            </w:r>
          </w:p>
        </w:tc>
      </w:tr>
      <w:tr w:rsidR="00AE2620" w:rsidTr="001E4671" w14:paraId="3980776C" w14:textId="77777777">
        <w:trPr>
          <w:trHeight w:val="328"/>
        </w:trPr>
        <w:tc>
          <w:tcPr>
            <w:tcW w:w="4675" w:type="dxa"/>
          </w:tcPr>
          <w:p w:rsidR="00AE2620" w:rsidP="00AE2620" w:rsidRDefault="00AE2620" w14:paraId="106AE1BD" w14:textId="54CBA486">
            <w:pPr>
              <w:ind w:left="330"/>
              <w:rPr>
                <w:rFonts w:asciiTheme="minorHAnsi" w:hAnsiTheme="minorHAnsi" w:cstheme="minorHAnsi"/>
              </w:rPr>
            </w:pPr>
            <w:r>
              <w:rPr>
                <w:rFonts w:asciiTheme="minorHAnsi" w:hAnsiTheme="minorHAnsi" w:cstheme="minorHAnsi"/>
              </w:rPr>
              <w:t>Nonresponse Follow-up</w:t>
            </w:r>
          </w:p>
        </w:tc>
        <w:tc>
          <w:tcPr>
            <w:tcW w:w="4675" w:type="dxa"/>
          </w:tcPr>
          <w:p w:rsidR="00AE2620" w:rsidP="00AE2620" w:rsidRDefault="00AE2620" w14:paraId="6F62B9D8" w14:textId="74D14CDC">
            <w:pPr>
              <w:jc w:val="center"/>
              <w:rPr>
                <w:rFonts w:asciiTheme="minorHAnsi" w:hAnsiTheme="minorHAnsi" w:cstheme="minorHAnsi"/>
              </w:rPr>
            </w:pPr>
            <w:r>
              <w:rPr>
                <w:rFonts w:asciiTheme="minorHAnsi" w:hAnsiTheme="minorHAnsi" w:cstheme="minorHAnsi"/>
              </w:rPr>
              <w:t>2 weeks to 2 months following OMB approval</w:t>
            </w:r>
          </w:p>
        </w:tc>
      </w:tr>
      <w:tr w:rsidR="00AE2620" w:rsidTr="001E4671" w14:paraId="58F6BFB3" w14:textId="77777777">
        <w:trPr>
          <w:trHeight w:val="328"/>
        </w:trPr>
        <w:tc>
          <w:tcPr>
            <w:tcW w:w="4675" w:type="dxa"/>
          </w:tcPr>
          <w:p w:rsidRPr="00BC51C5" w:rsidR="00AE2620" w:rsidP="00AE2620" w:rsidRDefault="00AE2620" w14:paraId="7CF28869" w14:textId="77777777">
            <w:pPr>
              <w:rPr>
                <w:rFonts w:asciiTheme="minorHAnsi" w:hAnsiTheme="minorHAnsi" w:cstheme="minorHAnsi"/>
                <w:i/>
              </w:rPr>
            </w:pPr>
            <w:r w:rsidRPr="00BC51C5">
              <w:rPr>
                <w:rFonts w:asciiTheme="minorHAnsi" w:hAnsiTheme="minorHAnsi" w:cstheme="minorHAnsi"/>
                <w:i/>
              </w:rPr>
              <w:t>Data Collection Time 2</w:t>
            </w:r>
          </w:p>
        </w:tc>
        <w:tc>
          <w:tcPr>
            <w:tcW w:w="4675" w:type="dxa"/>
          </w:tcPr>
          <w:p w:rsidR="00AE2620" w:rsidP="00AE2620" w:rsidRDefault="00AE2620" w14:paraId="7F68223F" w14:textId="77777777">
            <w:pPr>
              <w:jc w:val="center"/>
              <w:rPr>
                <w:rFonts w:asciiTheme="minorHAnsi" w:hAnsiTheme="minorHAnsi" w:cstheme="minorHAnsi"/>
              </w:rPr>
            </w:pPr>
          </w:p>
        </w:tc>
      </w:tr>
      <w:tr w:rsidR="00AE2620" w:rsidTr="001E4671" w14:paraId="5294F61E" w14:textId="77777777">
        <w:trPr>
          <w:trHeight w:val="328"/>
        </w:trPr>
        <w:tc>
          <w:tcPr>
            <w:tcW w:w="4675" w:type="dxa"/>
          </w:tcPr>
          <w:p w:rsidR="00AE2620" w:rsidP="00AE2620" w:rsidRDefault="00AE2620" w14:paraId="0D2516C3" w14:textId="77777777">
            <w:pPr>
              <w:ind w:left="330"/>
              <w:rPr>
                <w:rFonts w:asciiTheme="minorHAnsi" w:hAnsiTheme="minorHAnsi" w:cstheme="minorHAnsi"/>
              </w:rPr>
            </w:pPr>
            <w:r>
              <w:rPr>
                <w:rFonts w:asciiTheme="minorHAnsi" w:hAnsiTheme="minorHAnsi" w:cstheme="minorHAnsi"/>
              </w:rPr>
              <w:t>Initial Mailing</w:t>
            </w:r>
          </w:p>
        </w:tc>
        <w:tc>
          <w:tcPr>
            <w:tcW w:w="4675" w:type="dxa"/>
          </w:tcPr>
          <w:p w:rsidR="00AE2620" w:rsidP="00AE2620" w:rsidRDefault="00AE2620" w14:paraId="62E6FD6C" w14:textId="1C7E8418">
            <w:pPr>
              <w:rPr>
                <w:rFonts w:asciiTheme="minorHAnsi" w:hAnsiTheme="minorHAnsi" w:cstheme="minorHAnsi"/>
              </w:rPr>
            </w:pPr>
            <w:r>
              <w:rPr>
                <w:rFonts w:asciiTheme="minorHAnsi" w:hAnsiTheme="minorHAnsi" w:cstheme="minorHAnsi"/>
              </w:rPr>
              <w:t>3 weeks to 2 months following OMB approval</w:t>
            </w:r>
          </w:p>
        </w:tc>
      </w:tr>
      <w:tr w:rsidR="00AE2620" w:rsidTr="001E4671" w14:paraId="1F508464" w14:textId="77777777">
        <w:trPr>
          <w:trHeight w:val="328"/>
        </w:trPr>
        <w:tc>
          <w:tcPr>
            <w:tcW w:w="4675" w:type="dxa"/>
          </w:tcPr>
          <w:p w:rsidR="00AE2620" w:rsidP="00AE2620" w:rsidRDefault="00AE2620" w14:paraId="73210322" w14:textId="77777777">
            <w:pPr>
              <w:ind w:left="330"/>
              <w:rPr>
                <w:rFonts w:asciiTheme="minorHAnsi" w:hAnsiTheme="minorHAnsi" w:cstheme="minorHAnsi"/>
              </w:rPr>
            </w:pPr>
            <w:r>
              <w:rPr>
                <w:rFonts w:asciiTheme="minorHAnsi" w:hAnsiTheme="minorHAnsi" w:cstheme="minorHAnsi"/>
              </w:rPr>
              <w:t>Nonresponse Follow-up</w:t>
            </w:r>
          </w:p>
        </w:tc>
        <w:tc>
          <w:tcPr>
            <w:tcW w:w="4675" w:type="dxa"/>
          </w:tcPr>
          <w:p w:rsidR="00AE2620" w:rsidP="00AE2620" w:rsidRDefault="00AE2620" w14:paraId="5482219E" w14:textId="3C9E3D0C">
            <w:pPr>
              <w:jc w:val="center"/>
              <w:rPr>
                <w:rFonts w:asciiTheme="minorHAnsi" w:hAnsiTheme="minorHAnsi" w:cstheme="minorHAnsi"/>
              </w:rPr>
            </w:pPr>
            <w:r>
              <w:rPr>
                <w:rFonts w:asciiTheme="minorHAnsi" w:hAnsiTheme="minorHAnsi" w:cstheme="minorHAnsi"/>
              </w:rPr>
              <w:t>4 weeks to 2 months following OMB approval</w:t>
            </w:r>
          </w:p>
        </w:tc>
      </w:tr>
      <w:tr w:rsidR="00AE2620" w:rsidTr="001E4671" w14:paraId="6F4852B6" w14:textId="77777777">
        <w:trPr>
          <w:trHeight w:val="328"/>
        </w:trPr>
        <w:tc>
          <w:tcPr>
            <w:tcW w:w="4675" w:type="dxa"/>
          </w:tcPr>
          <w:p w:rsidRPr="00BC51C5" w:rsidR="00AE2620" w:rsidP="00AE2620" w:rsidRDefault="00AE2620" w14:paraId="01A95E1D" w14:textId="67451009">
            <w:pPr>
              <w:rPr>
                <w:rFonts w:asciiTheme="minorHAnsi" w:hAnsiTheme="minorHAnsi" w:cstheme="minorHAnsi"/>
                <w:i/>
              </w:rPr>
            </w:pPr>
            <w:r>
              <w:rPr>
                <w:rFonts w:asciiTheme="minorHAnsi" w:hAnsiTheme="minorHAnsi" w:cstheme="minorHAnsi"/>
                <w:i/>
              </w:rPr>
              <w:t xml:space="preserve">Data Set, </w:t>
            </w:r>
            <w:r w:rsidRPr="00BC51C5">
              <w:rPr>
                <w:rFonts w:asciiTheme="minorHAnsi" w:hAnsiTheme="minorHAnsi" w:cstheme="minorHAnsi"/>
                <w:i/>
              </w:rPr>
              <w:t>Documentation</w:t>
            </w:r>
            <w:r>
              <w:rPr>
                <w:rFonts w:asciiTheme="minorHAnsi" w:hAnsiTheme="minorHAnsi" w:cstheme="minorHAnsi"/>
                <w:i/>
              </w:rPr>
              <w:t>, &amp; Reporting</w:t>
            </w:r>
          </w:p>
        </w:tc>
        <w:tc>
          <w:tcPr>
            <w:tcW w:w="4675" w:type="dxa"/>
          </w:tcPr>
          <w:p w:rsidR="00AE2620" w:rsidP="00AE2620" w:rsidRDefault="00AE2620" w14:paraId="598C1D2E" w14:textId="77777777">
            <w:pPr>
              <w:jc w:val="center"/>
              <w:rPr>
                <w:rFonts w:asciiTheme="minorHAnsi" w:hAnsiTheme="minorHAnsi" w:cstheme="minorHAnsi"/>
              </w:rPr>
            </w:pPr>
          </w:p>
        </w:tc>
      </w:tr>
      <w:tr w:rsidR="00AE2620" w:rsidTr="001E4671" w14:paraId="347768B7" w14:textId="77777777">
        <w:trPr>
          <w:trHeight w:val="328"/>
        </w:trPr>
        <w:tc>
          <w:tcPr>
            <w:tcW w:w="4675" w:type="dxa"/>
          </w:tcPr>
          <w:p w:rsidR="00AE2620" w:rsidP="00AE2620" w:rsidRDefault="00AE2620" w14:paraId="5379BCD0" w14:textId="575C1025">
            <w:pPr>
              <w:ind w:left="330"/>
              <w:rPr>
                <w:rFonts w:asciiTheme="minorHAnsi" w:hAnsiTheme="minorHAnsi" w:cstheme="minorHAnsi"/>
              </w:rPr>
            </w:pPr>
            <w:r>
              <w:rPr>
                <w:rFonts w:asciiTheme="minorHAnsi" w:hAnsiTheme="minorHAnsi" w:cstheme="minorHAnsi"/>
              </w:rPr>
              <w:t>Produce data file and documentation</w:t>
            </w:r>
          </w:p>
        </w:tc>
        <w:tc>
          <w:tcPr>
            <w:tcW w:w="4675" w:type="dxa"/>
          </w:tcPr>
          <w:p w:rsidR="00AE2620" w:rsidP="00AE2620" w:rsidRDefault="00AE2620" w14:paraId="004D670F" w14:textId="1D98D545">
            <w:pPr>
              <w:jc w:val="center"/>
              <w:rPr>
                <w:rFonts w:asciiTheme="minorHAnsi" w:hAnsiTheme="minorHAnsi" w:cstheme="minorHAnsi"/>
              </w:rPr>
            </w:pPr>
            <w:r>
              <w:rPr>
                <w:rFonts w:asciiTheme="minorHAnsi" w:hAnsiTheme="minorHAnsi" w:cstheme="minorHAnsi"/>
              </w:rPr>
              <w:t>5 to 6 months following OMB approval</w:t>
            </w:r>
          </w:p>
        </w:tc>
      </w:tr>
      <w:tr w:rsidR="00AE2620" w:rsidTr="001E4671" w14:paraId="1B8F9D4E" w14:textId="77777777">
        <w:trPr>
          <w:trHeight w:val="328"/>
        </w:trPr>
        <w:tc>
          <w:tcPr>
            <w:tcW w:w="4675" w:type="dxa"/>
          </w:tcPr>
          <w:p w:rsidRPr="004068FD" w:rsidR="00AE2620" w:rsidP="00AE2620" w:rsidRDefault="00AE2620" w14:paraId="0FADEF4E" w14:textId="1240F26B">
            <w:pPr>
              <w:ind w:left="330"/>
              <w:rPr>
                <w:rFonts w:asciiTheme="minorHAnsi" w:hAnsiTheme="minorHAnsi" w:cstheme="minorHAnsi"/>
              </w:rPr>
            </w:pPr>
            <w:r w:rsidRPr="004068FD">
              <w:rPr>
                <w:rFonts w:asciiTheme="minorHAnsi" w:hAnsiTheme="minorHAnsi" w:cstheme="minorHAnsi"/>
              </w:rPr>
              <w:t>Analyze data</w:t>
            </w:r>
          </w:p>
        </w:tc>
        <w:tc>
          <w:tcPr>
            <w:tcW w:w="4675" w:type="dxa"/>
          </w:tcPr>
          <w:p w:rsidRPr="004068FD" w:rsidR="00AE2620" w:rsidP="00AE2620" w:rsidRDefault="00AE2620" w14:paraId="1EC2359D" w14:textId="0B3A7EBA">
            <w:pPr>
              <w:jc w:val="center"/>
              <w:rPr>
                <w:rFonts w:asciiTheme="minorHAnsi" w:hAnsiTheme="minorHAnsi" w:cstheme="minorHAnsi"/>
              </w:rPr>
            </w:pPr>
            <w:r>
              <w:rPr>
                <w:rFonts w:asciiTheme="minorHAnsi" w:hAnsiTheme="minorHAnsi" w:cstheme="minorHAnsi"/>
              </w:rPr>
              <w:t>7 months following OMB approval</w:t>
            </w:r>
          </w:p>
        </w:tc>
      </w:tr>
      <w:tr w:rsidR="00AE2620" w:rsidTr="001E4671" w14:paraId="06B167C2" w14:textId="77777777">
        <w:trPr>
          <w:trHeight w:val="328"/>
        </w:trPr>
        <w:tc>
          <w:tcPr>
            <w:tcW w:w="4675" w:type="dxa"/>
          </w:tcPr>
          <w:p w:rsidRPr="00F65844" w:rsidR="00AE2620" w:rsidP="00AE2620" w:rsidRDefault="00AE2620" w14:paraId="3EA03378" w14:textId="10A72D8E">
            <w:pPr>
              <w:ind w:left="330"/>
              <w:rPr>
                <w:rFonts w:asciiTheme="minorHAnsi" w:hAnsiTheme="minorHAnsi" w:cstheme="minorHAnsi"/>
              </w:rPr>
            </w:pPr>
            <w:r>
              <w:rPr>
                <w:rFonts w:asciiTheme="minorHAnsi" w:hAnsiTheme="minorHAnsi" w:cstheme="minorHAnsi"/>
              </w:rPr>
              <w:t>Submit to a journal for publication</w:t>
            </w:r>
          </w:p>
        </w:tc>
        <w:tc>
          <w:tcPr>
            <w:tcW w:w="4675" w:type="dxa"/>
          </w:tcPr>
          <w:p w:rsidRPr="00F65844" w:rsidR="00AE2620" w:rsidP="00AE2620" w:rsidRDefault="00AE2620" w14:paraId="22E357F0" w14:textId="5E1C640F">
            <w:pPr>
              <w:jc w:val="center"/>
              <w:rPr>
                <w:rFonts w:asciiTheme="minorHAnsi" w:hAnsiTheme="minorHAnsi" w:cstheme="minorHAnsi"/>
              </w:rPr>
            </w:pPr>
            <w:r>
              <w:rPr>
                <w:rFonts w:asciiTheme="minorHAnsi" w:hAnsiTheme="minorHAnsi" w:cstheme="minorHAnsi"/>
              </w:rPr>
              <w:t>12 months following OMB approval</w:t>
            </w:r>
          </w:p>
        </w:tc>
      </w:tr>
      <w:tr w:rsidR="00AE2620" w:rsidTr="001E4671" w14:paraId="38E3489B" w14:textId="77777777">
        <w:trPr>
          <w:trHeight w:val="328"/>
        </w:trPr>
        <w:tc>
          <w:tcPr>
            <w:tcW w:w="4675" w:type="dxa"/>
          </w:tcPr>
          <w:p w:rsidRPr="004068FD" w:rsidR="00AE2620" w:rsidP="00AE2620" w:rsidRDefault="00AE2620" w14:paraId="6F9287EF" w14:textId="2FAB4677">
            <w:pPr>
              <w:ind w:left="330"/>
              <w:rPr>
                <w:rFonts w:asciiTheme="minorHAnsi" w:hAnsiTheme="minorHAnsi" w:cstheme="minorHAnsi"/>
              </w:rPr>
            </w:pPr>
            <w:r w:rsidRPr="004068FD">
              <w:rPr>
                <w:rFonts w:asciiTheme="minorHAnsi" w:hAnsiTheme="minorHAnsi" w:cstheme="minorHAnsi"/>
              </w:rPr>
              <w:t>Publish results</w:t>
            </w:r>
          </w:p>
        </w:tc>
        <w:tc>
          <w:tcPr>
            <w:tcW w:w="4675" w:type="dxa"/>
          </w:tcPr>
          <w:p w:rsidRPr="004068FD" w:rsidR="00AE2620" w:rsidP="00AE2620" w:rsidRDefault="00AE2620" w14:paraId="6375CA6B" w14:textId="02378006">
            <w:pPr>
              <w:jc w:val="center"/>
              <w:rPr>
                <w:rFonts w:asciiTheme="minorHAnsi" w:hAnsiTheme="minorHAnsi" w:cstheme="minorHAnsi"/>
              </w:rPr>
            </w:pPr>
            <w:r>
              <w:rPr>
                <w:rFonts w:asciiTheme="minorHAnsi" w:hAnsiTheme="minorHAnsi" w:cstheme="minorHAnsi"/>
              </w:rPr>
              <w:t>23 months following OMB approval</w:t>
            </w:r>
          </w:p>
        </w:tc>
      </w:tr>
    </w:tbl>
    <w:p w:rsidR="000B7617" w:rsidP="00EB104F" w:rsidRDefault="000B7617" w14:paraId="2F6EE3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bookmarkStart w:name="_GoBack" w:id="27"/>
      <w:bookmarkEnd w:id="27"/>
    </w:p>
    <w:p w:rsidRPr="00DB012E" w:rsidR="00EB104F" w:rsidP="00DB012E" w:rsidRDefault="00EB104F" w14:paraId="0F3892CE" w14:textId="77777777">
      <w:pPr>
        <w:pStyle w:val="ExhibitText"/>
        <w:outlineLvl w:val="1"/>
        <w:rPr>
          <w:b/>
          <w:sz w:val="22"/>
          <w:szCs w:val="22"/>
        </w:rPr>
      </w:pPr>
      <w:bookmarkStart w:name="_Toc344295590" w:id="28"/>
      <w:r w:rsidRPr="00DB012E">
        <w:rPr>
          <w:b/>
          <w:sz w:val="22"/>
          <w:szCs w:val="22"/>
        </w:rPr>
        <w:t>A.17</w:t>
      </w:r>
      <w:r w:rsidRPr="00DB012E">
        <w:rPr>
          <w:b/>
          <w:sz w:val="22"/>
          <w:szCs w:val="22"/>
        </w:rPr>
        <w:tab/>
        <w:t>REASON(S) DISPLAY OF OMB EXPIRATION DATE IS INAPPROPRIATE</w:t>
      </w:r>
      <w:bookmarkEnd w:id="28"/>
    </w:p>
    <w:p w:rsidR="00EB104F" w:rsidP="00EB104F" w:rsidRDefault="00EB104F" w14:paraId="08649A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C67041" w:rsidR="00EB104F" w:rsidP="002B19EE" w:rsidRDefault="00CD621B" w14:paraId="1696DD32" w14:textId="290409C8">
      <w:pPr>
        <w:rPr>
          <w:sz w:val="22"/>
          <w:szCs w:val="22"/>
        </w:rPr>
      </w:pPr>
      <w:r w:rsidRPr="00C67041">
        <w:rPr>
          <w:sz w:val="22"/>
          <w:szCs w:val="22"/>
        </w:rPr>
        <w:t xml:space="preserve">The OMB expiration date will be </w:t>
      </w:r>
      <w:r w:rsidRPr="00C67041" w:rsidR="00374449">
        <w:rPr>
          <w:sz w:val="22"/>
          <w:szCs w:val="22"/>
        </w:rPr>
        <w:t xml:space="preserve">displayed on all paper surveys and listed on the web-based surveys. </w:t>
      </w:r>
    </w:p>
    <w:p w:rsidR="00EB104F" w:rsidP="00EB104F" w:rsidRDefault="00EB104F" w14:paraId="34B07B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p>
    <w:p w:rsidRPr="00DB012E" w:rsidR="00EB104F" w:rsidP="00AD26EB" w:rsidRDefault="00EB104F" w14:paraId="7188D54F" w14:textId="77777777">
      <w:pPr>
        <w:pStyle w:val="ExhibitText"/>
        <w:ind w:left="720" w:hanging="720"/>
        <w:outlineLvl w:val="1"/>
        <w:rPr>
          <w:b/>
          <w:sz w:val="22"/>
          <w:szCs w:val="22"/>
        </w:rPr>
      </w:pPr>
      <w:bookmarkStart w:name="_Toc344295591" w:id="29"/>
      <w:r w:rsidRPr="00DB012E">
        <w:rPr>
          <w:b/>
          <w:sz w:val="22"/>
          <w:szCs w:val="22"/>
        </w:rPr>
        <w:t>A.18</w:t>
      </w:r>
      <w:r w:rsidRPr="00DB012E">
        <w:rPr>
          <w:b/>
          <w:sz w:val="22"/>
          <w:szCs w:val="22"/>
        </w:rPr>
        <w:tab/>
        <w:t>EXCEPTIONS TO CERTIFICATION FOR PAPERWORK REDUCTION ACT SUBMISSIONS</w:t>
      </w:r>
      <w:bookmarkEnd w:id="29"/>
    </w:p>
    <w:p w:rsidR="00EB104F" w:rsidP="00EB104F" w:rsidRDefault="00EB104F" w14:paraId="296C20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8448E1" w:rsidP="00A11ABE" w:rsidRDefault="00EB104F" w14:paraId="0FAD0920" w14:textId="467691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C67041">
        <w:rPr>
          <w:sz w:val="22"/>
          <w:szCs w:val="22"/>
        </w:rPr>
        <w:t>No exemptions from the certification statement are being sought.</w:t>
      </w:r>
      <w:r w:rsidR="00A11ABE">
        <w:t xml:space="preserve"> </w:t>
      </w:r>
    </w:p>
    <w:sectPr w:rsidR="008448E1" w:rsidSect="009265A0">
      <w:footerReference w:type="default" r:id="rId11"/>
      <w:endnotePr>
        <w:numFmt w:val="decimal"/>
      </w:endnotePr>
      <w:pgSz w:w="12240" w:h="15840"/>
      <w:pgMar w:top="1440" w:right="1440" w:bottom="720" w:left="1440" w:header="108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743E6" w14:textId="77777777" w:rsidR="0004659C" w:rsidRDefault="0004659C">
      <w:r>
        <w:separator/>
      </w:r>
    </w:p>
  </w:endnote>
  <w:endnote w:type="continuationSeparator" w:id="0">
    <w:p w14:paraId="4FC622C2" w14:textId="77777777" w:rsidR="0004659C" w:rsidRDefault="0004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TUR">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3FC9" w14:textId="77777777" w:rsidR="0004659C" w:rsidRDefault="00046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7C8AF4BB" w14:textId="77777777" w:rsidR="0004659C" w:rsidRDefault="00046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CC40" w14:textId="5664636D" w:rsidR="0004659C" w:rsidRDefault="0004659C">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2841" w14:textId="143AC2D7" w:rsidR="0004659C" w:rsidRDefault="0004659C" w:rsidP="00AD26EB">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10D00" w14:textId="77777777" w:rsidR="0004659C" w:rsidRDefault="0004659C">
      <w:r>
        <w:separator/>
      </w:r>
    </w:p>
  </w:footnote>
  <w:footnote w:type="continuationSeparator" w:id="0">
    <w:p w14:paraId="04A419E0" w14:textId="77777777" w:rsidR="0004659C" w:rsidRDefault="0004659C">
      <w:r>
        <w:continuationSeparator/>
      </w:r>
    </w:p>
  </w:footnote>
  <w:footnote w:id="1">
    <w:p w14:paraId="2F0EB344" w14:textId="03C7E452" w:rsidR="0004659C" w:rsidRDefault="0004659C">
      <w:pPr>
        <w:pStyle w:val="FootnoteText"/>
      </w:pPr>
      <w:r>
        <w:rPr>
          <w:rStyle w:val="FootnoteReference"/>
        </w:rPr>
        <w:footnoteRef/>
      </w:r>
      <w:r>
        <w:t xml:space="preserve"> </w:t>
      </w:r>
      <w:r w:rsidRPr="000820A1">
        <w:t>Cantor, David &amp; O'Hare, Barbara &amp; O'Connor, Kathleen. (2007). The Use of Monetary Incentives to Reduce Nonresponse in Random Digit Dial Telephone Surveys. 10.1002/9780470173404.ch22.</w:t>
      </w:r>
    </w:p>
  </w:footnote>
  <w:footnote w:id="2">
    <w:p w14:paraId="52FA2A6D" w14:textId="1634C174" w:rsidR="0004659C" w:rsidRDefault="0004659C">
      <w:pPr>
        <w:pStyle w:val="FootnoteText"/>
      </w:pPr>
      <w:r>
        <w:rPr>
          <w:rStyle w:val="FootnoteReference"/>
        </w:rPr>
        <w:footnoteRef/>
      </w:r>
      <w:r>
        <w:t xml:space="preserve"> </w:t>
      </w:r>
      <w:r w:rsidRPr="000820A1">
        <w:t>Mercer, Andrew &amp; Caporaso, Andrew &amp; Cantor, David &amp; Townsend, Reanne. (2015). How Much Gets You How Much?: Monetary Incentives and Response Rates in Household Surveys. Public Opinion Quarterly. 79. 10.1093/poq/nfu059.</w:t>
      </w:r>
    </w:p>
  </w:footnote>
  <w:footnote w:id="3">
    <w:p w14:paraId="7A700E46" w14:textId="77777777" w:rsidR="0004659C" w:rsidRDefault="0004659C" w:rsidP="00FA5A19">
      <w:pPr>
        <w:pStyle w:val="FootnoteText"/>
      </w:pPr>
      <w:r w:rsidRPr="00684EEE">
        <w:rPr>
          <w:rStyle w:val="FootnoteReference"/>
          <w:vertAlign w:val="superscript"/>
        </w:rPr>
        <w:footnoteRef/>
      </w:r>
      <w:r w:rsidRPr="00684EEE">
        <w:rPr>
          <w:vertAlign w:val="superscript"/>
        </w:rPr>
        <w:t xml:space="preserve"> </w:t>
      </w:r>
      <w:r w:rsidRPr="00F619A7">
        <w:rPr>
          <w:sz w:val="18"/>
          <w:szCs w:val="18"/>
        </w:rPr>
        <w:t xml:space="preserve">The time cost to respondents is the hourly earnings of elementary and secondary administrators </w:t>
      </w:r>
      <w:r>
        <w:rPr>
          <w:sz w:val="18"/>
          <w:szCs w:val="18"/>
        </w:rPr>
        <w:t xml:space="preserve">and </w:t>
      </w:r>
      <w:r w:rsidRPr="00F619A7">
        <w:rPr>
          <w:sz w:val="18"/>
          <w:szCs w:val="18"/>
        </w:rPr>
        <w:t xml:space="preserve">school </w:t>
      </w:r>
      <w:r>
        <w:rPr>
          <w:sz w:val="18"/>
          <w:szCs w:val="18"/>
        </w:rPr>
        <w:t xml:space="preserve">teachers </w:t>
      </w:r>
      <w:r w:rsidRPr="00F619A7">
        <w:rPr>
          <w:sz w:val="18"/>
          <w:szCs w:val="18"/>
        </w:rPr>
        <w:t>as reported in the May 201</w:t>
      </w:r>
      <w:r>
        <w:rPr>
          <w:sz w:val="18"/>
          <w:szCs w:val="18"/>
        </w:rPr>
        <w:t>8</w:t>
      </w:r>
      <w:r w:rsidRPr="00F619A7">
        <w:rPr>
          <w:sz w:val="18"/>
          <w:szCs w:val="18"/>
        </w:rPr>
        <w:t xml:space="preserve"> Bureau of Labor Statistics (BLS) Occupational Employment Statistics. The mean hourly wage was computed assuming 2,080 hours per year. Source: BLS Occupational Employment Statistics, </w:t>
      </w:r>
      <w:hyperlink r:id="rId1" w:anchor="25-0000" w:history="1">
        <w:r w:rsidRPr="00A31772">
          <w:rPr>
            <w:rStyle w:val="Hyperlink"/>
            <w:sz w:val="18"/>
            <w:szCs w:val="18"/>
          </w:rPr>
          <w:t>https://www.bls.gov/oes/current/oes_nat.htm#25-0000</w:t>
        </w:r>
      </w:hyperlink>
      <w:r w:rsidRPr="00F619A7">
        <w:rPr>
          <w:sz w:val="18"/>
          <w:szCs w:val="18"/>
        </w:rPr>
        <w:t>, Occupation code</w:t>
      </w:r>
      <w:r>
        <w:rPr>
          <w:sz w:val="18"/>
          <w:szCs w:val="18"/>
        </w:rPr>
        <w:t>s</w:t>
      </w:r>
      <w:r w:rsidRPr="00F619A7">
        <w:rPr>
          <w:sz w:val="18"/>
          <w:szCs w:val="18"/>
        </w:rPr>
        <w:t>:</w:t>
      </w:r>
      <w:r>
        <w:rPr>
          <w:sz w:val="18"/>
          <w:szCs w:val="18"/>
        </w:rPr>
        <w:t xml:space="preserve"> </w:t>
      </w:r>
      <w:r w:rsidRPr="00F619A7">
        <w:rPr>
          <w:sz w:val="18"/>
          <w:szCs w:val="18"/>
        </w:rPr>
        <w:t>Education Administrators, Elementary and Secondary School (11-9032</w:t>
      </w:r>
      <w:r>
        <w:rPr>
          <w:sz w:val="18"/>
          <w:szCs w:val="18"/>
        </w:rPr>
        <w:t xml:space="preserve">), and Secondary School Teachers (25-2030), </w:t>
      </w:r>
      <w:r w:rsidRPr="00F619A7">
        <w:rPr>
          <w:sz w:val="18"/>
          <w:szCs w:val="18"/>
        </w:rPr>
        <w:t xml:space="preserve">accessed on </w:t>
      </w:r>
      <w:r>
        <w:rPr>
          <w:sz w:val="18"/>
          <w:szCs w:val="18"/>
        </w:rPr>
        <w:t>November 15</w:t>
      </w:r>
      <w:r w:rsidRPr="00F619A7">
        <w:rPr>
          <w:sz w:val="18"/>
          <w:szCs w:val="18"/>
        </w:rPr>
        <w:t>, 201</w:t>
      </w:r>
      <w:r>
        <w:rPr>
          <w:sz w:val="18"/>
          <w:szCs w:val="18"/>
        </w:rPr>
        <w:t>9</w:t>
      </w:r>
      <w:r w:rsidRPr="00F619A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2276"/>
    <w:multiLevelType w:val="hybridMultilevel"/>
    <w:tmpl w:val="8FDEBAF6"/>
    <w:lvl w:ilvl="0" w:tplc="ECC4D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D6A99"/>
    <w:multiLevelType w:val="hybridMultilevel"/>
    <w:tmpl w:val="6DA839CC"/>
    <w:lvl w:ilvl="0" w:tplc="C972AF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41E90"/>
    <w:multiLevelType w:val="hybridMultilevel"/>
    <w:tmpl w:val="0A801E4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620BEB"/>
    <w:multiLevelType w:val="hybridMultilevel"/>
    <w:tmpl w:val="E202E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5" w15:restartNumberingAfterBreak="0">
    <w:nsid w:val="629F3308"/>
    <w:multiLevelType w:val="hybridMultilevel"/>
    <w:tmpl w:val="1274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E1ED9"/>
    <w:multiLevelType w:val="hybridMultilevel"/>
    <w:tmpl w:val="5CAC8F3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7D64452"/>
    <w:multiLevelType w:val="hybridMultilevel"/>
    <w:tmpl w:val="EFA2A4CA"/>
    <w:lvl w:ilvl="0" w:tplc="A754CE40">
      <w:start w:val="1"/>
      <w:numFmt w:val="decimal"/>
      <w:lvlText w:val="%1."/>
      <w:lvlJc w:val="left"/>
      <w:pPr>
        <w:tabs>
          <w:tab w:val="num" w:pos="1080"/>
        </w:tabs>
        <w:ind w:left="1080" w:hanging="360"/>
      </w:pPr>
      <w:rPr>
        <w:rFonts w:ascii="Times New Roman" w:hAnsi="Times New Roman" w:hint="default"/>
        <w:b w:val="0"/>
        <w:i w:val="0"/>
        <w:sz w:val="24"/>
        <w:szCs w:val="24"/>
      </w:rPr>
    </w:lvl>
    <w:lvl w:ilvl="1" w:tplc="073CCBBA">
      <w:start w:val="1"/>
      <w:numFmt w:val="bullet"/>
      <w:lvlText w:val=""/>
      <w:lvlJc w:val="left"/>
      <w:pPr>
        <w:tabs>
          <w:tab w:val="num" w:pos="1800"/>
        </w:tabs>
        <w:ind w:left="1800" w:hanging="360"/>
      </w:pPr>
      <w:rPr>
        <w:rFonts w:ascii="Wingdings" w:hAnsi="Wingdings" w:hint="default"/>
      </w:rPr>
    </w:lvl>
    <w:lvl w:ilvl="2" w:tplc="80BC541E">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CA30424"/>
    <w:multiLevelType w:val="hybridMultilevel"/>
    <w:tmpl w:val="34D4FE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9626C9"/>
    <w:multiLevelType w:val="hybridMultilevel"/>
    <w:tmpl w:val="4C20FEB6"/>
    <w:lvl w:ilvl="0" w:tplc="602A99D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5866819"/>
    <w:multiLevelType w:val="hybridMultilevel"/>
    <w:tmpl w:val="8354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2"/>
  </w:num>
  <w:num w:numId="6">
    <w:abstractNumId w:val="5"/>
  </w:num>
  <w:num w:numId="7">
    <w:abstractNumId w:val="10"/>
  </w:num>
  <w:num w:numId="8">
    <w:abstractNumId w:val="1"/>
  </w:num>
  <w:num w:numId="9">
    <w:abstractNumId w:val="0"/>
  </w:num>
  <w:num w:numId="10">
    <w:abstractNumId w:val="1"/>
  </w:num>
  <w:num w:numId="11">
    <w:abstractNumId w:val="0"/>
    <w:lvlOverride w:ilvl="0">
      <w:startOverride w:val="1"/>
    </w:lvlOverride>
  </w:num>
  <w:num w:numId="12">
    <w:abstractNumId w:val="8"/>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4F"/>
    <w:rsid w:val="00005F94"/>
    <w:rsid w:val="000067AB"/>
    <w:rsid w:val="00006EDA"/>
    <w:rsid w:val="00007991"/>
    <w:rsid w:val="00011F82"/>
    <w:rsid w:val="00014F1C"/>
    <w:rsid w:val="00024771"/>
    <w:rsid w:val="00027490"/>
    <w:rsid w:val="00030434"/>
    <w:rsid w:val="00032281"/>
    <w:rsid w:val="00036488"/>
    <w:rsid w:val="00040514"/>
    <w:rsid w:val="0004659C"/>
    <w:rsid w:val="00047359"/>
    <w:rsid w:val="00052911"/>
    <w:rsid w:val="00052C33"/>
    <w:rsid w:val="000531C4"/>
    <w:rsid w:val="000548F3"/>
    <w:rsid w:val="00054E11"/>
    <w:rsid w:val="00056EE8"/>
    <w:rsid w:val="00060866"/>
    <w:rsid w:val="00062F2C"/>
    <w:rsid w:val="000641EC"/>
    <w:rsid w:val="00064236"/>
    <w:rsid w:val="000654A7"/>
    <w:rsid w:val="000734C1"/>
    <w:rsid w:val="00076E55"/>
    <w:rsid w:val="00080460"/>
    <w:rsid w:val="000820A1"/>
    <w:rsid w:val="0008612F"/>
    <w:rsid w:val="0009077D"/>
    <w:rsid w:val="00094498"/>
    <w:rsid w:val="00096F5C"/>
    <w:rsid w:val="000A0CB5"/>
    <w:rsid w:val="000B0A22"/>
    <w:rsid w:val="000B7608"/>
    <w:rsid w:val="000B7617"/>
    <w:rsid w:val="000B7957"/>
    <w:rsid w:val="000C0029"/>
    <w:rsid w:val="000C401B"/>
    <w:rsid w:val="000C6B27"/>
    <w:rsid w:val="000C6E95"/>
    <w:rsid w:val="000D2C86"/>
    <w:rsid w:val="000D4B62"/>
    <w:rsid w:val="000E0568"/>
    <w:rsid w:val="000E1F3F"/>
    <w:rsid w:val="000E3DFF"/>
    <w:rsid w:val="000E4BC8"/>
    <w:rsid w:val="000E4C50"/>
    <w:rsid w:val="000E4C60"/>
    <w:rsid w:val="000E73CF"/>
    <w:rsid w:val="000E787D"/>
    <w:rsid w:val="000F00D2"/>
    <w:rsid w:val="000F0100"/>
    <w:rsid w:val="000F07C2"/>
    <w:rsid w:val="000F0931"/>
    <w:rsid w:val="000F2AD2"/>
    <w:rsid w:val="000F6583"/>
    <w:rsid w:val="00100F1F"/>
    <w:rsid w:val="001043F7"/>
    <w:rsid w:val="00104BEA"/>
    <w:rsid w:val="001053E7"/>
    <w:rsid w:val="00106012"/>
    <w:rsid w:val="00110B1B"/>
    <w:rsid w:val="001117AE"/>
    <w:rsid w:val="001126CE"/>
    <w:rsid w:val="00114875"/>
    <w:rsid w:val="001169B9"/>
    <w:rsid w:val="00116E39"/>
    <w:rsid w:val="00116FB5"/>
    <w:rsid w:val="0011701F"/>
    <w:rsid w:val="00121280"/>
    <w:rsid w:val="0012135E"/>
    <w:rsid w:val="001276E9"/>
    <w:rsid w:val="001375EE"/>
    <w:rsid w:val="00142EC7"/>
    <w:rsid w:val="00147FF8"/>
    <w:rsid w:val="001512C9"/>
    <w:rsid w:val="00153212"/>
    <w:rsid w:val="00160B29"/>
    <w:rsid w:val="00161717"/>
    <w:rsid w:val="00161740"/>
    <w:rsid w:val="00172D6F"/>
    <w:rsid w:val="001747F7"/>
    <w:rsid w:val="00174C9E"/>
    <w:rsid w:val="001825F4"/>
    <w:rsid w:val="00182C2C"/>
    <w:rsid w:val="00183EF2"/>
    <w:rsid w:val="00184115"/>
    <w:rsid w:val="00184BC8"/>
    <w:rsid w:val="001853D5"/>
    <w:rsid w:val="00185C26"/>
    <w:rsid w:val="00192263"/>
    <w:rsid w:val="001927C2"/>
    <w:rsid w:val="00192E89"/>
    <w:rsid w:val="00193432"/>
    <w:rsid w:val="001A0808"/>
    <w:rsid w:val="001A6E60"/>
    <w:rsid w:val="001A75FD"/>
    <w:rsid w:val="001B0570"/>
    <w:rsid w:val="001B1519"/>
    <w:rsid w:val="001B1C18"/>
    <w:rsid w:val="001B1E5E"/>
    <w:rsid w:val="001B337F"/>
    <w:rsid w:val="001B71FB"/>
    <w:rsid w:val="001B7B75"/>
    <w:rsid w:val="001C0AE9"/>
    <w:rsid w:val="001C23DF"/>
    <w:rsid w:val="001C266C"/>
    <w:rsid w:val="001C51EB"/>
    <w:rsid w:val="001D6F53"/>
    <w:rsid w:val="001D781C"/>
    <w:rsid w:val="001E1317"/>
    <w:rsid w:val="001E4671"/>
    <w:rsid w:val="001E665A"/>
    <w:rsid w:val="001F0E7E"/>
    <w:rsid w:val="001F16D0"/>
    <w:rsid w:val="001F3285"/>
    <w:rsid w:val="00201513"/>
    <w:rsid w:val="00214102"/>
    <w:rsid w:val="00214327"/>
    <w:rsid w:val="002153CD"/>
    <w:rsid w:val="00217EF8"/>
    <w:rsid w:val="00220C7A"/>
    <w:rsid w:val="0022270E"/>
    <w:rsid w:val="00223620"/>
    <w:rsid w:val="00223A90"/>
    <w:rsid w:val="00224531"/>
    <w:rsid w:val="00227B30"/>
    <w:rsid w:val="00232ACA"/>
    <w:rsid w:val="00232C68"/>
    <w:rsid w:val="00234418"/>
    <w:rsid w:val="00243FA4"/>
    <w:rsid w:val="00244C51"/>
    <w:rsid w:val="0024511E"/>
    <w:rsid w:val="0024660F"/>
    <w:rsid w:val="00251C61"/>
    <w:rsid w:val="00254E40"/>
    <w:rsid w:val="00256384"/>
    <w:rsid w:val="002575C6"/>
    <w:rsid w:val="002577CB"/>
    <w:rsid w:val="00260E37"/>
    <w:rsid w:val="0027143B"/>
    <w:rsid w:val="00275BE3"/>
    <w:rsid w:val="00281A5A"/>
    <w:rsid w:val="00281ABB"/>
    <w:rsid w:val="0028341D"/>
    <w:rsid w:val="00285A59"/>
    <w:rsid w:val="00287015"/>
    <w:rsid w:val="00287AB7"/>
    <w:rsid w:val="0029172C"/>
    <w:rsid w:val="00291924"/>
    <w:rsid w:val="00292217"/>
    <w:rsid w:val="002925EB"/>
    <w:rsid w:val="00292D86"/>
    <w:rsid w:val="002933D2"/>
    <w:rsid w:val="0029754E"/>
    <w:rsid w:val="00297611"/>
    <w:rsid w:val="0029780B"/>
    <w:rsid w:val="00297C4E"/>
    <w:rsid w:val="002A0EC0"/>
    <w:rsid w:val="002A2DA2"/>
    <w:rsid w:val="002A7B23"/>
    <w:rsid w:val="002B1594"/>
    <w:rsid w:val="002B19EE"/>
    <w:rsid w:val="002B2C19"/>
    <w:rsid w:val="002C1A8C"/>
    <w:rsid w:val="002C3725"/>
    <w:rsid w:val="002C3EF3"/>
    <w:rsid w:val="002C582F"/>
    <w:rsid w:val="002D38CB"/>
    <w:rsid w:val="002E0224"/>
    <w:rsid w:val="002E3D8B"/>
    <w:rsid w:val="002E418B"/>
    <w:rsid w:val="002E7777"/>
    <w:rsid w:val="002F287B"/>
    <w:rsid w:val="002F355D"/>
    <w:rsid w:val="002F67BA"/>
    <w:rsid w:val="00301532"/>
    <w:rsid w:val="003064FD"/>
    <w:rsid w:val="00310BC4"/>
    <w:rsid w:val="0031131F"/>
    <w:rsid w:val="00315E30"/>
    <w:rsid w:val="00317C14"/>
    <w:rsid w:val="00320DFE"/>
    <w:rsid w:val="00321135"/>
    <w:rsid w:val="00323B78"/>
    <w:rsid w:val="00324D47"/>
    <w:rsid w:val="003257E8"/>
    <w:rsid w:val="00327522"/>
    <w:rsid w:val="0033007D"/>
    <w:rsid w:val="003310E2"/>
    <w:rsid w:val="0033192C"/>
    <w:rsid w:val="00332C1D"/>
    <w:rsid w:val="003353FC"/>
    <w:rsid w:val="0033557E"/>
    <w:rsid w:val="00337601"/>
    <w:rsid w:val="003377E5"/>
    <w:rsid w:val="00337EB9"/>
    <w:rsid w:val="003503AC"/>
    <w:rsid w:val="003536D7"/>
    <w:rsid w:val="00354DDA"/>
    <w:rsid w:val="0035572A"/>
    <w:rsid w:val="00364F2A"/>
    <w:rsid w:val="00365727"/>
    <w:rsid w:val="00372F10"/>
    <w:rsid w:val="00373EEE"/>
    <w:rsid w:val="00374449"/>
    <w:rsid w:val="00377F72"/>
    <w:rsid w:val="0038351F"/>
    <w:rsid w:val="003940F1"/>
    <w:rsid w:val="00394EBE"/>
    <w:rsid w:val="003A18DA"/>
    <w:rsid w:val="003A2298"/>
    <w:rsid w:val="003A36D8"/>
    <w:rsid w:val="003A56AF"/>
    <w:rsid w:val="003B3173"/>
    <w:rsid w:val="003B377E"/>
    <w:rsid w:val="003B663F"/>
    <w:rsid w:val="003C2899"/>
    <w:rsid w:val="003D6596"/>
    <w:rsid w:val="003D663C"/>
    <w:rsid w:val="003D7069"/>
    <w:rsid w:val="003D7F0F"/>
    <w:rsid w:val="003E2B4B"/>
    <w:rsid w:val="003E3765"/>
    <w:rsid w:val="003E62D4"/>
    <w:rsid w:val="003F1AD0"/>
    <w:rsid w:val="003F4A8B"/>
    <w:rsid w:val="003F4E69"/>
    <w:rsid w:val="003F7022"/>
    <w:rsid w:val="003F747F"/>
    <w:rsid w:val="00400128"/>
    <w:rsid w:val="0040058B"/>
    <w:rsid w:val="00401A17"/>
    <w:rsid w:val="00402BE9"/>
    <w:rsid w:val="00402DD2"/>
    <w:rsid w:val="00405D56"/>
    <w:rsid w:val="004068FD"/>
    <w:rsid w:val="00410304"/>
    <w:rsid w:val="0042062B"/>
    <w:rsid w:val="00421A33"/>
    <w:rsid w:val="00423A63"/>
    <w:rsid w:val="004259C6"/>
    <w:rsid w:val="004279C3"/>
    <w:rsid w:val="004304EF"/>
    <w:rsid w:val="00437915"/>
    <w:rsid w:val="004420E7"/>
    <w:rsid w:val="0044238F"/>
    <w:rsid w:val="004438FE"/>
    <w:rsid w:val="00446FEF"/>
    <w:rsid w:val="00446FF7"/>
    <w:rsid w:val="00447407"/>
    <w:rsid w:val="00450A68"/>
    <w:rsid w:val="004525D6"/>
    <w:rsid w:val="00452BCB"/>
    <w:rsid w:val="00456ACF"/>
    <w:rsid w:val="00457B10"/>
    <w:rsid w:val="00460357"/>
    <w:rsid w:val="00461B69"/>
    <w:rsid w:val="00466375"/>
    <w:rsid w:val="0046652C"/>
    <w:rsid w:val="00466A0B"/>
    <w:rsid w:val="00466C8F"/>
    <w:rsid w:val="00473D01"/>
    <w:rsid w:val="004747E7"/>
    <w:rsid w:val="00474FF8"/>
    <w:rsid w:val="0047641E"/>
    <w:rsid w:val="004772C8"/>
    <w:rsid w:val="004838CE"/>
    <w:rsid w:val="0048548F"/>
    <w:rsid w:val="00485DB8"/>
    <w:rsid w:val="0048664B"/>
    <w:rsid w:val="004976A0"/>
    <w:rsid w:val="004A15D5"/>
    <w:rsid w:val="004A2057"/>
    <w:rsid w:val="004A310B"/>
    <w:rsid w:val="004A3251"/>
    <w:rsid w:val="004B6B1F"/>
    <w:rsid w:val="004C5360"/>
    <w:rsid w:val="004C79F4"/>
    <w:rsid w:val="004D22C1"/>
    <w:rsid w:val="004D55D8"/>
    <w:rsid w:val="004D7570"/>
    <w:rsid w:val="004E12C2"/>
    <w:rsid w:val="004E38D0"/>
    <w:rsid w:val="004E4CEF"/>
    <w:rsid w:val="005035A9"/>
    <w:rsid w:val="00504AD6"/>
    <w:rsid w:val="00510094"/>
    <w:rsid w:val="0051269D"/>
    <w:rsid w:val="0051467B"/>
    <w:rsid w:val="00514F43"/>
    <w:rsid w:val="00521D56"/>
    <w:rsid w:val="005222E5"/>
    <w:rsid w:val="00525E5F"/>
    <w:rsid w:val="005305CD"/>
    <w:rsid w:val="0053687C"/>
    <w:rsid w:val="00536A29"/>
    <w:rsid w:val="005411F2"/>
    <w:rsid w:val="00542B00"/>
    <w:rsid w:val="0054339E"/>
    <w:rsid w:val="00544968"/>
    <w:rsid w:val="00544B98"/>
    <w:rsid w:val="005457F3"/>
    <w:rsid w:val="00545DDA"/>
    <w:rsid w:val="00550815"/>
    <w:rsid w:val="005519CD"/>
    <w:rsid w:val="0055236B"/>
    <w:rsid w:val="005548BE"/>
    <w:rsid w:val="00557115"/>
    <w:rsid w:val="00557478"/>
    <w:rsid w:val="00564C3D"/>
    <w:rsid w:val="005700CF"/>
    <w:rsid w:val="0057558E"/>
    <w:rsid w:val="00581DBC"/>
    <w:rsid w:val="00582D95"/>
    <w:rsid w:val="00595AEB"/>
    <w:rsid w:val="005A0C64"/>
    <w:rsid w:val="005A0D6D"/>
    <w:rsid w:val="005A1FB5"/>
    <w:rsid w:val="005A25D4"/>
    <w:rsid w:val="005A2E74"/>
    <w:rsid w:val="005A43AC"/>
    <w:rsid w:val="005A6F58"/>
    <w:rsid w:val="005B22BA"/>
    <w:rsid w:val="005B4B40"/>
    <w:rsid w:val="005B59D4"/>
    <w:rsid w:val="005C247A"/>
    <w:rsid w:val="005C694E"/>
    <w:rsid w:val="005C7265"/>
    <w:rsid w:val="005D093F"/>
    <w:rsid w:val="005D148F"/>
    <w:rsid w:val="005E25DB"/>
    <w:rsid w:val="005E2DBC"/>
    <w:rsid w:val="005E48FB"/>
    <w:rsid w:val="005E5239"/>
    <w:rsid w:val="005F1A4F"/>
    <w:rsid w:val="005F5CAE"/>
    <w:rsid w:val="005F7DC4"/>
    <w:rsid w:val="00603BAF"/>
    <w:rsid w:val="00612A9A"/>
    <w:rsid w:val="00612F6E"/>
    <w:rsid w:val="00613929"/>
    <w:rsid w:val="006140EB"/>
    <w:rsid w:val="00614F16"/>
    <w:rsid w:val="00627854"/>
    <w:rsid w:val="00631DCD"/>
    <w:rsid w:val="00632967"/>
    <w:rsid w:val="00636692"/>
    <w:rsid w:val="00636846"/>
    <w:rsid w:val="00645CEE"/>
    <w:rsid w:val="006460AB"/>
    <w:rsid w:val="00646189"/>
    <w:rsid w:val="00665D57"/>
    <w:rsid w:val="0066642D"/>
    <w:rsid w:val="00666B5F"/>
    <w:rsid w:val="00667398"/>
    <w:rsid w:val="00667599"/>
    <w:rsid w:val="006721DA"/>
    <w:rsid w:val="00680B8E"/>
    <w:rsid w:val="00684458"/>
    <w:rsid w:val="00684EEE"/>
    <w:rsid w:val="006869BF"/>
    <w:rsid w:val="00687122"/>
    <w:rsid w:val="00690A88"/>
    <w:rsid w:val="00692DDC"/>
    <w:rsid w:val="006A1D75"/>
    <w:rsid w:val="006A246A"/>
    <w:rsid w:val="006A7513"/>
    <w:rsid w:val="006B0C8F"/>
    <w:rsid w:val="006B6EFB"/>
    <w:rsid w:val="006C228F"/>
    <w:rsid w:val="006C493D"/>
    <w:rsid w:val="006C4DD2"/>
    <w:rsid w:val="006C56DE"/>
    <w:rsid w:val="006D3E0D"/>
    <w:rsid w:val="006D5B34"/>
    <w:rsid w:val="006D6B40"/>
    <w:rsid w:val="006D6B92"/>
    <w:rsid w:val="006E109F"/>
    <w:rsid w:val="006E4414"/>
    <w:rsid w:val="006E5C59"/>
    <w:rsid w:val="006E7FD1"/>
    <w:rsid w:val="006F0C03"/>
    <w:rsid w:val="006F1633"/>
    <w:rsid w:val="006F1B3E"/>
    <w:rsid w:val="006F6A56"/>
    <w:rsid w:val="00701828"/>
    <w:rsid w:val="00701D2A"/>
    <w:rsid w:val="00702161"/>
    <w:rsid w:val="00702B2F"/>
    <w:rsid w:val="007038F2"/>
    <w:rsid w:val="00704899"/>
    <w:rsid w:val="00705727"/>
    <w:rsid w:val="00705947"/>
    <w:rsid w:val="00706AA0"/>
    <w:rsid w:val="007111E2"/>
    <w:rsid w:val="007117E5"/>
    <w:rsid w:val="00711BB4"/>
    <w:rsid w:val="00711D9C"/>
    <w:rsid w:val="0071216A"/>
    <w:rsid w:val="0071243D"/>
    <w:rsid w:val="007127D3"/>
    <w:rsid w:val="00712BAB"/>
    <w:rsid w:val="00714833"/>
    <w:rsid w:val="0072014A"/>
    <w:rsid w:val="00722A01"/>
    <w:rsid w:val="007252DD"/>
    <w:rsid w:val="007253EE"/>
    <w:rsid w:val="0072555C"/>
    <w:rsid w:val="00732556"/>
    <w:rsid w:val="00736DA8"/>
    <w:rsid w:val="00736F68"/>
    <w:rsid w:val="00741019"/>
    <w:rsid w:val="007410FC"/>
    <w:rsid w:val="00746AC5"/>
    <w:rsid w:val="00751306"/>
    <w:rsid w:val="007521FE"/>
    <w:rsid w:val="0075278A"/>
    <w:rsid w:val="00753415"/>
    <w:rsid w:val="00761345"/>
    <w:rsid w:val="00766037"/>
    <w:rsid w:val="00767F05"/>
    <w:rsid w:val="00767F33"/>
    <w:rsid w:val="00771229"/>
    <w:rsid w:val="007741B5"/>
    <w:rsid w:val="00774380"/>
    <w:rsid w:val="00775D5D"/>
    <w:rsid w:val="00776BE3"/>
    <w:rsid w:val="00780612"/>
    <w:rsid w:val="00781A67"/>
    <w:rsid w:val="00783903"/>
    <w:rsid w:val="00783FBD"/>
    <w:rsid w:val="00785AFB"/>
    <w:rsid w:val="007867F6"/>
    <w:rsid w:val="007946E7"/>
    <w:rsid w:val="00794AE7"/>
    <w:rsid w:val="00795889"/>
    <w:rsid w:val="007964A0"/>
    <w:rsid w:val="007A4871"/>
    <w:rsid w:val="007A7FA1"/>
    <w:rsid w:val="007B026A"/>
    <w:rsid w:val="007B1755"/>
    <w:rsid w:val="007B289A"/>
    <w:rsid w:val="007B4F77"/>
    <w:rsid w:val="007B7493"/>
    <w:rsid w:val="007C03D1"/>
    <w:rsid w:val="007C1D0B"/>
    <w:rsid w:val="007C2733"/>
    <w:rsid w:val="007C45F3"/>
    <w:rsid w:val="007C567C"/>
    <w:rsid w:val="007D0E37"/>
    <w:rsid w:val="007D58A3"/>
    <w:rsid w:val="007D6DEF"/>
    <w:rsid w:val="007E03F4"/>
    <w:rsid w:val="007E1C43"/>
    <w:rsid w:val="007E1DDA"/>
    <w:rsid w:val="007E3D0A"/>
    <w:rsid w:val="007F1B05"/>
    <w:rsid w:val="007F39D2"/>
    <w:rsid w:val="007F3D2E"/>
    <w:rsid w:val="007F502D"/>
    <w:rsid w:val="007F523A"/>
    <w:rsid w:val="007F58D9"/>
    <w:rsid w:val="007F5EB3"/>
    <w:rsid w:val="00801012"/>
    <w:rsid w:val="008011D6"/>
    <w:rsid w:val="008044B0"/>
    <w:rsid w:val="008061EC"/>
    <w:rsid w:val="00810658"/>
    <w:rsid w:val="00811D49"/>
    <w:rsid w:val="00813A52"/>
    <w:rsid w:val="00813C4B"/>
    <w:rsid w:val="0081448C"/>
    <w:rsid w:val="00814539"/>
    <w:rsid w:val="0081551A"/>
    <w:rsid w:val="00816CAA"/>
    <w:rsid w:val="00821588"/>
    <w:rsid w:val="00821BE2"/>
    <w:rsid w:val="0082243C"/>
    <w:rsid w:val="008247EE"/>
    <w:rsid w:val="008254B5"/>
    <w:rsid w:val="0082784A"/>
    <w:rsid w:val="00827BD5"/>
    <w:rsid w:val="00834FF3"/>
    <w:rsid w:val="008365A1"/>
    <w:rsid w:val="00837CB0"/>
    <w:rsid w:val="00840F04"/>
    <w:rsid w:val="00841CD9"/>
    <w:rsid w:val="008444E9"/>
    <w:rsid w:val="008448E1"/>
    <w:rsid w:val="008458F2"/>
    <w:rsid w:val="00851D76"/>
    <w:rsid w:val="00851DB0"/>
    <w:rsid w:val="00856C19"/>
    <w:rsid w:val="00857BBD"/>
    <w:rsid w:val="00864694"/>
    <w:rsid w:val="00865F6A"/>
    <w:rsid w:val="00870F60"/>
    <w:rsid w:val="00872AE1"/>
    <w:rsid w:val="0087521E"/>
    <w:rsid w:val="008752F4"/>
    <w:rsid w:val="008769B4"/>
    <w:rsid w:val="00880860"/>
    <w:rsid w:val="00884606"/>
    <w:rsid w:val="0088768C"/>
    <w:rsid w:val="008929EC"/>
    <w:rsid w:val="00892A66"/>
    <w:rsid w:val="0089655C"/>
    <w:rsid w:val="008965BD"/>
    <w:rsid w:val="0089706B"/>
    <w:rsid w:val="008A4FEA"/>
    <w:rsid w:val="008A565B"/>
    <w:rsid w:val="008A5ADB"/>
    <w:rsid w:val="008A68DC"/>
    <w:rsid w:val="008B0594"/>
    <w:rsid w:val="008B3D5A"/>
    <w:rsid w:val="008B54BC"/>
    <w:rsid w:val="008B7516"/>
    <w:rsid w:val="008C0F11"/>
    <w:rsid w:val="008C3FCE"/>
    <w:rsid w:val="008C4EC9"/>
    <w:rsid w:val="008C6922"/>
    <w:rsid w:val="008C729D"/>
    <w:rsid w:val="008D4748"/>
    <w:rsid w:val="008D714C"/>
    <w:rsid w:val="008F15E5"/>
    <w:rsid w:val="008F4096"/>
    <w:rsid w:val="008F6A31"/>
    <w:rsid w:val="008F781A"/>
    <w:rsid w:val="00903182"/>
    <w:rsid w:val="00905AFA"/>
    <w:rsid w:val="009105E2"/>
    <w:rsid w:val="00914157"/>
    <w:rsid w:val="009151B0"/>
    <w:rsid w:val="0091687C"/>
    <w:rsid w:val="00922189"/>
    <w:rsid w:val="009221C2"/>
    <w:rsid w:val="009242CF"/>
    <w:rsid w:val="00924EC2"/>
    <w:rsid w:val="00925177"/>
    <w:rsid w:val="009265A0"/>
    <w:rsid w:val="0092795B"/>
    <w:rsid w:val="00930B0A"/>
    <w:rsid w:val="009323C0"/>
    <w:rsid w:val="00932487"/>
    <w:rsid w:val="00932B05"/>
    <w:rsid w:val="00932F1D"/>
    <w:rsid w:val="00933730"/>
    <w:rsid w:val="00937043"/>
    <w:rsid w:val="009400CF"/>
    <w:rsid w:val="0094318A"/>
    <w:rsid w:val="00944082"/>
    <w:rsid w:val="00944CBB"/>
    <w:rsid w:val="009456FB"/>
    <w:rsid w:val="00945D18"/>
    <w:rsid w:val="00953B57"/>
    <w:rsid w:val="009541FC"/>
    <w:rsid w:val="009556FB"/>
    <w:rsid w:val="00956B9E"/>
    <w:rsid w:val="00957D8A"/>
    <w:rsid w:val="00960168"/>
    <w:rsid w:val="0096538F"/>
    <w:rsid w:val="009676D6"/>
    <w:rsid w:val="00973770"/>
    <w:rsid w:val="00975B9F"/>
    <w:rsid w:val="00977C0E"/>
    <w:rsid w:val="009828C0"/>
    <w:rsid w:val="0098485B"/>
    <w:rsid w:val="00997D95"/>
    <w:rsid w:val="009A18D0"/>
    <w:rsid w:val="009A39E3"/>
    <w:rsid w:val="009A7108"/>
    <w:rsid w:val="009A7326"/>
    <w:rsid w:val="009B0801"/>
    <w:rsid w:val="009B226F"/>
    <w:rsid w:val="009B5983"/>
    <w:rsid w:val="009C0C5A"/>
    <w:rsid w:val="009C1C10"/>
    <w:rsid w:val="009C54AA"/>
    <w:rsid w:val="009D2B4A"/>
    <w:rsid w:val="009D2C41"/>
    <w:rsid w:val="009D5105"/>
    <w:rsid w:val="009D5609"/>
    <w:rsid w:val="009D573B"/>
    <w:rsid w:val="009E139E"/>
    <w:rsid w:val="009E5153"/>
    <w:rsid w:val="009F1627"/>
    <w:rsid w:val="009F73DD"/>
    <w:rsid w:val="00A0074A"/>
    <w:rsid w:val="00A0142D"/>
    <w:rsid w:val="00A03A7B"/>
    <w:rsid w:val="00A03B3D"/>
    <w:rsid w:val="00A04DA5"/>
    <w:rsid w:val="00A06C62"/>
    <w:rsid w:val="00A0712C"/>
    <w:rsid w:val="00A071F0"/>
    <w:rsid w:val="00A102AF"/>
    <w:rsid w:val="00A11098"/>
    <w:rsid w:val="00A111CB"/>
    <w:rsid w:val="00A11ABE"/>
    <w:rsid w:val="00A1480A"/>
    <w:rsid w:val="00A16046"/>
    <w:rsid w:val="00A208E0"/>
    <w:rsid w:val="00A20F32"/>
    <w:rsid w:val="00A21416"/>
    <w:rsid w:val="00A3105E"/>
    <w:rsid w:val="00A32E69"/>
    <w:rsid w:val="00A4195B"/>
    <w:rsid w:val="00A429F9"/>
    <w:rsid w:val="00A4318B"/>
    <w:rsid w:val="00A454EB"/>
    <w:rsid w:val="00A45FCE"/>
    <w:rsid w:val="00A475F2"/>
    <w:rsid w:val="00A510E8"/>
    <w:rsid w:val="00A56F5D"/>
    <w:rsid w:val="00A60392"/>
    <w:rsid w:val="00A618EB"/>
    <w:rsid w:val="00A66229"/>
    <w:rsid w:val="00A70577"/>
    <w:rsid w:val="00A717FE"/>
    <w:rsid w:val="00A73711"/>
    <w:rsid w:val="00A75947"/>
    <w:rsid w:val="00A75E2D"/>
    <w:rsid w:val="00A76D8A"/>
    <w:rsid w:val="00A77036"/>
    <w:rsid w:val="00A80035"/>
    <w:rsid w:val="00A83B1D"/>
    <w:rsid w:val="00A85CB7"/>
    <w:rsid w:val="00A85D4B"/>
    <w:rsid w:val="00A91E98"/>
    <w:rsid w:val="00A93F89"/>
    <w:rsid w:val="00AA1859"/>
    <w:rsid w:val="00AA2528"/>
    <w:rsid w:val="00AA5D6B"/>
    <w:rsid w:val="00AA7BC0"/>
    <w:rsid w:val="00AB074E"/>
    <w:rsid w:val="00AB575B"/>
    <w:rsid w:val="00AB5CC8"/>
    <w:rsid w:val="00AB6DE2"/>
    <w:rsid w:val="00AB735D"/>
    <w:rsid w:val="00AC2BCA"/>
    <w:rsid w:val="00AC3209"/>
    <w:rsid w:val="00AD0EB3"/>
    <w:rsid w:val="00AD0F10"/>
    <w:rsid w:val="00AD17C5"/>
    <w:rsid w:val="00AD1D10"/>
    <w:rsid w:val="00AD1F7C"/>
    <w:rsid w:val="00AD26EB"/>
    <w:rsid w:val="00AD2A89"/>
    <w:rsid w:val="00AD2C9F"/>
    <w:rsid w:val="00AD7246"/>
    <w:rsid w:val="00AE2620"/>
    <w:rsid w:val="00AE681B"/>
    <w:rsid w:val="00AF0499"/>
    <w:rsid w:val="00AF4867"/>
    <w:rsid w:val="00AF729E"/>
    <w:rsid w:val="00B012C2"/>
    <w:rsid w:val="00B02BB3"/>
    <w:rsid w:val="00B0633B"/>
    <w:rsid w:val="00B10948"/>
    <w:rsid w:val="00B11B2B"/>
    <w:rsid w:val="00B13F8C"/>
    <w:rsid w:val="00B143A3"/>
    <w:rsid w:val="00B15452"/>
    <w:rsid w:val="00B16CB7"/>
    <w:rsid w:val="00B20271"/>
    <w:rsid w:val="00B24FC4"/>
    <w:rsid w:val="00B25117"/>
    <w:rsid w:val="00B267C9"/>
    <w:rsid w:val="00B26FB8"/>
    <w:rsid w:val="00B337BA"/>
    <w:rsid w:val="00B3468E"/>
    <w:rsid w:val="00B34AD7"/>
    <w:rsid w:val="00B3539C"/>
    <w:rsid w:val="00B4006F"/>
    <w:rsid w:val="00B41B1A"/>
    <w:rsid w:val="00B44468"/>
    <w:rsid w:val="00B47544"/>
    <w:rsid w:val="00B504D5"/>
    <w:rsid w:val="00B530E2"/>
    <w:rsid w:val="00B5454A"/>
    <w:rsid w:val="00B54D6C"/>
    <w:rsid w:val="00B574DC"/>
    <w:rsid w:val="00B611C1"/>
    <w:rsid w:val="00B64D53"/>
    <w:rsid w:val="00B657A6"/>
    <w:rsid w:val="00B66567"/>
    <w:rsid w:val="00B67F9C"/>
    <w:rsid w:val="00B7739A"/>
    <w:rsid w:val="00B80818"/>
    <w:rsid w:val="00B834ED"/>
    <w:rsid w:val="00B84379"/>
    <w:rsid w:val="00B87AB9"/>
    <w:rsid w:val="00B91076"/>
    <w:rsid w:val="00B925FF"/>
    <w:rsid w:val="00BA0572"/>
    <w:rsid w:val="00BA63A4"/>
    <w:rsid w:val="00BA6931"/>
    <w:rsid w:val="00BA6B98"/>
    <w:rsid w:val="00BB0B0A"/>
    <w:rsid w:val="00BB0B0F"/>
    <w:rsid w:val="00BB0D8F"/>
    <w:rsid w:val="00BB1266"/>
    <w:rsid w:val="00BB1FBE"/>
    <w:rsid w:val="00BB235A"/>
    <w:rsid w:val="00BB32D0"/>
    <w:rsid w:val="00BB374C"/>
    <w:rsid w:val="00BB4276"/>
    <w:rsid w:val="00BC04F9"/>
    <w:rsid w:val="00BC219C"/>
    <w:rsid w:val="00BC2656"/>
    <w:rsid w:val="00BC3A59"/>
    <w:rsid w:val="00BC465E"/>
    <w:rsid w:val="00BC5A0C"/>
    <w:rsid w:val="00BC7D8A"/>
    <w:rsid w:val="00BD0E1A"/>
    <w:rsid w:val="00BD33C0"/>
    <w:rsid w:val="00BD5BB1"/>
    <w:rsid w:val="00BD6A0A"/>
    <w:rsid w:val="00BE0C44"/>
    <w:rsid w:val="00BE3766"/>
    <w:rsid w:val="00BE7435"/>
    <w:rsid w:val="00BF770E"/>
    <w:rsid w:val="00C0602B"/>
    <w:rsid w:val="00C10352"/>
    <w:rsid w:val="00C10F38"/>
    <w:rsid w:val="00C116BD"/>
    <w:rsid w:val="00C12189"/>
    <w:rsid w:val="00C12385"/>
    <w:rsid w:val="00C1253B"/>
    <w:rsid w:val="00C12ED6"/>
    <w:rsid w:val="00C15CB2"/>
    <w:rsid w:val="00C2038F"/>
    <w:rsid w:val="00C22655"/>
    <w:rsid w:val="00C271B3"/>
    <w:rsid w:val="00C2735D"/>
    <w:rsid w:val="00C27FE2"/>
    <w:rsid w:val="00C3289A"/>
    <w:rsid w:val="00C3386A"/>
    <w:rsid w:val="00C33D5E"/>
    <w:rsid w:val="00C34B57"/>
    <w:rsid w:val="00C36EF6"/>
    <w:rsid w:val="00C3743E"/>
    <w:rsid w:val="00C42D57"/>
    <w:rsid w:val="00C43B74"/>
    <w:rsid w:val="00C45697"/>
    <w:rsid w:val="00C50798"/>
    <w:rsid w:val="00C50C0E"/>
    <w:rsid w:val="00C528AF"/>
    <w:rsid w:val="00C53B90"/>
    <w:rsid w:val="00C550A6"/>
    <w:rsid w:val="00C56D72"/>
    <w:rsid w:val="00C575B0"/>
    <w:rsid w:val="00C621C6"/>
    <w:rsid w:val="00C632D2"/>
    <w:rsid w:val="00C639AC"/>
    <w:rsid w:val="00C63C05"/>
    <w:rsid w:val="00C64016"/>
    <w:rsid w:val="00C64BC8"/>
    <w:rsid w:val="00C64CE2"/>
    <w:rsid w:val="00C67041"/>
    <w:rsid w:val="00C70FAB"/>
    <w:rsid w:val="00C76D76"/>
    <w:rsid w:val="00C77435"/>
    <w:rsid w:val="00C808E0"/>
    <w:rsid w:val="00C808E8"/>
    <w:rsid w:val="00C81723"/>
    <w:rsid w:val="00C81E56"/>
    <w:rsid w:val="00C84931"/>
    <w:rsid w:val="00C90A7C"/>
    <w:rsid w:val="00C929B3"/>
    <w:rsid w:val="00C9508F"/>
    <w:rsid w:val="00C95864"/>
    <w:rsid w:val="00C97511"/>
    <w:rsid w:val="00CA163C"/>
    <w:rsid w:val="00CA284B"/>
    <w:rsid w:val="00CA7040"/>
    <w:rsid w:val="00CA798D"/>
    <w:rsid w:val="00CB2AE2"/>
    <w:rsid w:val="00CB46F4"/>
    <w:rsid w:val="00CB6BC3"/>
    <w:rsid w:val="00CC0033"/>
    <w:rsid w:val="00CC0F54"/>
    <w:rsid w:val="00CC41FA"/>
    <w:rsid w:val="00CC5F8F"/>
    <w:rsid w:val="00CD14A1"/>
    <w:rsid w:val="00CD2C5F"/>
    <w:rsid w:val="00CD31D9"/>
    <w:rsid w:val="00CD3726"/>
    <w:rsid w:val="00CD3AEB"/>
    <w:rsid w:val="00CD4AF9"/>
    <w:rsid w:val="00CD5DC6"/>
    <w:rsid w:val="00CD5EF2"/>
    <w:rsid w:val="00CD621B"/>
    <w:rsid w:val="00CD71F9"/>
    <w:rsid w:val="00CD7302"/>
    <w:rsid w:val="00CE2401"/>
    <w:rsid w:val="00CE262E"/>
    <w:rsid w:val="00CE2D41"/>
    <w:rsid w:val="00CE4FFF"/>
    <w:rsid w:val="00CE51D3"/>
    <w:rsid w:val="00CE5EEE"/>
    <w:rsid w:val="00CE6081"/>
    <w:rsid w:val="00CF12F7"/>
    <w:rsid w:val="00CF21DB"/>
    <w:rsid w:val="00CF4114"/>
    <w:rsid w:val="00CF55E6"/>
    <w:rsid w:val="00CF7528"/>
    <w:rsid w:val="00CF7CBB"/>
    <w:rsid w:val="00D05535"/>
    <w:rsid w:val="00D10D5D"/>
    <w:rsid w:val="00D11F79"/>
    <w:rsid w:val="00D171AF"/>
    <w:rsid w:val="00D20F8E"/>
    <w:rsid w:val="00D22936"/>
    <w:rsid w:val="00D2398E"/>
    <w:rsid w:val="00D24CCF"/>
    <w:rsid w:val="00D264A7"/>
    <w:rsid w:val="00D337CA"/>
    <w:rsid w:val="00D3442C"/>
    <w:rsid w:val="00D35D82"/>
    <w:rsid w:val="00D369F6"/>
    <w:rsid w:val="00D37C19"/>
    <w:rsid w:val="00D45AB3"/>
    <w:rsid w:val="00D519FA"/>
    <w:rsid w:val="00D53598"/>
    <w:rsid w:val="00D54006"/>
    <w:rsid w:val="00D601D0"/>
    <w:rsid w:val="00D62C33"/>
    <w:rsid w:val="00D70906"/>
    <w:rsid w:val="00D7711A"/>
    <w:rsid w:val="00D77CDE"/>
    <w:rsid w:val="00D874E9"/>
    <w:rsid w:val="00D94052"/>
    <w:rsid w:val="00D977EB"/>
    <w:rsid w:val="00DA101B"/>
    <w:rsid w:val="00DA74CD"/>
    <w:rsid w:val="00DB012E"/>
    <w:rsid w:val="00DB3334"/>
    <w:rsid w:val="00DB655B"/>
    <w:rsid w:val="00DC08E8"/>
    <w:rsid w:val="00DC0FD2"/>
    <w:rsid w:val="00DC43D0"/>
    <w:rsid w:val="00DC51F7"/>
    <w:rsid w:val="00DC5846"/>
    <w:rsid w:val="00DC6604"/>
    <w:rsid w:val="00DD1AFC"/>
    <w:rsid w:val="00DD2859"/>
    <w:rsid w:val="00DD31DB"/>
    <w:rsid w:val="00DD324A"/>
    <w:rsid w:val="00DD547D"/>
    <w:rsid w:val="00DE1DAA"/>
    <w:rsid w:val="00DE354C"/>
    <w:rsid w:val="00DE3A7F"/>
    <w:rsid w:val="00DE4C1B"/>
    <w:rsid w:val="00DE6D8A"/>
    <w:rsid w:val="00DF2287"/>
    <w:rsid w:val="00DF3F7C"/>
    <w:rsid w:val="00DF4DDB"/>
    <w:rsid w:val="00DF617C"/>
    <w:rsid w:val="00DF617E"/>
    <w:rsid w:val="00DF654E"/>
    <w:rsid w:val="00E00BF4"/>
    <w:rsid w:val="00E07699"/>
    <w:rsid w:val="00E07BFB"/>
    <w:rsid w:val="00E10D96"/>
    <w:rsid w:val="00E11D1B"/>
    <w:rsid w:val="00E133F8"/>
    <w:rsid w:val="00E14F7C"/>
    <w:rsid w:val="00E15DF4"/>
    <w:rsid w:val="00E2360F"/>
    <w:rsid w:val="00E26084"/>
    <w:rsid w:val="00E2717F"/>
    <w:rsid w:val="00E31FCC"/>
    <w:rsid w:val="00E34293"/>
    <w:rsid w:val="00E429C1"/>
    <w:rsid w:val="00E43BF0"/>
    <w:rsid w:val="00E44ACA"/>
    <w:rsid w:val="00E4558D"/>
    <w:rsid w:val="00E517EA"/>
    <w:rsid w:val="00E52590"/>
    <w:rsid w:val="00E5586C"/>
    <w:rsid w:val="00E55B39"/>
    <w:rsid w:val="00E560F5"/>
    <w:rsid w:val="00E56837"/>
    <w:rsid w:val="00E60424"/>
    <w:rsid w:val="00E65207"/>
    <w:rsid w:val="00E65ADF"/>
    <w:rsid w:val="00E67395"/>
    <w:rsid w:val="00E73397"/>
    <w:rsid w:val="00E75158"/>
    <w:rsid w:val="00E76566"/>
    <w:rsid w:val="00E77CCB"/>
    <w:rsid w:val="00E80927"/>
    <w:rsid w:val="00E82512"/>
    <w:rsid w:val="00E8466E"/>
    <w:rsid w:val="00E87318"/>
    <w:rsid w:val="00E87AF6"/>
    <w:rsid w:val="00E91DD1"/>
    <w:rsid w:val="00E94924"/>
    <w:rsid w:val="00E9515A"/>
    <w:rsid w:val="00EA1058"/>
    <w:rsid w:val="00EA2CBC"/>
    <w:rsid w:val="00EA5345"/>
    <w:rsid w:val="00EB0573"/>
    <w:rsid w:val="00EB104F"/>
    <w:rsid w:val="00EB592E"/>
    <w:rsid w:val="00EC2AD1"/>
    <w:rsid w:val="00EC44B4"/>
    <w:rsid w:val="00EC5246"/>
    <w:rsid w:val="00EC61BC"/>
    <w:rsid w:val="00ED3C64"/>
    <w:rsid w:val="00ED3DB5"/>
    <w:rsid w:val="00ED41B2"/>
    <w:rsid w:val="00ED4C62"/>
    <w:rsid w:val="00ED5B5B"/>
    <w:rsid w:val="00EE3825"/>
    <w:rsid w:val="00EE5139"/>
    <w:rsid w:val="00EF0112"/>
    <w:rsid w:val="00EF0B1F"/>
    <w:rsid w:val="00EF1922"/>
    <w:rsid w:val="00EF1D93"/>
    <w:rsid w:val="00EF23ED"/>
    <w:rsid w:val="00EF4306"/>
    <w:rsid w:val="00EF43C4"/>
    <w:rsid w:val="00EF5026"/>
    <w:rsid w:val="00EF656B"/>
    <w:rsid w:val="00F00F04"/>
    <w:rsid w:val="00F1160B"/>
    <w:rsid w:val="00F12396"/>
    <w:rsid w:val="00F15A26"/>
    <w:rsid w:val="00F207A4"/>
    <w:rsid w:val="00F225A4"/>
    <w:rsid w:val="00F36E58"/>
    <w:rsid w:val="00F41FF5"/>
    <w:rsid w:val="00F424E9"/>
    <w:rsid w:val="00F43F63"/>
    <w:rsid w:val="00F44EC7"/>
    <w:rsid w:val="00F4645C"/>
    <w:rsid w:val="00F50209"/>
    <w:rsid w:val="00F5142C"/>
    <w:rsid w:val="00F53645"/>
    <w:rsid w:val="00F5444F"/>
    <w:rsid w:val="00F550AA"/>
    <w:rsid w:val="00F55AF7"/>
    <w:rsid w:val="00F5635D"/>
    <w:rsid w:val="00F56402"/>
    <w:rsid w:val="00F643BF"/>
    <w:rsid w:val="00F64B3D"/>
    <w:rsid w:val="00F65844"/>
    <w:rsid w:val="00F73447"/>
    <w:rsid w:val="00F75059"/>
    <w:rsid w:val="00F756D0"/>
    <w:rsid w:val="00F77C9E"/>
    <w:rsid w:val="00F81398"/>
    <w:rsid w:val="00F81A0A"/>
    <w:rsid w:val="00F83B51"/>
    <w:rsid w:val="00F84BE1"/>
    <w:rsid w:val="00F85559"/>
    <w:rsid w:val="00F96C0C"/>
    <w:rsid w:val="00F96CF3"/>
    <w:rsid w:val="00FA1637"/>
    <w:rsid w:val="00FA2CED"/>
    <w:rsid w:val="00FA3071"/>
    <w:rsid w:val="00FA5A19"/>
    <w:rsid w:val="00FA630A"/>
    <w:rsid w:val="00FA757C"/>
    <w:rsid w:val="00FB55BB"/>
    <w:rsid w:val="00FC04B2"/>
    <w:rsid w:val="00FC1BC5"/>
    <w:rsid w:val="00FC2C93"/>
    <w:rsid w:val="00FC4E4A"/>
    <w:rsid w:val="00FC4EF6"/>
    <w:rsid w:val="00FC74AC"/>
    <w:rsid w:val="00FE427F"/>
    <w:rsid w:val="00FE561A"/>
    <w:rsid w:val="00FE59EC"/>
    <w:rsid w:val="00FE5EA8"/>
    <w:rsid w:val="00FE63F3"/>
    <w:rsid w:val="00FF720C"/>
    <w:rsid w:val="00FF73AE"/>
    <w:rsid w:val="00FF79FE"/>
    <w:rsid w:val="00FF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F341"/>
  <w15:docId w15:val="{0B8B1B2C-8625-4318-A354-57083251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04F"/>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EB104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10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304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04F"/>
    <w:rPr>
      <w:rFonts w:ascii="Arial" w:eastAsia="Times New Roman" w:hAnsi="Arial" w:cs="Arial"/>
      <w:b/>
      <w:bCs/>
      <w:kern w:val="32"/>
      <w:sz w:val="32"/>
      <w:szCs w:val="32"/>
    </w:rPr>
  </w:style>
  <w:style w:type="character" w:customStyle="1" w:styleId="Heading2Char">
    <w:name w:val="Heading 2 Char"/>
    <w:basedOn w:val="DefaultParagraphFont"/>
    <w:link w:val="Heading2"/>
    <w:rsid w:val="00EB104F"/>
    <w:rPr>
      <w:rFonts w:ascii="Arial" w:eastAsia="Times New Roman" w:hAnsi="Arial" w:cs="Arial"/>
      <w:b/>
      <w:bCs/>
      <w:i/>
      <w:iCs/>
      <w:sz w:val="28"/>
      <w:szCs w:val="28"/>
    </w:rPr>
  </w:style>
  <w:style w:type="character" w:styleId="FootnoteReference">
    <w:name w:val="footnote reference"/>
    <w:uiPriority w:val="99"/>
    <w:semiHidden/>
    <w:rsid w:val="00EB104F"/>
  </w:style>
  <w:style w:type="paragraph" w:customStyle="1" w:styleId="Level1">
    <w:name w:val="Level 1"/>
    <w:basedOn w:val="Normal"/>
    <w:rsid w:val="00EB104F"/>
    <w:pPr>
      <w:numPr>
        <w:numId w:val="1"/>
      </w:numPr>
      <w:outlineLvl w:val="0"/>
    </w:pPr>
  </w:style>
  <w:style w:type="paragraph" w:styleId="Footer">
    <w:name w:val="footer"/>
    <w:basedOn w:val="Normal"/>
    <w:link w:val="FooterChar"/>
    <w:uiPriority w:val="99"/>
    <w:rsid w:val="00EB104F"/>
    <w:pPr>
      <w:tabs>
        <w:tab w:val="center" w:pos="4320"/>
        <w:tab w:val="right" w:pos="8640"/>
      </w:tabs>
    </w:pPr>
  </w:style>
  <w:style w:type="character" w:customStyle="1" w:styleId="FooterChar">
    <w:name w:val="Footer Char"/>
    <w:basedOn w:val="DefaultParagraphFont"/>
    <w:link w:val="Footer"/>
    <w:uiPriority w:val="99"/>
    <w:rsid w:val="00EB104F"/>
    <w:rPr>
      <w:rFonts w:ascii="Times New Roman" w:eastAsia="Times New Roman" w:hAnsi="Times New Roman" w:cs="Times New Roman"/>
      <w:sz w:val="24"/>
      <w:szCs w:val="24"/>
    </w:rPr>
  </w:style>
  <w:style w:type="paragraph" w:customStyle="1" w:styleId="a">
    <w:name w:val="_"/>
    <w:basedOn w:val="Normal"/>
    <w:rsid w:val="00EB104F"/>
    <w:pPr>
      <w:ind w:left="1440" w:hanging="720"/>
    </w:pPr>
  </w:style>
  <w:style w:type="paragraph" w:styleId="BodyText">
    <w:name w:val="Body Text"/>
    <w:basedOn w:val="Normal"/>
    <w:link w:val="BodyTextChar"/>
    <w:rsid w:val="00EB104F"/>
    <w:pPr>
      <w:spacing w:after="120"/>
    </w:pPr>
  </w:style>
  <w:style w:type="character" w:customStyle="1" w:styleId="BodyTextChar">
    <w:name w:val="Body Text Char"/>
    <w:basedOn w:val="DefaultParagraphFont"/>
    <w:link w:val="BodyText"/>
    <w:rsid w:val="00EB104F"/>
    <w:rPr>
      <w:rFonts w:ascii="Times New Roman" w:eastAsia="Times New Roman" w:hAnsi="Times New Roman" w:cs="Times New Roman"/>
      <w:sz w:val="24"/>
      <w:szCs w:val="24"/>
    </w:rPr>
  </w:style>
  <w:style w:type="character" w:customStyle="1" w:styleId="Hypertext">
    <w:name w:val="Hypertext"/>
    <w:rsid w:val="00EB104F"/>
    <w:rPr>
      <w:color w:val="0000FF"/>
      <w:u w:val="single"/>
    </w:rPr>
  </w:style>
  <w:style w:type="character" w:styleId="Hyperlink">
    <w:name w:val="Hyperlink"/>
    <w:uiPriority w:val="99"/>
    <w:rsid w:val="00EB104F"/>
    <w:rPr>
      <w:color w:val="0000FF"/>
      <w:u w:val="single"/>
    </w:rPr>
  </w:style>
  <w:style w:type="paragraph" w:styleId="Header">
    <w:name w:val="header"/>
    <w:basedOn w:val="Normal"/>
    <w:link w:val="HeaderChar"/>
    <w:rsid w:val="00EB104F"/>
    <w:pPr>
      <w:tabs>
        <w:tab w:val="center" w:pos="4320"/>
        <w:tab w:val="right" w:pos="8640"/>
      </w:tabs>
    </w:pPr>
  </w:style>
  <w:style w:type="character" w:customStyle="1" w:styleId="HeaderChar">
    <w:name w:val="Header Char"/>
    <w:basedOn w:val="DefaultParagraphFont"/>
    <w:link w:val="Header"/>
    <w:rsid w:val="00EB104F"/>
    <w:rPr>
      <w:rFonts w:ascii="Times New Roman" w:eastAsia="Times New Roman" w:hAnsi="Times New Roman" w:cs="Times New Roman"/>
      <w:sz w:val="24"/>
      <w:szCs w:val="24"/>
    </w:rPr>
  </w:style>
  <w:style w:type="character" w:styleId="PageNumber">
    <w:name w:val="page number"/>
    <w:basedOn w:val="DefaultParagraphFont"/>
    <w:rsid w:val="00EB104F"/>
  </w:style>
  <w:style w:type="character" w:styleId="CommentReference">
    <w:name w:val="annotation reference"/>
    <w:basedOn w:val="DefaultParagraphFont"/>
    <w:uiPriority w:val="99"/>
    <w:semiHidden/>
    <w:rsid w:val="00EB104F"/>
    <w:rPr>
      <w:sz w:val="16"/>
      <w:szCs w:val="16"/>
    </w:rPr>
  </w:style>
  <w:style w:type="paragraph" w:styleId="CommentText">
    <w:name w:val="annotation text"/>
    <w:basedOn w:val="Normal"/>
    <w:link w:val="CommentTextChar"/>
    <w:uiPriority w:val="99"/>
    <w:semiHidden/>
    <w:rsid w:val="00EB104F"/>
    <w:rPr>
      <w:sz w:val="20"/>
      <w:szCs w:val="20"/>
    </w:rPr>
  </w:style>
  <w:style w:type="character" w:customStyle="1" w:styleId="CommentTextChar">
    <w:name w:val="Comment Text Char"/>
    <w:basedOn w:val="DefaultParagraphFont"/>
    <w:link w:val="CommentText"/>
    <w:uiPriority w:val="99"/>
    <w:semiHidden/>
    <w:rsid w:val="00EB10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B104F"/>
    <w:rPr>
      <w:b/>
      <w:bCs/>
    </w:rPr>
  </w:style>
  <w:style w:type="character" w:customStyle="1" w:styleId="CommentSubjectChar">
    <w:name w:val="Comment Subject Char"/>
    <w:basedOn w:val="CommentTextChar"/>
    <w:link w:val="CommentSubject"/>
    <w:semiHidden/>
    <w:rsid w:val="00EB104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B104F"/>
    <w:rPr>
      <w:rFonts w:ascii="Tahoma" w:hAnsi="Tahoma" w:cs="Tahoma"/>
      <w:sz w:val="16"/>
      <w:szCs w:val="16"/>
    </w:rPr>
  </w:style>
  <w:style w:type="character" w:customStyle="1" w:styleId="BalloonTextChar">
    <w:name w:val="Balloon Text Char"/>
    <w:basedOn w:val="DefaultParagraphFont"/>
    <w:link w:val="BalloonText"/>
    <w:semiHidden/>
    <w:rsid w:val="00EB104F"/>
    <w:rPr>
      <w:rFonts w:ascii="Tahoma" w:eastAsia="Times New Roman" w:hAnsi="Tahoma" w:cs="Tahoma"/>
      <w:sz w:val="16"/>
      <w:szCs w:val="16"/>
    </w:rPr>
  </w:style>
  <w:style w:type="character" w:styleId="FollowedHyperlink">
    <w:name w:val="FollowedHyperlink"/>
    <w:basedOn w:val="DefaultParagraphFont"/>
    <w:rsid w:val="00EB104F"/>
    <w:rPr>
      <w:color w:val="800080"/>
      <w:u w:val="single"/>
    </w:rPr>
  </w:style>
  <w:style w:type="paragraph" w:styleId="FootnoteText">
    <w:name w:val="footnote text"/>
    <w:aliases w:val="F1"/>
    <w:basedOn w:val="Normal"/>
    <w:link w:val="FootnoteTextChar"/>
    <w:uiPriority w:val="99"/>
    <w:semiHidden/>
    <w:rsid w:val="00EB104F"/>
    <w:rPr>
      <w:sz w:val="20"/>
      <w:szCs w:val="20"/>
    </w:rPr>
  </w:style>
  <w:style w:type="character" w:customStyle="1" w:styleId="FootnoteTextChar">
    <w:name w:val="Footnote Text Char"/>
    <w:aliases w:val="F1 Char"/>
    <w:basedOn w:val="DefaultParagraphFont"/>
    <w:link w:val="FootnoteText"/>
    <w:uiPriority w:val="99"/>
    <w:semiHidden/>
    <w:rsid w:val="00EB104F"/>
    <w:rPr>
      <w:rFonts w:ascii="Times New Roman" w:eastAsia="Times New Roman" w:hAnsi="Times New Roman" w:cs="Times New Roman"/>
      <w:sz w:val="20"/>
      <w:szCs w:val="20"/>
    </w:rPr>
  </w:style>
  <w:style w:type="table" w:styleId="TableGrid">
    <w:name w:val="Table Grid"/>
    <w:basedOn w:val="TableNormal"/>
    <w:uiPriority w:val="59"/>
    <w:rsid w:val="00EB104F"/>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04F"/>
    <w:pPr>
      <w:ind w:left="720"/>
    </w:pPr>
  </w:style>
  <w:style w:type="paragraph" w:customStyle="1" w:styleId="yiv1315983496yiv1289766786msonormal">
    <w:name w:val="yiv1315983496yiv1289766786msonormal"/>
    <w:basedOn w:val="Normal"/>
    <w:rsid w:val="00232C68"/>
    <w:pPr>
      <w:widowControl/>
      <w:autoSpaceDE/>
      <w:autoSpaceDN/>
      <w:adjustRightInd/>
      <w:spacing w:before="100" w:beforeAutospacing="1" w:after="100" w:afterAutospacing="1"/>
    </w:pPr>
  </w:style>
  <w:style w:type="character" w:customStyle="1" w:styleId="yshortcuts">
    <w:name w:val="yshortcuts"/>
    <w:basedOn w:val="DefaultParagraphFont"/>
    <w:rsid w:val="00232C68"/>
  </w:style>
  <w:style w:type="paragraph" w:styleId="TOCHeading">
    <w:name w:val="TOC Heading"/>
    <w:basedOn w:val="Heading1"/>
    <w:next w:val="Normal"/>
    <w:uiPriority w:val="39"/>
    <w:unhideWhenUsed/>
    <w:qFormat/>
    <w:rsid w:val="00C34B57"/>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unhideWhenUsed/>
    <w:qFormat/>
    <w:rsid w:val="00767F05"/>
    <w:pPr>
      <w:widowControl/>
      <w:tabs>
        <w:tab w:val="left" w:pos="880"/>
        <w:tab w:val="right" w:leader="dot" w:pos="9350"/>
      </w:tabs>
      <w:autoSpaceDE/>
      <w:autoSpaceDN/>
      <w:adjustRightInd/>
      <w:spacing w:after="100" w:line="276" w:lineRule="auto"/>
      <w:ind w:left="1400" w:hanging="680"/>
    </w:pPr>
    <w:rPr>
      <w:noProof/>
      <w:sz w:val="22"/>
      <w:szCs w:val="22"/>
    </w:rPr>
  </w:style>
  <w:style w:type="paragraph" w:styleId="TOC1">
    <w:name w:val="toc 1"/>
    <w:basedOn w:val="Normal"/>
    <w:next w:val="Normal"/>
    <w:autoRedefine/>
    <w:uiPriority w:val="39"/>
    <w:unhideWhenUsed/>
    <w:qFormat/>
    <w:rsid w:val="00767F05"/>
    <w:pPr>
      <w:widowControl/>
      <w:tabs>
        <w:tab w:val="right" w:leader="dot" w:pos="9350"/>
      </w:tabs>
      <w:autoSpaceDE/>
      <w:autoSpaceDN/>
      <w:adjustRightInd/>
      <w:spacing w:after="100" w:line="276" w:lineRule="auto"/>
      <w:ind w:left="720" w:hanging="450"/>
    </w:pPr>
    <w:rPr>
      <w:b/>
      <w:noProof/>
      <w:sz w:val="22"/>
      <w:szCs w:val="22"/>
    </w:rPr>
  </w:style>
  <w:style w:type="paragraph" w:styleId="TOC3">
    <w:name w:val="toc 3"/>
    <w:basedOn w:val="Normal"/>
    <w:next w:val="Normal"/>
    <w:autoRedefine/>
    <w:uiPriority w:val="39"/>
    <w:unhideWhenUsed/>
    <w:qFormat/>
    <w:rsid w:val="00736F68"/>
    <w:pPr>
      <w:widowControl/>
      <w:tabs>
        <w:tab w:val="left" w:pos="1320"/>
        <w:tab w:val="right" w:leader="dot" w:pos="9350"/>
      </w:tabs>
      <w:autoSpaceDE/>
      <w:autoSpaceDN/>
      <w:adjustRightInd/>
      <w:spacing w:after="100" w:line="276" w:lineRule="auto"/>
      <w:ind w:left="1350" w:hanging="900"/>
    </w:pPr>
    <w:rPr>
      <w:rFonts w:ascii="Calibri" w:hAnsi="Calibri"/>
      <w:sz w:val="22"/>
      <w:szCs w:val="22"/>
    </w:rPr>
  </w:style>
  <w:style w:type="paragraph" w:styleId="PlainText">
    <w:name w:val="Plain Text"/>
    <w:basedOn w:val="Normal"/>
    <w:link w:val="PlainTextChar"/>
    <w:uiPriority w:val="99"/>
    <w:semiHidden/>
    <w:unhideWhenUsed/>
    <w:rsid w:val="00F8555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F85559"/>
    <w:rPr>
      <w:rFonts w:ascii="Consolas" w:eastAsia="Times New Roman" w:hAnsi="Consolas"/>
      <w:sz w:val="21"/>
      <w:szCs w:val="21"/>
    </w:rPr>
  </w:style>
  <w:style w:type="paragraph" w:customStyle="1" w:styleId="ExhibitHeaderRow">
    <w:name w:val="Exhibit Header Row"/>
    <w:qFormat/>
    <w:rsid w:val="00D53598"/>
    <w:pPr>
      <w:spacing w:before="60" w:after="60"/>
      <w:jc w:val="center"/>
    </w:pPr>
    <w:rPr>
      <w:rFonts w:ascii="Arial" w:eastAsia="SimSun" w:hAnsi="Arial" w:cs="Arial"/>
      <w:b/>
      <w:color w:val="000000"/>
      <w:sz w:val="18"/>
      <w:szCs w:val="18"/>
      <w:lang w:eastAsia="zh-CN"/>
    </w:rPr>
  </w:style>
  <w:style w:type="paragraph" w:customStyle="1" w:styleId="ExhibitText">
    <w:name w:val="Exhibit Text"/>
    <w:qFormat/>
    <w:rsid w:val="00D53598"/>
    <w:pPr>
      <w:spacing w:before="40" w:after="40"/>
    </w:pPr>
    <w:rPr>
      <w:rFonts w:ascii="Arial" w:eastAsia="SimSun" w:hAnsi="Arial" w:cs="Arial"/>
      <w:color w:val="000000"/>
      <w:sz w:val="18"/>
      <w:szCs w:val="18"/>
      <w:lang w:eastAsia="zh-CN"/>
    </w:rPr>
  </w:style>
  <w:style w:type="paragraph" w:styleId="BodyText3">
    <w:name w:val="Body Text 3"/>
    <w:basedOn w:val="Normal"/>
    <w:link w:val="BodyText3Char"/>
    <w:uiPriority w:val="99"/>
    <w:unhideWhenUsed/>
    <w:rsid w:val="00AD2A89"/>
    <w:pPr>
      <w:spacing w:after="120"/>
    </w:pPr>
    <w:rPr>
      <w:sz w:val="16"/>
      <w:szCs w:val="16"/>
    </w:rPr>
  </w:style>
  <w:style w:type="character" w:customStyle="1" w:styleId="BodyText3Char">
    <w:name w:val="Body Text 3 Char"/>
    <w:basedOn w:val="DefaultParagraphFont"/>
    <w:link w:val="BodyText3"/>
    <w:uiPriority w:val="99"/>
    <w:rsid w:val="00AD2A89"/>
    <w:rPr>
      <w:rFonts w:ascii="Times New Roman" w:eastAsia="Times New Roman" w:hAnsi="Times New Roman"/>
      <w:sz w:val="16"/>
      <w:szCs w:val="16"/>
    </w:rPr>
  </w:style>
  <w:style w:type="character" w:customStyle="1" w:styleId="Footer1">
    <w:name w:val="Footer1"/>
    <w:rsid w:val="00AD2A89"/>
  </w:style>
  <w:style w:type="paragraph" w:styleId="Revision">
    <w:name w:val="Revision"/>
    <w:hidden/>
    <w:uiPriority w:val="99"/>
    <w:semiHidden/>
    <w:rsid w:val="00301532"/>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3D7F0F"/>
    <w:pPr>
      <w:spacing w:after="120"/>
      <w:ind w:left="360"/>
    </w:pPr>
  </w:style>
  <w:style w:type="character" w:customStyle="1" w:styleId="BodyTextIndentChar">
    <w:name w:val="Body Text Indent Char"/>
    <w:basedOn w:val="DefaultParagraphFont"/>
    <w:link w:val="BodyTextIndent"/>
    <w:uiPriority w:val="99"/>
    <w:semiHidden/>
    <w:rsid w:val="003D7F0F"/>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4304EF"/>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DefaultParagraphFont"/>
    <w:rsid w:val="00545DDA"/>
  </w:style>
  <w:style w:type="character" w:styleId="Strong">
    <w:name w:val="Strong"/>
    <w:basedOn w:val="DefaultParagraphFont"/>
    <w:uiPriority w:val="22"/>
    <w:qFormat/>
    <w:rsid w:val="009A7326"/>
    <w:rPr>
      <w:b/>
      <w:bCs/>
    </w:rPr>
  </w:style>
  <w:style w:type="paragraph" w:customStyle="1" w:styleId="Default">
    <w:name w:val="Default"/>
    <w:rsid w:val="00456ACF"/>
    <w:pPr>
      <w:autoSpaceDE w:val="0"/>
      <w:autoSpaceDN w:val="0"/>
      <w:adjustRightInd w:val="0"/>
    </w:pPr>
    <w:rPr>
      <w:rFonts w:ascii="Times New Roman" w:hAnsi="Times New Roman"/>
      <w:color w:val="000000"/>
      <w:sz w:val="24"/>
      <w:szCs w:val="24"/>
    </w:rPr>
  </w:style>
  <w:style w:type="paragraph" w:customStyle="1" w:styleId="SL-FlLftSgl">
    <w:name w:val="SL-Fl Lft Sgl"/>
    <w:rsid w:val="00452BCB"/>
    <w:pPr>
      <w:overflowPunct w:val="0"/>
      <w:autoSpaceDE w:val="0"/>
      <w:autoSpaceDN w:val="0"/>
      <w:adjustRightInd w:val="0"/>
      <w:spacing w:line="240" w:lineRule="atLeast"/>
      <w:jc w:val="both"/>
      <w:textAlignment w:val="baseline"/>
    </w:pPr>
    <w:rPr>
      <w:rFonts w:ascii="Times New Roman" w:eastAsia="Times New Roman" w:hAnsi="Times New Roman"/>
      <w:sz w:val="22"/>
    </w:rPr>
  </w:style>
  <w:style w:type="character" w:styleId="UnresolvedMention">
    <w:name w:val="Unresolved Mention"/>
    <w:basedOn w:val="DefaultParagraphFont"/>
    <w:uiPriority w:val="99"/>
    <w:semiHidden/>
    <w:unhideWhenUsed/>
    <w:rsid w:val="00B54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6716">
      <w:bodyDiv w:val="1"/>
      <w:marLeft w:val="0"/>
      <w:marRight w:val="0"/>
      <w:marTop w:val="0"/>
      <w:marBottom w:val="0"/>
      <w:divBdr>
        <w:top w:val="none" w:sz="0" w:space="0" w:color="auto"/>
        <w:left w:val="none" w:sz="0" w:space="0" w:color="auto"/>
        <w:bottom w:val="none" w:sz="0" w:space="0" w:color="auto"/>
        <w:right w:val="none" w:sz="0" w:space="0" w:color="auto"/>
      </w:divBdr>
    </w:div>
    <w:div w:id="103815278">
      <w:bodyDiv w:val="1"/>
      <w:marLeft w:val="0"/>
      <w:marRight w:val="0"/>
      <w:marTop w:val="0"/>
      <w:marBottom w:val="0"/>
      <w:divBdr>
        <w:top w:val="none" w:sz="0" w:space="0" w:color="auto"/>
        <w:left w:val="none" w:sz="0" w:space="0" w:color="auto"/>
        <w:bottom w:val="none" w:sz="0" w:space="0" w:color="auto"/>
        <w:right w:val="none" w:sz="0" w:space="0" w:color="auto"/>
      </w:divBdr>
    </w:div>
    <w:div w:id="130365186">
      <w:bodyDiv w:val="1"/>
      <w:marLeft w:val="0"/>
      <w:marRight w:val="0"/>
      <w:marTop w:val="0"/>
      <w:marBottom w:val="0"/>
      <w:divBdr>
        <w:top w:val="none" w:sz="0" w:space="0" w:color="auto"/>
        <w:left w:val="none" w:sz="0" w:space="0" w:color="auto"/>
        <w:bottom w:val="none" w:sz="0" w:space="0" w:color="auto"/>
        <w:right w:val="none" w:sz="0" w:space="0" w:color="auto"/>
      </w:divBdr>
    </w:div>
    <w:div w:id="373236691">
      <w:bodyDiv w:val="1"/>
      <w:marLeft w:val="0"/>
      <w:marRight w:val="0"/>
      <w:marTop w:val="0"/>
      <w:marBottom w:val="0"/>
      <w:divBdr>
        <w:top w:val="none" w:sz="0" w:space="0" w:color="auto"/>
        <w:left w:val="none" w:sz="0" w:space="0" w:color="auto"/>
        <w:bottom w:val="none" w:sz="0" w:space="0" w:color="auto"/>
        <w:right w:val="none" w:sz="0" w:space="0" w:color="auto"/>
      </w:divBdr>
    </w:div>
    <w:div w:id="406921990">
      <w:bodyDiv w:val="1"/>
      <w:marLeft w:val="0"/>
      <w:marRight w:val="0"/>
      <w:marTop w:val="0"/>
      <w:marBottom w:val="0"/>
      <w:divBdr>
        <w:top w:val="none" w:sz="0" w:space="0" w:color="auto"/>
        <w:left w:val="none" w:sz="0" w:space="0" w:color="auto"/>
        <w:bottom w:val="none" w:sz="0" w:space="0" w:color="auto"/>
        <w:right w:val="none" w:sz="0" w:space="0" w:color="auto"/>
      </w:divBdr>
    </w:div>
    <w:div w:id="527304563">
      <w:bodyDiv w:val="1"/>
      <w:marLeft w:val="0"/>
      <w:marRight w:val="0"/>
      <w:marTop w:val="0"/>
      <w:marBottom w:val="0"/>
      <w:divBdr>
        <w:top w:val="none" w:sz="0" w:space="0" w:color="auto"/>
        <w:left w:val="none" w:sz="0" w:space="0" w:color="auto"/>
        <w:bottom w:val="none" w:sz="0" w:space="0" w:color="auto"/>
        <w:right w:val="none" w:sz="0" w:space="0" w:color="auto"/>
      </w:divBdr>
    </w:div>
    <w:div w:id="695539053">
      <w:bodyDiv w:val="1"/>
      <w:marLeft w:val="0"/>
      <w:marRight w:val="0"/>
      <w:marTop w:val="0"/>
      <w:marBottom w:val="0"/>
      <w:divBdr>
        <w:top w:val="none" w:sz="0" w:space="0" w:color="auto"/>
        <w:left w:val="none" w:sz="0" w:space="0" w:color="auto"/>
        <w:bottom w:val="none" w:sz="0" w:space="0" w:color="auto"/>
        <w:right w:val="none" w:sz="0" w:space="0" w:color="auto"/>
      </w:divBdr>
    </w:div>
    <w:div w:id="850726374">
      <w:bodyDiv w:val="1"/>
      <w:marLeft w:val="0"/>
      <w:marRight w:val="0"/>
      <w:marTop w:val="0"/>
      <w:marBottom w:val="0"/>
      <w:divBdr>
        <w:top w:val="none" w:sz="0" w:space="0" w:color="auto"/>
        <w:left w:val="none" w:sz="0" w:space="0" w:color="auto"/>
        <w:bottom w:val="none" w:sz="0" w:space="0" w:color="auto"/>
        <w:right w:val="none" w:sz="0" w:space="0" w:color="auto"/>
      </w:divBdr>
    </w:div>
    <w:div w:id="916750220">
      <w:bodyDiv w:val="1"/>
      <w:marLeft w:val="0"/>
      <w:marRight w:val="0"/>
      <w:marTop w:val="0"/>
      <w:marBottom w:val="0"/>
      <w:divBdr>
        <w:top w:val="none" w:sz="0" w:space="0" w:color="auto"/>
        <w:left w:val="none" w:sz="0" w:space="0" w:color="auto"/>
        <w:bottom w:val="none" w:sz="0" w:space="0" w:color="auto"/>
        <w:right w:val="none" w:sz="0" w:space="0" w:color="auto"/>
      </w:divBdr>
    </w:div>
    <w:div w:id="999651653">
      <w:bodyDiv w:val="1"/>
      <w:marLeft w:val="0"/>
      <w:marRight w:val="0"/>
      <w:marTop w:val="0"/>
      <w:marBottom w:val="0"/>
      <w:divBdr>
        <w:top w:val="none" w:sz="0" w:space="0" w:color="auto"/>
        <w:left w:val="none" w:sz="0" w:space="0" w:color="auto"/>
        <w:bottom w:val="none" w:sz="0" w:space="0" w:color="auto"/>
        <w:right w:val="none" w:sz="0" w:space="0" w:color="auto"/>
      </w:divBdr>
    </w:div>
    <w:div w:id="1004699033">
      <w:bodyDiv w:val="1"/>
      <w:marLeft w:val="0"/>
      <w:marRight w:val="0"/>
      <w:marTop w:val="0"/>
      <w:marBottom w:val="0"/>
      <w:divBdr>
        <w:top w:val="none" w:sz="0" w:space="0" w:color="auto"/>
        <w:left w:val="none" w:sz="0" w:space="0" w:color="auto"/>
        <w:bottom w:val="none" w:sz="0" w:space="0" w:color="auto"/>
        <w:right w:val="none" w:sz="0" w:space="0" w:color="auto"/>
      </w:divBdr>
    </w:div>
    <w:div w:id="1036078671">
      <w:bodyDiv w:val="1"/>
      <w:marLeft w:val="0"/>
      <w:marRight w:val="0"/>
      <w:marTop w:val="0"/>
      <w:marBottom w:val="0"/>
      <w:divBdr>
        <w:top w:val="none" w:sz="0" w:space="0" w:color="auto"/>
        <w:left w:val="none" w:sz="0" w:space="0" w:color="auto"/>
        <w:bottom w:val="none" w:sz="0" w:space="0" w:color="auto"/>
        <w:right w:val="none" w:sz="0" w:space="0" w:color="auto"/>
      </w:divBdr>
      <w:divsChild>
        <w:div w:id="191110697">
          <w:marLeft w:val="0"/>
          <w:marRight w:val="0"/>
          <w:marTop w:val="0"/>
          <w:marBottom w:val="0"/>
          <w:divBdr>
            <w:top w:val="none" w:sz="0" w:space="0" w:color="auto"/>
            <w:left w:val="none" w:sz="0" w:space="0" w:color="auto"/>
            <w:bottom w:val="none" w:sz="0" w:space="0" w:color="auto"/>
            <w:right w:val="none" w:sz="0" w:space="0" w:color="auto"/>
          </w:divBdr>
        </w:div>
        <w:div w:id="285308352">
          <w:marLeft w:val="0"/>
          <w:marRight w:val="0"/>
          <w:marTop w:val="0"/>
          <w:marBottom w:val="0"/>
          <w:divBdr>
            <w:top w:val="none" w:sz="0" w:space="0" w:color="auto"/>
            <w:left w:val="none" w:sz="0" w:space="0" w:color="auto"/>
            <w:bottom w:val="none" w:sz="0" w:space="0" w:color="auto"/>
            <w:right w:val="none" w:sz="0" w:space="0" w:color="auto"/>
          </w:divBdr>
        </w:div>
        <w:div w:id="307824473">
          <w:marLeft w:val="0"/>
          <w:marRight w:val="0"/>
          <w:marTop w:val="0"/>
          <w:marBottom w:val="0"/>
          <w:divBdr>
            <w:top w:val="none" w:sz="0" w:space="0" w:color="auto"/>
            <w:left w:val="none" w:sz="0" w:space="0" w:color="auto"/>
            <w:bottom w:val="none" w:sz="0" w:space="0" w:color="auto"/>
            <w:right w:val="none" w:sz="0" w:space="0" w:color="auto"/>
          </w:divBdr>
        </w:div>
        <w:div w:id="585463463">
          <w:marLeft w:val="0"/>
          <w:marRight w:val="0"/>
          <w:marTop w:val="0"/>
          <w:marBottom w:val="0"/>
          <w:divBdr>
            <w:top w:val="none" w:sz="0" w:space="0" w:color="auto"/>
            <w:left w:val="none" w:sz="0" w:space="0" w:color="auto"/>
            <w:bottom w:val="none" w:sz="0" w:space="0" w:color="auto"/>
            <w:right w:val="none" w:sz="0" w:space="0" w:color="auto"/>
          </w:divBdr>
        </w:div>
        <w:div w:id="638926453">
          <w:marLeft w:val="0"/>
          <w:marRight w:val="0"/>
          <w:marTop w:val="0"/>
          <w:marBottom w:val="0"/>
          <w:divBdr>
            <w:top w:val="none" w:sz="0" w:space="0" w:color="auto"/>
            <w:left w:val="none" w:sz="0" w:space="0" w:color="auto"/>
            <w:bottom w:val="none" w:sz="0" w:space="0" w:color="auto"/>
            <w:right w:val="none" w:sz="0" w:space="0" w:color="auto"/>
          </w:divBdr>
        </w:div>
        <w:div w:id="739450617">
          <w:marLeft w:val="0"/>
          <w:marRight w:val="0"/>
          <w:marTop w:val="0"/>
          <w:marBottom w:val="0"/>
          <w:divBdr>
            <w:top w:val="none" w:sz="0" w:space="0" w:color="auto"/>
            <w:left w:val="none" w:sz="0" w:space="0" w:color="auto"/>
            <w:bottom w:val="none" w:sz="0" w:space="0" w:color="auto"/>
            <w:right w:val="none" w:sz="0" w:space="0" w:color="auto"/>
          </w:divBdr>
        </w:div>
        <w:div w:id="859900015">
          <w:marLeft w:val="0"/>
          <w:marRight w:val="0"/>
          <w:marTop w:val="0"/>
          <w:marBottom w:val="0"/>
          <w:divBdr>
            <w:top w:val="none" w:sz="0" w:space="0" w:color="auto"/>
            <w:left w:val="none" w:sz="0" w:space="0" w:color="auto"/>
            <w:bottom w:val="none" w:sz="0" w:space="0" w:color="auto"/>
            <w:right w:val="none" w:sz="0" w:space="0" w:color="auto"/>
          </w:divBdr>
        </w:div>
        <w:div w:id="1137261441">
          <w:marLeft w:val="0"/>
          <w:marRight w:val="0"/>
          <w:marTop w:val="0"/>
          <w:marBottom w:val="0"/>
          <w:divBdr>
            <w:top w:val="none" w:sz="0" w:space="0" w:color="auto"/>
            <w:left w:val="none" w:sz="0" w:space="0" w:color="auto"/>
            <w:bottom w:val="none" w:sz="0" w:space="0" w:color="auto"/>
            <w:right w:val="none" w:sz="0" w:space="0" w:color="auto"/>
          </w:divBdr>
        </w:div>
        <w:div w:id="1178497017">
          <w:marLeft w:val="0"/>
          <w:marRight w:val="0"/>
          <w:marTop w:val="0"/>
          <w:marBottom w:val="0"/>
          <w:divBdr>
            <w:top w:val="none" w:sz="0" w:space="0" w:color="auto"/>
            <w:left w:val="none" w:sz="0" w:space="0" w:color="auto"/>
            <w:bottom w:val="none" w:sz="0" w:space="0" w:color="auto"/>
            <w:right w:val="none" w:sz="0" w:space="0" w:color="auto"/>
          </w:divBdr>
        </w:div>
        <w:div w:id="1193961195">
          <w:marLeft w:val="0"/>
          <w:marRight w:val="0"/>
          <w:marTop w:val="0"/>
          <w:marBottom w:val="0"/>
          <w:divBdr>
            <w:top w:val="none" w:sz="0" w:space="0" w:color="auto"/>
            <w:left w:val="none" w:sz="0" w:space="0" w:color="auto"/>
            <w:bottom w:val="none" w:sz="0" w:space="0" w:color="auto"/>
            <w:right w:val="none" w:sz="0" w:space="0" w:color="auto"/>
          </w:divBdr>
        </w:div>
        <w:div w:id="1369258278">
          <w:marLeft w:val="0"/>
          <w:marRight w:val="0"/>
          <w:marTop w:val="0"/>
          <w:marBottom w:val="0"/>
          <w:divBdr>
            <w:top w:val="none" w:sz="0" w:space="0" w:color="auto"/>
            <w:left w:val="none" w:sz="0" w:space="0" w:color="auto"/>
            <w:bottom w:val="none" w:sz="0" w:space="0" w:color="auto"/>
            <w:right w:val="none" w:sz="0" w:space="0" w:color="auto"/>
          </w:divBdr>
        </w:div>
        <w:div w:id="1423917512">
          <w:marLeft w:val="0"/>
          <w:marRight w:val="0"/>
          <w:marTop w:val="0"/>
          <w:marBottom w:val="0"/>
          <w:divBdr>
            <w:top w:val="none" w:sz="0" w:space="0" w:color="auto"/>
            <w:left w:val="none" w:sz="0" w:space="0" w:color="auto"/>
            <w:bottom w:val="none" w:sz="0" w:space="0" w:color="auto"/>
            <w:right w:val="none" w:sz="0" w:space="0" w:color="auto"/>
          </w:divBdr>
        </w:div>
        <w:div w:id="1460762895">
          <w:marLeft w:val="0"/>
          <w:marRight w:val="0"/>
          <w:marTop w:val="0"/>
          <w:marBottom w:val="0"/>
          <w:divBdr>
            <w:top w:val="none" w:sz="0" w:space="0" w:color="auto"/>
            <w:left w:val="none" w:sz="0" w:space="0" w:color="auto"/>
            <w:bottom w:val="none" w:sz="0" w:space="0" w:color="auto"/>
            <w:right w:val="none" w:sz="0" w:space="0" w:color="auto"/>
          </w:divBdr>
        </w:div>
        <w:div w:id="1544633944">
          <w:marLeft w:val="0"/>
          <w:marRight w:val="0"/>
          <w:marTop w:val="0"/>
          <w:marBottom w:val="0"/>
          <w:divBdr>
            <w:top w:val="none" w:sz="0" w:space="0" w:color="auto"/>
            <w:left w:val="none" w:sz="0" w:space="0" w:color="auto"/>
            <w:bottom w:val="none" w:sz="0" w:space="0" w:color="auto"/>
            <w:right w:val="none" w:sz="0" w:space="0" w:color="auto"/>
          </w:divBdr>
        </w:div>
        <w:div w:id="1829319912">
          <w:marLeft w:val="0"/>
          <w:marRight w:val="0"/>
          <w:marTop w:val="0"/>
          <w:marBottom w:val="0"/>
          <w:divBdr>
            <w:top w:val="none" w:sz="0" w:space="0" w:color="auto"/>
            <w:left w:val="none" w:sz="0" w:space="0" w:color="auto"/>
            <w:bottom w:val="none" w:sz="0" w:space="0" w:color="auto"/>
            <w:right w:val="none" w:sz="0" w:space="0" w:color="auto"/>
          </w:divBdr>
        </w:div>
        <w:div w:id="1864974758">
          <w:marLeft w:val="0"/>
          <w:marRight w:val="0"/>
          <w:marTop w:val="0"/>
          <w:marBottom w:val="0"/>
          <w:divBdr>
            <w:top w:val="none" w:sz="0" w:space="0" w:color="auto"/>
            <w:left w:val="none" w:sz="0" w:space="0" w:color="auto"/>
            <w:bottom w:val="none" w:sz="0" w:space="0" w:color="auto"/>
            <w:right w:val="none" w:sz="0" w:space="0" w:color="auto"/>
          </w:divBdr>
        </w:div>
        <w:div w:id="1939677273">
          <w:marLeft w:val="0"/>
          <w:marRight w:val="0"/>
          <w:marTop w:val="0"/>
          <w:marBottom w:val="0"/>
          <w:divBdr>
            <w:top w:val="none" w:sz="0" w:space="0" w:color="auto"/>
            <w:left w:val="none" w:sz="0" w:space="0" w:color="auto"/>
            <w:bottom w:val="none" w:sz="0" w:space="0" w:color="auto"/>
            <w:right w:val="none" w:sz="0" w:space="0" w:color="auto"/>
          </w:divBdr>
        </w:div>
        <w:div w:id="2071611832">
          <w:marLeft w:val="0"/>
          <w:marRight w:val="0"/>
          <w:marTop w:val="0"/>
          <w:marBottom w:val="0"/>
          <w:divBdr>
            <w:top w:val="none" w:sz="0" w:space="0" w:color="auto"/>
            <w:left w:val="none" w:sz="0" w:space="0" w:color="auto"/>
            <w:bottom w:val="none" w:sz="0" w:space="0" w:color="auto"/>
            <w:right w:val="none" w:sz="0" w:space="0" w:color="auto"/>
          </w:divBdr>
        </w:div>
        <w:div w:id="2098361415">
          <w:marLeft w:val="0"/>
          <w:marRight w:val="0"/>
          <w:marTop w:val="0"/>
          <w:marBottom w:val="0"/>
          <w:divBdr>
            <w:top w:val="none" w:sz="0" w:space="0" w:color="auto"/>
            <w:left w:val="none" w:sz="0" w:space="0" w:color="auto"/>
            <w:bottom w:val="none" w:sz="0" w:space="0" w:color="auto"/>
            <w:right w:val="none" w:sz="0" w:space="0" w:color="auto"/>
          </w:divBdr>
        </w:div>
      </w:divsChild>
    </w:div>
    <w:div w:id="1233276480">
      <w:bodyDiv w:val="1"/>
      <w:marLeft w:val="0"/>
      <w:marRight w:val="0"/>
      <w:marTop w:val="0"/>
      <w:marBottom w:val="0"/>
      <w:divBdr>
        <w:top w:val="none" w:sz="0" w:space="0" w:color="auto"/>
        <w:left w:val="none" w:sz="0" w:space="0" w:color="auto"/>
        <w:bottom w:val="none" w:sz="0" w:space="0" w:color="auto"/>
        <w:right w:val="none" w:sz="0" w:space="0" w:color="auto"/>
      </w:divBdr>
    </w:div>
    <w:div w:id="1333218921">
      <w:bodyDiv w:val="1"/>
      <w:marLeft w:val="0"/>
      <w:marRight w:val="0"/>
      <w:marTop w:val="0"/>
      <w:marBottom w:val="0"/>
      <w:divBdr>
        <w:top w:val="none" w:sz="0" w:space="0" w:color="auto"/>
        <w:left w:val="none" w:sz="0" w:space="0" w:color="auto"/>
        <w:bottom w:val="none" w:sz="0" w:space="0" w:color="auto"/>
        <w:right w:val="none" w:sz="0" w:space="0" w:color="auto"/>
      </w:divBdr>
      <w:divsChild>
        <w:div w:id="130906338">
          <w:marLeft w:val="0"/>
          <w:marRight w:val="0"/>
          <w:marTop w:val="0"/>
          <w:marBottom w:val="0"/>
          <w:divBdr>
            <w:top w:val="none" w:sz="0" w:space="0" w:color="auto"/>
            <w:left w:val="none" w:sz="0" w:space="0" w:color="auto"/>
            <w:bottom w:val="none" w:sz="0" w:space="0" w:color="auto"/>
            <w:right w:val="none" w:sz="0" w:space="0" w:color="auto"/>
          </w:divBdr>
        </w:div>
        <w:div w:id="141191793">
          <w:marLeft w:val="0"/>
          <w:marRight w:val="0"/>
          <w:marTop w:val="0"/>
          <w:marBottom w:val="0"/>
          <w:divBdr>
            <w:top w:val="none" w:sz="0" w:space="0" w:color="auto"/>
            <w:left w:val="none" w:sz="0" w:space="0" w:color="auto"/>
            <w:bottom w:val="none" w:sz="0" w:space="0" w:color="auto"/>
            <w:right w:val="none" w:sz="0" w:space="0" w:color="auto"/>
          </w:divBdr>
        </w:div>
      </w:divsChild>
    </w:div>
    <w:div w:id="1613785600">
      <w:bodyDiv w:val="1"/>
      <w:marLeft w:val="0"/>
      <w:marRight w:val="0"/>
      <w:marTop w:val="0"/>
      <w:marBottom w:val="0"/>
      <w:divBdr>
        <w:top w:val="none" w:sz="0" w:space="0" w:color="auto"/>
        <w:left w:val="none" w:sz="0" w:space="0" w:color="auto"/>
        <w:bottom w:val="none" w:sz="0" w:space="0" w:color="auto"/>
        <w:right w:val="none" w:sz="0" w:space="0" w:color="auto"/>
      </w:divBdr>
    </w:div>
    <w:div w:id="1665012260">
      <w:bodyDiv w:val="1"/>
      <w:marLeft w:val="0"/>
      <w:marRight w:val="0"/>
      <w:marTop w:val="0"/>
      <w:marBottom w:val="0"/>
      <w:divBdr>
        <w:top w:val="none" w:sz="0" w:space="0" w:color="auto"/>
        <w:left w:val="none" w:sz="0" w:space="0" w:color="auto"/>
        <w:bottom w:val="none" w:sz="0" w:space="0" w:color="auto"/>
        <w:right w:val="none" w:sz="0" w:space="0" w:color="auto"/>
      </w:divBdr>
    </w:div>
    <w:div w:id="1715042488">
      <w:bodyDiv w:val="1"/>
      <w:marLeft w:val="0"/>
      <w:marRight w:val="0"/>
      <w:marTop w:val="0"/>
      <w:marBottom w:val="0"/>
      <w:divBdr>
        <w:top w:val="none" w:sz="0" w:space="0" w:color="auto"/>
        <w:left w:val="none" w:sz="0" w:space="0" w:color="auto"/>
        <w:bottom w:val="none" w:sz="0" w:space="0" w:color="auto"/>
        <w:right w:val="none" w:sz="0" w:space="0" w:color="auto"/>
      </w:divBdr>
    </w:div>
    <w:div w:id="1914197694">
      <w:bodyDiv w:val="1"/>
      <w:marLeft w:val="0"/>
      <w:marRight w:val="0"/>
      <w:marTop w:val="0"/>
      <w:marBottom w:val="0"/>
      <w:divBdr>
        <w:top w:val="none" w:sz="0" w:space="0" w:color="auto"/>
        <w:left w:val="none" w:sz="0" w:space="0" w:color="auto"/>
        <w:bottom w:val="none" w:sz="0" w:space="0" w:color="auto"/>
        <w:right w:val="none" w:sz="0" w:space="0" w:color="auto"/>
      </w:divBdr>
    </w:div>
    <w:div w:id="1934583910">
      <w:bodyDiv w:val="1"/>
      <w:marLeft w:val="0"/>
      <w:marRight w:val="0"/>
      <w:marTop w:val="0"/>
      <w:marBottom w:val="0"/>
      <w:divBdr>
        <w:top w:val="none" w:sz="0" w:space="0" w:color="auto"/>
        <w:left w:val="none" w:sz="0" w:space="0" w:color="auto"/>
        <w:bottom w:val="none" w:sz="0" w:space="0" w:color="auto"/>
        <w:right w:val="none" w:sz="0" w:space="0" w:color="auto"/>
      </w:divBdr>
    </w:div>
    <w:div w:id="1998261827">
      <w:bodyDiv w:val="1"/>
      <w:marLeft w:val="0"/>
      <w:marRight w:val="0"/>
      <w:marTop w:val="0"/>
      <w:marBottom w:val="0"/>
      <w:divBdr>
        <w:top w:val="none" w:sz="0" w:space="0" w:color="auto"/>
        <w:left w:val="none" w:sz="0" w:space="0" w:color="auto"/>
        <w:bottom w:val="none" w:sz="0" w:space="0" w:color="auto"/>
        <w:right w:val="none" w:sz="0" w:space="0" w:color="auto"/>
      </w:divBdr>
    </w:div>
    <w:div w:id="2005474611">
      <w:bodyDiv w:val="1"/>
      <w:marLeft w:val="0"/>
      <w:marRight w:val="0"/>
      <w:marTop w:val="0"/>
      <w:marBottom w:val="0"/>
      <w:divBdr>
        <w:top w:val="none" w:sz="0" w:space="0" w:color="auto"/>
        <w:left w:val="none" w:sz="0" w:space="0" w:color="auto"/>
        <w:bottom w:val="none" w:sz="0" w:space="0" w:color="auto"/>
        <w:right w:val="none" w:sz="0" w:space="0" w:color="auto"/>
      </w:divBdr>
    </w:div>
    <w:div w:id="206073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sce2@cdc.gov"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0CBC-3C1D-488D-B48A-881561A8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33969</CharactersWithSpaces>
  <SharedDoc>false</SharedDoc>
  <HLinks>
    <vt:vector size="42" baseType="variant">
      <vt:variant>
        <vt:i4>3014674</vt:i4>
      </vt:variant>
      <vt:variant>
        <vt:i4>18</vt:i4>
      </vt:variant>
      <vt:variant>
        <vt:i4>0</vt:i4>
      </vt:variant>
      <vt:variant>
        <vt:i4>5</vt:i4>
      </vt:variant>
      <vt:variant>
        <vt:lpwstr>mailto:mmoloney@icfi.com</vt:lpwstr>
      </vt:variant>
      <vt:variant>
        <vt:lpwstr/>
      </vt:variant>
      <vt:variant>
        <vt:i4>7340032</vt:i4>
      </vt:variant>
      <vt:variant>
        <vt:i4>15</vt:i4>
      </vt:variant>
      <vt:variant>
        <vt:i4>0</vt:i4>
      </vt:variant>
      <vt:variant>
        <vt:i4>5</vt:i4>
      </vt:variant>
      <vt:variant>
        <vt:lpwstr>mailto:jBrown3@icfi.com</vt:lpwstr>
      </vt:variant>
      <vt:variant>
        <vt:lpwstr/>
      </vt:variant>
      <vt:variant>
        <vt:i4>7733260</vt:i4>
      </vt:variant>
      <vt:variant>
        <vt:i4>12</vt:i4>
      </vt:variant>
      <vt:variant>
        <vt:i4>0</vt:i4>
      </vt:variant>
      <vt:variant>
        <vt:i4>5</vt:i4>
      </vt:variant>
      <vt:variant>
        <vt:lpwstr>mailto:William.h.robb@burlington.orcmacro.com</vt:lpwstr>
      </vt:variant>
      <vt:variant>
        <vt:lpwstr/>
      </vt:variant>
      <vt:variant>
        <vt:i4>2687019</vt:i4>
      </vt:variant>
      <vt:variant>
        <vt:i4>9</vt:i4>
      </vt:variant>
      <vt:variant>
        <vt:i4>0</vt:i4>
      </vt:variant>
      <vt:variant>
        <vt:i4>5</vt:i4>
      </vt:variant>
      <vt:variant>
        <vt:lpwstr>mailto:bill_kalsbeek@unc.edu</vt:lpwstr>
      </vt:variant>
      <vt:variant>
        <vt:lpwstr/>
      </vt:variant>
      <vt:variant>
        <vt:i4>3735560</vt:i4>
      </vt:variant>
      <vt:variant>
        <vt:i4>6</vt:i4>
      </vt:variant>
      <vt:variant>
        <vt:i4>0</vt:i4>
      </vt:variant>
      <vt:variant>
        <vt:i4>5</vt:i4>
      </vt:variant>
      <vt:variant>
        <vt:lpwstr>mailto:rIachan@icfi.com</vt:lpwstr>
      </vt:variant>
      <vt:variant>
        <vt:lpwstr/>
      </vt:variant>
      <vt:variant>
        <vt:i4>7864400</vt:i4>
      </vt:variant>
      <vt:variant>
        <vt:i4>3</vt:i4>
      </vt:variant>
      <vt:variant>
        <vt:i4>0</vt:i4>
      </vt:variant>
      <vt:variant>
        <vt:i4>5</vt:i4>
      </vt:variant>
      <vt:variant>
        <vt:lpwstr>mailto:jrc@rti.org</vt:lpwstr>
      </vt:variant>
      <vt:variant>
        <vt:lpwstr/>
      </vt:variant>
      <vt:variant>
        <vt:i4>852093</vt:i4>
      </vt:variant>
      <vt:variant>
        <vt:i4>0</vt:i4>
      </vt:variant>
      <vt:variant>
        <vt:i4>0</vt:i4>
      </vt:variant>
      <vt:variant>
        <vt:i4>5</vt:i4>
      </vt:variant>
      <vt:variant>
        <vt:lpwstr>mailto:nad1@cdc.gov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alice.m.roberts</dc:creator>
  <cp:lastModifiedBy>Macaluso, Renita (CDC/DDPHSS/OS/OSI)</cp:lastModifiedBy>
  <cp:revision>5</cp:revision>
  <cp:lastPrinted>2020-04-02T18:24:00Z</cp:lastPrinted>
  <dcterms:created xsi:type="dcterms:W3CDTF">2020-08-11T18:38:00Z</dcterms:created>
  <dcterms:modified xsi:type="dcterms:W3CDTF">2020-08-12T19:40:00Z</dcterms:modified>
</cp:coreProperties>
</file>