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FB" w:rsidP="0057145B" w:rsidRDefault="005342FB" w14:paraId="5C10A71F" w14:textId="77777777">
      <w:pPr>
        <w:pStyle w:val="NoSpacing"/>
        <w:spacing w:before="120" w:after="120"/>
        <w:jc w:val="center"/>
        <w:rPr>
          <w:b/>
        </w:rPr>
      </w:pPr>
    </w:p>
    <w:p w:rsidRPr="00212D0C" w:rsidR="00962B0D" w:rsidP="00962B0D" w:rsidRDefault="00962B0D" w14:paraId="1249743D" w14:textId="77777777">
      <w:pPr>
        <w:pStyle w:val="NoSpacing"/>
        <w:spacing w:before="120" w:after="120"/>
        <w:mirrorIndents/>
        <w:jc w:val="center"/>
        <w:rPr>
          <w:szCs w:val="24"/>
        </w:rPr>
      </w:pPr>
      <w:r w:rsidRPr="00496A03">
        <w:rPr>
          <w:szCs w:val="24"/>
        </w:rPr>
        <w:t>Community-Based Organizations’ Changes in Preparedness and Resources for Support of Biomedical HIV Prevention</w:t>
      </w:r>
      <w:r w:rsidRPr="00212D0C">
        <w:rPr>
          <w:szCs w:val="24"/>
        </w:rPr>
        <w:t xml:space="preserve"> </w:t>
      </w:r>
    </w:p>
    <w:p w:rsidRPr="00412543" w:rsidR="00962B0D" w:rsidP="00962B0D" w:rsidRDefault="00962B0D" w14:paraId="26FD0275" w14:textId="643852F4">
      <w:pPr>
        <w:pStyle w:val="NoSpacing"/>
        <w:spacing w:before="120" w:after="120"/>
        <w:mirrorIndents/>
        <w:jc w:val="center"/>
      </w:pPr>
      <w:r w:rsidRPr="002B31BA">
        <w:t>0920-</w:t>
      </w:r>
      <w:r w:rsidR="006868AB">
        <w:t>New</w:t>
      </w:r>
    </w:p>
    <w:p w:rsidR="00962B0D" w:rsidP="00962B0D" w:rsidRDefault="00962B0D" w14:paraId="5354021E" w14:textId="77777777">
      <w:pPr>
        <w:pStyle w:val="NoSpacing"/>
        <w:spacing w:before="120" w:after="120"/>
        <w:mirrorIndents/>
        <w:jc w:val="center"/>
        <w:rPr>
          <w:b/>
        </w:rPr>
      </w:pPr>
    </w:p>
    <w:p w:rsidR="00962B0D" w:rsidP="00962B0D" w:rsidRDefault="00962B0D" w14:paraId="58E21AE7" w14:textId="77777777">
      <w:pPr>
        <w:pStyle w:val="NoSpacing"/>
        <w:spacing w:before="120" w:after="120"/>
        <w:mirrorIndents/>
        <w:jc w:val="center"/>
        <w:rPr>
          <w:b/>
        </w:rPr>
      </w:pPr>
    </w:p>
    <w:p w:rsidR="00962B0D" w:rsidP="00962B0D" w:rsidRDefault="00962B0D" w14:paraId="2728E25A" w14:textId="77777777">
      <w:pPr>
        <w:pStyle w:val="NoSpacing"/>
        <w:spacing w:before="120" w:after="120"/>
        <w:mirrorIndents/>
        <w:jc w:val="center"/>
        <w:rPr>
          <w:b/>
        </w:rPr>
      </w:pPr>
      <w:r>
        <w:rPr>
          <w:b/>
        </w:rPr>
        <w:t xml:space="preserve"> </w:t>
      </w:r>
    </w:p>
    <w:p w:rsidRPr="00412543" w:rsidR="00962B0D" w:rsidP="00962B0D" w:rsidRDefault="00962B0D" w14:paraId="6680678A" w14:textId="12DCBA71">
      <w:pPr>
        <w:pStyle w:val="NoSpacing"/>
        <w:spacing w:before="120" w:after="120"/>
        <w:mirrorIndents/>
        <w:jc w:val="center"/>
      </w:pPr>
      <w:r w:rsidRPr="00412543">
        <w:t xml:space="preserve">Section </w:t>
      </w:r>
      <w:r>
        <w:t>B</w:t>
      </w:r>
      <w:r w:rsidRPr="00412543">
        <w:t>: Supporting Statement</w:t>
      </w:r>
    </w:p>
    <w:p w:rsidR="00962B0D" w:rsidP="00962B0D" w:rsidRDefault="00962B0D" w14:paraId="671118F5" w14:textId="77777777">
      <w:pPr>
        <w:pStyle w:val="NoSpacing"/>
        <w:spacing w:before="120" w:after="120"/>
        <w:mirrorIndents/>
        <w:jc w:val="center"/>
        <w:rPr>
          <w:b/>
        </w:rPr>
      </w:pPr>
    </w:p>
    <w:p w:rsidR="00962B0D" w:rsidP="00962B0D" w:rsidRDefault="00962B0D" w14:paraId="15F76A90" w14:textId="77777777">
      <w:pPr>
        <w:pStyle w:val="NoSpacing"/>
        <w:spacing w:before="120" w:after="120"/>
        <w:mirrorIndents/>
        <w:jc w:val="center"/>
        <w:rPr>
          <w:b/>
        </w:rPr>
      </w:pPr>
    </w:p>
    <w:p w:rsidR="00962B0D" w:rsidP="00962B0D" w:rsidRDefault="00962B0D" w14:paraId="0EB25945" w14:textId="77777777">
      <w:pPr>
        <w:pStyle w:val="NoSpacing"/>
        <w:spacing w:before="120" w:after="120"/>
        <w:mirrorIndents/>
        <w:jc w:val="center"/>
        <w:rPr>
          <w:b/>
        </w:rPr>
      </w:pPr>
    </w:p>
    <w:p w:rsidRPr="00412543" w:rsidR="00962B0D" w:rsidP="00962B0D" w:rsidRDefault="00CA5C33" w14:paraId="6B176310" w14:textId="0E0F8519">
      <w:pPr>
        <w:pStyle w:val="NoSpacing"/>
        <w:spacing w:before="120" w:after="120"/>
        <w:mirrorIndents/>
        <w:jc w:val="center"/>
      </w:pPr>
      <w:r>
        <w:t>July</w:t>
      </w:r>
      <w:r w:rsidR="000916F0">
        <w:t xml:space="preserve"> </w:t>
      </w:r>
      <w:r w:rsidR="00834D90">
        <w:t>31</w:t>
      </w:r>
      <w:r w:rsidR="00962B0D">
        <w:t>, 20</w:t>
      </w:r>
      <w:r w:rsidR="001613A5">
        <w:t>20</w:t>
      </w:r>
    </w:p>
    <w:p w:rsidR="00962B0D" w:rsidP="00962B0D" w:rsidRDefault="00962B0D" w14:paraId="7B404316" w14:textId="77777777">
      <w:pPr>
        <w:pStyle w:val="NoSpacing"/>
        <w:spacing w:before="120" w:after="120"/>
        <w:mirrorIndents/>
        <w:jc w:val="center"/>
        <w:rPr>
          <w:b/>
        </w:rPr>
      </w:pPr>
    </w:p>
    <w:p w:rsidR="00962B0D" w:rsidP="00962B0D" w:rsidRDefault="00962B0D" w14:paraId="6B5AA0F2" w14:textId="77777777">
      <w:pPr>
        <w:pStyle w:val="NoSpacing"/>
        <w:spacing w:before="120" w:after="120"/>
        <w:mirrorIndents/>
        <w:jc w:val="center"/>
        <w:rPr>
          <w:b/>
        </w:rPr>
      </w:pPr>
    </w:p>
    <w:p w:rsidR="00962B0D" w:rsidP="00962B0D" w:rsidRDefault="00962B0D" w14:paraId="0EDD4ACB" w14:textId="77777777">
      <w:pPr>
        <w:pStyle w:val="NoSpacing"/>
        <w:spacing w:before="120" w:after="120"/>
        <w:mirrorIndents/>
        <w:jc w:val="center"/>
        <w:rPr>
          <w:b/>
        </w:rPr>
      </w:pPr>
      <w:r>
        <w:rPr>
          <w:b/>
        </w:rPr>
        <w:t>CONTACT</w:t>
      </w:r>
    </w:p>
    <w:p w:rsidRPr="00603813" w:rsidR="00962B0D" w:rsidP="00CA5C33" w:rsidRDefault="00962B0D" w14:paraId="5A8B105B" w14:textId="77777777">
      <w:pPr>
        <w:contextualSpacing/>
        <w:mirrorIndents/>
        <w:jc w:val="center"/>
        <w:rPr>
          <w:shd w:val="clear" w:color="auto" w:fill="FFFFFF"/>
        </w:rPr>
      </w:pPr>
      <w:r>
        <w:rPr>
          <w:bCs/>
          <w:shd w:val="clear" w:color="auto" w:fill="FFFFFF"/>
        </w:rPr>
        <w:t xml:space="preserve">Jamal T. Jones, </w:t>
      </w:r>
      <w:r>
        <w:t>PhD, MPH</w:t>
      </w:r>
      <w:r w:rsidRPr="00603813">
        <w:br/>
      </w:r>
      <w:r>
        <w:t>Project Officer / Principal Investigator</w:t>
      </w:r>
    </w:p>
    <w:p w:rsidR="00962B0D" w:rsidP="00CA5C33" w:rsidRDefault="00962B0D" w14:paraId="23FF5F42" w14:textId="77777777">
      <w:pPr>
        <w:pStyle w:val="NoSpacing"/>
        <w:contextualSpacing/>
        <w:mirrorIndents/>
        <w:jc w:val="center"/>
        <w:rPr>
          <w:shd w:val="clear" w:color="auto" w:fill="FFFFFF"/>
        </w:rPr>
      </w:pPr>
      <w:r w:rsidRPr="00603813">
        <w:rPr>
          <w:shd w:val="clear" w:color="auto" w:fill="FFFFFF"/>
        </w:rPr>
        <w:t>Centers for Disease Control and Prevention</w:t>
      </w:r>
    </w:p>
    <w:p w:rsidR="00962B0D" w:rsidP="00CA5C33" w:rsidRDefault="00962B0D" w14:paraId="16F6258B" w14:textId="77777777">
      <w:pPr>
        <w:pStyle w:val="NoSpacing"/>
        <w:contextualSpacing/>
        <w:mirrorIndents/>
        <w:jc w:val="center"/>
        <w:rPr>
          <w:shd w:val="clear" w:color="auto" w:fill="FFFFFF"/>
        </w:rPr>
      </w:pPr>
      <w:r w:rsidRPr="009E74B4">
        <w:t>National Center for HIV/AIDS, Viral Hepatitis, STD, and TB Prevention</w:t>
      </w:r>
      <w:r w:rsidRPr="00603813">
        <w:br/>
      </w:r>
      <w:r w:rsidRPr="009E74B4">
        <w:rPr>
          <w:shd w:val="clear" w:color="auto" w:fill="FFFFFF"/>
        </w:rPr>
        <w:t>Division of HIV/AIDS Prevention/Epidemiology Branch</w:t>
      </w:r>
      <w:r w:rsidRPr="00603813">
        <w:t xml:space="preserve"> </w:t>
      </w:r>
      <w:r w:rsidRPr="00603813">
        <w:br/>
      </w:r>
      <w:r w:rsidRPr="00603813">
        <w:rPr>
          <w:shd w:val="clear" w:color="auto" w:fill="FFFFFF"/>
        </w:rPr>
        <w:t xml:space="preserve">1600 Clifton Road, NE, Mailstop </w:t>
      </w:r>
      <w:r>
        <w:rPr>
          <w:shd w:val="clear" w:color="auto" w:fill="FFFFFF"/>
        </w:rPr>
        <w:t>US 8-4</w:t>
      </w:r>
    </w:p>
    <w:p w:rsidRPr="00491EB1" w:rsidR="00962B0D" w:rsidP="00CA5C33" w:rsidRDefault="00962B0D" w14:paraId="7C0B12AB" w14:textId="77777777">
      <w:pPr>
        <w:pStyle w:val="NoSpacing"/>
        <w:contextualSpacing/>
        <w:mirrorIndents/>
        <w:jc w:val="center"/>
        <w:rPr>
          <w:shd w:val="clear" w:color="auto" w:fill="FFFFFF"/>
        </w:rPr>
      </w:pPr>
      <w:r w:rsidRPr="00603813">
        <w:rPr>
          <w:shd w:val="clear" w:color="auto" w:fill="FFFFFF"/>
        </w:rPr>
        <w:t>Atlanta, GA 30333</w:t>
      </w:r>
      <w:r w:rsidRPr="00603813">
        <w:br/>
      </w:r>
      <w:r w:rsidRPr="00603813">
        <w:rPr>
          <w:shd w:val="clear" w:color="auto" w:fill="FFFFFF"/>
        </w:rPr>
        <w:t xml:space="preserve">Phone: </w:t>
      </w:r>
      <w:r>
        <w:rPr>
          <w:shd w:val="clear" w:color="auto" w:fill="FFFFFF"/>
        </w:rPr>
        <w:t>404-718-7167</w:t>
      </w:r>
      <w:r w:rsidRPr="00603813">
        <w:br/>
      </w:r>
      <w:r w:rsidRPr="00603813">
        <w:rPr>
          <w:shd w:val="clear" w:color="auto" w:fill="FFFFFF"/>
        </w:rPr>
        <w:t>E-mail:</w:t>
      </w:r>
      <w:r w:rsidRPr="00603813">
        <w:t> </w:t>
      </w:r>
      <w:r>
        <w:t>opy3@cdc.gov</w:t>
      </w:r>
    </w:p>
    <w:p w:rsidR="00DC57CC" w:rsidP="0057145B" w:rsidRDefault="00DC57CC" w14:paraId="417F2FC7" w14:textId="77777777">
      <w:pPr>
        <w:spacing w:before="120" w:after="120"/>
      </w:pPr>
    </w:p>
    <w:p w:rsidR="00CA5C33" w:rsidP="00CA5C33" w:rsidRDefault="00CA5C33" w14:paraId="0B8FC60E" w14:textId="77777777">
      <w:pPr>
        <w:pStyle w:val="NoSpacing"/>
        <w:contextualSpacing/>
        <w:mirrorIndents/>
        <w:jc w:val="center"/>
      </w:pPr>
    </w:p>
    <w:p w:rsidRPr="005D2ABF" w:rsidR="005D2ABF" w:rsidP="005D2ABF" w:rsidRDefault="005D2ABF" w14:paraId="06E7670A" w14:textId="3FF93726">
      <w:pPr>
        <w:contextualSpacing/>
        <w:jc w:val="center"/>
        <w:rPr>
          <w:rFonts w:eastAsiaTheme="minorHAnsi" w:cstheme="minorBidi"/>
          <w:bCs/>
          <w:szCs w:val="22"/>
        </w:rPr>
      </w:pPr>
      <w:r w:rsidRPr="005D2ABF">
        <w:rPr>
          <w:rFonts w:eastAsiaTheme="minorHAnsi" w:cstheme="minorBidi"/>
          <w:bCs/>
          <w:szCs w:val="22"/>
        </w:rPr>
        <w:t>Natasha Ptomey</w:t>
      </w:r>
      <w:r w:rsidR="00834D90">
        <w:rPr>
          <w:rFonts w:eastAsiaTheme="minorHAnsi" w:cstheme="minorBidi"/>
          <w:bCs/>
          <w:szCs w:val="22"/>
        </w:rPr>
        <w:t>, MPH</w:t>
      </w:r>
    </w:p>
    <w:p w:rsidRPr="005D2ABF" w:rsidR="005D2ABF" w:rsidP="005D2ABF" w:rsidRDefault="005D2ABF" w14:paraId="7668A320" w14:textId="77777777">
      <w:pPr>
        <w:contextualSpacing/>
        <w:jc w:val="center"/>
        <w:rPr>
          <w:rFonts w:eastAsiaTheme="minorHAnsi" w:cstheme="minorBidi"/>
          <w:bCs/>
          <w:szCs w:val="22"/>
        </w:rPr>
      </w:pPr>
      <w:r w:rsidRPr="005D2ABF">
        <w:rPr>
          <w:rFonts w:eastAsiaTheme="minorHAnsi" w:cstheme="minorBidi"/>
          <w:bCs/>
          <w:szCs w:val="22"/>
        </w:rPr>
        <w:t>Centers for Disease Control and Prevention</w:t>
      </w:r>
    </w:p>
    <w:p w:rsidRPr="005D2ABF" w:rsidR="005D2ABF" w:rsidP="005D2ABF" w:rsidRDefault="005D2ABF" w14:paraId="2747012E" w14:textId="77777777">
      <w:pPr>
        <w:contextualSpacing/>
        <w:jc w:val="center"/>
        <w:rPr>
          <w:rFonts w:eastAsiaTheme="minorHAnsi" w:cstheme="minorBidi"/>
          <w:bCs/>
          <w:szCs w:val="22"/>
        </w:rPr>
      </w:pPr>
      <w:r w:rsidRPr="005D2ABF">
        <w:rPr>
          <w:rFonts w:eastAsiaTheme="minorHAnsi" w:cstheme="minorBidi"/>
          <w:bCs/>
          <w:szCs w:val="22"/>
        </w:rPr>
        <w:t>National Center for HIV/AIDS, Viral Hepatitis, STD, and TB Prevention</w:t>
      </w:r>
    </w:p>
    <w:p w:rsidRPr="005D2ABF" w:rsidR="005D2ABF" w:rsidP="005D2ABF" w:rsidRDefault="005D2ABF" w14:paraId="6A05139B" w14:textId="77777777">
      <w:pPr>
        <w:contextualSpacing/>
        <w:jc w:val="center"/>
        <w:rPr>
          <w:rFonts w:eastAsiaTheme="minorHAnsi" w:cstheme="minorBidi"/>
          <w:bCs/>
          <w:szCs w:val="22"/>
        </w:rPr>
      </w:pPr>
      <w:r w:rsidRPr="005D2ABF">
        <w:rPr>
          <w:rFonts w:eastAsiaTheme="minorHAnsi" w:cstheme="minorBidi"/>
          <w:bCs/>
          <w:szCs w:val="22"/>
        </w:rPr>
        <w:t xml:space="preserve">Division of HIV/AIDS Prevention/Epidemiology Branch </w:t>
      </w:r>
    </w:p>
    <w:p w:rsidRPr="005D2ABF" w:rsidR="005D2ABF" w:rsidP="005D2ABF" w:rsidRDefault="005D2ABF" w14:paraId="5FCE0F9A" w14:textId="77777777">
      <w:pPr>
        <w:contextualSpacing/>
        <w:jc w:val="center"/>
        <w:rPr>
          <w:rFonts w:eastAsiaTheme="minorHAnsi" w:cstheme="minorBidi"/>
          <w:bCs/>
          <w:szCs w:val="22"/>
        </w:rPr>
      </w:pPr>
      <w:r w:rsidRPr="005D2ABF">
        <w:rPr>
          <w:rFonts w:eastAsiaTheme="minorHAnsi" w:cstheme="minorBidi"/>
          <w:bCs/>
          <w:szCs w:val="22"/>
        </w:rPr>
        <w:t>1600 Clifton Road, NE, Mailstop US 8-5</w:t>
      </w:r>
    </w:p>
    <w:p w:rsidRPr="005D2ABF" w:rsidR="005D2ABF" w:rsidP="005D2ABF" w:rsidRDefault="005D2ABF" w14:paraId="7F396F2B" w14:textId="77777777">
      <w:pPr>
        <w:contextualSpacing/>
        <w:jc w:val="center"/>
        <w:rPr>
          <w:rFonts w:eastAsiaTheme="minorHAnsi" w:cstheme="minorBidi"/>
          <w:bCs/>
          <w:szCs w:val="22"/>
        </w:rPr>
      </w:pPr>
      <w:r w:rsidRPr="005D2ABF">
        <w:rPr>
          <w:rFonts w:eastAsiaTheme="minorHAnsi" w:cstheme="minorBidi"/>
          <w:bCs/>
          <w:szCs w:val="22"/>
        </w:rPr>
        <w:t>Atlanta, GA 30333</w:t>
      </w:r>
    </w:p>
    <w:p w:rsidRPr="005D2ABF" w:rsidR="005D2ABF" w:rsidP="005D2ABF" w:rsidRDefault="005D2ABF" w14:paraId="596AB7DC" w14:textId="77777777">
      <w:pPr>
        <w:contextualSpacing/>
        <w:jc w:val="center"/>
        <w:rPr>
          <w:rFonts w:eastAsiaTheme="minorHAnsi" w:cstheme="minorBidi"/>
          <w:bCs/>
          <w:szCs w:val="22"/>
        </w:rPr>
      </w:pPr>
      <w:r w:rsidRPr="005D2ABF">
        <w:rPr>
          <w:rFonts w:eastAsiaTheme="minorHAnsi" w:cstheme="minorBidi"/>
          <w:bCs/>
          <w:szCs w:val="22"/>
        </w:rPr>
        <w:t>Phone: 404-639-1569</w:t>
      </w:r>
    </w:p>
    <w:p w:rsidR="005342FB" w:rsidP="005D2ABF" w:rsidRDefault="005D2ABF" w14:paraId="4758AA4D" w14:textId="6E1C5AD8">
      <w:pPr>
        <w:contextualSpacing/>
        <w:jc w:val="center"/>
      </w:pPr>
      <w:r w:rsidRPr="005D2ABF">
        <w:rPr>
          <w:rFonts w:eastAsiaTheme="minorHAnsi" w:cstheme="minorBidi"/>
          <w:bCs/>
          <w:szCs w:val="22"/>
        </w:rPr>
        <w:t>E-mail: uxd9@cdc.gov</w:t>
      </w:r>
    </w:p>
    <w:p w:rsidR="00CA5C33" w:rsidP="00CA5C33" w:rsidRDefault="00CA5C33" w14:paraId="47819E68" w14:textId="77777777">
      <w:pPr>
        <w:contextualSpacing/>
        <w:jc w:val="center"/>
      </w:pPr>
    </w:p>
    <w:p w:rsidR="00CA5C33" w:rsidP="00CA5C33" w:rsidRDefault="00CA5C33" w14:paraId="4918D0FA" w14:textId="77777777">
      <w:pPr>
        <w:contextualSpacing/>
        <w:jc w:val="center"/>
      </w:pPr>
    </w:p>
    <w:p w:rsidR="00CA5C33" w:rsidP="00CA5C33" w:rsidRDefault="00CA5C33" w14:paraId="1F06C50D" w14:textId="50D60E33">
      <w:pPr>
        <w:contextualSpacing/>
        <w:jc w:val="center"/>
        <w:rPr>
          <w:rFonts w:eastAsiaTheme="minorHAnsi" w:cstheme="minorBidi"/>
          <w:szCs w:val="22"/>
        </w:rPr>
      </w:pPr>
    </w:p>
    <w:p w:rsidR="005D2ABF" w:rsidP="00CA5C33" w:rsidRDefault="005D2ABF" w14:paraId="3EEB8C93" w14:textId="6D7CB945">
      <w:pPr>
        <w:contextualSpacing/>
        <w:jc w:val="center"/>
        <w:rPr>
          <w:rFonts w:eastAsiaTheme="minorHAnsi" w:cstheme="minorBidi"/>
          <w:szCs w:val="22"/>
        </w:rPr>
      </w:pPr>
    </w:p>
    <w:p w:rsidR="005D2ABF" w:rsidP="00CA5C33" w:rsidRDefault="005D2ABF" w14:paraId="64DC6C0C" w14:textId="77777777">
      <w:pPr>
        <w:contextualSpacing/>
        <w:jc w:val="center"/>
        <w:rPr>
          <w:rFonts w:eastAsiaTheme="minorHAnsi" w:cstheme="minorBidi"/>
          <w:szCs w:val="22"/>
        </w:rPr>
      </w:pPr>
    </w:p>
    <w:p w:rsidR="005342FB" w:rsidP="0057145B" w:rsidRDefault="005342FB" w14:paraId="2F8A30FA" w14:textId="77777777">
      <w:pPr>
        <w:pStyle w:val="NoSpacing"/>
        <w:pBdr>
          <w:bottom w:val="single" w:color="auto" w:sz="4" w:space="1"/>
        </w:pBdr>
        <w:spacing w:before="120" w:after="120"/>
        <w:rPr>
          <w:b/>
        </w:rPr>
      </w:pPr>
      <w:r w:rsidRPr="00D3747B">
        <w:rPr>
          <w:b/>
        </w:rPr>
        <w:lastRenderedPageBreak/>
        <w:t>TABLE OF CONTENTS</w:t>
      </w:r>
    </w:p>
    <w:p w:rsidRPr="00D3747B" w:rsidR="00D3747B" w:rsidP="0057145B" w:rsidRDefault="00D3747B" w14:paraId="6385BAF7" w14:textId="77777777">
      <w:pPr>
        <w:pStyle w:val="NoSpacing"/>
        <w:spacing w:before="120" w:after="120"/>
        <w:rPr>
          <w:b/>
        </w:rPr>
      </w:pPr>
    </w:p>
    <w:sdt>
      <w:sdtPr>
        <w:id w:val="1342736994"/>
        <w:docPartObj>
          <w:docPartGallery w:val="Table of Contents"/>
          <w:docPartUnique/>
        </w:docPartObj>
      </w:sdtPr>
      <w:sdtEndPr>
        <w:rPr>
          <w:b/>
          <w:bCs/>
          <w:noProof/>
        </w:rPr>
      </w:sdtEndPr>
      <w:sdtContent>
        <w:p w:rsidR="00AC3122" w:rsidRDefault="00D3747B" w14:paraId="4085CA25" w14:textId="48BF6E1B">
          <w:pPr>
            <w:pStyle w:val="TOC1"/>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23930948">
            <w:r w:rsidRPr="00AB78F6" w:rsidR="00AC3122">
              <w:rPr>
                <w:rStyle w:val="Hyperlink"/>
                <w:rFonts w:eastAsiaTheme="majorEastAsia"/>
                <w:noProof/>
              </w:rPr>
              <w:t>1.</w:t>
            </w:r>
            <w:r w:rsidR="00AC3122">
              <w:rPr>
                <w:rFonts w:asciiTheme="minorHAnsi" w:hAnsiTheme="minorHAnsi" w:eastAsiaTheme="minorEastAsia" w:cstheme="minorBidi"/>
                <w:noProof/>
                <w:sz w:val="22"/>
                <w:szCs w:val="22"/>
              </w:rPr>
              <w:tab/>
            </w:r>
            <w:r w:rsidRPr="00AB78F6" w:rsidR="00AC3122">
              <w:rPr>
                <w:rStyle w:val="Hyperlink"/>
                <w:rFonts w:eastAsiaTheme="majorEastAsia"/>
                <w:noProof/>
              </w:rPr>
              <w:t>Respondent Universe and Sampling Methods</w:t>
            </w:r>
            <w:r w:rsidR="00AC3122">
              <w:rPr>
                <w:noProof/>
                <w:webHidden/>
              </w:rPr>
              <w:tab/>
            </w:r>
            <w:r w:rsidR="00AC3122">
              <w:rPr>
                <w:noProof/>
                <w:webHidden/>
              </w:rPr>
              <w:fldChar w:fldCharType="begin"/>
            </w:r>
            <w:r w:rsidR="00AC3122">
              <w:rPr>
                <w:noProof/>
                <w:webHidden/>
              </w:rPr>
              <w:instrText xml:space="preserve"> PAGEREF _Toc23930948 \h </w:instrText>
            </w:r>
            <w:r w:rsidR="00AC3122">
              <w:rPr>
                <w:noProof/>
                <w:webHidden/>
              </w:rPr>
            </w:r>
            <w:r w:rsidR="00AC3122">
              <w:rPr>
                <w:noProof/>
                <w:webHidden/>
              </w:rPr>
              <w:fldChar w:fldCharType="separate"/>
            </w:r>
            <w:r w:rsidR="00AC3122">
              <w:rPr>
                <w:noProof/>
                <w:webHidden/>
              </w:rPr>
              <w:t>3</w:t>
            </w:r>
            <w:r w:rsidR="00AC3122">
              <w:rPr>
                <w:noProof/>
                <w:webHidden/>
              </w:rPr>
              <w:fldChar w:fldCharType="end"/>
            </w:r>
          </w:hyperlink>
        </w:p>
        <w:p w:rsidR="00AC3122" w:rsidRDefault="007F653D" w14:paraId="67A8CE2C" w14:textId="40108460">
          <w:pPr>
            <w:pStyle w:val="TOC1"/>
            <w:rPr>
              <w:rFonts w:asciiTheme="minorHAnsi" w:hAnsiTheme="minorHAnsi" w:eastAsiaTheme="minorEastAsia" w:cstheme="minorBidi"/>
              <w:noProof/>
              <w:sz w:val="22"/>
              <w:szCs w:val="22"/>
            </w:rPr>
          </w:pPr>
          <w:hyperlink w:history="1" w:anchor="_Toc23930949">
            <w:r w:rsidRPr="00AB78F6" w:rsidR="00AC3122">
              <w:rPr>
                <w:rStyle w:val="Hyperlink"/>
                <w:rFonts w:eastAsiaTheme="majorEastAsia"/>
                <w:noProof/>
              </w:rPr>
              <w:t>2.</w:t>
            </w:r>
            <w:r w:rsidR="00AC3122">
              <w:rPr>
                <w:rFonts w:asciiTheme="minorHAnsi" w:hAnsiTheme="minorHAnsi" w:eastAsiaTheme="minorEastAsia" w:cstheme="minorBidi"/>
                <w:noProof/>
                <w:sz w:val="22"/>
                <w:szCs w:val="22"/>
              </w:rPr>
              <w:tab/>
            </w:r>
            <w:r w:rsidRPr="00AB78F6" w:rsidR="00AC3122">
              <w:rPr>
                <w:rStyle w:val="Hyperlink"/>
                <w:rFonts w:eastAsiaTheme="majorEastAsia"/>
                <w:noProof/>
              </w:rPr>
              <w:t>Procedures for the Collection of Information</w:t>
            </w:r>
            <w:r w:rsidR="00AC3122">
              <w:rPr>
                <w:noProof/>
                <w:webHidden/>
              </w:rPr>
              <w:tab/>
            </w:r>
            <w:r w:rsidR="00AC3122">
              <w:rPr>
                <w:noProof/>
                <w:webHidden/>
              </w:rPr>
              <w:fldChar w:fldCharType="begin"/>
            </w:r>
            <w:r w:rsidR="00AC3122">
              <w:rPr>
                <w:noProof/>
                <w:webHidden/>
              </w:rPr>
              <w:instrText xml:space="preserve"> PAGEREF _Toc23930949 \h </w:instrText>
            </w:r>
            <w:r w:rsidR="00AC3122">
              <w:rPr>
                <w:noProof/>
                <w:webHidden/>
              </w:rPr>
            </w:r>
            <w:r w:rsidR="00AC3122">
              <w:rPr>
                <w:noProof/>
                <w:webHidden/>
              </w:rPr>
              <w:fldChar w:fldCharType="separate"/>
            </w:r>
            <w:r w:rsidR="00AC3122">
              <w:rPr>
                <w:noProof/>
                <w:webHidden/>
              </w:rPr>
              <w:t>3</w:t>
            </w:r>
            <w:r w:rsidR="00AC3122">
              <w:rPr>
                <w:noProof/>
                <w:webHidden/>
              </w:rPr>
              <w:fldChar w:fldCharType="end"/>
            </w:r>
          </w:hyperlink>
        </w:p>
        <w:p w:rsidR="00AC3122" w:rsidRDefault="007F653D" w14:paraId="51FA5AEE" w14:textId="16EC984C">
          <w:pPr>
            <w:pStyle w:val="TOC1"/>
            <w:rPr>
              <w:rFonts w:asciiTheme="minorHAnsi" w:hAnsiTheme="minorHAnsi" w:eastAsiaTheme="minorEastAsia" w:cstheme="minorBidi"/>
              <w:noProof/>
              <w:sz w:val="22"/>
              <w:szCs w:val="22"/>
            </w:rPr>
          </w:pPr>
          <w:hyperlink w:history="1" w:anchor="_Toc23930950">
            <w:r w:rsidRPr="00AB78F6" w:rsidR="00AC3122">
              <w:rPr>
                <w:rStyle w:val="Hyperlink"/>
                <w:rFonts w:eastAsiaTheme="majorEastAsia"/>
                <w:noProof/>
              </w:rPr>
              <w:t>3.</w:t>
            </w:r>
            <w:r w:rsidR="00AC3122">
              <w:rPr>
                <w:rFonts w:asciiTheme="minorHAnsi" w:hAnsiTheme="minorHAnsi" w:eastAsiaTheme="minorEastAsia" w:cstheme="minorBidi"/>
                <w:noProof/>
                <w:sz w:val="22"/>
                <w:szCs w:val="22"/>
              </w:rPr>
              <w:tab/>
            </w:r>
            <w:r w:rsidRPr="00AB78F6" w:rsidR="00AC3122">
              <w:rPr>
                <w:rStyle w:val="Hyperlink"/>
                <w:rFonts w:eastAsiaTheme="majorEastAsia"/>
                <w:noProof/>
              </w:rPr>
              <w:t>Methods to Maximize Response Rates and Deal with No Response</w:t>
            </w:r>
            <w:r w:rsidR="00AC3122">
              <w:rPr>
                <w:noProof/>
                <w:webHidden/>
              </w:rPr>
              <w:tab/>
            </w:r>
            <w:r w:rsidR="00AC3122">
              <w:rPr>
                <w:noProof/>
                <w:webHidden/>
              </w:rPr>
              <w:fldChar w:fldCharType="begin"/>
            </w:r>
            <w:r w:rsidR="00AC3122">
              <w:rPr>
                <w:noProof/>
                <w:webHidden/>
              </w:rPr>
              <w:instrText xml:space="preserve"> PAGEREF _Toc23930950 \h </w:instrText>
            </w:r>
            <w:r w:rsidR="00AC3122">
              <w:rPr>
                <w:noProof/>
                <w:webHidden/>
              </w:rPr>
            </w:r>
            <w:r w:rsidR="00AC3122">
              <w:rPr>
                <w:noProof/>
                <w:webHidden/>
              </w:rPr>
              <w:fldChar w:fldCharType="separate"/>
            </w:r>
            <w:r w:rsidR="00AC3122">
              <w:rPr>
                <w:noProof/>
                <w:webHidden/>
              </w:rPr>
              <w:t>4</w:t>
            </w:r>
            <w:r w:rsidR="00AC3122">
              <w:rPr>
                <w:noProof/>
                <w:webHidden/>
              </w:rPr>
              <w:fldChar w:fldCharType="end"/>
            </w:r>
          </w:hyperlink>
        </w:p>
        <w:p w:rsidR="00AC3122" w:rsidRDefault="007F653D" w14:paraId="0C7F3A59" w14:textId="6F8BA634">
          <w:pPr>
            <w:pStyle w:val="TOC1"/>
            <w:rPr>
              <w:rFonts w:asciiTheme="minorHAnsi" w:hAnsiTheme="minorHAnsi" w:eastAsiaTheme="minorEastAsia" w:cstheme="minorBidi"/>
              <w:noProof/>
              <w:sz w:val="22"/>
              <w:szCs w:val="22"/>
            </w:rPr>
          </w:pPr>
          <w:hyperlink w:history="1" w:anchor="_Toc23930951">
            <w:r w:rsidRPr="00AB78F6" w:rsidR="00AC3122">
              <w:rPr>
                <w:rStyle w:val="Hyperlink"/>
                <w:rFonts w:eastAsiaTheme="majorEastAsia"/>
                <w:noProof/>
              </w:rPr>
              <w:t>4.</w:t>
            </w:r>
            <w:r w:rsidR="00AC3122">
              <w:rPr>
                <w:rFonts w:asciiTheme="minorHAnsi" w:hAnsiTheme="minorHAnsi" w:eastAsiaTheme="minorEastAsia" w:cstheme="minorBidi"/>
                <w:noProof/>
                <w:sz w:val="22"/>
                <w:szCs w:val="22"/>
              </w:rPr>
              <w:tab/>
            </w:r>
            <w:r w:rsidRPr="00AB78F6" w:rsidR="00AC3122">
              <w:rPr>
                <w:rStyle w:val="Hyperlink"/>
                <w:rFonts w:eastAsiaTheme="majorEastAsia"/>
                <w:noProof/>
              </w:rPr>
              <w:t>Tests of Procedures or Methods to be Undertaken</w:t>
            </w:r>
            <w:r w:rsidR="00AC3122">
              <w:rPr>
                <w:noProof/>
                <w:webHidden/>
              </w:rPr>
              <w:tab/>
            </w:r>
            <w:r w:rsidR="00AC3122">
              <w:rPr>
                <w:noProof/>
                <w:webHidden/>
              </w:rPr>
              <w:fldChar w:fldCharType="begin"/>
            </w:r>
            <w:r w:rsidR="00AC3122">
              <w:rPr>
                <w:noProof/>
                <w:webHidden/>
              </w:rPr>
              <w:instrText xml:space="preserve"> PAGEREF _Toc23930951 \h </w:instrText>
            </w:r>
            <w:r w:rsidR="00AC3122">
              <w:rPr>
                <w:noProof/>
                <w:webHidden/>
              </w:rPr>
            </w:r>
            <w:r w:rsidR="00AC3122">
              <w:rPr>
                <w:noProof/>
                <w:webHidden/>
              </w:rPr>
              <w:fldChar w:fldCharType="separate"/>
            </w:r>
            <w:r w:rsidR="00AC3122">
              <w:rPr>
                <w:noProof/>
                <w:webHidden/>
              </w:rPr>
              <w:t>4</w:t>
            </w:r>
            <w:r w:rsidR="00AC3122">
              <w:rPr>
                <w:noProof/>
                <w:webHidden/>
              </w:rPr>
              <w:fldChar w:fldCharType="end"/>
            </w:r>
          </w:hyperlink>
        </w:p>
        <w:p w:rsidR="00AC3122" w:rsidRDefault="007F653D" w14:paraId="07EE32AA" w14:textId="7D407CFE">
          <w:pPr>
            <w:pStyle w:val="TOC1"/>
            <w:rPr>
              <w:rFonts w:asciiTheme="minorHAnsi" w:hAnsiTheme="minorHAnsi" w:eastAsiaTheme="minorEastAsia" w:cstheme="minorBidi"/>
              <w:noProof/>
              <w:sz w:val="22"/>
              <w:szCs w:val="22"/>
            </w:rPr>
          </w:pPr>
          <w:hyperlink w:history="1" w:anchor="_Toc23930952">
            <w:r w:rsidRPr="00AB78F6" w:rsidR="00AC3122">
              <w:rPr>
                <w:rStyle w:val="Hyperlink"/>
                <w:rFonts w:eastAsiaTheme="majorEastAsia"/>
                <w:noProof/>
              </w:rPr>
              <w:t>5.</w:t>
            </w:r>
            <w:r w:rsidR="00AC3122">
              <w:rPr>
                <w:rFonts w:asciiTheme="minorHAnsi" w:hAnsiTheme="minorHAnsi" w:eastAsiaTheme="minorEastAsia" w:cstheme="minorBidi"/>
                <w:noProof/>
                <w:sz w:val="22"/>
                <w:szCs w:val="22"/>
              </w:rPr>
              <w:tab/>
            </w:r>
            <w:r w:rsidRPr="00AB78F6" w:rsidR="00AC3122">
              <w:rPr>
                <w:rStyle w:val="Hyperlink"/>
                <w:rFonts w:eastAsiaTheme="majorEastAsia"/>
                <w:noProof/>
              </w:rPr>
              <w:t>Individuals Consulted on Statistical Aspects and Individuals Collecting and/or Analyzing Data</w:t>
            </w:r>
            <w:r w:rsidR="00AC3122">
              <w:rPr>
                <w:noProof/>
                <w:webHidden/>
              </w:rPr>
              <w:tab/>
            </w:r>
            <w:r w:rsidR="00AC3122">
              <w:rPr>
                <w:noProof/>
                <w:webHidden/>
              </w:rPr>
              <w:fldChar w:fldCharType="begin"/>
            </w:r>
            <w:r w:rsidR="00AC3122">
              <w:rPr>
                <w:noProof/>
                <w:webHidden/>
              </w:rPr>
              <w:instrText xml:space="preserve"> PAGEREF _Toc23930952 \h </w:instrText>
            </w:r>
            <w:r w:rsidR="00AC3122">
              <w:rPr>
                <w:noProof/>
                <w:webHidden/>
              </w:rPr>
            </w:r>
            <w:r w:rsidR="00AC3122">
              <w:rPr>
                <w:noProof/>
                <w:webHidden/>
              </w:rPr>
              <w:fldChar w:fldCharType="separate"/>
            </w:r>
            <w:r w:rsidR="00AC3122">
              <w:rPr>
                <w:noProof/>
                <w:webHidden/>
              </w:rPr>
              <w:t>4</w:t>
            </w:r>
            <w:r w:rsidR="00AC3122">
              <w:rPr>
                <w:noProof/>
                <w:webHidden/>
              </w:rPr>
              <w:fldChar w:fldCharType="end"/>
            </w:r>
          </w:hyperlink>
        </w:p>
        <w:p w:rsidR="00D3747B" w:rsidP="0057145B" w:rsidRDefault="00D3747B" w14:paraId="4A103417" w14:textId="5EAD7C48">
          <w:pPr>
            <w:spacing w:before="120" w:after="120"/>
          </w:pPr>
          <w:r>
            <w:rPr>
              <w:b/>
              <w:bCs/>
              <w:noProof/>
            </w:rPr>
            <w:fldChar w:fldCharType="end"/>
          </w:r>
        </w:p>
      </w:sdtContent>
    </w:sdt>
    <w:p w:rsidR="005342FB" w:rsidP="0057145B" w:rsidRDefault="005342FB" w14:paraId="6AAB2447" w14:textId="77777777">
      <w:pPr>
        <w:pStyle w:val="NoSpacing"/>
        <w:spacing w:before="120" w:after="120"/>
      </w:pPr>
    </w:p>
    <w:p w:rsidR="005342FB" w:rsidP="0057145B" w:rsidRDefault="00D3747B" w14:paraId="429BB466" w14:textId="77777777">
      <w:pPr>
        <w:pStyle w:val="NoSpacing"/>
        <w:pBdr>
          <w:bottom w:val="single" w:color="auto" w:sz="4" w:space="1"/>
        </w:pBdr>
        <w:spacing w:before="120" w:after="120"/>
        <w:rPr>
          <w:b/>
        </w:rPr>
      </w:pPr>
      <w:r w:rsidRPr="00D3747B">
        <w:rPr>
          <w:b/>
        </w:rPr>
        <w:t>EXHIBITS</w:t>
      </w:r>
    </w:p>
    <w:p w:rsidRPr="00D3747B" w:rsidR="00FF1B1C" w:rsidP="0057145B" w:rsidRDefault="00FF1B1C" w14:paraId="6A648984" w14:textId="77777777">
      <w:pPr>
        <w:pStyle w:val="NoSpacing"/>
        <w:spacing w:before="120" w:after="120"/>
        <w:rPr>
          <w:b/>
        </w:rPr>
      </w:pPr>
    </w:p>
    <w:p w:rsidR="00AC3122" w:rsidRDefault="007F29CE" w14:paraId="54C97653" w14:textId="4DE09D9D">
      <w:pPr>
        <w:pStyle w:val="TableofFigures"/>
        <w:tabs>
          <w:tab w:val="right" w:leader="dot" w:pos="9350"/>
        </w:tabs>
        <w:rPr>
          <w:rFonts w:asciiTheme="minorHAnsi" w:hAnsiTheme="minorHAnsi" w:eastAsiaTheme="minorEastAsia" w:cstheme="minorBidi"/>
          <w:noProof/>
          <w:sz w:val="22"/>
          <w:szCs w:val="22"/>
        </w:rPr>
      </w:pPr>
      <w:r>
        <w:fldChar w:fldCharType="begin"/>
      </w:r>
      <w:r>
        <w:instrText xml:space="preserve"> TOC \h \z \c "Exhibit" </w:instrText>
      </w:r>
      <w:r>
        <w:fldChar w:fldCharType="separate"/>
      </w:r>
      <w:hyperlink w:history="1" w:anchor="_Toc23930959">
        <w:r w:rsidRPr="00402990" w:rsidR="00AC3122">
          <w:rPr>
            <w:rStyle w:val="Hyperlink"/>
            <w:noProof/>
          </w:rPr>
          <w:t>Exhibit 5.1: Statistical Consultants</w:t>
        </w:r>
        <w:r w:rsidR="00AC3122">
          <w:rPr>
            <w:noProof/>
            <w:webHidden/>
          </w:rPr>
          <w:tab/>
        </w:r>
        <w:r w:rsidR="00AC3122">
          <w:rPr>
            <w:noProof/>
            <w:webHidden/>
          </w:rPr>
          <w:fldChar w:fldCharType="begin"/>
        </w:r>
        <w:r w:rsidR="00AC3122">
          <w:rPr>
            <w:noProof/>
            <w:webHidden/>
          </w:rPr>
          <w:instrText xml:space="preserve"> PAGEREF _Toc23930959 \h </w:instrText>
        </w:r>
        <w:r w:rsidR="00AC3122">
          <w:rPr>
            <w:noProof/>
            <w:webHidden/>
          </w:rPr>
        </w:r>
        <w:r w:rsidR="00AC3122">
          <w:rPr>
            <w:noProof/>
            <w:webHidden/>
          </w:rPr>
          <w:fldChar w:fldCharType="separate"/>
        </w:r>
        <w:r w:rsidR="00AC3122">
          <w:rPr>
            <w:noProof/>
            <w:webHidden/>
          </w:rPr>
          <w:t>4</w:t>
        </w:r>
        <w:r w:rsidR="00AC3122">
          <w:rPr>
            <w:noProof/>
            <w:webHidden/>
          </w:rPr>
          <w:fldChar w:fldCharType="end"/>
        </w:r>
      </w:hyperlink>
    </w:p>
    <w:p w:rsidR="00FF1B1C" w:rsidP="0057145B" w:rsidRDefault="007F29CE" w14:paraId="47D501D9" w14:textId="4BB408FC">
      <w:pPr>
        <w:pStyle w:val="NoSpacing"/>
        <w:spacing w:before="120" w:after="120"/>
        <w:rPr>
          <w:b/>
        </w:rPr>
      </w:pPr>
      <w:r>
        <w:fldChar w:fldCharType="end"/>
      </w:r>
      <w:r w:rsidRPr="00D3747B">
        <w:rPr>
          <w:b/>
        </w:rPr>
        <w:t xml:space="preserve"> </w:t>
      </w:r>
    </w:p>
    <w:p w:rsidRPr="00E451A4" w:rsidR="005342FB" w:rsidP="0057145B" w:rsidRDefault="005342FB" w14:paraId="51B4BD2B" w14:textId="77777777">
      <w:pPr>
        <w:pStyle w:val="NoSpacing"/>
        <w:tabs>
          <w:tab w:val="left" w:pos="360"/>
        </w:tabs>
        <w:spacing w:before="120" w:after="120"/>
      </w:pPr>
      <w:r w:rsidRPr="00D3747B">
        <w:rPr>
          <w:b/>
        </w:rPr>
        <w:br w:type="page"/>
      </w:r>
    </w:p>
    <w:p w:rsidRPr="00450811" w:rsidR="00490D2F" w:rsidP="00450811" w:rsidRDefault="005342FB" w14:paraId="12ECE8B9" w14:textId="5B2FBB0A">
      <w:pPr>
        <w:pStyle w:val="Heading1"/>
        <w:spacing w:before="120" w:after="120"/>
      </w:pPr>
      <w:bookmarkStart w:name="_Toc23930948" w:id="0"/>
      <w:r>
        <w:lastRenderedPageBreak/>
        <w:t>Respondent Universe and Sampling Methods</w:t>
      </w:r>
      <w:bookmarkEnd w:id="0"/>
    </w:p>
    <w:p w:rsidR="00465BBD" w:rsidP="0057145B" w:rsidRDefault="0057145B" w14:paraId="25A8B356" w14:textId="77777777">
      <w:pPr>
        <w:spacing w:before="120" w:after="120"/>
      </w:pPr>
      <w:r>
        <w:rPr>
          <w:b/>
        </w:rPr>
        <w:t>Target P</w:t>
      </w:r>
      <w:r w:rsidR="00DD7025">
        <w:rPr>
          <w:b/>
        </w:rPr>
        <w:t>opulation</w:t>
      </w:r>
    </w:p>
    <w:p w:rsidR="00962B0D" w:rsidP="00513EBB" w:rsidRDefault="00962B0D" w14:paraId="4AB87520" w14:textId="60846D99">
      <w:pPr>
        <w:pStyle w:val="NoSpacing"/>
        <w:spacing w:before="120" w:after="120"/>
        <w:mirrorIndents/>
        <w:rPr>
          <w:rFonts w:eastAsia="Times New Roman" w:cs="Arial"/>
          <w:szCs w:val="24"/>
        </w:rPr>
      </w:pPr>
      <w:r w:rsidRPr="00962B0D">
        <w:rPr>
          <w:rFonts w:eastAsia="Times New Roman" w:cs="Arial"/>
          <w:szCs w:val="24"/>
        </w:rPr>
        <w:t>Th</w:t>
      </w:r>
      <w:r>
        <w:rPr>
          <w:rFonts w:eastAsia="Times New Roman" w:cs="Arial"/>
          <w:szCs w:val="24"/>
        </w:rPr>
        <w:t>e purpose of this study is to</w:t>
      </w:r>
      <w:r w:rsidRPr="00962B0D">
        <w:rPr>
          <w:rFonts w:eastAsia="Times New Roman" w:cs="Arial"/>
          <w:szCs w:val="24"/>
        </w:rPr>
        <w:t xml:space="preserve"> assess current capacity and provision of nPEP, PrEP, and TasP among C</w:t>
      </w:r>
      <w:r w:rsidR="00AC3122">
        <w:rPr>
          <w:rFonts w:eastAsia="Times New Roman" w:cs="Arial"/>
          <w:szCs w:val="24"/>
        </w:rPr>
        <w:t>ommunity-</w:t>
      </w:r>
      <w:r w:rsidRPr="00962B0D">
        <w:rPr>
          <w:rFonts w:eastAsia="Times New Roman" w:cs="Arial"/>
          <w:szCs w:val="24"/>
        </w:rPr>
        <w:t>B</w:t>
      </w:r>
      <w:r w:rsidR="00AC3122">
        <w:rPr>
          <w:rFonts w:eastAsia="Times New Roman" w:cs="Arial"/>
          <w:szCs w:val="24"/>
        </w:rPr>
        <w:t xml:space="preserve">ased </w:t>
      </w:r>
      <w:r w:rsidRPr="00962B0D">
        <w:rPr>
          <w:rFonts w:eastAsia="Times New Roman" w:cs="Arial"/>
          <w:szCs w:val="24"/>
        </w:rPr>
        <w:t>O</w:t>
      </w:r>
      <w:r w:rsidR="00AC3122">
        <w:rPr>
          <w:rFonts w:eastAsia="Times New Roman" w:cs="Arial"/>
          <w:szCs w:val="24"/>
        </w:rPr>
        <w:t>rganization</w:t>
      </w:r>
      <w:r w:rsidRPr="00962B0D">
        <w:rPr>
          <w:rFonts w:eastAsia="Times New Roman" w:cs="Arial"/>
          <w:szCs w:val="24"/>
        </w:rPr>
        <w:t>s</w:t>
      </w:r>
      <w:r w:rsidR="00AC3122">
        <w:rPr>
          <w:rFonts w:eastAsia="Times New Roman" w:cs="Arial"/>
          <w:szCs w:val="24"/>
        </w:rPr>
        <w:t xml:space="preserve"> (CBOs)</w:t>
      </w:r>
      <w:r w:rsidRPr="00962B0D">
        <w:rPr>
          <w:rFonts w:eastAsia="Times New Roman" w:cs="Arial"/>
          <w:szCs w:val="24"/>
        </w:rPr>
        <w:t xml:space="preserve"> providing HIV services to populations with increased risk for HIV acquisition. In addition, the results of this survey will be compared to the results of </w:t>
      </w:r>
      <w:r>
        <w:rPr>
          <w:rFonts w:eastAsia="Times New Roman" w:cs="Arial"/>
          <w:szCs w:val="24"/>
        </w:rPr>
        <w:t>a</w:t>
      </w:r>
      <w:r w:rsidRPr="00962B0D">
        <w:rPr>
          <w:rFonts w:eastAsia="Times New Roman" w:cs="Arial"/>
          <w:szCs w:val="24"/>
        </w:rPr>
        <w:t xml:space="preserve"> 2015 survey to assess differences in awareness, capacity, and provision of biomedical HIV prevention interventions. </w:t>
      </w:r>
    </w:p>
    <w:p w:rsidR="008A04E1" w:rsidP="00513EBB" w:rsidRDefault="00962B0D" w14:paraId="741D2E55" w14:textId="76BCF964">
      <w:pPr>
        <w:pStyle w:val="NoSpacing"/>
        <w:spacing w:before="120" w:after="120"/>
        <w:mirrorIndents/>
        <w:rPr>
          <w:rFonts w:cs="Times New Roman"/>
        </w:rPr>
      </w:pPr>
      <w:r w:rsidRPr="00962B0D">
        <w:t>Respondents will include executive level staff members or direct client service providers who will complete the survey on behalf of organizations engaged in HIV prevention and outreach. Up to 330 respondents (N=330; 175 funded CBOs and 155 unfunded CBOs) will be recruited to complete the survey.</w:t>
      </w:r>
    </w:p>
    <w:p w:rsidRPr="00513EBB" w:rsidR="00513EBB" w:rsidP="00513EBB" w:rsidRDefault="00513EBB" w14:paraId="2E48E566" w14:textId="77777777">
      <w:pPr>
        <w:pStyle w:val="NoSpacing"/>
        <w:spacing w:before="120" w:after="120"/>
        <w:mirrorIndents/>
      </w:pPr>
    </w:p>
    <w:p w:rsidRPr="00513EBB" w:rsidR="00513EBB" w:rsidP="00513EBB" w:rsidRDefault="00D207FC" w14:paraId="2AE7AD0F" w14:textId="2604E29C">
      <w:pPr>
        <w:spacing w:before="120" w:after="120"/>
        <w:rPr>
          <w:i/>
        </w:rPr>
      </w:pPr>
      <w:r w:rsidRPr="007643F2">
        <w:rPr>
          <w:i/>
        </w:rPr>
        <w:t>Inclusion criteria:</w:t>
      </w:r>
    </w:p>
    <w:p w:rsidRPr="00962B0D" w:rsidR="00962B0D" w:rsidP="00962B0D" w:rsidRDefault="00962B0D" w14:paraId="6501120E" w14:textId="77777777">
      <w:pPr>
        <w:pStyle w:val="ListParagraph"/>
        <w:ind w:right="158"/>
        <w:rPr>
          <w:rFonts w:eastAsia="Calibri"/>
        </w:rPr>
      </w:pPr>
      <w:r w:rsidRPr="00962B0D">
        <w:rPr>
          <w:rFonts w:eastAsia="Calibri"/>
        </w:rPr>
        <w:t>Two sampling strata will be created:</w:t>
      </w:r>
    </w:p>
    <w:p w:rsidR="00962B0D" w:rsidP="00962B0D" w:rsidRDefault="00962B0D" w14:paraId="4A9E6023" w14:textId="77777777">
      <w:pPr>
        <w:pStyle w:val="ListParagraph"/>
        <w:ind w:right="158"/>
        <w:rPr>
          <w:rFonts w:eastAsia="Calibri"/>
        </w:rPr>
      </w:pPr>
    </w:p>
    <w:p w:rsidRPr="00962B0D" w:rsidR="00962B0D" w:rsidP="00962B0D" w:rsidRDefault="00962B0D" w14:paraId="751E816B" w14:textId="7B536D8B">
      <w:pPr>
        <w:pStyle w:val="ListParagraph"/>
        <w:ind w:right="158"/>
        <w:rPr>
          <w:rFonts w:eastAsia="Calibri"/>
        </w:rPr>
      </w:pPr>
      <w:r w:rsidRPr="00962B0D">
        <w:rPr>
          <w:rFonts w:eastAsia="Calibri"/>
        </w:rPr>
        <w:t xml:space="preserve">A.  Clinical and non-clinical CBOs directly funded by CDC </w:t>
      </w:r>
    </w:p>
    <w:p w:rsidR="00962B0D" w:rsidP="00962B0D" w:rsidRDefault="00962B0D" w14:paraId="42FFB6F3" w14:textId="77777777">
      <w:pPr>
        <w:pStyle w:val="ListParagraph"/>
        <w:ind w:right="158"/>
        <w:contextualSpacing w:val="0"/>
        <w:rPr>
          <w:rFonts w:eastAsia="Calibri"/>
        </w:rPr>
      </w:pPr>
    </w:p>
    <w:p w:rsidRPr="00513EBB" w:rsidR="00513EBB" w:rsidP="00962B0D" w:rsidRDefault="00962B0D" w14:paraId="00BFC976" w14:textId="38DAF542">
      <w:pPr>
        <w:pStyle w:val="ListParagraph"/>
        <w:ind w:right="158"/>
        <w:contextualSpacing w:val="0"/>
        <w:rPr>
          <w:rFonts w:eastAsia="Calibri"/>
        </w:rPr>
      </w:pPr>
      <w:r w:rsidRPr="00962B0D">
        <w:rPr>
          <w:rFonts w:eastAsia="Calibri"/>
        </w:rPr>
        <w:t>B.  Unfunded CBO applications for CDC funding</w:t>
      </w:r>
    </w:p>
    <w:p w:rsidR="00073E48" w:rsidP="0057145B" w:rsidRDefault="00073E48" w14:paraId="32F78295" w14:textId="77777777">
      <w:pPr>
        <w:spacing w:before="120" w:after="120"/>
      </w:pPr>
    </w:p>
    <w:p w:rsidR="00073E48" w:rsidP="00073E48" w:rsidRDefault="00D914CA" w14:paraId="5C596DE3" w14:textId="15F102C2">
      <w:r>
        <w:t>Potential respondents will be contacted from a list of CBOs that completed the 2015 survey</w:t>
      </w:r>
      <w:r w:rsidRPr="00513EBB" w:rsidR="00A22655">
        <w:t>.</w:t>
      </w:r>
      <w:r>
        <w:t xml:space="preserve"> In addition, CBOs that have received</w:t>
      </w:r>
      <w:r w:rsidR="006E2BAD">
        <w:t xml:space="preserve"> DHAP</w:t>
      </w:r>
      <w:r>
        <w:t xml:space="preserve"> funding </w:t>
      </w:r>
      <w:r w:rsidR="006E2BAD">
        <w:t>through</w:t>
      </w:r>
      <w:r>
        <w:t xml:space="preserve"> PS</w:t>
      </w:r>
      <w:r w:rsidR="006E2BAD">
        <w:t>15</w:t>
      </w:r>
      <w:r>
        <w:t>-</w:t>
      </w:r>
      <w:r w:rsidR="006E2BAD">
        <w:t xml:space="preserve">1502 </w:t>
      </w:r>
      <w:r>
        <w:t>and PS</w:t>
      </w:r>
      <w:r w:rsidR="006E2BAD">
        <w:t>17-170</w:t>
      </w:r>
      <w:r w:rsidR="00450811">
        <w:t>4</w:t>
      </w:r>
      <w:r>
        <w:t xml:space="preserve"> will also be contacted to determine their interest in </w:t>
      </w:r>
      <w:r w:rsidR="00450811">
        <w:t>participating in the data collection effort</w:t>
      </w:r>
      <w:r>
        <w:t xml:space="preserve"> and to</w:t>
      </w:r>
      <w:r w:rsidR="00450811">
        <w:t xml:space="preserve"> nominate </w:t>
      </w:r>
      <w:r>
        <w:t>a staff member to complete the survey.</w:t>
      </w:r>
    </w:p>
    <w:p w:rsidRPr="00E65754" w:rsidR="00937383" w:rsidP="0057145B" w:rsidRDefault="00937383" w14:paraId="6DD97C8C" w14:textId="77777777">
      <w:pPr>
        <w:pStyle w:val="Normal1"/>
        <w:spacing w:before="120" w:after="120"/>
        <w:rPr>
          <w:highlight w:val="yellow"/>
        </w:rPr>
      </w:pPr>
    </w:p>
    <w:p w:rsidR="00846787" w:rsidP="00846787" w:rsidRDefault="005342FB" w14:paraId="4B8BF3F4" w14:textId="77777777">
      <w:pPr>
        <w:pStyle w:val="Heading1"/>
        <w:spacing w:before="120" w:after="120"/>
      </w:pPr>
      <w:bookmarkStart w:name="_Toc23930949" w:id="1"/>
      <w:r>
        <w:t>Procedures for the Collection of Information</w:t>
      </w:r>
      <w:bookmarkEnd w:id="1"/>
    </w:p>
    <w:p w:rsidR="006C304C" w:rsidP="00AC3122" w:rsidRDefault="006C304C" w14:paraId="3323A325" w14:textId="635CEADF">
      <w:pPr>
        <w:autoSpaceDE w:val="0"/>
        <w:autoSpaceDN w:val="0"/>
        <w:adjustRightInd w:val="0"/>
        <w:spacing w:before="120" w:after="120"/>
      </w:pPr>
      <w:r>
        <w:t>T</w:t>
      </w:r>
      <w:r w:rsidRPr="006C304C">
        <w:t>his project will employ a cross-sectional survey design. Executive level staff members of all CBOs within each of the two strata (mentioned above) will receive phone calls, using publicly available information</w:t>
      </w:r>
      <w:r>
        <w:t xml:space="preserve">, </w:t>
      </w:r>
      <w:r w:rsidRPr="006C304C">
        <w:t>to elicit interest in participating in the survey</w:t>
      </w:r>
      <w:r w:rsidR="00BD7FFD">
        <w:t xml:space="preserve">. </w:t>
      </w:r>
      <w:r w:rsidRPr="00B80640" w:rsidR="00B80640">
        <w:t>If the executive level staff member is not interested or is unable to complete the survey, he or she may nominate a direct client service provider and provide this person’s email address to study staff</w:t>
      </w:r>
      <w:r w:rsidRPr="006C304C">
        <w:t xml:space="preserve">. Potential respondents will be contacted from a list of CBOs that completed the 2015 survey. In addition, </w:t>
      </w:r>
      <w:r w:rsidR="00530D6B">
        <w:t>potential respondents</w:t>
      </w:r>
      <w:r w:rsidRPr="006C304C">
        <w:t xml:space="preserve"> from CBOs that received DHAP funding through PS15-1502 and PS17-1704 will also be contacted to determine their interest in participating in the data collection effort. Each organization’s representative will be sent an email with a link to the survey website (created with Survey Monkey). One link will be used for CBOs directly funded by CDC</w:t>
      </w:r>
      <w:r w:rsidR="00BD7FFD">
        <w:t>.</w:t>
      </w:r>
      <w:r w:rsidRPr="006C304C">
        <w:t xml:space="preserve"> </w:t>
      </w:r>
      <w:r w:rsidR="00BD7FFD">
        <w:t>A</w:t>
      </w:r>
      <w:r w:rsidRPr="006C304C">
        <w:t xml:space="preserve"> separate link will be used for unfunded CBOs. The email will instruct the recipient on how to complete the survey. </w:t>
      </w:r>
    </w:p>
    <w:p w:rsidRPr="00AB002F" w:rsidR="00AC3122" w:rsidP="00AC3122" w:rsidRDefault="00AC3122" w14:paraId="337763F3" w14:textId="65EF9492">
      <w:pPr>
        <w:autoSpaceDE w:val="0"/>
        <w:autoSpaceDN w:val="0"/>
        <w:adjustRightInd w:val="0"/>
        <w:spacing w:before="120" w:after="120"/>
        <w:rPr>
          <w:b/>
          <w:bCs/>
        </w:rPr>
      </w:pPr>
      <w:r w:rsidRPr="00450811">
        <w:rPr>
          <w:rFonts w:eastAsia="Calibri"/>
        </w:rPr>
        <w:t xml:space="preserve">Where possible, data from the 2015 survey will be combined with data from the 2020 survey. Analyses will include completeness (non-response rates per item) as well as frequency of item responses for awareness, intentions, and provision of PrEP, nPEP, and TasP will be assessed for all respondents combined. Frequency and differences in item responses will be analyzed for </w:t>
      </w:r>
      <w:r w:rsidRPr="00450811">
        <w:rPr>
          <w:rFonts w:eastAsia="Calibri"/>
        </w:rPr>
        <w:lastRenderedPageBreak/>
        <w:t>relationship to CBO characteristics (e.g., clinic CBOs vs non-clinical). Frequency and differences in item responses will be analyzed across survey years. We will perform multivariable analysis as needed (to assess interactions between time and type of CBO).</w:t>
      </w:r>
    </w:p>
    <w:p w:rsidR="005342FB" w:rsidP="0057145B" w:rsidRDefault="005342FB" w14:paraId="7E64254C" w14:textId="77777777">
      <w:pPr>
        <w:pStyle w:val="Heading1"/>
        <w:spacing w:before="120" w:after="120"/>
      </w:pPr>
      <w:bookmarkStart w:name="_Toc23930950" w:id="2"/>
      <w:r>
        <w:t>Methods to Maximize Response Rates and Deal with No Response</w:t>
      </w:r>
      <w:bookmarkEnd w:id="2"/>
    </w:p>
    <w:p w:rsidR="00AC3122" w:rsidP="00AC3122" w:rsidRDefault="006C304C" w14:paraId="40CCDF6E" w14:textId="53BFC12B">
      <w:pPr>
        <w:pStyle w:val="Heading1"/>
        <w:numPr>
          <w:ilvl w:val="0"/>
          <w:numId w:val="0"/>
        </w:numPr>
        <w:spacing w:before="120" w:after="120"/>
        <w:ind w:left="432"/>
        <w:rPr>
          <w:rFonts w:eastAsia="Times New Roman" w:cs="Times New Roman"/>
          <w:b w:val="0"/>
          <w:bCs/>
          <w:szCs w:val="24"/>
        </w:rPr>
      </w:pPr>
      <w:r w:rsidRPr="006C304C">
        <w:rPr>
          <w:rFonts w:eastAsia="Times New Roman" w:cs="Times New Roman"/>
          <w:b w:val="0"/>
          <w:bCs/>
          <w:szCs w:val="24"/>
        </w:rPr>
        <w:t>Three email reminders will be sent to organizations for those that do not complete the survey.  Email reminders will be sent two weeks, one month, and two months after the initial email if the potential respondent does not compete the survey.</w:t>
      </w:r>
    </w:p>
    <w:p w:rsidRPr="006C304C" w:rsidR="006C304C" w:rsidP="006C304C" w:rsidRDefault="006C304C" w14:paraId="7E62812F" w14:textId="77777777"/>
    <w:p w:rsidR="005342FB" w:rsidP="0057145B" w:rsidRDefault="005342FB" w14:paraId="12A92AD2" w14:textId="413C4917">
      <w:pPr>
        <w:pStyle w:val="Heading1"/>
        <w:spacing w:before="120" w:after="120"/>
      </w:pPr>
      <w:bookmarkStart w:name="_Toc23930951" w:id="3"/>
      <w:r w:rsidRPr="00AB002F">
        <w:t>Tests of Procedures</w:t>
      </w:r>
      <w:r>
        <w:t xml:space="preserve"> or Methods to be Undertaken</w:t>
      </w:r>
      <w:bookmarkEnd w:id="3"/>
    </w:p>
    <w:p w:rsidR="004F75AD" w:rsidP="0057145B" w:rsidRDefault="00D02074" w14:paraId="7EDC873D" w14:textId="25E90C65">
      <w:pPr>
        <w:autoSpaceDE w:val="0"/>
        <w:autoSpaceDN w:val="0"/>
        <w:adjustRightInd w:val="0"/>
        <w:spacing w:before="120" w:after="120"/>
      </w:pPr>
      <w:r w:rsidRPr="00D02074">
        <w:t>A</w:t>
      </w:r>
      <w:bookmarkStart w:name="_GoBack" w:id="4"/>
      <w:bookmarkEnd w:id="4"/>
      <w:r w:rsidRPr="00D02074">
        <w:t xml:space="preserve"> </w:t>
      </w:r>
      <w:r w:rsidR="00315792">
        <w:t>study</w:t>
      </w:r>
      <w:r w:rsidRPr="00D02074">
        <w:t xml:space="preserve"> team composed of CDC </w:t>
      </w:r>
      <w:r w:rsidR="00962B0D">
        <w:t>DHAP</w:t>
      </w:r>
      <w:r w:rsidRPr="00D02074">
        <w:t xml:space="preserve"> staff will lead the </w:t>
      </w:r>
      <w:r w:rsidR="00315792">
        <w:t>study</w:t>
      </w:r>
      <w:r w:rsidRPr="00D02074">
        <w:t xml:space="preserve"> design, data collection, analysis, and dissemination of </w:t>
      </w:r>
      <w:r w:rsidR="00450811">
        <w:t>survey results</w:t>
      </w:r>
      <w:r>
        <w:t xml:space="preserve">. </w:t>
      </w:r>
      <w:r w:rsidR="00141DB4">
        <w:t>The</w:t>
      </w:r>
      <w:r w:rsidRPr="00141DB4" w:rsidR="004F75AD">
        <w:t xml:space="preserve"> </w:t>
      </w:r>
      <w:r w:rsidRPr="00141DB4" w:rsidR="00C24CB1">
        <w:t xml:space="preserve">research </w:t>
      </w:r>
      <w:r w:rsidRPr="00141DB4" w:rsidR="004F75AD">
        <w:t xml:space="preserve">team includes experts with </w:t>
      </w:r>
      <w:r w:rsidRPr="00141DB4" w:rsidR="00C24CB1">
        <w:t xml:space="preserve">experience conducting </w:t>
      </w:r>
      <w:r w:rsidR="00450811">
        <w:t>health services and epidemiologic</w:t>
      </w:r>
      <w:r>
        <w:t xml:space="preserve"> </w:t>
      </w:r>
      <w:r w:rsidRPr="00141DB4" w:rsidR="00C24CB1">
        <w:t>research</w:t>
      </w:r>
      <w:r w:rsidR="00450811">
        <w:t xml:space="preserve"> related to the provision of PrEP</w:t>
      </w:r>
      <w:r w:rsidRPr="00141DB4" w:rsidR="00C24CB1">
        <w:t xml:space="preserve"> </w:t>
      </w:r>
      <w:r>
        <w:t xml:space="preserve">and evaluation </w:t>
      </w:r>
      <w:r w:rsidRPr="00141DB4" w:rsidR="00C24CB1">
        <w:t>with</w:t>
      </w:r>
      <w:r w:rsidRPr="00141DB4" w:rsidR="004F75AD">
        <w:t xml:space="preserve"> </w:t>
      </w:r>
      <w:r w:rsidR="00450811">
        <w:t>community-based organization</w:t>
      </w:r>
      <w:r w:rsidR="001613A5">
        <w:t>s</w:t>
      </w:r>
      <w:r w:rsidRPr="00141DB4" w:rsidR="004F75AD">
        <w:t xml:space="preserve">, including </w:t>
      </w:r>
      <w:r w:rsidR="00450811">
        <w:t>survey research designs</w:t>
      </w:r>
      <w:r w:rsidRPr="00141DB4" w:rsidR="004F75AD">
        <w:t>.</w:t>
      </w:r>
      <w:r w:rsidR="00450811">
        <w:t xml:space="preserve"> </w:t>
      </w:r>
      <w:r w:rsidRPr="00141DB4" w:rsidR="004F75AD">
        <w:t xml:space="preserve"> </w:t>
      </w:r>
      <w:r w:rsidRPr="00D02074">
        <w:t xml:space="preserve">Follow-up communication with </w:t>
      </w:r>
      <w:r w:rsidR="00AC3122">
        <w:t>community-based organization</w:t>
      </w:r>
      <w:r w:rsidR="001613A5">
        <w:t>s</w:t>
      </w:r>
      <w:r w:rsidR="00AC3122">
        <w:t xml:space="preserve"> </w:t>
      </w:r>
      <w:r w:rsidRPr="00D02074">
        <w:t xml:space="preserve">will occur following agency clearance approvals via telephone to assess interest and gather additional information to identify staff to participate. </w:t>
      </w:r>
    </w:p>
    <w:p w:rsidR="0057145B" w:rsidP="0057145B" w:rsidRDefault="0057145B" w14:paraId="6D3D1DE7" w14:textId="77777777">
      <w:pPr>
        <w:autoSpaceDE w:val="0"/>
        <w:autoSpaceDN w:val="0"/>
        <w:adjustRightInd w:val="0"/>
        <w:spacing w:before="120" w:after="120"/>
      </w:pPr>
    </w:p>
    <w:p w:rsidR="005342FB" w:rsidP="0057145B" w:rsidRDefault="005342FB" w14:paraId="5CB112BD" w14:textId="77777777">
      <w:pPr>
        <w:pStyle w:val="Heading1"/>
        <w:spacing w:before="120" w:after="120"/>
      </w:pPr>
      <w:bookmarkStart w:name="_Toc23930952" w:id="5"/>
      <w:r>
        <w:t>Individuals Consulted on Statistical Aspects and Individuals Collecting and/or Analyzing Data</w:t>
      </w:r>
      <w:bookmarkEnd w:id="5"/>
    </w:p>
    <w:p w:rsidR="005342FB" w:rsidP="0057145B" w:rsidRDefault="008A18E1" w14:paraId="1028C530" w14:textId="74822E6F">
      <w:pPr>
        <w:spacing w:before="120" w:after="120"/>
      </w:pPr>
      <w:r w:rsidRPr="00712100">
        <w:t xml:space="preserve">Exhibit </w:t>
      </w:r>
      <w:r w:rsidRPr="00712100" w:rsidR="00FF1B1C">
        <w:t>5.1</w:t>
      </w:r>
      <w:r w:rsidRPr="00712100">
        <w:t xml:space="preserve"> below lists the project team </w:t>
      </w:r>
      <w:r w:rsidRPr="00D02074">
        <w:t xml:space="preserve">members who were consulted on the aspects of </w:t>
      </w:r>
      <w:r w:rsidRPr="00D02074" w:rsidR="00D02074">
        <w:t xml:space="preserve">the evaluation </w:t>
      </w:r>
      <w:r w:rsidRPr="00D02074">
        <w:t xml:space="preserve">design and those who will be collecting and analyzing the data. The CDC staff are primarily responsible for the design and implementation of the </w:t>
      </w:r>
      <w:r w:rsidRPr="00D02074" w:rsidR="00D02074">
        <w:t xml:space="preserve">evaluation, </w:t>
      </w:r>
      <w:r w:rsidRPr="00D02074">
        <w:t xml:space="preserve">the development of the protocol and data collection instruments for CDC </w:t>
      </w:r>
      <w:r w:rsidRPr="00D02074" w:rsidR="00712100">
        <w:t>review</w:t>
      </w:r>
      <w:r w:rsidRPr="00D02074" w:rsidR="00D02074">
        <w:t xml:space="preserve">, collecting </w:t>
      </w:r>
      <w:r w:rsidRPr="00D02074">
        <w:t xml:space="preserve">and analyzing data and presenting findings at meetings and in publications. </w:t>
      </w:r>
      <w:r w:rsidRPr="00712100" w:rsidR="00C24CB1">
        <w:t xml:space="preserve">All members of the </w:t>
      </w:r>
      <w:r w:rsidR="00D02074">
        <w:t>D</w:t>
      </w:r>
      <w:r w:rsidR="00AC3122">
        <w:t>HAP</w:t>
      </w:r>
      <w:r w:rsidR="00D02074">
        <w:t xml:space="preserve"> </w:t>
      </w:r>
      <w:r w:rsidRPr="00712100" w:rsidR="00C24CB1">
        <w:t>team will work together to analyze the data and generate reports containing summaries of the findings.</w:t>
      </w:r>
    </w:p>
    <w:p w:rsidR="008A18E1" w:rsidP="0057145B" w:rsidRDefault="007F29CE" w14:paraId="072184D4" w14:textId="0602AC57">
      <w:pPr>
        <w:pStyle w:val="Caption"/>
        <w:spacing w:before="120" w:after="120"/>
      </w:pPr>
      <w:bookmarkStart w:name="_Toc23930959" w:id="6"/>
      <w:r>
        <w:t xml:space="preserve">Exhibit </w:t>
      </w:r>
      <w:r w:rsidR="008A6C1D">
        <w:rPr>
          <w:noProof/>
        </w:rPr>
        <w:fldChar w:fldCharType="begin"/>
      </w:r>
      <w:r w:rsidR="008A6C1D">
        <w:rPr>
          <w:noProof/>
        </w:rPr>
        <w:instrText xml:space="preserve"> STYLEREF 1 \s </w:instrText>
      </w:r>
      <w:r w:rsidR="008A6C1D">
        <w:rPr>
          <w:noProof/>
        </w:rPr>
        <w:fldChar w:fldCharType="separate"/>
      </w:r>
      <w:r w:rsidR="00455029">
        <w:rPr>
          <w:noProof/>
        </w:rPr>
        <w:t>5</w:t>
      </w:r>
      <w:r w:rsidR="008A6C1D">
        <w:rPr>
          <w:noProof/>
        </w:rPr>
        <w:fldChar w:fldCharType="end"/>
      </w:r>
      <w:r>
        <w:t>.</w:t>
      </w:r>
      <w:r w:rsidR="008A6C1D">
        <w:rPr>
          <w:noProof/>
        </w:rPr>
        <w:fldChar w:fldCharType="begin"/>
      </w:r>
      <w:r w:rsidR="008A6C1D">
        <w:rPr>
          <w:noProof/>
        </w:rPr>
        <w:instrText xml:space="preserve"> SEQ Exhibit \* ARABIC \s 1 </w:instrText>
      </w:r>
      <w:r w:rsidR="008A6C1D">
        <w:rPr>
          <w:noProof/>
        </w:rPr>
        <w:fldChar w:fldCharType="separate"/>
      </w:r>
      <w:r w:rsidR="00455029">
        <w:rPr>
          <w:noProof/>
        </w:rPr>
        <w:t>1</w:t>
      </w:r>
      <w:r w:rsidR="008A6C1D">
        <w:rPr>
          <w:noProof/>
        </w:rPr>
        <w:fldChar w:fldCharType="end"/>
      </w:r>
      <w:r>
        <w:t>: Statistical Consultants</w:t>
      </w:r>
      <w:bookmarkEnd w:id="6"/>
      <w:r w:rsidR="007A5AD0">
        <w:t xml:space="preserve"> and Individuals Collecting Data</w:t>
      </w:r>
    </w:p>
    <w:tbl>
      <w:tblPr>
        <w:tblStyle w:val="TableGrid"/>
        <w:tblW w:w="0" w:type="auto"/>
        <w:tblLook w:val="04A0" w:firstRow="1" w:lastRow="0" w:firstColumn="1" w:lastColumn="0" w:noHBand="0" w:noVBand="1"/>
      </w:tblPr>
      <w:tblGrid>
        <w:gridCol w:w="2335"/>
        <w:gridCol w:w="2430"/>
      </w:tblGrid>
      <w:tr w:rsidRPr="00073E48" w:rsidR="00D02074" w:rsidTr="00D02074" w14:paraId="6077F904" w14:textId="77777777">
        <w:tc>
          <w:tcPr>
            <w:tcW w:w="2335" w:type="dxa"/>
            <w:shd w:val="clear" w:color="auto" w:fill="F2F2F2" w:themeFill="background1" w:themeFillShade="F2"/>
          </w:tcPr>
          <w:p w:rsidRPr="00073E48" w:rsidR="00D02074" w:rsidP="0057145B" w:rsidRDefault="00D02074" w14:paraId="2BF169F2" w14:textId="77777777">
            <w:pPr>
              <w:rPr>
                <w:b/>
                <w:sz w:val="20"/>
                <w:szCs w:val="20"/>
              </w:rPr>
            </w:pPr>
            <w:r w:rsidRPr="00073E48">
              <w:rPr>
                <w:b/>
                <w:sz w:val="20"/>
                <w:szCs w:val="20"/>
              </w:rPr>
              <w:t>Team Member</w:t>
            </w:r>
          </w:p>
        </w:tc>
        <w:tc>
          <w:tcPr>
            <w:tcW w:w="2430" w:type="dxa"/>
            <w:shd w:val="clear" w:color="auto" w:fill="F2F2F2" w:themeFill="background1" w:themeFillShade="F2"/>
          </w:tcPr>
          <w:p w:rsidRPr="00073E48" w:rsidR="00D02074" w:rsidP="0057145B" w:rsidRDefault="00D02074" w14:paraId="677A33D7" w14:textId="77777777">
            <w:pPr>
              <w:rPr>
                <w:b/>
                <w:sz w:val="20"/>
                <w:szCs w:val="20"/>
              </w:rPr>
            </w:pPr>
            <w:r w:rsidRPr="00073E48">
              <w:rPr>
                <w:b/>
                <w:sz w:val="20"/>
                <w:szCs w:val="20"/>
              </w:rPr>
              <w:t>Organization</w:t>
            </w:r>
          </w:p>
        </w:tc>
      </w:tr>
      <w:tr w:rsidRPr="00073E48" w:rsidR="00D02074" w:rsidTr="00D02074" w14:paraId="3C6A5FED" w14:textId="77777777">
        <w:tc>
          <w:tcPr>
            <w:tcW w:w="2335" w:type="dxa"/>
          </w:tcPr>
          <w:p w:rsidRPr="00073E48" w:rsidR="00D02074" w:rsidP="0057145B" w:rsidRDefault="00450811" w14:paraId="75990AD5" w14:textId="2F623C53">
            <w:pPr>
              <w:rPr>
                <w:sz w:val="20"/>
                <w:szCs w:val="20"/>
              </w:rPr>
            </w:pPr>
            <w:r>
              <w:rPr>
                <w:sz w:val="20"/>
                <w:szCs w:val="20"/>
              </w:rPr>
              <w:t>Jamal T</w:t>
            </w:r>
            <w:r w:rsidR="00D02074">
              <w:rPr>
                <w:sz w:val="20"/>
                <w:szCs w:val="20"/>
              </w:rPr>
              <w:t xml:space="preserve">. </w:t>
            </w:r>
            <w:r>
              <w:rPr>
                <w:sz w:val="20"/>
                <w:szCs w:val="20"/>
              </w:rPr>
              <w:t>Jones</w:t>
            </w:r>
          </w:p>
        </w:tc>
        <w:tc>
          <w:tcPr>
            <w:tcW w:w="2430" w:type="dxa"/>
          </w:tcPr>
          <w:p w:rsidRPr="00073E48" w:rsidR="00D02074" w:rsidP="0057145B" w:rsidRDefault="00D02074" w14:paraId="0B417B4D" w14:textId="21B8B1FC">
            <w:pPr>
              <w:rPr>
                <w:sz w:val="20"/>
                <w:szCs w:val="20"/>
              </w:rPr>
            </w:pPr>
            <w:r w:rsidRPr="00073E48">
              <w:rPr>
                <w:sz w:val="20"/>
                <w:szCs w:val="20"/>
              </w:rPr>
              <w:t>CDC</w:t>
            </w:r>
            <w:r>
              <w:rPr>
                <w:sz w:val="20"/>
                <w:szCs w:val="20"/>
              </w:rPr>
              <w:t>/D</w:t>
            </w:r>
            <w:r w:rsidR="00450811">
              <w:rPr>
                <w:sz w:val="20"/>
                <w:szCs w:val="20"/>
              </w:rPr>
              <w:t>HAP</w:t>
            </w:r>
          </w:p>
        </w:tc>
      </w:tr>
      <w:tr w:rsidRPr="00073E48" w:rsidR="00D02074" w:rsidTr="00D02074" w14:paraId="1C9072A4" w14:textId="77777777">
        <w:tc>
          <w:tcPr>
            <w:tcW w:w="2335" w:type="dxa"/>
          </w:tcPr>
          <w:p w:rsidRPr="00073E48" w:rsidR="00D02074" w:rsidP="0057145B" w:rsidRDefault="00450811" w14:paraId="57EEE283" w14:textId="5D1ED85D">
            <w:pPr>
              <w:rPr>
                <w:sz w:val="20"/>
                <w:szCs w:val="20"/>
              </w:rPr>
            </w:pPr>
            <w:r>
              <w:rPr>
                <w:sz w:val="20"/>
                <w:szCs w:val="20"/>
              </w:rPr>
              <w:t>Karen</w:t>
            </w:r>
            <w:r w:rsidR="003A7938">
              <w:rPr>
                <w:sz w:val="20"/>
                <w:szCs w:val="20"/>
              </w:rPr>
              <w:t xml:space="preserve"> W.</w:t>
            </w:r>
            <w:r>
              <w:rPr>
                <w:sz w:val="20"/>
                <w:szCs w:val="20"/>
              </w:rPr>
              <w:t xml:space="preserve"> Hoover</w:t>
            </w:r>
          </w:p>
        </w:tc>
        <w:tc>
          <w:tcPr>
            <w:tcW w:w="2430" w:type="dxa"/>
          </w:tcPr>
          <w:p w:rsidRPr="00073E48" w:rsidR="00D02074" w:rsidP="0057145B" w:rsidRDefault="00D02074" w14:paraId="02749D27" w14:textId="0B95E5D3">
            <w:pPr>
              <w:rPr>
                <w:sz w:val="20"/>
                <w:szCs w:val="20"/>
              </w:rPr>
            </w:pPr>
            <w:r w:rsidRPr="00073E48">
              <w:rPr>
                <w:sz w:val="20"/>
                <w:szCs w:val="20"/>
              </w:rPr>
              <w:t>CDC</w:t>
            </w:r>
            <w:r>
              <w:rPr>
                <w:sz w:val="20"/>
                <w:szCs w:val="20"/>
              </w:rPr>
              <w:t>/D</w:t>
            </w:r>
            <w:r w:rsidR="00450811">
              <w:rPr>
                <w:sz w:val="20"/>
                <w:szCs w:val="20"/>
              </w:rPr>
              <w:t>HAP</w:t>
            </w:r>
          </w:p>
        </w:tc>
      </w:tr>
      <w:tr w:rsidRPr="00073E48" w:rsidR="00D02074" w:rsidTr="00D02074" w14:paraId="7034E2CF" w14:textId="77777777">
        <w:tc>
          <w:tcPr>
            <w:tcW w:w="2335" w:type="dxa"/>
          </w:tcPr>
          <w:p w:rsidRPr="00073E48" w:rsidR="00D02074" w:rsidP="00D02074" w:rsidRDefault="00450811" w14:paraId="1F66365D" w14:textId="0682073B">
            <w:pPr>
              <w:rPr>
                <w:sz w:val="20"/>
                <w:szCs w:val="20"/>
              </w:rPr>
            </w:pPr>
            <w:r>
              <w:rPr>
                <w:sz w:val="20"/>
                <w:szCs w:val="20"/>
              </w:rPr>
              <w:t>Dawn</w:t>
            </w:r>
            <w:r w:rsidR="003A7938">
              <w:rPr>
                <w:sz w:val="20"/>
                <w:szCs w:val="20"/>
              </w:rPr>
              <w:t xml:space="preserve"> K.</w:t>
            </w:r>
            <w:r>
              <w:rPr>
                <w:sz w:val="20"/>
                <w:szCs w:val="20"/>
              </w:rPr>
              <w:t xml:space="preserve"> Smith</w:t>
            </w:r>
          </w:p>
        </w:tc>
        <w:tc>
          <w:tcPr>
            <w:tcW w:w="2430" w:type="dxa"/>
          </w:tcPr>
          <w:p w:rsidRPr="00073E48" w:rsidR="00D02074" w:rsidP="00D02074" w:rsidRDefault="00D02074" w14:paraId="2F403EA4" w14:textId="3BB58166">
            <w:pPr>
              <w:rPr>
                <w:sz w:val="20"/>
                <w:szCs w:val="20"/>
              </w:rPr>
            </w:pPr>
            <w:r w:rsidRPr="00434FB7">
              <w:rPr>
                <w:sz w:val="20"/>
                <w:szCs w:val="20"/>
              </w:rPr>
              <w:t>CDC/</w:t>
            </w:r>
            <w:r w:rsidR="00450811">
              <w:rPr>
                <w:sz w:val="20"/>
                <w:szCs w:val="20"/>
              </w:rPr>
              <w:t>DHAP</w:t>
            </w:r>
          </w:p>
        </w:tc>
      </w:tr>
      <w:tr w:rsidRPr="00073E48" w:rsidR="007A5AD0" w:rsidTr="00D02074" w14:paraId="00EB985F" w14:textId="77777777">
        <w:tc>
          <w:tcPr>
            <w:tcW w:w="2335" w:type="dxa"/>
          </w:tcPr>
          <w:p w:rsidR="007A5AD0" w:rsidP="00D02074" w:rsidRDefault="007A5AD0" w14:paraId="141E24EB" w14:textId="17AEC2E7">
            <w:pPr>
              <w:rPr>
                <w:sz w:val="20"/>
                <w:szCs w:val="20"/>
              </w:rPr>
            </w:pPr>
            <w:r>
              <w:rPr>
                <w:sz w:val="20"/>
                <w:szCs w:val="20"/>
              </w:rPr>
              <w:t>Susan P. Danner</w:t>
            </w:r>
          </w:p>
        </w:tc>
        <w:tc>
          <w:tcPr>
            <w:tcW w:w="2430" w:type="dxa"/>
          </w:tcPr>
          <w:p w:rsidRPr="00434FB7" w:rsidR="007A5AD0" w:rsidP="00D02074" w:rsidRDefault="007A5AD0" w14:paraId="637B013E" w14:textId="5E84CAD4">
            <w:pPr>
              <w:rPr>
                <w:sz w:val="20"/>
                <w:szCs w:val="20"/>
              </w:rPr>
            </w:pPr>
            <w:r>
              <w:rPr>
                <w:sz w:val="20"/>
                <w:szCs w:val="20"/>
              </w:rPr>
              <w:t>CDC/DHAP</w:t>
            </w:r>
          </w:p>
        </w:tc>
      </w:tr>
    </w:tbl>
    <w:p w:rsidRPr="00942B9C" w:rsidR="00302D00" w:rsidP="00A25777" w:rsidRDefault="0072096D" w14:paraId="5624A524" w14:textId="2D0EBE8A">
      <w:pPr>
        <w:pStyle w:val="EndNoteBibliography"/>
        <w:spacing w:before="120" w:after="120"/>
        <w:ind w:left="720" w:hanging="720"/>
      </w:pPr>
      <w:r>
        <w:tab/>
      </w:r>
      <w:r w:rsidR="00A25777">
        <w:t xml:space="preserve"> </w:t>
      </w:r>
    </w:p>
    <w:p w:rsidR="00A25777" w:rsidP="00007829" w:rsidRDefault="00A25777" w14:paraId="3C62E740" w14:textId="4AACEC6B">
      <w:pPr>
        <w:pStyle w:val="EndNoteBibliography"/>
        <w:spacing w:before="120" w:after="120"/>
        <w:ind w:left="720" w:hanging="720"/>
      </w:pPr>
    </w:p>
    <w:p w:rsidR="00A25777" w:rsidP="00007829" w:rsidRDefault="00A25777" w14:paraId="424D5076" w14:textId="77777777">
      <w:pPr>
        <w:pStyle w:val="EndNoteBibliography"/>
        <w:spacing w:before="120" w:after="120"/>
        <w:ind w:left="720" w:hanging="720"/>
      </w:pPr>
    </w:p>
    <w:p w:rsidR="00A25777" w:rsidP="00007829" w:rsidRDefault="00A25777" w14:paraId="63BDACB3" w14:textId="77777777">
      <w:pPr>
        <w:pStyle w:val="EndNoteBibliography"/>
        <w:spacing w:before="120" w:after="120"/>
        <w:ind w:left="720" w:hanging="720"/>
      </w:pPr>
    </w:p>
    <w:p w:rsidR="00302D00" w:rsidP="00007829" w:rsidRDefault="00302D00" w14:paraId="1A5238B1" w14:textId="0A9A2223">
      <w:pPr>
        <w:pStyle w:val="EndNoteBibliography"/>
        <w:spacing w:before="120" w:after="120"/>
        <w:ind w:left="720" w:hanging="720"/>
      </w:pPr>
    </w:p>
    <w:sectPr w:rsidR="00302D00" w:rsidSect="00776859">
      <w:footerReference w:type="default" r:id="rId8"/>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91DE5" w14:textId="77777777" w:rsidR="00315792" w:rsidRDefault="00315792" w:rsidP="008B5D54">
      <w:r>
        <w:separator/>
      </w:r>
    </w:p>
  </w:endnote>
  <w:endnote w:type="continuationSeparator" w:id="0">
    <w:p w14:paraId="3C847B61" w14:textId="77777777" w:rsidR="00315792" w:rsidRDefault="00315792"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164076"/>
      <w:docPartObj>
        <w:docPartGallery w:val="Page Numbers (Bottom of Page)"/>
        <w:docPartUnique/>
      </w:docPartObj>
    </w:sdtPr>
    <w:sdtEndPr>
      <w:rPr>
        <w:noProof/>
      </w:rPr>
    </w:sdtEndPr>
    <w:sdtContent>
      <w:p w14:paraId="7EDD85FC" w14:textId="4E56FD2B" w:rsidR="00315792" w:rsidRDefault="0031579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36A1CD8" w14:textId="77777777" w:rsidR="00315792" w:rsidRDefault="0031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04026" w14:textId="77777777" w:rsidR="00315792" w:rsidRDefault="00315792" w:rsidP="008B5D54">
      <w:r>
        <w:separator/>
      </w:r>
    </w:p>
  </w:footnote>
  <w:footnote w:type="continuationSeparator" w:id="0">
    <w:p w14:paraId="00D2A1C0" w14:textId="77777777" w:rsidR="00315792" w:rsidRDefault="00315792"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65D"/>
    <w:multiLevelType w:val="hybridMultilevel"/>
    <w:tmpl w:val="EDA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549DE"/>
    <w:multiLevelType w:val="hybridMultilevel"/>
    <w:tmpl w:val="F2CC025C"/>
    <w:lvl w:ilvl="0" w:tplc="2C481A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DA1BB3"/>
    <w:multiLevelType w:val="hybridMultilevel"/>
    <w:tmpl w:val="A35444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1D045A6"/>
    <w:multiLevelType w:val="hybridMultilevel"/>
    <w:tmpl w:val="4FF8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67AD2"/>
    <w:multiLevelType w:val="hybridMultilevel"/>
    <w:tmpl w:val="4870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4317B"/>
    <w:multiLevelType w:val="hybridMultilevel"/>
    <w:tmpl w:val="842E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83067"/>
    <w:multiLevelType w:val="hybridMultilevel"/>
    <w:tmpl w:val="28A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64139"/>
    <w:multiLevelType w:val="hybridMultilevel"/>
    <w:tmpl w:val="298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B12C7"/>
    <w:multiLevelType w:val="multilevel"/>
    <w:tmpl w:val="93B4C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3"/>
  </w:num>
  <w:num w:numId="3">
    <w:abstractNumId w:val="8"/>
  </w:num>
  <w:num w:numId="4">
    <w:abstractNumId w:val="7"/>
  </w:num>
  <w:num w:numId="5">
    <w:abstractNumId w:val="9"/>
  </w:num>
  <w:num w:numId="6">
    <w:abstractNumId w:val="1"/>
  </w:num>
  <w:num w:numId="7">
    <w:abstractNumId w:val="0"/>
  </w:num>
  <w:num w:numId="8">
    <w:abstractNumId w:val="3"/>
  </w:num>
  <w:num w:numId="9">
    <w:abstractNumId w:val="5"/>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mer J Prev Medicin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e2rpadwfdf21ezrr3vdad6zpzrrvzwdv09&quot;&gt;iQual Citations&lt;record-ids&gt;&lt;item&gt;1&lt;/item&gt;&lt;/record-ids&gt;&lt;/item&gt;&lt;/Libraries&gt;"/>
  </w:docVars>
  <w:rsids>
    <w:rsidRoot w:val="005342FB"/>
    <w:rsid w:val="00002C5F"/>
    <w:rsid w:val="00007829"/>
    <w:rsid w:val="00013F21"/>
    <w:rsid w:val="00015EF5"/>
    <w:rsid w:val="000366A9"/>
    <w:rsid w:val="00045245"/>
    <w:rsid w:val="000609EC"/>
    <w:rsid w:val="00062F18"/>
    <w:rsid w:val="00072466"/>
    <w:rsid w:val="00073E48"/>
    <w:rsid w:val="000916F0"/>
    <w:rsid w:val="000B4057"/>
    <w:rsid w:val="000C1542"/>
    <w:rsid w:val="000D03CA"/>
    <w:rsid w:val="000E44D4"/>
    <w:rsid w:val="00103914"/>
    <w:rsid w:val="00104443"/>
    <w:rsid w:val="00124844"/>
    <w:rsid w:val="00134942"/>
    <w:rsid w:val="001371C7"/>
    <w:rsid w:val="00141DB4"/>
    <w:rsid w:val="0014326C"/>
    <w:rsid w:val="00144C9D"/>
    <w:rsid w:val="0015788E"/>
    <w:rsid w:val="001613A5"/>
    <w:rsid w:val="0016459B"/>
    <w:rsid w:val="001809A3"/>
    <w:rsid w:val="00187F1C"/>
    <w:rsid w:val="00190CE1"/>
    <w:rsid w:val="001A6B03"/>
    <w:rsid w:val="001C3299"/>
    <w:rsid w:val="001F37A1"/>
    <w:rsid w:val="00246F1C"/>
    <w:rsid w:val="00267890"/>
    <w:rsid w:val="00267AA8"/>
    <w:rsid w:val="00277210"/>
    <w:rsid w:val="00296D84"/>
    <w:rsid w:val="002C0062"/>
    <w:rsid w:val="002F27E6"/>
    <w:rsid w:val="002F42D4"/>
    <w:rsid w:val="00302D00"/>
    <w:rsid w:val="00304668"/>
    <w:rsid w:val="00311E64"/>
    <w:rsid w:val="0031423B"/>
    <w:rsid w:val="00315792"/>
    <w:rsid w:val="0032129A"/>
    <w:rsid w:val="00325C9D"/>
    <w:rsid w:val="0032730F"/>
    <w:rsid w:val="003561AC"/>
    <w:rsid w:val="0035710F"/>
    <w:rsid w:val="00360D45"/>
    <w:rsid w:val="003908E6"/>
    <w:rsid w:val="003978FC"/>
    <w:rsid w:val="0039799B"/>
    <w:rsid w:val="003A2A70"/>
    <w:rsid w:val="003A2F22"/>
    <w:rsid w:val="003A7938"/>
    <w:rsid w:val="003D3BBE"/>
    <w:rsid w:val="003D4F04"/>
    <w:rsid w:val="003D5CAB"/>
    <w:rsid w:val="003E0B03"/>
    <w:rsid w:val="003F06B2"/>
    <w:rsid w:val="003F35DB"/>
    <w:rsid w:val="00402291"/>
    <w:rsid w:val="0042065E"/>
    <w:rsid w:val="00421540"/>
    <w:rsid w:val="00450811"/>
    <w:rsid w:val="00453F8E"/>
    <w:rsid w:val="00455029"/>
    <w:rsid w:val="00465BBD"/>
    <w:rsid w:val="00471A8D"/>
    <w:rsid w:val="00480A43"/>
    <w:rsid w:val="00490D2F"/>
    <w:rsid w:val="00494459"/>
    <w:rsid w:val="004A7CB0"/>
    <w:rsid w:val="004C36D1"/>
    <w:rsid w:val="004D7453"/>
    <w:rsid w:val="004E489F"/>
    <w:rsid w:val="004F3BC3"/>
    <w:rsid w:val="004F3FD5"/>
    <w:rsid w:val="004F75AD"/>
    <w:rsid w:val="005002CE"/>
    <w:rsid w:val="00513EBB"/>
    <w:rsid w:val="0051707B"/>
    <w:rsid w:val="00522512"/>
    <w:rsid w:val="00527188"/>
    <w:rsid w:val="00530D6B"/>
    <w:rsid w:val="005339B7"/>
    <w:rsid w:val="005342FB"/>
    <w:rsid w:val="0053739F"/>
    <w:rsid w:val="00541A6E"/>
    <w:rsid w:val="00554673"/>
    <w:rsid w:val="0055675E"/>
    <w:rsid w:val="00566CC6"/>
    <w:rsid w:val="0057145B"/>
    <w:rsid w:val="00575167"/>
    <w:rsid w:val="00581B33"/>
    <w:rsid w:val="00597105"/>
    <w:rsid w:val="005A3A8D"/>
    <w:rsid w:val="005A6CB0"/>
    <w:rsid w:val="005C1657"/>
    <w:rsid w:val="005C226C"/>
    <w:rsid w:val="005C7D3F"/>
    <w:rsid w:val="005D0F7C"/>
    <w:rsid w:val="005D2ABF"/>
    <w:rsid w:val="005E2E30"/>
    <w:rsid w:val="005F079D"/>
    <w:rsid w:val="006009F0"/>
    <w:rsid w:val="00606E0F"/>
    <w:rsid w:val="00607C89"/>
    <w:rsid w:val="00615AD1"/>
    <w:rsid w:val="00644E20"/>
    <w:rsid w:val="006512A8"/>
    <w:rsid w:val="00670D29"/>
    <w:rsid w:val="00671880"/>
    <w:rsid w:val="0067665A"/>
    <w:rsid w:val="00686860"/>
    <w:rsid w:val="006868AB"/>
    <w:rsid w:val="006B0155"/>
    <w:rsid w:val="006C304C"/>
    <w:rsid w:val="006C6578"/>
    <w:rsid w:val="006D5AE8"/>
    <w:rsid w:val="006D7A8C"/>
    <w:rsid w:val="006E2BAD"/>
    <w:rsid w:val="006E3721"/>
    <w:rsid w:val="006F6C4E"/>
    <w:rsid w:val="0070250C"/>
    <w:rsid w:val="00712100"/>
    <w:rsid w:val="0072096D"/>
    <w:rsid w:val="00720E62"/>
    <w:rsid w:val="00762367"/>
    <w:rsid w:val="007643F2"/>
    <w:rsid w:val="00776859"/>
    <w:rsid w:val="00786952"/>
    <w:rsid w:val="00792029"/>
    <w:rsid w:val="007A56E0"/>
    <w:rsid w:val="007A5AD0"/>
    <w:rsid w:val="007B4308"/>
    <w:rsid w:val="007B485A"/>
    <w:rsid w:val="007B5497"/>
    <w:rsid w:val="007C3075"/>
    <w:rsid w:val="007C43A0"/>
    <w:rsid w:val="007D4C9E"/>
    <w:rsid w:val="007E0DC4"/>
    <w:rsid w:val="007F29CE"/>
    <w:rsid w:val="007F5034"/>
    <w:rsid w:val="007F653D"/>
    <w:rsid w:val="007F7A34"/>
    <w:rsid w:val="00815162"/>
    <w:rsid w:val="008238F6"/>
    <w:rsid w:val="008253CC"/>
    <w:rsid w:val="00831DC9"/>
    <w:rsid w:val="00834D90"/>
    <w:rsid w:val="00846787"/>
    <w:rsid w:val="00851A91"/>
    <w:rsid w:val="00851B91"/>
    <w:rsid w:val="008561AC"/>
    <w:rsid w:val="00892BA9"/>
    <w:rsid w:val="008A04E1"/>
    <w:rsid w:val="008A18E1"/>
    <w:rsid w:val="008A423B"/>
    <w:rsid w:val="008A6C1D"/>
    <w:rsid w:val="008B22CA"/>
    <w:rsid w:val="008B2F17"/>
    <w:rsid w:val="008B5D54"/>
    <w:rsid w:val="008D34B2"/>
    <w:rsid w:val="008D61A7"/>
    <w:rsid w:val="008F519C"/>
    <w:rsid w:val="008F57CA"/>
    <w:rsid w:val="00907990"/>
    <w:rsid w:val="0091459E"/>
    <w:rsid w:val="00922698"/>
    <w:rsid w:val="00923019"/>
    <w:rsid w:val="0092340F"/>
    <w:rsid w:val="0092419F"/>
    <w:rsid w:val="00937383"/>
    <w:rsid w:val="00945206"/>
    <w:rsid w:val="009467D2"/>
    <w:rsid w:val="0095730B"/>
    <w:rsid w:val="00957AB6"/>
    <w:rsid w:val="00962B0D"/>
    <w:rsid w:val="009A0B10"/>
    <w:rsid w:val="009C1652"/>
    <w:rsid w:val="00A22655"/>
    <w:rsid w:val="00A25777"/>
    <w:rsid w:val="00A347F2"/>
    <w:rsid w:val="00A920ED"/>
    <w:rsid w:val="00AA739C"/>
    <w:rsid w:val="00AB002F"/>
    <w:rsid w:val="00AB04FA"/>
    <w:rsid w:val="00AB6846"/>
    <w:rsid w:val="00AC1ACA"/>
    <w:rsid w:val="00AC3122"/>
    <w:rsid w:val="00AC47D6"/>
    <w:rsid w:val="00AF3865"/>
    <w:rsid w:val="00AF3A32"/>
    <w:rsid w:val="00B02E5D"/>
    <w:rsid w:val="00B177B4"/>
    <w:rsid w:val="00B27474"/>
    <w:rsid w:val="00B471BB"/>
    <w:rsid w:val="00B55735"/>
    <w:rsid w:val="00B608AC"/>
    <w:rsid w:val="00B80640"/>
    <w:rsid w:val="00B873AA"/>
    <w:rsid w:val="00B91D6D"/>
    <w:rsid w:val="00B96201"/>
    <w:rsid w:val="00B97486"/>
    <w:rsid w:val="00BA1CA4"/>
    <w:rsid w:val="00BA26E1"/>
    <w:rsid w:val="00BC11C9"/>
    <w:rsid w:val="00BD7FFD"/>
    <w:rsid w:val="00BE5C39"/>
    <w:rsid w:val="00BF7FA1"/>
    <w:rsid w:val="00C24CB1"/>
    <w:rsid w:val="00C33466"/>
    <w:rsid w:val="00C34C13"/>
    <w:rsid w:val="00C40F09"/>
    <w:rsid w:val="00C67A4F"/>
    <w:rsid w:val="00C722C4"/>
    <w:rsid w:val="00C76EA3"/>
    <w:rsid w:val="00C8223C"/>
    <w:rsid w:val="00C946C2"/>
    <w:rsid w:val="00CA5C33"/>
    <w:rsid w:val="00CC32B3"/>
    <w:rsid w:val="00CC3D19"/>
    <w:rsid w:val="00CC755C"/>
    <w:rsid w:val="00CD1409"/>
    <w:rsid w:val="00CD6D16"/>
    <w:rsid w:val="00CE6AA8"/>
    <w:rsid w:val="00CF3DD7"/>
    <w:rsid w:val="00D0040C"/>
    <w:rsid w:val="00D02074"/>
    <w:rsid w:val="00D025A5"/>
    <w:rsid w:val="00D12360"/>
    <w:rsid w:val="00D14157"/>
    <w:rsid w:val="00D207FC"/>
    <w:rsid w:val="00D2200F"/>
    <w:rsid w:val="00D24DE7"/>
    <w:rsid w:val="00D254EE"/>
    <w:rsid w:val="00D3747B"/>
    <w:rsid w:val="00D42DFD"/>
    <w:rsid w:val="00D547BF"/>
    <w:rsid w:val="00D554F6"/>
    <w:rsid w:val="00D67D34"/>
    <w:rsid w:val="00D81402"/>
    <w:rsid w:val="00D90173"/>
    <w:rsid w:val="00D914CA"/>
    <w:rsid w:val="00D95F49"/>
    <w:rsid w:val="00DA02D4"/>
    <w:rsid w:val="00DC57CC"/>
    <w:rsid w:val="00DD0CC8"/>
    <w:rsid w:val="00DD286B"/>
    <w:rsid w:val="00DD7025"/>
    <w:rsid w:val="00DE25CC"/>
    <w:rsid w:val="00DE34D1"/>
    <w:rsid w:val="00DE69FC"/>
    <w:rsid w:val="00DE77DD"/>
    <w:rsid w:val="00DF6A21"/>
    <w:rsid w:val="00E04084"/>
    <w:rsid w:val="00E15DBC"/>
    <w:rsid w:val="00E31337"/>
    <w:rsid w:val="00E3297C"/>
    <w:rsid w:val="00E3387C"/>
    <w:rsid w:val="00E451A4"/>
    <w:rsid w:val="00E45AB7"/>
    <w:rsid w:val="00E557C3"/>
    <w:rsid w:val="00E65754"/>
    <w:rsid w:val="00E66EA4"/>
    <w:rsid w:val="00E769A2"/>
    <w:rsid w:val="00E80326"/>
    <w:rsid w:val="00EA0E5E"/>
    <w:rsid w:val="00EE64BF"/>
    <w:rsid w:val="00EF2A6A"/>
    <w:rsid w:val="00EF61CB"/>
    <w:rsid w:val="00EF7978"/>
    <w:rsid w:val="00F04D64"/>
    <w:rsid w:val="00F14245"/>
    <w:rsid w:val="00F14695"/>
    <w:rsid w:val="00F21E20"/>
    <w:rsid w:val="00F26AE9"/>
    <w:rsid w:val="00F4439E"/>
    <w:rsid w:val="00F615AE"/>
    <w:rsid w:val="00FA06CC"/>
    <w:rsid w:val="00FA09E0"/>
    <w:rsid w:val="00FA2F57"/>
    <w:rsid w:val="00FC0B16"/>
    <w:rsid w:val="00FD3E15"/>
    <w:rsid w:val="00FD5A95"/>
    <w:rsid w:val="00FF14A5"/>
    <w:rsid w:val="00FF1B1C"/>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D52BFA"/>
  <w15:chartTrackingRefBased/>
  <w15:docId w15:val="{27F2B1FB-DD94-450C-ABA5-EE0B9192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2F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342F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2F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342F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42F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42F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42F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42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2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5342F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342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34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2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34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342F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342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2F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3747B"/>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F14245"/>
    <w:pPr>
      <w:tabs>
        <w:tab w:val="left" w:pos="440"/>
        <w:tab w:val="right" w:leader="dot" w:pos="10070"/>
      </w:tabs>
      <w:spacing w:after="100"/>
    </w:pPr>
  </w:style>
  <w:style w:type="character" w:styleId="Hyperlink">
    <w:name w:val="Hyperlink"/>
    <w:basedOn w:val="DefaultParagraphFont"/>
    <w:uiPriority w:val="99"/>
    <w:unhideWhenUsed/>
    <w:rsid w:val="00D3747B"/>
    <w:rPr>
      <w:color w:val="0000FF" w:themeColor="hyperlink"/>
      <w:u w:val="single"/>
    </w:rPr>
  </w:style>
  <w:style w:type="paragraph" w:styleId="EndnoteText">
    <w:name w:val="endnote text"/>
    <w:basedOn w:val="Normal"/>
    <w:link w:val="EndnoteTextChar"/>
    <w:uiPriority w:val="99"/>
    <w:semiHidden/>
    <w:unhideWhenUsed/>
    <w:rsid w:val="00E04084"/>
    <w:rPr>
      <w:sz w:val="20"/>
      <w:szCs w:val="20"/>
    </w:rPr>
  </w:style>
  <w:style w:type="character" w:customStyle="1" w:styleId="EndnoteTextChar">
    <w:name w:val="Endnote Text Char"/>
    <w:basedOn w:val="DefaultParagraphFont"/>
    <w:link w:val="EndnoteText"/>
    <w:uiPriority w:val="99"/>
    <w:semiHidden/>
    <w:rsid w:val="00E040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4084"/>
    <w:rPr>
      <w:vertAlign w:val="superscript"/>
    </w:rPr>
  </w:style>
  <w:style w:type="paragraph" w:styleId="FootnoteText">
    <w:name w:val="footnote text"/>
    <w:basedOn w:val="Normal"/>
    <w:link w:val="FootnoteTextChar"/>
    <w:uiPriority w:val="99"/>
    <w:semiHidden/>
    <w:unhideWhenUsed/>
    <w:rsid w:val="005A6CB0"/>
    <w:rPr>
      <w:sz w:val="20"/>
      <w:szCs w:val="20"/>
    </w:rPr>
  </w:style>
  <w:style w:type="character" w:customStyle="1" w:styleId="FootnoteTextChar">
    <w:name w:val="Footnote Text Char"/>
    <w:basedOn w:val="DefaultParagraphFont"/>
    <w:link w:val="FootnoteText"/>
    <w:uiPriority w:val="99"/>
    <w:semiHidden/>
    <w:rsid w:val="005A6C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CB0"/>
    <w:rPr>
      <w:vertAlign w:val="superscript"/>
    </w:rPr>
  </w:style>
  <w:style w:type="paragraph" w:styleId="BodyTextIndent">
    <w:name w:val="Body Text Indent"/>
    <w:basedOn w:val="Normal"/>
    <w:link w:val="BodyTextIndentChar"/>
    <w:rsid w:val="00EE64BF"/>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EE64BF"/>
    <w:rPr>
      <w:rFonts w:ascii="Times New Roman" w:eastAsia="Times New Roman" w:hAnsi="Times New Roman" w:cs="Times New Roman"/>
      <w:sz w:val="24"/>
      <w:szCs w:val="20"/>
      <w:lang w:val="x-none" w:eastAsia="x-none"/>
    </w:rPr>
  </w:style>
  <w:style w:type="character" w:customStyle="1" w:styleId="bodytext">
    <w:name w:val="bodytext"/>
    <w:rsid w:val="00EE64BF"/>
    <w:rPr>
      <w:rFonts w:cs="Times New Roman"/>
    </w:rPr>
  </w:style>
  <w:style w:type="table" w:styleId="TableGrid">
    <w:name w:val="Table Grid"/>
    <w:basedOn w:val="TableNormal"/>
    <w:uiPriority w:val="59"/>
    <w:rsid w:val="007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6E0F"/>
    <w:pPr>
      <w:spacing w:after="200"/>
    </w:pPr>
    <w:rPr>
      <w:b/>
      <w:iCs/>
      <w:szCs w:val="18"/>
    </w:rPr>
  </w:style>
  <w:style w:type="character" w:styleId="CommentReference">
    <w:name w:val="annotation reference"/>
    <w:basedOn w:val="DefaultParagraphFont"/>
    <w:uiPriority w:val="99"/>
    <w:unhideWhenUsed/>
    <w:rsid w:val="008253CC"/>
    <w:rPr>
      <w:sz w:val="16"/>
      <w:szCs w:val="16"/>
    </w:rPr>
  </w:style>
  <w:style w:type="paragraph" w:styleId="CommentText">
    <w:name w:val="annotation text"/>
    <w:basedOn w:val="Normal"/>
    <w:link w:val="CommentTextChar"/>
    <w:uiPriority w:val="99"/>
    <w:unhideWhenUsed/>
    <w:rsid w:val="008253CC"/>
    <w:rPr>
      <w:sz w:val="20"/>
      <w:szCs w:val="20"/>
    </w:rPr>
  </w:style>
  <w:style w:type="character" w:customStyle="1" w:styleId="CommentTextChar">
    <w:name w:val="Comment Text Char"/>
    <w:basedOn w:val="DefaultParagraphFont"/>
    <w:link w:val="CommentText"/>
    <w:uiPriority w:val="99"/>
    <w:rsid w:val="00825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CC"/>
    <w:rPr>
      <w:rFonts w:ascii="Segoe UI" w:eastAsia="Times New Roman" w:hAnsi="Segoe UI" w:cs="Segoe UI"/>
      <w:sz w:val="18"/>
      <w:szCs w:val="18"/>
    </w:rPr>
  </w:style>
  <w:style w:type="paragraph" w:styleId="TableofFigures">
    <w:name w:val="table of figures"/>
    <w:basedOn w:val="Normal"/>
    <w:next w:val="Normal"/>
    <w:uiPriority w:val="99"/>
    <w:unhideWhenUsed/>
    <w:rsid w:val="007F29CE"/>
  </w:style>
  <w:style w:type="paragraph" w:styleId="CommentSubject">
    <w:name w:val="annotation subject"/>
    <w:basedOn w:val="CommentText"/>
    <w:next w:val="CommentText"/>
    <w:link w:val="CommentSubjectChar"/>
    <w:uiPriority w:val="99"/>
    <w:semiHidden/>
    <w:unhideWhenUsed/>
    <w:rsid w:val="00C722C4"/>
    <w:rPr>
      <w:b/>
      <w:bCs/>
    </w:rPr>
  </w:style>
  <w:style w:type="character" w:customStyle="1" w:styleId="CommentSubjectChar">
    <w:name w:val="Comment Subject Char"/>
    <w:basedOn w:val="CommentTextChar"/>
    <w:link w:val="CommentSubject"/>
    <w:uiPriority w:val="99"/>
    <w:semiHidden/>
    <w:rsid w:val="00C722C4"/>
    <w:rPr>
      <w:rFonts w:ascii="Times New Roman" w:eastAsia="Times New Roman" w:hAnsi="Times New Roman" w:cs="Times New Roman"/>
      <w:b/>
      <w:bCs/>
      <w:sz w:val="20"/>
      <w:szCs w:val="20"/>
    </w:rPr>
  </w:style>
  <w:style w:type="paragraph" w:styleId="ListParagraph">
    <w:name w:val="List Paragraph"/>
    <w:basedOn w:val="Normal"/>
    <w:uiPriority w:val="34"/>
    <w:qFormat/>
    <w:rsid w:val="00013F21"/>
    <w:pPr>
      <w:ind w:left="720"/>
      <w:contextualSpacing/>
    </w:pPr>
  </w:style>
  <w:style w:type="paragraph" w:customStyle="1" w:styleId="EndNoteBibliographyTitle">
    <w:name w:val="EndNote Bibliography Title"/>
    <w:basedOn w:val="Normal"/>
    <w:link w:val="EndNoteBibliographyTitleChar"/>
    <w:rsid w:val="0053739F"/>
    <w:pPr>
      <w:jc w:val="center"/>
    </w:pPr>
    <w:rPr>
      <w:noProof/>
    </w:rPr>
  </w:style>
  <w:style w:type="character" w:customStyle="1" w:styleId="EndNoteBibliographyTitleChar">
    <w:name w:val="EndNote Bibliography Title Char"/>
    <w:basedOn w:val="DefaultParagraphFont"/>
    <w:link w:val="EndNoteBibliographyTitle"/>
    <w:rsid w:val="0053739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3739F"/>
    <w:rPr>
      <w:noProof/>
    </w:rPr>
  </w:style>
  <w:style w:type="character" w:customStyle="1" w:styleId="EndNoteBibliographyChar">
    <w:name w:val="EndNote Bibliography Char"/>
    <w:basedOn w:val="DefaultParagraphFont"/>
    <w:link w:val="EndNoteBibliography"/>
    <w:rsid w:val="0053739F"/>
    <w:rPr>
      <w:rFonts w:ascii="Times New Roman" w:eastAsia="Times New Roman" w:hAnsi="Times New Roman" w:cs="Times New Roman"/>
      <w:noProof/>
      <w:sz w:val="24"/>
      <w:szCs w:val="24"/>
    </w:rPr>
  </w:style>
  <w:style w:type="paragraph" w:customStyle="1" w:styleId="Normal1">
    <w:name w:val="Normal1"/>
    <w:basedOn w:val="Normal"/>
    <w:link w:val="Normal1Char"/>
    <w:qFormat/>
    <w:rsid w:val="0053739F"/>
    <w:rPr>
      <w:rFonts w:cs="Arial"/>
    </w:rPr>
  </w:style>
  <w:style w:type="character" w:customStyle="1" w:styleId="Normal1Char">
    <w:name w:val="Normal1 Char"/>
    <w:basedOn w:val="DefaultParagraphFont"/>
    <w:link w:val="Normal1"/>
    <w:rsid w:val="0053739F"/>
    <w:rPr>
      <w:rFonts w:ascii="Times New Roman" w:eastAsia="Times New Roman" w:hAnsi="Times New Roman" w:cs="Arial"/>
      <w:sz w:val="24"/>
      <w:szCs w:val="24"/>
    </w:rPr>
  </w:style>
  <w:style w:type="table" w:styleId="TableGridLight">
    <w:name w:val="Grid Table Light"/>
    <w:basedOn w:val="TableNormal"/>
    <w:uiPriority w:val="40"/>
    <w:rsid w:val="008D3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tocol">
    <w:name w:val="Protocol"/>
    <w:basedOn w:val="NoSpacing"/>
    <w:link w:val="ProtocolChar"/>
    <w:autoRedefine/>
    <w:qFormat/>
    <w:rsid w:val="00A920ED"/>
    <w:pPr>
      <w:spacing w:before="120" w:after="120"/>
    </w:pPr>
    <w:rPr>
      <w:rFonts w:eastAsia="Times New Roman" w:cs="Times New Roman"/>
      <w:szCs w:val="24"/>
    </w:rPr>
  </w:style>
  <w:style w:type="character" w:customStyle="1" w:styleId="ProtocolChar">
    <w:name w:val="Protocol Char"/>
    <w:basedOn w:val="DefaultParagraphFont"/>
    <w:link w:val="Protocol"/>
    <w:rsid w:val="00A920ED"/>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A347F2"/>
    <w:pPr>
      <w:spacing w:after="100"/>
      <w:ind w:left="240"/>
    </w:pPr>
  </w:style>
  <w:style w:type="paragraph" w:styleId="Revision">
    <w:name w:val="Revision"/>
    <w:hidden/>
    <w:uiPriority w:val="99"/>
    <w:semiHidden/>
    <w:rsid w:val="008A04E1"/>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A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828533">
      <w:bodyDiv w:val="1"/>
      <w:marLeft w:val="0"/>
      <w:marRight w:val="0"/>
      <w:marTop w:val="0"/>
      <w:marBottom w:val="0"/>
      <w:divBdr>
        <w:top w:val="none" w:sz="0" w:space="0" w:color="auto"/>
        <w:left w:val="none" w:sz="0" w:space="0" w:color="auto"/>
        <w:bottom w:val="none" w:sz="0" w:space="0" w:color="auto"/>
        <w:right w:val="none" w:sz="0" w:space="0" w:color="auto"/>
      </w:divBdr>
    </w:div>
    <w:div w:id="723724787">
      <w:bodyDiv w:val="1"/>
      <w:marLeft w:val="0"/>
      <w:marRight w:val="0"/>
      <w:marTop w:val="0"/>
      <w:marBottom w:val="0"/>
      <w:divBdr>
        <w:top w:val="none" w:sz="0" w:space="0" w:color="auto"/>
        <w:left w:val="none" w:sz="0" w:space="0" w:color="auto"/>
        <w:bottom w:val="none" w:sz="0" w:space="0" w:color="auto"/>
        <w:right w:val="none" w:sz="0" w:space="0" w:color="auto"/>
      </w:divBdr>
    </w:div>
    <w:div w:id="965043926">
      <w:bodyDiv w:val="1"/>
      <w:marLeft w:val="0"/>
      <w:marRight w:val="0"/>
      <w:marTop w:val="0"/>
      <w:marBottom w:val="0"/>
      <w:divBdr>
        <w:top w:val="none" w:sz="0" w:space="0" w:color="auto"/>
        <w:left w:val="none" w:sz="0" w:space="0" w:color="auto"/>
        <w:bottom w:val="none" w:sz="0" w:space="0" w:color="auto"/>
        <w:right w:val="none" w:sz="0" w:space="0" w:color="auto"/>
      </w:divBdr>
    </w:div>
    <w:div w:id="978606611">
      <w:bodyDiv w:val="1"/>
      <w:marLeft w:val="0"/>
      <w:marRight w:val="0"/>
      <w:marTop w:val="0"/>
      <w:marBottom w:val="0"/>
      <w:divBdr>
        <w:top w:val="none" w:sz="0" w:space="0" w:color="auto"/>
        <w:left w:val="none" w:sz="0" w:space="0" w:color="auto"/>
        <w:bottom w:val="none" w:sz="0" w:space="0" w:color="auto"/>
        <w:right w:val="none" w:sz="0" w:space="0" w:color="auto"/>
      </w:divBdr>
    </w:div>
    <w:div w:id="1238517240">
      <w:bodyDiv w:val="1"/>
      <w:marLeft w:val="0"/>
      <w:marRight w:val="0"/>
      <w:marTop w:val="0"/>
      <w:marBottom w:val="0"/>
      <w:divBdr>
        <w:top w:val="none" w:sz="0" w:space="0" w:color="auto"/>
        <w:left w:val="none" w:sz="0" w:space="0" w:color="auto"/>
        <w:bottom w:val="none" w:sz="0" w:space="0" w:color="auto"/>
        <w:right w:val="none" w:sz="0" w:space="0" w:color="auto"/>
      </w:divBdr>
    </w:div>
    <w:div w:id="1510368374">
      <w:bodyDiv w:val="1"/>
      <w:marLeft w:val="0"/>
      <w:marRight w:val="0"/>
      <w:marTop w:val="0"/>
      <w:marBottom w:val="0"/>
      <w:divBdr>
        <w:top w:val="none" w:sz="0" w:space="0" w:color="auto"/>
        <w:left w:val="none" w:sz="0" w:space="0" w:color="auto"/>
        <w:bottom w:val="none" w:sz="0" w:space="0" w:color="auto"/>
        <w:right w:val="none" w:sz="0" w:space="0" w:color="auto"/>
      </w:divBdr>
    </w:div>
    <w:div w:id="1606498083">
      <w:bodyDiv w:val="1"/>
      <w:marLeft w:val="0"/>
      <w:marRight w:val="0"/>
      <w:marTop w:val="0"/>
      <w:marBottom w:val="0"/>
      <w:divBdr>
        <w:top w:val="none" w:sz="0" w:space="0" w:color="auto"/>
        <w:left w:val="none" w:sz="0" w:space="0" w:color="auto"/>
        <w:bottom w:val="none" w:sz="0" w:space="0" w:color="auto"/>
        <w:right w:val="none" w:sz="0" w:space="0" w:color="auto"/>
      </w:divBdr>
    </w:div>
    <w:div w:id="1611158890">
      <w:bodyDiv w:val="1"/>
      <w:marLeft w:val="0"/>
      <w:marRight w:val="0"/>
      <w:marTop w:val="0"/>
      <w:marBottom w:val="0"/>
      <w:divBdr>
        <w:top w:val="none" w:sz="0" w:space="0" w:color="auto"/>
        <w:left w:val="none" w:sz="0" w:space="0" w:color="auto"/>
        <w:bottom w:val="none" w:sz="0" w:space="0" w:color="auto"/>
        <w:right w:val="none" w:sz="0" w:space="0" w:color="auto"/>
      </w:divBdr>
    </w:div>
    <w:div w:id="1778400844">
      <w:bodyDiv w:val="1"/>
      <w:marLeft w:val="0"/>
      <w:marRight w:val="0"/>
      <w:marTop w:val="0"/>
      <w:marBottom w:val="0"/>
      <w:divBdr>
        <w:top w:val="none" w:sz="0" w:space="0" w:color="auto"/>
        <w:left w:val="none" w:sz="0" w:space="0" w:color="auto"/>
        <w:bottom w:val="none" w:sz="0" w:space="0" w:color="auto"/>
        <w:right w:val="none" w:sz="0" w:space="0" w:color="auto"/>
      </w:divBdr>
    </w:div>
    <w:div w:id="18833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468B894-E41B-40E0-B013-32EA8B98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Joyce, Kevin J. (CDC/DDPHSS/OS/OSI)</cp:lastModifiedBy>
  <cp:revision>5</cp:revision>
  <cp:lastPrinted>2018-11-15T19:48:00Z</cp:lastPrinted>
  <dcterms:created xsi:type="dcterms:W3CDTF">2020-07-15T18:02:00Z</dcterms:created>
  <dcterms:modified xsi:type="dcterms:W3CDTF">2020-08-14T13:09:00Z</dcterms:modified>
</cp:coreProperties>
</file>