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9D4" w:rsidP="00F95454" w:rsidRDefault="006869D4" w14:paraId="1F838515" w14:textId="76D4CB54">
      <w:pPr>
        <w:pStyle w:val="NoSpacing"/>
        <w:spacing w:before="120" w:after="120"/>
        <w:mirrorIndents/>
        <w:jc w:val="center"/>
        <w:rPr>
          <w:b/>
        </w:rPr>
      </w:pPr>
    </w:p>
    <w:p w:rsidR="00A32FBE" w:rsidP="00F95454" w:rsidRDefault="00496A03" w14:paraId="09CB9C00" w14:textId="45D61F5A">
      <w:pPr>
        <w:pStyle w:val="NoSpacing"/>
        <w:spacing w:before="120" w:after="120"/>
        <w:mirrorIndents/>
        <w:jc w:val="center"/>
        <w:rPr>
          <w:szCs w:val="24"/>
        </w:rPr>
      </w:pPr>
      <w:r w:rsidRPr="00496A03">
        <w:rPr>
          <w:szCs w:val="24"/>
        </w:rPr>
        <w:t>Community-Based Organizations’ Changes in Preparedness and Resources for Support of Biomedical HIV Prevention</w:t>
      </w:r>
      <w:r w:rsidRPr="00212D0C" w:rsidR="00A32FBE">
        <w:rPr>
          <w:szCs w:val="24"/>
        </w:rPr>
        <w:t xml:space="preserve"> </w:t>
      </w:r>
    </w:p>
    <w:p w:rsidRPr="00212D0C" w:rsidR="001A10DC" w:rsidP="00F95454" w:rsidRDefault="001A10DC" w14:paraId="427DA539" w14:textId="08D3D3EC">
      <w:pPr>
        <w:pStyle w:val="NoSpacing"/>
        <w:spacing w:before="120" w:after="120"/>
        <w:mirrorIndents/>
        <w:jc w:val="center"/>
        <w:rPr>
          <w:szCs w:val="24"/>
        </w:rPr>
      </w:pPr>
      <w:r>
        <w:rPr>
          <w:szCs w:val="24"/>
        </w:rPr>
        <w:t>0920-New</w:t>
      </w:r>
    </w:p>
    <w:p w:rsidR="00E227E6" w:rsidP="00F95454" w:rsidRDefault="00E227E6" w14:paraId="646ACD0B" w14:textId="77777777">
      <w:pPr>
        <w:pStyle w:val="NoSpacing"/>
        <w:spacing w:before="120" w:after="120"/>
        <w:mirrorIndents/>
        <w:jc w:val="center"/>
        <w:rPr>
          <w:b/>
        </w:rPr>
      </w:pPr>
    </w:p>
    <w:p w:rsidR="00E227E6" w:rsidP="00F95454" w:rsidRDefault="00E227E6" w14:paraId="70491B13" w14:textId="77777777">
      <w:pPr>
        <w:pStyle w:val="NoSpacing"/>
        <w:spacing w:before="120" w:after="120"/>
        <w:mirrorIndents/>
        <w:jc w:val="center"/>
        <w:rPr>
          <w:b/>
        </w:rPr>
      </w:pPr>
    </w:p>
    <w:p w:rsidR="0098673D" w:rsidP="00F95454" w:rsidRDefault="00256843" w14:paraId="1032F302" w14:textId="01A5147B">
      <w:pPr>
        <w:pStyle w:val="NoSpacing"/>
        <w:spacing w:before="120" w:after="120"/>
        <w:mirrorIndents/>
        <w:jc w:val="center"/>
        <w:rPr>
          <w:b/>
        </w:rPr>
      </w:pPr>
      <w:r>
        <w:rPr>
          <w:b/>
        </w:rPr>
        <w:t xml:space="preserve"> </w:t>
      </w:r>
    </w:p>
    <w:p w:rsidRPr="00412543" w:rsidR="0098673D" w:rsidP="00F95454" w:rsidRDefault="0098673D" w14:paraId="0DA15451" w14:textId="77777777">
      <w:pPr>
        <w:pStyle w:val="NoSpacing"/>
        <w:spacing w:before="120" w:after="120"/>
        <w:mirrorIndents/>
        <w:jc w:val="center"/>
      </w:pPr>
      <w:r w:rsidRPr="00412543">
        <w:t>Section A: Supporting Statement</w:t>
      </w:r>
    </w:p>
    <w:p w:rsidR="0098673D" w:rsidP="00F95454" w:rsidRDefault="0098673D" w14:paraId="012C70EF" w14:textId="77777777">
      <w:pPr>
        <w:pStyle w:val="NoSpacing"/>
        <w:spacing w:before="120" w:after="120"/>
        <w:mirrorIndents/>
        <w:jc w:val="center"/>
        <w:rPr>
          <w:b/>
        </w:rPr>
      </w:pPr>
    </w:p>
    <w:p w:rsidR="0098673D" w:rsidP="00F95454" w:rsidRDefault="0098673D" w14:paraId="20F53B92" w14:textId="77777777">
      <w:pPr>
        <w:pStyle w:val="NoSpacing"/>
        <w:spacing w:before="120" w:after="120"/>
        <w:mirrorIndents/>
        <w:jc w:val="center"/>
        <w:rPr>
          <w:b/>
        </w:rPr>
      </w:pPr>
    </w:p>
    <w:p w:rsidR="00053671" w:rsidP="00F95454" w:rsidRDefault="00053671" w14:paraId="7AFB1319" w14:textId="77777777">
      <w:pPr>
        <w:pStyle w:val="NoSpacing"/>
        <w:spacing w:before="120" w:after="120"/>
        <w:mirrorIndents/>
        <w:jc w:val="center"/>
        <w:rPr>
          <w:b/>
        </w:rPr>
      </w:pPr>
    </w:p>
    <w:p w:rsidRPr="00412543" w:rsidR="005A0F49" w:rsidP="00F95454" w:rsidRDefault="00CD1901" w14:paraId="09B6F01D" w14:textId="6A2CA4AC">
      <w:pPr>
        <w:pStyle w:val="NoSpacing"/>
        <w:spacing w:before="120" w:after="120"/>
        <w:mirrorIndents/>
        <w:jc w:val="center"/>
      </w:pPr>
      <w:r>
        <w:t>July</w:t>
      </w:r>
      <w:r w:rsidR="006C5AEC">
        <w:t xml:space="preserve"> </w:t>
      </w:r>
      <w:r w:rsidR="00222197">
        <w:t>31</w:t>
      </w:r>
      <w:r w:rsidR="006C5AEC">
        <w:t>,</w:t>
      </w:r>
      <w:r w:rsidR="003A2846">
        <w:t xml:space="preserve"> </w:t>
      </w:r>
      <w:r w:rsidR="00B45435">
        <w:t>20</w:t>
      </w:r>
      <w:r w:rsidR="00156846">
        <w:t>20</w:t>
      </w:r>
    </w:p>
    <w:p w:rsidR="00053671" w:rsidP="00F95454" w:rsidRDefault="00053671" w14:paraId="3ADA8582" w14:textId="77777777">
      <w:pPr>
        <w:pStyle w:val="NoSpacing"/>
        <w:spacing w:before="120" w:after="120"/>
        <w:mirrorIndents/>
        <w:jc w:val="center"/>
        <w:rPr>
          <w:b/>
        </w:rPr>
      </w:pPr>
    </w:p>
    <w:p w:rsidR="00053671" w:rsidP="00F95454" w:rsidRDefault="00053671" w14:paraId="6C409248" w14:textId="77777777">
      <w:pPr>
        <w:pStyle w:val="NoSpacing"/>
        <w:spacing w:before="120" w:after="120"/>
        <w:mirrorIndents/>
        <w:jc w:val="center"/>
        <w:rPr>
          <w:b/>
        </w:rPr>
      </w:pPr>
    </w:p>
    <w:p w:rsidR="00053671" w:rsidP="00F95454" w:rsidRDefault="00053671" w14:paraId="0438CDFE" w14:textId="77777777">
      <w:pPr>
        <w:pStyle w:val="NoSpacing"/>
        <w:spacing w:before="120" w:after="120"/>
        <w:mirrorIndents/>
        <w:jc w:val="center"/>
        <w:rPr>
          <w:b/>
        </w:rPr>
      </w:pPr>
      <w:r>
        <w:rPr>
          <w:b/>
        </w:rPr>
        <w:t>CONTACT</w:t>
      </w:r>
    </w:p>
    <w:p w:rsidRPr="00603813" w:rsidR="00053671" w:rsidP="00F95454" w:rsidRDefault="009E74B4" w14:paraId="12434A3D" w14:textId="4F5DAF75">
      <w:pPr>
        <w:spacing w:before="120" w:after="120"/>
        <w:mirrorIndents/>
        <w:jc w:val="center"/>
        <w:rPr>
          <w:shd w:val="clear" w:color="auto" w:fill="FFFFFF"/>
        </w:rPr>
      </w:pPr>
      <w:r>
        <w:rPr>
          <w:bCs/>
          <w:shd w:val="clear" w:color="auto" w:fill="FFFFFF"/>
        </w:rPr>
        <w:t>Jamal</w:t>
      </w:r>
      <w:r w:rsidR="00491EB1">
        <w:rPr>
          <w:bCs/>
          <w:shd w:val="clear" w:color="auto" w:fill="FFFFFF"/>
        </w:rPr>
        <w:t xml:space="preserve"> </w:t>
      </w:r>
      <w:r>
        <w:rPr>
          <w:bCs/>
          <w:shd w:val="clear" w:color="auto" w:fill="FFFFFF"/>
        </w:rPr>
        <w:t>T</w:t>
      </w:r>
      <w:r w:rsidR="00491EB1">
        <w:rPr>
          <w:bCs/>
          <w:shd w:val="clear" w:color="auto" w:fill="FFFFFF"/>
        </w:rPr>
        <w:t>.</w:t>
      </w:r>
      <w:r>
        <w:rPr>
          <w:bCs/>
          <w:shd w:val="clear" w:color="auto" w:fill="FFFFFF"/>
        </w:rPr>
        <w:t xml:space="preserve"> Jones</w:t>
      </w:r>
      <w:r w:rsidR="00491EB1">
        <w:rPr>
          <w:bCs/>
          <w:shd w:val="clear" w:color="auto" w:fill="FFFFFF"/>
        </w:rPr>
        <w:t xml:space="preserve">, </w:t>
      </w:r>
      <w:r>
        <w:t>PhD</w:t>
      </w:r>
      <w:r w:rsidR="00491EB1">
        <w:t xml:space="preserve">, </w:t>
      </w:r>
      <w:r>
        <w:t>MPH</w:t>
      </w:r>
      <w:r w:rsidRPr="00603813" w:rsidR="00053671">
        <w:br/>
      </w:r>
      <w:r>
        <w:t>Project Officer</w:t>
      </w:r>
      <w:r w:rsidR="00E3737B">
        <w:t xml:space="preserve"> / Principal Investigator</w:t>
      </w:r>
    </w:p>
    <w:p w:rsidR="009E74B4" w:rsidP="00B2123D" w:rsidRDefault="00053671" w14:paraId="65C5F152" w14:textId="77777777">
      <w:pPr>
        <w:pStyle w:val="NoSpacing"/>
        <w:contextualSpacing/>
        <w:mirrorIndents/>
        <w:jc w:val="center"/>
        <w:rPr>
          <w:shd w:val="clear" w:color="auto" w:fill="FFFFFF"/>
        </w:rPr>
      </w:pPr>
      <w:r w:rsidRPr="00603813">
        <w:rPr>
          <w:shd w:val="clear" w:color="auto" w:fill="FFFFFF"/>
        </w:rPr>
        <w:t>Centers for Disease Control and Prevention</w:t>
      </w:r>
    </w:p>
    <w:p w:rsidR="00491EB1" w:rsidP="00B2123D" w:rsidRDefault="009E74B4" w14:paraId="3320011F" w14:textId="33B5BFC0">
      <w:pPr>
        <w:pStyle w:val="NoSpacing"/>
        <w:contextualSpacing/>
        <w:mirrorIndents/>
        <w:jc w:val="center"/>
        <w:rPr>
          <w:shd w:val="clear" w:color="auto" w:fill="FFFFFF"/>
        </w:rPr>
      </w:pPr>
      <w:r w:rsidRPr="009E74B4">
        <w:t>National Center for HIV/AIDS, Viral Hepatitis, STD, and TB Prevention</w:t>
      </w:r>
      <w:r w:rsidRPr="00603813" w:rsidR="00053671">
        <w:br/>
      </w:r>
      <w:r w:rsidRPr="009E74B4">
        <w:rPr>
          <w:shd w:val="clear" w:color="auto" w:fill="FFFFFF"/>
        </w:rPr>
        <w:t>Division of HIV/AIDS Prevention/Epidemiology Branch</w:t>
      </w:r>
      <w:r w:rsidRPr="00603813" w:rsidR="00053671">
        <w:t xml:space="preserve"> </w:t>
      </w:r>
      <w:r w:rsidRPr="00603813" w:rsidR="00053671">
        <w:br/>
      </w:r>
      <w:r w:rsidRPr="00603813" w:rsidR="00053671">
        <w:rPr>
          <w:shd w:val="clear" w:color="auto" w:fill="FFFFFF"/>
        </w:rPr>
        <w:t xml:space="preserve">1600 Clifton Road, NE, Mailstop </w:t>
      </w:r>
      <w:r w:rsidR="00491EB1">
        <w:rPr>
          <w:shd w:val="clear" w:color="auto" w:fill="FFFFFF"/>
        </w:rPr>
        <w:t xml:space="preserve">US </w:t>
      </w:r>
      <w:r>
        <w:rPr>
          <w:shd w:val="clear" w:color="auto" w:fill="FFFFFF"/>
        </w:rPr>
        <w:t>8</w:t>
      </w:r>
      <w:r w:rsidR="00491EB1">
        <w:rPr>
          <w:shd w:val="clear" w:color="auto" w:fill="FFFFFF"/>
        </w:rPr>
        <w:t>-</w:t>
      </w:r>
      <w:r>
        <w:rPr>
          <w:shd w:val="clear" w:color="auto" w:fill="FFFFFF"/>
        </w:rPr>
        <w:t>4</w:t>
      </w:r>
    </w:p>
    <w:p w:rsidRPr="00491EB1" w:rsidR="00053671" w:rsidP="00B2123D" w:rsidRDefault="00053671" w14:paraId="3A83CC25" w14:textId="72F80BD5">
      <w:pPr>
        <w:pStyle w:val="NoSpacing"/>
        <w:contextualSpacing/>
        <w:mirrorIndents/>
        <w:jc w:val="center"/>
        <w:rPr>
          <w:shd w:val="clear" w:color="auto" w:fill="FFFFFF"/>
        </w:rPr>
      </w:pPr>
      <w:r w:rsidRPr="00603813">
        <w:rPr>
          <w:shd w:val="clear" w:color="auto" w:fill="FFFFFF"/>
        </w:rPr>
        <w:t>Atlanta, GA 30333</w:t>
      </w:r>
      <w:r w:rsidRPr="00603813">
        <w:br/>
      </w:r>
      <w:r w:rsidRPr="00603813">
        <w:rPr>
          <w:shd w:val="clear" w:color="auto" w:fill="FFFFFF"/>
        </w:rPr>
        <w:t xml:space="preserve">Phone: </w:t>
      </w:r>
      <w:r w:rsidR="004657BF">
        <w:rPr>
          <w:shd w:val="clear" w:color="auto" w:fill="FFFFFF"/>
        </w:rPr>
        <w:t>404-</w:t>
      </w:r>
      <w:r w:rsidR="009E74B4">
        <w:rPr>
          <w:shd w:val="clear" w:color="auto" w:fill="FFFFFF"/>
        </w:rPr>
        <w:t>718</w:t>
      </w:r>
      <w:r w:rsidR="004657BF">
        <w:rPr>
          <w:shd w:val="clear" w:color="auto" w:fill="FFFFFF"/>
        </w:rPr>
        <w:t>-</w:t>
      </w:r>
      <w:r w:rsidR="009E74B4">
        <w:rPr>
          <w:shd w:val="clear" w:color="auto" w:fill="FFFFFF"/>
        </w:rPr>
        <w:t>7167</w:t>
      </w:r>
      <w:r w:rsidRPr="00603813">
        <w:br/>
      </w:r>
      <w:r w:rsidRPr="00603813">
        <w:rPr>
          <w:shd w:val="clear" w:color="auto" w:fill="FFFFFF"/>
        </w:rPr>
        <w:t>E-mail:</w:t>
      </w:r>
      <w:r w:rsidRPr="00603813">
        <w:t> </w:t>
      </w:r>
      <w:r w:rsidR="00B2123D">
        <w:t>opy3</w:t>
      </w:r>
      <w:r w:rsidR="00542640">
        <w:t>@cdc.gov</w:t>
      </w:r>
    </w:p>
    <w:p w:rsidR="00542640" w:rsidP="00F95454" w:rsidRDefault="00542640" w14:paraId="6D3B73F1" w14:textId="2A97F5D4">
      <w:pPr>
        <w:pStyle w:val="NoSpacing"/>
        <w:spacing w:before="120" w:after="120"/>
        <w:mirrorIndents/>
        <w:jc w:val="center"/>
        <w:rPr>
          <w:b/>
        </w:rPr>
      </w:pPr>
    </w:p>
    <w:p w:rsidR="00CD1901" w:rsidP="00CD1901" w:rsidRDefault="00D713CD" w14:paraId="22BE9332" w14:textId="634400DC">
      <w:pPr>
        <w:pStyle w:val="NoSpacing"/>
        <w:contextualSpacing/>
        <w:mirrorIndents/>
        <w:jc w:val="center"/>
        <w:rPr>
          <w:bCs/>
        </w:rPr>
      </w:pPr>
      <w:r>
        <w:rPr>
          <w:bCs/>
        </w:rPr>
        <w:t>Natasha Ptomey</w:t>
      </w:r>
      <w:r w:rsidR="007F3B2B">
        <w:rPr>
          <w:bCs/>
        </w:rPr>
        <w:t>, MPH</w:t>
      </w:r>
    </w:p>
    <w:p w:rsidR="00CD1901" w:rsidP="00CD1901" w:rsidRDefault="00CD1901" w14:paraId="47689BF7" w14:textId="77777777">
      <w:pPr>
        <w:pStyle w:val="NoSpacing"/>
        <w:contextualSpacing/>
        <w:mirrorIndents/>
        <w:jc w:val="center"/>
        <w:rPr>
          <w:shd w:val="clear" w:color="auto" w:fill="FFFFFF"/>
        </w:rPr>
      </w:pPr>
      <w:r w:rsidRPr="00603813">
        <w:rPr>
          <w:shd w:val="clear" w:color="auto" w:fill="FFFFFF"/>
        </w:rPr>
        <w:t>Centers for Disease Control and Prevention</w:t>
      </w:r>
    </w:p>
    <w:p w:rsidR="00CD1901" w:rsidP="00CD1901" w:rsidRDefault="00CD1901" w14:paraId="1334321E" w14:textId="200C92EB">
      <w:pPr>
        <w:pStyle w:val="NoSpacing"/>
        <w:contextualSpacing/>
        <w:mirrorIndents/>
        <w:jc w:val="center"/>
        <w:rPr>
          <w:shd w:val="clear" w:color="auto" w:fill="FFFFFF"/>
        </w:rPr>
      </w:pPr>
      <w:r w:rsidRPr="009E74B4">
        <w:t>National Center for HIV/AIDS, Viral Hepatitis, STD, and TB Prevention</w:t>
      </w:r>
      <w:r w:rsidRPr="00603813">
        <w:br/>
      </w:r>
      <w:r w:rsidRPr="009E74B4">
        <w:rPr>
          <w:shd w:val="clear" w:color="auto" w:fill="FFFFFF"/>
        </w:rPr>
        <w:t>Division of HIV/AIDS Prevention/Epidemiology Branch</w:t>
      </w:r>
      <w:r w:rsidRPr="00603813">
        <w:t xml:space="preserve"> </w:t>
      </w:r>
      <w:r w:rsidRPr="00603813">
        <w:br/>
      </w:r>
      <w:r w:rsidRPr="00603813">
        <w:rPr>
          <w:shd w:val="clear" w:color="auto" w:fill="FFFFFF"/>
        </w:rPr>
        <w:t xml:space="preserve">1600 Clifton Road, NE, Mailstop </w:t>
      </w:r>
      <w:r>
        <w:rPr>
          <w:shd w:val="clear" w:color="auto" w:fill="FFFFFF"/>
        </w:rPr>
        <w:t>US 8-</w:t>
      </w:r>
      <w:r w:rsidR="00D713CD">
        <w:rPr>
          <w:shd w:val="clear" w:color="auto" w:fill="FFFFFF"/>
        </w:rPr>
        <w:t>5</w:t>
      </w:r>
    </w:p>
    <w:p w:rsidRPr="00491EB1" w:rsidR="00CD1901" w:rsidP="00CD1901" w:rsidRDefault="00CD1901" w14:paraId="54736524" w14:textId="73C7FC69">
      <w:pPr>
        <w:pStyle w:val="NoSpacing"/>
        <w:contextualSpacing/>
        <w:mirrorIndents/>
        <w:jc w:val="center"/>
        <w:rPr>
          <w:shd w:val="clear" w:color="auto" w:fill="FFFFFF"/>
        </w:rPr>
      </w:pPr>
      <w:r w:rsidRPr="00603813">
        <w:rPr>
          <w:shd w:val="clear" w:color="auto" w:fill="FFFFFF"/>
        </w:rPr>
        <w:t>Atlanta, GA 30333</w:t>
      </w:r>
      <w:r w:rsidRPr="00603813">
        <w:br/>
      </w:r>
      <w:r w:rsidRPr="00603813">
        <w:rPr>
          <w:shd w:val="clear" w:color="auto" w:fill="FFFFFF"/>
        </w:rPr>
        <w:t xml:space="preserve">Phone: </w:t>
      </w:r>
      <w:r w:rsidRPr="00D713CD" w:rsidR="00D713CD">
        <w:rPr>
          <w:shd w:val="clear" w:color="auto" w:fill="FFFFFF"/>
        </w:rPr>
        <w:t>404-639-1569</w:t>
      </w:r>
      <w:r w:rsidRPr="00603813">
        <w:br/>
      </w:r>
      <w:r w:rsidRPr="00603813">
        <w:rPr>
          <w:shd w:val="clear" w:color="auto" w:fill="FFFFFF"/>
        </w:rPr>
        <w:t>E-mail:</w:t>
      </w:r>
      <w:r w:rsidRPr="00603813">
        <w:t> </w:t>
      </w:r>
      <w:r w:rsidRPr="00D713CD" w:rsidR="00D713CD">
        <w:t>uxd9@cdc.gov</w:t>
      </w:r>
    </w:p>
    <w:p w:rsidR="00542640" w:rsidP="00F95454" w:rsidRDefault="00542640" w14:paraId="1CDBCFDA" w14:textId="77777777">
      <w:pPr>
        <w:pStyle w:val="NoSpacing"/>
        <w:spacing w:before="120" w:after="120"/>
        <w:mirrorIndents/>
        <w:jc w:val="center"/>
        <w:rPr>
          <w:b/>
        </w:rPr>
      </w:pPr>
    </w:p>
    <w:p w:rsidR="00542640" w:rsidP="00F95454" w:rsidRDefault="00542640" w14:paraId="37C195DE" w14:textId="77777777">
      <w:pPr>
        <w:pStyle w:val="NoSpacing"/>
        <w:spacing w:before="120" w:after="120"/>
        <w:mirrorIndents/>
        <w:jc w:val="center"/>
        <w:rPr>
          <w:b/>
        </w:rPr>
      </w:pPr>
    </w:p>
    <w:p w:rsidR="00542640" w:rsidP="00F95454" w:rsidRDefault="00542640" w14:paraId="189F3DEB" w14:textId="77777777">
      <w:pPr>
        <w:pStyle w:val="NoSpacing"/>
        <w:spacing w:before="120" w:after="120"/>
        <w:mirrorIndents/>
        <w:jc w:val="center"/>
        <w:rPr>
          <w:b/>
        </w:rPr>
      </w:pPr>
    </w:p>
    <w:p w:rsidR="00542640" w:rsidP="00F95454" w:rsidRDefault="00542640" w14:paraId="301712CD" w14:textId="77777777">
      <w:pPr>
        <w:spacing w:before="120" w:after="120"/>
        <w:mirrorIndents/>
        <w:rPr>
          <w:rFonts w:eastAsiaTheme="minorHAnsi" w:cstheme="minorBidi"/>
          <w:b/>
          <w:szCs w:val="22"/>
        </w:rPr>
      </w:pPr>
      <w:r>
        <w:rPr>
          <w:b/>
        </w:rPr>
        <w:br w:type="page"/>
      </w:r>
    </w:p>
    <w:p w:rsidR="00542640" w:rsidP="003B3841" w:rsidRDefault="00542640" w14:paraId="0038FF52" w14:textId="77777777">
      <w:pPr>
        <w:pStyle w:val="NoSpacing"/>
        <w:pBdr>
          <w:bottom w:val="single" w:color="auto" w:sz="4" w:space="1"/>
        </w:pBdr>
        <w:mirrorIndents/>
        <w:rPr>
          <w:b/>
        </w:rPr>
      </w:pPr>
      <w:r w:rsidRPr="00E2574F">
        <w:rPr>
          <w:b/>
        </w:rPr>
        <w:lastRenderedPageBreak/>
        <w:t>TABLE OF CONTENTS</w:t>
      </w:r>
    </w:p>
    <w:p w:rsidR="00542640" w:rsidP="003B3841" w:rsidRDefault="00542640" w14:paraId="25A78CC9" w14:textId="77777777">
      <w:pPr>
        <w:pStyle w:val="NoSpacing"/>
        <w:mirrorIndents/>
        <w:rPr>
          <w:b/>
        </w:rPr>
      </w:pPr>
    </w:p>
    <w:sdt>
      <w:sdtPr>
        <w:id w:val="1602600070"/>
        <w:docPartObj>
          <w:docPartGallery w:val="Table of Contents"/>
          <w:docPartUnique/>
        </w:docPartObj>
      </w:sdtPr>
      <w:sdtEndPr>
        <w:rPr>
          <w:b/>
          <w:bCs/>
          <w:noProof/>
        </w:rPr>
      </w:sdtEndPr>
      <w:sdtContent>
        <w:p w:rsidR="001034F0" w:rsidRDefault="00B12EA3" w14:paraId="30B7011B" w14:textId="5BD45955">
          <w:pPr>
            <w:pStyle w:val="TOC1"/>
            <w:rPr>
              <w:rFonts w:asciiTheme="minorHAnsi" w:hAnsiTheme="minorHAnsi" w:eastAsiaTheme="minorEastAsia" w:cstheme="minorBidi"/>
              <w:noProof/>
              <w:sz w:val="22"/>
              <w:szCs w:val="22"/>
            </w:rPr>
          </w:pPr>
          <w:r w:rsidRPr="00B12EA3">
            <w:fldChar w:fldCharType="begin"/>
          </w:r>
          <w:r w:rsidRPr="00B12EA3">
            <w:instrText xml:space="preserve"> TOC \o "1-3" \h \z \u </w:instrText>
          </w:r>
          <w:r w:rsidRPr="00B12EA3">
            <w:fldChar w:fldCharType="separate"/>
          </w:r>
          <w:hyperlink w:history="1" w:anchor="_Toc30496844">
            <w:r w:rsidRPr="005D0B6F" w:rsidR="001034F0">
              <w:rPr>
                <w:rStyle w:val="Hyperlink"/>
                <w:noProof/>
              </w:rPr>
              <w:t>1.</w:t>
            </w:r>
            <w:r w:rsidR="001034F0">
              <w:rPr>
                <w:rFonts w:asciiTheme="minorHAnsi" w:hAnsiTheme="minorHAnsi" w:eastAsiaTheme="minorEastAsia" w:cstheme="minorBidi"/>
                <w:noProof/>
                <w:sz w:val="22"/>
                <w:szCs w:val="22"/>
              </w:rPr>
              <w:tab/>
            </w:r>
            <w:r w:rsidRPr="005D0B6F" w:rsidR="001034F0">
              <w:rPr>
                <w:rStyle w:val="Hyperlink"/>
                <w:noProof/>
              </w:rPr>
              <w:t>Circumstances Making the Collection of Information Necessary</w:t>
            </w:r>
            <w:r w:rsidR="001034F0">
              <w:rPr>
                <w:noProof/>
                <w:webHidden/>
              </w:rPr>
              <w:tab/>
            </w:r>
            <w:r w:rsidR="001034F0">
              <w:rPr>
                <w:noProof/>
                <w:webHidden/>
              </w:rPr>
              <w:fldChar w:fldCharType="begin"/>
            </w:r>
            <w:r w:rsidR="001034F0">
              <w:rPr>
                <w:noProof/>
                <w:webHidden/>
              </w:rPr>
              <w:instrText xml:space="preserve"> PAGEREF _Toc30496844 \h </w:instrText>
            </w:r>
            <w:r w:rsidR="001034F0">
              <w:rPr>
                <w:noProof/>
                <w:webHidden/>
              </w:rPr>
            </w:r>
            <w:r w:rsidR="001034F0">
              <w:rPr>
                <w:noProof/>
                <w:webHidden/>
              </w:rPr>
              <w:fldChar w:fldCharType="separate"/>
            </w:r>
            <w:r w:rsidR="001034F0">
              <w:rPr>
                <w:noProof/>
                <w:webHidden/>
              </w:rPr>
              <w:t>3</w:t>
            </w:r>
            <w:r w:rsidR="001034F0">
              <w:rPr>
                <w:noProof/>
                <w:webHidden/>
              </w:rPr>
              <w:fldChar w:fldCharType="end"/>
            </w:r>
          </w:hyperlink>
        </w:p>
        <w:p w:rsidR="001034F0" w:rsidRDefault="00D14278" w14:paraId="77B247F7" w14:textId="5FFC45CC">
          <w:pPr>
            <w:pStyle w:val="TOC1"/>
            <w:rPr>
              <w:rFonts w:asciiTheme="minorHAnsi" w:hAnsiTheme="minorHAnsi" w:eastAsiaTheme="minorEastAsia" w:cstheme="minorBidi"/>
              <w:noProof/>
              <w:sz w:val="22"/>
              <w:szCs w:val="22"/>
            </w:rPr>
          </w:pPr>
          <w:hyperlink w:history="1" w:anchor="_Toc30496845">
            <w:r w:rsidRPr="005D0B6F" w:rsidR="001034F0">
              <w:rPr>
                <w:rStyle w:val="Hyperlink"/>
                <w:noProof/>
              </w:rPr>
              <w:t>2.</w:t>
            </w:r>
            <w:r w:rsidR="001034F0">
              <w:rPr>
                <w:rFonts w:asciiTheme="minorHAnsi" w:hAnsiTheme="minorHAnsi" w:eastAsiaTheme="minorEastAsia" w:cstheme="minorBidi"/>
                <w:noProof/>
                <w:sz w:val="22"/>
                <w:szCs w:val="22"/>
              </w:rPr>
              <w:tab/>
            </w:r>
            <w:r w:rsidRPr="005D0B6F" w:rsidR="001034F0">
              <w:rPr>
                <w:rStyle w:val="Hyperlink"/>
                <w:noProof/>
              </w:rPr>
              <w:t>Purpose and Use of the Information Collection</w:t>
            </w:r>
            <w:r w:rsidR="001034F0">
              <w:rPr>
                <w:noProof/>
                <w:webHidden/>
              </w:rPr>
              <w:tab/>
            </w:r>
            <w:r w:rsidR="001034F0">
              <w:rPr>
                <w:noProof/>
                <w:webHidden/>
              </w:rPr>
              <w:fldChar w:fldCharType="begin"/>
            </w:r>
            <w:r w:rsidR="001034F0">
              <w:rPr>
                <w:noProof/>
                <w:webHidden/>
              </w:rPr>
              <w:instrText xml:space="preserve"> PAGEREF _Toc30496845 \h </w:instrText>
            </w:r>
            <w:r w:rsidR="001034F0">
              <w:rPr>
                <w:noProof/>
                <w:webHidden/>
              </w:rPr>
            </w:r>
            <w:r w:rsidR="001034F0">
              <w:rPr>
                <w:noProof/>
                <w:webHidden/>
              </w:rPr>
              <w:fldChar w:fldCharType="separate"/>
            </w:r>
            <w:r w:rsidR="001034F0">
              <w:rPr>
                <w:noProof/>
                <w:webHidden/>
              </w:rPr>
              <w:t>4</w:t>
            </w:r>
            <w:r w:rsidR="001034F0">
              <w:rPr>
                <w:noProof/>
                <w:webHidden/>
              </w:rPr>
              <w:fldChar w:fldCharType="end"/>
            </w:r>
          </w:hyperlink>
        </w:p>
        <w:p w:rsidR="001034F0" w:rsidRDefault="00D14278" w14:paraId="0D7FC2CC" w14:textId="1B52F26F">
          <w:pPr>
            <w:pStyle w:val="TOC1"/>
            <w:rPr>
              <w:rFonts w:asciiTheme="minorHAnsi" w:hAnsiTheme="minorHAnsi" w:eastAsiaTheme="minorEastAsia" w:cstheme="minorBidi"/>
              <w:noProof/>
              <w:sz w:val="22"/>
              <w:szCs w:val="22"/>
            </w:rPr>
          </w:pPr>
          <w:hyperlink w:history="1" w:anchor="_Toc30496846">
            <w:r w:rsidRPr="005D0B6F" w:rsidR="001034F0">
              <w:rPr>
                <w:rStyle w:val="Hyperlink"/>
                <w:noProof/>
              </w:rPr>
              <w:t>3.</w:t>
            </w:r>
            <w:r w:rsidR="001034F0">
              <w:rPr>
                <w:rFonts w:asciiTheme="minorHAnsi" w:hAnsiTheme="minorHAnsi" w:eastAsiaTheme="minorEastAsia" w:cstheme="minorBidi"/>
                <w:noProof/>
                <w:sz w:val="22"/>
                <w:szCs w:val="22"/>
              </w:rPr>
              <w:tab/>
            </w:r>
            <w:r w:rsidRPr="005D0B6F" w:rsidR="001034F0">
              <w:rPr>
                <w:rStyle w:val="Hyperlink"/>
                <w:noProof/>
              </w:rPr>
              <w:t>Use of Improved Information Technology and Burden Reduction</w:t>
            </w:r>
            <w:r w:rsidR="001034F0">
              <w:rPr>
                <w:noProof/>
                <w:webHidden/>
              </w:rPr>
              <w:tab/>
            </w:r>
            <w:r w:rsidR="001034F0">
              <w:rPr>
                <w:noProof/>
                <w:webHidden/>
              </w:rPr>
              <w:fldChar w:fldCharType="begin"/>
            </w:r>
            <w:r w:rsidR="001034F0">
              <w:rPr>
                <w:noProof/>
                <w:webHidden/>
              </w:rPr>
              <w:instrText xml:space="preserve"> PAGEREF _Toc30496846 \h </w:instrText>
            </w:r>
            <w:r w:rsidR="001034F0">
              <w:rPr>
                <w:noProof/>
                <w:webHidden/>
              </w:rPr>
            </w:r>
            <w:r w:rsidR="001034F0">
              <w:rPr>
                <w:noProof/>
                <w:webHidden/>
              </w:rPr>
              <w:fldChar w:fldCharType="separate"/>
            </w:r>
            <w:r w:rsidR="001034F0">
              <w:rPr>
                <w:noProof/>
                <w:webHidden/>
              </w:rPr>
              <w:t>6</w:t>
            </w:r>
            <w:r w:rsidR="001034F0">
              <w:rPr>
                <w:noProof/>
                <w:webHidden/>
              </w:rPr>
              <w:fldChar w:fldCharType="end"/>
            </w:r>
          </w:hyperlink>
        </w:p>
        <w:p w:rsidR="001034F0" w:rsidRDefault="00D14278" w14:paraId="7960CD85" w14:textId="01FB8694">
          <w:pPr>
            <w:pStyle w:val="TOC1"/>
            <w:rPr>
              <w:rFonts w:asciiTheme="minorHAnsi" w:hAnsiTheme="minorHAnsi" w:eastAsiaTheme="minorEastAsia" w:cstheme="minorBidi"/>
              <w:noProof/>
              <w:sz w:val="22"/>
              <w:szCs w:val="22"/>
            </w:rPr>
          </w:pPr>
          <w:hyperlink w:history="1" w:anchor="_Toc30496847">
            <w:r w:rsidRPr="005D0B6F" w:rsidR="001034F0">
              <w:rPr>
                <w:rStyle w:val="Hyperlink"/>
                <w:noProof/>
              </w:rPr>
              <w:t>4.</w:t>
            </w:r>
            <w:r w:rsidR="001034F0">
              <w:rPr>
                <w:rFonts w:asciiTheme="minorHAnsi" w:hAnsiTheme="minorHAnsi" w:eastAsiaTheme="minorEastAsia" w:cstheme="minorBidi"/>
                <w:noProof/>
                <w:sz w:val="22"/>
                <w:szCs w:val="22"/>
              </w:rPr>
              <w:tab/>
            </w:r>
            <w:r w:rsidRPr="005D0B6F" w:rsidR="001034F0">
              <w:rPr>
                <w:rStyle w:val="Hyperlink"/>
                <w:noProof/>
              </w:rPr>
              <w:t>Efforts to Identify Duplication and Use of Similar Information</w:t>
            </w:r>
            <w:r w:rsidR="001034F0">
              <w:rPr>
                <w:noProof/>
                <w:webHidden/>
              </w:rPr>
              <w:tab/>
            </w:r>
            <w:r w:rsidR="001034F0">
              <w:rPr>
                <w:noProof/>
                <w:webHidden/>
              </w:rPr>
              <w:fldChar w:fldCharType="begin"/>
            </w:r>
            <w:r w:rsidR="001034F0">
              <w:rPr>
                <w:noProof/>
                <w:webHidden/>
              </w:rPr>
              <w:instrText xml:space="preserve"> PAGEREF _Toc30496847 \h </w:instrText>
            </w:r>
            <w:r w:rsidR="001034F0">
              <w:rPr>
                <w:noProof/>
                <w:webHidden/>
              </w:rPr>
            </w:r>
            <w:r w:rsidR="001034F0">
              <w:rPr>
                <w:noProof/>
                <w:webHidden/>
              </w:rPr>
              <w:fldChar w:fldCharType="separate"/>
            </w:r>
            <w:r w:rsidR="001034F0">
              <w:rPr>
                <w:noProof/>
                <w:webHidden/>
              </w:rPr>
              <w:t>6</w:t>
            </w:r>
            <w:r w:rsidR="001034F0">
              <w:rPr>
                <w:noProof/>
                <w:webHidden/>
              </w:rPr>
              <w:fldChar w:fldCharType="end"/>
            </w:r>
          </w:hyperlink>
        </w:p>
        <w:p w:rsidR="001034F0" w:rsidRDefault="00D14278" w14:paraId="11B9571D" w14:textId="2B5ED159">
          <w:pPr>
            <w:pStyle w:val="TOC1"/>
            <w:rPr>
              <w:rFonts w:asciiTheme="minorHAnsi" w:hAnsiTheme="minorHAnsi" w:eastAsiaTheme="minorEastAsia" w:cstheme="minorBidi"/>
              <w:noProof/>
              <w:sz w:val="22"/>
              <w:szCs w:val="22"/>
            </w:rPr>
          </w:pPr>
          <w:hyperlink w:history="1" w:anchor="_Toc30496848">
            <w:r w:rsidRPr="005D0B6F" w:rsidR="001034F0">
              <w:rPr>
                <w:rStyle w:val="Hyperlink"/>
                <w:noProof/>
              </w:rPr>
              <w:t>5.</w:t>
            </w:r>
            <w:r w:rsidR="001034F0">
              <w:rPr>
                <w:rFonts w:asciiTheme="minorHAnsi" w:hAnsiTheme="minorHAnsi" w:eastAsiaTheme="minorEastAsia" w:cstheme="minorBidi"/>
                <w:noProof/>
                <w:sz w:val="22"/>
                <w:szCs w:val="22"/>
              </w:rPr>
              <w:tab/>
            </w:r>
            <w:r w:rsidRPr="005D0B6F" w:rsidR="001034F0">
              <w:rPr>
                <w:rStyle w:val="Hyperlink"/>
                <w:noProof/>
              </w:rPr>
              <w:t>Impact on Small Businesses or Other Small Entities</w:t>
            </w:r>
            <w:r w:rsidR="001034F0">
              <w:rPr>
                <w:noProof/>
                <w:webHidden/>
              </w:rPr>
              <w:tab/>
            </w:r>
            <w:r w:rsidR="001034F0">
              <w:rPr>
                <w:noProof/>
                <w:webHidden/>
              </w:rPr>
              <w:fldChar w:fldCharType="begin"/>
            </w:r>
            <w:r w:rsidR="001034F0">
              <w:rPr>
                <w:noProof/>
                <w:webHidden/>
              </w:rPr>
              <w:instrText xml:space="preserve"> PAGEREF _Toc30496848 \h </w:instrText>
            </w:r>
            <w:r w:rsidR="001034F0">
              <w:rPr>
                <w:noProof/>
                <w:webHidden/>
              </w:rPr>
            </w:r>
            <w:r w:rsidR="001034F0">
              <w:rPr>
                <w:noProof/>
                <w:webHidden/>
              </w:rPr>
              <w:fldChar w:fldCharType="separate"/>
            </w:r>
            <w:r w:rsidR="001034F0">
              <w:rPr>
                <w:noProof/>
                <w:webHidden/>
              </w:rPr>
              <w:t>6</w:t>
            </w:r>
            <w:r w:rsidR="001034F0">
              <w:rPr>
                <w:noProof/>
                <w:webHidden/>
              </w:rPr>
              <w:fldChar w:fldCharType="end"/>
            </w:r>
          </w:hyperlink>
        </w:p>
        <w:p w:rsidR="001034F0" w:rsidRDefault="00D14278" w14:paraId="0E4FA750" w14:textId="5972F03C">
          <w:pPr>
            <w:pStyle w:val="TOC1"/>
            <w:rPr>
              <w:rFonts w:asciiTheme="minorHAnsi" w:hAnsiTheme="minorHAnsi" w:eastAsiaTheme="minorEastAsia" w:cstheme="minorBidi"/>
              <w:noProof/>
              <w:sz w:val="22"/>
              <w:szCs w:val="22"/>
            </w:rPr>
          </w:pPr>
          <w:hyperlink w:history="1" w:anchor="_Toc30496849">
            <w:r w:rsidRPr="005D0B6F" w:rsidR="001034F0">
              <w:rPr>
                <w:rStyle w:val="Hyperlink"/>
                <w:noProof/>
              </w:rPr>
              <w:t>6.</w:t>
            </w:r>
            <w:r w:rsidR="001034F0">
              <w:rPr>
                <w:rFonts w:asciiTheme="minorHAnsi" w:hAnsiTheme="minorHAnsi" w:eastAsiaTheme="minorEastAsia" w:cstheme="minorBidi"/>
                <w:noProof/>
                <w:sz w:val="22"/>
                <w:szCs w:val="22"/>
              </w:rPr>
              <w:tab/>
            </w:r>
            <w:r w:rsidRPr="005D0B6F" w:rsidR="001034F0">
              <w:rPr>
                <w:rStyle w:val="Hyperlink"/>
                <w:noProof/>
              </w:rPr>
              <w:t>Consequences of Collecting the Information Less Frequently</w:t>
            </w:r>
            <w:r w:rsidR="001034F0">
              <w:rPr>
                <w:noProof/>
                <w:webHidden/>
              </w:rPr>
              <w:tab/>
            </w:r>
            <w:r w:rsidR="001034F0">
              <w:rPr>
                <w:noProof/>
                <w:webHidden/>
              </w:rPr>
              <w:fldChar w:fldCharType="begin"/>
            </w:r>
            <w:r w:rsidR="001034F0">
              <w:rPr>
                <w:noProof/>
                <w:webHidden/>
              </w:rPr>
              <w:instrText xml:space="preserve"> PAGEREF _Toc30496849 \h </w:instrText>
            </w:r>
            <w:r w:rsidR="001034F0">
              <w:rPr>
                <w:noProof/>
                <w:webHidden/>
              </w:rPr>
            </w:r>
            <w:r w:rsidR="001034F0">
              <w:rPr>
                <w:noProof/>
                <w:webHidden/>
              </w:rPr>
              <w:fldChar w:fldCharType="separate"/>
            </w:r>
            <w:r w:rsidR="001034F0">
              <w:rPr>
                <w:noProof/>
                <w:webHidden/>
              </w:rPr>
              <w:t>6</w:t>
            </w:r>
            <w:r w:rsidR="001034F0">
              <w:rPr>
                <w:noProof/>
                <w:webHidden/>
              </w:rPr>
              <w:fldChar w:fldCharType="end"/>
            </w:r>
          </w:hyperlink>
        </w:p>
        <w:p w:rsidR="001034F0" w:rsidRDefault="00D14278" w14:paraId="20D26F3F" w14:textId="4123CC00">
          <w:pPr>
            <w:pStyle w:val="TOC1"/>
            <w:rPr>
              <w:rFonts w:asciiTheme="minorHAnsi" w:hAnsiTheme="minorHAnsi" w:eastAsiaTheme="minorEastAsia" w:cstheme="minorBidi"/>
              <w:noProof/>
              <w:sz w:val="22"/>
              <w:szCs w:val="22"/>
            </w:rPr>
          </w:pPr>
          <w:hyperlink w:history="1" w:anchor="_Toc30496850">
            <w:r w:rsidRPr="005D0B6F" w:rsidR="001034F0">
              <w:rPr>
                <w:rStyle w:val="Hyperlink"/>
                <w:noProof/>
              </w:rPr>
              <w:t>7.</w:t>
            </w:r>
            <w:r w:rsidR="001034F0">
              <w:rPr>
                <w:rFonts w:asciiTheme="minorHAnsi" w:hAnsiTheme="minorHAnsi" w:eastAsiaTheme="minorEastAsia" w:cstheme="minorBidi"/>
                <w:noProof/>
                <w:sz w:val="22"/>
                <w:szCs w:val="22"/>
              </w:rPr>
              <w:tab/>
            </w:r>
            <w:r w:rsidRPr="005D0B6F" w:rsidR="001034F0">
              <w:rPr>
                <w:rStyle w:val="Hyperlink"/>
                <w:noProof/>
              </w:rPr>
              <w:t>Special Circumstances Relating to the Guidelines of 5 CFR 1320.5</w:t>
            </w:r>
            <w:r w:rsidR="001034F0">
              <w:rPr>
                <w:noProof/>
                <w:webHidden/>
              </w:rPr>
              <w:tab/>
            </w:r>
            <w:r w:rsidR="001034F0">
              <w:rPr>
                <w:noProof/>
                <w:webHidden/>
              </w:rPr>
              <w:fldChar w:fldCharType="begin"/>
            </w:r>
            <w:r w:rsidR="001034F0">
              <w:rPr>
                <w:noProof/>
                <w:webHidden/>
              </w:rPr>
              <w:instrText xml:space="preserve"> PAGEREF _Toc30496850 \h </w:instrText>
            </w:r>
            <w:r w:rsidR="001034F0">
              <w:rPr>
                <w:noProof/>
                <w:webHidden/>
              </w:rPr>
            </w:r>
            <w:r w:rsidR="001034F0">
              <w:rPr>
                <w:noProof/>
                <w:webHidden/>
              </w:rPr>
              <w:fldChar w:fldCharType="separate"/>
            </w:r>
            <w:r w:rsidR="001034F0">
              <w:rPr>
                <w:noProof/>
                <w:webHidden/>
              </w:rPr>
              <w:t>6</w:t>
            </w:r>
            <w:r w:rsidR="001034F0">
              <w:rPr>
                <w:noProof/>
                <w:webHidden/>
              </w:rPr>
              <w:fldChar w:fldCharType="end"/>
            </w:r>
          </w:hyperlink>
        </w:p>
        <w:p w:rsidR="001034F0" w:rsidRDefault="00D14278" w14:paraId="44028CCB" w14:textId="569A88F4">
          <w:pPr>
            <w:pStyle w:val="TOC1"/>
            <w:rPr>
              <w:rFonts w:asciiTheme="minorHAnsi" w:hAnsiTheme="minorHAnsi" w:eastAsiaTheme="minorEastAsia" w:cstheme="minorBidi"/>
              <w:noProof/>
              <w:sz w:val="22"/>
              <w:szCs w:val="22"/>
            </w:rPr>
          </w:pPr>
          <w:hyperlink w:history="1" w:anchor="_Toc30496851">
            <w:r w:rsidRPr="005D0B6F" w:rsidR="001034F0">
              <w:rPr>
                <w:rStyle w:val="Hyperlink"/>
                <w:noProof/>
              </w:rPr>
              <w:t>8.</w:t>
            </w:r>
            <w:r w:rsidR="001034F0">
              <w:rPr>
                <w:rFonts w:asciiTheme="minorHAnsi" w:hAnsiTheme="minorHAnsi" w:eastAsiaTheme="minorEastAsia" w:cstheme="minorBidi"/>
                <w:noProof/>
                <w:sz w:val="22"/>
                <w:szCs w:val="22"/>
              </w:rPr>
              <w:tab/>
            </w:r>
            <w:r w:rsidRPr="005D0B6F" w:rsidR="001034F0">
              <w:rPr>
                <w:rStyle w:val="Hyperlink"/>
                <w:noProof/>
              </w:rPr>
              <w:t>Comments in Response to the Federal Register Notice and Efforts to Consult Outside the Agency</w:t>
            </w:r>
            <w:r w:rsidR="001034F0">
              <w:rPr>
                <w:noProof/>
                <w:webHidden/>
              </w:rPr>
              <w:tab/>
            </w:r>
            <w:r w:rsidR="001034F0">
              <w:rPr>
                <w:noProof/>
                <w:webHidden/>
              </w:rPr>
              <w:fldChar w:fldCharType="begin"/>
            </w:r>
            <w:r w:rsidR="001034F0">
              <w:rPr>
                <w:noProof/>
                <w:webHidden/>
              </w:rPr>
              <w:instrText xml:space="preserve"> PAGEREF _Toc30496851 \h </w:instrText>
            </w:r>
            <w:r w:rsidR="001034F0">
              <w:rPr>
                <w:noProof/>
                <w:webHidden/>
              </w:rPr>
            </w:r>
            <w:r w:rsidR="001034F0">
              <w:rPr>
                <w:noProof/>
                <w:webHidden/>
              </w:rPr>
              <w:fldChar w:fldCharType="separate"/>
            </w:r>
            <w:r w:rsidR="001034F0">
              <w:rPr>
                <w:noProof/>
                <w:webHidden/>
              </w:rPr>
              <w:t>7</w:t>
            </w:r>
            <w:r w:rsidR="001034F0">
              <w:rPr>
                <w:noProof/>
                <w:webHidden/>
              </w:rPr>
              <w:fldChar w:fldCharType="end"/>
            </w:r>
          </w:hyperlink>
        </w:p>
        <w:p w:rsidR="001034F0" w:rsidRDefault="00D14278" w14:paraId="30E01779" w14:textId="45399BB0">
          <w:pPr>
            <w:pStyle w:val="TOC1"/>
            <w:rPr>
              <w:rFonts w:asciiTheme="minorHAnsi" w:hAnsiTheme="minorHAnsi" w:eastAsiaTheme="minorEastAsia" w:cstheme="minorBidi"/>
              <w:noProof/>
              <w:sz w:val="22"/>
              <w:szCs w:val="22"/>
            </w:rPr>
          </w:pPr>
          <w:hyperlink w:history="1" w:anchor="_Toc30496852">
            <w:r w:rsidRPr="005D0B6F" w:rsidR="001034F0">
              <w:rPr>
                <w:rStyle w:val="Hyperlink"/>
                <w:noProof/>
              </w:rPr>
              <w:t>9.</w:t>
            </w:r>
            <w:r w:rsidR="001034F0">
              <w:rPr>
                <w:rFonts w:asciiTheme="minorHAnsi" w:hAnsiTheme="minorHAnsi" w:eastAsiaTheme="minorEastAsia" w:cstheme="minorBidi"/>
                <w:noProof/>
                <w:sz w:val="22"/>
                <w:szCs w:val="22"/>
              </w:rPr>
              <w:tab/>
            </w:r>
            <w:r w:rsidRPr="005D0B6F" w:rsidR="001034F0">
              <w:rPr>
                <w:rStyle w:val="Hyperlink"/>
                <w:noProof/>
              </w:rPr>
              <w:t>Explanation of Any Payment or Gift to Respondents</w:t>
            </w:r>
            <w:r w:rsidR="001034F0">
              <w:rPr>
                <w:noProof/>
                <w:webHidden/>
              </w:rPr>
              <w:tab/>
            </w:r>
            <w:r w:rsidR="001034F0">
              <w:rPr>
                <w:noProof/>
                <w:webHidden/>
              </w:rPr>
              <w:fldChar w:fldCharType="begin"/>
            </w:r>
            <w:r w:rsidR="001034F0">
              <w:rPr>
                <w:noProof/>
                <w:webHidden/>
              </w:rPr>
              <w:instrText xml:space="preserve"> PAGEREF _Toc30496852 \h </w:instrText>
            </w:r>
            <w:r w:rsidR="001034F0">
              <w:rPr>
                <w:noProof/>
                <w:webHidden/>
              </w:rPr>
            </w:r>
            <w:r w:rsidR="001034F0">
              <w:rPr>
                <w:noProof/>
                <w:webHidden/>
              </w:rPr>
              <w:fldChar w:fldCharType="separate"/>
            </w:r>
            <w:r w:rsidR="001034F0">
              <w:rPr>
                <w:noProof/>
                <w:webHidden/>
              </w:rPr>
              <w:t>7</w:t>
            </w:r>
            <w:r w:rsidR="001034F0">
              <w:rPr>
                <w:noProof/>
                <w:webHidden/>
              </w:rPr>
              <w:fldChar w:fldCharType="end"/>
            </w:r>
          </w:hyperlink>
        </w:p>
        <w:p w:rsidR="001034F0" w:rsidRDefault="00D14278" w14:paraId="1FF13AA0" w14:textId="4EFBF6B6">
          <w:pPr>
            <w:pStyle w:val="TOC1"/>
            <w:rPr>
              <w:rFonts w:asciiTheme="minorHAnsi" w:hAnsiTheme="minorHAnsi" w:eastAsiaTheme="minorEastAsia" w:cstheme="minorBidi"/>
              <w:noProof/>
              <w:sz w:val="22"/>
              <w:szCs w:val="22"/>
            </w:rPr>
          </w:pPr>
          <w:hyperlink w:history="1" w:anchor="_Toc30496853">
            <w:r w:rsidRPr="005D0B6F" w:rsidR="001034F0">
              <w:rPr>
                <w:rStyle w:val="Hyperlink"/>
                <w:noProof/>
              </w:rPr>
              <w:t>10.</w:t>
            </w:r>
            <w:r w:rsidR="001034F0">
              <w:rPr>
                <w:rFonts w:asciiTheme="minorHAnsi" w:hAnsiTheme="minorHAnsi" w:eastAsiaTheme="minorEastAsia" w:cstheme="minorBidi"/>
                <w:noProof/>
                <w:sz w:val="22"/>
                <w:szCs w:val="22"/>
              </w:rPr>
              <w:tab/>
            </w:r>
            <w:r w:rsidRPr="005D0B6F" w:rsidR="001034F0">
              <w:rPr>
                <w:rStyle w:val="Hyperlink"/>
                <w:noProof/>
              </w:rPr>
              <w:t>Protection of the Privacy and Confidentiality of Information Provided by Respondents</w:t>
            </w:r>
            <w:r w:rsidR="001034F0">
              <w:rPr>
                <w:noProof/>
                <w:webHidden/>
              </w:rPr>
              <w:tab/>
            </w:r>
            <w:r w:rsidR="001034F0">
              <w:rPr>
                <w:noProof/>
                <w:webHidden/>
              </w:rPr>
              <w:fldChar w:fldCharType="begin"/>
            </w:r>
            <w:r w:rsidR="001034F0">
              <w:rPr>
                <w:noProof/>
                <w:webHidden/>
              </w:rPr>
              <w:instrText xml:space="preserve"> PAGEREF _Toc30496853 \h </w:instrText>
            </w:r>
            <w:r w:rsidR="001034F0">
              <w:rPr>
                <w:noProof/>
                <w:webHidden/>
              </w:rPr>
            </w:r>
            <w:r w:rsidR="001034F0">
              <w:rPr>
                <w:noProof/>
                <w:webHidden/>
              </w:rPr>
              <w:fldChar w:fldCharType="separate"/>
            </w:r>
            <w:r w:rsidR="001034F0">
              <w:rPr>
                <w:noProof/>
                <w:webHidden/>
              </w:rPr>
              <w:t>7</w:t>
            </w:r>
            <w:r w:rsidR="001034F0">
              <w:rPr>
                <w:noProof/>
                <w:webHidden/>
              </w:rPr>
              <w:fldChar w:fldCharType="end"/>
            </w:r>
          </w:hyperlink>
        </w:p>
        <w:p w:rsidR="001034F0" w:rsidRDefault="00D14278" w14:paraId="0462D269" w14:textId="69E4AAC7">
          <w:pPr>
            <w:pStyle w:val="TOC1"/>
            <w:rPr>
              <w:rFonts w:asciiTheme="minorHAnsi" w:hAnsiTheme="minorHAnsi" w:eastAsiaTheme="minorEastAsia" w:cstheme="minorBidi"/>
              <w:noProof/>
              <w:sz w:val="22"/>
              <w:szCs w:val="22"/>
            </w:rPr>
          </w:pPr>
          <w:hyperlink w:history="1" w:anchor="_Toc30496854">
            <w:r w:rsidRPr="005D0B6F" w:rsidR="001034F0">
              <w:rPr>
                <w:rStyle w:val="Hyperlink"/>
                <w:noProof/>
              </w:rPr>
              <w:t>11.</w:t>
            </w:r>
            <w:r w:rsidR="001034F0">
              <w:rPr>
                <w:rFonts w:asciiTheme="minorHAnsi" w:hAnsiTheme="minorHAnsi" w:eastAsiaTheme="minorEastAsia" w:cstheme="minorBidi"/>
                <w:noProof/>
                <w:sz w:val="22"/>
                <w:szCs w:val="22"/>
              </w:rPr>
              <w:tab/>
            </w:r>
            <w:r w:rsidRPr="005D0B6F" w:rsidR="001034F0">
              <w:rPr>
                <w:rStyle w:val="Hyperlink"/>
                <w:noProof/>
              </w:rPr>
              <w:t>Institutional Review Board (IRB) and Justification for Sensitive Questions</w:t>
            </w:r>
            <w:r w:rsidR="001034F0">
              <w:rPr>
                <w:noProof/>
                <w:webHidden/>
              </w:rPr>
              <w:tab/>
            </w:r>
            <w:r w:rsidR="001034F0">
              <w:rPr>
                <w:noProof/>
                <w:webHidden/>
              </w:rPr>
              <w:fldChar w:fldCharType="begin"/>
            </w:r>
            <w:r w:rsidR="001034F0">
              <w:rPr>
                <w:noProof/>
                <w:webHidden/>
              </w:rPr>
              <w:instrText xml:space="preserve"> PAGEREF _Toc30496854 \h </w:instrText>
            </w:r>
            <w:r w:rsidR="001034F0">
              <w:rPr>
                <w:noProof/>
                <w:webHidden/>
              </w:rPr>
            </w:r>
            <w:r w:rsidR="001034F0">
              <w:rPr>
                <w:noProof/>
                <w:webHidden/>
              </w:rPr>
              <w:fldChar w:fldCharType="separate"/>
            </w:r>
            <w:r w:rsidR="001034F0">
              <w:rPr>
                <w:noProof/>
                <w:webHidden/>
              </w:rPr>
              <w:t>7</w:t>
            </w:r>
            <w:r w:rsidR="001034F0">
              <w:rPr>
                <w:noProof/>
                <w:webHidden/>
              </w:rPr>
              <w:fldChar w:fldCharType="end"/>
            </w:r>
          </w:hyperlink>
        </w:p>
        <w:p w:rsidR="001034F0" w:rsidRDefault="00D14278" w14:paraId="5E2EC828" w14:textId="476B7E3F">
          <w:pPr>
            <w:pStyle w:val="TOC1"/>
            <w:rPr>
              <w:rFonts w:asciiTheme="minorHAnsi" w:hAnsiTheme="minorHAnsi" w:eastAsiaTheme="minorEastAsia" w:cstheme="minorBidi"/>
              <w:noProof/>
              <w:sz w:val="22"/>
              <w:szCs w:val="22"/>
            </w:rPr>
          </w:pPr>
          <w:hyperlink w:history="1" w:anchor="_Toc30496855">
            <w:r w:rsidRPr="005D0B6F" w:rsidR="001034F0">
              <w:rPr>
                <w:rStyle w:val="Hyperlink"/>
                <w:noProof/>
              </w:rPr>
              <w:t>12.</w:t>
            </w:r>
            <w:r w:rsidR="001034F0">
              <w:rPr>
                <w:rFonts w:asciiTheme="minorHAnsi" w:hAnsiTheme="minorHAnsi" w:eastAsiaTheme="minorEastAsia" w:cstheme="minorBidi"/>
                <w:noProof/>
                <w:sz w:val="22"/>
                <w:szCs w:val="22"/>
              </w:rPr>
              <w:tab/>
            </w:r>
            <w:r w:rsidRPr="005D0B6F" w:rsidR="001034F0">
              <w:rPr>
                <w:rStyle w:val="Hyperlink"/>
                <w:noProof/>
              </w:rPr>
              <w:t>Estimates of Annualized Burden Hours and Costs</w:t>
            </w:r>
            <w:r w:rsidR="001034F0">
              <w:rPr>
                <w:noProof/>
                <w:webHidden/>
              </w:rPr>
              <w:tab/>
            </w:r>
            <w:r w:rsidR="001034F0">
              <w:rPr>
                <w:noProof/>
                <w:webHidden/>
              </w:rPr>
              <w:fldChar w:fldCharType="begin"/>
            </w:r>
            <w:r w:rsidR="001034F0">
              <w:rPr>
                <w:noProof/>
                <w:webHidden/>
              </w:rPr>
              <w:instrText xml:space="preserve"> PAGEREF _Toc30496855 \h </w:instrText>
            </w:r>
            <w:r w:rsidR="001034F0">
              <w:rPr>
                <w:noProof/>
                <w:webHidden/>
              </w:rPr>
            </w:r>
            <w:r w:rsidR="001034F0">
              <w:rPr>
                <w:noProof/>
                <w:webHidden/>
              </w:rPr>
              <w:fldChar w:fldCharType="separate"/>
            </w:r>
            <w:r w:rsidR="001034F0">
              <w:rPr>
                <w:noProof/>
                <w:webHidden/>
              </w:rPr>
              <w:t>8</w:t>
            </w:r>
            <w:r w:rsidR="001034F0">
              <w:rPr>
                <w:noProof/>
                <w:webHidden/>
              </w:rPr>
              <w:fldChar w:fldCharType="end"/>
            </w:r>
          </w:hyperlink>
        </w:p>
        <w:p w:rsidR="001034F0" w:rsidRDefault="00D14278" w14:paraId="43C18158" w14:textId="54AEB286">
          <w:pPr>
            <w:pStyle w:val="TOC2"/>
            <w:tabs>
              <w:tab w:val="left" w:pos="1100"/>
              <w:tab w:val="right" w:leader="dot" w:pos="10070"/>
            </w:tabs>
            <w:rPr>
              <w:rFonts w:asciiTheme="minorHAnsi" w:hAnsiTheme="minorHAnsi" w:eastAsiaTheme="minorEastAsia" w:cstheme="minorBidi"/>
              <w:noProof/>
              <w:sz w:val="22"/>
              <w:szCs w:val="22"/>
            </w:rPr>
          </w:pPr>
          <w:hyperlink w:history="1" w:anchor="_Toc30496856">
            <w:r w:rsidRPr="005D0B6F" w:rsidR="001034F0">
              <w:rPr>
                <w:rStyle w:val="Hyperlink"/>
                <w:noProof/>
              </w:rPr>
              <w:t>12A.</w:t>
            </w:r>
            <w:r w:rsidR="001034F0">
              <w:rPr>
                <w:rFonts w:asciiTheme="minorHAnsi" w:hAnsiTheme="minorHAnsi" w:eastAsiaTheme="minorEastAsia" w:cstheme="minorBidi"/>
                <w:noProof/>
                <w:sz w:val="22"/>
                <w:szCs w:val="22"/>
              </w:rPr>
              <w:tab/>
            </w:r>
            <w:r w:rsidRPr="005D0B6F" w:rsidR="001034F0">
              <w:rPr>
                <w:rStyle w:val="Hyperlink"/>
                <w:noProof/>
              </w:rPr>
              <w:t>Estimated Annualized Burden Hours</w:t>
            </w:r>
            <w:r w:rsidR="001034F0">
              <w:rPr>
                <w:noProof/>
                <w:webHidden/>
              </w:rPr>
              <w:tab/>
            </w:r>
            <w:r w:rsidR="001034F0">
              <w:rPr>
                <w:noProof/>
                <w:webHidden/>
              </w:rPr>
              <w:fldChar w:fldCharType="begin"/>
            </w:r>
            <w:r w:rsidR="001034F0">
              <w:rPr>
                <w:noProof/>
                <w:webHidden/>
              </w:rPr>
              <w:instrText xml:space="preserve"> PAGEREF _Toc30496856 \h </w:instrText>
            </w:r>
            <w:r w:rsidR="001034F0">
              <w:rPr>
                <w:noProof/>
                <w:webHidden/>
              </w:rPr>
            </w:r>
            <w:r w:rsidR="001034F0">
              <w:rPr>
                <w:noProof/>
                <w:webHidden/>
              </w:rPr>
              <w:fldChar w:fldCharType="separate"/>
            </w:r>
            <w:r w:rsidR="001034F0">
              <w:rPr>
                <w:noProof/>
                <w:webHidden/>
              </w:rPr>
              <w:t>8</w:t>
            </w:r>
            <w:r w:rsidR="001034F0">
              <w:rPr>
                <w:noProof/>
                <w:webHidden/>
              </w:rPr>
              <w:fldChar w:fldCharType="end"/>
            </w:r>
          </w:hyperlink>
        </w:p>
        <w:p w:rsidR="001034F0" w:rsidRDefault="00D14278" w14:paraId="718BEC80" w14:textId="4AB62EA3">
          <w:pPr>
            <w:pStyle w:val="TOC2"/>
            <w:tabs>
              <w:tab w:val="left" w:pos="1100"/>
              <w:tab w:val="right" w:leader="dot" w:pos="10070"/>
            </w:tabs>
            <w:rPr>
              <w:rFonts w:asciiTheme="minorHAnsi" w:hAnsiTheme="minorHAnsi" w:eastAsiaTheme="minorEastAsia" w:cstheme="minorBidi"/>
              <w:noProof/>
              <w:sz w:val="22"/>
              <w:szCs w:val="22"/>
            </w:rPr>
          </w:pPr>
          <w:hyperlink w:history="1" w:anchor="_Toc30496857">
            <w:r w:rsidRPr="005D0B6F" w:rsidR="001034F0">
              <w:rPr>
                <w:rStyle w:val="Hyperlink"/>
                <w:noProof/>
              </w:rPr>
              <w:t>12B.</w:t>
            </w:r>
            <w:r w:rsidR="001034F0">
              <w:rPr>
                <w:rFonts w:asciiTheme="minorHAnsi" w:hAnsiTheme="minorHAnsi" w:eastAsiaTheme="minorEastAsia" w:cstheme="minorBidi"/>
                <w:noProof/>
                <w:sz w:val="22"/>
                <w:szCs w:val="22"/>
              </w:rPr>
              <w:tab/>
            </w:r>
            <w:r w:rsidRPr="005D0B6F" w:rsidR="001034F0">
              <w:rPr>
                <w:rStyle w:val="Hyperlink"/>
                <w:noProof/>
              </w:rPr>
              <w:t>Estimated Annualized Burden Costs</w:t>
            </w:r>
            <w:r w:rsidR="001034F0">
              <w:rPr>
                <w:noProof/>
                <w:webHidden/>
              </w:rPr>
              <w:tab/>
            </w:r>
            <w:r w:rsidR="001034F0">
              <w:rPr>
                <w:noProof/>
                <w:webHidden/>
              </w:rPr>
              <w:fldChar w:fldCharType="begin"/>
            </w:r>
            <w:r w:rsidR="001034F0">
              <w:rPr>
                <w:noProof/>
                <w:webHidden/>
              </w:rPr>
              <w:instrText xml:space="preserve"> PAGEREF _Toc30496857 \h </w:instrText>
            </w:r>
            <w:r w:rsidR="001034F0">
              <w:rPr>
                <w:noProof/>
                <w:webHidden/>
              </w:rPr>
            </w:r>
            <w:r w:rsidR="001034F0">
              <w:rPr>
                <w:noProof/>
                <w:webHidden/>
              </w:rPr>
              <w:fldChar w:fldCharType="separate"/>
            </w:r>
            <w:r w:rsidR="001034F0">
              <w:rPr>
                <w:noProof/>
                <w:webHidden/>
              </w:rPr>
              <w:t>8</w:t>
            </w:r>
            <w:r w:rsidR="001034F0">
              <w:rPr>
                <w:noProof/>
                <w:webHidden/>
              </w:rPr>
              <w:fldChar w:fldCharType="end"/>
            </w:r>
          </w:hyperlink>
        </w:p>
        <w:p w:rsidR="001034F0" w:rsidRDefault="00D14278" w14:paraId="1FFCDB0B" w14:textId="6A21B9C4">
          <w:pPr>
            <w:pStyle w:val="TOC1"/>
            <w:rPr>
              <w:rFonts w:asciiTheme="minorHAnsi" w:hAnsiTheme="minorHAnsi" w:eastAsiaTheme="minorEastAsia" w:cstheme="minorBidi"/>
              <w:noProof/>
              <w:sz w:val="22"/>
              <w:szCs w:val="22"/>
            </w:rPr>
          </w:pPr>
          <w:hyperlink w:history="1" w:anchor="_Toc30496858">
            <w:r w:rsidRPr="005D0B6F" w:rsidR="001034F0">
              <w:rPr>
                <w:rStyle w:val="Hyperlink"/>
                <w:noProof/>
              </w:rPr>
              <w:t>13.</w:t>
            </w:r>
            <w:r w:rsidR="001034F0">
              <w:rPr>
                <w:rFonts w:asciiTheme="minorHAnsi" w:hAnsiTheme="minorHAnsi" w:eastAsiaTheme="minorEastAsia" w:cstheme="minorBidi"/>
                <w:noProof/>
                <w:sz w:val="22"/>
                <w:szCs w:val="22"/>
              </w:rPr>
              <w:tab/>
            </w:r>
            <w:r w:rsidRPr="005D0B6F" w:rsidR="001034F0">
              <w:rPr>
                <w:rStyle w:val="Hyperlink"/>
                <w:noProof/>
              </w:rPr>
              <w:t>Estimates of Other Total Annual Cost Burden to Respondents and Record Keepers</w:t>
            </w:r>
            <w:r w:rsidR="001034F0">
              <w:rPr>
                <w:noProof/>
                <w:webHidden/>
              </w:rPr>
              <w:tab/>
            </w:r>
            <w:r w:rsidR="001034F0">
              <w:rPr>
                <w:noProof/>
                <w:webHidden/>
              </w:rPr>
              <w:fldChar w:fldCharType="begin"/>
            </w:r>
            <w:r w:rsidR="001034F0">
              <w:rPr>
                <w:noProof/>
                <w:webHidden/>
              </w:rPr>
              <w:instrText xml:space="preserve"> PAGEREF _Toc30496858 \h </w:instrText>
            </w:r>
            <w:r w:rsidR="001034F0">
              <w:rPr>
                <w:noProof/>
                <w:webHidden/>
              </w:rPr>
            </w:r>
            <w:r w:rsidR="001034F0">
              <w:rPr>
                <w:noProof/>
                <w:webHidden/>
              </w:rPr>
              <w:fldChar w:fldCharType="separate"/>
            </w:r>
            <w:r w:rsidR="001034F0">
              <w:rPr>
                <w:noProof/>
                <w:webHidden/>
              </w:rPr>
              <w:t>8</w:t>
            </w:r>
            <w:r w:rsidR="001034F0">
              <w:rPr>
                <w:noProof/>
                <w:webHidden/>
              </w:rPr>
              <w:fldChar w:fldCharType="end"/>
            </w:r>
          </w:hyperlink>
        </w:p>
        <w:p w:rsidR="001034F0" w:rsidRDefault="00D14278" w14:paraId="426C083E" w14:textId="772DC350">
          <w:pPr>
            <w:pStyle w:val="TOC1"/>
            <w:rPr>
              <w:rFonts w:asciiTheme="minorHAnsi" w:hAnsiTheme="minorHAnsi" w:eastAsiaTheme="minorEastAsia" w:cstheme="minorBidi"/>
              <w:noProof/>
              <w:sz w:val="22"/>
              <w:szCs w:val="22"/>
            </w:rPr>
          </w:pPr>
          <w:hyperlink w:history="1" w:anchor="_Toc30496859">
            <w:r w:rsidRPr="005D0B6F" w:rsidR="001034F0">
              <w:rPr>
                <w:rStyle w:val="Hyperlink"/>
                <w:noProof/>
              </w:rPr>
              <w:t>14.</w:t>
            </w:r>
            <w:r w:rsidR="001034F0">
              <w:rPr>
                <w:rFonts w:asciiTheme="minorHAnsi" w:hAnsiTheme="minorHAnsi" w:eastAsiaTheme="minorEastAsia" w:cstheme="minorBidi"/>
                <w:noProof/>
                <w:sz w:val="22"/>
                <w:szCs w:val="22"/>
              </w:rPr>
              <w:tab/>
            </w:r>
            <w:r w:rsidRPr="005D0B6F" w:rsidR="001034F0">
              <w:rPr>
                <w:rStyle w:val="Hyperlink"/>
                <w:noProof/>
              </w:rPr>
              <w:t>Annualized Cost to the Federal Government</w:t>
            </w:r>
            <w:r w:rsidR="001034F0">
              <w:rPr>
                <w:noProof/>
                <w:webHidden/>
              </w:rPr>
              <w:tab/>
            </w:r>
            <w:r w:rsidR="001034F0">
              <w:rPr>
                <w:noProof/>
                <w:webHidden/>
              </w:rPr>
              <w:fldChar w:fldCharType="begin"/>
            </w:r>
            <w:r w:rsidR="001034F0">
              <w:rPr>
                <w:noProof/>
                <w:webHidden/>
              </w:rPr>
              <w:instrText xml:space="preserve"> PAGEREF _Toc30496859 \h </w:instrText>
            </w:r>
            <w:r w:rsidR="001034F0">
              <w:rPr>
                <w:noProof/>
                <w:webHidden/>
              </w:rPr>
            </w:r>
            <w:r w:rsidR="001034F0">
              <w:rPr>
                <w:noProof/>
                <w:webHidden/>
              </w:rPr>
              <w:fldChar w:fldCharType="separate"/>
            </w:r>
            <w:r w:rsidR="001034F0">
              <w:rPr>
                <w:noProof/>
                <w:webHidden/>
              </w:rPr>
              <w:t>9</w:t>
            </w:r>
            <w:r w:rsidR="001034F0">
              <w:rPr>
                <w:noProof/>
                <w:webHidden/>
              </w:rPr>
              <w:fldChar w:fldCharType="end"/>
            </w:r>
          </w:hyperlink>
        </w:p>
        <w:p w:rsidR="001034F0" w:rsidRDefault="00D14278" w14:paraId="458504CB" w14:textId="6B63A27C">
          <w:pPr>
            <w:pStyle w:val="TOC1"/>
            <w:rPr>
              <w:rFonts w:asciiTheme="minorHAnsi" w:hAnsiTheme="minorHAnsi" w:eastAsiaTheme="minorEastAsia" w:cstheme="minorBidi"/>
              <w:noProof/>
              <w:sz w:val="22"/>
              <w:szCs w:val="22"/>
            </w:rPr>
          </w:pPr>
          <w:hyperlink w:history="1" w:anchor="_Toc30496860">
            <w:r w:rsidRPr="005D0B6F" w:rsidR="001034F0">
              <w:rPr>
                <w:rStyle w:val="Hyperlink"/>
                <w:noProof/>
              </w:rPr>
              <w:t>15.</w:t>
            </w:r>
            <w:r w:rsidR="001034F0">
              <w:rPr>
                <w:rFonts w:asciiTheme="minorHAnsi" w:hAnsiTheme="minorHAnsi" w:eastAsiaTheme="minorEastAsia" w:cstheme="minorBidi"/>
                <w:noProof/>
                <w:sz w:val="22"/>
                <w:szCs w:val="22"/>
              </w:rPr>
              <w:tab/>
            </w:r>
            <w:r w:rsidRPr="005D0B6F" w:rsidR="001034F0">
              <w:rPr>
                <w:rStyle w:val="Hyperlink"/>
                <w:noProof/>
              </w:rPr>
              <w:t>Explanation for Program Changes or Adjustments</w:t>
            </w:r>
            <w:r w:rsidR="001034F0">
              <w:rPr>
                <w:noProof/>
                <w:webHidden/>
              </w:rPr>
              <w:tab/>
            </w:r>
            <w:r w:rsidR="001034F0">
              <w:rPr>
                <w:noProof/>
                <w:webHidden/>
              </w:rPr>
              <w:fldChar w:fldCharType="begin"/>
            </w:r>
            <w:r w:rsidR="001034F0">
              <w:rPr>
                <w:noProof/>
                <w:webHidden/>
              </w:rPr>
              <w:instrText xml:space="preserve"> PAGEREF _Toc30496860 \h </w:instrText>
            </w:r>
            <w:r w:rsidR="001034F0">
              <w:rPr>
                <w:noProof/>
                <w:webHidden/>
              </w:rPr>
            </w:r>
            <w:r w:rsidR="001034F0">
              <w:rPr>
                <w:noProof/>
                <w:webHidden/>
              </w:rPr>
              <w:fldChar w:fldCharType="separate"/>
            </w:r>
            <w:r w:rsidR="001034F0">
              <w:rPr>
                <w:noProof/>
                <w:webHidden/>
              </w:rPr>
              <w:t>9</w:t>
            </w:r>
            <w:r w:rsidR="001034F0">
              <w:rPr>
                <w:noProof/>
                <w:webHidden/>
              </w:rPr>
              <w:fldChar w:fldCharType="end"/>
            </w:r>
          </w:hyperlink>
        </w:p>
        <w:p w:rsidR="001034F0" w:rsidRDefault="00D14278" w14:paraId="1B15CA86" w14:textId="6987EC9B">
          <w:pPr>
            <w:pStyle w:val="TOC1"/>
            <w:rPr>
              <w:rFonts w:asciiTheme="minorHAnsi" w:hAnsiTheme="minorHAnsi" w:eastAsiaTheme="minorEastAsia" w:cstheme="minorBidi"/>
              <w:noProof/>
              <w:sz w:val="22"/>
              <w:szCs w:val="22"/>
            </w:rPr>
          </w:pPr>
          <w:hyperlink w:history="1" w:anchor="_Toc30496861">
            <w:r w:rsidRPr="005D0B6F" w:rsidR="001034F0">
              <w:rPr>
                <w:rStyle w:val="Hyperlink"/>
                <w:noProof/>
              </w:rPr>
              <w:t>16.</w:t>
            </w:r>
            <w:r w:rsidR="001034F0">
              <w:rPr>
                <w:rFonts w:asciiTheme="minorHAnsi" w:hAnsiTheme="minorHAnsi" w:eastAsiaTheme="minorEastAsia" w:cstheme="minorBidi"/>
                <w:noProof/>
                <w:sz w:val="22"/>
                <w:szCs w:val="22"/>
              </w:rPr>
              <w:tab/>
            </w:r>
            <w:r w:rsidRPr="005D0B6F" w:rsidR="001034F0">
              <w:rPr>
                <w:rStyle w:val="Hyperlink"/>
                <w:noProof/>
              </w:rPr>
              <w:t>Plans for Tabulation and Publication and Project Time Schedule</w:t>
            </w:r>
            <w:r w:rsidR="001034F0">
              <w:rPr>
                <w:noProof/>
                <w:webHidden/>
              </w:rPr>
              <w:tab/>
            </w:r>
            <w:r w:rsidR="001034F0">
              <w:rPr>
                <w:noProof/>
                <w:webHidden/>
              </w:rPr>
              <w:fldChar w:fldCharType="begin"/>
            </w:r>
            <w:r w:rsidR="001034F0">
              <w:rPr>
                <w:noProof/>
                <w:webHidden/>
              </w:rPr>
              <w:instrText xml:space="preserve"> PAGEREF _Toc30496861 \h </w:instrText>
            </w:r>
            <w:r w:rsidR="001034F0">
              <w:rPr>
                <w:noProof/>
                <w:webHidden/>
              </w:rPr>
            </w:r>
            <w:r w:rsidR="001034F0">
              <w:rPr>
                <w:noProof/>
                <w:webHidden/>
              </w:rPr>
              <w:fldChar w:fldCharType="separate"/>
            </w:r>
            <w:r w:rsidR="001034F0">
              <w:rPr>
                <w:noProof/>
                <w:webHidden/>
              </w:rPr>
              <w:t>9</w:t>
            </w:r>
            <w:r w:rsidR="001034F0">
              <w:rPr>
                <w:noProof/>
                <w:webHidden/>
              </w:rPr>
              <w:fldChar w:fldCharType="end"/>
            </w:r>
          </w:hyperlink>
        </w:p>
        <w:p w:rsidR="001034F0" w:rsidRDefault="00D14278" w14:paraId="2E0723F0" w14:textId="33D9FB5D">
          <w:pPr>
            <w:pStyle w:val="TOC1"/>
            <w:rPr>
              <w:rFonts w:asciiTheme="minorHAnsi" w:hAnsiTheme="minorHAnsi" w:eastAsiaTheme="minorEastAsia" w:cstheme="minorBidi"/>
              <w:noProof/>
              <w:sz w:val="22"/>
              <w:szCs w:val="22"/>
            </w:rPr>
          </w:pPr>
          <w:hyperlink w:history="1" w:anchor="_Toc30496862">
            <w:r w:rsidRPr="005D0B6F" w:rsidR="001034F0">
              <w:rPr>
                <w:rStyle w:val="Hyperlink"/>
                <w:noProof/>
              </w:rPr>
              <w:t>17.</w:t>
            </w:r>
            <w:r w:rsidR="001034F0">
              <w:rPr>
                <w:rFonts w:asciiTheme="minorHAnsi" w:hAnsiTheme="minorHAnsi" w:eastAsiaTheme="minorEastAsia" w:cstheme="minorBidi"/>
                <w:noProof/>
                <w:sz w:val="22"/>
                <w:szCs w:val="22"/>
              </w:rPr>
              <w:tab/>
            </w:r>
            <w:r w:rsidRPr="005D0B6F" w:rsidR="001034F0">
              <w:rPr>
                <w:rStyle w:val="Hyperlink"/>
                <w:noProof/>
              </w:rPr>
              <w:t>Reason(s) Display of OMB Expiration Date is Inappropriate</w:t>
            </w:r>
            <w:r w:rsidR="001034F0">
              <w:rPr>
                <w:noProof/>
                <w:webHidden/>
              </w:rPr>
              <w:tab/>
            </w:r>
            <w:r w:rsidR="001034F0">
              <w:rPr>
                <w:noProof/>
                <w:webHidden/>
              </w:rPr>
              <w:fldChar w:fldCharType="begin"/>
            </w:r>
            <w:r w:rsidR="001034F0">
              <w:rPr>
                <w:noProof/>
                <w:webHidden/>
              </w:rPr>
              <w:instrText xml:space="preserve"> PAGEREF _Toc30496862 \h </w:instrText>
            </w:r>
            <w:r w:rsidR="001034F0">
              <w:rPr>
                <w:noProof/>
                <w:webHidden/>
              </w:rPr>
            </w:r>
            <w:r w:rsidR="001034F0">
              <w:rPr>
                <w:noProof/>
                <w:webHidden/>
              </w:rPr>
              <w:fldChar w:fldCharType="separate"/>
            </w:r>
            <w:r w:rsidR="001034F0">
              <w:rPr>
                <w:noProof/>
                <w:webHidden/>
              </w:rPr>
              <w:t>9</w:t>
            </w:r>
            <w:r w:rsidR="001034F0">
              <w:rPr>
                <w:noProof/>
                <w:webHidden/>
              </w:rPr>
              <w:fldChar w:fldCharType="end"/>
            </w:r>
          </w:hyperlink>
        </w:p>
        <w:p w:rsidR="001034F0" w:rsidRDefault="00D14278" w14:paraId="62FA7CEF" w14:textId="6548B986">
          <w:pPr>
            <w:pStyle w:val="TOC1"/>
            <w:rPr>
              <w:rFonts w:asciiTheme="minorHAnsi" w:hAnsiTheme="minorHAnsi" w:eastAsiaTheme="minorEastAsia" w:cstheme="minorBidi"/>
              <w:noProof/>
              <w:sz w:val="22"/>
              <w:szCs w:val="22"/>
            </w:rPr>
          </w:pPr>
          <w:hyperlink w:history="1" w:anchor="_Toc30496863">
            <w:r w:rsidRPr="005D0B6F" w:rsidR="001034F0">
              <w:rPr>
                <w:rStyle w:val="Hyperlink"/>
                <w:noProof/>
              </w:rPr>
              <w:t>18.</w:t>
            </w:r>
            <w:r w:rsidR="001034F0">
              <w:rPr>
                <w:rFonts w:asciiTheme="minorHAnsi" w:hAnsiTheme="minorHAnsi" w:eastAsiaTheme="minorEastAsia" w:cstheme="minorBidi"/>
                <w:noProof/>
                <w:sz w:val="22"/>
                <w:szCs w:val="22"/>
              </w:rPr>
              <w:tab/>
            </w:r>
            <w:r w:rsidRPr="005D0B6F" w:rsidR="001034F0">
              <w:rPr>
                <w:rStyle w:val="Hyperlink"/>
                <w:noProof/>
              </w:rPr>
              <w:t>Exceptions to Certification for Paperwork Reduction Act Submissions</w:t>
            </w:r>
            <w:r w:rsidR="001034F0">
              <w:rPr>
                <w:noProof/>
                <w:webHidden/>
              </w:rPr>
              <w:tab/>
            </w:r>
            <w:r w:rsidR="001034F0">
              <w:rPr>
                <w:noProof/>
                <w:webHidden/>
              </w:rPr>
              <w:fldChar w:fldCharType="begin"/>
            </w:r>
            <w:r w:rsidR="001034F0">
              <w:rPr>
                <w:noProof/>
                <w:webHidden/>
              </w:rPr>
              <w:instrText xml:space="preserve"> PAGEREF _Toc30496863 \h </w:instrText>
            </w:r>
            <w:r w:rsidR="001034F0">
              <w:rPr>
                <w:noProof/>
                <w:webHidden/>
              </w:rPr>
            </w:r>
            <w:r w:rsidR="001034F0">
              <w:rPr>
                <w:noProof/>
                <w:webHidden/>
              </w:rPr>
              <w:fldChar w:fldCharType="separate"/>
            </w:r>
            <w:r w:rsidR="001034F0">
              <w:rPr>
                <w:noProof/>
                <w:webHidden/>
              </w:rPr>
              <w:t>10</w:t>
            </w:r>
            <w:r w:rsidR="001034F0">
              <w:rPr>
                <w:noProof/>
                <w:webHidden/>
              </w:rPr>
              <w:fldChar w:fldCharType="end"/>
            </w:r>
          </w:hyperlink>
        </w:p>
        <w:p w:rsidR="00B12EA3" w:rsidP="003B3841" w:rsidRDefault="00B12EA3" w14:paraId="1BBE6876" w14:textId="2C94183B">
          <w:pPr>
            <w:mirrorIndents/>
          </w:pPr>
          <w:r w:rsidRPr="00B12EA3">
            <w:rPr>
              <w:bCs/>
              <w:noProof/>
            </w:rPr>
            <w:fldChar w:fldCharType="end"/>
          </w:r>
        </w:p>
      </w:sdtContent>
    </w:sdt>
    <w:p w:rsidR="009221FF" w:rsidP="003B3841" w:rsidRDefault="009221FF" w14:paraId="054F860B" w14:textId="56D5F962">
      <w:pPr>
        <w:pStyle w:val="NoSpacing"/>
        <w:pBdr>
          <w:bottom w:val="single" w:color="auto" w:sz="4" w:space="1"/>
        </w:pBdr>
        <w:mirrorIndents/>
        <w:rPr>
          <w:b/>
        </w:rPr>
      </w:pPr>
      <w:r>
        <w:rPr>
          <w:b/>
        </w:rPr>
        <w:t>EXHIBITS</w:t>
      </w:r>
    </w:p>
    <w:p w:rsidRPr="009221FF" w:rsidR="009221FF" w:rsidP="003B3841" w:rsidRDefault="009221FF" w14:paraId="0B9738F4" w14:textId="77777777">
      <w:pPr>
        <w:pStyle w:val="NoSpacing"/>
        <w:mirrorIndents/>
        <w:rPr>
          <w:b/>
        </w:rPr>
      </w:pPr>
    </w:p>
    <w:p w:rsidR="00B67AEF" w:rsidRDefault="009221FF" w14:paraId="4C094090" w14:textId="76093715">
      <w:pPr>
        <w:pStyle w:val="TableofFigures"/>
        <w:tabs>
          <w:tab w:val="right" w:leader="dot" w:pos="10070"/>
        </w:tabs>
        <w:rPr>
          <w:rFonts w:asciiTheme="minorHAnsi" w:hAnsiTheme="minorHAnsi" w:eastAsiaTheme="minorEastAsia" w:cstheme="minorBidi"/>
          <w:noProof/>
          <w:sz w:val="22"/>
          <w:szCs w:val="22"/>
        </w:rPr>
      </w:pPr>
      <w:r>
        <w:rPr>
          <w:b/>
        </w:rPr>
        <w:fldChar w:fldCharType="begin"/>
      </w:r>
      <w:r>
        <w:rPr>
          <w:b/>
        </w:rPr>
        <w:instrText xml:space="preserve"> TOC \h \z \c "Exhibit" </w:instrText>
      </w:r>
      <w:r>
        <w:rPr>
          <w:b/>
        </w:rPr>
        <w:fldChar w:fldCharType="separate"/>
      </w:r>
      <w:hyperlink w:history="1" w:anchor="_Toc23939753">
        <w:r w:rsidRPr="004A3D72" w:rsidR="00B67AEF">
          <w:rPr>
            <w:rStyle w:val="Hyperlink"/>
            <w:noProof/>
          </w:rPr>
          <w:t>Exhibit 2.1: Overview of Key Variables</w:t>
        </w:r>
        <w:r w:rsidR="00B67AEF">
          <w:rPr>
            <w:noProof/>
            <w:webHidden/>
          </w:rPr>
          <w:tab/>
        </w:r>
        <w:r w:rsidR="00B67AEF">
          <w:rPr>
            <w:noProof/>
            <w:webHidden/>
          </w:rPr>
          <w:fldChar w:fldCharType="begin"/>
        </w:r>
        <w:r w:rsidR="00B67AEF">
          <w:rPr>
            <w:noProof/>
            <w:webHidden/>
          </w:rPr>
          <w:instrText xml:space="preserve"> PAGEREF _Toc23939753 \h </w:instrText>
        </w:r>
        <w:r w:rsidR="00B67AEF">
          <w:rPr>
            <w:noProof/>
            <w:webHidden/>
          </w:rPr>
        </w:r>
        <w:r w:rsidR="00B67AEF">
          <w:rPr>
            <w:noProof/>
            <w:webHidden/>
          </w:rPr>
          <w:fldChar w:fldCharType="separate"/>
        </w:r>
        <w:r w:rsidR="00B67AEF">
          <w:rPr>
            <w:noProof/>
            <w:webHidden/>
          </w:rPr>
          <w:t>5</w:t>
        </w:r>
        <w:r w:rsidR="00B67AEF">
          <w:rPr>
            <w:noProof/>
            <w:webHidden/>
          </w:rPr>
          <w:fldChar w:fldCharType="end"/>
        </w:r>
      </w:hyperlink>
    </w:p>
    <w:p w:rsidR="00B67AEF" w:rsidRDefault="00D14278" w14:paraId="19FEA90F" w14:textId="51E50321">
      <w:pPr>
        <w:pStyle w:val="TableofFigures"/>
        <w:tabs>
          <w:tab w:val="right" w:leader="dot" w:pos="10070"/>
        </w:tabs>
        <w:rPr>
          <w:rFonts w:asciiTheme="minorHAnsi" w:hAnsiTheme="minorHAnsi" w:eastAsiaTheme="minorEastAsia" w:cstheme="minorBidi"/>
          <w:noProof/>
          <w:sz w:val="22"/>
          <w:szCs w:val="22"/>
        </w:rPr>
      </w:pPr>
      <w:hyperlink w:history="1" w:anchor="_Toc23939754">
        <w:r w:rsidRPr="004A3D72" w:rsidR="00B67AEF">
          <w:rPr>
            <w:rStyle w:val="Hyperlink"/>
            <w:noProof/>
          </w:rPr>
          <w:t>Exhibit 12.1: Estimated Annualized Burden Hours</w:t>
        </w:r>
        <w:r w:rsidR="00B67AEF">
          <w:rPr>
            <w:noProof/>
            <w:webHidden/>
          </w:rPr>
          <w:tab/>
        </w:r>
        <w:r w:rsidR="00B67AEF">
          <w:rPr>
            <w:noProof/>
            <w:webHidden/>
          </w:rPr>
          <w:fldChar w:fldCharType="begin"/>
        </w:r>
        <w:r w:rsidR="00B67AEF">
          <w:rPr>
            <w:noProof/>
            <w:webHidden/>
          </w:rPr>
          <w:instrText xml:space="preserve"> PAGEREF _Toc23939754 \h </w:instrText>
        </w:r>
        <w:r w:rsidR="00B67AEF">
          <w:rPr>
            <w:noProof/>
            <w:webHidden/>
          </w:rPr>
        </w:r>
        <w:r w:rsidR="00B67AEF">
          <w:rPr>
            <w:noProof/>
            <w:webHidden/>
          </w:rPr>
          <w:fldChar w:fldCharType="separate"/>
        </w:r>
        <w:r w:rsidR="00B67AEF">
          <w:rPr>
            <w:noProof/>
            <w:webHidden/>
          </w:rPr>
          <w:t>8</w:t>
        </w:r>
        <w:r w:rsidR="00B67AEF">
          <w:rPr>
            <w:noProof/>
            <w:webHidden/>
          </w:rPr>
          <w:fldChar w:fldCharType="end"/>
        </w:r>
      </w:hyperlink>
    </w:p>
    <w:p w:rsidR="00B67AEF" w:rsidRDefault="00D14278" w14:paraId="59A868A2" w14:textId="79A2FFDA">
      <w:pPr>
        <w:pStyle w:val="TableofFigures"/>
        <w:tabs>
          <w:tab w:val="right" w:leader="dot" w:pos="10070"/>
        </w:tabs>
        <w:rPr>
          <w:rFonts w:asciiTheme="minorHAnsi" w:hAnsiTheme="minorHAnsi" w:eastAsiaTheme="minorEastAsia" w:cstheme="minorBidi"/>
          <w:noProof/>
          <w:sz w:val="22"/>
          <w:szCs w:val="22"/>
        </w:rPr>
      </w:pPr>
      <w:hyperlink w:history="1" w:anchor="_Toc23939755">
        <w:r w:rsidRPr="004A3D72" w:rsidR="00B67AEF">
          <w:rPr>
            <w:rStyle w:val="Hyperlink"/>
            <w:noProof/>
          </w:rPr>
          <w:t>Exhibit 12.2: Estimated Annualized Burden Costs</w:t>
        </w:r>
        <w:r w:rsidR="00B67AEF">
          <w:rPr>
            <w:noProof/>
            <w:webHidden/>
          </w:rPr>
          <w:tab/>
        </w:r>
        <w:r w:rsidR="00B67AEF">
          <w:rPr>
            <w:noProof/>
            <w:webHidden/>
          </w:rPr>
          <w:fldChar w:fldCharType="begin"/>
        </w:r>
        <w:r w:rsidR="00B67AEF">
          <w:rPr>
            <w:noProof/>
            <w:webHidden/>
          </w:rPr>
          <w:instrText xml:space="preserve"> PAGEREF _Toc23939755 \h </w:instrText>
        </w:r>
        <w:r w:rsidR="00B67AEF">
          <w:rPr>
            <w:noProof/>
            <w:webHidden/>
          </w:rPr>
        </w:r>
        <w:r w:rsidR="00B67AEF">
          <w:rPr>
            <w:noProof/>
            <w:webHidden/>
          </w:rPr>
          <w:fldChar w:fldCharType="separate"/>
        </w:r>
        <w:r w:rsidR="00B67AEF">
          <w:rPr>
            <w:noProof/>
            <w:webHidden/>
          </w:rPr>
          <w:t>8</w:t>
        </w:r>
        <w:r w:rsidR="00B67AEF">
          <w:rPr>
            <w:noProof/>
            <w:webHidden/>
          </w:rPr>
          <w:fldChar w:fldCharType="end"/>
        </w:r>
      </w:hyperlink>
    </w:p>
    <w:p w:rsidR="00B67AEF" w:rsidRDefault="00D14278" w14:paraId="2CC2F3EE" w14:textId="5456989E">
      <w:pPr>
        <w:pStyle w:val="TableofFigures"/>
        <w:tabs>
          <w:tab w:val="right" w:leader="dot" w:pos="10070"/>
        </w:tabs>
        <w:rPr>
          <w:rFonts w:asciiTheme="minorHAnsi" w:hAnsiTheme="minorHAnsi" w:eastAsiaTheme="minorEastAsia" w:cstheme="minorBidi"/>
          <w:noProof/>
          <w:sz w:val="22"/>
          <w:szCs w:val="22"/>
        </w:rPr>
      </w:pPr>
      <w:hyperlink w:history="1" w:anchor="_Toc23939756">
        <w:r w:rsidRPr="004A3D72" w:rsidR="00B67AEF">
          <w:rPr>
            <w:rStyle w:val="Hyperlink"/>
            <w:noProof/>
          </w:rPr>
          <w:t>Exhibit 14.1: Annualized Cost to the Government (2019 scale)</w:t>
        </w:r>
        <w:r w:rsidR="00B67AEF">
          <w:rPr>
            <w:noProof/>
            <w:webHidden/>
          </w:rPr>
          <w:tab/>
        </w:r>
        <w:r w:rsidR="00B67AEF">
          <w:rPr>
            <w:noProof/>
            <w:webHidden/>
          </w:rPr>
          <w:fldChar w:fldCharType="begin"/>
        </w:r>
        <w:r w:rsidR="00B67AEF">
          <w:rPr>
            <w:noProof/>
            <w:webHidden/>
          </w:rPr>
          <w:instrText xml:space="preserve"> PAGEREF _Toc23939756 \h </w:instrText>
        </w:r>
        <w:r w:rsidR="00B67AEF">
          <w:rPr>
            <w:noProof/>
            <w:webHidden/>
          </w:rPr>
        </w:r>
        <w:r w:rsidR="00B67AEF">
          <w:rPr>
            <w:noProof/>
            <w:webHidden/>
          </w:rPr>
          <w:fldChar w:fldCharType="separate"/>
        </w:r>
        <w:r w:rsidR="00B67AEF">
          <w:rPr>
            <w:noProof/>
            <w:webHidden/>
          </w:rPr>
          <w:t>9</w:t>
        </w:r>
        <w:r w:rsidR="00B67AEF">
          <w:rPr>
            <w:noProof/>
            <w:webHidden/>
          </w:rPr>
          <w:fldChar w:fldCharType="end"/>
        </w:r>
      </w:hyperlink>
    </w:p>
    <w:p w:rsidR="00B67AEF" w:rsidRDefault="00D14278" w14:paraId="4E14CC93" w14:textId="3DE4BF37">
      <w:pPr>
        <w:pStyle w:val="TableofFigures"/>
        <w:tabs>
          <w:tab w:val="right" w:leader="dot" w:pos="10070"/>
        </w:tabs>
        <w:rPr>
          <w:rFonts w:asciiTheme="minorHAnsi" w:hAnsiTheme="minorHAnsi" w:eastAsiaTheme="minorEastAsia" w:cstheme="minorBidi"/>
          <w:noProof/>
          <w:sz w:val="22"/>
          <w:szCs w:val="22"/>
        </w:rPr>
      </w:pPr>
      <w:hyperlink w:history="1" w:anchor="_Toc23939757">
        <w:r w:rsidRPr="004A3D72" w:rsidR="00B67AEF">
          <w:rPr>
            <w:rStyle w:val="Hyperlink"/>
            <w:noProof/>
          </w:rPr>
          <w:t>Exhibit 16.1: Project Time Schedule</w:t>
        </w:r>
        <w:r w:rsidR="00B67AEF">
          <w:rPr>
            <w:noProof/>
            <w:webHidden/>
          </w:rPr>
          <w:tab/>
        </w:r>
        <w:r w:rsidR="00B67AEF">
          <w:rPr>
            <w:noProof/>
            <w:webHidden/>
          </w:rPr>
          <w:fldChar w:fldCharType="begin"/>
        </w:r>
        <w:r w:rsidR="00B67AEF">
          <w:rPr>
            <w:noProof/>
            <w:webHidden/>
          </w:rPr>
          <w:instrText xml:space="preserve"> PAGEREF _Toc23939757 \h </w:instrText>
        </w:r>
        <w:r w:rsidR="00B67AEF">
          <w:rPr>
            <w:noProof/>
            <w:webHidden/>
          </w:rPr>
        </w:r>
        <w:r w:rsidR="00B67AEF">
          <w:rPr>
            <w:noProof/>
            <w:webHidden/>
          </w:rPr>
          <w:fldChar w:fldCharType="separate"/>
        </w:r>
        <w:r w:rsidR="00B67AEF">
          <w:rPr>
            <w:noProof/>
            <w:webHidden/>
          </w:rPr>
          <w:t>9</w:t>
        </w:r>
        <w:r w:rsidR="00B67AEF">
          <w:rPr>
            <w:noProof/>
            <w:webHidden/>
          </w:rPr>
          <w:fldChar w:fldCharType="end"/>
        </w:r>
      </w:hyperlink>
    </w:p>
    <w:p w:rsidR="003B3841" w:rsidP="003B3841" w:rsidRDefault="009221FF" w14:paraId="3FB7760C" w14:textId="2B8C9A54">
      <w:pPr>
        <w:pStyle w:val="NoSpacing"/>
        <w:mirrorIndents/>
        <w:rPr>
          <w:b/>
        </w:rPr>
      </w:pPr>
      <w:r>
        <w:fldChar w:fldCharType="end"/>
      </w:r>
    </w:p>
    <w:p w:rsidRPr="00C46977" w:rsidR="00347120" w:rsidP="003B3841" w:rsidRDefault="00347120" w14:paraId="2D50569E" w14:textId="2B3F8AAA">
      <w:pPr>
        <w:pStyle w:val="NoSpacing"/>
        <w:pBdr>
          <w:bottom w:val="single" w:color="auto" w:sz="4" w:space="1"/>
        </w:pBdr>
        <w:mirrorIndents/>
        <w:rPr>
          <w:b/>
        </w:rPr>
      </w:pPr>
      <w:r w:rsidRPr="00C46977">
        <w:rPr>
          <w:b/>
        </w:rPr>
        <w:t>LIST OF ATTACHMENTS</w:t>
      </w:r>
    </w:p>
    <w:p w:rsidR="00347120" w:rsidP="003B3841" w:rsidRDefault="00347120" w14:paraId="09F5260B" w14:textId="77777777">
      <w:pPr>
        <w:pStyle w:val="NoSpacing"/>
        <w:mirrorIndents/>
      </w:pPr>
    </w:p>
    <w:p w:rsidRPr="008146D6" w:rsidR="00E167BD" w:rsidP="003B3841" w:rsidRDefault="009951A9" w14:paraId="56218717" w14:textId="1D8C361A">
      <w:pPr>
        <w:pStyle w:val="NoSpacing"/>
        <w:tabs>
          <w:tab w:val="left" w:pos="360"/>
        </w:tabs>
        <w:mirrorIndents/>
      </w:pPr>
      <w:r w:rsidRPr="007405FB">
        <w:t>Attachment 1</w:t>
      </w:r>
      <w:r w:rsidRPr="008146D6" w:rsidR="00D96359">
        <w:t xml:space="preserve"> </w:t>
      </w:r>
      <w:r w:rsidRPr="008146D6" w:rsidR="002B4C91">
        <w:tab/>
      </w:r>
      <w:r w:rsidR="001034F0">
        <w:t xml:space="preserve">            </w:t>
      </w:r>
      <w:r w:rsidRPr="008146D6" w:rsidR="00E167BD">
        <w:t>Authorizing Legislation</w:t>
      </w:r>
    </w:p>
    <w:p w:rsidRPr="007405FB" w:rsidR="00E167BD" w:rsidP="003B3841" w:rsidRDefault="009951A9" w14:paraId="486A72D9" w14:textId="5385AAB1">
      <w:pPr>
        <w:pStyle w:val="NoSpacing"/>
        <w:tabs>
          <w:tab w:val="left" w:pos="360"/>
        </w:tabs>
        <w:mirrorIndents/>
      </w:pPr>
      <w:r w:rsidRPr="007405FB">
        <w:t xml:space="preserve">Attachment </w:t>
      </w:r>
      <w:r w:rsidRPr="007405FB" w:rsidR="008621C1">
        <w:t>2</w:t>
      </w:r>
      <w:r w:rsidRPr="007405FB" w:rsidR="00347120">
        <w:t xml:space="preserve"> </w:t>
      </w:r>
      <w:r w:rsidRPr="007405FB" w:rsidR="002B4C91">
        <w:tab/>
      </w:r>
      <w:r w:rsidR="001034F0">
        <w:t xml:space="preserve">            </w:t>
      </w:r>
      <w:r w:rsidR="00234850">
        <w:t>6</w:t>
      </w:r>
      <w:r w:rsidRPr="007405FB" w:rsidR="00E167BD">
        <w:t>0-Day FRN</w:t>
      </w:r>
    </w:p>
    <w:p w:rsidRPr="007405FB" w:rsidR="00E167BD" w:rsidP="003B3841" w:rsidRDefault="00E167BD" w14:paraId="40D44F77" w14:textId="4403C09C">
      <w:pPr>
        <w:pStyle w:val="NoSpacing"/>
        <w:tabs>
          <w:tab w:val="left" w:pos="360"/>
        </w:tabs>
        <w:mirrorIndents/>
      </w:pPr>
      <w:r w:rsidRPr="007405FB">
        <w:t>Attachment 3</w:t>
      </w:r>
      <w:r w:rsidRPr="007405FB">
        <w:tab/>
      </w:r>
      <w:r w:rsidRPr="007405FB">
        <w:tab/>
        <w:t>Telephone Script</w:t>
      </w:r>
    </w:p>
    <w:p w:rsidRPr="008146D6" w:rsidR="00E72740" w:rsidP="003B3841" w:rsidRDefault="00E167BD" w14:paraId="7032D2FF" w14:textId="69AE793C">
      <w:pPr>
        <w:pStyle w:val="NoSpacing"/>
        <w:tabs>
          <w:tab w:val="left" w:pos="360"/>
        </w:tabs>
        <w:mirrorIndents/>
      </w:pPr>
      <w:r w:rsidRPr="008146D6">
        <w:t>Attachment 4</w:t>
      </w:r>
      <w:r w:rsidRPr="008146D6">
        <w:tab/>
      </w:r>
      <w:r w:rsidRPr="008146D6">
        <w:tab/>
      </w:r>
      <w:r w:rsidRPr="008146D6" w:rsidR="002B6A90">
        <w:t>Invited organization nominee e-mail script</w:t>
      </w:r>
    </w:p>
    <w:p w:rsidR="00D96359" w:rsidP="003B3841" w:rsidRDefault="00D96359" w14:paraId="79606E93" w14:textId="1D8EBA80">
      <w:pPr>
        <w:pStyle w:val="NoSpacing"/>
        <w:tabs>
          <w:tab w:val="left" w:pos="360"/>
        </w:tabs>
        <w:mirrorIndents/>
      </w:pPr>
      <w:r w:rsidRPr="007405FB">
        <w:t xml:space="preserve">Attachment </w:t>
      </w:r>
      <w:r w:rsidRPr="007405FB" w:rsidR="00E167BD">
        <w:t>5</w:t>
      </w:r>
      <w:r w:rsidR="00344324">
        <w:t>a</w:t>
      </w:r>
      <w:r w:rsidRPr="008146D6" w:rsidR="002B4C91">
        <w:tab/>
      </w:r>
      <w:r w:rsidRPr="008146D6" w:rsidR="00AF7792">
        <w:t xml:space="preserve"> </w:t>
      </w:r>
      <w:r w:rsidRPr="008146D6" w:rsidR="001034F0">
        <w:t xml:space="preserve">           </w:t>
      </w:r>
      <w:r w:rsidRPr="008146D6" w:rsidR="002B6A90">
        <w:t>Community Based Organization HIV Prevention Needs Assessment Survey</w:t>
      </w:r>
    </w:p>
    <w:p w:rsidRPr="007405FB" w:rsidR="00344324" w:rsidP="00344324" w:rsidRDefault="00344324" w14:paraId="07958238" w14:textId="75E042FB">
      <w:pPr>
        <w:pStyle w:val="NoSpacing"/>
        <w:tabs>
          <w:tab w:val="left" w:pos="360"/>
        </w:tabs>
        <w:ind w:left="2160" w:hanging="2160"/>
        <w:mirrorIndents/>
      </w:pPr>
      <w:r>
        <w:t>Attachment 5b</w:t>
      </w:r>
      <w:r>
        <w:tab/>
      </w:r>
      <w:r w:rsidRPr="008146D6">
        <w:t>Community Based Organization HIV Prevention Needs Assessment Survey</w:t>
      </w:r>
      <w:r>
        <w:t xml:space="preserve"> - screenshot</w:t>
      </w:r>
    </w:p>
    <w:p w:rsidRPr="008146D6" w:rsidR="00347120" w:rsidP="003B3841" w:rsidRDefault="00D96359" w14:paraId="7E34262B" w14:textId="5776302B">
      <w:pPr>
        <w:pStyle w:val="NoSpacing"/>
        <w:tabs>
          <w:tab w:val="left" w:pos="360"/>
        </w:tabs>
        <w:mirrorIndents/>
      </w:pPr>
      <w:r w:rsidRPr="007405FB">
        <w:t>Attachment</w:t>
      </w:r>
      <w:r w:rsidRPr="008146D6">
        <w:t xml:space="preserve"> </w:t>
      </w:r>
      <w:r w:rsidRPr="007405FB" w:rsidR="00E167BD">
        <w:t>6</w:t>
      </w:r>
      <w:r w:rsidRPr="007405FB" w:rsidR="002B4C91">
        <w:tab/>
      </w:r>
      <w:r w:rsidRPr="007405FB" w:rsidR="00AF7792">
        <w:t xml:space="preserve">            </w:t>
      </w:r>
      <w:r w:rsidRPr="008146D6" w:rsidR="00491EB1">
        <w:t xml:space="preserve">CDC </w:t>
      </w:r>
      <w:r w:rsidRPr="008146D6" w:rsidR="00FA439F">
        <w:t xml:space="preserve">Project Determination and </w:t>
      </w:r>
      <w:r w:rsidRPr="008146D6" w:rsidR="00491EB1">
        <w:t>Approval</w:t>
      </w:r>
    </w:p>
    <w:p w:rsidRPr="008146D6" w:rsidR="009B5C38" w:rsidP="003B3841" w:rsidRDefault="009B5C38" w14:paraId="682388CC" w14:textId="0C7B6429">
      <w:pPr>
        <w:pStyle w:val="NoSpacing"/>
        <w:tabs>
          <w:tab w:val="left" w:pos="360"/>
        </w:tabs>
        <w:mirrorIndents/>
      </w:pPr>
      <w:r w:rsidRPr="007405FB">
        <w:t xml:space="preserve">Attachment </w:t>
      </w:r>
      <w:r w:rsidRPr="007405FB" w:rsidR="00E167BD">
        <w:t>7</w:t>
      </w:r>
      <w:r w:rsidRPr="008146D6" w:rsidR="002B4C91">
        <w:tab/>
      </w:r>
      <w:r w:rsidRPr="008146D6" w:rsidR="00AF7792">
        <w:t xml:space="preserve">            </w:t>
      </w:r>
      <w:r w:rsidRPr="008146D6" w:rsidR="005B54DD">
        <w:t>Privacy Impact Assessment</w:t>
      </w:r>
    </w:p>
    <w:p w:rsidR="005B5D5C" w:rsidP="003B3841" w:rsidRDefault="005B5D5C" w14:paraId="171B3D85" w14:textId="3BB2022A">
      <w:pPr>
        <w:pStyle w:val="NoSpacing"/>
        <w:tabs>
          <w:tab w:val="left" w:pos="360"/>
        </w:tabs>
        <w:mirrorIndents/>
      </w:pPr>
    </w:p>
    <w:p w:rsidR="005B3D89" w:rsidP="003B3841" w:rsidRDefault="005B3D89" w14:paraId="57FEAA20" w14:textId="1C850E91">
      <w:pPr>
        <w:pStyle w:val="NoSpacing"/>
        <w:tabs>
          <w:tab w:val="left" w:pos="360"/>
        </w:tabs>
        <w:mirrorIndents/>
      </w:pPr>
    </w:p>
    <w:p w:rsidR="00542640" w:rsidP="003B3841" w:rsidRDefault="00542640" w14:paraId="6E137FD1" w14:textId="3666E127">
      <w:pPr>
        <w:mirrorIndents/>
        <w:rPr>
          <w:b/>
        </w:rPr>
      </w:pPr>
    </w:p>
    <w:p w:rsidRPr="00E2574F" w:rsidR="00200D2C" w:rsidP="003B3841" w:rsidRDefault="00200D2C" w14:paraId="55181C2A" w14:textId="77777777">
      <w:pPr>
        <w:mirrorIndents/>
        <w:rPr>
          <w:b/>
        </w:rPr>
      </w:pPr>
    </w:p>
    <w:tbl>
      <w:tblPr>
        <w:tblStyle w:val="TableGrid"/>
        <w:tblW w:w="0" w:type="auto"/>
        <w:tblLook w:val="04A0" w:firstRow="1" w:lastRow="0" w:firstColumn="1" w:lastColumn="0" w:noHBand="0" w:noVBand="1"/>
      </w:tblPr>
      <w:tblGrid>
        <w:gridCol w:w="10070"/>
      </w:tblGrid>
      <w:tr w:rsidR="00B12EA3" w:rsidTr="00E2574F" w14:paraId="04906BCF" w14:textId="77777777">
        <w:trPr>
          <w:trHeight w:val="3860"/>
        </w:trPr>
        <w:tc>
          <w:tcPr>
            <w:tcW w:w="10070" w:type="dxa"/>
          </w:tcPr>
          <w:p w:rsidRPr="008A16FB" w:rsidR="008A16FB" w:rsidP="00032D19" w:rsidRDefault="00B12EA3" w14:paraId="211ADFB2" w14:textId="48939E36">
            <w:pPr>
              <w:pStyle w:val="NoSpacing"/>
              <w:numPr>
                <w:ilvl w:val="0"/>
                <w:numId w:val="1"/>
              </w:numPr>
              <w:spacing w:before="120" w:after="120"/>
              <w:mirrorIndents/>
              <w:rPr>
                <w:b/>
              </w:rPr>
            </w:pPr>
            <w:r w:rsidRPr="00FB7AA8">
              <w:rPr>
                <w:b/>
              </w:rPr>
              <w:lastRenderedPageBreak/>
              <w:t xml:space="preserve">Goals of the study: </w:t>
            </w:r>
            <w:r w:rsidRPr="00284E6A" w:rsidR="00284E6A">
              <w:t>To assess community-based organizations’ (CBOs) awareness of, intentions to provide, and provision of Treatment as Prevention (</w:t>
            </w:r>
            <w:proofErr w:type="spellStart"/>
            <w:r w:rsidRPr="00284E6A" w:rsidR="00284E6A">
              <w:t>TasP</w:t>
            </w:r>
            <w:proofErr w:type="spellEnd"/>
            <w:r w:rsidRPr="00284E6A" w:rsidR="00284E6A">
              <w:t>), non-occupational post-exposure prophylaxis (</w:t>
            </w:r>
            <w:proofErr w:type="spellStart"/>
            <w:r w:rsidRPr="00284E6A" w:rsidR="00284E6A">
              <w:t>nPEP</w:t>
            </w:r>
            <w:proofErr w:type="spellEnd"/>
            <w:r w:rsidRPr="00284E6A" w:rsidR="00284E6A">
              <w:t>), or pre-exposure prophylaxis (</w:t>
            </w:r>
            <w:proofErr w:type="spellStart"/>
            <w:r w:rsidRPr="00284E6A" w:rsidR="00284E6A">
              <w:t>PrEP</w:t>
            </w:r>
            <w:proofErr w:type="spellEnd"/>
            <w:r w:rsidRPr="00284E6A" w:rsidR="00284E6A">
              <w:t>). To assess changes in awareness and provision of biomedical HIV prevention interventions among these organizations by comparing responses from a newer survey to those of a previous survey conducted by t</w:t>
            </w:r>
            <w:r w:rsidR="00EF42C9">
              <w:t xml:space="preserve">he Centers for Disease Control and Prevention (CDC) </w:t>
            </w:r>
            <w:r w:rsidRPr="00284E6A" w:rsidR="00284E6A">
              <w:t>D</w:t>
            </w:r>
            <w:r w:rsidR="00EF42C9">
              <w:t xml:space="preserve">ivision of </w:t>
            </w:r>
            <w:r w:rsidRPr="00284E6A" w:rsidR="00284E6A">
              <w:t>H</w:t>
            </w:r>
            <w:r w:rsidR="00EF42C9">
              <w:t>IV/</w:t>
            </w:r>
            <w:r w:rsidRPr="00284E6A" w:rsidR="00284E6A">
              <w:t>A</w:t>
            </w:r>
            <w:r w:rsidR="00EF42C9">
              <w:t xml:space="preserve">IDS </w:t>
            </w:r>
            <w:r w:rsidRPr="00284E6A" w:rsidR="00284E6A">
              <w:t>P</w:t>
            </w:r>
            <w:r w:rsidR="00EF42C9">
              <w:t>revention</w:t>
            </w:r>
            <w:r w:rsidRPr="00284E6A" w:rsidR="00284E6A">
              <w:t>’s</w:t>
            </w:r>
            <w:r w:rsidR="00EF42C9">
              <w:t xml:space="preserve"> (DHAP)</w:t>
            </w:r>
            <w:r w:rsidRPr="00284E6A" w:rsidR="00284E6A">
              <w:t xml:space="preserve"> HIV prevention with negatives team</w:t>
            </w:r>
            <w:r w:rsidR="008A16FB">
              <w:t>.</w:t>
            </w:r>
          </w:p>
          <w:p w:rsidRPr="00AC05E8" w:rsidR="00B12EA3" w:rsidP="00032D19" w:rsidRDefault="00B12EA3" w14:paraId="1D02776F" w14:textId="5AFBD76F">
            <w:pPr>
              <w:pStyle w:val="NoSpacing"/>
              <w:numPr>
                <w:ilvl w:val="0"/>
                <w:numId w:val="1"/>
              </w:numPr>
              <w:spacing w:before="120" w:after="120"/>
              <w:mirrorIndents/>
              <w:rPr>
                <w:b/>
              </w:rPr>
            </w:pPr>
            <w:r w:rsidRPr="00FB7AA8">
              <w:rPr>
                <w:b/>
              </w:rPr>
              <w:t>Intended use:</w:t>
            </w:r>
            <w:r w:rsidRPr="00FB7AA8" w:rsidR="00B328D6">
              <w:rPr>
                <w:b/>
              </w:rPr>
              <w:t xml:space="preserve"> </w:t>
            </w:r>
            <w:r w:rsidR="00284E6A">
              <w:rPr>
                <w:rFonts w:cs="Times New Roman"/>
                <w:szCs w:val="24"/>
              </w:rPr>
              <w:t>This information will be used to inform CDC</w:t>
            </w:r>
            <w:r w:rsidR="00E75211">
              <w:rPr>
                <w:rFonts w:cs="Times New Roman"/>
                <w:szCs w:val="24"/>
              </w:rPr>
              <w:t>/DHAP</w:t>
            </w:r>
            <w:r w:rsidR="00284E6A">
              <w:rPr>
                <w:rFonts w:cs="Times New Roman"/>
                <w:szCs w:val="24"/>
              </w:rPr>
              <w:t xml:space="preserve"> staff on the </w:t>
            </w:r>
            <w:r w:rsidR="00E75211">
              <w:rPr>
                <w:rFonts w:cs="Times New Roman"/>
                <w:szCs w:val="24"/>
              </w:rPr>
              <w:t>needs of CBOs to scale-up biomedical HIV prevention interventions and identify targets for capacity building within these organizations</w:t>
            </w:r>
            <w:r w:rsidRPr="00FB7AA8" w:rsidR="00731B24">
              <w:t>.</w:t>
            </w:r>
            <w:r w:rsidR="00E75211">
              <w:t xml:space="preserve"> Results f</w:t>
            </w:r>
            <w:r w:rsidR="00A46BE8">
              <w:t>rom</w:t>
            </w:r>
            <w:r w:rsidR="00E75211">
              <w:t xml:space="preserve"> the survey will be presented to DHAP staff via internal presentations and to external partners through HIV and public health conferences. Results will also be used to develop manuscripts for publication. </w:t>
            </w:r>
          </w:p>
          <w:p w:rsidRPr="00FB7AA8" w:rsidR="00810B9E" w:rsidP="00F95454" w:rsidRDefault="00B12EA3" w14:paraId="02AC9B98" w14:textId="561A0384">
            <w:pPr>
              <w:pStyle w:val="NoSpacing"/>
              <w:numPr>
                <w:ilvl w:val="0"/>
                <w:numId w:val="1"/>
              </w:numPr>
              <w:spacing w:before="120" w:after="120"/>
              <w:mirrorIndents/>
              <w:rPr>
                <w:b/>
              </w:rPr>
            </w:pPr>
            <w:r w:rsidRPr="00FB7AA8">
              <w:rPr>
                <w:b/>
              </w:rPr>
              <w:t>Methods to be used to collect data:</w:t>
            </w:r>
            <w:r w:rsidRPr="00FB7AA8" w:rsidR="00A34D13">
              <w:rPr>
                <w:b/>
              </w:rPr>
              <w:t xml:space="preserve"> </w:t>
            </w:r>
            <w:r w:rsidRPr="00FB7AA8" w:rsidR="00A34D13">
              <w:t xml:space="preserve">Data will be collected </w:t>
            </w:r>
            <w:r w:rsidR="00284E6A">
              <w:t>through web-based surveys using CDC’s Survey Monkey license</w:t>
            </w:r>
            <w:r w:rsidRPr="00FB7AA8" w:rsidR="00731B24">
              <w:t>.</w:t>
            </w:r>
          </w:p>
          <w:p w:rsidRPr="00FB7AA8" w:rsidR="00CB62C5" w:rsidP="003127A5" w:rsidRDefault="00F30E45" w14:paraId="205F61C7" w14:textId="579CA895">
            <w:pPr>
              <w:pStyle w:val="NoSpacing"/>
              <w:numPr>
                <w:ilvl w:val="0"/>
                <w:numId w:val="1"/>
              </w:numPr>
              <w:spacing w:before="120" w:after="120"/>
              <w:mirrorIndents/>
              <w:rPr>
                <w:b/>
              </w:rPr>
            </w:pPr>
            <w:r>
              <w:rPr>
                <w:b/>
              </w:rPr>
              <w:t>S</w:t>
            </w:r>
            <w:r w:rsidRPr="00FB7AA8" w:rsidR="00B12EA3">
              <w:rPr>
                <w:b/>
              </w:rPr>
              <w:t>ubpopulation</w:t>
            </w:r>
            <w:r>
              <w:rPr>
                <w:b/>
              </w:rPr>
              <w:t>s</w:t>
            </w:r>
            <w:r w:rsidRPr="00FB7AA8" w:rsidR="00B12EA3">
              <w:rPr>
                <w:b/>
              </w:rPr>
              <w:t xml:space="preserve"> to be studied:</w:t>
            </w:r>
            <w:r w:rsidRPr="00FB7AA8" w:rsidR="00207534">
              <w:rPr>
                <w:b/>
              </w:rPr>
              <w:t xml:space="preserve"> </w:t>
            </w:r>
            <w:r w:rsidRPr="00284E6A" w:rsidR="00284E6A">
              <w:t xml:space="preserve">Respondents will include executive level staff members or direct client service providers who will complete the survey on behalf of organizations engaged in HIV prevention and outreach. Up to 330 respondents (N=330; 175 </w:t>
            </w:r>
            <w:r w:rsidR="00284E6A">
              <w:t xml:space="preserve">DHAP </w:t>
            </w:r>
            <w:r w:rsidRPr="00284E6A" w:rsidR="00284E6A">
              <w:t>funded CBOs and 155 unfunded CBOs) will be recruited to complete the survey</w:t>
            </w:r>
            <w:r w:rsidR="00B76615">
              <w:t>.</w:t>
            </w:r>
          </w:p>
          <w:p w:rsidRPr="00B12EA3" w:rsidR="00B12EA3" w:rsidP="007810DC" w:rsidRDefault="00B12EA3" w14:paraId="67C82716" w14:textId="41325446">
            <w:pPr>
              <w:pStyle w:val="NoSpacing"/>
              <w:numPr>
                <w:ilvl w:val="0"/>
                <w:numId w:val="1"/>
              </w:numPr>
              <w:spacing w:before="120" w:after="120"/>
              <w:mirrorIndents/>
              <w:rPr>
                <w:b/>
              </w:rPr>
            </w:pPr>
            <w:r w:rsidRPr="00FB7AA8">
              <w:rPr>
                <w:b/>
              </w:rPr>
              <w:t>How data will be analyzed:</w:t>
            </w:r>
            <w:r w:rsidRPr="00FB7AA8" w:rsidR="003539FB">
              <w:rPr>
                <w:b/>
              </w:rPr>
              <w:t xml:space="preserve"> </w:t>
            </w:r>
            <w:r w:rsidRPr="00284E6A" w:rsidR="00284E6A">
              <w:rPr>
                <w:noProof/>
                <w:szCs w:val="24"/>
              </w:rPr>
              <w:t>Data analysis will include descriptive statistics (e.g., frequencies, counts, means, range, standard deviation)</w:t>
            </w:r>
            <w:r w:rsidR="00284E6A">
              <w:rPr>
                <w:noProof/>
                <w:szCs w:val="24"/>
              </w:rPr>
              <w:t xml:space="preserve"> using SAS statistical computing software</w:t>
            </w:r>
            <w:r w:rsidRPr="00284E6A" w:rsidR="00284E6A">
              <w:rPr>
                <w:noProof/>
                <w:szCs w:val="24"/>
              </w:rPr>
              <w:t>.</w:t>
            </w:r>
            <w:r w:rsidR="00284E6A">
              <w:rPr>
                <w:noProof/>
                <w:szCs w:val="24"/>
              </w:rPr>
              <w:t xml:space="preserve"> </w:t>
            </w:r>
            <w:r w:rsidRPr="00284E6A" w:rsidR="00284E6A">
              <w:rPr>
                <w:noProof/>
                <w:szCs w:val="24"/>
              </w:rPr>
              <w:t>Frequency and differences in item responses will be analyzed for relationship to CBO characteristics (e.g., clinic CBOs vs</w:t>
            </w:r>
            <w:r w:rsidR="008146D6">
              <w:rPr>
                <w:noProof/>
                <w:szCs w:val="24"/>
              </w:rPr>
              <w:t>.</w:t>
            </w:r>
            <w:r w:rsidRPr="00284E6A" w:rsidR="00284E6A">
              <w:rPr>
                <w:noProof/>
                <w:szCs w:val="24"/>
              </w:rPr>
              <w:t xml:space="preserve"> non-clinical). </w:t>
            </w:r>
            <w:r w:rsidR="00284E6A">
              <w:rPr>
                <w:noProof/>
                <w:szCs w:val="24"/>
              </w:rPr>
              <w:t xml:space="preserve"> </w:t>
            </w:r>
            <w:r w:rsidRPr="00284E6A" w:rsidR="00284E6A">
              <w:rPr>
                <w:noProof/>
                <w:szCs w:val="24"/>
              </w:rPr>
              <w:t>We will perform multivariable analysis as needed (to assess interactions between time and type of CBO). All information will contain no identifiers</w:t>
            </w:r>
            <w:r w:rsidR="00284E6A">
              <w:rPr>
                <w:noProof/>
                <w:szCs w:val="24"/>
              </w:rPr>
              <w:t>.</w:t>
            </w:r>
          </w:p>
        </w:tc>
      </w:tr>
    </w:tbl>
    <w:p w:rsidR="00B12EA3" w:rsidP="00F95454" w:rsidRDefault="00B12EA3" w14:paraId="33849E7F" w14:textId="77777777">
      <w:pPr>
        <w:pStyle w:val="NoSpacing"/>
        <w:spacing w:before="120" w:after="120"/>
        <w:mirrorIndents/>
      </w:pPr>
    </w:p>
    <w:p w:rsidRPr="00F734ED" w:rsidR="00F734ED" w:rsidP="00F95454" w:rsidRDefault="00F734ED" w14:paraId="6B0500C1" w14:textId="77777777">
      <w:pPr>
        <w:pStyle w:val="NoSpacing"/>
        <w:spacing w:before="120" w:after="120"/>
        <w:mirrorIndents/>
        <w:rPr>
          <w:b/>
        </w:rPr>
      </w:pPr>
      <w:r w:rsidRPr="00F734ED">
        <w:rPr>
          <w:b/>
        </w:rPr>
        <w:t>Supporting Statement</w:t>
      </w:r>
    </w:p>
    <w:p w:rsidRPr="00E90840" w:rsidR="00B12EA3" w:rsidP="00F95454" w:rsidRDefault="00F734ED" w14:paraId="32E1ACF3" w14:textId="2F1C42DA">
      <w:pPr>
        <w:pStyle w:val="NoSpacing"/>
        <w:spacing w:before="120" w:after="120"/>
        <w:mirrorIndents/>
        <w:rPr>
          <w:b/>
        </w:rPr>
      </w:pPr>
      <w:r w:rsidRPr="00F734ED">
        <w:rPr>
          <w:b/>
        </w:rPr>
        <w:t xml:space="preserve">A. </w:t>
      </w:r>
      <w:r w:rsidRPr="00F734ED">
        <w:rPr>
          <w:b/>
          <w:u w:val="single"/>
        </w:rPr>
        <w:t>Justification</w:t>
      </w:r>
    </w:p>
    <w:p w:rsidR="00B12EA3" w:rsidP="00F95454" w:rsidRDefault="00B12EA3" w14:paraId="16B4B2A2" w14:textId="21511C47">
      <w:pPr>
        <w:pStyle w:val="Heading1"/>
        <w:spacing w:before="120" w:after="120"/>
        <w:mirrorIndents/>
      </w:pPr>
      <w:bookmarkStart w:name="_Toc30496844" w:id="0"/>
      <w:r w:rsidRPr="00B12EA3">
        <w:t>Circumstances Making the Collection of Information Necessary</w:t>
      </w:r>
      <w:bookmarkEnd w:id="0"/>
    </w:p>
    <w:p w:rsidRPr="009A38A1" w:rsidR="00067E1B" w:rsidP="009636FA" w:rsidRDefault="00067E1B" w14:paraId="5F472E7A" w14:textId="7B8BC7E8">
      <w:pPr>
        <w:widowControl w:val="0"/>
        <w:spacing w:before="120" w:after="120"/>
        <w:mirrorIndents/>
        <w:rPr>
          <w:b/>
        </w:rPr>
      </w:pPr>
      <w:r w:rsidRPr="00067E1B">
        <w:t>The Centers for Disease Control and Prevention’s</w:t>
      </w:r>
      <w:r w:rsidR="00F94AE4">
        <w:t xml:space="preserve"> (CDC)</w:t>
      </w:r>
      <w:r w:rsidRPr="00067E1B">
        <w:t xml:space="preserve"> Division of</w:t>
      </w:r>
      <w:r w:rsidR="009E74B4">
        <w:t xml:space="preserve"> HIV/AIDS Prevention (DHAP)</w:t>
      </w:r>
      <w:r w:rsidR="00C94C91">
        <w:t>,</w:t>
      </w:r>
      <w:r w:rsidR="00F15707">
        <w:t xml:space="preserve"> requests OMB approval for</w:t>
      </w:r>
      <w:r w:rsidR="003C34D6">
        <w:t xml:space="preserve"> </w:t>
      </w:r>
      <w:r w:rsidR="001034F0">
        <w:t xml:space="preserve">two </w:t>
      </w:r>
      <w:r w:rsidR="003C34D6">
        <w:t>year</w:t>
      </w:r>
      <w:r w:rsidR="001034F0">
        <w:t xml:space="preserve">s </w:t>
      </w:r>
      <w:r w:rsidR="003C34D6">
        <w:t>on</w:t>
      </w:r>
      <w:r w:rsidR="00F15707">
        <w:t xml:space="preserve"> a</w:t>
      </w:r>
      <w:r w:rsidR="009E74B4">
        <w:t>n</w:t>
      </w:r>
      <w:r w:rsidR="00F15707">
        <w:t xml:space="preserve"> </w:t>
      </w:r>
      <w:r w:rsidR="007810DC">
        <w:t>assessment</w:t>
      </w:r>
      <w:r w:rsidRPr="00067E1B">
        <w:t xml:space="preserve"> entitled, “</w:t>
      </w:r>
      <w:r w:rsidRPr="009E74B4" w:rsidR="009E74B4">
        <w:t>Community-Based Organizations’ Changes in Preparedness and Resources for Support of Biomedical HIV Prevention</w:t>
      </w:r>
      <w:r w:rsidRPr="007810DC">
        <w:t>”</w:t>
      </w:r>
      <w:r w:rsidRPr="00067E1B">
        <w:t>.</w:t>
      </w:r>
      <w:r w:rsidR="00F94AE4">
        <w:t xml:space="preserve"> </w:t>
      </w:r>
      <w:r w:rsidR="005E6F8D">
        <w:t>D</w:t>
      </w:r>
      <w:r w:rsidR="007325ED">
        <w:t xml:space="preserve">ata collection will be carried out </w:t>
      </w:r>
      <w:r w:rsidR="00C20935">
        <w:t xml:space="preserve">by an </w:t>
      </w:r>
      <w:r w:rsidR="009E74B4">
        <w:t>epidemiologist</w:t>
      </w:r>
      <w:r w:rsidRPr="00573625" w:rsidR="00573625">
        <w:t xml:space="preserve"> </w:t>
      </w:r>
      <w:r w:rsidR="00C20935">
        <w:t>from DHAP</w:t>
      </w:r>
      <w:r w:rsidRPr="00573625" w:rsidR="00573625">
        <w:t xml:space="preserve"> </w:t>
      </w:r>
      <w:r w:rsidR="00573625">
        <w:t xml:space="preserve">who </w:t>
      </w:r>
      <w:r w:rsidRPr="00573625" w:rsidR="00573625">
        <w:t xml:space="preserve">will lead the </w:t>
      </w:r>
      <w:r w:rsidR="009E74B4">
        <w:t>survey</w:t>
      </w:r>
      <w:r w:rsidRPr="00573625" w:rsidR="00573625">
        <w:t xml:space="preserve"> design, data collection, analysis, and dissemination of results</w:t>
      </w:r>
      <w:r w:rsidR="007325ED">
        <w:t xml:space="preserve">. </w:t>
      </w:r>
    </w:p>
    <w:p w:rsidRPr="009E74B4" w:rsidR="009E74B4" w:rsidP="009E74B4" w:rsidRDefault="0049642A" w14:paraId="270ECA5C" w14:textId="4C8B8820">
      <w:pPr>
        <w:pStyle w:val="Normal1"/>
        <w:spacing w:before="120" w:after="120"/>
        <w:mirrorIndents/>
        <w:rPr>
          <w:color w:val="000000"/>
          <w:shd w:val="clear" w:color="auto" w:fill="FFFFFF"/>
        </w:rPr>
      </w:pPr>
      <w:r w:rsidRPr="0049642A">
        <w:rPr>
          <w:color w:val="000000"/>
          <w:shd w:val="clear" w:color="auto" w:fill="FFFFFF"/>
        </w:rPr>
        <w:t>In persons without HIV infection, ARVs can be given as either: 1) for 28 days following a potential HIV exposure through sexual or injection behaviors as nonoccupational postexposure prophylaxis (</w:t>
      </w:r>
      <w:proofErr w:type="spellStart"/>
      <w:r w:rsidRPr="0049642A">
        <w:rPr>
          <w:color w:val="000000"/>
          <w:shd w:val="clear" w:color="auto" w:fill="FFFFFF"/>
        </w:rPr>
        <w:t>nPEP</w:t>
      </w:r>
      <w:proofErr w:type="spellEnd"/>
      <w:r w:rsidRPr="0049642A">
        <w:rPr>
          <w:color w:val="000000"/>
          <w:shd w:val="clear" w:color="auto" w:fill="FFFFFF"/>
        </w:rPr>
        <w:t>) or 2) begun before potential sexual HIV exposures and taken daily for months to years as preexposure prophylaxis (</w:t>
      </w:r>
      <w:proofErr w:type="spellStart"/>
      <w:r w:rsidRPr="0049642A">
        <w:rPr>
          <w:color w:val="000000"/>
          <w:shd w:val="clear" w:color="auto" w:fill="FFFFFF"/>
        </w:rPr>
        <w:t>PrEP</w:t>
      </w:r>
      <w:proofErr w:type="spellEnd"/>
      <w:r w:rsidRPr="0049642A">
        <w:rPr>
          <w:color w:val="000000"/>
          <w:shd w:val="clear" w:color="auto" w:fill="FFFFFF"/>
        </w:rPr>
        <w:t>).</w:t>
      </w:r>
      <w:r w:rsidRPr="0049642A">
        <w:rPr>
          <w:color w:val="000000"/>
          <w:shd w:val="clear" w:color="auto" w:fill="FFFFFF"/>
          <w:vertAlign w:val="superscript"/>
        </w:rPr>
        <w:t>1-5</w:t>
      </w:r>
      <w:r w:rsidRPr="0049642A">
        <w:rPr>
          <w:color w:val="000000"/>
          <w:shd w:val="clear" w:color="auto" w:fill="FFFFFF"/>
        </w:rPr>
        <w:t xml:space="preserve"> In persons with HIV infection, beginning treating with ARVs early in their infection (e.g., with high CD4 cell counts) can greatly lower their risk of transmitting infection to uninfected sexual partners; this is also called treatment as prevention or TasP.</w:t>
      </w:r>
      <w:r w:rsidRPr="0049642A">
        <w:rPr>
          <w:color w:val="000000"/>
          <w:shd w:val="clear" w:color="auto" w:fill="FFFFFF"/>
          <w:vertAlign w:val="superscript"/>
        </w:rPr>
        <w:t>6-9</w:t>
      </w:r>
      <w:r w:rsidRPr="0049642A">
        <w:rPr>
          <w:color w:val="000000"/>
          <w:shd w:val="clear" w:color="auto" w:fill="FFFFFF"/>
        </w:rPr>
        <w:t xml:space="preserve"> </w:t>
      </w:r>
      <w:proofErr w:type="spellStart"/>
      <w:r w:rsidRPr="0049642A">
        <w:rPr>
          <w:color w:val="000000"/>
          <w:shd w:val="clear" w:color="auto" w:fill="FFFFFF"/>
        </w:rPr>
        <w:t>PrEP</w:t>
      </w:r>
      <w:proofErr w:type="spellEnd"/>
      <w:r w:rsidRPr="0049642A">
        <w:rPr>
          <w:color w:val="000000"/>
          <w:shd w:val="clear" w:color="auto" w:fill="FFFFFF"/>
        </w:rPr>
        <w:t xml:space="preserve"> is 99% effective at reducing the risk of HIV through sexual contact when taken daily.</w:t>
      </w:r>
      <w:r w:rsidRPr="0049642A">
        <w:rPr>
          <w:color w:val="000000"/>
          <w:shd w:val="clear" w:color="auto" w:fill="FFFFFF"/>
          <w:vertAlign w:val="superscript"/>
        </w:rPr>
        <w:t>10-14</w:t>
      </w:r>
      <w:r w:rsidRPr="0049642A">
        <w:rPr>
          <w:color w:val="000000"/>
          <w:shd w:val="clear" w:color="auto" w:fill="FFFFFF"/>
        </w:rPr>
        <w:t xml:space="preserve"> </w:t>
      </w:r>
      <w:proofErr w:type="spellStart"/>
      <w:r w:rsidRPr="0049642A">
        <w:rPr>
          <w:color w:val="000000"/>
          <w:shd w:val="clear" w:color="auto" w:fill="FFFFFF"/>
        </w:rPr>
        <w:t>PrEP</w:t>
      </w:r>
      <w:proofErr w:type="spellEnd"/>
      <w:r w:rsidRPr="0049642A">
        <w:rPr>
          <w:color w:val="000000"/>
          <w:shd w:val="clear" w:color="auto" w:fill="FFFFFF"/>
        </w:rPr>
        <w:t xml:space="preserve"> is also 74%-84% effective at reducing the risk of HIV infection through injection drug use when taken daily.</w:t>
      </w:r>
      <w:r w:rsidRPr="0049642A">
        <w:rPr>
          <w:color w:val="000000"/>
          <w:shd w:val="clear" w:color="auto" w:fill="FFFFFF"/>
          <w:vertAlign w:val="superscript"/>
        </w:rPr>
        <w:t>4, 15</w:t>
      </w:r>
      <w:r w:rsidRPr="0049642A">
        <w:rPr>
          <w:color w:val="000000"/>
          <w:shd w:val="clear" w:color="auto" w:fill="FFFFFF"/>
        </w:rPr>
        <w:t xml:space="preserve"> Persons living with HIV who are taking ARVs as prescribed as well as achieving viral suppression effectively have no risk for transmitting the virus to an HIV-negative partner through sexual contact.</w:t>
      </w:r>
      <w:r w:rsidRPr="0049642A">
        <w:rPr>
          <w:color w:val="000000"/>
          <w:shd w:val="clear" w:color="auto" w:fill="FFFFFF"/>
          <w:vertAlign w:val="superscript"/>
        </w:rPr>
        <w:t>6-9</w:t>
      </w:r>
      <w:r w:rsidRPr="0049642A">
        <w:rPr>
          <w:color w:val="000000"/>
          <w:shd w:val="clear" w:color="auto" w:fill="FFFFFF"/>
        </w:rPr>
        <w:t xml:space="preserve"> CDC is working with various jurisdictions with high HIV prevalence to increase capacity of ARV provision, </w:t>
      </w:r>
      <w:r w:rsidRPr="0049642A">
        <w:rPr>
          <w:color w:val="000000"/>
          <w:shd w:val="clear" w:color="auto" w:fill="FFFFFF"/>
        </w:rPr>
        <w:lastRenderedPageBreak/>
        <w:t>build collaborative efforts between health departments and community-based organizations, and engage multi-sector provider systems to reach individuals with high risk of HIV infection as part of the End the HIV Epidemic Initiative.</w:t>
      </w:r>
      <w:r w:rsidRPr="0049642A">
        <w:rPr>
          <w:color w:val="000000"/>
          <w:shd w:val="clear" w:color="auto" w:fill="FFFFFF"/>
          <w:vertAlign w:val="superscript"/>
        </w:rPr>
        <w:t>16</w:t>
      </w:r>
    </w:p>
    <w:p w:rsidR="009E74B4" w:rsidP="009E74B4" w:rsidRDefault="009E74B4" w14:paraId="76AEEEE7" w14:textId="40946D83">
      <w:pPr>
        <w:pStyle w:val="Normal1"/>
        <w:spacing w:before="120" w:after="120"/>
        <w:mirrorIndents/>
        <w:rPr>
          <w:color w:val="000000"/>
          <w:shd w:val="clear" w:color="auto" w:fill="FFFFFF"/>
        </w:rPr>
      </w:pPr>
      <w:r w:rsidRPr="009E74B4">
        <w:rPr>
          <w:color w:val="000000"/>
          <w:shd w:val="clear" w:color="auto" w:fill="FFFFFF"/>
        </w:rPr>
        <w:t>Because these prevention methods all involve prescribing ARVs to people and monitoring for side effects and safety, they can only be done by clinicians licensed to prescribe medication. Non-clinical CBOs are critical to educating communities about these biomedical prevention methods and working with men and women to provide support for the use of ARVs for prevention. This can include identifying clients who might benefit from biomedical interventions and referring/linking them to clinical care sites, supporting medication adherence, and supporting behavioral risk reduction activities.  In addition, some non-clinical CBOs may want to add clinical staff or formally collaborate with clinical providers for the delivery of biomedical HIV prevention services.</w:t>
      </w:r>
    </w:p>
    <w:p w:rsidR="0049642A" w:rsidP="009E74B4" w:rsidRDefault="0049642A" w14:paraId="193A04B2" w14:textId="425846D4">
      <w:pPr>
        <w:pStyle w:val="Normal1"/>
        <w:spacing w:before="120" w:after="120"/>
        <w:mirrorIndents/>
        <w:rPr>
          <w:color w:val="000000"/>
          <w:shd w:val="clear" w:color="auto" w:fill="FFFFFF"/>
        </w:rPr>
      </w:pPr>
      <w:r w:rsidRPr="0049642A">
        <w:rPr>
          <w:color w:val="000000"/>
          <w:shd w:val="clear" w:color="auto" w:fill="FFFFFF"/>
        </w:rPr>
        <w:t>DHAP funds community-based organizations (CBOs) to deliver HIV prevention services; some are directly funded and some indirectly through state and local health departments. Most are funded to provide non-clinical prevention services (e.g., counseling, HIV testing, HIV education). Some are clinical care sites funded to provide HIV testing and services to increase linkage to, and retention in, HIV treatment.</w:t>
      </w:r>
    </w:p>
    <w:p w:rsidRPr="009E74B4" w:rsidR="009E74B4" w:rsidP="009E74B4" w:rsidRDefault="009E74B4" w14:paraId="74BE10F9" w14:textId="450E4F29">
      <w:pPr>
        <w:pStyle w:val="Normal1"/>
        <w:spacing w:before="120" w:after="120"/>
        <w:mirrorIndents/>
        <w:rPr>
          <w:color w:val="000000"/>
          <w:shd w:val="clear" w:color="auto" w:fill="FFFFFF"/>
        </w:rPr>
      </w:pPr>
      <w:r w:rsidRPr="009E74B4">
        <w:rPr>
          <w:color w:val="000000"/>
          <w:shd w:val="clear" w:color="auto" w:fill="FFFFFF"/>
        </w:rPr>
        <w:t>A previous survey of community</w:t>
      </w:r>
      <w:r w:rsidR="00856E50">
        <w:rPr>
          <w:color w:val="000000"/>
          <w:shd w:val="clear" w:color="auto" w:fill="FFFFFF"/>
        </w:rPr>
        <w:t>-</w:t>
      </w:r>
      <w:r w:rsidRPr="009E74B4">
        <w:rPr>
          <w:color w:val="000000"/>
          <w:shd w:val="clear" w:color="auto" w:fill="FFFFFF"/>
        </w:rPr>
        <w:t xml:space="preserve">based organizations (CBO) assessed the interest, current capacity, and anticipated needs for engagement with biomedical HIV prevention interventions as part of their HIV prevention services. </w:t>
      </w:r>
    </w:p>
    <w:p w:rsidR="0082377F" w:rsidP="009636FA" w:rsidRDefault="009E74B4" w14:paraId="62E24C59" w14:textId="4D8FF951">
      <w:pPr>
        <w:pStyle w:val="Normal1"/>
        <w:spacing w:before="120" w:after="120"/>
        <w:mirrorIndents/>
        <w:rPr>
          <w:color w:val="000000"/>
          <w:shd w:val="clear" w:color="auto" w:fill="FFFFFF"/>
        </w:rPr>
      </w:pPr>
      <w:r w:rsidRPr="009E74B4">
        <w:rPr>
          <w:color w:val="000000"/>
          <w:shd w:val="clear" w:color="auto" w:fill="FFFFFF"/>
        </w:rPr>
        <w:t xml:space="preserve">With the advent of the Ending the HIV Epidemic initiative, there is a need to assess changes in awareness and provision of biomedical HIV prevention interventions by these organizations. We are conducting a survey to assess differences in awareness, intentions to provide, and provision of </w:t>
      </w:r>
      <w:proofErr w:type="spellStart"/>
      <w:r w:rsidRPr="009E74B4">
        <w:rPr>
          <w:color w:val="000000"/>
          <w:shd w:val="clear" w:color="auto" w:fill="FFFFFF"/>
        </w:rPr>
        <w:t>TasP</w:t>
      </w:r>
      <w:proofErr w:type="spellEnd"/>
      <w:r w:rsidRPr="009E74B4">
        <w:rPr>
          <w:color w:val="000000"/>
          <w:shd w:val="clear" w:color="auto" w:fill="FFFFFF"/>
        </w:rPr>
        <w:t xml:space="preserve">, </w:t>
      </w:r>
      <w:proofErr w:type="spellStart"/>
      <w:r w:rsidRPr="009E74B4">
        <w:rPr>
          <w:color w:val="000000"/>
          <w:shd w:val="clear" w:color="auto" w:fill="FFFFFF"/>
        </w:rPr>
        <w:t>nPEP</w:t>
      </w:r>
      <w:proofErr w:type="spellEnd"/>
      <w:r w:rsidRPr="009E74B4">
        <w:rPr>
          <w:color w:val="000000"/>
          <w:shd w:val="clear" w:color="auto" w:fill="FFFFFF"/>
        </w:rPr>
        <w:t xml:space="preserve">, or </w:t>
      </w:r>
      <w:proofErr w:type="spellStart"/>
      <w:r w:rsidRPr="009E74B4">
        <w:rPr>
          <w:color w:val="000000"/>
          <w:shd w:val="clear" w:color="auto" w:fill="FFFFFF"/>
        </w:rPr>
        <w:t>PrEP</w:t>
      </w:r>
      <w:proofErr w:type="spellEnd"/>
      <w:r w:rsidRPr="009E74B4">
        <w:rPr>
          <w:color w:val="000000"/>
          <w:shd w:val="clear" w:color="auto" w:fill="FFFFFF"/>
        </w:rPr>
        <w:t xml:space="preserve"> between the original survey and the newer survey. The results from this assessment will lead to publication of a report on a CDC website or in a journal.</w:t>
      </w:r>
    </w:p>
    <w:p w:rsidR="00E167BD" w:rsidP="009636FA" w:rsidRDefault="001A10DC" w14:paraId="275C732A" w14:textId="3C339147">
      <w:pPr>
        <w:pStyle w:val="Normal1"/>
        <w:spacing w:before="120" w:after="120"/>
        <w:mirrorIndents/>
        <w:rPr>
          <w:color w:val="000000"/>
          <w:shd w:val="clear" w:color="auto" w:fill="FFFFFF"/>
        </w:rPr>
      </w:pPr>
      <w:r w:rsidRPr="001A10DC">
        <w:rPr>
          <w:bCs/>
          <w:color w:val="000000"/>
          <w:shd w:val="clear" w:color="auto" w:fill="FFFFFF"/>
        </w:rPr>
        <w:t>CDC is authorized to conduct the information collection under Section 30</w:t>
      </w:r>
      <w:r w:rsidR="00FB3679">
        <w:rPr>
          <w:bCs/>
          <w:color w:val="000000"/>
          <w:shd w:val="clear" w:color="auto" w:fill="FFFFFF"/>
        </w:rPr>
        <w:t>1</w:t>
      </w:r>
      <w:r w:rsidRPr="001A10DC">
        <w:rPr>
          <w:bCs/>
          <w:color w:val="000000"/>
          <w:shd w:val="clear" w:color="auto" w:fill="FFFFFF"/>
        </w:rPr>
        <w:t xml:space="preserve"> of the </w:t>
      </w:r>
      <w:r w:rsidR="00D31DBA">
        <w:rPr>
          <w:bCs/>
          <w:color w:val="000000"/>
          <w:shd w:val="clear" w:color="auto" w:fill="FFFFFF"/>
        </w:rPr>
        <w:t>P</w:t>
      </w:r>
      <w:r w:rsidRPr="001A10DC">
        <w:rPr>
          <w:bCs/>
          <w:color w:val="000000"/>
          <w:shd w:val="clear" w:color="auto" w:fill="FFFFFF"/>
        </w:rPr>
        <w:t>ublic Health Services Act [42 U.S.C.A.2.</w:t>
      </w:r>
      <w:r>
        <w:rPr>
          <w:bCs/>
          <w:color w:val="000000"/>
          <w:shd w:val="clear" w:color="auto" w:fill="FFFFFF"/>
        </w:rPr>
        <w:t>]</w:t>
      </w:r>
      <w:r w:rsidRPr="001A10DC">
        <w:rPr>
          <w:color w:val="000000"/>
          <w:shd w:val="clear" w:color="auto" w:fill="FFFFFF"/>
        </w:rPr>
        <w:t xml:space="preserve"> </w:t>
      </w:r>
      <w:r w:rsidR="00E167BD">
        <w:rPr>
          <w:color w:val="000000"/>
          <w:shd w:val="clear" w:color="auto" w:fill="FFFFFF"/>
        </w:rPr>
        <w:t>(</w:t>
      </w:r>
      <w:r w:rsidRPr="00262433" w:rsidR="00E167BD">
        <w:rPr>
          <w:b/>
          <w:color w:val="000000"/>
          <w:shd w:val="clear" w:color="auto" w:fill="FFFFFF"/>
        </w:rPr>
        <w:t>Attachment 1</w:t>
      </w:r>
      <w:r w:rsidR="00E167BD">
        <w:rPr>
          <w:color w:val="000000"/>
          <w:shd w:val="clear" w:color="auto" w:fill="FFFFFF"/>
        </w:rPr>
        <w:t>)</w:t>
      </w:r>
      <w:r>
        <w:rPr>
          <w:color w:val="000000"/>
          <w:shd w:val="clear" w:color="auto" w:fill="FFFFFF"/>
        </w:rPr>
        <w:t>.</w:t>
      </w:r>
    </w:p>
    <w:p w:rsidRPr="00B2123D" w:rsidR="00B2123D" w:rsidP="009636FA" w:rsidRDefault="00B2123D" w14:paraId="46101C51" w14:textId="77777777">
      <w:pPr>
        <w:pStyle w:val="Normal1"/>
        <w:spacing w:before="120" w:after="120"/>
        <w:mirrorIndents/>
        <w:rPr>
          <w:color w:val="000000"/>
          <w:shd w:val="clear" w:color="auto" w:fill="FFFFFF"/>
        </w:rPr>
      </w:pPr>
    </w:p>
    <w:p w:rsidR="00CC6AB1" w:rsidP="00F95454" w:rsidRDefault="00CC6AB1" w14:paraId="24BFF15F" w14:textId="152EED82">
      <w:pPr>
        <w:pStyle w:val="Heading1"/>
        <w:spacing w:before="120" w:after="120"/>
        <w:mirrorIndents/>
      </w:pPr>
      <w:bookmarkStart w:name="_Toc30496845" w:id="1"/>
      <w:r w:rsidRPr="00B12EA3">
        <w:t>Purpose and Use of the Information Collection</w:t>
      </w:r>
      <w:bookmarkEnd w:id="1"/>
    </w:p>
    <w:p w:rsidR="006612FB" w:rsidP="006612FB" w:rsidRDefault="0082377F" w14:paraId="5176517B" w14:textId="77777777">
      <w:pPr>
        <w:pStyle w:val="Normal1"/>
        <w:spacing w:before="120" w:after="120"/>
      </w:pPr>
      <w:r w:rsidRPr="00624CE1">
        <w:t>The purpose of th</w:t>
      </w:r>
      <w:r w:rsidR="00F64CC0">
        <w:t xml:space="preserve">is information collection is to </w:t>
      </w:r>
      <w:r w:rsidRPr="006612FB" w:rsidR="006612FB">
        <w:t xml:space="preserve">assess current capacity and provision of </w:t>
      </w:r>
      <w:proofErr w:type="spellStart"/>
      <w:r w:rsidRPr="006612FB" w:rsidR="006612FB">
        <w:t>nPEP</w:t>
      </w:r>
      <w:proofErr w:type="spellEnd"/>
      <w:r w:rsidRPr="006612FB" w:rsidR="006612FB">
        <w:t xml:space="preserve">, </w:t>
      </w:r>
      <w:proofErr w:type="spellStart"/>
      <w:r w:rsidRPr="006612FB" w:rsidR="006612FB">
        <w:t>PrEP</w:t>
      </w:r>
      <w:proofErr w:type="spellEnd"/>
      <w:r w:rsidRPr="006612FB" w:rsidR="006612FB">
        <w:t xml:space="preserve">, and </w:t>
      </w:r>
      <w:proofErr w:type="spellStart"/>
      <w:r w:rsidRPr="006612FB" w:rsidR="006612FB">
        <w:t>TasP</w:t>
      </w:r>
      <w:proofErr w:type="spellEnd"/>
      <w:r w:rsidRPr="006612FB" w:rsidR="006612FB">
        <w:t xml:space="preserve"> among CBOs providing HIV services to populations with increased risk for HIV acquisition. In addition, the results of this survey will be compared to the results of the 2015 survey to assess differences in awareness, capacity, and provision of biomedical HIV prevention interventions</w:t>
      </w:r>
      <w:r w:rsidRPr="00C94C91" w:rsidR="00C94C91">
        <w:t xml:space="preserve">. </w:t>
      </w:r>
      <w:r w:rsidR="006612FB">
        <w:t xml:space="preserve">This project will employ a cross-sectional survey design. </w:t>
      </w:r>
    </w:p>
    <w:p w:rsidR="006612FB" w:rsidP="006612FB" w:rsidRDefault="006612FB" w14:paraId="31ECE3D6" w14:textId="77777777">
      <w:pPr>
        <w:pStyle w:val="Normal1"/>
        <w:spacing w:before="120" w:after="120"/>
      </w:pPr>
      <w:r>
        <w:t>Respondents will include executive level staff members or direct client service providers who will complete the survey on behalf of organizations engaged in HIV prevention and outreach. Up to 330 respondents (N=330; 175 funded CBOs and 155 unfunded CBOs) will be recruited to complete the survey.</w:t>
      </w:r>
    </w:p>
    <w:p w:rsidR="006612FB" w:rsidP="006612FB" w:rsidRDefault="006612FB" w14:paraId="67ED6354" w14:textId="77777777">
      <w:pPr>
        <w:pStyle w:val="Normal1"/>
        <w:spacing w:before="120" w:after="120"/>
      </w:pPr>
      <w:r>
        <w:t>Selection, inclusion or sampling of participants:</w:t>
      </w:r>
    </w:p>
    <w:p w:rsidR="006612FB" w:rsidP="006612FB" w:rsidRDefault="006612FB" w14:paraId="19087E83" w14:textId="77777777">
      <w:pPr>
        <w:pStyle w:val="Normal1"/>
        <w:spacing w:before="120" w:after="120"/>
      </w:pPr>
      <w:r>
        <w:t>Two sampling strata will be created:</w:t>
      </w:r>
    </w:p>
    <w:p w:rsidR="006612FB" w:rsidP="006612FB" w:rsidRDefault="006612FB" w14:paraId="75EA17C4" w14:textId="77777777">
      <w:pPr>
        <w:pStyle w:val="Normal1"/>
        <w:spacing w:before="120" w:after="120"/>
      </w:pPr>
      <w:r>
        <w:t xml:space="preserve">A.  Clinical and non-clinical CBOs directly funded by CDC </w:t>
      </w:r>
    </w:p>
    <w:p w:rsidR="006612FB" w:rsidP="006612FB" w:rsidRDefault="006612FB" w14:paraId="64DCD3CA" w14:textId="309EB28A">
      <w:pPr>
        <w:pStyle w:val="Normal1"/>
        <w:spacing w:before="120" w:after="120"/>
      </w:pPr>
      <w:r>
        <w:t>B.  Unfunded CBO applications for CDC funding</w:t>
      </w:r>
    </w:p>
    <w:p w:rsidR="006612FB" w:rsidP="008C22F0" w:rsidRDefault="008C22F0" w14:paraId="2BB107AD" w14:textId="2A5FE264">
      <w:pPr>
        <w:pStyle w:val="Normal1"/>
        <w:spacing w:before="120" w:after="120"/>
      </w:pPr>
      <w:bookmarkStart w:name="_Hlk40276384" w:id="2"/>
      <w:r w:rsidRPr="008C22F0">
        <w:lastRenderedPageBreak/>
        <w:t>This project will employ a cross-sectional survey design. Executive level staff members of all CBOs within each of the two strata (mentioned above) will receive phone calls, using publicly available information to elicit interest in participating in the survey</w:t>
      </w:r>
      <w:r w:rsidR="00A859AF">
        <w:t xml:space="preserve"> (</w:t>
      </w:r>
      <w:r w:rsidRPr="00A859AF" w:rsidR="00A859AF">
        <w:rPr>
          <w:b/>
          <w:bCs/>
        </w:rPr>
        <w:t>attachment 3</w:t>
      </w:r>
      <w:r w:rsidR="00A859AF">
        <w:t>)</w:t>
      </w:r>
      <w:r w:rsidR="00661C9B">
        <w:t xml:space="preserve">. </w:t>
      </w:r>
      <w:r w:rsidR="00545127">
        <w:t xml:space="preserve">If the </w:t>
      </w:r>
      <w:r w:rsidR="00661C9B">
        <w:t>executive level staff member</w:t>
      </w:r>
      <w:r w:rsidR="00545127">
        <w:t xml:space="preserve"> is not interested or is unable to complete the survey, he or she</w:t>
      </w:r>
      <w:r w:rsidR="00661C9B">
        <w:t xml:space="preserve"> may nominate a direct client service provider and provide this person’s email address</w:t>
      </w:r>
      <w:r w:rsidR="00545127">
        <w:t xml:space="preserve"> to study staff</w:t>
      </w:r>
      <w:r w:rsidRPr="008C22F0">
        <w:t xml:space="preserve">. Potential respondents will be contacted from a list of CBOs that completed the 2015 survey. In addition, </w:t>
      </w:r>
      <w:r w:rsidR="00882664">
        <w:t>potential respondents</w:t>
      </w:r>
      <w:r w:rsidRPr="008C22F0">
        <w:t xml:space="preserve"> from CBOs that received DHAP funding through PS15-1502 and PS17-1704 will also be contacted to determine their interest in participating in the data collection effort</w:t>
      </w:r>
      <w:r w:rsidR="00661C9B">
        <w:t xml:space="preserve">. </w:t>
      </w:r>
      <w:r w:rsidRPr="008C22F0">
        <w:t>Each organization’s representative will be sent an email</w:t>
      </w:r>
      <w:r w:rsidR="00027B95">
        <w:t xml:space="preserve"> (</w:t>
      </w:r>
      <w:r w:rsidRPr="00027B95" w:rsidR="00027B95">
        <w:rPr>
          <w:b/>
          <w:bCs/>
        </w:rPr>
        <w:t>attachment 4</w:t>
      </w:r>
      <w:r w:rsidR="00027B95">
        <w:t>)</w:t>
      </w:r>
      <w:r w:rsidRPr="008C22F0">
        <w:t xml:space="preserve"> with a link to the survey website (created with Survey Monkey). One link will be used for CBOs directly funded by CDC and a separate link will be used for unfunded CBOs.</w:t>
      </w:r>
      <w:r>
        <w:t xml:space="preserve"> </w:t>
      </w:r>
      <w:r w:rsidRPr="008C22F0">
        <w:t>The email will instruct the recipient on how to complete the survey. Three email reminders will be sent to organizations for those that do not complete the survey.</w:t>
      </w:r>
      <w:r>
        <w:t xml:space="preserve"> </w:t>
      </w:r>
      <w:r w:rsidRPr="008C22F0">
        <w:t>Email reminders will be sent two weeks, one month, and two months after the initial email if the potential respondent does not compete the survey.</w:t>
      </w:r>
      <w:r>
        <w:t xml:space="preserve"> </w:t>
      </w:r>
    </w:p>
    <w:bookmarkEnd w:id="2"/>
    <w:p w:rsidR="006612FB" w:rsidP="006612FB" w:rsidRDefault="006612FB" w14:paraId="3AEA0DCD" w14:textId="77777777">
      <w:pPr>
        <w:pStyle w:val="Normal1"/>
        <w:spacing w:before="120" w:after="120"/>
      </w:pPr>
      <w:r>
        <w:t xml:space="preserve">Where possible, data from the 2015 survey will be combined with data from the 2020 survey. Analyses will include completeness (non-response rates per item) as well as frequency of item responses for awareness, intentions, and provision of </w:t>
      </w:r>
      <w:proofErr w:type="spellStart"/>
      <w:r>
        <w:t>PrEP</w:t>
      </w:r>
      <w:proofErr w:type="spellEnd"/>
      <w:r>
        <w:t xml:space="preserve">, </w:t>
      </w:r>
      <w:proofErr w:type="spellStart"/>
      <w:r>
        <w:t>nPEP</w:t>
      </w:r>
      <w:proofErr w:type="spellEnd"/>
      <w:r>
        <w:t xml:space="preserve">, and </w:t>
      </w:r>
      <w:proofErr w:type="spellStart"/>
      <w:r>
        <w:t>TasP</w:t>
      </w:r>
      <w:proofErr w:type="spellEnd"/>
      <w:r>
        <w:t xml:space="preserve"> will be assessed for all respondents combined. Frequency and differences in item responses will be analyzed for relationship to CBO characteristics (e.g., clinic CBOs vs non-clinical). Frequency and differences in item responses will be analyzed across survey years. We will perform multivariable analysis as needed (to assess interactions between time and type of CBO). </w:t>
      </w:r>
    </w:p>
    <w:p w:rsidR="006612FB" w:rsidP="006612FB" w:rsidRDefault="006612FB" w14:paraId="4C55FD15" w14:textId="77777777">
      <w:pPr>
        <w:pStyle w:val="Normal1"/>
        <w:spacing w:before="120" w:after="120"/>
      </w:pPr>
      <w:r>
        <w:t xml:space="preserve">Electronic data will be immediately downloaded and stored in a CDC CSV file that is password protected and encrypted (even at rest). Any changes to the electronic database are audited by systems controls to identify who made the change, when, and what change was made. </w:t>
      </w:r>
    </w:p>
    <w:p w:rsidR="006612FB" w:rsidP="006612FB" w:rsidRDefault="006612FB" w14:paraId="7DBED924" w14:textId="77777777">
      <w:pPr>
        <w:pStyle w:val="Normal1"/>
        <w:spacing w:before="120" w:after="120"/>
      </w:pPr>
    </w:p>
    <w:p w:rsidRPr="009B396D" w:rsidR="006612FB" w:rsidP="006612FB" w:rsidRDefault="006612FB" w14:paraId="00D24F27" w14:textId="77777777">
      <w:pPr>
        <w:pStyle w:val="Caption"/>
        <w:mirrorIndents/>
        <w:rPr>
          <w:sz w:val="24"/>
          <w:szCs w:val="24"/>
        </w:rPr>
      </w:pPr>
      <w:bookmarkStart w:name="_Toc23939753" w:id="3"/>
      <w:r w:rsidRPr="009B396D">
        <w:rPr>
          <w:sz w:val="24"/>
          <w:szCs w:val="24"/>
        </w:rPr>
        <w:t>Exhibit</w:t>
      </w:r>
      <w:r>
        <w:rPr>
          <w:sz w:val="24"/>
          <w:szCs w:val="24"/>
        </w:rPr>
        <w:t xml:space="preserve"> 2</w:t>
      </w:r>
      <w:r w:rsidRPr="009B396D">
        <w:rPr>
          <w:sz w:val="24"/>
          <w:szCs w:val="24"/>
        </w:rPr>
        <w:t>.</w:t>
      </w:r>
      <w:r w:rsidRPr="009B396D">
        <w:rPr>
          <w:sz w:val="24"/>
          <w:szCs w:val="24"/>
        </w:rPr>
        <w:fldChar w:fldCharType="begin"/>
      </w:r>
      <w:r w:rsidRPr="009B396D">
        <w:rPr>
          <w:sz w:val="24"/>
          <w:szCs w:val="24"/>
        </w:rPr>
        <w:instrText xml:space="preserve"> SEQ Exhibit \* ARABIC \s 1 </w:instrText>
      </w:r>
      <w:r w:rsidRPr="009B396D">
        <w:rPr>
          <w:sz w:val="24"/>
          <w:szCs w:val="24"/>
        </w:rPr>
        <w:fldChar w:fldCharType="separate"/>
      </w:r>
      <w:r>
        <w:rPr>
          <w:noProof/>
          <w:sz w:val="24"/>
          <w:szCs w:val="24"/>
        </w:rPr>
        <w:t>1</w:t>
      </w:r>
      <w:r w:rsidRPr="009B396D">
        <w:rPr>
          <w:noProof/>
          <w:sz w:val="24"/>
          <w:szCs w:val="24"/>
        </w:rPr>
        <w:fldChar w:fldCharType="end"/>
      </w:r>
      <w:r w:rsidRPr="009B396D">
        <w:rPr>
          <w:sz w:val="24"/>
          <w:szCs w:val="24"/>
        </w:rPr>
        <w:t>: Overview of Key Variables</w:t>
      </w:r>
      <w:bookmarkEnd w:id="3"/>
    </w:p>
    <w:tbl>
      <w:tblPr>
        <w:tblStyle w:val="TableGrid"/>
        <w:tblW w:w="5310" w:type="dxa"/>
        <w:tblInd w:w="-275" w:type="dxa"/>
        <w:tblLook w:val="04A0" w:firstRow="1" w:lastRow="0" w:firstColumn="1" w:lastColumn="0" w:noHBand="0" w:noVBand="1"/>
      </w:tblPr>
      <w:tblGrid>
        <w:gridCol w:w="5310"/>
      </w:tblGrid>
      <w:tr w:rsidRPr="00973A03" w:rsidR="00A46BE8" w:rsidTr="00A46BE8" w14:paraId="301F2DDE" w14:textId="77777777">
        <w:tc>
          <w:tcPr>
            <w:tcW w:w="5310" w:type="dxa"/>
          </w:tcPr>
          <w:p w:rsidRPr="00A46BE8" w:rsidR="00A46BE8" w:rsidP="00C20935" w:rsidRDefault="00A46BE8" w14:paraId="1F3340BE" w14:textId="7A1A4AFE">
            <w:pPr>
              <w:pStyle w:val="ListParagraph"/>
              <w:spacing w:after="0" w:line="240" w:lineRule="auto"/>
              <w:ind w:left="360"/>
              <w:contextualSpacing w:val="0"/>
              <w:mirrorIndents/>
              <w:jc w:val="center"/>
              <w:rPr>
                <w:rFonts w:ascii="Times New Roman" w:hAnsi="Times New Roman"/>
                <w:b/>
                <w:sz w:val="20"/>
                <w:szCs w:val="20"/>
              </w:rPr>
            </w:pPr>
            <w:r w:rsidRPr="00A46BE8">
              <w:rPr>
                <w:rFonts w:ascii="Times New Roman" w:hAnsi="Times New Roman"/>
                <w:b/>
                <w:sz w:val="20"/>
                <w:szCs w:val="20"/>
                <w:lang w:val="en-US"/>
              </w:rPr>
              <w:t>CBO Survey</w:t>
            </w:r>
            <w:r w:rsidRPr="00A46BE8">
              <w:rPr>
                <w:rFonts w:ascii="Times New Roman" w:hAnsi="Times New Roman"/>
                <w:b/>
                <w:sz w:val="20"/>
                <w:szCs w:val="20"/>
              </w:rPr>
              <w:t xml:space="preserve"> (Att</w:t>
            </w:r>
            <w:r w:rsidR="00F43411">
              <w:rPr>
                <w:rFonts w:ascii="Times New Roman" w:hAnsi="Times New Roman"/>
                <w:b/>
                <w:sz w:val="20"/>
                <w:szCs w:val="20"/>
              </w:rPr>
              <w:t>.</w:t>
            </w:r>
            <w:r w:rsidRPr="00A46BE8">
              <w:rPr>
                <w:rFonts w:ascii="Times New Roman" w:hAnsi="Times New Roman"/>
                <w:b/>
                <w:sz w:val="20"/>
                <w:szCs w:val="20"/>
              </w:rPr>
              <w:t xml:space="preserve"> </w:t>
            </w:r>
            <w:r w:rsidR="00F43411">
              <w:rPr>
                <w:rFonts w:ascii="Times New Roman" w:hAnsi="Times New Roman"/>
                <w:b/>
                <w:sz w:val="20"/>
                <w:szCs w:val="20"/>
                <w:lang w:val="en-US"/>
              </w:rPr>
              <w:t>3</w:t>
            </w:r>
            <w:r w:rsidRPr="00A46BE8">
              <w:rPr>
                <w:rFonts w:ascii="Times New Roman" w:hAnsi="Times New Roman"/>
                <w:b/>
                <w:sz w:val="20"/>
                <w:szCs w:val="20"/>
              </w:rPr>
              <w:t>)</w:t>
            </w:r>
          </w:p>
        </w:tc>
      </w:tr>
      <w:tr w:rsidRPr="00973A03" w:rsidR="00A46BE8" w:rsidTr="00A46BE8" w14:paraId="74B7010A" w14:textId="77777777">
        <w:tc>
          <w:tcPr>
            <w:tcW w:w="5310" w:type="dxa"/>
          </w:tcPr>
          <w:p w:rsidRPr="00BD5450" w:rsidR="00A46BE8" w:rsidP="006612FB" w:rsidRDefault="00A46BE8" w14:paraId="372F5EA6" w14:textId="6BD483AC">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BD5450">
              <w:rPr>
                <w:rFonts w:ascii="Times New Roman" w:hAnsi="Times New Roman"/>
                <w:sz w:val="24"/>
                <w:szCs w:val="24"/>
                <w:lang w:val="en-US"/>
              </w:rPr>
              <w:t xml:space="preserve">Awareness of </w:t>
            </w:r>
            <w:proofErr w:type="spellStart"/>
            <w:r w:rsidRPr="00BD5450">
              <w:rPr>
                <w:rFonts w:ascii="Times New Roman" w:hAnsi="Times New Roman"/>
                <w:sz w:val="24"/>
                <w:szCs w:val="24"/>
                <w:lang w:val="en-US"/>
              </w:rPr>
              <w:t>PrEP</w:t>
            </w:r>
            <w:proofErr w:type="spellEnd"/>
            <w:r w:rsidRPr="00BD5450">
              <w:rPr>
                <w:rFonts w:ascii="Times New Roman" w:hAnsi="Times New Roman"/>
                <w:sz w:val="24"/>
                <w:szCs w:val="24"/>
                <w:lang w:val="en-US"/>
              </w:rPr>
              <w:t xml:space="preserve">, </w:t>
            </w:r>
            <w:proofErr w:type="spellStart"/>
            <w:r w:rsidRPr="00BD5450">
              <w:rPr>
                <w:rFonts w:ascii="Times New Roman" w:hAnsi="Times New Roman"/>
                <w:sz w:val="24"/>
                <w:szCs w:val="24"/>
                <w:lang w:val="en-US"/>
              </w:rPr>
              <w:t>nPEP</w:t>
            </w:r>
            <w:proofErr w:type="spellEnd"/>
            <w:r w:rsidRPr="00BD5450">
              <w:rPr>
                <w:rFonts w:ascii="Times New Roman" w:hAnsi="Times New Roman"/>
                <w:sz w:val="24"/>
                <w:szCs w:val="24"/>
                <w:lang w:val="en-US"/>
              </w:rPr>
              <w:t xml:space="preserve">, and </w:t>
            </w:r>
            <w:proofErr w:type="spellStart"/>
            <w:r w:rsidRPr="00BD5450">
              <w:rPr>
                <w:rFonts w:ascii="Times New Roman" w:hAnsi="Times New Roman"/>
                <w:sz w:val="24"/>
                <w:szCs w:val="24"/>
                <w:lang w:val="en-US"/>
              </w:rPr>
              <w:t>TasP</w:t>
            </w:r>
            <w:proofErr w:type="spellEnd"/>
            <w:r w:rsidRPr="00BD5450">
              <w:rPr>
                <w:rFonts w:ascii="Times New Roman" w:hAnsi="Times New Roman"/>
                <w:sz w:val="24"/>
                <w:szCs w:val="24"/>
                <w:lang w:val="en-US"/>
              </w:rPr>
              <w:t xml:space="preserve"> </w:t>
            </w:r>
          </w:p>
          <w:p w:rsidRPr="00BD5450" w:rsidR="00A46BE8" w:rsidP="006612FB" w:rsidRDefault="00A46BE8" w14:paraId="2F4EE2F4" w14:textId="162C3678">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BD5450">
              <w:rPr>
                <w:rFonts w:ascii="Times New Roman" w:hAnsi="Times New Roman"/>
                <w:bCs/>
                <w:sz w:val="24"/>
                <w:szCs w:val="24"/>
                <w:lang w:val="en-US"/>
              </w:rPr>
              <w:t xml:space="preserve">Intentions to prescribed </w:t>
            </w:r>
            <w:proofErr w:type="spellStart"/>
            <w:r w:rsidRPr="00BD5450">
              <w:rPr>
                <w:rFonts w:ascii="Times New Roman" w:hAnsi="Times New Roman"/>
                <w:bCs/>
                <w:sz w:val="24"/>
                <w:szCs w:val="24"/>
                <w:lang w:val="en-US"/>
              </w:rPr>
              <w:t>PrEP</w:t>
            </w:r>
            <w:proofErr w:type="spellEnd"/>
            <w:r w:rsidRPr="00BD5450">
              <w:rPr>
                <w:rFonts w:ascii="Times New Roman" w:hAnsi="Times New Roman"/>
                <w:bCs/>
                <w:sz w:val="24"/>
                <w:szCs w:val="24"/>
                <w:lang w:val="en-US"/>
              </w:rPr>
              <w:t xml:space="preserve">, </w:t>
            </w:r>
            <w:proofErr w:type="spellStart"/>
            <w:r w:rsidRPr="00BD5450">
              <w:rPr>
                <w:rFonts w:ascii="Times New Roman" w:hAnsi="Times New Roman"/>
                <w:bCs/>
                <w:sz w:val="24"/>
                <w:szCs w:val="24"/>
                <w:lang w:val="en-US"/>
              </w:rPr>
              <w:t>nPEP</w:t>
            </w:r>
            <w:proofErr w:type="spellEnd"/>
            <w:r w:rsidRPr="00BD5450">
              <w:rPr>
                <w:rFonts w:ascii="Times New Roman" w:hAnsi="Times New Roman"/>
                <w:bCs/>
                <w:sz w:val="24"/>
                <w:szCs w:val="24"/>
                <w:lang w:val="en-US"/>
              </w:rPr>
              <w:t xml:space="preserve">, and </w:t>
            </w:r>
            <w:proofErr w:type="spellStart"/>
            <w:r w:rsidRPr="00BD5450">
              <w:rPr>
                <w:rFonts w:ascii="Times New Roman" w:hAnsi="Times New Roman"/>
                <w:bCs/>
                <w:sz w:val="24"/>
                <w:szCs w:val="24"/>
                <w:lang w:val="en-US"/>
              </w:rPr>
              <w:t>TasP</w:t>
            </w:r>
            <w:proofErr w:type="spellEnd"/>
          </w:p>
          <w:p w:rsidRPr="00BD5450" w:rsidR="00A46BE8" w:rsidP="006612FB" w:rsidRDefault="00A46BE8" w14:paraId="0065884E" w14:textId="3AFFEF76">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BD5450">
              <w:rPr>
                <w:rFonts w:ascii="Times New Roman" w:hAnsi="Times New Roman"/>
                <w:bCs/>
                <w:sz w:val="24"/>
                <w:szCs w:val="24"/>
                <w:lang w:val="en-US"/>
              </w:rPr>
              <w:t xml:space="preserve">Provision of </w:t>
            </w:r>
            <w:proofErr w:type="spellStart"/>
            <w:r w:rsidRPr="00BD5450">
              <w:rPr>
                <w:rFonts w:ascii="Times New Roman" w:hAnsi="Times New Roman"/>
                <w:bCs/>
                <w:sz w:val="24"/>
                <w:szCs w:val="24"/>
                <w:lang w:val="en-US"/>
              </w:rPr>
              <w:t>PrEP</w:t>
            </w:r>
            <w:proofErr w:type="spellEnd"/>
            <w:r w:rsidRPr="00BD5450">
              <w:rPr>
                <w:rFonts w:ascii="Times New Roman" w:hAnsi="Times New Roman"/>
                <w:bCs/>
                <w:sz w:val="24"/>
                <w:szCs w:val="24"/>
                <w:lang w:val="en-US"/>
              </w:rPr>
              <w:t xml:space="preserve">, </w:t>
            </w:r>
            <w:proofErr w:type="spellStart"/>
            <w:r w:rsidRPr="00BD5450">
              <w:rPr>
                <w:rFonts w:ascii="Times New Roman" w:hAnsi="Times New Roman"/>
                <w:bCs/>
                <w:sz w:val="24"/>
                <w:szCs w:val="24"/>
                <w:lang w:val="en-US"/>
              </w:rPr>
              <w:t>nPEP</w:t>
            </w:r>
            <w:proofErr w:type="spellEnd"/>
            <w:r w:rsidRPr="00BD5450">
              <w:rPr>
                <w:rFonts w:ascii="Times New Roman" w:hAnsi="Times New Roman"/>
                <w:bCs/>
                <w:sz w:val="24"/>
                <w:szCs w:val="24"/>
                <w:lang w:val="en-US"/>
              </w:rPr>
              <w:t xml:space="preserve">, and </w:t>
            </w:r>
            <w:proofErr w:type="spellStart"/>
            <w:r w:rsidRPr="00BD5450">
              <w:rPr>
                <w:rFonts w:ascii="Times New Roman" w:hAnsi="Times New Roman"/>
                <w:bCs/>
                <w:sz w:val="24"/>
                <w:szCs w:val="24"/>
                <w:lang w:val="en-US"/>
              </w:rPr>
              <w:t>TasP</w:t>
            </w:r>
            <w:proofErr w:type="spellEnd"/>
          </w:p>
          <w:p w:rsidRPr="00BD5450" w:rsidR="00A46BE8" w:rsidP="006612FB" w:rsidRDefault="00A46BE8" w14:paraId="522ACDC2" w14:textId="32737735">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BD5450">
              <w:rPr>
                <w:rFonts w:ascii="Times New Roman" w:hAnsi="Times New Roman"/>
                <w:sz w:val="24"/>
                <w:szCs w:val="24"/>
                <w:lang w:val="en-US"/>
              </w:rPr>
              <w:t>Type of CBO (i.e., clinical or non-clinical)</w:t>
            </w:r>
          </w:p>
          <w:p w:rsidRPr="00BD5450" w:rsidR="00A46BE8" w:rsidP="006612FB" w:rsidRDefault="00A46BE8" w14:paraId="12B0ECEC" w14:textId="3840A27E">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BD5450">
              <w:rPr>
                <w:rFonts w:ascii="Times New Roman" w:hAnsi="Times New Roman"/>
                <w:sz w:val="24"/>
                <w:szCs w:val="24"/>
                <w:lang w:val="en-US"/>
              </w:rPr>
              <w:t>Whether CBO has been designated as a Federally Qualified Health Center by the Health Resources and Services Administration</w:t>
            </w:r>
          </w:p>
          <w:p w:rsidRPr="00BD5450" w:rsidR="00A46BE8" w:rsidP="006612FB" w:rsidRDefault="00A46BE8" w14:paraId="4F2478DF" w14:textId="1EFDCD37">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BD5450">
              <w:rPr>
                <w:rFonts w:ascii="Times New Roman" w:hAnsi="Times New Roman"/>
                <w:sz w:val="24"/>
                <w:szCs w:val="24"/>
                <w:lang w:val="en-US"/>
              </w:rPr>
              <w:t>Whether CBO has received funding from CDC</w:t>
            </w:r>
          </w:p>
          <w:p w:rsidRPr="00BD5450" w:rsidR="00A46BE8" w:rsidP="006612FB" w:rsidRDefault="00A46BE8" w14:paraId="453DF2BB" w14:textId="36E63E7B">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BD5450">
              <w:rPr>
                <w:rFonts w:ascii="Times New Roman" w:hAnsi="Times New Roman"/>
                <w:sz w:val="24"/>
                <w:szCs w:val="24"/>
                <w:lang w:val="en-US"/>
              </w:rPr>
              <w:t xml:space="preserve">Anticipated needs of the organization to support scale-up of </w:t>
            </w:r>
            <w:proofErr w:type="spellStart"/>
            <w:r w:rsidRPr="00BD5450">
              <w:rPr>
                <w:rFonts w:ascii="Times New Roman" w:hAnsi="Times New Roman"/>
                <w:sz w:val="24"/>
                <w:szCs w:val="24"/>
                <w:lang w:val="en-US"/>
              </w:rPr>
              <w:t>PrEP</w:t>
            </w:r>
            <w:proofErr w:type="spellEnd"/>
            <w:r w:rsidRPr="00BD5450">
              <w:rPr>
                <w:rFonts w:ascii="Times New Roman" w:hAnsi="Times New Roman"/>
                <w:sz w:val="24"/>
                <w:szCs w:val="24"/>
                <w:lang w:val="en-US"/>
              </w:rPr>
              <w:t xml:space="preserve">, </w:t>
            </w:r>
            <w:proofErr w:type="spellStart"/>
            <w:r w:rsidRPr="00BD5450">
              <w:rPr>
                <w:rFonts w:ascii="Times New Roman" w:hAnsi="Times New Roman"/>
                <w:sz w:val="24"/>
                <w:szCs w:val="24"/>
                <w:lang w:val="en-US"/>
              </w:rPr>
              <w:t>nPEP</w:t>
            </w:r>
            <w:proofErr w:type="spellEnd"/>
            <w:r w:rsidRPr="00BD5450">
              <w:rPr>
                <w:rFonts w:ascii="Times New Roman" w:hAnsi="Times New Roman"/>
                <w:sz w:val="24"/>
                <w:szCs w:val="24"/>
                <w:lang w:val="en-US"/>
              </w:rPr>
              <w:t xml:space="preserve">, and </w:t>
            </w:r>
            <w:proofErr w:type="spellStart"/>
            <w:r w:rsidRPr="00BD5450">
              <w:rPr>
                <w:rFonts w:ascii="Times New Roman" w:hAnsi="Times New Roman"/>
                <w:sz w:val="24"/>
                <w:szCs w:val="24"/>
                <w:lang w:val="en-US"/>
              </w:rPr>
              <w:t>TasP</w:t>
            </w:r>
            <w:proofErr w:type="spellEnd"/>
          </w:p>
          <w:p w:rsidRPr="00BD5450" w:rsidR="00A46BE8" w:rsidP="006612FB" w:rsidRDefault="00A46BE8" w14:paraId="39F7BF76" w14:textId="2DAD5627">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BD5450">
              <w:rPr>
                <w:rFonts w:ascii="Times New Roman" w:hAnsi="Times New Roman"/>
                <w:sz w:val="24"/>
                <w:szCs w:val="24"/>
                <w:lang w:val="en-US"/>
              </w:rPr>
              <w:t>Client demographics</w:t>
            </w:r>
          </w:p>
          <w:p w:rsidRPr="00BD5450" w:rsidR="00A46BE8" w:rsidP="006612FB" w:rsidRDefault="00A46BE8" w14:paraId="2FAE10F5" w14:textId="77777777">
            <w:pPr>
              <w:pStyle w:val="ListParagraph"/>
              <w:numPr>
                <w:ilvl w:val="0"/>
                <w:numId w:val="15"/>
              </w:numPr>
              <w:spacing w:after="0" w:line="240" w:lineRule="auto"/>
              <w:ind w:left="332" w:hanging="270"/>
              <w:contextualSpacing w:val="0"/>
              <w:mirrorIndents/>
              <w:rPr>
                <w:rFonts w:ascii="Times New Roman" w:hAnsi="Times New Roman"/>
                <w:sz w:val="24"/>
                <w:szCs w:val="24"/>
              </w:rPr>
            </w:pPr>
            <w:r w:rsidRPr="00BD5450">
              <w:rPr>
                <w:rFonts w:ascii="Times New Roman" w:hAnsi="Times New Roman"/>
                <w:sz w:val="24"/>
                <w:szCs w:val="24"/>
                <w:lang w:val="en-US"/>
              </w:rPr>
              <w:t>Barriers and facilitators to support the scale-up of biomedical HIV prevention interventions</w:t>
            </w:r>
          </w:p>
          <w:p w:rsidRPr="00EF42C9" w:rsidR="00BD5450" w:rsidP="006612FB" w:rsidRDefault="00BD5450" w14:paraId="7495C31A" w14:textId="4D2FBEC2">
            <w:pPr>
              <w:pStyle w:val="ListParagraph"/>
              <w:numPr>
                <w:ilvl w:val="0"/>
                <w:numId w:val="15"/>
              </w:numPr>
              <w:spacing w:after="0" w:line="240" w:lineRule="auto"/>
              <w:ind w:left="332" w:hanging="270"/>
              <w:contextualSpacing w:val="0"/>
              <w:mirrorIndents/>
              <w:rPr>
                <w:rFonts w:ascii="Times New Roman" w:hAnsi="Times New Roman"/>
                <w:strike/>
                <w:sz w:val="24"/>
                <w:szCs w:val="24"/>
              </w:rPr>
            </w:pPr>
            <w:r w:rsidRPr="00BD5450">
              <w:rPr>
                <w:rFonts w:ascii="Times New Roman" w:hAnsi="Times New Roman"/>
                <w:sz w:val="24"/>
                <w:szCs w:val="24"/>
                <w:lang w:val="en-US"/>
              </w:rPr>
              <w:t xml:space="preserve">Impact of </w:t>
            </w:r>
            <w:r w:rsidR="005D220D">
              <w:rPr>
                <w:rFonts w:ascii="Times New Roman" w:hAnsi="Times New Roman"/>
                <w:sz w:val="24"/>
                <w:szCs w:val="24"/>
                <w:lang w:val="en-US"/>
              </w:rPr>
              <w:t>novel coronavirus pandemic</w:t>
            </w:r>
            <w:r w:rsidRPr="00BD5450">
              <w:rPr>
                <w:rFonts w:ascii="Times New Roman" w:hAnsi="Times New Roman"/>
                <w:sz w:val="24"/>
                <w:szCs w:val="24"/>
                <w:lang w:val="en-US"/>
              </w:rPr>
              <w:t xml:space="preserve"> on services</w:t>
            </w:r>
            <w:r>
              <w:rPr>
                <w:rFonts w:ascii="Times New Roman" w:hAnsi="Times New Roman"/>
                <w:strike/>
                <w:sz w:val="24"/>
                <w:szCs w:val="24"/>
                <w:lang w:val="en-US"/>
              </w:rPr>
              <w:t xml:space="preserve"> </w:t>
            </w:r>
          </w:p>
        </w:tc>
      </w:tr>
    </w:tbl>
    <w:p w:rsidRPr="006612FB" w:rsidR="00F72954" w:rsidP="006612FB" w:rsidRDefault="00412543" w14:paraId="32E4AA00" w14:textId="592752BE">
      <w:pPr>
        <w:pStyle w:val="Normal1"/>
        <w:spacing w:before="120" w:after="120"/>
        <w:rPr>
          <w:b/>
          <w:bCs/>
          <w:sz w:val="20"/>
          <w:szCs w:val="20"/>
        </w:rPr>
      </w:pPr>
      <w:r>
        <w:br w:type="page"/>
      </w:r>
    </w:p>
    <w:p w:rsidR="00CC6AB1" w:rsidP="00F95454" w:rsidRDefault="00CC6AB1" w14:paraId="607EBA2E" w14:textId="650FCE14">
      <w:pPr>
        <w:pStyle w:val="Heading1"/>
        <w:spacing w:before="120" w:after="120"/>
        <w:mirrorIndents/>
      </w:pPr>
      <w:bookmarkStart w:name="_Toc30496846" w:id="4"/>
      <w:r w:rsidRPr="00B12EA3">
        <w:lastRenderedPageBreak/>
        <w:t>Use of Improved Information Technology and Burden Reduction</w:t>
      </w:r>
      <w:bookmarkEnd w:id="4"/>
    </w:p>
    <w:p w:rsidR="005E6F8D" w:rsidP="00F95454" w:rsidRDefault="006612FB" w14:paraId="77A42E3E" w14:textId="4B1BE0A7">
      <w:pPr>
        <w:spacing w:before="120" w:after="120"/>
        <w:mirrorIndents/>
        <w:jc w:val="both"/>
      </w:pPr>
      <w:r w:rsidRPr="006612FB">
        <w:t>The survey will be created using a Survey Monkey platform, which is extremely user friendly.  Participants will be sent a link to the web</w:t>
      </w:r>
      <w:r w:rsidR="00BD5450">
        <w:t>-</w:t>
      </w:r>
      <w:r w:rsidRPr="006612FB">
        <w:t xml:space="preserve">based survey via email.  Users will be able to move quickly through the survey on their computer. Most of the questions are closed ended questions and require little effort to answer- often just a simple mouse click.  When participants are finished with the survey, they simply click “submit” and they are finished.  Since it is electronic, they do not have to mail in a hard copy of their survey.  </w:t>
      </w:r>
    </w:p>
    <w:p w:rsidR="00CC6AB1" w:rsidP="00F95454" w:rsidRDefault="00CC6AB1" w14:paraId="0F163E5C" w14:textId="22597E96">
      <w:pPr>
        <w:pStyle w:val="Heading1"/>
        <w:spacing w:before="120" w:after="120"/>
        <w:mirrorIndents/>
      </w:pPr>
      <w:bookmarkStart w:name="_Toc30496847" w:id="5"/>
      <w:r w:rsidRPr="00B12EA3">
        <w:t>Efforts to Identify Duplication and Use of Similar Information</w:t>
      </w:r>
      <w:bookmarkEnd w:id="5"/>
    </w:p>
    <w:p w:rsidR="006612FB" w:rsidP="006612FB" w:rsidRDefault="006612FB" w14:paraId="4CD3E731" w14:textId="668C41C6">
      <w:pPr>
        <w:spacing w:before="120" w:after="120"/>
        <w:mirrorIndents/>
      </w:pPr>
      <w:r>
        <w:t>Literature searches were conducted to identify duplicate information collections. A previous version of this survey was conducted in 2015 by staff in the Division of HIV/AIDS Prevention. However, no other similar information is currently available for the purposes of this study. As far as we know, this information collection does not duplicate any existing efforts or surveillance activities. With the expansion of effective clinically-delivered HIV prevention methods (</w:t>
      </w:r>
      <w:proofErr w:type="spellStart"/>
      <w:r>
        <w:t>PrEP</w:t>
      </w:r>
      <w:proofErr w:type="spellEnd"/>
      <w:r>
        <w:t xml:space="preserve">, </w:t>
      </w:r>
      <w:proofErr w:type="spellStart"/>
      <w:r>
        <w:t>nPEP</w:t>
      </w:r>
      <w:proofErr w:type="spellEnd"/>
      <w:r>
        <w:t xml:space="preserve">, and </w:t>
      </w:r>
      <w:proofErr w:type="spellStart"/>
      <w:r>
        <w:t>TasP</w:t>
      </w:r>
      <w:proofErr w:type="spellEnd"/>
      <w:r>
        <w:t xml:space="preserve">) and the advent of the Ending the HIV Epidemic initiative, CDC Division of HIV/AIDS Prevention needs to assess changes in interest, current capacity, and anticipated needs of community-based organizations for engagement with these interventions as part of their HIV prevention services. Although research exists on the provision of </w:t>
      </w:r>
      <w:proofErr w:type="spellStart"/>
      <w:r>
        <w:t>PrEP</w:t>
      </w:r>
      <w:proofErr w:type="spellEnd"/>
      <w:r>
        <w:t xml:space="preserve">, </w:t>
      </w:r>
      <w:proofErr w:type="spellStart"/>
      <w:r>
        <w:t>nPEP</w:t>
      </w:r>
      <w:proofErr w:type="spellEnd"/>
      <w:r>
        <w:t xml:space="preserve"> and </w:t>
      </w:r>
      <w:proofErr w:type="spellStart"/>
      <w:r>
        <w:t>TasP</w:t>
      </w:r>
      <w:proofErr w:type="spellEnd"/>
      <w:r>
        <w:t xml:space="preserve">, there is not any information on changes in the willingness and capacity of CBOs to provide these or related services. There is </w:t>
      </w:r>
      <w:r w:rsidR="00F43411">
        <w:t>no</w:t>
      </w:r>
      <w:r>
        <w:t xml:space="preserve"> information on whether previously identified obstacles continue to hinder CBOs’ ability to provide these services.  Also, there is limited research on what tools and resources CBOs would need to help assist clients to effectively access and use these new HIV prevention methods to end the HIV epidemic.   </w:t>
      </w:r>
    </w:p>
    <w:p w:rsidR="00F95454" w:rsidP="006612FB" w:rsidRDefault="006612FB" w14:paraId="3697F9FB" w14:textId="78591E36">
      <w:pPr>
        <w:spacing w:before="120" w:after="120"/>
        <w:mirrorIndents/>
      </w:pPr>
      <w:r>
        <w:t xml:space="preserve">   </w:t>
      </w:r>
    </w:p>
    <w:p w:rsidR="00CC6AB1" w:rsidP="00F95454" w:rsidRDefault="00CC6AB1" w14:paraId="45B921C7" w14:textId="5E59F610">
      <w:pPr>
        <w:pStyle w:val="Heading1"/>
        <w:spacing w:before="120" w:after="120"/>
        <w:mirrorIndents/>
      </w:pPr>
      <w:bookmarkStart w:name="_Toc30496848" w:id="6"/>
      <w:r w:rsidRPr="00B12EA3">
        <w:t>Impact on Small Businesses or Other Small Entities</w:t>
      </w:r>
      <w:bookmarkEnd w:id="6"/>
    </w:p>
    <w:p w:rsidR="001034F0" w:rsidP="006612FB" w:rsidRDefault="00D14278" w14:paraId="5013B428" w14:textId="14FBA4A7">
      <w:pPr>
        <w:spacing w:before="120" w:after="120"/>
        <w:mirrorIndents/>
      </w:pPr>
      <w:r>
        <w:t>S</w:t>
      </w:r>
      <w:r>
        <w:t>ome of the community he</w:t>
      </w:r>
      <w:bookmarkStart w:name="_GoBack" w:id="7"/>
      <w:bookmarkEnd w:id="7"/>
      <w:r>
        <w:t>alth centers or other CBOs may be considered small businesses or entities</w:t>
      </w:r>
      <w:r>
        <w:t xml:space="preserve">.  </w:t>
      </w:r>
      <w:r w:rsidR="006612FB">
        <w:t xml:space="preserve">One identified respondent from each organization (community health centers and other CBOs) will </w:t>
      </w:r>
      <w:r w:rsidR="00D31DBA">
        <w:t>receive</w:t>
      </w:r>
      <w:r w:rsidR="006612FB">
        <w:t xml:space="preserve"> an e-mail </w:t>
      </w:r>
      <w:r w:rsidR="00890EF1">
        <w:t>(</w:t>
      </w:r>
      <w:r w:rsidRPr="00890EF1" w:rsidR="00890EF1">
        <w:rPr>
          <w:b/>
          <w:bCs/>
        </w:rPr>
        <w:t>attachment 4</w:t>
      </w:r>
      <w:r w:rsidR="00890EF1">
        <w:t xml:space="preserve">) </w:t>
      </w:r>
      <w:r w:rsidR="006612FB">
        <w:t xml:space="preserve">with a link to the survey website (created with the CDC Survey Monkey license).  The email will instruct the respondent (one executive level staff member or one </w:t>
      </w:r>
      <w:r w:rsidR="00550745">
        <w:t>client</w:t>
      </w:r>
      <w:r w:rsidR="006612FB">
        <w:t xml:space="preserve"> service provider) to complete the survey</w:t>
      </w:r>
      <w:r w:rsidR="007357C5">
        <w:t>. Participation in the survey will have minimal impact on the CBO as we are requesting one staff member from the organization to complete the survey. All responses will be aggregated to estimate frequencies, means, and counts of responses to survey questions. The survey will take approximately 30 minutes to complete, thus participation in the survey will not have a major impact on the normal operations of the CBO and limited burden on the individual completing the survey on behalf of the organization</w:t>
      </w:r>
      <w:r w:rsidR="00890EF1">
        <w:t xml:space="preserve"> (</w:t>
      </w:r>
      <w:r w:rsidRPr="00890EF1" w:rsidR="00890EF1">
        <w:rPr>
          <w:b/>
          <w:bCs/>
        </w:rPr>
        <w:t>attachment 5a, 5b</w:t>
      </w:r>
      <w:r w:rsidR="00890EF1">
        <w:t>)</w:t>
      </w:r>
      <w:r w:rsidR="007357C5">
        <w:t>.</w:t>
      </w:r>
    </w:p>
    <w:p w:rsidR="00F95454" w:rsidP="00F95454" w:rsidRDefault="00F95454" w14:paraId="7C17A669" w14:textId="77777777">
      <w:pPr>
        <w:spacing w:before="120" w:after="120"/>
        <w:mirrorIndents/>
      </w:pPr>
    </w:p>
    <w:p w:rsidR="00CC6AB1" w:rsidP="00F95454" w:rsidRDefault="00CC6AB1" w14:paraId="55BE02A1" w14:textId="1A42ADD3">
      <w:pPr>
        <w:pStyle w:val="Heading1"/>
        <w:spacing w:before="120" w:after="120"/>
        <w:mirrorIndents/>
      </w:pPr>
      <w:bookmarkStart w:name="_Toc30496849" w:id="8"/>
      <w:r w:rsidRPr="00F9622C">
        <w:t>Consequences</w:t>
      </w:r>
      <w:r w:rsidRPr="00B12EA3">
        <w:t xml:space="preserve"> of Collecting the Information Less Frequently</w:t>
      </w:r>
      <w:bookmarkEnd w:id="8"/>
    </w:p>
    <w:p w:rsidR="001034F0" w:rsidP="00F95454" w:rsidRDefault="006612FB" w14:paraId="7631853B" w14:textId="174D318D">
      <w:pPr>
        <w:spacing w:before="120" w:after="120"/>
        <w:mirrorIndents/>
        <w:rPr>
          <w:bCs/>
        </w:rPr>
      </w:pPr>
      <w:r w:rsidRPr="006612FB">
        <w:rPr>
          <w:bCs/>
        </w:rPr>
        <w:t xml:space="preserve">The activities involve a one-time collection of data.  There are no legal obstacles to reducing the burden.  Participants will complete the web-based survey one time.  </w:t>
      </w:r>
    </w:p>
    <w:p w:rsidR="006612FB" w:rsidP="00F95454" w:rsidRDefault="006612FB" w14:paraId="1BD64BED" w14:textId="77777777">
      <w:pPr>
        <w:spacing w:before="120" w:after="120"/>
        <w:mirrorIndents/>
      </w:pPr>
    </w:p>
    <w:p w:rsidR="00CC6AB1" w:rsidP="00F95454" w:rsidRDefault="00CC6AB1" w14:paraId="19581741" w14:textId="36DB443F">
      <w:pPr>
        <w:pStyle w:val="Heading1"/>
        <w:spacing w:before="120" w:after="120"/>
        <w:mirrorIndents/>
      </w:pPr>
      <w:bookmarkStart w:name="_Toc30496850" w:id="9"/>
      <w:r w:rsidRPr="00B12EA3">
        <w:t>Special Circumstances Relating to the Guidelines of 5 CFR 1320.5</w:t>
      </w:r>
      <w:bookmarkEnd w:id="9"/>
    </w:p>
    <w:p w:rsidRPr="00D467C4" w:rsidR="006612FB" w:rsidP="00F95454" w:rsidRDefault="006612FB" w14:paraId="3DB4365F" w14:textId="0772BB7A">
      <w:pPr>
        <w:spacing w:before="120" w:after="120"/>
        <w:mirrorIndents/>
      </w:pPr>
      <w:r w:rsidRPr="006612FB">
        <w:t>This request fully complies with the regulation 5 CFR 1320.5.</w:t>
      </w:r>
    </w:p>
    <w:p w:rsidR="00CC6AB1" w:rsidP="00F95454" w:rsidRDefault="00CC6AB1" w14:paraId="0FDC9E36" w14:textId="109020A0">
      <w:pPr>
        <w:pStyle w:val="Heading1"/>
        <w:spacing w:before="120" w:after="120"/>
        <w:mirrorIndents/>
      </w:pPr>
      <w:bookmarkStart w:name="_Toc30496851" w:id="10"/>
      <w:r w:rsidRPr="00B12EA3">
        <w:lastRenderedPageBreak/>
        <w:t>Comments in Response to the Federal Register Notice and Efforts to Consult Outside the Agency</w:t>
      </w:r>
      <w:bookmarkEnd w:id="10"/>
    </w:p>
    <w:p w:rsidR="001A10DC" w:rsidP="00E1459E" w:rsidRDefault="001A10DC" w14:paraId="05E09F02" w14:textId="5512040B">
      <w:pPr>
        <w:spacing w:before="120" w:after="120"/>
        <w:mirrorIndents/>
      </w:pPr>
      <w:r w:rsidRPr="001A10DC">
        <w:t xml:space="preserve">A 60-day federal register notice to solicit public comments was published in the Federal Register on </w:t>
      </w:r>
      <w:r w:rsidRPr="006C5AEC" w:rsidR="00660B8E">
        <w:t>Monday, March 9, 2020</w:t>
      </w:r>
      <w:r w:rsidRPr="001A10DC">
        <w:t xml:space="preserve">, </w:t>
      </w:r>
      <w:r w:rsidRPr="006C5AEC" w:rsidR="006C5AEC">
        <w:t>Vol. 85, No. 46</w:t>
      </w:r>
      <w:r w:rsidR="00660B8E">
        <w:t>, page #13656</w:t>
      </w:r>
      <w:r w:rsidRPr="006C5AEC" w:rsidR="006C5AEC">
        <w:t xml:space="preserve"> </w:t>
      </w:r>
      <w:r w:rsidRPr="001A10DC">
        <w:t>(</w:t>
      </w:r>
      <w:r w:rsidRPr="001A10DC">
        <w:rPr>
          <w:b/>
        </w:rPr>
        <w:t>attachment 2)</w:t>
      </w:r>
      <w:r w:rsidRPr="001A10DC">
        <w:t>. CDC received no comments.</w:t>
      </w:r>
    </w:p>
    <w:p w:rsidR="00262433" w:rsidP="00F95454" w:rsidRDefault="001A10DC" w14:paraId="6DEBE3C0" w14:textId="771054EB">
      <w:pPr>
        <w:spacing w:before="120" w:after="120"/>
        <w:mirrorIndents/>
      </w:pPr>
      <w:r>
        <w:t>There were no consultations outside of the agency.</w:t>
      </w:r>
    </w:p>
    <w:p w:rsidR="00E1459E" w:rsidP="00F95454" w:rsidRDefault="00E1459E" w14:paraId="4896BF2B" w14:textId="77777777">
      <w:pPr>
        <w:spacing w:before="120" w:after="120"/>
        <w:mirrorIndents/>
      </w:pPr>
    </w:p>
    <w:p w:rsidR="00262433" w:rsidP="004B4023" w:rsidRDefault="00CC6AB1" w14:paraId="2658CB7F" w14:textId="4DD5CA6E">
      <w:pPr>
        <w:pStyle w:val="Heading1"/>
        <w:spacing w:before="120" w:after="120"/>
        <w:mirrorIndents/>
      </w:pPr>
      <w:bookmarkStart w:name="_Toc30496852" w:id="11"/>
      <w:r w:rsidRPr="00B12EA3">
        <w:t>Explanation of Any Payment or Gift to Respondents</w:t>
      </w:r>
      <w:bookmarkEnd w:id="11"/>
    </w:p>
    <w:p w:rsidRPr="00E1459E" w:rsidR="00E1459E" w:rsidP="00E1459E" w:rsidRDefault="00E1459E" w14:paraId="1DC3AEA9" w14:textId="77777777"/>
    <w:p w:rsidR="001034F0" w:rsidP="004B4023" w:rsidRDefault="006612FB" w14:paraId="6A4B2FEB" w14:textId="4D3932A5">
      <w:pPr>
        <w:spacing w:before="120" w:after="120"/>
        <w:mirrorIndents/>
      </w:pPr>
      <w:r>
        <w:t>Survey</w:t>
      </w:r>
      <w:r w:rsidR="001C516C">
        <w:t xml:space="preserve"> participants will not receive token of appreciation funds. </w:t>
      </w:r>
      <w:r w:rsidRPr="004B4023" w:rsidR="004B4023">
        <w:t xml:space="preserve">No incentives will be provided. </w:t>
      </w:r>
    </w:p>
    <w:p w:rsidRPr="004B4023" w:rsidR="008C0AFE" w:rsidP="004B4023" w:rsidRDefault="008C0AFE" w14:paraId="2C3A240A" w14:textId="77777777">
      <w:pPr>
        <w:spacing w:before="120" w:after="120"/>
        <w:mirrorIndents/>
      </w:pPr>
    </w:p>
    <w:p w:rsidR="00B12EA3" w:rsidP="00F95454" w:rsidRDefault="00B12EA3" w14:paraId="65CCCDCB" w14:textId="1E23E4E7">
      <w:pPr>
        <w:pStyle w:val="Heading1"/>
        <w:spacing w:before="120" w:after="120"/>
        <w:mirrorIndents/>
      </w:pPr>
      <w:bookmarkStart w:name="_Toc30496853" w:id="12"/>
      <w:r w:rsidRPr="00B12EA3">
        <w:t>Protection of the Privacy and Confidentiality of Information Provided by Respondents</w:t>
      </w:r>
      <w:bookmarkEnd w:id="12"/>
    </w:p>
    <w:p w:rsidR="003C34D6" w:rsidP="00827286" w:rsidRDefault="003C34D6" w14:paraId="7B0295D3" w14:textId="5A30C1F1">
      <w:pPr>
        <w:spacing w:before="120" w:after="120"/>
        <w:mirrorIndents/>
      </w:pPr>
      <w:r w:rsidRPr="003C34D6">
        <w:t xml:space="preserve">The CDC Privacy Office has determined that the information collected under this request will include personally identifiable information (PII) covered by the Privacy Act such as the name and </w:t>
      </w:r>
      <w:r>
        <w:t xml:space="preserve">email </w:t>
      </w:r>
      <w:r w:rsidRPr="003C34D6">
        <w:t xml:space="preserve">address </w:t>
      </w:r>
      <w:r>
        <w:t>(</w:t>
      </w:r>
      <w:r w:rsidRPr="007405FB">
        <w:rPr>
          <w:b/>
        </w:rPr>
        <w:t>attachment 7</w:t>
      </w:r>
      <w:r>
        <w:t>).</w:t>
      </w:r>
      <w:r w:rsidR="006C5AEC">
        <w:t xml:space="preserve"> This collection of PII is covered under a CDC System of Records (SORN) #</w:t>
      </w:r>
      <w:r w:rsidRPr="006C5AEC" w:rsidR="006C5AEC">
        <w:t xml:space="preserve"> 09-20-0161 Records of Health Professionals in Disease Prevention and Control Training Programs. </w:t>
      </w:r>
      <w:r w:rsidRPr="008C0AFE" w:rsidR="008C0AFE">
        <w:t xml:space="preserve">This is an organizational assessment and does not involve confidentiality issues for respondents. CDC will collect data via web survey using Survey Monkey. Phone calls will be made to each CBO to elicit interest in participating in the survey. If interested, one respondent will be identified per CBO, one executive level staff member or </w:t>
      </w:r>
      <w:proofErr w:type="gramStart"/>
      <w:r w:rsidRPr="008C0AFE" w:rsidR="008C0AFE">
        <w:t>one line</w:t>
      </w:r>
      <w:proofErr w:type="gramEnd"/>
      <w:r w:rsidRPr="008C0AFE" w:rsidR="008C0AFE">
        <w:t xml:space="preserve"> staff client service provider. Since the focus of the survey is on the characteristics of the organizations, respondents will not be asked about their personal demographic variables (e.g., age, gender, race, ethnicity, etc.). Respondents will be asked questions on client demographics (e.g., client populations served such as men who have sex with men). However, we will not collect identifying information on client populations served. An email with the survey link will be sent to each of these respondents for completion. In the database, individuals responding for organizations will only be entered by codes. Contact information for organizational respondents will be destroyed when the sample is </w:t>
      </w:r>
      <w:r w:rsidRPr="008C0AFE" w:rsidR="00097D06">
        <w:t>complete,</w:t>
      </w:r>
      <w:r w:rsidRPr="008C0AFE" w:rsidR="008C0AFE">
        <w:t xml:space="preserve"> and any data queries have been addressed.</w:t>
      </w:r>
    </w:p>
    <w:p w:rsidR="002014C5" w:rsidP="00827286" w:rsidRDefault="002014C5" w14:paraId="74666D37" w14:textId="79B04D94">
      <w:pPr>
        <w:spacing w:before="120" w:after="120"/>
        <w:mirrorIndents/>
      </w:pPr>
      <w:r w:rsidRPr="002014C5">
        <w:t xml:space="preserve">Contact information of nominated staff members will be destroyed after </w:t>
      </w:r>
      <w:r w:rsidR="002D70F0">
        <w:t>t</w:t>
      </w:r>
      <w:r w:rsidRPr="002014C5">
        <w:t>he survey is closed. All PII will be destroyed upon survey completion.</w:t>
      </w:r>
    </w:p>
    <w:p w:rsidR="002014C5" w:rsidP="00827286" w:rsidRDefault="002014C5" w14:paraId="38E12249" w14:textId="77777777">
      <w:pPr>
        <w:spacing w:before="120" w:after="120"/>
        <w:mirrorIndents/>
      </w:pPr>
    </w:p>
    <w:p w:rsidR="00B12EA3" w:rsidP="00F95454" w:rsidRDefault="00B12EA3" w14:paraId="72128784" w14:textId="72270540">
      <w:pPr>
        <w:pStyle w:val="Heading1"/>
        <w:spacing w:before="120" w:after="120"/>
        <w:mirrorIndents/>
      </w:pPr>
      <w:bookmarkStart w:name="_Toc30496854" w:id="13"/>
      <w:r w:rsidRPr="00B12EA3">
        <w:t>Institutional Review Board (IRB) and Justification for Sensitive Questions</w:t>
      </w:r>
      <w:bookmarkEnd w:id="13"/>
    </w:p>
    <w:p w:rsidR="001A10DC" w:rsidP="00C20935" w:rsidRDefault="001A10DC" w14:paraId="7C8891B6" w14:textId="10E7C29C">
      <w:pPr>
        <w:spacing w:before="120" w:after="120"/>
        <w:mirrorIndents/>
        <w:jc w:val="both"/>
      </w:pPr>
      <w:r>
        <w:t>IRB</w:t>
      </w:r>
      <w:r w:rsidR="003C34D6">
        <w:t xml:space="preserve"> Approval</w:t>
      </w:r>
    </w:p>
    <w:p w:rsidRPr="00C20935" w:rsidR="00C20935" w:rsidP="00C20935" w:rsidRDefault="00C20935" w14:paraId="33EAA3EF" w14:textId="4C8CEAA1">
      <w:pPr>
        <w:spacing w:before="120" w:after="120"/>
        <w:mirrorIndents/>
        <w:jc w:val="both"/>
      </w:pPr>
      <w:r>
        <w:t xml:space="preserve">This data collection request was determined to be exempt from IRB review and approval because the information collected is of the organization </w:t>
      </w:r>
      <w:r w:rsidR="00E1459E">
        <w:t>and not</w:t>
      </w:r>
      <w:r>
        <w:t xml:space="preserve"> the individual.</w:t>
      </w:r>
      <w:r w:rsidR="00262433">
        <w:t xml:space="preserve"> </w:t>
      </w:r>
      <w:r w:rsidRPr="00C20935">
        <w:t xml:space="preserve">Participants will imply their consent by clicking the survey link and completing the survey. The survey does not contain PII and we will remove all potential identifiers from the data.  </w:t>
      </w:r>
    </w:p>
    <w:p w:rsidR="003C34D6" w:rsidP="00C20935" w:rsidRDefault="003C34D6" w14:paraId="11665D2A" w14:textId="1BC3782B">
      <w:pPr>
        <w:spacing w:before="120" w:after="120"/>
        <w:mirrorIndents/>
        <w:jc w:val="both"/>
      </w:pPr>
      <w:r>
        <w:t>Sensitive Questions</w:t>
      </w:r>
    </w:p>
    <w:p w:rsidRPr="00C20935" w:rsidR="00F95454" w:rsidP="00C20935" w:rsidRDefault="00C20935" w14:paraId="0A6C012E" w14:textId="45C42904">
      <w:pPr>
        <w:spacing w:before="120" w:after="120"/>
        <w:mirrorIndents/>
        <w:jc w:val="both"/>
      </w:pPr>
      <w:r w:rsidRPr="00C20935">
        <w:t xml:space="preserve">The questions to be asked include no </w:t>
      </w:r>
      <w:r w:rsidR="00043433">
        <w:t>sexual orientation or gender identity</w:t>
      </w:r>
      <w:r w:rsidRPr="00C20935">
        <w:t xml:space="preserve"> questions and no especially sensitive questions.  </w:t>
      </w:r>
    </w:p>
    <w:p w:rsidR="00B12EA3" w:rsidP="00F95454" w:rsidRDefault="00B12EA3" w14:paraId="7D1DAD7B" w14:textId="5E01587E">
      <w:pPr>
        <w:pStyle w:val="Heading1"/>
        <w:spacing w:before="120" w:after="120"/>
        <w:mirrorIndents/>
      </w:pPr>
      <w:bookmarkStart w:name="_Toc30496855" w:id="14"/>
      <w:r w:rsidRPr="00B057DB">
        <w:lastRenderedPageBreak/>
        <w:t>Estimates of Annualized Burden Hours and Costs</w:t>
      </w:r>
      <w:bookmarkEnd w:id="14"/>
    </w:p>
    <w:p w:rsidR="003D7EF0" w:rsidP="00F95454" w:rsidRDefault="002368E4" w14:paraId="55510EF6" w14:textId="49354140">
      <w:pPr>
        <w:spacing w:before="120" w:after="120"/>
        <w:mirrorIndents/>
      </w:pPr>
      <w:r w:rsidRPr="002368E4">
        <w:t>T</w:t>
      </w:r>
      <w:r w:rsidR="001015FC">
        <w:t xml:space="preserve">his data collection will include </w:t>
      </w:r>
      <w:r w:rsidR="008C0AFE">
        <w:t>330</w:t>
      </w:r>
      <w:r w:rsidR="001015FC">
        <w:t xml:space="preserve"> individuals</w:t>
      </w:r>
      <w:r w:rsidR="00043433">
        <w:t xml:space="preserve"> completing the survey on behalf of their organization</w:t>
      </w:r>
      <w:r w:rsidR="00C85B78">
        <w:t xml:space="preserve"> (</w:t>
      </w:r>
      <w:r w:rsidR="00043433">
        <w:t>175</w:t>
      </w:r>
      <w:r w:rsidR="00C85B78">
        <w:t xml:space="preserve"> staff </w:t>
      </w:r>
      <w:r w:rsidR="00043433">
        <w:t>from</w:t>
      </w:r>
      <w:r w:rsidRPr="00043433" w:rsidR="00043433">
        <w:t xml:space="preserve"> funded CBOs and 155</w:t>
      </w:r>
      <w:r w:rsidR="00043433">
        <w:t xml:space="preserve"> staff from</w:t>
      </w:r>
      <w:r w:rsidRPr="00043433" w:rsidR="00043433">
        <w:t xml:space="preserve"> unfunded CBOs</w:t>
      </w:r>
      <w:r w:rsidR="00C85B78">
        <w:t>)</w:t>
      </w:r>
      <w:r w:rsidRPr="00C85B78" w:rsidR="001015FC">
        <w:t>.</w:t>
      </w:r>
      <w:r w:rsidRPr="001015FC" w:rsidR="001015FC">
        <w:t xml:space="preserve"> </w:t>
      </w:r>
      <w:r>
        <w:t xml:space="preserve">The </w:t>
      </w:r>
      <w:r w:rsidR="000E1E22">
        <w:t xml:space="preserve">staff and supervisor interviews </w:t>
      </w:r>
      <w:r w:rsidRPr="00CB51BB">
        <w:rPr>
          <w:b/>
        </w:rPr>
        <w:t xml:space="preserve">(Attachment </w:t>
      </w:r>
      <w:r w:rsidR="00344324">
        <w:rPr>
          <w:b/>
        </w:rPr>
        <w:t>5a, 5b</w:t>
      </w:r>
      <w:r w:rsidRPr="00CB51BB">
        <w:rPr>
          <w:b/>
        </w:rPr>
        <w:t>)</w:t>
      </w:r>
      <w:r>
        <w:t xml:space="preserve"> will take </w:t>
      </w:r>
      <w:r w:rsidR="00C20935">
        <w:t>3</w:t>
      </w:r>
      <w:r>
        <w:t xml:space="preserve">0 minutes to complete and will be administered once. </w:t>
      </w:r>
    </w:p>
    <w:p w:rsidR="003340FF" w:rsidP="00F95454" w:rsidRDefault="002E5112" w14:paraId="76954D5A" w14:textId="4E131685">
      <w:pPr>
        <w:spacing w:before="120" w:after="120"/>
        <w:mirrorIndents/>
      </w:pPr>
      <w:r w:rsidRPr="000F4CAA">
        <w:t>Exhibits 12.1 and 12.2 provide further details about how the estimates of burden hours and costs were calculated.</w:t>
      </w:r>
      <w:r w:rsidR="008A19F2">
        <w:t xml:space="preserve"> </w:t>
      </w:r>
      <w:r w:rsidRPr="00B65A4F" w:rsidR="008A19F2">
        <w:t xml:space="preserve">The estimated annualized burden is </w:t>
      </w:r>
      <w:r w:rsidR="00C20935">
        <w:t>165</w:t>
      </w:r>
      <w:r w:rsidR="00FD6AEB">
        <w:t xml:space="preserve"> </w:t>
      </w:r>
      <w:r w:rsidRPr="00B65A4F" w:rsidR="008A19F2">
        <w:t>hours.</w:t>
      </w:r>
    </w:p>
    <w:p w:rsidR="00332F80" w:rsidP="00F95454" w:rsidRDefault="00332F80" w14:paraId="58C577B2" w14:textId="0CEFAFFF">
      <w:pPr>
        <w:pStyle w:val="Heading2"/>
        <w:spacing w:before="120" w:after="120"/>
        <w:mirrorIndents/>
      </w:pPr>
      <w:bookmarkStart w:name="_Toc444867858" w:id="15"/>
      <w:bookmarkStart w:name="_Toc444883709" w:id="16"/>
      <w:bookmarkStart w:name="_Toc445385234" w:id="17"/>
      <w:bookmarkStart w:name="_Toc448296084" w:id="18"/>
      <w:bookmarkStart w:name="_Toc30496856" w:id="19"/>
      <w:r>
        <w:t>Estimated Annualized Burden Hours</w:t>
      </w:r>
      <w:bookmarkEnd w:id="15"/>
      <w:bookmarkEnd w:id="16"/>
      <w:bookmarkEnd w:id="17"/>
      <w:bookmarkEnd w:id="18"/>
      <w:bookmarkEnd w:id="19"/>
    </w:p>
    <w:p w:rsidRPr="007376F4" w:rsidR="00E53653" w:rsidP="00F95454" w:rsidRDefault="00E86C70" w14:paraId="59EE5EE9" w14:textId="67AA7C3F">
      <w:pPr>
        <w:pStyle w:val="Caption"/>
        <w:spacing w:before="120" w:after="120"/>
        <w:mirrorIndents/>
      </w:pPr>
      <w:bookmarkStart w:name="_Toc23939754" w:id="20"/>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C297C">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C297C">
        <w:rPr>
          <w:noProof/>
          <w:sz w:val="24"/>
          <w:szCs w:val="24"/>
        </w:rPr>
        <w:t>1</w:t>
      </w:r>
      <w:r w:rsidR="00C91C02">
        <w:rPr>
          <w:sz w:val="24"/>
          <w:szCs w:val="24"/>
        </w:rPr>
        <w:fldChar w:fldCharType="end"/>
      </w:r>
      <w:r w:rsidRPr="00E6566E">
        <w:rPr>
          <w:sz w:val="24"/>
          <w:szCs w:val="24"/>
        </w:rPr>
        <w:t>: Estimated Annualized Burden Hours</w:t>
      </w:r>
      <w:bookmarkEnd w:id="20"/>
    </w:p>
    <w:tbl>
      <w:tblPr>
        <w:tblW w:w="9717" w:type="dxa"/>
        <w:tblLayout w:type="fixed"/>
        <w:tblCellMar>
          <w:left w:w="129" w:type="dxa"/>
          <w:right w:w="129" w:type="dxa"/>
        </w:tblCellMar>
        <w:tblLook w:val="0000" w:firstRow="0" w:lastRow="0" w:firstColumn="0" w:lastColumn="0" w:noHBand="0" w:noVBand="0"/>
      </w:tblPr>
      <w:tblGrid>
        <w:gridCol w:w="1527"/>
        <w:gridCol w:w="1800"/>
        <w:gridCol w:w="1620"/>
        <w:gridCol w:w="1710"/>
        <w:gridCol w:w="1980"/>
        <w:gridCol w:w="1080"/>
      </w:tblGrid>
      <w:tr w:rsidRPr="0062606A" w:rsidR="000879CA" w:rsidTr="00B45435" w14:paraId="53C2C1BB" w14:textId="77777777">
        <w:trPr>
          <w:cantSplit/>
          <w:tblHeader/>
        </w:trPr>
        <w:tc>
          <w:tcPr>
            <w:tcW w:w="1527" w:type="dxa"/>
            <w:tcBorders>
              <w:top w:val="single" w:color="000000" w:sz="2" w:space="0"/>
              <w:left w:val="single" w:color="000000" w:sz="2" w:space="0"/>
              <w:bottom w:val="single" w:color="000000" w:sz="2" w:space="0"/>
              <w:right w:val="nil"/>
            </w:tcBorders>
          </w:tcPr>
          <w:p w:rsidRPr="0062606A" w:rsidR="000879CA" w:rsidP="00F95454" w:rsidRDefault="000879CA" w14:paraId="135B48D5" w14:textId="77777777">
            <w:pPr>
              <w:mirrorIndents/>
              <w:rPr>
                <w:b/>
              </w:rPr>
            </w:pPr>
            <w:r w:rsidRPr="0062606A">
              <w:rPr>
                <w:b/>
              </w:rPr>
              <w:t>Type of Respondent</w:t>
            </w:r>
          </w:p>
        </w:tc>
        <w:tc>
          <w:tcPr>
            <w:tcW w:w="1800" w:type="dxa"/>
            <w:tcBorders>
              <w:top w:val="single" w:color="000000" w:sz="2" w:space="0"/>
              <w:left w:val="single" w:color="000000" w:sz="2" w:space="0"/>
              <w:bottom w:val="nil"/>
              <w:right w:val="nil"/>
            </w:tcBorders>
          </w:tcPr>
          <w:p w:rsidRPr="0062606A" w:rsidR="000879CA" w:rsidP="00F95454" w:rsidRDefault="000879CA" w14:paraId="3005DAB6" w14:textId="77777777">
            <w:pPr>
              <w:mirrorIndents/>
              <w:rPr>
                <w:b/>
              </w:rPr>
            </w:pPr>
            <w:r w:rsidRPr="0062606A">
              <w:rPr>
                <w:b/>
              </w:rPr>
              <w:t>Form Name</w:t>
            </w:r>
          </w:p>
        </w:tc>
        <w:tc>
          <w:tcPr>
            <w:tcW w:w="1620" w:type="dxa"/>
            <w:tcBorders>
              <w:top w:val="single" w:color="000000" w:sz="2" w:space="0"/>
              <w:left w:val="single" w:color="000000" w:sz="2" w:space="0"/>
              <w:bottom w:val="nil"/>
              <w:right w:val="nil"/>
            </w:tcBorders>
          </w:tcPr>
          <w:p w:rsidRPr="0062606A" w:rsidR="000879CA" w:rsidP="00F95454" w:rsidRDefault="000879CA" w14:paraId="6BA44EF5" w14:textId="77777777">
            <w:pPr>
              <w:mirrorIndents/>
              <w:jc w:val="center"/>
              <w:rPr>
                <w:b/>
              </w:rPr>
            </w:pPr>
            <w:r w:rsidRPr="0062606A">
              <w:rPr>
                <w:b/>
              </w:rPr>
              <w:t>No. of Respondents</w:t>
            </w:r>
          </w:p>
        </w:tc>
        <w:tc>
          <w:tcPr>
            <w:tcW w:w="1710" w:type="dxa"/>
            <w:tcBorders>
              <w:top w:val="single" w:color="000000" w:sz="2" w:space="0"/>
              <w:left w:val="single" w:color="000000" w:sz="2" w:space="0"/>
              <w:bottom w:val="nil"/>
              <w:right w:val="nil"/>
            </w:tcBorders>
          </w:tcPr>
          <w:p w:rsidRPr="0062606A" w:rsidR="000879CA" w:rsidP="00F95454" w:rsidRDefault="000879CA" w14:paraId="1975FADA" w14:textId="77777777">
            <w:pPr>
              <w:mirrorIndents/>
              <w:jc w:val="center"/>
              <w:rPr>
                <w:b/>
              </w:rPr>
            </w:pPr>
            <w:r w:rsidRPr="0062606A">
              <w:rPr>
                <w:b/>
              </w:rPr>
              <w:t>No. of Responses Per Respondent</w:t>
            </w:r>
          </w:p>
        </w:tc>
        <w:tc>
          <w:tcPr>
            <w:tcW w:w="1980" w:type="dxa"/>
            <w:tcBorders>
              <w:top w:val="single" w:color="000000" w:sz="2" w:space="0"/>
              <w:left w:val="single" w:color="000000" w:sz="2" w:space="0"/>
              <w:bottom w:val="nil"/>
              <w:right w:val="single" w:color="000000" w:sz="2" w:space="0"/>
            </w:tcBorders>
          </w:tcPr>
          <w:p w:rsidRPr="0062606A" w:rsidR="000879CA" w:rsidP="00F95454" w:rsidRDefault="0025627B" w14:paraId="5E253BC2" w14:textId="5B47AA39">
            <w:pPr>
              <w:mirrorIndents/>
              <w:jc w:val="center"/>
              <w:rPr>
                <w:b/>
              </w:rPr>
            </w:pPr>
            <w:r w:rsidRPr="0062606A">
              <w:rPr>
                <w:b/>
              </w:rPr>
              <w:t>Average Burden Per Response (h</w:t>
            </w:r>
            <w:r w:rsidRPr="0062606A" w:rsidR="000879CA">
              <w:rPr>
                <w:b/>
              </w:rPr>
              <w:t>ours)</w:t>
            </w:r>
          </w:p>
        </w:tc>
        <w:tc>
          <w:tcPr>
            <w:tcW w:w="1080" w:type="dxa"/>
            <w:tcBorders>
              <w:top w:val="single" w:color="000000" w:sz="2" w:space="0"/>
              <w:left w:val="single" w:color="000000" w:sz="2" w:space="0"/>
              <w:bottom w:val="nil"/>
              <w:right w:val="single" w:color="000000" w:sz="2" w:space="0"/>
            </w:tcBorders>
          </w:tcPr>
          <w:p w:rsidRPr="0062606A" w:rsidR="000879CA" w:rsidP="00F95454" w:rsidRDefault="000879CA" w14:paraId="55727504" w14:textId="675A4663">
            <w:pPr>
              <w:mirrorIndents/>
              <w:jc w:val="center"/>
              <w:rPr>
                <w:b/>
              </w:rPr>
            </w:pPr>
            <w:r w:rsidRPr="0062606A">
              <w:rPr>
                <w:b/>
              </w:rPr>
              <w:t>Total</w:t>
            </w:r>
          </w:p>
          <w:p w:rsidRPr="0062606A" w:rsidR="000879CA" w:rsidP="00F95454" w:rsidRDefault="000879CA" w14:paraId="22FFF7BE" w14:textId="77777777">
            <w:pPr>
              <w:mirrorIndents/>
              <w:jc w:val="center"/>
              <w:rPr>
                <w:b/>
              </w:rPr>
            </w:pPr>
            <w:r w:rsidRPr="0062606A">
              <w:rPr>
                <w:b/>
              </w:rPr>
              <w:t>Burden</w:t>
            </w:r>
          </w:p>
          <w:p w:rsidRPr="0062606A" w:rsidR="000879CA" w:rsidP="00F95454" w:rsidRDefault="000879CA" w14:paraId="50CFECF8" w14:textId="77777777">
            <w:pPr>
              <w:mirrorIndents/>
              <w:jc w:val="center"/>
              <w:rPr>
                <w:b/>
              </w:rPr>
            </w:pPr>
            <w:r w:rsidRPr="0062606A">
              <w:rPr>
                <w:b/>
              </w:rPr>
              <w:t>Hours</w:t>
            </w:r>
          </w:p>
        </w:tc>
      </w:tr>
      <w:tr w:rsidRPr="0062606A" w:rsidR="00131371" w:rsidTr="00C06875" w14:paraId="6A71D2DA" w14:textId="77777777">
        <w:trPr>
          <w:cantSplit/>
        </w:trPr>
        <w:tc>
          <w:tcPr>
            <w:tcW w:w="1527" w:type="dxa"/>
            <w:tcBorders>
              <w:top w:val="single" w:color="auto" w:sz="4" w:space="0"/>
              <w:left w:val="single" w:color="auto" w:sz="4" w:space="0"/>
              <w:bottom w:val="single" w:color="auto" w:sz="4" w:space="0"/>
              <w:right w:val="single" w:color="auto" w:sz="4" w:space="0"/>
            </w:tcBorders>
          </w:tcPr>
          <w:p w:rsidRPr="0062606A" w:rsidR="00131371" w:rsidP="008C0AFE" w:rsidRDefault="00EF42C9" w14:paraId="7331D6BA" w14:textId="4D681FFA">
            <w:pPr>
              <w:mirrorIndents/>
            </w:pPr>
            <w:r>
              <w:t>Direct client service providers</w:t>
            </w:r>
            <w:r w:rsidR="007357C5">
              <w:t xml:space="preserve"> or executive-level staff member</w:t>
            </w:r>
          </w:p>
        </w:tc>
        <w:tc>
          <w:tcPr>
            <w:tcW w:w="1800" w:type="dxa"/>
            <w:tcBorders>
              <w:top w:val="single" w:color="000000" w:sz="2" w:space="0"/>
              <w:left w:val="single" w:color="auto" w:sz="4" w:space="0"/>
              <w:bottom w:val="single" w:color="000000" w:sz="2" w:space="0"/>
              <w:right w:val="nil"/>
            </w:tcBorders>
          </w:tcPr>
          <w:p w:rsidRPr="0062606A" w:rsidR="00131371" w:rsidP="00131371" w:rsidRDefault="002B6A90" w14:paraId="5A079BF9" w14:textId="7FCADCB0">
            <w:pPr>
              <w:ind w:left="-39" w:right="51"/>
              <w:mirrorIndents/>
              <w:rPr>
                <w:iCs/>
              </w:rPr>
            </w:pPr>
            <w:r w:rsidRPr="002B6A90">
              <w:rPr>
                <w:iCs/>
              </w:rPr>
              <w:t>Community Based Organization HIV Prevention Needs Assessment Survey</w:t>
            </w:r>
            <w:r>
              <w:rPr>
                <w:iCs/>
              </w:rPr>
              <w:t xml:space="preserve"> (</w:t>
            </w:r>
            <w:proofErr w:type="spellStart"/>
            <w:r>
              <w:rPr>
                <w:iCs/>
              </w:rPr>
              <w:t>Att</w:t>
            </w:r>
            <w:proofErr w:type="spellEnd"/>
            <w:r>
              <w:rPr>
                <w:iCs/>
              </w:rPr>
              <w:t xml:space="preserve"> </w:t>
            </w:r>
            <w:r w:rsidR="00344324">
              <w:rPr>
                <w:iCs/>
              </w:rPr>
              <w:t>5a, 5b</w:t>
            </w:r>
            <w:r>
              <w:rPr>
                <w:iCs/>
              </w:rPr>
              <w:t>)</w:t>
            </w:r>
          </w:p>
        </w:tc>
        <w:tc>
          <w:tcPr>
            <w:tcW w:w="1620" w:type="dxa"/>
            <w:tcBorders>
              <w:top w:val="single" w:color="000000" w:sz="2" w:space="0"/>
              <w:left w:val="single" w:color="000000" w:sz="2" w:space="0"/>
              <w:bottom w:val="single" w:color="000000" w:sz="2" w:space="0"/>
              <w:right w:val="nil"/>
            </w:tcBorders>
            <w:vAlign w:val="center"/>
          </w:tcPr>
          <w:p w:rsidRPr="0062606A" w:rsidR="00131371" w:rsidP="00131371" w:rsidRDefault="00131371" w14:paraId="70F789C7" w14:textId="620C7E5F">
            <w:pPr>
              <w:mirrorIndents/>
              <w:jc w:val="center"/>
            </w:pPr>
            <w:r>
              <w:t>3</w:t>
            </w:r>
            <w:r w:rsidR="008C0AFE">
              <w:t>30</w:t>
            </w:r>
          </w:p>
        </w:tc>
        <w:tc>
          <w:tcPr>
            <w:tcW w:w="1710" w:type="dxa"/>
            <w:tcBorders>
              <w:top w:val="single" w:color="000000" w:sz="2" w:space="0"/>
              <w:left w:val="single" w:color="000000" w:sz="2" w:space="0"/>
              <w:bottom w:val="single" w:color="000000" w:sz="2" w:space="0"/>
              <w:right w:val="nil"/>
            </w:tcBorders>
            <w:vAlign w:val="center"/>
          </w:tcPr>
          <w:p w:rsidRPr="0062606A" w:rsidR="00131371" w:rsidP="00131371" w:rsidRDefault="00131371" w14:paraId="636D8DD4" w14:textId="32F6D7FA">
            <w:pPr>
              <w:ind w:right="-39"/>
              <w:mirrorIndents/>
              <w:jc w:val="center"/>
              <w:rPr>
                <w:highlight w:val="yellow"/>
              </w:rPr>
            </w:pPr>
            <w:r w:rsidRPr="0062606A">
              <w:t>1</w:t>
            </w:r>
          </w:p>
        </w:tc>
        <w:tc>
          <w:tcPr>
            <w:tcW w:w="1980" w:type="dxa"/>
            <w:tcBorders>
              <w:top w:val="single" w:color="000000" w:sz="2" w:space="0"/>
              <w:left w:val="single" w:color="000000" w:sz="2" w:space="0"/>
              <w:bottom w:val="single" w:color="000000" w:sz="2" w:space="0"/>
              <w:right w:val="single" w:color="000000" w:sz="2" w:space="0"/>
            </w:tcBorders>
            <w:vAlign w:val="center"/>
          </w:tcPr>
          <w:p w:rsidRPr="0062606A" w:rsidR="00131371" w:rsidP="00131371" w:rsidRDefault="00E167BD" w14:paraId="7CE6E5A3" w14:textId="76A14873">
            <w:pPr>
              <w:ind w:right="-39"/>
              <w:mirrorIndents/>
              <w:jc w:val="center"/>
              <w:rPr>
                <w:highlight w:val="yellow"/>
              </w:rPr>
            </w:pPr>
            <w:r>
              <w:t>30</w:t>
            </w:r>
            <w:r w:rsidR="003C34D6">
              <w:t>/60</w:t>
            </w:r>
          </w:p>
        </w:tc>
        <w:tc>
          <w:tcPr>
            <w:tcW w:w="1080" w:type="dxa"/>
            <w:tcBorders>
              <w:top w:val="single" w:color="000000" w:sz="2" w:space="0"/>
              <w:left w:val="single" w:color="000000" w:sz="2" w:space="0"/>
              <w:bottom w:val="single" w:color="000000" w:sz="2" w:space="0"/>
              <w:right w:val="single" w:color="000000" w:sz="2" w:space="0"/>
            </w:tcBorders>
            <w:vAlign w:val="center"/>
          </w:tcPr>
          <w:p w:rsidRPr="0062606A" w:rsidR="00131371" w:rsidP="00131371" w:rsidRDefault="008C0AFE" w14:paraId="4104A66F" w14:textId="3F7A7E61">
            <w:pPr>
              <w:mirrorIndents/>
              <w:jc w:val="center"/>
              <w:rPr>
                <w:highlight w:val="yellow"/>
              </w:rPr>
            </w:pPr>
            <w:r>
              <w:t>165</w:t>
            </w:r>
          </w:p>
        </w:tc>
      </w:tr>
      <w:tr w:rsidRPr="0062606A" w:rsidR="000879CA" w:rsidTr="0025627B" w14:paraId="003AEEEE" w14:textId="77777777">
        <w:trPr>
          <w:cantSplit/>
        </w:trPr>
        <w:tc>
          <w:tcPr>
            <w:tcW w:w="8637" w:type="dxa"/>
            <w:gridSpan w:val="5"/>
            <w:tcBorders>
              <w:top w:val="single" w:color="000000" w:sz="2" w:space="0"/>
              <w:left w:val="single" w:color="000000" w:sz="2" w:space="0"/>
              <w:bottom w:val="single" w:color="000000" w:sz="2" w:space="0"/>
              <w:right w:val="single" w:color="000000" w:sz="2" w:space="0"/>
            </w:tcBorders>
          </w:tcPr>
          <w:p w:rsidRPr="0062606A" w:rsidR="000879CA" w:rsidP="00F95454" w:rsidRDefault="000879CA" w14:paraId="408BF53D" w14:textId="77777777">
            <w:pPr>
              <w:ind w:right="224"/>
              <w:mirrorIndents/>
              <w:jc w:val="right"/>
              <w:rPr>
                <w:b/>
              </w:rPr>
            </w:pPr>
            <w:r w:rsidRPr="0062606A">
              <w:rPr>
                <w:b/>
              </w:rPr>
              <w:t>Total</w:t>
            </w:r>
          </w:p>
        </w:tc>
        <w:tc>
          <w:tcPr>
            <w:tcW w:w="1080" w:type="dxa"/>
            <w:tcBorders>
              <w:top w:val="single" w:color="000000" w:sz="2" w:space="0"/>
              <w:left w:val="single" w:color="000000" w:sz="2" w:space="0"/>
              <w:bottom w:val="single" w:color="000000" w:sz="2" w:space="0"/>
              <w:right w:val="single" w:color="000000" w:sz="2" w:space="0"/>
            </w:tcBorders>
            <w:vAlign w:val="center"/>
          </w:tcPr>
          <w:p w:rsidRPr="0062606A" w:rsidR="000879CA" w:rsidP="00FD6AEB" w:rsidRDefault="008C0AFE" w14:paraId="544BEFCA" w14:textId="7437992C">
            <w:pPr>
              <w:mirrorIndents/>
              <w:jc w:val="center"/>
              <w:rPr>
                <w:b/>
              </w:rPr>
            </w:pPr>
            <w:r>
              <w:rPr>
                <w:b/>
              </w:rPr>
              <w:t>165</w:t>
            </w:r>
          </w:p>
        </w:tc>
      </w:tr>
    </w:tbl>
    <w:p w:rsidRPr="00603813" w:rsidR="00332F80" w:rsidP="00F95454" w:rsidRDefault="00332F80" w14:paraId="6FECCC11" w14:textId="77777777">
      <w:pPr>
        <w:spacing w:before="120" w:after="120"/>
        <w:mirrorIndents/>
        <w:rPr>
          <w:b/>
        </w:rPr>
      </w:pPr>
    </w:p>
    <w:p w:rsidRPr="00E6566E" w:rsidR="00332F80" w:rsidP="00F95454" w:rsidRDefault="00332F80" w14:paraId="6A5D9D70" w14:textId="0327A8B9">
      <w:pPr>
        <w:pStyle w:val="Heading2"/>
        <w:spacing w:before="120" w:after="120"/>
        <w:mirrorIndents/>
        <w:rPr>
          <w:b w:val="0"/>
        </w:rPr>
      </w:pPr>
      <w:bookmarkStart w:name="_Toc444867859" w:id="21"/>
      <w:bookmarkStart w:name="_Toc444883710" w:id="22"/>
      <w:bookmarkStart w:name="_Toc445385235" w:id="23"/>
      <w:bookmarkStart w:name="_Toc448296085" w:id="24"/>
      <w:bookmarkStart w:name="_Toc30496857" w:id="25"/>
      <w:r w:rsidRPr="00E6566E">
        <w:t>Estimated Annualized Burden Costs</w:t>
      </w:r>
      <w:bookmarkEnd w:id="21"/>
      <w:bookmarkEnd w:id="22"/>
      <w:bookmarkEnd w:id="23"/>
      <w:bookmarkEnd w:id="24"/>
      <w:bookmarkEnd w:id="25"/>
    </w:p>
    <w:p w:rsidRPr="00603813" w:rsidR="00332F80" w:rsidP="00F95454" w:rsidRDefault="00332F80" w14:paraId="220EC10A" w14:textId="6E21BA45">
      <w:pPr>
        <w:spacing w:before="120" w:after="120"/>
        <w:mirrorIndents/>
      </w:pPr>
      <w:r w:rsidRPr="007E5176">
        <w:t xml:space="preserve">The annualized costs to the </w:t>
      </w:r>
      <w:r w:rsidR="003C10A5">
        <w:t>participants</w:t>
      </w:r>
      <w:r w:rsidRPr="007E5176">
        <w:t xml:space="preserve"> are described in Exhibit </w:t>
      </w:r>
      <w:r w:rsidRPr="007E5176" w:rsidR="0029515C">
        <w:t>12</w:t>
      </w:r>
      <w:r w:rsidRPr="007E5176" w:rsidR="00DE4370">
        <w:t>.</w:t>
      </w:r>
      <w:r w:rsidR="002E5112">
        <w:t>2</w:t>
      </w:r>
      <w:r w:rsidRPr="007E5176">
        <w:t xml:space="preserve">. The United States </w:t>
      </w:r>
      <w:r w:rsidRPr="007E5176" w:rsidR="0029515C">
        <w:t>Bureau</w:t>
      </w:r>
      <w:r w:rsidRPr="007E5176">
        <w:t xml:space="preserve"> of Labor Statistics</w:t>
      </w:r>
      <w:r w:rsidRPr="007E5176" w:rsidR="0029515C">
        <w:t xml:space="preserve">’ employment and wages estimates </w:t>
      </w:r>
      <w:r w:rsidRPr="000E1E22" w:rsidR="0029515C">
        <w:t>from</w:t>
      </w:r>
      <w:r w:rsidRPr="000E1E22">
        <w:t xml:space="preserve"> </w:t>
      </w:r>
      <w:r w:rsidR="00FA439F">
        <w:t>May</w:t>
      </w:r>
      <w:r w:rsidRPr="000E1E22" w:rsidR="00EB7D6E">
        <w:t xml:space="preserve"> </w:t>
      </w:r>
      <w:r w:rsidR="00FA439F">
        <w:t xml:space="preserve">2018 </w:t>
      </w:r>
      <w:r w:rsidRPr="00FA439F" w:rsidR="00FA439F">
        <w:t>https://www.bls.gov/oes/current/oes_nat.htm#21-0000</w:t>
      </w:r>
      <w:r w:rsidRPr="000E1E22" w:rsidR="00506E45">
        <w:t>)</w:t>
      </w:r>
      <w:r w:rsidRPr="000E1E22">
        <w:rPr>
          <w:color w:val="0070C0"/>
        </w:rPr>
        <w:t xml:space="preserve"> </w:t>
      </w:r>
      <w:hyperlink w:history="1"/>
      <w:r w:rsidRPr="000E1E22">
        <w:t>w</w:t>
      </w:r>
      <w:r w:rsidRPr="000E1E22" w:rsidR="0029515C">
        <w:t>ere</w:t>
      </w:r>
      <w:r w:rsidRPr="000E1E22">
        <w:t xml:space="preserve"> used to estimate the hourly wage rate for</w:t>
      </w:r>
      <w:r w:rsidR="008C0AFE">
        <w:t xml:space="preserve"> the</w:t>
      </w:r>
      <w:r w:rsidRPr="000E1E22">
        <w:t xml:space="preserve"> </w:t>
      </w:r>
      <w:r w:rsidRPr="000E1E22" w:rsidR="00940241">
        <w:t>“</w:t>
      </w:r>
      <w:r w:rsidRPr="008C0AFE" w:rsidR="008C0AFE">
        <w:t>Community and Social Service Occupations</w:t>
      </w:r>
      <w:r w:rsidR="008C0AFE">
        <w:t>”</w:t>
      </w:r>
      <w:r w:rsidRPr="008C0AFE" w:rsidR="008C0AFE">
        <w:t xml:space="preserve"> </w:t>
      </w:r>
      <w:r w:rsidRPr="000E1E22">
        <w:t xml:space="preserve">for the purpose of this </w:t>
      </w:r>
      <w:proofErr w:type="spellStart"/>
      <w:r w:rsidRPr="000E1E22">
        <w:t>GenIC</w:t>
      </w:r>
      <w:proofErr w:type="spellEnd"/>
      <w:r w:rsidRPr="000E1E22">
        <w:t xml:space="preserve"> request. </w:t>
      </w:r>
      <w:r w:rsidRPr="008C0AFE" w:rsidR="008C0AFE">
        <w:t>The figure of $23.69 per hour was used as an estimate of average hourly wage for adults.  Thus, the total anticipated annual cost to participants for collection of information in this project will be $3,</w:t>
      </w:r>
      <w:r w:rsidR="008C0AFE">
        <w:t>908</w:t>
      </w:r>
      <w:r w:rsidRPr="008C0AFE" w:rsidR="008C0AFE">
        <w:t>.</w:t>
      </w:r>
      <w:r w:rsidR="008C0AFE">
        <w:t>85</w:t>
      </w:r>
      <w:r w:rsidRPr="000E1E22">
        <w:t>.</w:t>
      </w:r>
      <w:r w:rsidRPr="00603813">
        <w:t xml:space="preserve"> </w:t>
      </w:r>
    </w:p>
    <w:p w:rsidRPr="007376F4" w:rsidR="00E53653" w:rsidP="00F95454" w:rsidRDefault="00332F80" w14:paraId="46305BF3" w14:textId="730AFC15">
      <w:pPr>
        <w:pStyle w:val="Caption"/>
        <w:spacing w:before="120" w:after="120"/>
        <w:mirrorIndents/>
      </w:pPr>
      <w:r w:rsidRPr="00603813">
        <w:t xml:space="preserve"> </w:t>
      </w:r>
      <w:bookmarkStart w:name="_Toc23939755" w:id="26"/>
      <w:r w:rsidRPr="00E6566E" w:rsidR="00E53653">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C297C">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C297C">
        <w:rPr>
          <w:noProof/>
          <w:sz w:val="24"/>
          <w:szCs w:val="24"/>
        </w:rPr>
        <w:t>2</w:t>
      </w:r>
      <w:r w:rsidR="00C91C02">
        <w:rPr>
          <w:sz w:val="24"/>
          <w:szCs w:val="24"/>
        </w:rPr>
        <w:fldChar w:fldCharType="end"/>
      </w:r>
      <w:r w:rsidRPr="00E6566E" w:rsidR="00E53653">
        <w:rPr>
          <w:sz w:val="24"/>
          <w:szCs w:val="24"/>
        </w:rPr>
        <w:t xml:space="preserve">: Estimated Annualized Burden </w:t>
      </w:r>
      <w:r w:rsidR="00CC5FFB">
        <w:rPr>
          <w:sz w:val="24"/>
          <w:szCs w:val="24"/>
        </w:rPr>
        <w:t>Costs</w:t>
      </w:r>
      <w:bookmarkEnd w:id="26"/>
    </w:p>
    <w:tbl>
      <w:tblPr>
        <w:tblW w:w="8367" w:type="dxa"/>
        <w:tblLayout w:type="fixed"/>
        <w:tblCellMar>
          <w:left w:w="129" w:type="dxa"/>
          <w:right w:w="129" w:type="dxa"/>
        </w:tblCellMar>
        <w:tblLook w:val="0000" w:firstRow="0" w:lastRow="0" w:firstColumn="0" w:lastColumn="0" w:noHBand="0" w:noVBand="0"/>
      </w:tblPr>
      <w:tblGrid>
        <w:gridCol w:w="1890"/>
        <w:gridCol w:w="2067"/>
        <w:gridCol w:w="1350"/>
        <w:gridCol w:w="1350"/>
        <w:gridCol w:w="1710"/>
      </w:tblGrid>
      <w:tr w:rsidRPr="0062606A" w:rsidR="00332F80" w:rsidTr="0025627B" w14:paraId="5A5AB004" w14:textId="77777777">
        <w:trPr>
          <w:cantSplit/>
          <w:tblHeader/>
        </w:trPr>
        <w:tc>
          <w:tcPr>
            <w:tcW w:w="1890" w:type="dxa"/>
            <w:tcBorders>
              <w:top w:val="single" w:color="000000" w:sz="2" w:space="0"/>
              <w:left w:val="single" w:color="000000" w:sz="2" w:space="0"/>
              <w:bottom w:val="nil"/>
              <w:right w:val="nil"/>
            </w:tcBorders>
          </w:tcPr>
          <w:p w:rsidRPr="0062606A" w:rsidR="00332F80" w:rsidP="00F95454" w:rsidRDefault="00332F80" w14:paraId="516F241C" w14:textId="77777777">
            <w:pPr>
              <w:mirrorIndents/>
              <w:rPr>
                <w:b/>
              </w:rPr>
            </w:pPr>
            <w:r w:rsidRPr="0062606A">
              <w:rPr>
                <w:b/>
              </w:rPr>
              <w:t>Type of Respondent</w:t>
            </w:r>
          </w:p>
        </w:tc>
        <w:tc>
          <w:tcPr>
            <w:tcW w:w="2067" w:type="dxa"/>
            <w:tcBorders>
              <w:top w:val="single" w:color="000000" w:sz="2" w:space="0"/>
              <w:left w:val="single" w:color="000000" w:sz="2" w:space="0"/>
              <w:bottom w:val="nil"/>
              <w:right w:val="nil"/>
            </w:tcBorders>
          </w:tcPr>
          <w:p w:rsidRPr="0062606A" w:rsidR="00332F80" w:rsidP="00F95454" w:rsidRDefault="00332F80" w14:paraId="2FC92B67" w14:textId="77777777">
            <w:pPr>
              <w:mirrorIndents/>
              <w:rPr>
                <w:b/>
              </w:rPr>
            </w:pPr>
            <w:r w:rsidRPr="0062606A">
              <w:rPr>
                <w:b/>
              </w:rPr>
              <w:t>Form Name</w:t>
            </w:r>
          </w:p>
        </w:tc>
        <w:tc>
          <w:tcPr>
            <w:tcW w:w="1350" w:type="dxa"/>
            <w:tcBorders>
              <w:top w:val="single" w:color="000000" w:sz="2" w:space="0"/>
              <w:left w:val="single" w:color="000000" w:sz="2" w:space="0"/>
              <w:bottom w:val="nil"/>
              <w:right w:val="nil"/>
            </w:tcBorders>
          </w:tcPr>
          <w:p w:rsidRPr="0062606A" w:rsidR="00332F80" w:rsidP="00F95454" w:rsidRDefault="00332F80" w14:paraId="5392D11A" w14:textId="37768470">
            <w:pPr>
              <w:mirrorIndents/>
              <w:jc w:val="center"/>
              <w:rPr>
                <w:b/>
              </w:rPr>
            </w:pPr>
            <w:r w:rsidRPr="0062606A">
              <w:rPr>
                <w:b/>
              </w:rPr>
              <w:t>Total</w:t>
            </w:r>
          </w:p>
          <w:p w:rsidRPr="0062606A" w:rsidR="00332F80" w:rsidP="00F95454" w:rsidRDefault="00332F80" w14:paraId="426CC59C" w14:textId="77777777">
            <w:pPr>
              <w:mirrorIndents/>
              <w:jc w:val="center"/>
              <w:rPr>
                <w:b/>
              </w:rPr>
            </w:pPr>
            <w:r w:rsidRPr="0062606A">
              <w:rPr>
                <w:b/>
              </w:rPr>
              <w:t>Burden</w:t>
            </w:r>
          </w:p>
          <w:p w:rsidRPr="0062606A" w:rsidR="00332F80" w:rsidP="00F95454" w:rsidRDefault="00332F80" w14:paraId="61E5D27A" w14:textId="77777777">
            <w:pPr>
              <w:mirrorIndents/>
              <w:jc w:val="center"/>
              <w:rPr>
                <w:b/>
              </w:rPr>
            </w:pPr>
            <w:r w:rsidRPr="0062606A">
              <w:rPr>
                <w:b/>
              </w:rPr>
              <w:t>Hours</w:t>
            </w:r>
          </w:p>
        </w:tc>
        <w:tc>
          <w:tcPr>
            <w:tcW w:w="1350" w:type="dxa"/>
            <w:tcBorders>
              <w:top w:val="single" w:color="000000" w:sz="2" w:space="0"/>
              <w:left w:val="single" w:color="000000" w:sz="2" w:space="0"/>
              <w:bottom w:val="nil"/>
              <w:right w:val="nil"/>
            </w:tcBorders>
          </w:tcPr>
          <w:p w:rsidRPr="0062606A" w:rsidR="00332F80" w:rsidP="00F95454" w:rsidRDefault="00332F80" w14:paraId="48C8863C" w14:textId="77777777">
            <w:pPr>
              <w:mirrorIndents/>
              <w:jc w:val="center"/>
              <w:rPr>
                <w:b/>
              </w:rPr>
            </w:pPr>
            <w:r w:rsidRPr="0062606A">
              <w:rPr>
                <w:b/>
              </w:rPr>
              <w:t>Hourly Wage Rate</w:t>
            </w:r>
          </w:p>
        </w:tc>
        <w:tc>
          <w:tcPr>
            <w:tcW w:w="1710" w:type="dxa"/>
            <w:tcBorders>
              <w:top w:val="single" w:color="000000" w:sz="2" w:space="0"/>
              <w:left w:val="single" w:color="000000" w:sz="2" w:space="0"/>
              <w:bottom w:val="nil"/>
              <w:right w:val="single" w:color="000000" w:sz="2" w:space="0"/>
            </w:tcBorders>
          </w:tcPr>
          <w:p w:rsidRPr="0062606A" w:rsidR="00332F80" w:rsidP="00F95454" w:rsidRDefault="00332F80" w14:paraId="4FD2858F" w14:textId="77777777">
            <w:pPr>
              <w:mirrorIndents/>
              <w:jc w:val="center"/>
              <w:rPr>
                <w:b/>
              </w:rPr>
            </w:pPr>
            <w:r w:rsidRPr="0062606A">
              <w:rPr>
                <w:b/>
              </w:rPr>
              <w:t>Total Respondent Costs</w:t>
            </w:r>
          </w:p>
        </w:tc>
      </w:tr>
      <w:tr w:rsidRPr="0062606A" w:rsidR="005F32F0" w:rsidTr="0025627B" w14:paraId="1A3C6131"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62606A" w:rsidR="005F32F0" w:rsidP="002763E2" w:rsidRDefault="007357C5" w14:paraId="38D70117" w14:textId="5245ABFA">
            <w:pPr>
              <w:mirrorIndents/>
            </w:pPr>
            <w:r>
              <w:t xml:space="preserve">Community-based organization </w:t>
            </w:r>
            <w:r w:rsidRPr="0062606A" w:rsidR="005F32F0">
              <w:t xml:space="preserve">- </w:t>
            </w:r>
            <w:r w:rsidR="002763E2">
              <w:t>Staff</w:t>
            </w:r>
          </w:p>
        </w:tc>
        <w:tc>
          <w:tcPr>
            <w:tcW w:w="2067" w:type="dxa"/>
            <w:tcBorders>
              <w:top w:val="single" w:color="000000" w:sz="2" w:space="0"/>
              <w:left w:val="single" w:color="auto" w:sz="4" w:space="0"/>
              <w:bottom w:val="single" w:color="000000" w:sz="2" w:space="0"/>
              <w:right w:val="nil"/>
            </w:tcBorders>
          </w:tcPr>
          <w:p w:rsidRPr="0062606A" w:rsidR="005F32F0" w:rsidP="002763E2" w:rsidRDefault="002B6A90" w14:paraId="2B5195DD" w14:textId="1214FE9F">
            <w:pPr>
              <w:ind w:left="-39" w:right="51"/>
              <w:mirrorIndents/>
              <w:rPr>
                <w:iCs/>
              </w:rPr>
            </w:pPr>
            <w:r w:rsidRPr="002B6A90">
              <w:rPr>
                <w:iCs/>
              </w:rPr>
              <w:t>Community Based Organization HIV Prevention Needs Assessment Survey</w:t>
            </w:r>
            <w:r>
              <w:rPr>
                <w:iCs/>
              </w:rPr>
              <w:t xml:space="preserve"> (</w:t>
            </w:r>
            <w:proofErr w:type="spellStart"/>
            <w:r>
              <w:rPr>
                <w:iCs/>
              </w:rPr>
              <w:t>Att</w:t>
            </w:r>
            <w:proofErr w:type="spellEnd"/>
            <w:r>
              <w:rPr>
                <w:iCs/>
              </w:rPr>
              <w:t xml:space="preserve"> </w:t>
            </w:r>
            <w:r w:rsidR="007D3F84">
              <w:rPr>
                <w:iCs/>
              </w:rPr>
              <w:t>5a, 5b</w:t>
            </w:r>
            <w:r>
              <w:rPr>
                <w:iCs/>
              </w:rPr>
              <w:t>)</w:t>
            </w:r>
          </w:p>
        </w:tc>
        <w:tc>
          <w:tcPr>
            <w:tcW w:w="1350" w:type="dxa"/>
            <w:tcBorders>
              <w:top w:val="single" w:color="000000" w:sz="2" w:space="0"/>
              <w:left w:val="single" w:color="000000" w:sz="2" w:space="0"/>
              <w:bottom w:val="single" w:color="000000" w:sz="2" w:space="0"/>
              <w:right w:val="nil"/>
            </w:tcBorders>
            <w:vAlign w:val="center"/>
          </w:tcPr>
          <w:p w:rsidRPr="0062606A" w:rsidR="005F32F0" w:rsidP="00F95454" w:rsidRDefault="008C0AFE" w14:paraId="73EF1633" w14:textId="2D19C31C">
            <w:pPr>
              <w:mirrorIndents/>
              <w:jc w:val="center"/>
            </w:pPr>
            <w:r>
              <w:t>165</w:t>
            </w:r>
          </w:p>
        </w:tc>
        <w:tc>
          <w:tcPr>
            <w:tcW w:w="1350" w:type="dxa"/>
            <w:tcBorders>
              <w:top w:val="single" w:color="000000" w:sz="2" w:space="0"/>
              <w:left w:val="single" w:color="000000" w:sz="2" w:space="0"/>
              <w:bottom w:val="single" w:color="000000" w:sz="2" w:space="0"/>
              <w:right w:val="nil"/>
            </w:tcBorders>
            <w:vAlign w:val="center"/>
          </w:tcPr>
          <w:p w:rsidRPr="0062606A" w:rsidR="005F32F0" w:rsidP="00F6027D" w:rsidRDefault="00DF291A" w14:paraId="36339757" w14:textId="33814995">
            <w:pPr>
              <w:ind w:right="-39"/>
              <w:mirrorIndents/>
              <w:jc w:val="center"/>
            </w:pPr>
            <w:r w:rsidRPr="0062606A">
              <w:t>$</w:t>
            </w:r>
            <w:r w:rsidR="00F6027D">
              <w:t>2</w:t>
            </w:r>
            <w:r w:rsidR="008C0AFE">
              <w:t>3</w:t>
            </w:r>
            <w:r w:rsidR="00F6027D">
              <w:t>.</w:t>
            </w:r>
            <w:r w:rsidR="008C0AFE">
              <w:t>69</w:t>
            </w:r>
          </w:p>
        </w:tc>
        <w:tc>
          <w:tcPr>
            <w:tcW w:w="1710" w:type="dxa"/>
            <w:tcBorders>
              <w:top w:val="single" w:color="000000" w:sz="2" w:space="0"/>
              <w:left w:val="single" w:color="000000" w:sz="2" w:space="0"/>
              <w:bottom w:val="single" w:color="000000" w:sz="2" w:space="0"/>
              <w:right w:val="single" w:color="000000" w:sz="2" w:space="0"/>
            </w:tcBorders>
            <w:vAlign w:val="center"/>
          </w:tcPr>
          <w:p w:rsidRPr="0062606A" w:rsidR="005F32F0" w:rsidP="00F6027D" w:rsidRDefault="00DF291A" w14:paraId="7441C556" w14:textId="43D34162">
            <w:pPr>
              <w:ind w:right="-39"/>
              <w:mirrorIndents/>
              <w:jc w:val="center"/>
            </w:pPr>
            <w:r w:rsidRPr="0062606A">
              <w:t>$</w:t>
            </w:r>
            <w:r w:rsidR="008C0AFE">
              <w:t>3,908.85</w:t>
            </w:r>
          </w:p>
        </w:tc>
      </w:tr>
      <w:tr w:rsidRPr="0062606A" w:rsidR="00E95779" w:rsidTr="0025627B" w14:paraId="00222644" w14:textId="77777777">
        <w:trPr>
          <w:cantSplit/>
        </w:trPr>
        <w:tc>
          <w:tcPr>
            <w:tcW w:w="8367" w:type="dxa"/>
            <w:gridSpan w:val="5"/>
            <w:tcBorders>
              <w:top w:val="single" w:color="000000" w:sz="2" w:space="0"/>
              <w:left w:val="single" w:color="000000" w:sz="2" w:space="0"/>
              <w:bottom w:val="single" w:color="000000" w:sz="2" w:space="0"/>
              <w:right w:val="single" w:color="000000" w:sz="2" w:space="0"/>
            </w:tcBorders>
          </w:tcPr>
          <w:p w:rsidRPr="0062606A" w:rsidR="00E95779" w:rsidP="00F6027D" w:rsidRDefault="00E95779" w14:paraId="24F9042E" w14:textId="396D647F">
            <w:pPr>
              <w:ind w:right="224"/>
              <w:mirrorIndents/>
              <w:jc w:val="right"/>
              <w:rPr>
                <w:b/>
              </w:rPr>
            </w:pPr>
            <w:r w:rsidRPr="0062606A">
              <w:rPr>
                <w:b/>
              </w:rPr>
              <w:t xml:space="preserve">Total </w:t>
            </w:r>
            <w:r w:rsidR="002E50F1">
              <w:rPr>
                <w:b/>
              </w:rPr>
              <w:t>$</w:t>
            </w:r>
            <w:r w:rsidR="008C0AFE">
              <w:rPr>
                <w:b/>
              </w:rPr>
              <w:t>3</w:t>
            </w:r>
            <w:r w:rsidR="00F6027D">
              <w:rPr>
                <w:b/>
              </w:rPr>
              <w:t>,</w:t>
            </w:r>
            <w:r w:rsidR="008C0AFE">
              <w:rPr>
                <w:b/>
              </w:rPr>
              <w:t>908</w:t>
            </w:r>
            <w:r w:rsidR="00F6027D">
              <w:rPr>
                <w:b/>
              </w:rPr>
              <w:t>.</w:t>
            </w:r>
            <w:r w:rsidR="008C0AFE">
              <w:rPr>
                <w:b/>
              </w:rPr>
              <w:t>85</w:t>
            </w:r>
          </w:p>
        </w:tc>
      </w:tr>
    </w:tbl>
    <w:p w:rsidR="00E76B94" w:rsidP="00E76B94" w:rsidRDefault="00E76B94" w14:paraId="0E4B630F" w14:textId="77777777">
      <w:pPr>
        <w:pStyle w:val="Heading1"/>
        <w:numPr>
          <w:ilvl w:val="0"/>
          <w:numId w:val="0"/>
        </w:numPr>
        <w:spacing w:before="120" w:after="120"/>
        <w:ind w:left="432"/>
        <w:mirrorIndents/>
      </w:pPr>
    </w:p>
    <w:p w:rsidR="00B12EA3" w:rsidP="00F95454" w:rsidRDefault="00B12EA3" w14:paraId="11D43D79" w14:textId="765DF9F7">
      <w:pPr>
        <w:pStyle w:val="Heading1"/>
        <w:spacing w:before="120" w:after="120"/>
        <w:mirrorIndents/>
      </w:pPr>
      <w:bookmarkStart w:name="_Toc30496858" w:id="27"/>
      <w:r w:rsidRPr="00B12EA3">
        <w:t>Estimates of Other Total Annual Cost Burden to Respondents and Record Keepers</w:t>
      </w:r>
      <w:bookmarkEnd w:id="27"/>
    </w:p>
    <w:p w:rsidR="00332F80" w:rsidP="00F95454" w:rsidRDefault="00332F80" w14:paraId="66DF91DD" w14:textId="4D60654D">
      <w:pPr>
        <w:spacing w:before="120" w:after="120"/>
        <w:mirrorIndents/>
      </w:pPr>
      <w:r w:rsidRPr="00F15684">
        <w:t xml:space="preserve">There are no </w:t>
      </w:r>
      <w:r w:rsidRPr="00F15684" w:rsidR="00747020">
        <w:t xml:space="preserve">other </w:t>
      </w:r>
      <w:r w:rsidR="003C10A5">
        <w:t>costs to participant</w:t>
      </w:r>
      <w:r w:rsidRPr="00F15684">
        <w:t>s for participating in this survey.</w:t>
      </w:r>
      <w:r w:rsidR="00AE7D51">
        <w:t xml:space="preserve"> There are no additional costs for record keepers as the principal investigator will keep records stored on a CDC network drive that is only accessible by the principal investigator.</w:t>
      </w:r>
    </w:p>
    <w:p w:rsidRPr="00F951D1" w:rsidR="00015AE7" w:rsidP="00F95454" w:rsidRDefault="00015AE7" w14:paraId="4FA662BE" w14:textId="77777777">
      <w:pPr>
        <w:spacing w:before="120" w:after="120"/>
        <w:mirrorIndents/>
      </w:pPr>
    </w:p>
    <w:p w:rsidR="00332F80" w:rsidP="00F95454" w:rsidRDefault="00B12EA3" w14:paraId="30DCC62D" w14:textId="14BC7D11">
      <w:pPr>
        <w:pStyle w:val="Heading1"/>
        <w:spacing w:before="120" w:after="120"/>
        <w:mirrorIndents/>
      </w:pPr>
      <w:bookmarkStart w:name="_Toc30496859" w:id="28"/>
      <w:r w:rsidRPr="00E6566E">
        <w:t>Annualized Cost to the Federal Government</w:t>
      </w:r>
      <w:bookmarkEnd w:id="28"/>
    </w:p>
    <w:p w:rsidRPr="000E1E22" w:rsidR="00B65A4F" w:rsidP="00F95454" w:rsidRDefault="00B65A4F" w14:paraId="2C85965F" w14:textId="1A5CB639">
      <w:pPr>
        <w:spacing w:before="120" w:after="120"/>
        <w:mirrorIndents/>
      </w:pPr>
      <w:r>
        <w:t>Exhibit 14.1</w:t>
      </w:r>
      <w:r w:rsidRPr="00B65A4F">
        <w:t xml:space="preserve"> provides the annualized cost to the government</w:t>
      </w:r>
      <w:r w:rsidRPr="006A4424">
        <w:t xml:space="preserve">, </w:t>
      </w:r>
      <w:r w:rsidRPr="000E1E22">
        <w:t>which totals $</w:t>
      </w:r>
      <w:r w:rsidRPr="000E1E22" w:rsidR="00DF6BCB">
        <w:t xml:space="preserve"> </w:t>
      </w:r>
      <w:r w:rsidR="009256B6">
        <w:t>18</w:t>
      </w:r>
      <w:r w:rsidRPr="000E1E22" w:rsidR="00DF6BCB">
        <w:t>,</w:t>
      </w:r>
      <w:r w:rsidR="009256B6">
        <w:t>115</w:t>
      </w:r>
      <w:r w:rsidRPr="000E1E22" w:rsidR="00DF6BCB">
        <w:t>.</w:t>
      </w:r>
      <w:r w:rsidR="009256B6">
        <w:t>20</w:t>
      </w:r>
      <w:r w:rsidRPr="000E1E22" w:rsidR="00DF6BCB">
        <w:t xml:space="preserve"> </w:t>
      </w:r>
      <w:r w:rsidRPr="000E1E22">
        <w:t>using the 201</w:t>
      </w:r>
      <w:r w:rsidRPr="000E1E22" w:rsidR="00573625">
        <w:t>9</w:t>
      </w:r>
      <w:r w:rsidRPr="000E1E22">
        <w:t xml:space="preserve"> Atlanta locality salary schedule. Managing the project, </w:t>
      </w:r>
      <w:r w:rsidRPr="000E1E22" w:rsidR="00CB3DDB">
        <w:t>collecting</w:t>
      </w:r>
      <w:r w:rsidRPr="000E1E22">
        <w:t xml:space="preserve"> and analyzing </w:t>
      </w:r>
      <w:r w:rsidRPr="000E1E22" w:rsidR="00CB3DDB">
        <w:t xml:space="preserve">the </w:t>
      </w:r>
      <w:r w:rsidRPr="000E1E22">
        <w:t xml:space="preserve">data, and generating assorted reports will require the expertise of </w:t>
      </w:r>
      <w:r w:rsidR="009256B6">
        <w:t xml:space="preserve">one </w:t>
      </w:r>
      <w:r w:rsidR="00C20935">
        <w:t>CDC staff member</w:t>
      </w:r>
      <w:r w:rsidRPr="000E1E22">
        <w:t xml:space="preserve">. </w:t>
      </w:r>
    </w:p>
    <w:p w:rsidRPr="007376F4" w:rsidR="00E53653" w:rsidP="00F95454" w:rsidRDefault="00E53653" w14:paraId="792B45B5" w14:textId="0985F414">
      <w:pPr>
        <w:pStyle w:val="Caption"/>
        <w:keepNext/>
        <w:spacing w:before="120" w:after="120"/>
        <w:mirrorIndents/>
      </w:pPr>
      <w:bookmarkStart w:name="_Toc23939756" w:id="29"/>
      <w:r w:rsidRPr="000E1E22">
        <w:rPr>
          <w:sz w:val="24"/>
          <w:szCs w:val="24"/>
        </w:rPr>
        <w:t xml:space="preserve">Exhibit </w:t>
      </w:r>
      <w:r w:rsidRPr="000E1E22" w:rsidR="00C91C02">
        <w:rPr>
          <w:sz w:val="24"/>
          <w:szCs w:val="24"/>
        </w:rPr>
        <w:fldChar w:fldCharType="begin"/>
      </w:r>
      <w:r w:rsidRPr="000E1E22" w:rsidR="00C91C02">
        <w:rPr>
          <w:sz w:val="24"/>
          <w:szCs w:val="24"/>
        </w:rPr>
        <w:instrText xml:space="preserve"> STYLEREF 1 \s </w:instrText>
      </w:r>
      <w:r w:rsidRPr="000E1E22" w:rsidR="00C91C02">
        <w:rPr>
          <w:sz w:val="24"/>
          <w:szCs w:val="24"/>
        </w:rPr>
        <w:fldChar w:fldCharType="separate"/>
      </w:r>
      <w:r w:rsidRPr="000E1E22" w:rsidR="00CC297C">
        <w:rPr>
          <w:noProof/>
          <w:sz w:val="24"/>
          <w:szCs w:val="24"/>
        </w:rPr>
        <w:t>14</w:t>
      </w:r>
      <w:r w:rsidRPr="000E1E22" w:rsidR="00C91C02">
        <w:rPr>
          <w:sz w:val="24"/>
          <w:szCs w:val="24"/>
        </w:rPr>
        <w:fldChar w:fldCharType="end"/>
      </w:r>
      <w:r w:rsidRPr="000E1E22" w:rsidR="00C91C02">
        <w:rPr>
          <w:sz w:val="24"/>
          <w:szCs w:val="24"/>
        </w:rPr>
        <w:t>.</w:t>
      </w:r>
      <w:r w:rsidRPr="000E1E22" w:rsidR="00C91C02">
        <w:rPr>
          <w:sz w:val="24"/>
          <w:szCs w:val="24"/>
        </w:rPr>
        <w:fldChar w:fldCharType="begin"/>
      </w:r>
      <w:r w:rsidRPr="000E1E22" w:rsidR="00C91C02">
        <w:rPr>
          <w:sz w:val="24"/>
          <w:szCs w:val="24"/>
        </w:rPr>
        <w:instrText xml:space="preserve"> SEQ Exhibit \* ARABIC \s 1 </w:instrText>
      </w:r>
      <w:r w:rsidRPr="000E1E22" w:rsidR="00C91C02">
        <w:rPr>
          <w:sz w:val="24"/>
          <w:szCs w:val="24"/>
        </w:rPr>
        <w:fldChar w:fldCharType="separate"/>
      </w:r>
      <w:r w:rsidRPr="000E1E22" w:rsidR="00CC297C">
        <w:rPr>
          <w:noProof/>
          <w:sz w:val="24"/>
          <w:szCs w:val="24"/>
        </w:rPr>
        <w:t>1</w:t>
      </w:r>
      <w:r w:rsidRPr="000E1E22" w:rsidR="00C91C02">
        <w:rPr>
          <w:sz w:val="24"/>
          <w:szCs w:val="24"/>
        </w:rPr>
        <w:fldChar w:fldCharType="end"/>
      </w:r>
      <w:r w:rsidRPr="000E1E22">
        <w:rPr>
          <w:sz w:val="24"/>
          <w:szCs w:val="24"/>
        </w:rPr>
        <w:t>: Annualized Cost to the Government</w:t>
      </w:r>
      <w:r w:rsidRPr="000E1E22" w:rsidR="00B65A4F">
        <w:rPr>
          <w:sz w:val="24"/>
          <w:szCs w:val="24"/>
        </w:rPr>
        <w:t xml:space="preserve"> (201</w:t>
      </w:r>
      <w:r w:rsidRPr="000E1E22" w:rsidR="00CB3DDB">
        <w:rPr>
          <w:sz w:val="24"/>
          <w:szCs w:val="24"/>
        </w:rPr>
        <w:t>9</w:t>
      </w:r>
      <w:r w:rsidRPr="000E1E22" w:rsidR="00B65A4F">
        <w:rPr>
          <w:sz w:val="24"/>
          <w:szCs w:val="24"/>
        </w:rPr>
        <w:t xml:space="preserve"> scale)</w:t>
      </w:r>
      <w:bookmarkEnd w:id="29"/>
    </w:p>
    <w:tbl>
      <w:tblPr>
        <w:tblW w:w="0" w:type="auto"/>
        <w:tblInd w:w="8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710"/>
        <w:gridCol w:w="5580"/>
        <w:gridCol w:w="2340"/>
      </w:tblGrid>
      <w:tr w:rsidRPr="00D02168" w:rsidR="00332F80" w:rsidTr="00E3737B" w14:paraId="13CE864C" w14:textId="77777777">
        <w:tc>
          <w:tcPr>
            <w:tcW w:w="1710" w:type="dxa"/>
          </w:tcPr>
          <w:p w:rsidRPr="00D02168" w:rsidR="00332F80" w:rsidP="00F95454" w:rsidRDefault="00332F80" w14:paraId="394C58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bCs/>
              </w:rPr>
            </w:pPr>
            <w:r w:rsidRPr="00D02168">
              <w:rPr>
                <w:b/>
                <w:bCs/>
              </w:rPr>
              <w:t>Expense Type</w:t>
            </w:r>
          </w:p>
        </w:tc>
        <w:tc>
          <w:tcPr>
            <w:tcW w:w="5580" w:type="dxa"/>
          </w:tcPr>
          <w:p w:rsidRPr="00D02168" w:rsidR="00332F80" w:rsidP="00F95454" w:rsidRDefault="00332F80" w14:paraId="40E3E5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D02168">
              <w:rPr>
                <w:b/>
                <w:bCs/>
              </w:rPr>
              <w:t>Expense Explanation</w:t>
            </w:r>
          </w:p>
        </w:tc>
        <w:tc>
          <w:tcPr>
            <w:tcW w:w="2340" w:type="dxa"/>
          </w:tcPr>
          <w:p w:rsidRPr="00D02168" w:rsidR="00332F80" w:rsidP="00F95454" w:rsidRDefault="00332F80" w14:paraId="5683A7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D02168">
              <w:rPr>
                <w:b/>
                <w:bCs/>
              </w:rPr>
              <w:t>Annual Costs (dollars)</w:t>
            </w:r>
          </w:p>
        </w:tc>
      </w:tr>
      <w:tr w:rsidRPr="00D02168" w:rsidR="00332F80" w:rsidTr="00E3737B" w14:paraId="0CC8B117" w14:textId="77777777">
        <w:tc>
          <w:tcPr>
            <w:tcW w:w="1710" w:type="dxa"/>
          </w:tcPr>
          <w:p w:rsidRPr="00D02168" w:rsidR="00332F80" w:rsidP="00F95454" w:rsidRDefault="00332F80" w14:paraId="7502CF7F" w14:textId="66809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Direct Costs</w:t>
            </w:r>
          </w:p>
        </w:tc>
        <w:tc>
          <w:tcPr>
            <w:tcW w:w="5580" w:type="dxa"/>
            <w:vAlign w:val="center"/>
          </w:tcPr>
          <w:p w:rsidRPr="00D02168" w:rsidR="00332F80" w:rsidP="00E3737B" w:rsidRDefault="00332F80" w14:paraId="07DF3CB1" w14:textId="63AACF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 xml:space="preserve">CDC, </w:t>
            </w:r>
            <w:r w:rsidR="00E3737B">
              <w:t>Principal Investigator</w:t>
            </w:r>
            <w:r w:rsidRPr="00D02168" w:rsidR="00E2574F">
              <w:t xml:space="preserve"> </w:t>
            </w:r>
            <w:r w:rsidRPr="00D02168">
              <w:t>(GS-</w:t>
            </w:r>
            <w:r w:rsidR="00175BE5">
              <w:t>11</w:t>
            </w:r>
            <w:r w:rsidRPr="00D02168" w:rsidR="00291F2D">
              <w:t>,</w:t>
            </w:r>
            <w:r w:rsidRPr="00D02168">
              <w:t xml:space="preserve"> </w:t>
            </w:r>
            <w:r w:rsidR="00CB3DDB">
              <w:t xml:space="preserve">56.61 </w:t>
            </w:r>
            <w:proofErr w:type="spellStart"/>
            <w:r w:rsidR="00CB3DDB">
              <w:t>hr</w:t>
            </w:r>
            <w:proofErr w:type="spellEnd"/>
            <w:r w:rsidR="00CB3DDB">
              <w:t xml:space="preserve"> /</w:t>
            </w:r>
            <w:r w:rsidR="00175BE5">
              <w:t>320</w:t>
            </w:r>
            <w:r w:rsidR="00CB3DDB">
              <w:t xml:space="preserve"> </w:t>
            </w:r>
            <w:proofErr w:type="spellStart"/>
            <w:r w:rsidR="00CB3DDB">
              <w:t>hrs</w:t>
            </w:r>
            <w:proofErr w:type="spellEnd"/>
            <w:r w:rsidRPr="00D02168">
              <w:t>)</w:t>
            </w:r>
          </w:p>
        </w:tc>
        <w:tc>
          <w:tcPr>
            <w:tcW w:w="2340" w:type="dxa"/>
            <w:vAlign w:val="center"/>
          </w:tcPr>
          <w:p w:rsidRPr="00D02168" w:rsidR="00332F80" w:rsidP="00CB3DDB" w:rsidRDefault="00291F2D" w14:paraId="1A280807" w14:textId="40A1C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t>$</w:t>
            </w:r>
            <w:r w:rsidR="00175BE5">
              <w:t>18</w:t>
            </w:r>
            <w:r w:rsidR="00CB3DDB">
              <w:t>,</w:t>
            </w:r>
            <w:r w:rsidR="00175BE5">
              <w:t>115</w:t>
            </w:r>
            <w:r w:rsidR="00CB3DDB">
              <w:t>.2</w:t>
            </w:r>
            <w:r w:rsidR="00175BE5">
              <w:t>0</w:t>
            </w:r>
          </w:p>
        </w:tc>
      </w:tr>
      <w:tr w:rsidRPr="00D02168" w:rsidR="00CB3DDB" w:rsidTr="00E3737B" w14:paraId="6B8192A0" w14:textId="77777777">
        <w:tc>
          <w:tcPr>
            <w:tcW w:w="1710" w:type="dxa"/>
          </w:tcPr>
          <w:p w:rsidRPr="00D02168" w:rsidR="00CB3DDB" w:rsidP="00CB3DDB" w:rsidRDefault="00CB3DDB" w14:paraId="0025A3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580" w:type="dxa"/>
            <w:vAlign w:val="center"/>
          </w:tcPr>
          <w:p w:rsidRPr="00D02168" w:rsidR="00CB3DDB" w:rsidP="00CB3DDB" w:rsidRDefault="00CB3DDB" w14:paraId="3F0287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sidRPr="00D02168">
              <w:rPr>
                <w:b/>
              </w:rPr>
              <w:t xml:space="preserve">           Subtotal, Direct Costs</w:t>
            </w:r>
          </w:p>
        </w:tc>
        <w:tc>
          <w:tcPr>
            <w:tcW w:w="2340" w:type="dxa"/>
            <w:vAlign w:val="center"/>
          </w:tcPr>
          <w:p w:rsidRPr="00D02168" w:rsidR="00CB3DDB" w:rsidP="00CB3DDB" w:rsidRDefault="00CB3DDB" w14:paraId="5F055B04" w14:textId="025DA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r>
              <w:rPr>
                <w:b/>
              </w:rPr>
              <w:t>$</w:t>
            </w:r>
            <w:r w:rsidR="00175BE5">
              <w:rPr>
                <w:b/>
              </w:rPr>
              <w:t>18,115.20</w:t>
            </w:r>
          </w:p>
        </w:tc>
      </w:tr>
      <w:tr w:rsidRPr="00D02168" w:rsidR="00CB3DDB" w:rsidTr="00E3737B" w14:paraId="00643FEF" w14:textId="77777777">
        <w:tc>
          <w:tcPr>
            <w:tcW w:w="1710" w:type="dxa"/>
          </w:tcPr>
          <w:p w:rsidRPr="00D02168" w:rsidR="00CB3DDB" w:rsidP="00CB3DDB" w:rsidRDefault="00CB3DDB" w14:paraId="302920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pPr>
          </w:p>
        </w:tc>
        <w:tc>
          <w:tcPr>
            <w:tcW w:w="5580" w:type="dxa"/>
          </w:tcPr>
          <w:p w:rsidRPr="00F95904" w:rsidR="00CB3DDB" w:rsidP="00CB3DDB" w:rsidRDefault="00CB3DDB" w14:paraId="34DA38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 xml:space="preserve">TOTAL COST TO THE GOVERNMENT </w:t>
            </w:r>
          </w:p>
        </w:tc>
        <w:tc>
          <w:tcPr>
            <w:tcW w:w="2340" w:type="dxa"/>
          </w:tcPr>
          <w:p w:rsidRPr="00F95904" w:rsidR="00CB3DDB" w:rsidP="00A961D6" w:rsidRDefault="00CB3DDB" w14:paraId="32B261F2" w14:textId="169B8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b/>
              </w:rPr>
            </w:pPr>
            <w:r w:rsidRPr="00F95904">
              <w:rPr>
                <w:b/>
              </w:rPr>
              <w:t>$</w:t>
            </w:r>
            <w:r w:rsidR="00175BE5">
              <w:rPr>
                <w:b/>
              </w:rPr>
              <w:t>18,115.20</w:t>
            </w:r>
          </w:p>
        </w:tc>
      </w:tr>
    </w:tbl>
    <w:p w:rsidR="00F95454" w:rsidP="00F95454" w:rsidRDefault="00F95454" w14:paraId="558D68D7" w14:textId="77777777">
      <w:pPr>
        <w:pStyle w:val="Heading1"/>
        <w:numPr>
          <w:ilvl w:val="0"/>
          <w:numId w:val="0"/>
        </w:numPr>
        <w:spacing w:before="120" w:after="120"/>
        <w:ind w:left="432"/>
        <w:mirrorIndents/>
      </w:pPr>
    </w:p>
    <w:p w:rsidR="00B12EA3" w:rsidP="00F95454" w:rsidRDefault="00B12EA3" w14:paraId="0027368F" w14:textId="766681C5">
      <w:pPr>
        <w:pStyle w:val="Heading1"/>
        <w:spacing w:before="120" w:after="120"/>
        <w:mirrorIndents/>
      </w:pPr>
      <w:bookmarkStart w:name="_Toc30496860" w:id="30"/>
      <w:r w:rsidRPr="00B12EA3">
        <w:t>Explanation for Program Changes or Adjustments</w:t>
      </w:r>
      <w:bookmarkEnd w:id="30"/>
    </w:p>
    <w:p w:rsidR="00332F80" w:rsidP="00F95454" w:rsidRDefault="00332F80" w14:paraId="12E59EA5" w14:textId="2465549F">
      <w:pPr>
        <w:autoSpaceDE w:val="0"/>
        <w:autoSpaceDN w:val="0"/>
        <w:adjustRightInd w:val="0"/>
        <w:spacing w:before="120" w:after="120"/>
        <w:mirrorIndents/>
        <w:jc w:val="both"/>
        <w:rPr>
          <w:bCs/>
        </w:rPr>
      </w:pPr>
      <w:r w:rsidRPr="009C5D88">
        <w:rPr>
          <w:bCs/>
        </w:rPr>
        <w:t>This is a new information collection request (ICR).</w:t>
      </w:r>
      <w:r w:rsidRPr="00603813">
        <w:rPr>
          <w:bCs/>
        </w:rPr>
        <w:t xml:space="preserve"> </w:t>
      </w:r>
    </w:p>
    <w:p w:rsidR="005E6F8D" w:rsidP="00F95454" w:rsidRDefault="005E6F8D" w14:paraId="08E6E6B7" w14:textId="77777777">
      <w:pPr>
        <w:autoSpaceDE w:val="0"/>
        <w:autoSpaceDN w:val="0"/>
        <w:adjustRightInd w:val="0"/>
        <w:spacing w:before="120" w:after="120"/>
        <w:mirrorIndents/>
        <w:jc w:val="both"/>
        <w:rPr>
          <w:bCs/>
        </w:rPr>
      </w:pPr>
    </w:p>
    <w:p w:rsidR="00332F80" w:rsidP="00F95454" w:rsidRDefault="00B12EA3" w14:paraId="6DB91386" w14:textId="33251CB3">
      <w:pPr>
        <w:pStyle w:val="Heading1"/>
        <w:spacing w:before="120" w:after="120"/>
        <w:mirrorIndents/>
      </w:pPr>
      <w:bookmarkStart w:name="_Toc30496861" w:id="31"/>
      <w:r w:rsidRPr="00C46977">
        <w:t>Plans for Tabulation and Publication and Project Time Schedule</w:t>
      </w:r>
      <w:bookmarkEnd w:id="31"/>
    </w:p>
    <w:p w:rsidR="00104E90" w:rsidP="003C10A5" w:rsidRDefault="00104E90" w14:paraId="5892749C" w14:textId="4817DEC9">
      <w:pPr>
        <w:spacing w:before="120" w:after="120"/>
        <w:mirrorIndents/>
      </w:pPr>
      <w:r w:rsidRPr="00B953B0">
        <w:t xml:space="preserve">Data collection will occur between </w:t>
      </w:r>
      <w:r w:rsidR="0049642A">
        <w:t xml:space="preserve">October 2020 </w:t>
      </w:r>
      <w:r w:rsidRPr="0049642A" w:rsidR="0049642A">
        <w:t>–</w:t>
      </w:r>
      <w:r w:rsidR="0049642A">
        <w:t xml:space="preserve"> May</w:t>
      </w:r>
      <w:r w:rsidR="00B45435">
        <w:t xml:space="preserve"> 20</w:t>
      </w:r>
      <w:r w:rsidR="0049642A">
        <w:t>21</w:t>
      </w:r>
      <w:r w:rsidRPr="00B953B0">
        <w:t xml:space="preserve">, analyses will be carried out in </w:t>
      </w:r>
      <w:r w:rsidR="0049642A">
        <w:t>June</w:t>
      </w:r>
      <w:r w:rsidR="00B45435">
        <w:t>-</w:t>
      </w:r>
      <w:r w:rsidR="0049642A">
        <w:t>July</w:t>
      </w:r>
      <w:r w:rsidR="0050634D">
        <w:t xml:space="preserve"> 20</w:t>
      </w:r>
      <w:r w:rsidR="0049642A">
        <w:t>21</w:t>
      </w:r>
      <w:r w:rsidRPr="00B953B0">
        <w:t xml:space="preserve">, and the final dataset and report will be submitted in </w:t>
      </w:r>
      <w:r w:rsidR="0049642A">
        <w:t>October</w:t>
      </w:r>
      <w:r w:rsidR="00B45435">
        <w:t xml:space="preserve"> 202</w:t>
      </w:r>
      <w:r w:rsidR="0049642A">
        <w:t>1</w:t>
      </w:r>
      <w:r w:rsidRPr="00B953B0">
        <w:t>. The</w:t>
      </w:r>
      <w:r w:rsidRPr="009C5D88">
        <w:t xml:space="preserve"> project timeline is detailed in exhibit 16.1.</w:t>
      </w:r>
    </w:p>
    <w:p w:rsidR="00E86C70" w:rsidP="00F95454" w:rsidRDefault="00E86C70" w14:paraId="6EFB6473" w14:textId="03826D75">
      <w:pPr>
        <w:pStyle w:val="Caption"/>
        <w:keepNext/>
        <w:spacing w:before="120" w:after="120"/>
        <w:mirrorIndents/>
        <w:rPr>
          <w:sz w:val="24"/>
          <w:szCs w:val="24"/>
        </w:rPr>
      </w:pPr>
      <w:bookmarkStart w:name="_Toc23939757" w:id="32"/>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C297C">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C297C">
        <w:rPr>
          <w:noProof/>
          <w:sz w:val="24"/>
          <w:szCs w:val="24"/>
        </w:rPr>
        <w:t>1</w:t>
      </w:r>
      <w:r w:rsidR="00C91C02">
        <w:rPr>
          <w:sz w:val="24"/>
          <w:szCs w:val="24"/>
        </w:rPr>
        <w:fldChar w:fldCharType="end"/>
      </w:r>
      <w:r w:rsidRPr="00E6566E">
        <w:rPr>
          <w:sz w:val="24"/>
          <w:szCs w:val="24"/>
        </w:rPr>
        <w:t>: Project Time Schedule</w:t>
      </w:r>
      <w:bookmarkEnd w:id="3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405"/>
        <w:gridCol w:w="4230"/>
      </w:tblGrid>
      <w:tr w:rsidRPr="00B474EC" w:rsidR="007D2C4F" w:rsidTr="00B953B0" w14:paraId="1ADF7033" w14:textId="77777777">
        <w:tc>
          <w:tcPr>
            <w:tcW w:w="4405" w:type="dxa"/>
            <w:tcMar>
              <w:top w:w="0" w:type="dxa"/>
              <w:left w:w="108" w:type="dxa"/>
              <w:bottom w:w="0" w:type="dxa"/>
              <w:right w:w="108" w:type="dxa"/>
            </w:tcMar>
            <w:hideMark/>
          </w:tcPr>
          <w:p w:rsidRPr="00B474EC" w:rsidR="007D2C4F" w:rsidP="00F95454" w:rsidRDefault="007D2C4F" w14:paraId="6595C061" w14:textId="77777777">
            <w:pPr>
              <w:mirrorIndents/>
            </w:pPr>
            <w:r w:rsidRPr="00B474EC">
              <w:rPr>
                <w:b/>
                <w:bCs/>
              </w:rPr>
              <w:t>Activity</w:t>
            </w:r>
          </w:p>
        </w:tc>
        <w:tc>
          <w:tcPr>
            <w:tcW w:w="4230" w:type="dxa"/>
            <w:tcMar>
              <w:top w:w="0" w:type="dxa"/>
              <w:left w:w="108" w:type="dxa"/>
              <w:bottom w:w="0" w:type="dxa"/>
              <w:right w:w="108" w:type="dxa"/>
            </w:tcMar>
            <w:hideMark/>
          </w:tcPr>
          <w:p w:rsidRPr="00B474EC" w:rsidR="007D2C4F" w:rsidP="00F95454" w:rsidRDefault="007D2C4F" w14:paraId="3D02435F" w14:textId="77777777">
            <w:pPr>
              <w:mirrorIndents/>
              <w:jc w:val="center"/>
            </w:pPr>
            <w:r w:rsidRPr="00B474EC">
              <w:rPr>
                <w:b/>
                <w:bCs/>
              </w:rPr>
              <w:t>Time Schedule</w:t>
            </w:r>
          </w:p>
        </w:tc>
      </w:tr>
      <w:tr w:rsidRPr="00B474EC" w:rsidR="007D2C4F" w:rsidTr="00B953B0" w14:paraId="407A9610" w14:textId="77777777">
        <w:tc>
          <w:tcPr>
            <w:tcW w:w="4405" w:type="dxa"/>
            <w:tcMar>
              <w:top w:w="0" w:type="dxa"/>
              <w:left w:w="108" w:type="dxa"/>
              <w:bottom w:w="0" w:type="dxa"/>
              <w:right w:w="108" w:type="dxa"/>
            </w:tcMar>
            <w:vAlign w:val="center"/>
            <w:hideMark/>
          </w:tcPr>
          <w:p w:rsidRPr="00B474EC" w:rsidR="007D2C4F" w:rsidP="00F95454" w:rsidRDefault="007D2C4F" w14:paraId="08E02275" w14:textId="77777777">
            <w:pPr>
              <w:mirrorIndents/>
            </w:pPr>
            <w:r w:rsidRPr="00B474EC">
              <w:t xml:space="preserve">Develop data collection tools, sampling and data plans, study protocol </w:t>
            </w:r>
          </w:p>
        </w:tc>
        <w:tc>
          <w:tcPr>
            <w:tcW w:w="4230" w:type="dxa"/>
            <w:tcMar>
              <w:top w:w="0" w:type="dxa"/>
              <w:left w:w="108" w:type="dxa"/>
              <w:bottom w:w="0" w:type="dxa"/>
              <w:right w:w="108" w:type="dxa"/>
            </w:tcMar>
            <w:vAlign w:val="center"/>
          </w:tcPr>
          <w:p w:rsidRPr="00B474EC" w:rsidR="007D2C4F" w:rsidP="00573625" w:rsidRDefault="00C20935" w14:paraId="19969263" w14:textId="092686EF">
            <w:pPr>
              <w:mirrorIndents/>
            </w:pPr>
            <w:r>
              <w:t>November</w:t>
            </w:r>
            <w:r w:rsidRPr="00B474EC" w:rsidR="007D2C4F">
              <w:t xml:space="preserve"> 201</w:t>
            </w:r>
            <w:r>
              <w:t>9</w:t>
            </w:r>
            <w:r w:rsidRPr="00B474EC" w:rsidR="007D2C4F">
              <w:t xml:space="preserve"> – </w:t>
            </w:r>
            <w:r w:rsidR="00D56AD8">
              <w:t>February</w:t>
            </w:r>
            <w:r w:rsidR="00573625">
              <w:t xml:space="preserve"> 20</w:t>
            </w:r>
            <w:r w:rsidR="00F43411">
              <w:t>20</w:t>
            </w:r>
            <w:r w:rsidR="00F4093A">
              <w:t xml:space="preserve">; CDC </w:t>
            </w:r>
            <w:r>
              <w:t>project determination and</w:t>
            </w:r>
            <w:r w:rsidR="00F4093A">
              <w:t xml:space="preserve"> protocol approval </w:t>
            </w:r>
          </w:p>
        </w:tc>
      </w:tr>
      <w:tr w:rsidRPr="00B474EC" w:rsidR="007D2C4F" w:rsidTr="00B953B0" w14:paraId="21545BE8" w14:textId="77777777">
        <w:tc>
          <w:tcPr>
            <w:tcW w:w="4405" w:type="dxa"/>
            <w:tcMar>
              <w:top w:w="0" w:type="dxa"/>
              <w:left w:w="108" w:type="dxa"/>
              <w:bottom w:w="0" w:type="dxa"/>
              <w:right w:w="108" w:type="dxa"/>
            </w:tcMar>
            <w:vAlign w:val="center"/>
          </w:tcPr>
          <w:p w:rsidRPr="00B474EC" w:rsidR="007D2C4F" w:rsidP="00F95454" w:rsidRDefault="007D2C4F" w14:paraId="39DBC332" w14:textId="77777777">
            <w:pPr>
              <w:mirrorIndents/>
            </w:pPr>
            <w:r w:rsidRPr="00B474EC">
              <w:t>OMB Submission</w:t>
            </w:r>
          </w:p>
        </w:tc>
        <w:tc>
          <w:tcPr>
            <w:tcW w:w="4230" w:type="dxa"/>
            <w:tcMar>
              <w:top w:w="0" w:type="dxa"/>
              <w:left w:w="108" w:type="dxa"/>
              <w:bottom w:w="0" w:type="dxa"/>
              <w:right w:w="108" w:type="dxa"/>
            </w:tcMar>
            <w:vAlign w:val="center"/>
          </w:tcPr>
          <w:p w:rsidRPr="00B474EC" w:rsidR="007D2C4F" w:rsidP="007D3913" w:rsidRDefault="00F43411" w14:paraId="3EDC37C5" w14:textId="4A78D1A8">
            <w:pPr>
              <w:mirrorIndents/>
            </w:pPr>
            <w:r>
              <w:t>February</w:t>
            </w:r>
            <w:r w:rsidR="00573625">
              <w:t xml:space="preserve"> 20</w:t>
            </w:r>
            <w:r w:rsidR="00C20935">
              <w:t xml:space="preserve">20 </w:t>
            </w:r>
            <w:r w:rsidRPr="00C20935" w:rsidR="00C20935">
              <w:t>–</w:t>
            </w:r>
            <w:r w:rsidR="00C20935">
              <w:t xml:space="preserve"> August 2020; OMB </w:t>
            </w:r>
            <w:r w:rsidR="0049642A">
              <w:t>a</w:t>
            </w:r>
            <w:r w:rsidR="00C20935">
              <w:t>pproval</w:t>
            </w:r>
          </w:p>
        </w:tc>
      </w:tr>
      <w:tr w:rsidRPr="00B474EC" w:rsidR="007D2C4F" w:rsidTr="00B953B0" w14:paraId="092283B1" w14:textId="77777777">
        <w:tc>
          <w:tcPr>
            <w:tcW w:w="4405" w:type="dxa"/>
            <w:tcMar>
              <w:top w:w="0" w:type="dxa"/>
              <w:left w:w="108" w:type="dxa"/>
              <w:bottom w:w="0" w:type="dxa"/>
              <w:right w:w="108" w:type="dxa"/>
            </w:tcMar>
            <w:vAlign w:val="center"/>
            <w:hideMark/>
          </w:tcPr>
          <w:p w:rsidRPr="00B474EC" w:rsidR="007D2C4F" w:rsidP="00F95454" w:rsidRDefault="007D2C4F" w14:paraId="3C5696DE" w14:textId="77777777">
            <w:pPr>
              <w:mirrorIndents/>
            </w:pPr>
            <w:r w:rsidRPr="00B474EC">
              <w:t>Recruitment  </w:t>
            </w:r>
          </w:p>
        </w:tc>
        <w:tc>
          <w:tcPr>
            <w:tcW w:w="4230" w:type="dxa"/>
            <w:tcMar>
              <w:top w:w="0" w:type="dxa"/>
              <w:left w:w="108" w:type="dxa"/>
              <w:bottom w:w="0" w:type="dxa"/>
              <w:right w:w="108" w:type="dxa"/>
            </w:tcMar>
            <w:vAlign w:val="center"/>
          </w:tcPr>
          <w:p w:rsidRPr="00B474EC" w:rsidR="007D2C4F" w:rsidP="00573625" w:rsidRDefault="00D45E08" w14:paraId="60E69657" w14:textId="6DF2F792">
            <w:pPr>
              <w:mirrorIndents/>
            </w:pPr>
            <w:r>
              <w:t>1</w:t>
            </w:r>
            <w:r w:rsidR="00573625">
              <w:t xml:space="preserve"> </w:t>
            </w:r>
            <w:r>
              <w:t>month a</w:t>
            </w:r>
            <w:r w:rsidRPr="00B474EC" w:rsidR="007D2C4F">
              <w:t>fter OMB Approval</w:t>
            </w:r>
            <w:r>
              <w:t xml:space="preserve"> (</w:t>
            </w:r>
            <w:r w:rsidR="0049642A">
              <w:t>September</w:t>
            </w:r>
            <w:r>
              <w:t xml:space="preserve"> 20</w:t>
            </w:r>
            <w:r w:rsidR="0049642A">
              <w:t>20</w:t>
            </w:r>
            <w:r>
              <w:t>)</w:t>
            </w:r>
          </w:p>
        </w:tc>
      </w:tr>
      <w:tr w:rsidRPr="00B474EC" w:rsidR="007D2C4F" w:rsidTr="00B953B0" w14:paraId="6C2B5F7D" w14:textId="77777777">
        <w:tc>
          <w:tcPr>
            <w:tcW w:w="4405" w:type="dxa"/>
            <w:tcMar>
              <w:top w:w="0" w:type="dxa"/>
              <w:left w:w="108" w:type="dxa"/>
              <w:bottom w:w="0" w:type="dxa"/>
              <w:right w:w="108" w:type="dxa"/>
            </w:tcMar>
            <w:vAlign w:val="center"/>
            <w:hideMark/>
          </w:tcPr>
          <w:p w:rsidRPr="00B474EC" w:rsidR="007D2C4F" w:rsidP="00F95454" w:rsidRDefault="007D2C4F" w14:paraId="0C22C8FD" w14:textId="77777777">
            <w:pPr>
              <w:mirrorIndents/>
            </w:pPr>
            <w:r w:rsidRPr="00B474EC">
              <w:t>Data Collection  </w:t>
            </w:r>
          </w:p>
        </w:tc>
        <w:tc>
          <w:tcPr>
            <w:tcW w:w="4230" w:type="dxa"/>
            <w:tcMar>
              <w:top w:w="0" w:type="dxa"/>
              <w:left w:w="108" w:type="dxa"/>
              <w:bottom w:w="0" w:type="dxa"/>
              <w:right w:w="108" w:type="dxa"/>
            </w:tcMar>
            <w:vAlign w:val="center"/>
          </w:tcPr>
          <w:p w:rsidRPr="00B474EC" w:rsidR="007D2C4F" w:rsidP="00573625" w:rsidRDefault="0049642A" w14:paraId="2D85416B" w14:textId="47B24263">
            <w:pPr>
              <w:mirrorIndents/>
            </w:pPr>
            <w:r>
              <w:t>2</w:t>
            </w:r>
            <w:r w:rsidRPr="0049642A">
              <w:t>–</w:t>
            </w:r>
            <w:r>
              <w:t>8</w:t>
            </w:r>
            <w:r w:rsidRPr="00B474EC" w:rsidR="007D2C4F">
              <w:t xml:space="preserve"> months after OMB Approval</w:t>
            </w:r>
            <w:r w:rsidR="00D45E08">
              <w:t xml:space="preserve"> (</w:t>
            </w:r>
            <w:r>
              <w:t xml:space="preserve">October 2020 </w:t>
            </w:r>
            <w:r w:rsidRPr="0049642A">
              <w:t>–</w:t>
            </w:r>
            <w:r>
              <w:t xml:space="preserve"> May</w:t>
            </w:r>
            <w:r w:rsidR="00D45E08">
              <w:t xml:space="preserve"> 20</w:t>
            </w:r>
            <w:r>
              <w:t>21</w:t>
            </w:r>
            <w:r w:rsidR="00D45E08">
              <w:t>)</w:t>
            </w:r>
          </w:p>
        </w:tc>
      </w:tr>
      <w:tr w:rsidRPr="00B474EC" w:rsidR="007D2C4F" w:rsidTr="00B953B0" w14:paraId="2FA032F7" w14:textId="77777777">
        <w:tc>
          <w:tcPr>
            <w:tcW w:w="4405" w:type="dxa"/>
            <w:tcMar>
              <w:top w:w="0" w:type="dxa"/>
              <w:left w:w="108" w:type="dxa"/>
              <w:bottom w:w="0" w:type="dxa"/>
              <w:right w:w="108" w:type="dxa"/>
            </w:tcMar>
            <w:vAlign w:val="center"/>
            <w:hideMark/>
          </w:tcPr>
          <w:p w:rsidRPr="00B474EC" w:rsidR="007D2C4F" w:rsidP="007D3913" w:rsidRDefault="007D2C4F" w14:paraId="56FB3266" w14:textId="3D08020F">
            <w:pPr>
              <w:mirrorIndents/>
            </w:pPr>
            <w:r w:rsidRPr="00B474EC">
              <w:t>Data analysis finalized</w:t>
            </w:r>
          </w:p>
        </w:tc>
        <w:tc>
          <w:tcPr>
            <w:tcW w:w="4230" w:type="dxa"/>
            <w:tcMar>
              <w:top w:w="0" w:type="dxa"/>
              <w:left w:w="108" w:type="dxa"/>
              <w:bottom w:w="0" w:type="dxa"/>
              <w:right w:w="108" w:type="dxa"/>
            </w:tcMar>
            <w:vAlign w:val="center"/>
          </w:tcPr>
          <w:p w:rsidRPr="00B474EC" w:rsidR="007D2C4F" w:rsidP="00573625" w:rsidRDefault="0049642A" w14:paraId="7DC953C9" w14:textId="21176805">
            <w:pPr>
              <w:mirrorIndents/>
            </w:pPr>
            <w:r>
              <w:t>9</w:t>
            </w:r>
            <w:r w:rsidRPr="0049642A">
              <w:t>–</w:t>
            </w:r>
            <w:r>
              <w:t>10</w:t>
            </w:r>
            <w:r w:rsidR="00573625">
              <w:t xml:space="preserve"> </w:t>
            </w:r>
            <w:r w:rsidRPr="00B474EC" w:rsidR="007D2C4F">
              <w:t>months after OMB Approval</w:t>
            </w:r>
            <w:r w:rsidR="00D45E08">
              <w:t xml:space="preserve"> (</w:t>
            </w:r>
            <w:r>
              <w:t>June</w:t>
            </w:r>
            <w:r w:rsidRPr="0049642A">
              <w:t>–</w:t>
            </w:r>
            <w:r>
              <w:t>July</w:t>
            </w:r>
            <w:r w:rsidR="00D45E08">
              <w:t xml:space="preserve"> 20</w:t>
            </w:r>
            <w:r>
              <w:t>21</w:t>
            </w:r>
            <w:r w:rsidR="00D45E08">
              <w:t>)</w:t>
            </w:r>
          </w:p>
        </w:tc>
      </w:tr>
      <w:tr w:rsidRPr="00B474EC" w:rsidR="007D3913" w:rsidTr="00B953B0" w14:paraId="081E813F" w14:textId="77777777">
        <w:tc>
          <w:tcPr>
            <w:tcW w:w="4405" w:type="dxa"/>
            <w:tcMar>
              <w:top w:w="0" w:type="dxa"/>
              <w:left w:w="108" w:type="dxa"/>
              <w:bottom w:w="0" w:type="dxa"/>
              <w:right w:w="108" w:type="dxa"/>
            </w:tcMar>
            <w:vAlign w:val="center"/>
          </w:tcPr>
          <w:p w:rsidRPr="00B474EC" w:rsidR="007D3913" w:rsidP="007D3913" w:rsidRDefault="007D3913" w14:paraId="5646F886" w14:textId="2B586C9D">
            <w:pPr>
              <w:mirrorIndents/>
            </w:pPr>
            <w:r>
              <w:t>Draft report and final report written</w:t>
            </w:r>
          </w:p>
        </w:tc>
        <w:tc>
          <w:tcPr>
            <w:tcW w:w="4230" w:type="dxa"/>
            <w:tcMar>
              <w:top w:w="0" w:type="dxa"/>
              <w:left w:w="108" w:type="dxa"/>
              <w:bottom w:w="0" w:type="dxa"/>
              <w:right w:w="108" w:type="dxa"/>
            </w:tcMar>
            <w:vAlign w:val="center"/>
          </w:tcPr>
          <w:p w:rsidRPr="00B474EC" w:rsidR="007D3913" w:rsidP="00573625" w:rsidRDefault="0049642A" w14:paraId="7BB92071" w14:textId="75DC69A2">
            <w:pPr>
              <w:mirrorIndents/>
            </w:pPr>
            <w:r>
              <w:t>11</w:t>
            </w:r>
            <w:r w:rsidRPr="0049642A">
              <w:t>–</w:t>
            </w:r>
            <w:r>
              <w:t>12</w:t>
            </w:r>
            <w:r w:rsidR="007D3913">
              <w:t xml:space="preserve"> months after OMB approval (</w:t>
            </w:r>
            <w:r>
              <w:t>August</w:t>
            </w:r>
            <w:r w:rsidRPr="0049642A">
              <w:t>–</w:t>
            </w:r>
            <w:r>
              <w:t>September</w:t>
            </w:r>
            <w:r w:rsidR="007D3913">
              <w:t xml:space="preserve"> 20</w:t>
            </w:r>
            <w:r>
              <w:t>21</w:t>
            </w:r>
            <w:r w:rsidR="007D3913">
              <w:t>)</w:t>
            </w:r>
          </w:p>
        </w:tc>
      </w:tr>
      <w:tr w:rsidRPr="00B474EC" w:rsidR="007D2C4F" w:rsidTr="00B953B0" w14:paraId="15167263" w14:textId="77777777">
        <w:tc>
          <w:tcPr>
            <w:tcW w:w="4405" w:type="dxa"/>
            <w:tcMar>
              <w:top w:w="0" w:type="dxa"/>
              <w:left w:w="108" w:type="dxa"/>
              <w:bottom w:w="0" w:type="dxa"/>
              <w:right w:w="108" w:type="dxa"/>
            </w:tcMar>
            <w:vAlign w:val="center"/>
            <w:hideMark/>
          </w:tcPr>
          <w:p w:rsidRPr="00B474EC" w:rsidR="007D2C4F" w:rsidP="00BF5E49" w:rsidRDefault="00BF5E49" w14:paraId="2FD00BC4" w14:textId="06797CFA">
            <w:pPr>
              <w:mirrorIndents/>
            </w:pPr>
            <w:r>
              <w:t>F</w:t>
            </w:r>
            <w:r w:rsidRPr="00B474EC" w:rsidR="007D2C4F">
              <w:t xml:space="preserve">inal report </w:t>
            </w:r>
            <w:r>
              <w:t xml:space="preserve">disseminated </w:t>
            </w:r>
          </w:p>
        </w:tc>
        <w:tc>
          <w:tcPr>
            <w:tcW w:w="4230" w:type="dxa"/>
            <w:tcMar>
              <w:top w:w="0" w:type="dxa"/>
              <w:left w:w="108" w:type="dxa"/>
              <w:bottom w:w="0" w:type="dxa"/>
              <w:right w:w="108" w:type="dxa"/>
            </w:tcMar>
            <w:vAlign w:val="center"/>
          </w:tcPr>
          <w:p w:rsidRPr="00B474EC" w:rsidR="007D2C4F" w:rsidP="00573625" w:rsidRDefault="0049642A" w14:paraId="5B603678" w14:textId="64984F7E">
            <w:pPr>
              <w:mirrorIndents/>
            </w:pPr>
            <w:r>
              <w:t>13</w:t>
            </w:r>
            <w:r w:rsidRPr="0049642A">
              <w:t>–</w:t>
            </w:r>
            <w:r w:rsidR="007D3913">
              <w:t>1</w:t>
            </w:r>
            <w:r>
              <w:t>5</w:t>
            </w:r>
            <w:r w:rsidRPr="00B474EC" w:rsidR="007D2C4F">
              <w:t xml:space="preserve"> months after OMB Approval </w:t>
            </w:r>
            <w:r w:rsidR="00D45E08">
              <w:t>(</w:t>
            </w:r>
            <w:r>
              <w:t>October</w:t>
            </w:r>
            <w:r w:rsidRPr="0049642A">
              <w:t>–</w:t>
            </w:r>
            <w:r>
              <w:t>November</w:t>
            </w:r>
            <w:r w:rsidR="00D45E08">
              <w:t xml:space="preserve"> 20</w:t>
            </w:r>
            <w:r w:rsidR="00573625">
              <w:t>2</w:t>
            </w:r>
            <w:r>
              <w:t>1</w:t>
            </w:r>
            <w:r w:rsidR="00D45E08">
              <w:t>)</w:t>
            </w:r>
          </w:p>
        </w:tc>
      </w:tr>
    </w:tbl>
    <w:p w:rsidRPr="005E6F8D" w:rsidR="00F95454" w:rsidP="00F95454" w:rsidRDefault="00F95454" w14:paraId="7F36421F" w14:textId="77777777">
      <w:pPr>
        <w:spacing w:before="120" w:after="120"/>
        <w:mirrorIndents/>
        <w:jc w:val="both"/>
      </w:pPr>
    </w:p>
    <w:p w:rsidR="00B12EA3" w:rsidP="00F95454" w:rsidRDefault="00B12EA3" w14:paraId="5E10EBF4" w14:textId="70DD4E06">
      <w:pPr>
        <w:pStyle w:val="Heading1"/>
        <w:spacing w:before="120" w:after="120"/>
        <w:mirrorIndents/>
      </w:pPr>
      <w:bookmarkStart w:name="_Toc30496862" w:id="33"/>
      <w:r w:rsidRPr="00B12EA3">
        <w:t>Reason(s) Display of OMB Expiration Date is Inappropriate</w:t>
      </w:r>
      <w:bookmarkEnd w:id="33"/>
    </w:p>
    <w:p w:rsidR="00332F80" w:rsidP="00F95454" w:rsidRDefault="00332F80" w14:paraId="22EFCC05" w14:textId="4C6924BF">
      <w:pPr>
        <w:spacing w:before="120" w:after="120"/>
        <w:mirrorIndents/>
      </w:pPr>
      <w:r w:rsidRPr="00603813">
        <w:t xml:space="preserve">We do not seek approval to eliminate the expiration date. </w:t>
      </w:r>
    </w:p>
    <w:p w:rsidRPr="00F951D1" w:rsidR="00F95454" w:rsidP="00F95454" w:rsidRDefault="00F95454" w14:paraId="78B387FA" w14:textId="77777777">
      <w:pPr>
        <w:spacing w:before="120" w:after="120"/>
        <w:mirrorIndents/>
      </w:pPr>
    </w:p>
    <w:p w:rsidR="00542640" w:rsidP="00F95454" w:rsidRDefault="00B12EA3" w14:paraId="64729C1A" w14:textId="52431784">
      <w:pPr>
        <w:pStyle w:val="Heading1"/>
        <w:spacing w:before="120" w:after="120"/>
        <w:mirrorIndents/>
      </w:pPr>
      <w:bookmarkStart w:name="_Toc30496863" w:id="34"/>
      <w:r w:rsidRPr="00B12EA3">
        <w:t>E</w:t>
      </w:r>
      <w:r w:rsidRPr="00E53653">
        <w:rPr>
          <w:rStyle w:val="Heading1Char"/>
        </w:rPr>
        <w:t>x</w:t>
      </w:r>
      <w:r w:rsidRPr="00B12EA3">
        <w:t>ceptions to Certification for Paperwork Reduction Act Submissions</w:t>
      </w:r>
      <w:bookmarkEnd w:id="34"/>
    </w:p>
    <w:p w:rsidR="006869D4" w:rsidP="00F95454" w:rsidRDefault="00332F80" w14:paraId="7C4350FB" w14:textId="02726F4A">
      <w:pPr>
        <w:spacing w:before="120" w:after="120"/>
        <w:mirrorIndents/>
      </w:pPr>
      <w:r w:rsidRPr="00332F80">
        <w:t>There are no exemptions to the certification.</w:t>
      </w:r>
    </w:p>
    <w:p w:rsidR="002B6A90" w:rsidP="007357C5" w:rsidRDefault="002B6A90" w14:paraId="13B84827" w14:textId="77777777">
      <w:pPr>
        <w:pStyle w:val="EndNoteBibliography"/>
        <w:spacing w:before="120" w:after="120"/>
        <w:mirrorIndents/>
        <w:rPr>
          <w:b/>
        </w:rPr>
      </w:pPr>
    </w:p>
    <w:p w:rsidRPr="00BF2B6F" w:rsidR="00BF2B6F" w:rsidP="007357C5" w:rsidRDefault="00BF2B6F" w14:paraId="1FD69DA1" w14:textId="6E3F76AA">
      <w:pPr>
        <w:pStyle w:val="EndNoteBibliography"/>
        <w:spacing w:before="120" w:after="120"/>
        <w:mirrorIndents/>
        <w:rPr>
          <w:b/>
        </w:rPr>
      </w:pPr>
      <w:r w:rsidRPr="00BF2B6F">
        <w:rPr>
          <w:b/>
        </w:rPr>
        <w:t>References</w:t>
      </w:r>
    </w:p>
    <w:p w:rsidRPr="00B170CE" w:rsidR="00A32FBE" w:rsidP="00A32FBE" w:rsidRDefault="00A32FBE" w14:paraId="69985ADE" w14:textId="7B9212C5">
      <w:pPr>
        <w:pStyle w:val="EndNoteBibliography"/>
        <w:spacing w:before="120" w:after="120"/>
        <w:ind w:left="720" w:hanging="720"/>
        <w:mirrorIndents/>
      </w:pPr>
    </w:p>
    <w:p w:rsidR="00A6620A" w:rsidP="00A6620A" w:rsidRDefault="00A6620A" w14:paraId="36665B56" w14:textId="08B22911">
      <w:pPr>
        <w:numPr>
          <w:ilvl w:val="0"/>
          <w:numId w:val="16"/>
        </w:numPr>
        <w:spacing w:after="200" w:line="276" w:lineRule="auto"/>
        <w:contextualSpacing/>
        <w:jc w:val="both"/>
      </w:pPr>
      <w:r>
        <w:t xml:space="preserve">Dominguez, KL, Smith DK, Thomas V, </w:t>
      </w:r>
      <w:proofErr w:type="spellStart"/>
      <w:r>
        <w:t>Crepaz</w:t>
      </w:r>
      <w:proofErr w:type="spellEnd"/>
      <w:r>
        <w:t xml:space="preserve"> N, Lang KS, et al. Updated Guidelines for Antiretroviral Postexposure Prophylaxis After Sexual, Injection Drug Use, or Other Nonoccupational Exposures to HIV—United States, 2016. 1-91.</w:t>
      </w:r>
    </w:p>
    <w:p w:rsidR="00A6620A" w:rsidP="00A6620A" w:rsidRDefault="00A6620A" w14:paraId="35DE2ADF" w14:textId="77777777">
      <w:pPr>
        <w:spacing w:after="200" w:line="276" w:lineRule="auto"/>
        <w:ind w:left="720"/>
        <w:contextualSpacing/>
        <w:jc w:val="both"/>
      </w:pPr>
    </w:p>
    <w:p w:rsidR="00A6620A" w:rsidP="00A6620A" w:rsidRDefault="00A6620A" w14:paraId="6F5AD1F3" w14:textId="217B120B">
      <w:pPr>
        <w:numPr>
          <w:ilvl w:val="0"/>
          <w:numId w:val="16"/>
        </w:numPr>
        <w:spacing w:after="200" w:line="276" w:lineRule="auto"/>
        <w:contextualSpacing/>
        <w:jc w:val="both"/>
      </w:pPr>
      <w:r>
        <w:t xml:space="preserve">Thigpen MC, </w:t>
      </w:r>
      <w:proofErr w:type="spellStart"/>
      <w:r>
        <w:t>Kebaabetswe</w:t>
      </w:r>
      <w:proofErr w:type="spellEnd"/>
      <w:r>
        <w:t xml:space="preserve"> PM, Paxton LA, et al; TDF2 Study Group. Antiretroviral preexposure prophylaxis for heterosexual HIV transmission in Botswana. N </w:t>
      </w:r>
      <w:proofErr w:type="spellStart"/>
      <w:r>
        <w:t>Engl</w:t>
      </w:r>
      <w:proofErr w:type="spellEnd"/>
      <w:r>
        <w:t xml:space="preserve"> J Med. 2012;367(5):423-434.</w:t>
      </w:r>
    </w:p>
    <w:p w:rsidR="00A6620A" w:rsidP="00A6620A" w:rsidRDefault="00A6620A" w14:paraId="096FF097" w14:textId="77777777">
      <w:pPr>
        <w:spacing w:after="200" w:line="276" w:lineRule="auto"/>
        <w:contextualSpacing/>
        <w:jc w:val="both"/>
      </w:pPr>
    </w:p>
    <w:p w:rsidR="00A6620A" w:rsidP="00A6620A" w:rsidRDefault="00A6620A" w14:paraId="383C5FF5" w14:textId="5007DEBE">
      <w:pPr>
        <w:numPr>
          <w:ilvl w:val="0"/>
          <w:numId w:val="16"/>
        </w:numPr>
        <w:spacing w:after="200" w:line="276" w:lineRule="auto"/>
        <w:contextualSpacing/>
        <w:jc w:val="both"/>
      </w:pPr>
      <w:proofErr w:type="spellStart"/>
      <w:r>
        <w:t>Baeten</w:t>
      </w:r>
      <w:proofErr w:type="spellEnd"/>
      <w:r>
        <w:t xml:space="preserve"> JM, Donnell D, </w:t>
      </w:r>
      <w:proofErr w:type="spellStart"/>
      <w:r>
        <w:t>Ndase</w:t>
      </w:r>
      <w:proofErr w:type="spellEnd"/>
      <w:r>
        <w:t xml:space="preserve"> P, et al; Partners </w:t>
      </w:r>
      <w:proofErr w:type="spellStart"/>
      <w:r>
        <w:t>PrEP</w:t>
      </w:r>
      <w:proofErr w:type="spellEnd"/>
      <w:r>
        <w:t xml:space="preserve"> Study Team. Antiretroviral prophylaxis for HIV prevention in heterosexual men and women. N </w:t>
      </w:r>
      <w:proofErr w:type="spellStart"/>
      <w:r>
        <w:t>Engl</w:t>
      </w:r>
      <w:proofErr w:type="spellEnd"/>
      <w:r>
        <w:t xml:space="preserve"> J Med. 2012;367(5):399-410.</w:t>
      </w:r>
    </w:p>
    <w:p w:rsidR="00A6620A" w:rsidP="00A6620A" w:rsidRDefault="00A6620A" w14:paraId="58F90872" w14:textId="77777777">
      <w:pPr>
        <w:spacing w:after="200" w:line="276" w:lineRule="auto"/>
        <w:contextualSpacing/>
        <w:jc w:val="both"/>
      </w:pPr>
    </w:p>
    <w:p w:rsidR="00A6620A" w:rsidP="00A6620A" w:rsidRDefault="00A6620A" w14:paraId="3D9EEA18" w14:textId="52117448">
      <w:pPr>
        <w:numPr>
          <w:ilvl w:val="0"/>
          <w:numId w:val="16"/>
        </w:numPr>
        <w:spacing w:after="200" w:line="276" w:lineRule="auto"/>
        <w:contextualSpacing/>
        <w:jc w:val="both"/>
      </w:pPr>
      <w:proofErr w:type="spellStart"/>
      <w:r>
        <w:t>Choopanya</w:t>
      </w:r>
      <w:proofErr w:type="spellEnd"/>
      <w:r>
        <w:t xml:space="preserve"> K, Martin M, </w:t>
      </w:r>
      <w:proofErr w:type="spellStart"/>
      <w:r>
        <w:t>Suntharasamai</w:t>
      </w:r>
      <w:proofErr w:type="spellEnd"/>
      <w:r>
        <w:t xml:space="preserve"> P, et al; Bangkok Tenofovir Study Group. Antiretroviral prophylaxis for HIV infection in injecting drug users in Bangkok, Thailand (the Bangkok Tenofovir Study): a </w:t>
      </w:r>
      <w:proofErr w:type="spellStart"/>
      <w:r>
        <w:t>randomised</w:t>
      </w:r>
      <w:proofErr w:type="spellEnd"/>
      <w:r>
        <w:t>, double-blind, placebo-controlled phase 3 trial. Lancet. 2013;381(9883):2083-2090.</w:t>
      </w:r>
    </w:p>
    <w:p w:rsidR="00A6620A" w:rsidP="00A6620A" w:rsidRDefault="00A6620A" w14:paraId="76987925" w14:textId="77777777">
      <w:pPr>
        <w:spacing w:after="200" w:line="276" w:lineRule="auto"/>
        <w:ind w:left="720"/>
        <w:contextualSpacing/>
        <w:jc w:val="both"/>
      </w:pPr>
    </w:p>
    <w:p w:rsidR="00A6620A" w:rsidP="00A6620A" w:rsidRDefault="00A6620A" w14:paraId="248D2F4D" w14:textId="526C6B97">
      <w:pPr>
        <w:numPr>
          <w:ilvl w:val="0"/>
          <w:numId w:val="16"/>
        </w:numPr>
        <w:spacing w:after="200" w:line="276" w:lineRule="auto"/>
        <w:contextualSpacing/>
        <w:jc w:val="both"/>
      </w:pPr>
      <w:r>
        <w:t xml:space="preserve">Grant RM, Lama JR, Anderson PL, et al; </w:t>
      </w:r>
      <w:proofErr w:type="spellStart"/>
      <w:r>
        <w:t>iPrEx</w:t>
      </w:r>
      <w:proofErr w:type="spellEnd"/>
      <w:r>
        <w:t xml:space="preserve"> Study Team. Preexposure chemoprophylaxis for HIV prevention in men who have sex with men. N </w:t>
      </w:r>
      <w:proofErr w:type="spellStart"/>
      <w:r>
        <w:t>Engl</w:t>
      </w:r>
      <w:proofErr w:type="spellEnd"/>
      <w:r>
        <w:t xml:space="preserve"> J Med. 2010;363(27):2587-99.</w:t>
      </w:r>
    </w:p>
    <w:p w:rsidR="00A6620A" w:rsidP="00A6620A" w:rsidRDefault="00A6620A" w14:paraId="2468501B" w14:textId="77777777">
      <w:pPr>
        <w:spacing w:after="200" w:line="276" w:lineRule="auto"/>
        <w:contextualSpacing/>
        <w:jc w:val="both"/>
      </w:pPr>
    </w:p>
    <w:p w:rsidR="00A6620A" w:rsidP="00A6620A" w:rsidRDefault="00A6620A" w14:paraId="0E0DE05B" w14:textId="389471A1">
      <w:pPr>
        <w:numPr>
          <w:ilvl w:val="0"/>
          <w:numId w:val="16"/>
        </w:numPr>
        <w:spacing w:after="200" w:line="276" w:lineRule="auto"/>
        <w:contextualSpacing/>
        <w:jc w:val="both"/>
      </w:pPr>
      <w:r>
        <w:t xml:space="preserve">Cohen MS, Chen YQ, McCauley M, et al. Antiretroviral therapy for the prevention of HIV-1 transmission. N </w:t>
      </w:r>
      <w:proofErr w:type="spellStart"/>
      <w:r>
        <w:t>Engl</w:t>
      </w:r>
      <w:proofErr w:type="spellEnd"/>
      <w:r>
        <w:t xml:space="preserve"> J Med </w:t>
      </w:r>
      <w:proofErr w:type="gramStart"/>
      <w:r>
        <w:t>2016;375:830</w:t>
      </w:r>
      <w:proofErr w:type="gramEnd"/>
      <w:r>
        <w:t xml:space="preserve">-839. </w:t>
      </w:r>
    </w:p>
    <w:p w:rsidR="00A6620A" w:rsidP="00A6620A" w:rsidRDefault="00A6620A" w14:paraId="31D7F220" w14:textId="77777777">
      <w:pPr>
        <w:spacing w:after="200" w:line="276" w:lineRule="auto"/>
        <w:contextualSpacing/>
        <w:jc w:val="both"/>
      </w:pPr>
    </w:p>
    <w:p w:rsidR="00A6620A" w:rsidP="00A6620A" w:rsidRDefault="00A6620A" w14:paraId="42B02378" w14:textId="29B042C5">
      <w:pPr>
        <w:numPr>
          <w:ilvl w:val="0"/>
          <w:numId w:val="16"/>
        </w:numPr>
        <w:spacing w:after="200" w:line="276" w:lineRule="auto"/>
        <w:contextualSpacing/>
        <w:jc w:val="both"/>
      </w:pPr>
      <w:r>
        <w:t xml:space="preserve">Rodger AJ, Cambiano V, </w:t>
      </w:r>
      <w:proofErr w:type="spellStart"/>
      <w:r>
        <w:t>Bruun</w:t>
      </w:r>
      <w:proofErr w:type="spellEnd"/>
      <w:r>
        <w:t xml:space="preserve"> T, et al. Sexual activity without condoms and risk of HIV transmission in </w:t>
      </w:r>
      <w:proofErr w:type="spellStart"/>
      <w:r>
        <w:t>serodifferent</w:t>
      </w:r>
      <w:proofErr w:type="spellEnd"/>
      <w:r>
        <w:t xml:space="preserve"> couples when the HIV-positive partner is using suppressive antiretroviral therapy. JAMA 2016;316(2):171-81. </w:t>
      </w:r>
    </w:p>
    <w:p w:rsidR="00A6620A" w:rsidP="00A6620A" w:rsidRDefault="00A6620A" w14:paraId="69FE56DB" w14:textId="77777777">
      <w:pPr>
        <w:spacing w:after="200" w:line="276" w:lineRule="auto"/>
        <w:contextualSpacing/>
        <w:jc w:val="both"/>
      </w:pPr>
    </w:p>
    <w:p w:rsidR="00A6620A" w:rsidP="00A6620A" w:rsidRDefault="00A6620A" w14:paraId="0BF1B16C" w14:textId="6DC8773F">
      <w:pPr>
        <w:numPr>
          <w:ilvl w:val="0"/>
          <w:numId w:val="16"/>
        </w:numPr>
        <w:spacing w:after="200" w:line="276" w:lineRule="auto"/>
        <w:contextualSpacing/>
        <w:jc w:val="both"/>
      </w:pPr>
      <w:proofErr w:type="spellStart"/>
      <w:r>
        <w:t>Bavinton</w:t>
      </w:r>
      <w:proofErr w:type="spellEnd"/>
      <w:r>
        <w:t xml:space="preserve"> BR, Pinto AN, </w:t>
      </w:r>
      <w:proofErr w:type="spellStart"/>
      <w:r>
        <w:t>Phanuphak</w:t>
      </w:r>
      <w:proofErr w:type="spellEnd"/>
      <w:r>
        <w:t xml:space="preserve"> N, et al. Viral suppression and HIV transmission in </w:t>
      </w:r>
      <w:proofErr w:type="spellStart"/>
      <w:r>
        <w:t>serodiscordant</w:t>
      </w:r>
      <w:proofErr w:type="spellEnd"/>
      <w:r>
        <w:t xml:space="preserve"> male couples: an </w:t>
      </w:r>
      <w:proofErr w:type="spellStart"/>
      <w:r>
        <w:t>inter¬national</w:t>
      </w:r>
      <w:proofErr w:type="spellEnd"/>
      <w:r>
        <w:t xml:space="preserve">, prospective, observational, cohort study. Lancet 2018 Jul 16. </w:t>
      </w:r>
    </w:p>
    <w:p w:rsidR="00A6620A" w:rsidP="00A6620A" w:rsidRDefault="00A6620A" w14:paraId="3E9393BD" w14:textId="77777777">
      <w:pPr>
        <w:spacing w:after="200" w:line="276" w:lineRule="auto"/>
        <w:contextualSpacing/>
        <w:jc w:val="both"/>
      </w:pPr>
    </w:p>
    <w:p w:rsidR="00A6620A" w:rsidP="00A6620A" w:rsidRDefault="00A6620A" w14:paraId="1EA01F69" w14:textId="569DF735">
      <w:pPr>
        <w:numPr>
          <w:ilvl w:val="0"/>
          <w:numId w:val="16"/>
        </w:numPr>
        <w:spacing w:after="200" w:line="276" w:lineRule="auto"/>
        <w:contextualSpacing/>
        <w:jc w:val="both"/>
      </w:pPr>
      <w:r>
        <w:t xml:space="preserve">Rodger AJ, Cambiano V, </w:t>
      </w:r>
      <w:proofErr w:type="spellStart"/>
      <w:r>
        <w:t>Bruun</w:t>
      </w:r>
      <w:proofErr w:type="spellEnd"/>
      <w:r>
        <w:t xml:space="preserve"> T, et al. Risk of HIV transmission through </w:t>
      </w:r>
      <w:proofErr w:type="spellStart"/>
      <w:r>
        <w:t>condomless</w:t>
      </w:r>
      <w:proofErr w:type="spellEnd"/>
      <w:r>
        <w:t xml:space="preserve"> sex in </w:t>
      </w:r>
      <w:proofErr w:type="spellStart"/>
      <w:r>
        <w:t>serodifferent</w:t>
      </w:r>
      <w:proofErr w:type="spellEnd"/>
      <w:r>
        <w:t xml:space="preserve"> gay couples with the HIV-positive partner taking suppressive antiretroviral therapy </w:t>
      </w:r>
      <w:r>
        <w:lastRenderedPageBreak/>
        <w:t xml:space="preserve">(PARTNER): </w:t>
      </w:r>
      <w:proofErr w:type="gramStart"/>
      <w:r>
        <w:t>final results</w:t>
      </w:r>
      <w:proofErr w:type="gramEnd"/>
      <w:r>
        <w:t xml:space="preserve"> of a </w:t>
      </w:r>
      <w:proofErr w:type="spellStart"/>
      <w:r>
        <w:t>multicentre</w:t>
      </w:r>
      <w:proofErr w:type="spellEnd"/>
      <w:r>
        <w:t>, prospective, observational study. [published online May 2, 2019]. Lancet http://dx.doi.org/10.1016/S0140-6736(19)30418-0.</w:t>
      </w:r>
    </w:p>
    <w:p w:rsidR="00A6620A" w:rsidP="00A6620A" w:rsidRDefault="00A6620A" w14:paraId="052191EF" w14:textId="77777777">
      <w:pPr>
        <w:spacing w:after="200" w:line="276" w:lineRule="auto"/>
        <w:ind w:left="720"/>
        <w:contextualSpacing/>
        <w:jc w:val="both"/>
      </w:pPr>
    </w:p>
    <w:p w:rsidR="00A6620A" w:rsidP="00A6620A" w:rsidRDefault="00A6620A" w14:paraId="13A1EC00" w14:textId="378B31BB">
      <w:pPr>
        <w:numPr>
          <w:ilvl w:val="0"/>
          <w:numId w:val="16"/>
        </w:numPr>
        <w:spacing w:after="200" w:line="276" w:lineRule="auto"/>
        <w:contextualSpacing/>
        <w:jc w:val="both"/>
      </w:pPr>
      <w:r>
        <w:t xml:space="preserve">Grant RM, Anderson PL, McMahan V, et al. Uptake of pre-exposure prophylaxis, sexual practices, and HIV incidence in men and transgender women who have sex with men: a cohort study. Lancet </w:t>
      </w:r>
      <w:proofErr w:type="gramStart"/>
      <w:r>
        <w:t>2014;14:820</w:t>
      </w:r>
      <w:proofErr w:type="gramEnd"/>
      <w:r>
        <w:t>-829.</w:t>
      </w:r>
    </w:p>
    <w:p w:rsidR="00A6620A" w:rsidP="00A6620A" w:rsidRDefault="00A6620A" w14:paraId="71FF9C49" w14:textId="77777777">
      <w:pPr>
        <w:spacing w:after="200" w:line="276" w:lineRule="auto"/>
        <w:contextualSpacing/>
        <w:jc w:val="both"/>
      </w:pPr>
    </w:p>
    <w:p w:rsidR="00A6620A" w:rsidP="00A6620A" w:rsidRDefault="00A6620A" w14:paraId="5DDCC843" w14:textId="1B58628B">
      <w:pPr>
        <w:numPr>
          <w:ilvl w:val="0"/>
          <w:numId w:val="16"/>
        </w:numPr>
        <w:spacing w:after="200" w:line="276" w:lineRule="auto"/>
        <w:contextualSpacing/>
        <w:jc w:val="both"/>
      </w:pPr>
      <w:r>
        <w:t xml:space="preserve">Liu AY, Cohen SE, </w:t>
      </w:r>
      <w:proofErr w:type="spellStart"/>
      <w:r>
        <w:t>Vittinghoff</w:t>
      </w:r>
      <w:proofErr w:type="spellEnd"/>
      <w:r>
        <w:t xml:space="preserve"> E, et al. Preexposure prophylaxis for HIV infection integrated with municipal- and community-based sexual health services. [published online Nov 16, 2015]. JAMA Intern Med. doi:10.1001/jamainternmed.2015.4683.</w:t>
      </w:r>
    </w:p>
    <w:p w:rsidR="00A6620A" w:rsidP="00A6620A" w:rsidRDefault="00A6620A" w14:paraId="28C91EAD" w14:textId="77777777">
      <w:pPr>
        <w:spacing w:after="200" w:line="276" w:lineRule="auto"/>
        <w:contextualSpacing/>
        <w:jc w:val="both"/>
      </w:pPr>
    </w:p>
    <w:p w:rsidR="00A6620A" w:rsidP="00A6620A" w:rsidRDefault="00A6620A" w14:paraId="4500B292" w14:textId="1B81DB31">
      <w:pPr>
        <w:numPr>
          <w:ilvl w:val="0"/>
          <w:numId w:val="16"/>
        </w:numPr>
        <w:spacing w:after="200" w:line="276" w:lineRule="auto"/>
        <w:contextualSpacing/>
        <w:jc w:val="both"/>
      </w:pPr>
      <w:r>
        <w:t xml:space="preserve">McCormack S, Dunn DT, Desai M, et al. Pre-exposure prophylaxis to prevent the acquisition of HIV-1 infection (PROUD): effectiveness results from the pilot phase of a pragmatic open-label </w:t>
      </w:r>
      <w:proofErr w:type="spellStart"/>
      <w:r>
        <w:t>randomised</w:t>
      </w:r>
      <w:proofErr w:type="spellEnd"/>
      <w:r>
        <w:t xml:space="preserve"> </w:t>
      </w:r>
      <w:proofErr w:type="gramStart"/>
      <w:r>
        <w:t>trial.[</w:t>
      </w:r>
      <w:proofErr w:type="gramEnd"/>
      <w:r>
        <w:t>published online Sept 10, 2015] Lancet. http://dx.doi.org/10.1016/S0140-6736(15)00056-2.</w:t>
      </w:r>
    </w:p>
    <w:p w:rsidR="00A6620A" w:rsidP="00A6620A" w:rsidRDefault="00A6620A" w14:paraId="5FC2A48A" w14:textId="77777777">
      <w:pPr>
        <w:spacing w:after="200" w:line="276" w:lineRule="auto"/>
        <w:ind w:left="720"/>
        <w:contextualSpacing/>
        <w:jc w:val="both"/>
      </w:pPr>
    </w:p>
    <w:p w:rsidR="00A6620A" w:rsidP="00A6620A" w:rsidRDefault="00A6620A" w14:paraId="1AD9FA62" w14:textId="62347567">
      <w:pPr>
        <w:numPr>
          <w:ilvl w:val="0"/>
          <w:numId w:val="16"/>
        </w:numPr>
        <w:spacing w:after="200" w:line="276" w:lineRule="auto"/>
        <w:contextualSpacing/>
        <w:jc w:val="both"/>
      </w:pPr>
      <w:r>
        <w:t xml:space="preserve">Volk JE, Marcus JL, </w:t>
      </w:r>
      <w:proofErr w:type="spellStart"/>
      <w:r>
        <w:t>Phengrasamy</w:t>
      </w:r>
      <w:proofErr w:type="spellEnd"/>
      <w:r>
        <w:t xml:space="preserve"> T, et al. No new HIV infections with increasing use of HIV preexposure prophylaxis in a clinical practice setting. Clin Infect Dis 2015;61(10):1601-3.</w:t>
      </w:r>
    </w:p>
    <w:p w:rsidR="00A6620A" w:rsidP="00A6620A" w:rsidRDefault="00A6620A" w14:paraId="1188DE57" w14:textId="77777777">
      <w:pPr>
        <w:spacing w:after="200" w:line="276" w:lineRule="auto"/>
        <w:contextualSpacing/>
        <w:jc w:val="both"/>
      </w:pPr>
    </w:p>
    <w:p w:rsidR="00A6620A" w:rsidP="00A6620A" w:rsidRDefault="00A6620A" w14:paraId="0DB6CE94" w14:textId="3A82EF64">
      <w:pPr>
        <w:numPr>
          <w:ilvl w:val="0"/>
          <w:numId w:val="16"/>
        </w:numPr>
        <w:spacing w:after="200" w:line="276" w:lineRule="auto"/>
        <w:contextualSpacing/>
        <w:jc w:val="both"/>
      </w:pPr>
      <w:r>
        <w:t>Marcus JL, Hurley LB, Nguyen DP, et al. Redefining Human Immunodeficiency Virus (HIV) preexposure prophylaxis failures. Clin Infect Dis 2017;65(10):1768-1769.</w:t>
      </w:r>
    </w:p>
    <w:p w:rsidR="00A6620A" w:rsidP="00A6620A" w:rsidRDefault="00A6620A" w14:paraId="4C26B53B" w14:textId="77777777">
      <w:pPr>
        <w:spacing w:after="200" w:line="276" w:lineRule="auto"/>
        <w:contextualSpacing/>
        <w:jc w:val="both"/>
      </w:pPr>
    </w:p>
    <w:p w:rsidR="00A6620A" w:rsidP="00A6620A" w:rsidRDefault="00A6620A" w14:paraId="11E50A44" w14:textId="1371B709">
      <w:pPr>
        <w:numPr>
          <w:ilvl w:val="0"/>
          <w:numId w:val="16"/>
        </w:numPr>
        <w:spacing w:after="200" w:line="276" w:lineRule="auto"/>
        <w:contextualSpacing/>
        <w:jc w:val="both"/>
      </w:pPr>
      <w:r>
        <w:t xml:space="preserve">Martin M, </w:t>
      </w:r>
      <w:proofErr w:type="spellStart"/>
      <w:r>
        <w:t>Vanichseni</w:t>
      </w:r>
      <w:proofErr w:type="spellEnd"/>
      <w:r>
        <w:t xml:space="preserve"> S, </w:t>
      </w:r>
      <w:proofErr w:type="spellStart"/>
      <w:r>
        <w:t>Suntharasamai</w:t>
      </w:r>
      <w:proofErr w:type="spellEnd"/>
      <w:r>
        <w:t xml:space="preserve"> P, et al. The impact of adherence to preexposure prophylaxis on the risk of HIV infection among people who inject drugs. AIDS </w:t>
      </w:r>
      <w:proofErr w:type="gramStart"/>
      <w:r>
        <w:t>2015;29:819</w:t>
      </w:r>
      <w:proofErr w:type="gramEnd"/>
      <w:r>
        <w:t>-24.</w:t>
      </w:r>
    </w:p>
    <w:p w:rsidR="00A6620A" w:rsidP="00A6620A" w:rsidRDefault="00A6620A" w14:paraId="0C879217" w14:textId="77777777">
      <w:pPr>
        <w:spacing w:after="200" w:line="276" w:lineRule="auto"/>
        <w:contextualSpacing/>
        <w:jc w:val="both"/>
      </w:pPr>
    </w:p>
    <w:p w:rsidR="00A6620A" w:rsidP="00A6620A" w:rsidRDefault="00A6620A" w14:paraId="74DD9416" w14:textId="77777777">
      <w:pPr>
        <w:numPr>
          <w:ilvl w:val="0"/>
          <w:numId w:val="16"/>
        </w:numPr>
        <w:spacing w:after="200" w:line="276" w:lineRule="auto"/>
        <w:contextualSpacing/>
        <w:jc w:val="both"/>
      </w:pPr>
      <w:r>
        <w:t>Department of Health and Human Services. Ending the HIV Epidemic: Counties, Territories, and States. https://files.hiv.gov/s3fs-public/Ending-the-HIV-Epidemic-Counties-and-Territories.pdf. Accessed July 25, 2019.</w:t>
      </w:r>
    </w:p>
    <w:sectPr w:rsidR="00A6620A" w:rsidSect="00CC6AB1">
      <w:footerReference w:type="default" r:id="rId8"/>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00BA7" w14:textId="77777777" w:rsidR="00890EF1" w:rsidRDefault="00890EF1" w:rsidP="008B5D54">
      <w:r>
        <w:separator/>
      </w:r>
    </w:p>
  </w:endnote>
  <w:endnote w:type="continuationSeparator" w:id="0">
    <w:p w14:paraId="3988E96B" w14:textId="77777777" w:rsidR="00890EF1" w:rsidRDefault="00890EF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21567"/>
      <w:docPartObj>
        <w:docPartGallery w:val="Page Numbers (Bottom of Page)"/>
        <w:docPartUnique/>
      </w:docPartObj>
    </w:sdtPr>
    <w:sdtEndPr>
      <w:rPr>
        <w:noProof/>
      </w:rPr>
    </w:sdtEndPr>
    <w:sdtContent>
      <w:p w14:paraId="56D33063" w14:textId="43946C40" w:rsidR="00890EF1" w:rsidRDefault="00890EF1">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4B64FA2" w14:textId="77777777" w:rsidR="00890EF1" w:rsidRDefault="00890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61976" w14:textId="77777777" w:rsidR="00890EF1" w:rsidRDefault="00890EF1" w:rsidP="008B5D54">
      <w:r>
        <w:separator/>
      </w:r>
    </w:p>
  </w:footnote>
  <w:footnote w:type="continuationSeparator" w:id="0">
    <w:p w14:paraId="1DFB2F5D" w14:textId="77777777" w:rsidR="00890EF1" w:rsidRDefault="00890EF1"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50399"/>
    <w:multiLevelType w:val="hybridMultilevel"/>
    <w:tmpl w:val="59F0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44622A"/>
    <w:multiLevelType w:val="multilevel"/>
    <w:tmpl w:val="09125016"/>
    <w:numStyleLink w:val="Style1"/>
  </w:abstractNum>
  <w:abstractNum w:abstractNumId="8"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B3A6C"/>
    <w:multiLevelType w:val="hybridMultilevel"/>
    <w:tmpl w:val="196C9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3"/>
  </w:num>
  <w:num w:numId="2">
    <w:abstractNumId w:val="10"/>
  </w:num>
  <w:num w:numId="3">
    <w:abstractNumId w:val="9"/>
  </w:num>
  <w:num w:numId="4">
    <w:abstractNumId w:val="6"/>
  </w:num>
  <w:num w:numId="5">
    <w:abstractNumId w:val="15"/>
  </w:num>
  <w:num w:numId="6">
    <w:abstractNumId w:val="5"/>
  </w:num>
  <w:num w:numId="7">
    <w:abstractNumId w:val="8"/>
  </w:num>
  <w:num w:numId="8">
    <w:abstractNumId w:val="7"/>
  </w:num>
  <w:num w:numId="9">
    <w:abstractNumId w:val="0"/>
  </w:num>
  <w:num w:numId="10">
    <w:abstractNumId w:val="4"/>
  </w:num>
  <w:num w:numId="11">
    <w:abstractNumId w:val="12"/>
  </w:num>
  <w:num w:numId="12">
    <w:abstractNumId w:val="14"/>
  </w:num>
  <w:num w:numId="13">
    <w:abstractNumId w:val="3"/>
  </w:num>
  <w:num w:numId="14">
    <w:abstractNumId w:val="1"/>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item&gt;2&lt;/item&gt;&lt;item&gt;3&lt;/item&gt;&lt;item&gt;4&lt;/item&gt;&lt;item&gt;5&lt;/item&gt;&lt;item&gt;6&lt;/item&gt;&lt;item&gt;7&lt;/item&gt;&lt;item&gt;8&lt;/item&gt;&lt;item&gt;9&lt;/item&gt;&lt;item&gt;10&lt;/item&gt;&lt;/record-ids&gt;&lt;/item&gt;&lt;/Libraries&gt;"/>
  </w:docVars>
  <w:rsids>
    <w:rsidRoot w:val="006869D4"/>
    <w:rsid w:val="00006403"/>
    <w:rsid w:val="00006A29"/>
    <w:rsid w:val="00013FAA"/>
    <w:rsid w:val="00014227"/>
    <w:rsid w:val="00015AE7"/>
    <w:rsid w:val="00017B88"/>
    <w:rsid w:val="0002165C"/>
    <w:rsid w:val="00026DB7"/>
    <w:rsid w:val="00027B95"/>
    <w:rsid w:val="00030FFE"/>
    <w:rsid w:val="00031545"/>
    <w:rsid w:val="000317BA"/>
    <w:rsid w:val="00031D61"/>
    <w:rsid w:val="00032D19"/>
    <w:rsid w:val="00033F30"/>
    <w:rsid w:val="00037930"/>
    <w:rsid w:val="00040CE0"/>
    <w:rsid w:val="00041B9F"/>
    <w:rsid w:val="00043433"/>
    <w:rsid w:val="00044340"/>
    <w:rsid w:val="00051586"/>
    <w:rsid w:val="00053671"/>
    <w:rsid w:val="00056DD2"/>
    <w:rsid w:val="0006247E"/>
    <w:rsid w:val="000652BE"/>
    <w:rsid w:val="0006639A"/>
    <w:rsid w:val="000678AE"/>
    <w:rsid w:val="00067E1B"/>
    <w:rsid w:val="00070D4D"/>
    <w:rsid w:val="00071920"/>
    <w:rsid w:val="00073EFB"/>
    <w:rsid w:val="000747AC"/>
    <w:rsid w:val="00074FDE"/>
    <w:rsid w:val="00076D10"/>
    <w:rsid w:val="000777EF"/>
    <w:rsid w:val="000816E0"/>
    <w:rsid w:val="00081E33"/>
    <w:rsid w:val="00082EA9"/>
    <w:rsid w:val="000879CA"/>
    <w:rsid w:val="000912C9"/>
    <w:rsid w:val="00093DF9"/>
    <w:rsid w:val="00097D06"/>
    <w:rsid w:val="000A0AC0"/>
    <w:rsid w:val="000A0F02"/>
    <w:rsid w:val="000A56BD"/>
    <w:rsid w:val="000A5E51"/>
    <w:rsid w:val="000A73A6"/>
    <w:rsid w:val="000B1947"/>
    <w:rsid w:val="000C03EC"/>
    <w:rsid w:val="000C20AB"/>
    <w:rsid w:val="000D10E8"/>
    <w:rsid w:val="000D3C8A"/>
    <w:rsid w:val="000D4C23"/>
    <w:rsid w:val="000D7D1D"/>
    <w:rsid w:val="000E1128"/>
    <w:rsid w:val="000E16D3"/>
    <w:rsid w:val="000E1E22"/>
    <w:rsid w:val="000E209D"/>
    <w:rsid w:val="000E2854"/>
    <w:rsid w:val="000E3652"/>
    <w:rsid w:val="000E7B60"/>
    <w:rsid w:val="000F1DE3"/>
    <w:rsid w:val="000F2DDC"/>
    <w:rsid w:val="000F4CAA"/>
    <w:rsid w:val="001015FC"/>
    <w:rsid w:val="001034F0"/>
    <w:rsid w:val="00103FF5"/>
    <w:rsid w:val="00104E90"/>
    <w:rsid w:val="001054F6"/>
    <w:rsid w:val="00105EBF"/>
    <w:rsid w:val="00106FDF"/>
    <w:rsid w:val="0011632B"/>
    <w:rsid w:val="0012271A"/>
    <w:rsid w:val="0013020F"/>
    <w:rsid w:val="00131371"/>
    <w:rsid w:val="001319BD"/>
    <w:rsid w:val="0013226B"/>
    <w:rsid w:val="00134095"/>
    <w:rsid w:val="00134B29"/>
    <w:rsid w:val="001433A9"/>
    <w:rsid w:val="00145159"/>
    <w:rsid w:val="0014691A"/>
    <w:rsid w:val="001503E6"/>
    <w:rsid w:val="00150705"/>
    <w:rsid w:val="00150BF0"/>
    <w:rsid w:val="001515AA"/>
    <w:rsid w:val="00153F9D"/>
    <w:rsid w:val="00155815"/>
    <w:rsid w:val="00156846"/>
    <w:rsid w:val="00156C6A"/>
    <w:rsid w:val="00157A3F"/>
    <w:rsid w:val="00171ECE"/>
    <w:rsid w:val="00172F69"/>
    <w:rsid w:val="00175BE5"/>
    <w:rsid w:val="00177836"/>
    <w:rsid w:val="001812AE"/>
    <w:rsid w:val="00185DD3"/>
    <w:rsid w:val="0019449E"/>
    <w:rsid w:val="00195E37"/>
    <w:rsid w:val="001A10DC"/>
    <w:rsid w:val="001A1DAB"/>
    <w:rsid w:val="001A1EFA"/>
    <w:rsid w:val="001A4580"/>
    <w:rsid w:val="001B323C"/>
    <w:rsid w:val="001B4A66"/>
    <w:rsid w:val="001B4D2B"/>
    <w:rsid w:val="001B6AFB"/>
    <w:rsid w:val="001C0CE3"/>
    <w:rsid w:val="001C516C"/>
    <w:rsid w:val="001C77A3"/>
    <w:rsid w:val="001D0AB9"/>
    <w:rsid w:val="001D29E7"/>
    <w:rsid w:val="001D6DDB"/>
    <w:rsid w:val="001E01ED"/>
    <w:rsid w:val="001F181F"/>
    <w:rsid w:val="001F2D33"/>
    <w:rsid w:val="00200775"/>
    <w:rsid w:val="00200B70"/>
    <w:rsid w:val="00200D2C"/>
    <w:rsid w:val="002014C5"/>
    <w:rsid w:val="002014E2"/>
    <w:rsid w:val="002019A9"/>
    <w:rsid w:val="00201B4A"/>
    <w:rsid w:val="00203A50"/>
    <w:rsid w:val="00204AFB"/>
    <w:rsid w:val="0020663A"/>
    <w:rsid w:val="00206828"/>
    <w:rsid w:val="00207534"/>
    <w:rsid w:val="00212D0C"/>
    <w:rsid w:val="002202FF"/>
    <w:rsid w:val="002213CC"/>
    <w:rsid w:val="00222197"/>
    <w:rsid w:val="0023115C"/>
    <w:rsid w:val="002332D6"/>
    <w:rsid w:val="002335F9"/>
    <w:rsid w:val="00234850"/>
    <w:rsid w:val="002368E4"/>
    <w:rsid w:val="0023769F"/>
    <w:rsid w:val="00240A5C"/>
    <w:rsid w:val="00240E62"/>
    <w:rsid w:val="0024170B"/>
    <w:rsid w:val="00242341"/>
    <w:rsid w:val="002425F1"/>
    <w:rsid w:val="00242998"/>
    <w:rsid w:val="00242BC8"/>
    <w:rsid w:val="00244129"/>
    <w:rsid w:val="00244D05"/>
    <w:rsid w:val="002525F3"/>
    <w:rsid w:val="0025627B"/>
    <w:rsid w:val="00256843"/>
    <w:rsid w:val="002568B4"/>
    <w:rsid w:val="00262433"/>
    <w:rsid w:val="00265EDF"/>
    <w:rsid w:val="002661C7"/>
    <w:rsid w:val="0026711D"/>
    <w:rsid w:val="00270C3A"/>
    <w:rsid w:val="002733F7"/>
    <w:rsid w:val="002739D6"/>
    <w:rsid w:val="00275ADF"/>
    <w:rsid w:val="002763E2"/>
    <w:rsid w:val="00276C85"/>
    <w:rsid w:val="00280D66"/>
    <w:rsid w:val="0028198D"/>
    <w:rsid w:val="00284E6A"/>
    <w:rsid w:val="0028773F"/>
    <w:rsid w:val="002878A1"/>
    <w:rsid w:val="00291F2D"/>
    <w:rsid w:val="00293D1E"/>
    <w:rsid w:val="0029515C"/>
    <w:rsid w:val="002961D6"/>
    <w:rsid w:val="002965F6"/>
    <w:rsid w:val="00297D51"/>
    <w:rsid w:val="002A0ADA"/>
    <w:rsid w:val="002A4FE1"/>
    <w:rsid w:val="002B2D0D"/>
    <w:rsid w:val="002B31BA"/>
    <w:rsid w:val="002B4C91"/>
    <w:rsid w:val="002B6A90"/>
    <w:rsid w:val="002C3AE2"/>
    <w:rsid w:val="002C6BD1"/>
    <w:rsid w:val="002D3D0C"/>
    <w:rsid w:val="002D70F0"/>
    <w:rsid w:val="002E24C0"/>
    <w:rsid w:val="002E4E76"/>
    <w:rsid w:val="002E50F1"/>
    <w:rsid w:val="002E5112"/>
    <w:rsid w:val="002F24DC"/>
    <w:rsid w:val="002F4995"/>
    <w:rsid w:val="002F5602"/>
    <w:rsid w:val="002F72C7"/>
    <w:rsid w:val="00305A1B"/>
    <w:rsid w:val="003127A5"/>
    <w:rsid w:val="00316981"/>
    <w:rsid w:val="00321C21"/>
    <w:rsid w:val="00331282"/>
    <w:rsid w:val="00332F80"/>
    <w:rsid w:val="003340FF"/>
    <w:rsid w:val="003344F5"/>
    <w:rsid w:val="00334FDA"/>
    <w:rsid w:val="00343F28"/>
    <w:rsid w:val="00344324"/>
    <w:rsid w:val="00344C7C"/>
    <w:rsid w:val="00347120"/>
    <w:rsid w:val="00352D80"/>
    <w:rsid w:val="003539FB"/>
    <w:rsid w:val="00354810"/>
    <w:rsid w:val="003703FF"/>
    <w:rsid w:val="0037216F"/>
    <w:rsid w:val="003737AF"/>
    <w:rsid w:val="00376B2C"/>
    <w:rsid w:val="00377FA8"/>
    <w:rsid w:val="00380753"/>
    <w:rsid w:val="00383D44"/>
    <w:rsid w:val="003901F6"/>
    <w:rsid w:val="00390FA0"/>
    <w:rsid w:val="003962DF"/>
    <w:rsid w:val="003971F9"/>
    <w:rsid w:val="003A2846"/>
    <w:rsid w:val="003A6A6C"/>
    <w:rsid w:val="003B3841"/>
    <w:rsid w:val="003B3EE9"/>
    <w:rsid w:val="003B47DD"/>
    <w:rsid w:val="003C10A5"/>
    <w:rsid w:val="003C12D1"/>
    <w:rsid w:val="003C221F"/>
    <w:rsid w:val="003C34D6"/>
    <w:rsid w:val="003C3C33"/>
    <w:rsid w:val="003C5773"/>
    <w:rsid w:val="003D1EC2"/>
    <w:rsid w:val="003D7EF0"/>
    <w:rsid w:val="003E13AC"/>
    <w:rsid w:val="003E2A65"/>
    <w:rsid w:val="003E478F"/>
    <w:rsid w:val="003E5DBD"/>
    <w:rsid w:val="003F027D"/>
    <w:rsid w:val="003F3408"/>
    <w:rsid w:val="004003F7"/>
    <w:rsid w:val="00401AFC"/>
    <w:rsid w:val="004021B3"/>
    <w:rsid w:val="004042A2"/>
    <w:rsid w:val="00412543"/>
    <w:rsid w:val="00412AE4"/>
    <w:rsid w:val="00417F9E"/>
    <w:rsid w:val="00424B0A"/>
    <w:rsid w:val="00427C03"/>
    <w:rsid w:val="00432322"/>
    <w:rsid w:val="004334AB"/>
    <w:rsid w:val="00441432"/>
    <w:rsid w:val="00444532"/>
    <w:rsid w:val="00453494"/>
    <w:rsid w:val="00453EC7"/>
    <w:rsid w:val="0045429A"/>
    <w:rsid w:val="00460D47"/>
    <w:rsid w:val="004629B2"/>
    <w:rsid w:val="004633D8"/>
    <w:rsid w:val="004657BF"/>
    <w:rsid w:val="004713DD"/>
    <w:rsid w:val="0047402D"/>
    <w:rsid w:val="00480063"/>
    <w:rsid w:val="0048458E"/>
    <w:rsid w:val="00485E43"/>
    <w:rsid w:val="00491EB1"/>
    <w:rsid w:val="00493F64"/>
    <w:rsid w:val="00494049"/>
    <w:rsid w:val="0049642A"/>
    <w:rsid w:val="00496A03"/>
    <w:rsid w:val="004A3A0F"/>
    <w:rsid w:val="004B25CE"/>
    <w:rsid w:val="004B3702"/>
    <w:rsid w:val="004B3D61"/>
    <w:rsid w:val="004B4023"/>
    <w:rsid w:val="004B5036"/>
    <w:rsid w:val="004B71A2"/>
    <w:rsid w:val="004C2697"/>
    <w:rsid w:val="004C3356"/>
    <w:rsid w:val="004C581B"/>
    <w:rsid w:val="004D028F"/>
    <w:rsid w:val="004D205C"/>
    <w:rsid w:val="004D4DD0"/>
    <w:rsid w:val="004D5389"/>
    <w:rsid w:val="004D5B15"/>
    <w:rsid w:val="004D632E"/>
    <w:rsid w:val="004E0E3A"/>
    <w:rsid w:val="004E3395"/>
    <w:rsid w:val="004E3544"/>
    <w:rsid w:val="004E72EA"/>
    <w:rsid w:val="004F442A"/>
    <w:rsid w:val="004F56DE"/>
    <w:rsid w:val="004F65C6"/>
    <w:rsid w:val="004F71D7"/>
    <w:rsid w:val="00501270"/>
    <w:rsid w:val="0050212A"/>
    <w:rsid w:val="00506031"/>
    <w:rsid w:val="0050634D"/>
    <w:rsid w:val="00506E45"/>
    <w:rsid w:val="00511D75"/>
    <w:rsid w:val="00515886"/>
    <w:rsid w:val="00523479"/>
    <w:rsid w:val="0052486D"/>
    <w:rsid w:val="005248A5"/>
    <w:rsid w:val="00536AF1"/>
    <w:rsid w:val="00536ED0"/>
    <w:rsid w:val="00537E55"/>
    <w:rsid w:val="00541712"/>
    <w:rsid w:val="00542640"/>
    <w:rsid w:val="00545127"/>
    <w:rsid w:val="00546ADD"/>
    <w:rsid w:val="00550745"/>
    <w:rsid w:val="00550E55"/>
    <w:rsid w:val="00552FDF"/>
    <w:rsid w:val="00565EDB"/>
    <w:rsid w:val="0057169B"/>
    <w:rsid w:val="00573625"/>
    <w:rsid w:val="005743EC"/>
    <w:rsid w:val="00574FA6"/>
    <w:rsid w:val="00576135"/>
    <w:rsid w:val="00580606"/>
    <w:rsid w:val="00581658"/>
    <w:rsid w:val="00582502"/>
    <w:rsid w:val="0058267E"/>
    <w:rsid w:val="00582903"/>
    <w:rsid w:val="00582C8E"/>
    <w:rsid w:val="00587EC2"/>
    <w:rsid w:val="00591E48"/>
    <w:rsid w:val="005A038A"/>
    <w:rsid w:val="005A0F49"/>
    <w:rsid w:val="005B016B"/>
    <w:rsid w:val="005B0C43"/>
    <w:rsid w:val="005B3D89"/>
    <w:rsid w:val="005B4518"/>
    <w:rsid w:val="005B54DD"/>
    <w:rsid w:val="005B5D5C"/>
    <w:rsid w:val="005B7263"/>
    <w:rsid w:val="005B7DF7"/>
    <w:rsid w:val="005C4186"/>
    <w:rsid w:val="005C5398"/>
    <w:rsid w:val="005C7600"/>
    <w:rsid w:val="005C7B17"/>
    <w:rsid w:val="005D10E7"/>
    <w:rsid w:val="005D220D"/>
    <w:rsid w:val="005D66B4"/>
    <w:rsid w:val="005D7BF0"/>
    <w:rsid w:val="005E2979"/>
    <w:rsid w:val="005E6F8D"/>
    <w:rsid w:val="005F32F0"/>
    <w:rsid w:val="005F51A2"/>
    <w:rsid w:val="0060115E"/>
    <w:rsid w:val="00602878"/>
    <w:rsid w:val="00606904"/>
    <w:rsid w:val="00606E0A"/>
    <w:rsid w:val="00613E64"/>
    <w:rsid w:val="00617B96"/>
    <w:rsid w:val="00622CA8"/>
    <w:rsid w:val="00623078"/>
    <w:rsid w:val="00623F86"/>
    <w:rsid w:val="00624CE1"/>
    <w:rsid w:val="00625F34"/>
    <w:rsid w:val="0062606A"/>
    <w:rsid w:val="006343C9"/>
    <w:rsid w:val="00637F5D"/>
    <w:rsid w:val="0064023D"/>
    <w:rsid w:val="00653A0E"/>
    <w:rsid w:val="00657BDF"/>
    <w:rsid w:val="00660B8E"/>
    <w:rsid w:val="006612FB"/>
    <w:rsid w:val="00661C9B"/>
    <w:rsid w:val="00663BC9"/>
    <w:rsid w:val="00674C2B"/>
    <w:rsid w:val="00674DC2"/>
    <w:rsid w:val="006775DC"/>
    <w:rsid w:val="00681610"/>
    <w:rsid w:val="00686217"/>
    <w:rsid w:val="006869D4"/>
    <w:rsid w:val="00690E5E"/>
    <w:rsid w:val="006A1A16"/>
    <w:rsid w:val="006A4424"/>
    <w:rsid w:val="006A4A39"/>
    <w:rsid w:val="006B07DF"/>
    <w:rsid w:val="006B0C20"/>
    <w:rsid w:val="006B56C4"/>
    <w:rsid w:val="006C1A1E"/>
    <w:rsid w:val="006C500C"/>
    <w:rsid w:val="006C5AEC"/>
    <w:rsid w:val="006C5FEE"/>
    <w:rsid w:val="006C655A"/>
    <w:rsid w:val="006C6578"/>
    <w:rsid w:val="006E2395"/>
    <w:rsid w:val="006E4F97"/>
    <w:rsid w:val="006F070E"/>
    <w:rsid w:val="006F333B"/>
    <w:rsid w:val="006F3440"/>
    <w:rsid w:val="00706BCB"/>
    <w:rsid w:val="00710BF2"/>
    <w:rsid w:val="00720709"/>
    <w:rsid w:val="00724D04"/>
    <w:rsid w:val="007311C6"/>
    <w:rsid w:val="00731B24"/>
    <w:rsid w:val="007325ED"/>
    <w:rsid w:val="00733192"/>
    <w:rsid w:val="007357C5"/>
    <w:rsid w:val="007376F4"/>
    <w:rsid w:val="00740059"/>
    <w:rsid w:val="007405FB"/>
    <w:rsid w:val="0074100D"/>
    <w:rsid w:val="00743F22"/>
    <w:rsid w:val="007442C3"/>
    <w:rsid w:val="007447B9"/>
    <w:rsid w:val="0074521C"/>
    <w:rsid w:val="00747020"/>
    <w:rsid w:val="007530B7"/>
    <w:rsid w:val="00754E12"/>
    <w:rsid w:val="0075552D"/>
    <w:rsid w:val="00755BBA"/>
    <w:rsid w:val="00756D15"/>
    <w:rsid w:val="00757184"/>
    <w:rsid w:val="00757F44"/>
    <w:rsid w:val="007660FE"/>
    <w:rsid w:val="007667E1"/>
    <w:rsid w:val="00772A65"/>
    <w:rsid w:val="00773161"/>
    <w:rsid w:val="00775675"/>
    <w:rsid w:val="00777448"/>
    <w:rsid w:val="00777FC0"/>
    <w:rsid w:val="007810DC"/>
    <w:rsid w:val="00782BDE"/>
    <w:rsid w:val="0078411B"/>
    <w:rsid w:val="007841E3"/>
    <w:rsid w:val="00784DDF"/>
    <w:rsid w:val="00786C5A"/>
    <w:rsid w:val="00792F8A"/>
    <w:rsid w:val="007A0C90"/>
    <w:rsid w:val="007A2FDD"/>
    <w:rsid w:val="007A3DAD"/>
    <w:rsid w:val="007B3D63"/>
    <w:rsid w:val="007B4891"/>
    <w:rsid w:val="007B4CA8"/>
    <w:rsid w:val="007C2B6F"/>
    <w:rsid w:val="007C71F5"/>
    <w:rsid w:val="007D2C4F"/>
    <w:rsid w:val="007D3913"/>
    <w:rsid w:val="007D3F84"/>
    <w:rsid w:val="007D4C07"/>
    <w:rsid w:val="007E405F"/>
    <w:rsid w:val="007E5176"/>
    <w:rsid w:val="007E6191"/>
    <w:rsid w:val="007E72EF"/>
    <w:rsid w:val="007F1AE0"/>
    <w:rsid w:val="007F1E53"/>
    <w:rsid w:val="007F3B2B"/>
    <w:rsid w:val="007F4F7A"/>
    <w:rsid w:val="007F7EDD"/>
    <w:rsid w:val="008102BB"/>
    <w:rsid w:val="0081086B"/>
    <w:rsid w:val="00810B9E"/>
    <w:rsid w:val="008146CD"/>
    <w:rsid w:val="008146D6"/>
    <w:rsid w:val="00815C35"/>
    <w:rsid w:val="0081618D"/>
    <w:rsid w:val="00817236"/>
    <w:rsid w:val="008172D1"/>
    <w:rsid w:val="00823552"/>
    <w:rsid w:val="0082377F"/>
    <w:rsid w:val="00825415"/>
    <w:rsid w:val="00827286"/>
    <w:rsid w:val="00831EA0"/>
    <w:rsid w:val="008320F7"/>
    <w:rsid w:val="00834117"/>
    <w:rsid w:val="00834315"/>
    <w:rsid w:val="0084098E"/>
    <w:rsid w:val="00842C29"/>
    <w:rsid w:val="00843673"/>
    <w:rsid w:val="00843E71"/>
    <w:rsid w:val="008452CD"/>
    <w:rsid w:val="008457FB"/>
    <w:rsid w:val="008519CC"/>
    <w:rsid w:val="00852956"/>
    <w:rsid w:val="008541D4"/>
    <w:rsid w:val="00856E50"/>
    <w:rsid w:val="008574B9"/>
    <w:rsid w:val="008621C1"/>
    <w:rsid w:val="0087762E"/>
    <w:rsid w:val="00877BE2"/>
    <w:rsid w:val="00882365"/>
    <w:rsid w:val="00882664"/>
    <w:rsid w:val="008839F0"/>
    <w:rsid w:val="008845A2"/>
    <w:rsid w:val="008865B5"/>
    <w:rsid w:val="00886C49"/>
    <w:rsid w:val="00890B73"/>
    <w:rsid w:val="00890EF1"/>
    <w:rsid w:val="008A0D9E"/>
    <w:rsid w:val="008A16FB"/>
    <w:rsid w:val="008A19F2"/>
    <w:rsid w:val="008A2DC8"/>
    <w:rsid w:val="008A3AA0"/>
    <w:rsid w:val="008A4739"/>
    <w:rsid w:val="008A4E7B"/>
    <w:rsid w:val="008B180A"/>
    <w:rsid w:val="008B5D54"/>
    <w:rsid w:val="008B7B1C"/>
    <w:rsid w:val="008C0758"/>
    <w:rsid w:val="008C09DC"/>
    <w:rsid w:val="008C0AFE"/>
    <w:rsid w:val="008C0F50"/>
    <w:rsid w:val="008C1BEA"/>
    <w:rsid w:val="008C22F0"/>
    <w:rsid w:val="008C3782"/>
    <w:rsid w:val="008C5507"/>
    <w:rsid w:val="008D47EF"/>
    <w:rsid w:val="008D5F8D"/>
    <w:rsid w:val="008E10CB"/>
    <w:rsid w:val="008E26BB"/>
    <w:rsid w:val="008E5022"/>
    <w:rsid w:val="008E6D5A"/>
    <w:rsid w:val="008F12AA"/>
    <w:rsid w:val="008F34F0"/>
    <w:rsid w:val="008F6383"/>
    <w:rsid w:val="008F6B1C"/>
    <w:rsid w:val="00904F07"/>
    <w:rsid w:val="00907060"/>
    <w:rsid w:val="00910A43"/>
    <w:rsid w:val="009111E8"/>
    <w:rsid w:val="00913292"/>
    <w:rsid w:val="009132DF"/>
    <w:rsid w:val="00913A3E"/>
    <w:rsid w:val="009221FF"/>
    <w:rsid w:val="00924A81"/>
    <w:rsid w:val="009256B6"/>
    <w:rsid w:val="00925BA9"/>
    <w:rsid w:val="009330AF"/>
    <w:rsid w:val="00933271"/>
    <w:rsid w:val="009371FE"/>
    <w:rsid w:val="00940241"/>
    <w:rsid w:val="00941A61"/>
    <w:rsid w:val="009423E7"/>
    <w:rsid w:val="00943B21"/>
    <w:rsid w:val="00947351"/>
    <w:rsid w:val="009501CD"/>
    <w:rsid w:val="0095683F"/>
    <w:rsid w:val="00956B5D"/>
    <w:rsid w:val="009579AD"/>
    <w:rsid w:val="00957EBB"/>
    <w:rsid w:val="00963092"/>
    <w:rsid w:val="009636FA"/>
    <w:rsid w:val="0096557A"/>
    <w:rsid w:val="00965E71"/>
    <w:rsid w:val="00973A03"/>
    <w:rsid w:val="00974E01"/>
    <w:rsid w:val="00976441"/>
    <w:rsid w:val="00980F7C"/>
    <w:rsid w:val="009811EB"/>
    <w:rsid w:val="00982E03"/>
    <w:rsid w:val="009830DB"/>
    <w:rsid w:val="0098459C"/>
    <w:rsid w:val="0098673D"/>
    <w:rsid w:val="00987256"/>
    <w:rsid w:val="009951A9"/>
    <w:rsid w:val="0099750D"/>
    <w:rsid w:val="009A2571"/>
    <w:rsid w:val="009A38A1"/>
    <w:rsid w:val="009A4982"/>
    <w:rsid w:val="009A6CEF"/>
    <w:rsid w:val="009B396D"/>
    <w:rsid w:val="009B4858"/>
    <w:rsid w:val="009B5C38"/>
    <w:rsid w:val="009C1E8F"/>
    <w:rsid w:val="009C3FFF"/>
    <w:rsid w:val="009C5D88"/>
    <w:rsid w:val="009C7405"/>
    <w:rsid w:val="009D041A"/>
    <w:rsid w:val="009D4CC5"/>
    <w:rsid w:val="009D6649"/>
    <w:rsid w:val="009E1B12"/>
    <w:rsid w:val="009E74B4"/>
    <w:rsid w:val="009F2B1C"/>
    <w:rsid w:val="009F4C05"/>
    <w:rsid w:val="00A00005"/>
    <w:rsid w:val="00A003CC"/>
    <w:rsid w:val="00A02DE6"/>
    <w:rsid w:val="00A04495"/>
    <w:rsid w:val="00A06E04"/>
    <w:rsid w:val="00A06E57"/>
    <w:rsid w:val="00A07E2E"/>
    <w:rsid w:val="00A12865"/>
    <w:rsid w:val="00A12ABA"/>
    <w:rsid w:val="00A200F6"/>
    <w:rsid w:val="00A31F59"/>
    <w:rsid w:val="00A32FBE"/>
    <w:rsid w:val="00A34D13"/>
    <w:rsid w:val="00A3575B"/>
    <w:rsid w:val="00A37570"/>
    <w:rsid w:val="00A40E3B"/>
    <w:rsid w:val="00A46777"/>
    <w:rsid w:val="00A46BE8"/>
    <w:rsid w:val="00A51C29"/>
    <w:rsid w:val="00A544A9"/>
    <w:rsid w:val="00A552D2"/>
    <w:rsid w:val="00A55C9F"/>
    <w:rsid w:val="00A60B75"/>
    <w:rsid w:val="00A63A65"/>
    <w:rsid w:val="00A64F2A"/>
    <w:rsid w:val="00A6620A"/>
    <w:rsid w:val="00A71916"/>
    <w:rsid w:val="00A732A6"/>
    <w:rsid w:val="00A74155"/>
    <w:rsid w:val="00A753EB"/>
    <w:rsid w:val="00A76979"/>
    <w:rsid w:val="00A80799"/>
    <w:rsid w:val="00A859AF"/>
    <w:rsid w:val="00A90552"/>
    <w:rsid w:val="00A961D6"/>
    <w:rsid w:val="00AA0987"/>
    <w:rsid w:val="00AA0B72"/>
    <w:rsid w:val="00AA1ED6"/>
    <w:rsid w:val="00AB40B0"/>
    <w:rsid w:val="00AB78EA"/>
    <w:rsid w:val="00AC05E8"/>
    <w:rsid w:val="00AC254E"/>
    <w:rsid w:val="00AC25ED"/>
    <w:rsid w:val="00AC3C90"/>
    <w:rsid w:val="00AC60FB"/>
    <w:rsid w:val="00AD2807"/>
    <w:rsid w:val="00AD4495"/>
    <w:rsid w:val="00AD617D"/>
    <w:rsid w:val="00AD7976"/>
    <w:rsid w:val="00AE0874"/>
    <w:rsid w:val="00AE50F8"/>
    <w:rsid w:val="00AE7D51"/>
    <w:rsid w:val="00AF2266"/>
    <w:rsid w:val="00AF2647"/>
    <w:rsid w:val="00AF6D1E"/>
    <w:rsid w:val="00AF6FD9"/>
    <w:rsid w:val="00AF7792"/>
    <w:rsid w:val="00B01EA2"/>
    <w:rsid w:val="00B01F8A"/>
    <w:rsid w:val="00B03E4D"/>
    <w:rsid w:val="00B057DB"/>
    <w:rsid w:val="00B06922"/>
    <w:rsid w:val="00B10353"/>
    <w:rsid w:val="00B10932"/>
    <w:rsid w:val="00B11437"/>
    <w:rsid w:val="00B12EA3"/>
    <w:rsid w:val="00B1394D"/>
    <w:rsid w:val="00B13A15"/>
    <w:rsid w:val="00B13D7C"/>
    <w:rsid w:val="00B148B5"/>
    <w:rsid w:val="00B170CE"/>
    <w:rsid w:val="00B2123D"/>
    <w:rsid w:val="00B24C5D"/>
    <w:rsid w:val="00B24E32"/>
    <w:rsid w:val="00B250E0"/>
    <w:rsid w:val="00B328D6"/>
    <w:rsid w:val="00B343E9"/>
    <w:rsid w:val="00B36F42"/>
    <w:rsid w:val="00B414DF"/>
    <w:rsid w:val="00B42992"/>
    <w:rsid w:val="00B42A00"/>
    <w:rsid w:val="00B447EE"/>
    <w:rsid w:val="00B45362"/>
    <w:rsid w:val="00B45435"/>
    <w:rsid w:val="00B470EB"/>
    <w:rsid w:val="00B474EC"/>
    <w:rsid w:val="00B52D00"/>
    <w:rsid w:val="00B55735"/>
    <w:rsid w:val="00B608AC"/>
    <w:rsid w:val="00B62FF3"/>
    <w:rsid w:val="00B64D28"/>
    <w:rsid w:val="00B65A4F"/>
    <w:rsid w:val="00B65B0C"/>
    <w:rsid w:val="00B67AEF"/>
    <w:rsid w:val="00B712D6"/>
    <w:rsid w:val="00B76486"/>
    <w:rsid w:val="00B76615"/>
    <w:rsid w:val="00B82C9D"/>
    <w:rsid w:val="00B930C9"/>
    <w:rsid w:val="00B9447E"/>
    <w:rsid w:val="00B953B0"/>
    <w:rsid w:val="00B962E4"/>
    <w:rsid w:val="00BA7B25"/>
    <w:rsid w:val="00BB0F3A"/>
    <w:rsid w:val="00BB1C58"/>
    <w:rsid w:val="00BB3F53"/>
    <w:rsid w:val="00BB7AF0"/>
    <w:rsid w:val="00BC004B"/>
    <w:rsid w:val="00BC38BA"/>
    <w:rsid w:val="00BC60F9"/>
    <w:rsid w:val="00BC7371"/>
    <w:rsid w:val="00BD0B38"/>
    <w:rsid w:val="00BD1323"/>
    <w:rsid w:val="00BD5450"/>
    <w:rsid w:val="00BD64D6"/>
    <w:rsid w:val="00BD7FDE"/>
    <w:rsid w:val="00BE0850"/>
    <w:rsid w:val="00BF1EB9"/>
    <w:rsid w:val="00BF2A04"/>
    <w:rsid w:val="00BF2B6F"/>
    <w:rsid w:val="00BF4C06"/>
    <w:rsid w:val="00BF5E49"/>
    <w:rsid w:val="00BF671C"/>
    <w:rsid w:val="00C00EDB"/>
    <w:rsid w:val="00C03F9D"/>
    <w:rsid w:val="00C06875"/>
    <w:rsid w:val="00C1216F"/>
    <w:rsid w:val="00C137C9"/>
    <w:rsid w:val="00C1474B"/>
    <w:rsid w:val="00C15DB7"/>
    <w:rsid w:val="00C172B3"/>
    <w:rsid w:val="00C17EE7"/>
    <w:rsid w:val="00C202D5"/>
    <w:rsid w:val="00C20935"/>
    <w:rsid w:val="00C231D2"/>
    <w:rsid w:val="00C24A59"/>
    <w:rsid w:val="00C25635"/>
    <w:rsid w:val="00C36986"/>
    <w:rsid w:val="00C37E9C"/>
    <w:rsid w:val="00C421C2"/>
    <w:rsid w:val="00C436DC"/>
    <w:rsid w:val="00C46977"/>
    <w:rsid w:val="00C50810"/>
    <w:rsid w:val="00C53CE5"/>
    <w:rsid w:val="00C5458E"/>
    <w:rsid w:val="00C56A3A"/>
    <w:rsid w:val="00C60213"/>
    <w:rsid w:val="00C60A58"/>
    <w:rsid w:val="00C61DD4"/>
    <w:rsid w:val="00C62F5E"/>
    <w:rsid w:val="00C67BED"/>
    <w:rsid w:val="00C67C7D"/>
    <w:rsid w:val="00C70483"/>
    <w:rsid w:val="00C70C6E"/>
    <w:rsid w:val="00C72912"/>
    <w:rsid w:val="00C736A4"/>
    <w:rsid w:val="00C74F4A"/>
    <w:rsid w:val="00C75417"/>
    <w:rsid w:val="00C81AAD"/>
    <w:rsid w:val="00C8370A"/>
    <w:rsid w:val="00C84609"/>
    <w:rsid w:val="00C85B78"/>
    <w:rsid w:val="00C91C02"/>
    <w:rsid w:val="00C941AB"/>
    <w:rsid w:val="00C94C91"/>
    <w:rsid w:val="00C9502D"/>
    <w:rsid w:val="00CA7D49"/>
    <w:rsid w:val="00CB031A"/>
    <w:rsid w:val="00CB3DDB"/>
    <w:rsid w:val="00CB51BB"/>
    <w:rsid w:val="00CB62C5"/>
    <w:rsid w:val="00CC211B"/>
    <w:rsid w:val="00CC297C"/>
    <w:rsid w:val="00CC3B01"/>
    <w:rsid w:val="00CC5FFB"/>
    <w:rsid w:val="00CC6AB1"/>
    <w:rsid w:val="00CD1901"/>
    <w:rsid w:val="00CD441E"/>
    <w:rsid w:val="00CE4936"/>
    <w:rsid w:val="00CF191F"/>
    <w:rsid w:val="00CF3EE1"/>
    <w:rsid w:val="00CF44C9"/>
    <w:rsid w:val="00CF5EFA"/>
    <w:rsid w:val="00D01AB3"/>
    <w:rsid w:val="00D02168"/>
    <w:rsid w:val="00D02DEF"/>
    <w:rsid w:val="00D05089"/>
    <w:rsid w:val="00D05FAB"/>
    <w:rsid w:val="00D071EB"/>
    <w:rsid w:val="00D07372"/>
    <w:rsid w:val="00D07617"/>
    <w:rsid w:val="00D14278"/>
    <w:rsid w:val="00D17FA6"/>
    <w:rsid w:val="00D21275"/>
    <w:rsid w:val="00D312D3"/>
    <w:rsid w:val="00D31DBA"/>
    <w:rsid w:val="00D329C3"/>
    <w:rsid w:val="00D37337"/>
    <w:rsid w:val="00D45665"/>
    <w:rsid w:val="00D45E08"/>
    <w:rsid w:val="00D467C4"/>
    <w:rsid w:val="00D473E4"/>
    <w:rsid w:val="00D4797E"/>
    <w:rsid w:val="00D528B9"/>
    <w:rsid w:val="00D5485A"/>
    <w:rsid w:val="00D55A4B"/>
    <w:rsid w:val="00D56AD8"/>
    <w:rsid w:val="00D56E26"/>
    <w:rsid w:val="00D601A8"/>
    <w:rsid w:val="00D62D1E"/>
    <w:rsid w:val="00D63688"/>
    <w:rsid w:val="00D6673F"/>
    <w:rsid w:val="00D66FE5"/>
    <w:rsid w:val="00D70265"/>
    <w:rsid w:val="00D70D00"/>
    <w:rsid w:val="00D70EC7"/>
    <w:rsid w:val="00D713CD"/>
    <w:rsid w:val="00D74C3B"/>
    <w:rsid w:val="00D7645F"/>
    <w:rsid w:val="00D84695"/>
    <w:rsid w:val="00D96359"/>
    <w:rsid w:val="00DA06C8"/>
    <w:rsid w:val="00DA3EA4"/>
    <w:rsid w:val="00DB13DE"/>
    <w:rsid w:val="00DB632D"/>
    <w:rsid w:val="00DC0C2E"/>
    <w:rsid w:val="00DC3C26"/>
    <w:rsid w:val="00DC56F1"/>
    <w:rsid w:val="00DC57CC"/>
    <w:rsid w:val="00DC68BA"/>
    <w:rsid w:val="00DC71F2"/>
    <w:rsid w:val="00DD1B1B"/>
    <w:rsid w:val="00DD3B22"/>
    <w:rsid w:val="00DD4021"/>
    <w:rsid w:val="00DE2A5A"/>
    <w:rsid w:val="00DE4370"/>
    <w:rsid w:val="00DE7C7E"/>
    <w:rsid w:val="00DF291A"/>
    <w:rsid w:val="00DF3B92"/>
    <w:rsid w:val="00DF6BCB"/>
    <w:rsid w:val="00DF71D5"/>
    <w:rsid w:val="00E005EF"/>
    <w:rsid w:val="00E036C0"/>
    <w:rsid w:val="00E06F4F"/>
    <w:rsid w:val="00E11DD3"/>
    <w:rsid w:val="00E1459E"/>
    <w:rsid w:val="00E167BD"/>
    <w:rsid w:val="00E227E6"/>
    <w:rsid w:val="00E232C2"/>
    <w:rsid w:val="00E2574F"/>
    <w:rsid w:val="00E25E5B"/>
    <w:rsid w:val="00E26604"/>
    <w:rsid w:val="00E344D5"/>
    <w:rsid w:val="00E3571A"/>
    <w:rsid w:val="00E368ED"/>
    <w:rsid w:val="00E3737B"/>
    <w:rsid w:val="00E4144C"/>
    <w:rsid w:val="00E43EF1"/>
    <w:rsid w:val="00E45F70"/>
    <w:rsid w:val="00E477CF"/>
    <w:rsid w:val="00E47D1A"/>
    <w:rsid w:val="00E50603"/>
    <w:rsid w:val="00E50DA8"/>
    <w:rsid w:val="00E53653"/>
    <w:rsid w:val="00E56897"/>
    <w:rsid w:val="00E57785"/>
    <w:rsid w:val="00E64086"/>
    <w:rsid w:val="00E6566E"/>
    <w:rsid w:val="00E65FF8"/>
    <w:rsid w:val="00E6665F"/>
    <w:rsid w:val="00E66F37"/>
    <w:rsid w:val="00E70C71"/>
    <w:rsid w:val="00E72740"/>
    <w:rsid w:val="00E75211"/>
    <w:rsid w:val="00E763FE"/>
    <w:rsid w:val="00E76B94"/>
    <w:rsid w:val="00E830C0"/>
    <w:rsid w:val="00E83EFA"/>
    <w:rsid w:val="00E8562C"/>
    <w:rsid w:val="00E86BF9"/>
    <w:rsid w:val="00E86C70"/>
    <w:rsid w:val="00E90840"/>
    <w:rsid w:val="00E917F5"/>
    <w:rsid w:val="00E95231"/>
    <w:rsid w:val="00E95779"/>
    <w:rsid w:val="00EA31E0"/>
    <w:rsid w:val="00EA4C0B"/>
    <w:rsid w:val="00EB46EE"/>
    <w:rsid w:val="00EB7706"/>
    <w:rsid w:val="00EB7D6E"/>
    <w:rsid w:val="00EC3F14"/>
    <w:rsid w:val="00EC5C59"/>
    <w:rsid w:val="00ED0207"/>
    <w:rsid w:val="00ED127C"/>
    <w:rsid w:val="00ED14C4"/>
    <w:rsid w:val="00ED3A5B"/>
    <w:rsid w:val="00ED62D3"/>
    <w:rsid w:val="00ED75FB"/>
    <w:rsid w:val="00EE4F87"/>
    <w:rsid w:val="00EE683F"/>
    <w:rsid w:val="00EF1926"/>
    <w:rsid w:val="00EF1FA3"/>
    <w:rsid w:val="00EF28D6"/>
    <w:rsid w:val="00EF42C5"/>
    <w:rsid w:val="00EF42C9"/>
    <w:rsid w:val="00F014B6"/>
    <w:rsid w:val="00F025EB"/>
    <w:rsid w:val="00F119BC"/>
    <w:rsid w:val="00F11C39"/>
    <w:rsid w:val="00F13485"/>
    <w:rsid w:val="00F15684"/>
    <w:rsid w:val="00F15707"/>
    <w:rsid w:val="00F15AEE"/>
    <w:rsid w:val="00F1727A"/>
    <w:rsid w:val="00F22BAE"/>
    <w:rsid w:val="00F26954"/>
    <w:rsid w:val="00F27976"/>
    <w:rsid w:val="00F30E45"/>
    <w:rsid w:val="00F31F5C"/>
    <w:rsid w:val="00F34537"/>
    <w:rsid w:val="00F353ED"/>
    <w:rsid w:val="00F3592B"/>
    <w:rsid w:val="00F3640E"/>
    <w:rsid w:val="00F3714D"/>
    <w:rsid w:val="00F4093A"/>
    <w:rsid w:val="00F42159"/>
    <w:rsid w:val="00F43411"/>
    <w:rsid w:val="00F534E7"/>
    <w:rsid w:val="00F5497A"/>
    <w:rsid w:val="00F54C87"/>
    <w:rsid w:val="00F55853"/>
    <w:rsid w:val="00F6027D"/>
    <w:rsid w:val="00F64CC0"/>
    <w:rsid w:val="00F64E04"/>
    <w:rsid w:val="00F72954"/>
    <w:rsid w:val="00F734ED"/>
    <w:rsid w:val="00F75369"/>
    <w:rsid w:val="00F82D55"/>
    <w:rsid w:val="00F83380"/>
    <w:rsid w:val="00F84573"/>
    <w:rsid w:val="00F867DA"/>
    <w:rsid w:val="00F868E8"/>
    <w:rsid w:val="00F918BB"/>
    <w:rsid w:val="00F9212B"/>
    <w:rsid w:val="00F94AE4"/>
    <w:rsid w:val="00F94F35"/>
    <w:rsid w:val="00F951D1"/>
    <w:rsid w:val="00F95454"/>
    <w:rsid w:val="00F95904"/>
    <w:rsid w:val="00F9622C"/>
    <w:rsid w:val="00F97FAA"/>
    <w:rsid w:val="00FA0589"/>
    <w:rsid w:val="00FA439F"/>
    <w:rsid w:val="00FB3679"/>
    <w:rsid w:val="00FB7AA8"/>
    <w:rsid w:val="00FC0162"/>
    <w:rsid w:val="00FC1704"/>
    <w:rsid w:val="00FC3CFD"/>
    <w:rsid w:val="00FD091D"/>
    <w:rsid w:val="00FD2FD5"/>
    <w:rsid w:val="00FD3BED"/>
    <w:rsid w:val="00FD6609"/>
    <w:rsid w:val="00FD6A23"/>
    <w:rsid w:val="00FD6AEB"/>
    <w:rsid w:val="00FE2976"/>
    <w:rsid w:val="00FE4A1B"/>
    <w:rsid w:val="00FE505B"/>
    <w:rsid w:val="00FE7D83"/>
    <w:rsid w:val="00FF1CB4"/>
    <w:rsid w:val="00FF37D9"/>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2E2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2878A1"/>
    <w:pPr>
      <w:tabs>
        <w:tab w:val="left" w:pos="480"/>
        <w:tab w:val="right" w:leader="dot" w:pos="10070"/>
      </w:tabs>
      <w:contextualSpacing/>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unhideWhenUsed/>
    <w:rsid w:val="005B7263"/>
    <w:rPr>
      <w:sz w:val="20"/>
      <w:szCs w:val="20"/>
    </w:rPr>
  </w:style>
  <w:style w:type="character" w:customStyle="1" w:styleId="EndnoteTextChar">
    <w:name w:val="Endnote Text Char"/>
    <w:basedOn w:val="DefaultParagraphFont"/>
    <w:link w:val="EndnoteText"/>
    <w:uiPriority w:val="99"/>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6620A"/>
    <w:rPr>
      <w:color w:val="605E5C"/>
      <w:shd w:val="clear" w:color="auto" w:fill="E1DFDD"/>
    </w:rPr>
  </w:style>
  <w:style w:type="character" w:styleId="FollowedHyperlink">
    <w:name w:val="FollowedHyperlink"/>
    <w:basedOn w:val="DefaultParagraphFont"/>
    <w:uiPriority w:val="99"/>
    <w:semiHidden/>
    <w:unhideWhenUsed/>
    <w:rsid w:val="007357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317729156">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1742237">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 w:id="2119711374">
      <w:bodyDiv w:val="1"/>
      <w:marLeft w:val="0"/>
      <w:marRight w:val="0"/>
      <w:marTop w:val="0"/>
      <w:marBottom w:val="0"/>
      <w:divBdr>
        <w:top w:val="none" w:sz="0" w:space="0" w:color="auto"/>
        <w:left w:val="none" w:sz="0" w:space="0" w:color="auto"/>
        <w:bottom w:val="none" w:sz="0" w:space="0" w:color="auto"/>
        <w:right w:val="none" w:sz="0" w:space="0" w:color="auto"/>
      </w:divBdr>
      <w:divsChild>
        <w:div w:id="636112124">
          <w:marLeft w:val="0"/>
          <w:marRight w:val="0"/>
          <w:marTop w:val="0"/>
          <w:marBottom w:val="0"/>
          <w:divBdr>
            <w:top w:val="none" w:sz="0" w:space="0" w:color="auto"/>
            <w:left w:val="none" w:sz="0" w:space="0" w:color="auto"/>
            <w:bottom w:val="none" w:sz="0" w:space="0" w:color="auto"/>
            <w:right w:val="none" w:sz="0" w:space="0" w:color="auto"/>
          </w:divBdr>
          <w:divsChild>
            <w:div w:id="761266651">
              <w:marLeft w:val="0"/>
              <w:marRight w:val="0"/>
              <w:marTop w:val="0"/>
              <w:marBottom w:val="300"/>
              <w:divBdr>
                <w:top w:val="single" w:sz="6" w:space="0" w:color="BEBEBE"/>
                <w:left w:val="single" w:sz="6" w:space="0" w:color="BEBEBE"/>
                <w:bottom w:val="single" w:sz="6" w:space="0" w:color="BEBEBE"/>
                <w:right w:val="single" w:sz="6" w:space="0" w:color="BEBEBE"/>
              </w:divBdr>
              <w:divsChild>
                <w:div w:id="147786600">
                  <w:marLeft w:val="0"/>
                  <w:marRight w:val="0"/>
                  <w:marTop w:val="0"/>
                  <w:marBottom w:val="0"/>
                  <w:divBdr>
                    <w:top w:val="none" w:sz="0" w:space="0" w:color="auto"/>
                    <w:left w:val="none" w:sz="0" w:space="0" w:color="auto"/>
                    <w:bottom w:val="none" w:sz="0" w:space="0" w:color="auto"/>
                    <w:right w:val="none" w:sz="0" w:space="0" w:color="auto"/>
                  </w:divBdr>
                  <w:divsChild>
                    <w:div w:id="1411148647">
                      <w:marLeft w:val="0"/>
                      <w:marRight w:val="0"/>
                      <w:marTop w:val="0"/>
                      <w:marBottom w:val="0"/>
                      <w:divBdr>
                        <w:top w:val="none" w:sz="0" w:space="0" w:color="auto"/>
                        <w:left w:val="none" w:sz="0" w:space="0" w:color="auto"/>
                        <w:bottom w:val="none" w:sz="0" w:space="0" w:color="auto"/>
                        <w:right w:val="none" w:sz="0" w:space="0" w:color="auto"/>
                      </w:divBdr>
                      <w:divsChild>
                        <w:div w:id="1553692189">
                          <w:marLeft w:val="0"/>
                          <w:marRight w:val="0"/>
                          <w:marTop w:val="0"/>
                          <w:marBottom w:val="0"/>
                          <w:divBdr>
                            <w:top w:val="none" w:sz="0" w:space="0" w:color="auto"/>
                            <w:left w:val="none" w:sz="0" w:space="0" w:color="auto"/>
                            <w:bottom w:val="none" w:sz="0" w:space="0" w:color="auto"/>
                            <w:right w:val="none" w:sz="0" w:space="0" w:color="auto"/>
                          </w:divBdr>
                          <w:divsChild>
                            <w:div w:id="6188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D696CA86-7734-4B8C-95E9-C8C84D5D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2020-08-11T14:25:00Z</dcterms:created>
  <dcterms:modified xsi:type="dcterms:W3CDTF">2020-08-25T10:30:00Z</dcterms:modified>
</cp:coreProperties>
</file>