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4693" w:rsidR="00A57D72" w:rsidP="00154693" w:rsidRDefault="00C80E69" w14:paraId="0157B7CC" w14:textId="0784266A">
      <w:pPr>
        <w:jc w:val="center"/>
        <w:rPr>
          <w:b/>
          <w:sz w:val="24"/>
          <w:szCs w:val="24"/>
        </w:rPr>
      </w:pPr>
      <w:r w:rsidRPr="00154693">
        <w:rPr>
          <w:b/>
          <w:sz w:val="24"/>
          <w:szCs w:val="24"/>
        </w:rPr>
        <w:t>Supporting Statement – Part B</w:t>
      </w:r>
    </w:p>
    <w:p w:rsidRPr="00154693" w:rsidR="00A57D72" w:rsidP="00154693" w:rsidRDefault="00A57D72" w14:paraId="0157B7CD" w14:textId="7E747B02">
      <w:pPr>
        <w:jc w:val="center"/>
        <w:rPr>
          <w:sz w:val="24"/>
          <w:szCs w:val="24"/>
        </w:rPr>
      </w:pPr>
    </w:p>
    <w:p w:rsidR="00154693" w:rsidP="00154693" w:rsidRDefault="00C80E69" w14:paraId="736267AC" w14:textId="77777777">
      <w:pPr>
        <w:jc w:val="center"/>
        <w:rPr>
          <w:sz w:val="24"/>
          <w:szCs w:val="24"/>
        </w:rPr>
      </w:pPr>
      <w:r w:rsidRPr="00154693">
        <w:rPr>
          <w:sz w:val="24"/>
          <w:szCs w:val="24"/>
        </w:rPr>
        <w:t xml:space="preserve">Hospital Survey for Specified Covered Outpatient Drugs (SCODs) </w:t>
      </w:r>
    </w:p>
    <w:p w:rsidRPr="00154693" w:rsidR="00A57D72" w:rsidP="00154693" w:rsidRDefault="00C80E69" w14:paraId="0157B7CE" w14:textId="0DC9021A">
      <w:pPr>
        <w:jc w:val="center"/>
        <w:rPr>
          <w:sz w:val="24"/>
          <w:szCs w:val="24"/>
        </w:rPr>
      </w:pPr>
      <w:r w:rsidRPr="00154693">
        <w:rPr>
          <w:sz w:val="24"/>
          <w:szCs w:val="24"/>
        </w:rPr>
        <w:t>(CMS-10709; OMB 0938-New)</w:t>
      </w:r>
    </w:p>
    <w:p w:rsidRPr="00154693" w:rsidR="00A57D72" w:rsidRDefault="00A57D72" w14:paraId="0157B7CF" w14:textId="615E9890">
      <w:pPr>
        <w:pStyle w:val="BodyText"/>
      </w:pPr>
    </w:p>
    <w:p w:rsidRPr="00154693" w:rsidR="00A57D72" w:rsidP="00154693" w:rsidRDefault="00A57D72" w14:paraId="0157B7D0" w14:textId="77777777">
      <w:pPr>
        <w:pStyle w:val="BodyText"/>
        <w:spacing w:before="11"/>
      </w:pPr>
    </w:p>
    <w:p w:rsidRPr="00154693" w:rsidR="00A57D72" w:rsidP="00154693" w:rsidRDefault="00C80E69" w14:paraId="0157B7D1" w14:textId="050FBC69">
      <w:pPr>
        <w:pStyle w:val="ListParagraph"/>
        <w:numPr>
          <w:ilvl w:val="0"/>
          <w:numId w:val="1"/>
        </w:numPr>
        <w:tabs>
          <w:tab w:val="left" w:pos="420"/>
        </w:tabs>
        <w:ind w:right="235" w:firstLine="0"/>
        <w:rPr>
          <w:sz w:val="24"/>
        </w:rPr>
      </w:pPr>
      <w:r w:rsidRPr="00154693">
        <w:rPr>
          <w:sz w:val="24"/>
          <w:szCs w:val="24"/>
        </w:rPr>
        <w:t>Describe (including a numerical estimate) the potential respondent universe and any sampling or other respondent selection method to be used. Data on the number of entities (e.g., establishments, State and local government units</w:t>
      </w:r>
      <w:bookmarkStart w:name="_GoBack" w:id="0"/>
      <w:bookmarkEnd w:id="0"/>
      <w:r w:rsidRPr="00154693">
        <w:rPr>
          <w:sz w:val="24"/>
          <w:szCs w:val="24"/>
        </w:rPr>
        <w:t>, households, or persons</w:t>
      </w:r>
      <w:r w:rsidRPr="00154693">
        <w:rPr>
          <w:sz w:val="24"/>
        </w:rPr>
        <w:t>) in the universe</w:t>
      </w:r>
      <w:r w:rsidRPr="00154693">
        <w:rPr>
          <w:spacing w:val="-19"/>
          <w:sz w:val="24"/>
        </w:rPr>
        <w:t xml:space="preserve"> </w:t>
      </w:r>
      <w:r w:rsidRPr="00154693">
        <w:rPr>
          <w:sz w:val="24"/>
        </w:rPr>
        <w:t>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54693">
        <w:rPr>
          <w:spacing w:val="-25"/>
          <w:sz w:val="24"/>
        </w:rPr>
        <w:t xml:space="preserve"> </w:t>
      </w:r>
      <w:r w:rsidRPr="00154693">
        <w:rPr>
          <w:sz w:val="24"/>
        </w:rPr>
        <w:t>collection.</w:t>
      </w:r>
    </w:p>
    <w:p w:rsidRPr="00154693" w:rsidR="00A57D72" w:rsidP="00154693" w:rsidRDefault="00A57D72" w14:paraId="0157B7D2" w14:textId="47BBB16E">
      <w:pPr>
        <w:pStyle w:val="BodyText"/>
        <w:spacing w:before="11"/>
        <w:rPr>
          <w:sz w:val="23"/>
        </w:rPr>
      </w:pPr>
    </w:p>
    <w:p w:rsidR="00A57D72" w:rsidP="00154693" w:rsidRDefault="00C80E69" w14:paraId="0157B7D3" w14:textId="1C7C9605">
      <w:pPr>
        <w:pStyle w:val="BodyText"/>
        <w:ind w:left="119" w:right="103"/>
      </w:pPr>
      <w:r>
        <w:t xml:space="preserve">The sample will be 100% of the potential respondent universe. CMS contractors will make </w:t>
      </w:r>
      <w:r w:rsidR="00BE0BDB">
        <w:t xml:space="preserve">the </w:t>
      </w:r>
      <w:r>
        <w:t>survey available to all hospitals that purchase</w:t>
      </w:r>
      <w:r w:rsidR="00A1289F">
        <w:t>d</w:t>
      </w:r>
      <w:r>
        <w:t xml:space="preserve"> drugs through the 340B Program</w:t>
      </w:r>
      <w:r w:rsidR="00BE0BDB">
        <w:t xml:space="preserve"> in the last quarter of 2018 or first quarter or 2019</w:t>
      </w:r>
      <w:r>
        <w:t>. Accordingly, we expect to receive up to</w:t>
      </w:r>
      <w:r w:rsidR="00AF79E4">
        <w:t xml:space="preserve"> approximately</w:t>
      </w:r>
      <w:r>
        <w:t xml:space="preserve"> 1,</w:t>
      </w:r>
      <w:r w:rsidR="00FA5CD3">
        <w:t>40</w:t>
      </w:r>
      <w:r w:rsidR="00AF79E4">
        <w:t>0</w:t>
      </w:r>
      <w:r>
        <w:t xml:space="preserve"> responses. Each hospital that acquired drugs under the 340B program in the fourth quarter of 2018 and/or the first quarter of 2019 is </w:t>
      </w:r>
      <w:r w:rsidR="00595681">
        <w:t xml:space="preserve">requested </w:t>
      </w:r>
      <w:r>
        <w:t xml:space="preserve">to complete one survey that includes acquisition costs for each of the two quarters. </w:t>
      </w:r>
      <w:r w:rsidR="00BE0BDB">
        <w:t>s</w:t>
      </w:r>
      <w:r>
        <w:t>ection</w:t>
      </w:r>
      <w:r w:rsidR="00BE0BDB">
        <w:t>s</w:t>
      </w:r>
      <w:r>
        <w:t xml:space="preserve"> 1833(t)(14)</w:t>
      </w:r>
      <w:r w:rsidR="00A1289F">
        <w:t xml:space="preserve">(A)(iii)(I) and </w:t>
      </w:r>
      <w:r>
        <w:t>(D)(ii)</w:t>
      </w:r>
      <w:r w:rsidR="00BE0BDB">
        <w:t xml:space="preserve"> and (iii)</w:t>
      </w:r>
      <w:r>
        <w:t xml:space="preserve"> of the Social Security Act (the Act)</w:t>
      </w:r>
      <w:r w:rsidDel="00595681" w:rsidR="00595681">
        <w:t xml:space="preserve"> </w:t>
      </w:r>
      <w:r>
        <w:t xml:space="preserve"> grant the Secretary authority to conduct a survey and use survey data in part to determine hospital acquisition cost for each specified</w:t>
      </w:r>
      <w:r w:rsidRPr="00154693">
        <w:rPr>
          <w:spacing w:val="-21"/>
        </w:rPr>
        <w:t xml:space="preserve"> </w:t>
      </w:r>
      <w:r>
        <w:t>covered outpatient</w:t>
      </w:r>
      <w:r w:rsidRPr="00154693">
        <w:rPr>
          <w:spacing w:val="-17"/>
        </w:rPr>
        <w:t xml:space="preserve"> </w:t>
      </w:r>
      <w:r>
        <w:t>drug.</w:t>
      </w:r>
    </w:p>
    <w:p w:rsidRPr="00154693" w:rsidR="00A57D72" w:rsidP="00154693" w:rsidRDefault="00A57D72" w14:paraId="0157B7D4" w14:textId="7293FE8D">
      <w:pPr>
        <w:pStyle w:val="BodyText"/>
        <w:spacing w:before="11"/>
        <w:rPr>
          <w:sz w:val="23"/>
        </w:rPr>
      </w:pPr>
    </w:p>
    <w:p w:rsidRPr="00154693" w:rsidR="0045559D" w:rsidP="00154693" w:rsidRDefault="00C80E69" w14:paraId="18AAA95A" w14:textId="452BE33E">
      <w:pPr>
        <w:pStyle w:val="ListParagraph"/>
        <w:numPr>
          <w:ilvl w:val="0"/>
          <w:numId w:val="1"/>
        </w:numPr>
        <w:tabs>
          <w:tab w:val="left" w:pos="420"/>
        </w:tabs>
        <w:spacing w:line="480" w:lineRule="auto"/>
        <w:ind w:right="90" w:firstLine="0"/>
        <w:rPr>
          <w:sz w:val="24"/>
        </w:rPr>
      </w:pPr>
      <w:r w:rsidRPr="00154693">
        <w:rPr>
          <w:sz w:val="24"/>
        </w:rPr>
        <w:t>Describe the procedures for the collection of information</w:t>
      </w:r>
      <w:r w:rsidRPr="00154693" w:rsidR="0045559D">
        <w:rPr>
          <w:sz w:val="24"/>
        </w:rPr>
        <w:t xml:space="preserve"> i</w:t>
      </w:r>
      <w:r w:rsidRPr="00154693">
        <w:rPr>
          <w:sz w:val="24"/>
        </w:rPr>
        <w:t xml:space="preserve">ncluding: </w:t>
      </w:r>
    </w:p>
    <w:p w:rsidRPr="00154693" w:rsidR="00A57D72" w:rsidP="00154693" w:rsidRDefault="00C80E69" w14:paraId="0157B7D5" w14:textId="32996507">
      <w:pPr>
        <w:tabs>
          <w:tab w:val="left" w:pos="420"/>
        </w:tabs>
        <w:spacing w:line="480" w:lineRule="auto"/>
        <w:ind w:left="120" w:right="90"/>
        <w:rPr>
          <w:color w:val="000000"/>
          <w:sz w:val="24"/>
        </w:rPr>
      </w:pPr>
      <w:r w:rsidRPr="00154693">
        <w:rPr>
          <w:sz w:val="24"/>
        </w:rPr>
        <w:t>Statistical methodology for stratification and sample</w:t>
      </w:r>
      <w:r w:rsidRPr="00AF79E4">
        <w:t xml:space="preserve"> </w:t>
      </w:r>
      <w:r w:rsidRPr="00154693">
        <w:rPr>
          <w:sz w:val="24"/>
        </w:rPr>
        <w:t>selection</w:t>
      </w:r>
    </w:p>
    <w:p w:rsidR="00A57D72" w:rsidP="00154693" w:rsidRDefault="00C80E69" w14:paraId="0157B7D6" w14:textId="0B8CCC22">
      <w:pPr>
        <w:pStyle w:val="BodyText"/>
        <w:spacing w:before="17"/>
        <w:ind w:left="120" w:right="981"/>
      </w:pPr>
      <w:r>
        <w:t>CMS is surveying the complete universe of 340B</w:t>
      </w:r>
      <w:r w:rsidR="00D96187">
        <w:t>-</w:t>
      </w:r>
      <w:r>
        <w:t>covered hospitals for the survey period. Stratification and sampling will not be used.</w:t>
      </w:r>
    </w:p>
    <w:p w:rsidRPr="00154693" w:rsidR="00A57D72" w:rsidP="00154693" w:rsidRDefault="00A57D72" w14:paraId="0157B7D7" w14:textId="337FFE15">
      <w:pPr>
        <w:pStyle w:val="BodyText"/>
        <w:spacing w:before="10"/>
        <w:rPr>
          <w:sz w:val="21"/>
        </w:rPr>
      </w:pPr>
    </w:p>
    <w:p w:rsidRPr="00154693" w:rsidR="00A57D72" w:rsidP="00154693" w:rsidRDefault="00C80E69" w14:paraId="0157B7D8" w14:textId="50433B47">
      <w:pPr>
        <w:pStyle w:val="ListParagraph"/>
        <w:numPr>
          <w:ilvl w:val="0"/>
          <w:numId w:val="1"/>
        </w:numPr>
        <w:tabs>
          <w:tab w:val="left" w:pos="420"/>
        </w:tabs>
        <w:ind w:right="284" w:firstLine="0"/>
        <w:rPr>
          <w:sz w:val="24"/>
        </w:rPr>
      </w:pPr>
      <w:r w:rsidRPr="00154693">
        <w:rPr>
          <w:sz w:val="24"/>
        </w:rPr>
        <w:t>Describe methods to maximize response rates and to deal with issues of non-response. The accuracy and reliability of information collected must be shown to be adequate for intended</w:t>
      </w:r>
      <w:r w:rsidRPr="00154693">
        <w:rPr>
          <w:spacing w:val="-48"/>
          <w:sz w:val="24"/>
        </w:rPr>
        <w:t xml:space="preserve"> </w:t>
      </w:r>
      <w:r w:rsidRPr="00154693">
        <w:rPr>
          <w:sz w:val="24"/>
        </w:rPr>
        <w:t>uses. For collections based on sampling, a special justification must be provided for any collection</w:t>
      </w:r>
      <w:r w:rsidRPr="00154693">
        <w:rPr>
          <w:spacing w:val="-44"/>
          <w:sz w:val="24"/>
        </w:rPr>
        <w:t xml:space="preserve"> </w:t>
      </w:r>
      <w:r w:rsidRPr="00154693">
        <w:rPr>
          <w:sz w:val="24"/>
        </w:rPr>
        <w:t>that will not yield 'reliable' data that can be generalized to the universe</w:t>
      </w:r>
      <w:r w:rsidRPr="00154693">
        <w:rPr>
          <w:spacing w:val="-39"/>
          <w:sz w:val="24"/>
        </w:rPr>
        <w:t xml:space="preserve"> </w:t>
      </w:r>
      <w:r w:rsidRPr="00154693">
        <w:rPr>
          <w:sz w:val="24"/>
        </w:rPr>
        <w:t>studied.</w:t>
      </w:r>
    </w:p>
    <w:p w:rsidRPr="00154693" w:rsidR="00A57D72" w:rsidP="00154693" w:rsidRDefault="00A57D72" w14:paraId="0157B7D9" w14:textId="3E45EFDB">
      <w:pPr>
        <w:pStyle w:val="BodyText"/>
        <w:spacing w:before="8"/>
        <w:rPr>
          <w:sz w:val="23"/>
        </w:rPr>
      </w:pPr>
    </w:p>
    <w:p w:rsidR="00A57D72" w:rsidP="00154693" w:rsidRDefault="00C80E69" w14:paraId="0157B7DA" w14:textId="5DC0E37B">
      <w:pPr>
        <w:pStyle w:val="BodyText"/>
        <w:spacing w:before="1"/>
        <w:ind w:left="120" w:right="215"/>
      </w:pPr>
      <w:r>
        <w:t>As provided above, CMS contractors will announce the availability of the survey and receive the survey responses. Where the acquisition cost for any individual drug is unknown or left blank, CMS will use the 340B ceiling price as a proxy for the acquisition cost for that drug. CMS will also use 340B ceiling prices as proxies for the acquisition costs of drugs where a hospital fails to respond to the survey.</w:t>
      </w:r>
      <w:r w:rsidR="005F7BA0">
        <w:t xml:space="preserve"> Hospitals also have the option to utilize a </w:t>
      </w:r>
      <w:r w:rsidR="007836BC">
        <w:t xml:space="preserve">Quick Survey </w:t>
      </w:r>
      <w:r w:rsidR="005F7BA0">
        <w:t xml:space="preserve">checkbox feature, which will allow stakeholders to </w:t>
      </w:r>
      <w:r w:rsidR="00D96187">
        <w:t>elect</w:t>
      </w:r>
      <w:r w:rsidR="005F7BA0">
        <w:t xml:space="preserve"> to use HRSA ceiling price</w:t>
      </w:r>
      <w:r w:rsidR="00D96187">
        <w:t>s</w:t>
      </w:r>
      <w:r w:rsidR="005F7BA0">
        <w:t xml:space="preserve"> </w:t>
      </w:r>
      <w:r w:rsidR="00D96187">
        <w:t xml:space="preserve">because they adequately reflect their </w:t>
      </w:r>
      <w:r w:rsidR="005F7BA0">
        <w:t>340B drug acquisition costs.</w:t>
      </w:r>
    </w:p>
    <w:p w:rsidR="00A57D72" w:rsidP="00154693" w:rsidRDefault="00A57D72" w14:paraId="0157B7DB" w14:textId="4BE3D9D2">
      <w:pPr>
        <w:pStyle w:val="BodyText"/>
      </w:pPr>
    </w:p>
    <w:p w:rsidR="00A57D72" w:rsidP="00154693" w:rsidRDefault="00C80E69" w14:paraId="0157B7DE" w14:textId="57246838">
      <w:pPr>
        <w:pStyle w:val="BodyText"/>
        <w:ind w:left="120" w:right="163"/>
      </w:pPr>
      <w:r>
        <w:t xml:space="preserve">Data received in response to this collection may be used in a manner that would have a </w:t>
      </w:r>
      <w:r>
        <w:lastRenderedPageBreak/>
        <w:t>significant impact on 340B hospitals’ payment</w:t>
      </w:r>
      <w:r w:rsidR="00D96187">
        <w:t>,</w:t>
      </w:r>
      <w:r>
        <w:t xml:space="preserve"> and we believe the response rate will be high given the</w:t>
      </w:r>
      <w:r w:rsidR="00306F48">
        <w:t xml:space="preserve"> p</w:t>
      </w:r>
      <w:r>
        <w:t>otential impact. CMS will seek comment through a notice of proposed rulemaking (NPRM) before making changes to payment rates based on the survey data we receive.</w:t>
      </w:r>
    </w:p>
    <w:p w:rsidRPr="00154693" w:rsidR="00A57D72" w:rsidP="00154693" w:rsidRDefault="00A57D72" w14:paraId="0157B7DF" w14:textId="2ABF128C">
      <w:pPr>
        <w:pStyle w:val="BodyText"/>
        <w:spacing w:before="11"/>
        <w:rPr>
          <w:sz w:val="23"/>
        </w:rPr>
      </w:pPr>
    </w:p>
    <w:p w:rsidR="00A57D72" w:rsidP="00154693" w:rsidRDefault="00C80E69" w14:paraId="0157B7E0" w14:textId="7F375567">
      <w:pPr>
        <w:pStyle w:val="BodyText"/>
        <w:ind w:left="120"/>
      </w:pPr>
      <w:r>
        <w:t>This collection is not based on sampling.</w:t>
      </w:r>
    </w:p>
    <w:p w:rsidRPr="00154693" w:rsidR="00A57D72" w:rsidP="00154693" w:rsidRDefault="00A57D72" w14:paraId="0157B7E1" w14:textId="08D45ABD">
      <w:pPr>
        <w:pStyle w:val="BodyText"/>
        <w:spacing w:before="11"/>
        <w:rPr>
          <w:sz w:val="23"/>
        </w:rPr>
      </w:pPr>
    </w:p>
    <w:p w:rsidRPr="00154693" w:rsidR="00A57D72" w:rsidP="00154693" w:rsidRDefault="00C80E69" w14:paraId="0157B7E2" w14:textId="55A9C420">
      <w:pPr>
        <w:pStyle w:val="ListParagraph"/>
        <w:numPr>
          <w:ilvl w:val="0"/>
          <w:numId w:val="1"/>
        </w:numPr>
        <w:tabs>
          <w:tab w:val="left" w:pos="549"/>
          <w:tab w:val="left" w:pos="550"/>
        </w:tabs>
        <w:ind w:right="307" w:firstLine="0"/>
        <w:rPr>
          <w:sz w:val="24"/>
        </w:rPr>
      </w:pPr>
      <w:r w:rsidRPr="00154693">
        <w:rPr>
          <w:sz w:val="24"/>
        </w:rPr>
        <w:t>Describe any tests of procedures or methods to be undertaken. Testing is encouraged as</w:t>
      </w:r>
      <w:r w:rsidRPr="00154693">
        <w:rPr>
          <w:spacing w:val="-19"/>
          <w:sz w:val="24"/>
        </w:rPr>
        <w:t xml:space="preserve"> </w:t>
      </w:r>
      <w:r w:rsidRPr="00154693">
        <w:rPr>
          <w:sz w:val="24"/>
        </w:rPr>
        <w:t>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54693">
        <w:rPr>
          <w:spacing w:val="-22"/>
          <w:sz w:val="24"/>
        </w:rPr>
        <w:t xml:space="preserve"> </w:t>
      </w:r>
      <w:r w:rsidRPr="00154693">
        <w:rPr>
          <w:sz w:val="24"/>
        </w:rPr>
        <w:t>information.</w:t>
      </w:r>
    </w:p>
    <w:p w:rsidRPr="00154693" w:rsidR="00A57D72" w:rsidP="00154693" w:rsidRDefault="00A57D72" w14:paraId="0157B7E3" w14:textId="6CD5D3B1">
      <w:pPr>
        <w:pStyle w:val="BodyText"/>
        <w:spacing w:before="11"/>
        <w:rPr>
          <w:sz w:val="23"/>
        </w:rPr>
      </w:pPr>
    </w:p>
    <w:p w:rsidR="00A57D72" w:rsidP="00154693" w:rsidRDefault="00C80E69" w14:paraId="0157B7E4" w14:textId="622725DC">
      <w:pPr>
        <w:pStyle w:val="BodyText"/>
        <w:ind w:left="120"/>
      </w:pPr>
      <w:r>
        <w:t>Not applicable since CMS is not using a sampling methodology.</w:t>
      </w:r>
    </w:p>
    <w:p w:rsidRPr="00154693" w:rsidR="00A57D72" w:rsidP="00154693" w:rsidRDefault="00A57D72" w14:paraId="0157B7E5" w14:textId="12E44CCE">
      <w:pPr>
        <w:pStyle w:val="BodyText"/>
        <w:spacing w:before="10"/>
        <w:rPr>
          <w:sz w:val="21"/>
        </w:rPr>
      </w:pPr>
    </w:p>
    <w:p w:rsidRPr="00154693" w:rsidR="00A57D72" w:rsidP="00154693" w:rsidRDefault="00C80E69" w14:paraId="0157B7E6" w14:textId="5B63332E">
      <w:pPr>
        <w:pStyle w:val="ListParagraph"/>
        <w:numPr>
          <w:ilvl w:val="0"/>
          <w:numId w:val="1"/>
        </w:numPr>
        <w:tabs>
          <w:tab w:val="left" w:pos="549"/>
          <w:tab w:val="left" w:pos="550"/>
        </w:tabs>
        <w:ind w:firstLine="0"/>
        <w:rPr>
          <w:sz w:val="24"/>
        </w:rPr>
      </w:pPr>
      <w:r w:rsidRPr="00154693">
        <w:rPr>
          <w:sz w:val="24"/>
        </w:rPr>
        <w:t>Provide the name and telephone number of individuals consulted on statistical aspects of the design and the name of the agency unit, contractor(s), grantee(s), or other person(s) who will actually collect and/or analyze the information for the</w:t>
      </w:r>
      <w:r w:rsidRPr="00154693">
        <w:rPr>
          <w:spacing w:val="-33"/>
          <w:sz w:val="24"/>
        </w:rPr>
        <w:t xml:space="preserve"> </w:t>
      </w:r>
      <w:r w:rsidRPr="00154693">
        <w:rPr>
          <w:sz w:val="24"/>
        </w:rPr>
        <w:t>agency.</w:t>
      </w:r>
    </w:p>
    <w:p w:rsidRPr="00154693" w:rsidR="00A57D72" w:rsidP="00154693" w:rsidRDefault="00A57D72" w14:paraId="0157B7E7" w14:textId="07AF5C55">
      <w:pPr>
        <w:pStyle w:val="BodyText"/>
        <w:spacing w:before="11"/>
        <w:rPr>
          <w:sz w:val="23"/>
        </w:rPr>
      </w:pPr>
    </w:p>
    <w:p w:rsidR="00A57D72" w:rsidP="00154693" w:rsidRDefault="00C80E69" w14:paraId="0157B7E8" w14:textId="2C3EC1FD">
      <w:pPr>
        <w:pStyle w:val="BodyText"/>
        <w:ind w:left="120" w:right="89"/>
      </w:pPr>
      <w:r>
        <w:t xml:space="preserve">This survey is authorized by law and is being </w:t>
      </w:r>
      <w:r w:rsidR="00595681">
        <w:t xml:space="preserve">asked </w:t>
      </w:r>
      <w:r>
        <w:t>of 100 percent of the respondent universe, accordingly, special survey design is not applicable.</w:t>
      </w:r>
    </w:p>
    <w:sectPr w:rsidR="00A57D72" w:rsidSect="00154693">
      <w:headerReference w:type="default" r:id="rId11"/>
      <w:footerReference w:type="default" r:id="rId12"/>
      <w:pgSz w:w="12240" w:h="15840"/>
      <w:pgMar w:top="1360" w:right="1380" w:bottom="1980" w:left="1320" w:header="0" w:footer="1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C7599" w14:textId="77777777" w:rsidR="002B7FE1" w:rsidRDefault="002B7FE1" w:rsidP="00D71779">
      <w:r>
        <w:separator/>
      </w:r>
    </w:p>
  </w:endnote>
  <w:endnote w:type="continuationSeparator" w:id="0">
    <w:p w14:paraId="1DC3691C" w14:textId="77777777" w:rsidR="002B7FE1" w:rsidRDefault="002B7FE1" w:rsidP="00D71779">
      <w:r>
        <w:continuationSeparator/>
      </w:r>
    </w:p>
  </w:endnote>
  <w:endnote w:type="continuationNotice" w:id="1">
    <w:p w14:paraId="7077E317" w14:textId="77777777" w:rsidR="002B7FE1" w:rsidRDefault="002B7FE1" w:rsidP="00D71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B7E9" w14:textId="52AA69B5" w:rsidR="00A57D72" w:rsidRPr="00154693" w:rsidRDefault="00E349D4" w:rsidP="0015469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157B7EA" wp14:editId="3A5E6737">
              <wp:simplePos x="0" y="0"/>
              <wp:positionH relativeFrom="page">
                <wp:posOffset>3868420</wp:posOffset>
              </wp:positionH>
              <wp:positionV relativeFrom="page">
                <wp:posOffset>8786495</wp:posOffset>
              </wp:positionV>
              <wp:extent cx="127000" cy="194310"/>
              <wp:effectExtent l="1270"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B7EB" w14:textId="6E39DBB3" w:rsidR="00A57D72" w:rsidRDefault="00C80E69">
                          <w:pPr>
                            <w:pStyle w:val="BodyText"/>
                            <w:spacing w:before="10"/>
                            <w:ind w:left="40"/>
                          </w:pPr>
                          <w:r>
                            <w:fldChar w:fldCharType="begin"/>
                          </w:r>
                          <w:r>
                            <w:instrText xml:space="preserve"> PAGE </w:instrText>
                          </w:r>
                          <w:r>
                            <w:fldChar w:fldCharType="separate"/>
                          </w:r>
                          <w:r w:rsidR="001546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7B7EA" id="_x0000_t202" coordsize="21600,21600" o:spt="202" path="m,l,21600r21600,l21600,xe">
              <v:stroke joinstyle="miter"/>
              <v:path gradientshapeok="t" o:connecttype="rect"/>
            </v:shapetype>
            <v:shape id="Text Box 1" o:spid="_x0000_s1026" type="#_x0000_t202" style="position:absolute;margin-left:304.6pt;margin-top:691.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" filled="f" stroked="f">
              <v:textbox inset="0,0,0,0">
                <w:txbxContent>
                  <w:p w14:paraId="0157B7EB" w14:textId="6E39DBB3" w:rsidR="00A57D72" w:rsidRDefault="00C80E69">
                    <w:pPr>
                      <w:pStyle w:val="BodyText"/>
                      <w:spacing w:before="10"/>
                      <w:ind w:left="40"/>
                    </w:pPr>
                    <w:r>
                      <w:fldChar w:fldCharType="begin"/>
                    </w:r>
                    <w:r>
                      <w:instrText xml:space="preserve"> PAGE </w:instrText>
                    </w:r>
                    <w:r>
                      <w:fldChar w:fldCharType="separate"/>
                    </w:r>
                    <w:r w:rsidR="0015469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FA5CE" w14:textId="77777777" w:rsidR="002B7FE1" w:rsidRDefault="002B7FE1" w:rsidP="00D71779">
      <w:r>
        <w:separator/>
      </w:r>
    </w:p>
  </w:footnote>
  <w:footnote w:type="continuationSeparator" w:id="0">
    <w:p w14:paraId="6EB5DCF0" w14:textId="77777777" w:rsidR="002B7FE1" w:rsidRDefault="002B7FE1" w:rsidP="00D71779">
      <w:r>
        <w:continuationSeparator/>
      </w:r>
    </w:p>
  </w:footnote>
  <w:footnote w:type="continuationNotice" w:id="1">
    <w:p w14:paraId="12F39A07" w14:textId="77777777" w:rsidR="002B7FE1" w:rsidRDefault="002B7FE1" w:rsidP="00D717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3224" w14:textId="77777777" w:rsidR="00D71779" w:rsidRDefault="00D7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45D"/>
    <w:multiLevelType w:val="hybridMultilevel"/>
    <w:tmpl w:val="979CDBE2"/>
    <w:lvl w:ilvl="0" w:tplc="0452172A">
      <w:start w:val="1"/>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E04E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00C2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FA9650">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6319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44ABF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A4BA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491A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E9EC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55502"/>
    <w:multiLevelType w:val="hybridMultilevel"/>
    <w:tmpl w:val="FB48C522"/>
    <w:lvl w:ilvl="0" w:tplc="2068A7F4">
      <w:start w:val="4"/>
      <w:numFmt w:val="decimal"/>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2189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22B4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CD4D0">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00E3A">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EAE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EB55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81EE4">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8ED6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324006"/>
    <w:multiLevelType w:val="hybridMultilevel"/>
    <w:tmpl w:val="EC4CD8A2"/>
    <w:lvl w:ilvl="0" w:tplc="453C679A">
      <w:start w:val="1"/>
      <w:numFmt w:val="decimal"/>
      <w:lvlText w:val="%1."/>
      <w:lvlJc w:val="left"/>
      <w:pPr>
        <w:ind w:left="120" w:hanging="300"/>
        <w:jc w:val="left"/>
      </w:pPr>
      <w:rPr>
        <w:rFonts w:ascii="Times New Roman" w:eastAsia="Times New Roman" w:hAnsi="Times New Roman" w:cs="Times New Roman" w:hint="default"/>
        <w:spacing w:val="-6"/>
        <w:w w:val="98"/>
        <w:sz w:val="24"/>
        <w:szCs w:val="24"/>
      </w:rPr>
    </w:lvl>
    <w:lvl w:ilvl="1" w:tplc="DBC0F404">
      <w:numFmt w:val="bullet"/>
      <w:lvlText w:val="•"/>
      <w:lvlJc w:val="left"/>
      <w:pPr>
        <w:ind w:left="1080" w:hanging="300"/>
      </w:pPr>
      <w:rPr>
        <w:rFonts w:hint="default"/>
      </w:rPr>
    </w:lvl>
    <w:lvl w:ilvl="2" w:tplc="FCF84456">
      <w:numFmt w:val="bullet"/>
      <w:lvlText w:val="•"/>
      <w:lvlJc w:val="left"/>
      <w:pPr>
        <w:ind w:left="2040" w:hanging="300"/>
      </w:pPr>
      <w:rPr>
        <w:rFonts w:hint="default"/>
      </w:rPr>
    </w:lvl>
    <w:lvl w:ilvl="3" w:tplc="0E74E56A">
      <w:numFmt w:val="bullet"/>
      <w:lvlText w:val="•"/>
      <w:lvlJc w:val="left"/>
      <w:pPr>
        <w:ind w:left="3000" w:hanging="300"/>
      </w:pPr>
      <w:rPr>
        <w:rFonts w:hint="default"/>
      </w:rPr>
    </w:lvl>
    <w:lvl w:ilvl="4" w:tplc="CA3CEB76">
      <w:numFmt w:val="bullet"/>
      <w:lvlText w:val="•"/>
      <w:lvlJc w:val="left"/>
      <w:pPr>
        <w:ind w:left="3960" w:hanging="300"/>
      </w:pPr>
      <w:rPr>
        <w:rFonts w:hint="default"/>
      </w:rPr>
    </w:lvl>
    <w:lvl w:ilvl="5" w:tplc="AF7A6552">
      <w:numFmt w:val="bullet"/>
      <w:lvlText w:val="•"/>
      <w:lvlJc w:val="left"/>
      <w:pPr>
        <w:ind w:left="4920" w:hanging="300"/>
      </w:pPr>
      <w:rPr>
        <w:rFonts w:hint="default"/>
      </w:rPr>
    </w:lvl>
    <w:lvl w:ilvl="6" w:tplc="78329C70">
      <w:numFmt w:val="bullet"/>
      <w:lvlText w:val="•"/>
      <w:lvlJc w:val="left"/>
      <w:pPr>
        <w:ind w:left="5880" w:hanging="300"/>
      </w:pPr>
      <w:rPr>
        <w:rFonts w:hint="default"/>
      </w:rPr>
    </w:lvl>
    <w:lvl w:ilvl="7" w:tplc="E63E7710">
      <w:numFmt w:val="bullet"/>
      <w:lvlText w:val="•"/>
      <w:lvlJc w:val="left"/>
      <w:pPr>
        <w:ind w:left="6840" w:hanging="300"/>
      </w:pPr>
      <w:rPr>
        <w:rFonts w:hint="default"/>
      </w:rPr>
    </w:lvl>
    <w:lvl w:ilvl="8" w:tplc="3BBA9712">
      <w:numFmt w:val="bullet"/>
      <w:lvlText w:val="•"/>
      <w:lvlJc w:val="left"/>
      <w:pPr>
        <w:ind w:left="7800" w:hanging="3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72"/>
    <w:rsid w:val="00154693"/>
    <w:rsid w:val="00252C29"/>
    <w:rsid w:val="002B7FE1"/>
    <w:rsid w:val="00306F48"/>
    <w:rsid w:val="004255D9"/>
    <w:rsid w:val="0045559D"/>
    <w:rsid w:val="00492FF8"/>
    <w:rsid w:val="00574B91"/>
    <w:rsid w:val="00595681"/>
    <w:rsid w:val="005F7BA0"/>
    <w:rsid w:val="00643386"/>
    <w:rsid w:val="007836BC"/>
    <w:rsid w:val="00873B2E"/>
    <w:rsid w:val="009B4197"/>
    <w:rsid w:val="00A1289F"/>
    <w:rsid w:val="00A57D72"/>
    <w:rsid w:val="00AA1DF3"/>
    <w:rsid w:val="00AF79E4"/>
    <w:rsid w:val="00B001F7"/>
    <w:rsid w:val="00B00E33"/>
    <w:rsid w:val="00BD1867"/>
    <w:rsid w:val="00BE0BDB"/>
    <w:rsid w:val="00C80E69"/>
    <w:rsid w:val="00CB5F3E"/>
    <w:rsid w:val="00D55DDD"/>
    <w:rsid w:val="00D71779"/>
    <w:rsid w:val="00D96187"/>
    <w:rsid w:val="00E349D4"/>
    <w:rsid w:val="00F01105"/>
    <w:rsid w:val="00FA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7B7CC"/>
  <w15:docId w15:val="{F8551507-761B-47E9-991A-01E6B7D0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7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7BA0"/>
    <w:rPr>
      <w:sz w:val="16"/>
      <w:szCs w:val="16"/>
    </w:rPr>
  </w:style>
  <w:style w:type="paragraph" w:styleId="CommentText">
    <w:name w:val="annotation text"/>
    <w:basedOn w:val="Normal"/>
    <w:link w:val="CommentTextChar"/>
    <w:uiPriority w:val="99"/>
    <w:semiHidden/>
    <w:unhideWhenUsed/>
    <w:rsid w:val="005F7BA0"/>
    <w:rPr>
      <w:sz w:val="20"/>
      <w:szCs w:val="20"/>
    </w:rPr>
  </w:style>
  <w:style w:type="character" w:customStyle="1" w:styleId="CommentTextChar">
    <w:name w:val="Comment Text Char"/>
    <w:basedOn w:val="DefaultParagraphFont"/>
    <w:link w:val="CommentText"/>
    <w:uiPriority w:val="99"/>
    <w:semiHidden/>
    <w:rsid w:val="005F7B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7BA0"/>
    <w:rPr>
      <w:b/>
      <w:bCs/>
    </w:rPr>
  </w:style>
  <w:style w:type="character" w:customStyle="1" w:styleId="CommentSubjectChar">
    <w:name w:val="Comment Subject Char"/>
    <w:basedOn w:val="CommentTextChar"/>
    <w:link w:val="CommentSubject"/>
    <w:uiPriority w:val="99"/>
    <w:semiHidden/>
    <w:rsid w:val="005F7B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7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BA0"/>
    <w:rPr>
      <w:rFonts w:ascii="Segoe UI" w:eastAsia="Times New Roman" w:hAnsi="Segoe UI" w:cs="Segoe UI"/>
      <w:sz w:val="18"/>
      <w:szCs w:val="18"/>
    </w:rPr>
  </w:style>
  <w:style w:type="paragraph" w:styleId="Revision">
    <w:name w:val="Revision"/>
    <w:hidden/>
    <w:uiPriority w:val="99"/>
    <w:semiHidden/>
    <w:rsid w:val="005F7BA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71779"/>
    <w:pPr>
      <w:tabs>
        <w:tab w:val="center" w:pos="4680"/>
        <w:tab w:val="right" w:pos="9360"/>
      </w:tabs>
    </w:pPr>
  </w:style>
  <w:style w:type="character" w:customStyle="1" w:styleId="HeaderChar">
    <w:name w:val="Header Char"/>
    <w:basedOn w:val="DefaultParagraphFont"/>
    <w:link w:val="Header"/>
    <w:uiPriority w:val="99"/>
    <w:rsid w:val="00D717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676DF886D9D548B0D5F2EFB8F7D4C3" ma:contentTypeVersion="10" ma:contentTypeDescription="Create a new document." ma:contentTypeScope="" ma:versionID="690764aa0a6d0a2b0b7543876d53d45c">
  <xsd:schema xmlns:xsd="http://www.w3.org/2001/XMLSchema" xmlns:xs="http://www.w3.org/2001/XMLSchema" xmlns:p="http://schemas.microsoft.com/office/2006/metadata/properties" xmlns:ns2="66893160-1f37-4e9d-87d3-29bf48a90458" targetNamespace="http://schemas.microsoft.com/office/2006/metadata/properties" ma:root="true" ma:fieldsID="5dd3635575be32cab142a45f762d5a2c" ns2:_="">
    <xsd:import namespace="66893160-1f37-4e9d-87d3-29bf48a9045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3160-1f37-4e9d-87d3-29bf48a904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70744F05-46B3-41D2-B8AC-3274F91B0CB4}">
  <ds:schemaRefs>
    <ds:schemaRef ds:uri="http://schemas.microsoft.com/sharepoint/v3/contenttype/forms"/>
  </ds:schemaRefs>
</ds:datastoreItem>
</file>

<file path=customXml/itemProps2.xml><?xml version="1.0" encoding="utf-8"?>
<ds:datastoreItem xmlns:ds="http://schemas.openxmlformats.org/officeDocument/2006/customXml" ds:itemID="{BEF4DC88-2036-47C8-AFDE-1EEE17B8688F}">
  <ds:schemaRefs>
    <ds:schemaRef ds:uri="66893160-1f37-4e9d-87d3-29bf48a9045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EBB1554-B718-444E-B944-D824BB41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3160-1f37-4e9d-87d3-29bf48a90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CFAEB-3EC8-43B1-895E-CCC24BFBD5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Hospital Survey for Specified Covered Outpatient Drugs (SCODs) (CMS-10709; OMB 0938-New)</vt:lpstr>
    </vt:vector>
  </TitlesOfParts>
  <Company>CMS</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Survey for Specified Covered Outpatient Drugs (SCODs) (CMS-10709; OMB 0938-New)</dc:title>
  <dc:subject>Hospital Survey for Specified Covered Outpatient Drugs (SCODs) (CMS-10709; OMB 0938-New)</dc:subject>
  <dc:creator>CMS</dc:creator>
  <cp:keywords>Hospital Survey for Specified Covered Outpatient Drugs (SCODs) (CMS-10709; OMB 0938-New)</cp:keywords>
  <cp:lastModifiedBy>Stephan McKenzie</cp:lastModifiedBy>
  <cp:revision>2</cp:revision>
  <dcterms:created xsi:type="dcterms:W3CDTF">2020-04-23T01:27:00Z</dcterms:created>
  <dcterms:modified xsi:type="dcterms:W3CDTF">2020-04-23T01:27:00Z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Acrobat PDFMaker 17 for Word</vt:lpwstr>
  </property>
  <property fmtid="{D5CDD505-2E9C-101B-9397-08002B2CF9AE}" pid="4" name="LastSaved">
    <vt:filetime>2020-03-18T00:00:00Z</vt:filetime>
  </property>
  <property fmtid="{D5CDD505-2E9C-101B-9397-08002B2CF9AE}" pid="5" name="ContentTypeId">
    <vt:lpwstr>0x0101009A676DF886D9D548B0D5F2EFB8F7D4C3</vt:lpwstr>
  </property>
  <property fmtid="{D5CDD505-2E9C-101B-9397-08002B2CF9AE}" pid="6" name="_NewReviewCycle">
    <vt:lpwstr/>
  </property>
</Properties>
</file>