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9E" w:rsidP="00F107B7"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w:t>
      </w:r>
      <w:r w:rsidR="00F250F5">
        <w:rPr>
          <w:rFonts w:ascii="Times New Roman" w:hAnsi="Times New Roman" w:cs="Times New Roman"/>
        </w:rPr>
        <w:t>for Form SSA-1021</w:t>
      </w:r>
      <w:r w:rsidR="007B74AB">
        <w:rPr>
          <w:rFonts w:ascii="Times New Roman" w:hAnsi="Times New Roman" w:cs="Times New Roman"/>
        </w:rPr>
        <w:t xml:space="preserve"> </w:t>
      </w:r>
    </w:p>
    <w:p w:rsidRPr="00BC7F42" w:rsidR="00146275" w:rsidP="00F107B7" w:rsidRDefault="007B74A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Appeal of Determination for Extra Help with Medicare Prescription Drug Costs</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6349E">
        <w:rPr>
          <w:rFonts w:ascii="Times New Roman" w:hAnsi="Times New Roman" w:cs="Times New Roman"/>
        </w:rPr>
        <w:t>0695</w:t>
      </w:r>
    </w:p>
    <w:p w:rsidR="007E1B2A" w:rsidP="00A45D82" w:rsidRDefault="007E1B2A">
      <w:pPr>
        <w:pStyle w:val="Header"/>
        <w:tabs>
          <w:tab w:val="clear" w:pos="4320"/>
          <w:tab w:val="clear" w:pos="8640"/>
        </w:tabs>
        <w:rPr>
          <w:rFonts w:ascii="Times New Roman" w:hAnsi="Times New Roman"/>
        </w:rPr>
      </w:pPr>
    </w:p>
    <w:p w:rsidR="00A45D82" w:rsidP="001E0498" w:rsidRDefault="00A45D82">
      <w:pPr>
        <w:pStyle w:val="ListParagraph"/>
        <w:numPr>
          <w:ilvl w:val="0"/>
          <w:numId w:val="1"/>
        </w:numPr>
        <w:rPr>
          <w:rFonts w:ascii="Times New Roman" w:hAnsi="Times New Roman"/>
          <w:b/>
          <w:u w:val="single"/>
        </w:rPr>
      </w:pPr>
      <w:r w:rsidRPr="004F402C">
        <w:rPr>
          <w:rFonts w:ascii="Times New Roman" w:hAnsi="Times New Roman"/>
          <w:b/>
          <w:u w:val="single"/>
        </w:rPr>
        <w:t>Justification</w:t>
      </w:r>
    </w:p>
    <w:p w:rsidR="004F402C" w:rsidP="004F402C" w:rsidRDefault="004F402C">
      <w:pPr>
        <w:pStyle w:val="ListParagraph"/>
        <w:rPr>
          <w:rFonts w:ascii="Times New Roman" w:hAnsi="Times New Roman"/>
          <w:b/>
          <w:u w:val="single"/>
        </w:rPr>
      </w:pPr>
    </w:p>
    <w:p w:rsidRPr="004F402C" w:rsidR="004F402C" w:rsidP="001E0498" w:rsidRDefault="004F402C">
      <w:pPr>
        <w:pStyle w:val="ListParagraph"/>
        <w:numPr>
          <w:ilvl w:val="0"/>
          <w:numId w:val="2"/>
        </w:numPr>
        <w:rPr>
          <w:rFonts w:ascii="Times New Roman" w:hAnsi="Times New Roman"/>
          <w:b/>
          <w:u w:val="single"/>
        </w:rPr>
      </w:pPr>
      <w:r>
        <w:rPr>
          <w:rFonts w:ascii="Times New Roman" w:hAnsi="Times New Roman"/>
          <w:b/>
        </w:rPr>
        <w:t>Introduction/</w:t>
      </w:r>
      <w:r w:rsidRPr="00BC7F42">
        <w:rPr>
          <w:rFonts w:ascii="Times New Roman" w:hAnsi="Times New Roman"/>
          <w:b/>
        </w:rPr>
        <w:t>Authoring Laws and Regulations</w:t>
      </w:r>
    </w:p>
    <w:p w:rsidR="004F402C" w:rsidP="004F402C" w:rsidRDefault="004F402C">
      <w:pPr>
        <w:pStyle w:val="ListParagraph"/>
        <w:ind w:left="1080"/>
        <w:rPr>
          <w:rFonts w:ascii="Times New Roman" w:hAnsi="Times New Roman"/>
        </w:rPr>
      </w:pPr>
      <w:r w:rsidRPr="006B1082">
        <w:rPr>
          <w:rFonts w:ascii="Times New Roman" w:hAnsi="Times New Roman"/>
          <w:i/>
        </w:rPr>
        <w:t>Public law 108-173</w:t>
      </w:r>
      <w:r>
        <w:rPr>
          <w:rFonts w:ascii="Times New Roman" w:hAnsi="Times New Roman"/>
        </w:rPr>
        <w:t xml:space="preserve">, also known as the </w:t>
      </w:r>
      <w:r w:rsidRPr="006B1082">
        <w:rPr>
          <w:rFonts w:ascii="Times New Roman" w:hAnsi="Times New Roman"/>
          <w:i/>
        </w:rPr>
        <w:t>Medicare Prescription Drug, Improvement and Modernization Act of 2003</w:t>
      </w:r>
      <w:r>
        <w:rPr>
          <w:rFonts w:ascii="Times New Roman" w:hAnsi="Times New Roman"/>
        </w:rPr>
        <w:t xml:space="preserve"> (MMA),  </w:t>
      </w:r>
      <w:r w:rsidRPr="007949B7">
        <w:rPr>
          <w:rFonts w:ascii="Times New Roman" w:hAnsi="Times New Roman"/>
        </w:rPr>
        <w:t xml:space="preserve">amended </w:t>
      </w:r>
      <w:r w:rsidRPr="006B1082">
        <w:rPr>
          <w:rFonts w:ascii="Times New Roman" w:hAnsi="Times New Roman"/>
          <w:i/>
        </w:rPr>
        <w:t>Title XVIII</w:t>
      </w:r>
      <w:r w:rsidRPr="007949B7">
        <w:rPr>
          <w:rFonts w:ascii="Times New Roman" w:hAnsi="Times New Roman"/>
        </w:rPr>
        <w:t xml:space="preserve"> of the </w:t>
      </w:r>
      <w:r w:rsidRPr="006B1082">
        <w:rPr>
          <w:rFonts w:ascii="Times New Roman" w:hAnsi="Times New Roman"/>
          <w:i/>
        </w:rPr>
        <w:t>Social Security Act</w:t>
      </w:r>
      <w:r>
        <w:rPr>
          <w:rFonts w:ascii="Times New Roman" w:hAnsi="Times New Roman"/>
        </w:rPr>
        <w:t xml:space="preserve"> (</w:t>
      </w:r>
      <w:r w:rsidRPr="00CF7305">
        <w:rPr>
          <w:rFonts w:ascii="Times New Roman" w:hAnsi="Times New Roman"/>
          <w:i/>
        </w:rPr>
        <w:t>Act</w:t>
      </w:r>
      <w:r>
        <w:rPr>
          <w:rFonts w:ascii="Times New Roman" w:hAnsi="Times New Roman"/>
        </w:rPr>
        <w:t xml:space="preserve">) to establish a subsidy program to help certain individuals </w:t>
      </w:r>
      <w:r w:rsidRPr="00E35C0F">
        <w:rPr>
          <w:rFonts w:ascii="Times New Roman" w:hAnsi="Times New Roman"/>
        </w:rPr>
        <w:t xml:space="preserve">with limited income and resources pay for </w:t>
      </w:r>
      <w:r>
        <w:rPr>
          <w:rFonts w:ascii="Times New Roman" w:hAnsi="Times New Roman"/>
        </w:rPr>
        <w:t xml:space="preserve">Medicare Part D </w:t>
      </w:r>
      <w:r w:rsidRPr="00E35C0F">
        <w:rPr>
          <w:rFonts w:ascii="Times New Roman" w:hAnsi="Times New Roman"/>
        </w:rPr>
        <w:t>prescription drug coverage</w:t>
      </w:r>
      <w:r>
        <w:rPr>
          <w:rFonts w:ascii="Times New Roman" w:hAnsi="Times New Roman"/>
        </w:rPr>
        <w:t xml:space="preserve">. SSA commonly refers to this subsidy program as Extra Help.  Some individuals may automatically become eligible for Extra Help if they have either Medicare and Supplemental Security Income benefits, full Medicaid coverage, or a Medicare Savings Program as a </w:t>
      </w:r>
      <w:r w:rsidRPr="00791B0E">
        <w:rPr>
          <w:rFonts w:ascii="Times New Roman" w:hAnsi="Times New Roman"/>
        </w:rPr>
        <w:t>Qualif</w:t>
      </w:r>
      <w:r>
        <w:rPr>
          <w:rFonts w:ascii="Times New Roman" w:hAnsi="Times New Roman"/>
        </w:rPr>
        <w:t>ied Medicare Beneficiaries, Specified Low</w:t>
      </w:r>
      <w:r>
        <w:rPr>
          <w:rFonts w:ascii="Times New Roman" w:hAnsi="Times New Roman"/>
        </w:rPr>
        <w:noBreakHyphen/>
      </w:r>
      <w:r w:rsidRPr="00791B0E">
        <w:rPr>
          <w:rFonts w:ascii="Times New Roman" w:hAnsi="Times New Roman"/>
        </w:rPr>
        <w:t>Inco</w:t>
      </w:r>
      <w:r>
        <w:rPr>
          <w:rFonts w:ascii="Times New Roman" w:hAnsi="Times New Roman"/>
        </w:rPr>
        <w:t>me Medicare Beneficiaries, or a Qualifying Individual.  An individual</w:t>
      </w:r>
      <w:r w:rsidRPr="00B57117">
        <w:rPr>
          <w:rFonts w:ascii="Times New Roman" w:hAnsi="Times New Roman"/>
        </w:rPr>
        <w:t>, or a proper applicant acting on the behalf of an individual</w:t>
      </w:r>
      <w:r>
        <w:rPr>
          <w:rFonts w:ascii="Times New Roman" w:hAnsi="Times New Roman"/>
        </w:rPr>
        <w:t>,</w:t>
      </w:r>
      <w:r w:rsidRPr="00B57117">
        <w:rPr>
          <w:rFonts w:ascii="Times New Roman" w:hAnsi="Times New Roman"/>
        </w:rPr>
        <w:t xml:space="preserve"> </w:t>
      </w:r>
      <w:r>
        <w:rPr>
          <w:rFonts w:ascii="Times New Roman" w:hAnsi="Times New Roman"/>
        </w:rPr>
        <w:t>may have to file a valid application in order to become eligible for the Medicare Part D subsidy.</w:t>
      </w:r>
    </w:p>
    <w:p w:rsidR="004F402C" w:rsidP="004F402C" w:rsidRDefault="004F402C">
      <w:pPr>
        <w:pStyle w:val="ListParagraph"/>
        <w:ind w:left="1080"/>
        <w:rPr>
          <w:rFonts w:ascii="Times New Roman" w:hAnsi="Times New Roman"/>
          <w:b/>
        </w:rPr>
      </w:pPr>
    </w:p>
    <w:p w:rsidR="004F402C" w:rsidP="004F402C" w:rsidRDefault="004F402C">
      <w:pPr>
        <w:pStyle w:val="ListParagraph"/>
        <w:ind w:left="1080"/>
        <w:rPr>
          <w:rFonts w:ascii="Times New Roman" w:hAnsi="Times New Roman"/>
          <w:b/>
        </w:rPr>
      </w:pPr>
      <w:r>
        <w:rPr>
          <w:rFonts w:ascii="Times New Roman" w:hAnsi="Times New Roman"/>
        </w:rPr>
        <w:t xml:space="preserve">The Social Security Administration (SSA) reviews Medicare Part D subsidy applications and makes eligibility determinations.  </w:t>
      </w:r>
      <w:r w:rsidRPr="006B1082">
        <w:rPr>
          <w:rFonts w:ascii="Times New Roman" w:hAnsi="Times New Roman"/>
        </w:rPr>
        <w:t>Section</w:t>
      </w:r>
      <w:r w:rsidRPr="00F519BB">
        <w:rPr>
          <w:rFonts w:ascii="Times New Roman" w:hAnsi="Times New Roman"/>
          <w:i/>
        </w:rPr>
        <w:t xml:space="preserve"> 1860D-14 </w:t>
      </w:r>
      <w:r w:rsidRPr="00D91FA5">
        <w:rPr>
          <w:rFonts w:ascii="Times New Roman" w:hAnsi="Times New Roman"/>
        </w:rPr>
        <w:t>of the</w:t>
      </w:r>
      <w:r w:rsidRPr="00F519BB">
        <w:rPr>
          <w:rFonts w:ascii="Times New Roman" w:hAnsi="Times New Roman"/>
          <w:i/>
        </w:rPr>
        <w:t xml:space="preserve"> Act</w:t>
      </w:r>
      <w:r>
        <w:rPr>
          <w:rFonts w:ascii="Times New Roman" w:hAnsi="Times New Roman"/>
        </w:rPr>
        <w:t xml:space="preserve"> describes the Extra Help eligibility criteria.  </w:t>
      </w:r>
      <w:r w:rsidRPr="006B1082">
        <w:rPr>
          <w:rFonts w:ascii="Times New Roman" w:hAnsi="Times New Roman"/>
        </w:rPr>
        <w:t>Section</w:t>
      </w:r>
      <w:r w:rsidRPr="00704901">
        <w:rPr>
          <w:rFonts w:ascii="Times New Roman" w:hAnsi="Times New Roman"/>
          <w:i/>
        </w:rPr>
        <w:t xml:space="preserve"> 1860D-14(a)(3)(B)(iv)(II)</w:t>
      </w:r>
      <w:r>
        <w:rPr>
          <w:rFonts w:ascii="Times New Roman" w:hAnsi="Times New Roman"/>
        </w:rPr>
        <w:t xml:space="preserve"> of </w:t>
      </w:r>
      <w:r w:rsidRPr="00D91FA5">
        <w:rPr>
          <w:rFonts w:ascii="Times New Roman" w:hAnsi="Times New Roman"/>
        </w:rPr>
        <w:t>the</w:t>
      </w:r>
      <w:r w:rsidRPr="00F519BB">
        <w:rPr>
          <w:rFonts w:ascii="Times New Roman" w:hAnsi="Times New Roman"/>
          <w:i/>
        </w:rPr>
        <w:t xml:space="preserve"> Act</w:t>
      </w:r>
      <w:r>
        <w:rPr>
          <w:rFonts w:ascii="Times New Roman" w:hAnsi="Times New Roman"/>
        </w:rPr>
        <w:t xml:space="preserve"> requires the Commissioner of the Social Security Administration (SSA) to establish a mechanism for individuals to appeal subsidy eligibility determinations using procedures described in Section </w:t>
      </w:r>
      <w:r w:rsidRPr="00704901">
        <w:rPr>
          <w:rFonts w:ascii="Times New Roman" w:hAnsi="Times New Roman"/>
          <w:i/>
        </w:rPr>
        <w:t>1631(c)(1)(A)</w:t>
      </w:r>
      <w:r>
        <w:rPr>
          <w:rFonts w:ascii="Times New Roman" w:hAnsi="Times New Roman"/>
        </w:rPr>
        <w:t>.</w:t>
      </w:r>
    </w:p>
    <w:p w:rsidR="004F402C" w:rsidP="004F402C" w:rsidRDefault="004F402C">
      <w:pPr>
        <w:pStyle w:val="ListParagraph"/>
        <w:ind w:left="1080"/>
        <w:rPr>
          <w:rFonts w:ascii="Times New Roman" w:hAnsi="Times New Roman"/>
          <w:b/>
          <w:u w:val="single"/>
        </w:rPr>
      </w:pPr>
    </w:p>
    <w:p w:rsidRPr="004F402C" w:rsidR="004F402C" w:rsidP="001E0498" w:rsidRDefault="004F402C">
      <w:pPr>
        <w:pStyle w:val="ListParagraph"/>
        <w:numPr>
          <w:ilvl w:val="0"/>
          <w:numId w:val="2"/>
        </w:numPr>
        <w:rPr>
          <w:rFonts w:ascii="Times New Roman" w:hAnsi="Times New Roman"/>
          <w:b/>
          <w:u w:val="single"/>
        </w:rPr>
      </w:pPr>
      <w:r>
        <w:rPr>
          <w:rFonts w:ascii="Times New Roman" w:hAnsi="Times New Roman"/>
          <w:b/>
        </w:rPr>
        <w:t>Description of Collection</w:t>
      </w:r>
    </w:p>
    <w:p w:rsidRPr="004F402C" w:rsidR="004F402C" w:rsidP="004F402C" w:rsidRDefault="004F402C">
      <w:pPr>
        <w:pStyle w:val="ListParagraph"/>
        <w:ind w:left="1080"/>
        <w:rPr>
          <w:rFonts w:ascii="Times New Roman" w:hAnsi="Times New Roman"/>
        </w:rPr>
      </w:pPr>
      <w:r w:rsidRPr="004F402C">
        <w:rPr>
          <w:rFonts w:ascii="Times New Roman" w:hAnsi="Times New Roman"/>
        </w:rPr>
        <w:t xml:space="preserve">SSA uses Form SSA-1021, Appeal of Determination for Help With Medicare Prescription Drug Plan Costs, to obtain information from individuals who appeal SSA’s decisions regarding eligibility or continuing eligibility for a Medicare </w:t>
      </w:r>
    </w:p>
    <w:p w:rsidRPr="004F402C" w:rsidR="004F402C" w:rsidP="004F402C" w:rsidRDefault="004F402C">
      <w:pPr>
        <w:pStyle w:val="ListParagraph"/>
        <w:ind w:left="1080"/>
        <w:rPr>
          <w:rFonts w:ascii="Times New Roman" w:hAnsi="Times New Roman"/>
          <w:b/>
          <w:u w:val="single"/>
        </w:rPr>
      </w:pPr>
      <w:r w:rsidRPr="006E4EED">
        <w:rPr>
          <w:rFonts w:ascii="Times New Roman" w:hAnsi="Times New Roman"/>
        </w:rPr>
        <w:t>Part D subsidy.  The respondents are Medicare beneficiaries, or proper applicants acting on behalf of a Medicare beneficiary, who do not agree with the outcome of an SSA subsidy eligibility determination, and are filing an appeal</w:t>
      </w:r>
      <w:r>
        <w:rPr>
          <w:rFonts w:ascii="Times New Roman" w:hAnsi="Times New Roman"/>
        </w:rPr>
        <w:t>.</w:t>
      </w:r>
    </w:p>
    <w:p w:rsidR="004F402C" w:rsidP="004F402C" w:rsidRDefault="004F402C">
      <w:pPr>
        <w:pStyle w:val="ListParagraph"/>
        <w:ind w:left="1080"/>
        <w:rPr>
          <w:rFonts w:ascii="Times New Roman" w:hAnsi="Times New Roman"/>
          <w:b/>
          <w:u w:val="single"/>
        </w:rPr>
      </w:pPr>
    </w:p>
    <w:p w:rsidRPr="004F402C" w:rsidR="004F402C" w:rsidP="001E0498" w:rsidRDefault="004F402C">
      <w:pPr>
        <w:pStyle w:val="ListParagraph"/>
        <w:numPr>
          <w:ilvl w:val="0"/>
          <w:numId w:val="2"/>
        </w:numPr>
        <w:rPr>
          <w:rFonts w:ascii="Times New Roman" w:hAnsi="Times New Roman"/>
          <w:b/>
          <w:u w:val="single"/>
        </w:rPr>
      </w:pPr>
      <w:r w:rsidRPr="00BC7F42">
        <w:rPr>
          <w:rFonts w:ascii="Times New Roman" w:hAnsi="Times New Roman"/>
          <w:b/>
        </w:rPr>
        <w:t>Use of Information Technology to Collect the Information</w:t>
      </w:r>
    </w:p>
    <w:p w:rsidR="004F402C" w:rsidP="004F402C" w:rsidRDefault="0061124A">
      <w:pPr>
        <w:pStyle w:val="ListParagraph"/>
        <w:ind w:left="1080"/>
        <w:rPr>
          <w:rFonts w:ascii="Times New Roman" w:hAnsi="Times New Roman"/>
          <w:color w:val="000000" w:themeColor="text1"/>
        </w:rPr>
      </w:pPr>
      <w:r>
        <w:rPr>
          <w:rFonts w:ascii="Times New Roman" w:hAnsi="Times New Roman"/>
        </w:rPr>
        <w:t>SSA uses several</w:t>
      </w:r>
      <w:r w:rsidRPr="002E1C0F">
        <w:rPr>
          <w:rFonts w:ascii="Times New Roman" w:hAnsi="Times New Roman"/>
        </w:rPr>
        <w:t xml:space="preserve"> modalities including paper, </w:t>
      </w:r>
      <w:r>
        <w:rPr>
          <w:rFonts w:ascii="Times New Roman" w:hAnsi="Times New Roman"/>
        </w:rPr>
        <w:t>fillable PDF and I</w:t>
      </w:r>
      <w:r w:rsidRPr="002E1C0F">
        <w:rPr>
          <w:rFonts w:ascii="Times New Roman" w:hAnsi="Times New Roman"/>
        </w:rPr>
        <w:t>ntranet</w:t>
      </w:r>
      <w:r>
        <w:rPr>
          <w:rFonts w:ascii="Times New Roman" w:hAnsi="Times New Roman"/>
        </w:rPr>
        <w:t xml:space="preserve"> applications</w:t>
      </w:r>
      <w:r w:rsidRPr="002E1C0F">
        <w:rPr>
          <w:rFonts w:ascii="Times New Roman" w:hAnsi="Times New Roman"/>
        </w:rPr>
        <w:t xml:space="preserve"> </w:t>
      </w:r>
      <w:r>
        <w:rPr>
          <w:rFonts w:ascii="Times New Roman" w:hAnsi="Times New Roman"/>
        </w:rPr>
        <w:t xml:space="preserve">to </w:t>
      </w:r>
      <w:r w:rsidRPr="002E1C0F">
        <w:rPr>
          <w:rFonts w:ascii="Times New Roman" w:hAnsi="Times New Roman"/>
        </w:rPr>
        <w:t>collect</w:t>
      </w:r>
      <w:r>
        <w:rPr>
          <w:rFonts w:ascii="Times New Roman" w:hAnsi="Times New Roman"/>
        </w:rPr>
        <w:t xml:space="preserve"> information on Form SSA-</w:t>
      </w:r>
      <w:r w:rsidRPr="002E1C0F">
        <w:rPr>
          <w:rFonts w:ascii="Times New Roman" w:hAnsi="Times New Roman"/>
        </w:rPr>
        <w:t>1021</w:t>
      </w:r>
      <w:r>
        <w:rPr>
          <w:rFonts w:ascii="Times New Roman" w:hAnsi="Times New Roman"/>
        </w:rPr>
        <w:t>.  SSA</w:t>
      </w:r>
      <w:r w:rsidRPr="002E1C0F">
        <w:rPr>
          <w:rFonts w:ascii="Times New Roman" w:hAnsi="Times New Roman"/>
        </w:rPr>
        <w:t xml:space="preserve"> employe</w:t>
      </w:r>
      <w:r>
        <w:rPr>
          <w:rFonts w:ascii="Times New Roman" w:hAnsi="Times New Roman"/>
        </w:rPr>
        <w:t>es have the ability to input</w:t>
      </w:r>
      <w:r w:rsidRPr="002E1C0F">
        <w:rPr>
          <w:rFonts w:ascii="Times New Roman" w:hAnsi="Times New Roman"/>
        </w:rPr>
        <w:t xml:space="preserve"> information</w:t>
      </w:r>
      <w:r>
        <w:rPr>
          <w:rFonts w:ascii="Times New Roman" w:hAnsi="Times New Roman"/>
        </w:rPr>
        <w:t xml:space="preserve"> </w:t>
      </w:r>
      <w:r w:rsidRPr="002E1C0F">
        <w:rPr>
          <w:rFonts w:ascii="Times New Roman" w:hAnsi="Times New Roman"/>
        </w:rPr>
        <w:t xml:space="preserve">into the </w:t>
      </w:r>
      <w:r>
        <w:rPr>
          <w:rFonts w:ascii="Times New Roman" w:hAnsi="Times New Roman"/>
        </w:rPr>
        <w:t xml:space="preserve">Intranet-based </w:t>
      </w:r>
      <w:r w:rsidRPr="002E1C0F">
        <w:rPr>
          <w:rFonts w:ascii="Times New Roman" w:hAnsi="Times New Roman"/>
        </w:rPr>
        <w:t>Medicare Application Processing System (MAPS)</w:t>
      </w:r>
      <w:r>
        <w:rPr>
          <w:rFonts w:ascii="Times New Roman" w:hAnsi="Times New Roman"/>
        </w:rPr>
        <w:t xml:space="preserve"> through either personal interviews with the respondents, or when we receive paper or fillable PDFs in the mail</w:t>
      </w:r>
      <w:r w:rsidRPr="002E1C0F">
        <w:rPr>
          <w:rFonts w:ascii="Times New Roman" w:hAnsi="Times New Roman"/>
        </w:rPr>
        <w:t xml:space="preserve">.  We estimate approximately </w:t>
      </w:r>
      <w:r w:rsidRPr="008E43CA">
        <w:rPr>
          <w:rFonts w:ascii="Times New Roman" w:hAnsi="Times New Roman"/>
        </w:rPr>
        <w:t>77</w:t>
      </w:r>
      <w:r w:rsidRPr="002E1C0F">
        <w:rPr>
          <w:rFonts w:ascii="Times New Roman" w:hAnsi="Times New Roman"/>
        </w:rPr>
        <w:t xml:space="preserve"> percent of the</w:t>
      </w:r>
      <w:r>
        <w:rPr>
          <w:rFonts w:ascii="Times New Roman" w:hAnsi="Times New Roman"/>
        </w:rPr>
        <w:t xml:space="preserve"> respondents file through personal interview during which SSA employees record the information usin</w:t>
      </w:r>
      <w:r w:rsidRPr="002E1C0F">
        <w:rPr>
          <w:rFonts w:ascii="Times New Roman" w:hAnsi="Times New Roman"/>
        </w:rPr>
        <w:t>g MAPS.</w:t>
      </w:r>
      <w:r>
        <w:rPr>
          <w:rFonts w:ascii="Times New Roman" w:hAnsi="Times New Roman"/>
        </w:rPr>
        <w:t xml:space="preserve">  </w:t>
      </w:r>
      <w:r w:rsidRPr="004F402C">
        <w:rPr>
          <w:rFonts w:ascii="Times New Roman" w:hAnsi="Times New Roman"/>
          <w:color w:val="000000" w:themeColor="text1"/>
        </w:rPr>
        <w:t>This information collection does not currently allow for electronic submission or electronic disclosure under GPEA as it has been conveyed to us by OIRA</w:t>
      </w:r>
      <w:r>
        <w:rPr>
          <w:rFonts w:ascii="Times New Roman" w:hAnsi="Times New Roman"/>
          <w:color w:val="000000" w:themeColor="text1"/>
        </w:rPr>
        <w:t>.</w:t>
      </w:r>
    </w:p>
    <w:p w:rsidR="0061124A" w:rsidP="004F402C" w:rsidRDefault="0061124A">
      <w:pPr>
        <w:pStyle w:val="ListParagraph"/>
        <w:ind w:left="1080"/>
        <w:rPr>
          <w:rFonts w:ascii="Times New Roman" w:hAnsi="Times New Roman"/>
          <w:b/>
          <w:u w:val="single"/>
        </w:rPr>
      </w:pPr>
    </w:p>
    <w:p w:rsidR="0061124A" w:rsidP="004F402C"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lastRenderedPageBreak/>
        <w:t xml:space="preserve">Why </w:t>
      </w:r>
      <w:r>
        <w:rPr>
          <w:rFonts w:ascii="Times New Roman" w:hAnsi="Times New Roman"/>
          <w:b/>
        </w:rPr>
        <w:t>We Cannot Use Duplicate Information</w:t>
      </w:r>
    </w:p>
    <w:p w:rsidR="0061124A" w:rsidP="0061124A" w:rsidRDefault="0061124A">
      <w:pPr>
        <w:pStyle w:val="ListParagraph"/>
        <w:ind w:left="1080"/>
        <w:rPr>
          <w:rFonts w:ascii="Times New Roman" w:hAnsi="Times New Roman"/>
        </w:rPr>
      </w:pPr>
      <w:r w:rsidRPr="00DA3272">
        <w:rPr>
          <w:rFonts w:ascii="Times New Roman" w:hAnsi="Times New Roman"/>
        </w:rPr>
        <w:t>The nature of the information we collect and the manner in which we collect it precludes duplication.  SSA does not use another collection instrument to obtain similar data</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Pr>
          <w:rFonts w:ascii="Times New Roman" w:hAnsi="Times New Roman"/>
          <w:b/>
        </w:rPr>
        <w:t>Minimizing Burden on Small Respondents</w:t>
      </w:r>
    </w:p>
    <w:p w:rsidR="0061124A" w:rsidP="0061124A" w:rsidRDefault="0061124A">
      <w:pPr>
        <w:pStyle w:val="ListParagraph"/>
        <w:ind w:left="1080"/>
        <w:rPr>
          <w:rFonts w:ascii="Times New Roman" w:hAnsi="Times New Roman"/>
          <w:b/>
        </w:rPr>
      </w:pPr>
      <w:r w:rsidRPr="004B09F2">
        <w:rPr>
          <w:rFonts w:ascii="Times New Roman" w:hAnsi="Times New Roman"/>
        </w:rPr>
        <w:t>This collection does not affect small businesses or other small entities</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Consequence of Not Collecting Information or Collecting it Less Frequently</w:t>
      </w:r>
    </w:p>
    <w:p w:rsidR="0061124A" w:rsidP="0061124A" w:rsidRDefault="0061124A">
      <w:pPr>
        <w:pStyle w:val="ListParagraph"/>
        <w:ind w:left="1080"/>
        <w:rPr>
          <w:rFonts w:ascii="Times New Roman" w:hAnsi="Times New Roman"/>
        </w:rPr>
      </w:pPr>
      <w:r>
        <w:rPr>
          <w:rFonts w:ascii="Times New Roman" w:hAnsi="Times New Roman"/>
        </w:rPr>
        <w:t xml:space="preserve">If we did not use form SSA-1021, the public would not have a structured way to appeal a subsidy determination in writing.  Because we only collect the information once, we cannot collect it less frequently.  </w:t>
      </w:r>
      <w:r w:rsidRPr="00417D1B">
        <w:rPr>
          <w:rFonts w:ascii="Times New Roman" w:hAnsi="Times New Roman"/>
        </w:rPr>
        <w:t>There are no technical or legal obstacles to burden reduction</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Special Circumstances</w:t>
      </w:r>
    </w:p>
    <w:p w:rsidR="0061124A" w:rsidP="0061124A" w:rsidRDefault="0061124A">
      <w:pPr>
        <w:pStyle w:val="ListParagraph"/>
        <w:ind w:left="1080"/>
        <w:rPr>
          <w:rFonts w:ascii="Times New Roman" w:hAnsi="Times New Roman"/>
        </w:rPr>
      </w:pPr>
      <w:r w:rsidRPr="00DA3272">
        <w:rPr>
          <w:rFonts w:ascii="Times New Roman" w:hAnsi="Times New Roman"/>
        </w:rPr>
        <w:t xml:space="preserve">There are no special circumstances that would cause SSA to conduct this information collection in a manner inconsistent with </w:t>
      </w:r>
      <w:r w:rsidRPr="0061124A">
        <w:rPr>
          <w:rFonts w:ascii="Times New Roman" w:hAnsi="Times New Roman"/>
          <w:i/>
        </w:rPr>
        <w:t>5 CFR 1320.5</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Solicitation of Public Comment and Other Consultations with the Public</w:t>
      </w:r>
    </w:p>
    <w:p w:rsidRPr="0009387D" w:rsidR="0061124A" w:rsidP="0061124A" w:rsidRDefault="0061124A">
      <w:pPr>
        <w:pStyle w:val="ListParagraph"/>
        <w:ind w:left="1080"/>
        <w:rPr>
          <w:rFonts w:ascii="Times New Roman" w:hAnsi="Times New Roman"/>
        </w:rPr>
      </w:pPr>
      <w:r w:rsidRPr="0009387D">
        <w:rPr>
          <w:rFonts w:ascii="Times New Roman" w:hAnsi="Times New Roman"/>
        </w:rPr>
        <w:t xml:space="preserve">The 60-day advance Federal Register Notice published on July 29, 2020, at </w:t>
      </w:r>
    </w:p>
    <w:p w:rsidRPr="0061124A" w:rsidR="0061124A" w:rsidP="0061124A" w:rsidRDefault="0061124A">
      <w:pPr>
        <w:pStyle w:val="ListParagraph"/>
        <w:ind w:left="1080"/>
        <w:rPr>
          <w:rFonts w:ascii="Times New Roman" w:hAnsi="Times New Roman"/>
          <w:b/>
          <w:u w:val="single"/>
        </w:rPr>
      </w:pPr>
      <w:r w:rsidRPr="0009387D">
        <w:rPr>
          <w:rFonts w:ascii="Times New Roman" w:hAnsi="Times New Roman"/>
        </w:rPr>
        <w:t xml:space="preserve">85 FR 45723, and we received no public comments.  The 30-day FRN published on </w:t>
      </w:r>
      <w:r>
        <w:rPr>
          <w:rFonts w:ascii="Times New Roman" w:hAnsi="Times New Roman"/>
        </w:rPr>
        <w:t>September 25, 2020</w:t>
      </w:r>
      <w:r w:rsidRPr="0009387D">
        <w:rPr>
          <w:rFonts w:ascii="Times New Roman" w:hAnsi="Times New Roman"/>
        </w:rPr>
        <w:t xml:space="preserve"> at 85 FR 60509.  If we receive any comments in response to this Notice, we will forward them to OMB.  We did not consult with the public in the revision of this form</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Payment or Gifts to Respondents</w:t>
      </w:r>
    </w:p>
    <w:p w:rsidR="0061124A" w:rsidP="0061124A" w:rsidRDefault="0061124A">
      <w:pPr>
        <w:pStyle w:val="ListParagraph"/>
        <w:ind w:left="1080"/>
        <w:rPr>
          <w:rFonts w:ascii="Times New Roman" w:hAnsi="Times New Roman"/>
        </w:rPr>
      </w:pPr>
      <w:r w:rsidRPr="00B9687D">
        <w:rPr>
          <w:rFonts w:ascii="Times New Roman" w:hAnsi="Times New Roman"/>
        </w:rPr>
        <w:t>SSA does not provide payments or gifts to the respondents</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Assurances of Confidentiality</w:t>
      </w:r>
    </w:p>
    <w:p w:rsidR="0061124A" w:rsidP="0061124A" w:rsidRDefault="0061124A">
      <w:pPr>
        <w:pStyle w:val="ListParagraph"/>
        <w:ind w:left="1080"/>
        <w:rPr>
          <w:rFonts w:ascii="Times New Roman" w:hAnsi="Times New Roman"/>
        </w:rPr>
      </w:pPr>
      <w:r w:rsidRPr="00410CDE">
        <w:rPr>
          <w:rFonts w:ascii="Times New Roman" w:hAnsi="Times New Roman"/>
        </w:rPr>
        <w:t xml:space="preserve">SSA protects and holds confidential the information it collects in accordance with </w:t>
      </w:r>
      <w:r w:rsidRPr="0061124A">
        <w:rPr>
          <w:rFonts w:ascii="Times New Roman" w:hAnsi="Times New Roman"/>
          <w:i/>
        </w:rPr>
        <w:t>42 U.S.C. 1306</w:t>
      </w:r>
      <w:r w:rsidRPr="00410CDE">
        <w:rPr>
          <w:rFonts w:ascii="Times New Roman" w:hAnsi="Times New Roman"/>
        </w:rPr>
        <w:t xml:space="preserve">, </w:t>
      </w:r>
      <w:r w:rsidRPr="0061124A">
        <w:rPr>
          <w:rFonts w:ascii="Times New Roman" w:hAnsi="Times New Roman"/>
          <w:i/>
        </w:rPr>
        <w:t>20 CFR 401</w:t>
      </w:r>
      <w:r w:rsidRPr="00410CDE">
        <w:rPr>
          <w:rFonts w:ascii="Times New Roman" w:hAnsi="Times New Roman"/>
        </w:rPr>
        <w:t xml:space="preserve"> and </w:t>
      </w:r>
      <w:r w:rsidRPr="0061124A">
        <w:rPr>
          <w:rFonts w:ascii="Times New Roman" w:hAnsi="Times New Roman"/>
          <w:i/>
        </w:rPr>
        <w:t>402, 5 U.S.C. 552</w:t>
      </w:r>
      <w:r w:rsidRPr="00410CDE">
        <w:rPr>
          <w:rFonts w:ascii="Times New Roman" w:hAnsi="Times New Roman"/>
        </w:rPr>
        <w:t xml:space="preserve"> (Freedom of Information Act), </w:t>
      </w:r>
      <w:r>
        <w:rPr>
          <w:rFonts w:ascii="Times New Roman" w:hAnsi="Times New Roman"/>
          <w:i/>
        </w:rPr>
        <w:t>5 </w:t>
      </w:r>
      <w:r w:rsidRPr="0061124A">
        <w:rPr>
          <w:rFonts w:ascii="Times New Roman" w:hAnsi="Times New Roman"/>
          <w:i/>
        </w:rPr>
        <w:t>U.S.C. 552a</w:t>
      </w:r>
      <w:r w:rsidRPr="00410CDE">
        <w:rPr>
          <w:rFonts w:ascii="Times New Roman" w:hAnsi="Times New Roman"/>
        </w:rPr>
        <w:t xml:space="preserve"> (Privacy Act of 1974), and OMB Circular No. A-130</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C7F42">
        <w:rPr>
          <w:rFonts w:ascii="Times New Roman" w:hAnsi="Times New Roman"/>
          <w:b/>
        </w:rPr>
        <w:t>Justification for Sensitive Questions</w:t>
      </w:r>
    </w:p>
    <w:p w:rsidR="0061124A" w:rsidP="0061124A" w:rsidRDefault="0061124A">
      <w:pPr>
        <w:pStyle w:val="ListParagraph"/>
        <w:ind w:left="1080"/>
        <w:rPr>
          <w:rFonts w:ascii="Times New Roman" w:hAnsi="Times New Roman"/>
        </w:rPr>
      </w:pPr>
      <w:r w:rsidRPr="00410CDE">
        <w:rPr>
          <w:rFonts w:ascii="Times New Roman" w:hAnsi="Times New Roman"/>
        </w:rPr>
        <w:t>The information collection does not contain any questions of a sensitive nature</w:t>
      </w:r>
      <w:r>
        <w:rPr>
          <w:rFonts w:ascii="Times New Roman" w:hAnsi="Times New Roman"/>
        </w:rPr>
        <w:t>.</w:t>
      </w:r>
    </w:p>
    <w:p w:rsidR="0061124A" w:rsidP="0061124A" w:rsidRDefault="0061124A">
      <w:pPr>
        <w:pStyle w:val="ListParagraph"/>
        <w:ind w:left="1080"/>
        <w:rPr>
          <w:rFonts w:ascii="Times New Roman" w:hAnsi="Times New Roman"/>
          <w:b/>
          <w:u w:val="single"/>
        </w:rPr>
      </w:pPr>
    </w:p>
    <w:p w:rsidRPr="0061124A" w:rsidR="004F402C" w:rsidP="001E0498" w:rsidRDefault="0061124A">
      <w:pPr>
        <w:pStyle w:val="ListParagraph"/>
        <w:numPr>
          <w:ilvl w:val="0"/>
          <w:numId w:val="2"/>
        </w:numPr>
        <w:rPr>
          <w:rFonts w:ascii="Times New Roman" w:hAnsi="Times New Roman"/>
          <w:b/>
          <w:u w:val="single"/>
        </w:rPr>
      </w:pPr>
      <w:r w:rsidRPr="00BB4E9D">
        <w:rPr>
          <w:rFonts w:ascii="Times New Roman" w:hAnsi="Times New Roman"/>
          <w:b/>
        </w:rPr>
        <w:t>Estimates of Public Reporting Burden</w:t>
      </w:r>
    </w:p>
    <w:tbl>
      <w:tblPr>
        <w:tblpPr w:leftFromText="180" w:rightFromText="180" w:vertAnchor="text" w:horzAnchor="page" w:tblpX="618" w:tblpY="422"/>
        <w:tblW w:w="11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530"/>
        <w:gridCol w:w="1350"/>
        <w:gridCol w:w="1260"/>
        <w:gridCol w:w="1260"/>
        <w:gridCol w:w="1440"/>
        <w:gridCol w:w="1530"/>
        <w:gridCol w:w="1529"/>
      </w:tblGrid>
      <w:tr w:rsidRPr="00CF46F7" w:rsidR="0061124A" w:rsidTr="004C4310">
        <w:trPr>
          <w:trHeight w:val="2240"/>
        </w:trPr>
        <w:tc>
          <w:tcPr>
            <w:tcW w:w="1458"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ind w:hanging="18"/>
              <w:rPr>
                <w:rFonts w:ascii="Times New Roman" w:hAnsi="Times New Roman" w:eastAsia="Calibri"/>
                <w:snapToGrid/>
                <w:szCs w:val="22"/>
              </w:rPr>
            </w:pPr>
            <w:r w:rsidRPr="00CF46F7">
              <w:rPr>
                <w:rFonts w:ascii="Times New Roman" w:hAnsi="Times New Roman" w:eastAsia="Calibri"/>
                <w:b/>
                <w:snapToGrid/>
                <w:szCs w:val="22"/>
              </w:rPr>
              <w:t>Modality of Completion</w:t>
            </w:r>
          </w:p>
        </w:tc>
        <w:tc>
          <w:tcPr>
            <w:tcW w:w="1530"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rPr>
                <w:rFonts w:ascii="Times New Roman" w:hAnsi="Times New Roman" w:eastAsia="Calibri"/>
                <w:snapToGrid/>
                <w:szCs w:val="22"/>
              </w:rPr>
            </w:pPr>
            <w:r w:rsidRPr="00CF46F7">
              <w:rPr>
                <w:rFonts w:ascii="Times New Roman" w:hAnsi="Times New Roman" w:eastAsia="Calibri"/>
                <w:b/>
                <w:snapToGrid/>
                <w:szCs w:val="22"/>
              </w:rPr>
              <w:t>Number of Respondents</w:t>
            </w:r>
          </w:p>
        </w:tc>
        <w:tc>
          <w:tcPr>
            <w:tcW w:w="1350"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rPr>
                <w:rFonts w:ascii="Times New Roman" w:hAnsi="Times New Roman" w:eastAsia="Calibri"/>
                <w:snapToGrid/>
                <w:szCs w:val="22"/>
              </w:rPr>
            </w:pPr>
            <w:r w:rsidRPr="00CF46F7">
              <w:rPr>
                <w:rFonts w:ascii="Times New Roman" w:hAnsi="Times New Roman" w:eastAsia="Calibri"/>
                <w:b/>
                <w:snapToGrid/>
                <w:szCs w:val="22"/>
              </w:rPr>
              <w:t>Frequency of Response</w:t>
            </w:r>
          </w:p>
        </w:tc>
        <w:tc>
          <w:tcPr>
            <w:tcW w:w="1260"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rPr>
                <w:rFonts w:ascii="Times New Roman" w:hAnsi="Times New Roman" w:eastAsia="Calibri"/>
                <w:snapToGrid/>
                <w:szCs w:val="22"/>
              </w:rPr>
            </w:pPr>
            <w:r w:rsidRPr="00CF46F7">
              <w:rPr>
                <w:rFonts w:ascii="Times New Roman" w:hAnsi="Times New Roman" w:eastAsia="Calibri"/>
                <w:b/>
                <w:snapToGrid/>
                <w:szCs w:val="22"/>
              </w:rPr>
              <w:t>Average Burden per Response (minutes)</w:t>
            </w:r>
          </w:p>
        </w:tc>
        <w:tc>
          <w:tcPr>
            <w:tcW w:w="1260"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rPr>
                <w:rFonts w:ascii="Times New Roman" w:hAnsi="Times New Roman" w:eastAsia="Calibri"/>
                <w:snapToGrid/>
                <w:szCs w:val="22"/>
              </w:rPr>
            </w:pPr>
            <w:r w:rsidRPr="00CF46F7">
              <w:rPr>
                <w:rFonts w:ascii="Times New Roman" w:hAnsi="Times New Roman" w:eastAsia="Calibri"/>
                <w:b/>
                <w:snapToGrid/>
                <w:szCs w:val="22"/>
              </w:rPr>
              <w:t>Estimated Total Annual Burden (hours)</w:t>
            </w:r>
          </w:p>
        </w:tc>
        <w:tc>
          <w:tcPr>
            <w:tcW w:w="1440" w:type="dxa"/>
            <w:shd w:val="clear" w:color="auto" w:fill="auto"/>
          </w:tcPr>
          <w:p w:rsidRPr="00CF46F7" w:rsidR="0061124A" w:rsidP="004C4310" w:rsidRDefault="0061124A">
            <w:pPr>
              <w:widowControl/>
              <w:tabs>
                <w:tab w:val="left" w:pos="1350"/>
              </w:tabs>
              <w:autoSpaceDE w:val="0"/>
              <w:autoSpaceDN w:val="0"/>
              <w:adjustRightInd w:val="0"/>
              <w:spacing w:after="200" w:line="276" w:lineRule="auto"/>
              <w:rPr>
                <w:rFonts w:ascii="Times New Roman" w:hAnsi="Times New Roman" w:eastAsia="Calibri"/>
                <w:snapToGrid/>
                <w:szCs w:val="22"/>
              </w:rPr>
            </w:pPr>
            <w:r w:rsidRPr="00CF46F7">
              <w:rPr>
                <w:rFonts w:ascii="Times New Roman" w:hAnsi="Times New Roman" w:eastAsia="Calibri"/>
                <w:b/>
                <w:snapToGrid/>
                <w:szCs w:val="22"/>
              </w:rPr>
              <w:t>Average Theoretical Hourly Cost Amount (dollars)*</w:t>
            </w:r>
          </w:p>
        </w:tc>
        <w:tc>
          <w:tcPr>
            <w:tcW w:w="1530" w:type="dxa"/>
            <w:shd w:val="clear" w:color="auto" w:fill="auto"/>
          </w:tcPr>
          <w:p w:rsidRPr="00CF46F7" w:rsidR="0061124A" w:rsidP="004C4310" w:rsidRDefault="0061124A">
            <w:pPr>
              <w:widowControl/>
              <w:autoSpaceDE w:val="0"/>
              <w:autoSpaceDN w:val="0"/>
              <w:adjustRightInd w:val="0"/>
              <w:spacing w:after="200" w:line="276" w:lineRule="auto"/>
              <w:rPr>
                <w:rFonts w:ascii="Times New Roman" w:hAnsi="Times New Roman" w:eastAsia="Calibri"/>
                <w:b/>
                <w:snapToGrid/>
                <w:szCs w:val="22"/>
              </w:rPr>
            </w:pPr>
            <w:r w:rsidRPr="00CF46F7">
              <w:rPr>
                <w:rFonts w:ascii="Times New Roman" w:hAnsi="Times New Roman" w:eastAsia="Calibri"/>
                <w:b/>
                <w:snapToGrid/>
                <w:szCs w:val="22"/>
              </w:rPr>
              <w:t>Average Wait Time in Field Office (minutes) **</w:t>
            </w:r>
          </w:p>
        </w:tc>
        <w:tc>
          <w:tcPr>
            <w:tcW w:w="1529" w:type="dxa"/>
            <w:shd w:val="clear" w:color="auto" w:fill="auto"/>
          </w:tcPr>
          <w:p w:rsidRPr="00CF46F7" w:rsidR="0061124A" w:rsidP="004C4310" w:rsidRDefault="0061124A">
            <w:pPr>
              <w:widowControl/>
              <w:autoSpaceDE w:val="0"/>
              <w:autoSpaceDN w:val="0"/>
              <w:adjustRightInd w:val="0"/>
              <w:spacing w:after="200" w:line="276" w:lineRule="auto"/>
              <w:rPr>
                <w:rFonts w:ascii="Times New Roman" w:hAnsi="Times New Roman" w:eastAsia="Calibri"/>
                <w:b/>
                <w:snapToGrid/>
                <w:szCs w:val="22"/>
              </w:rPr>
            </w:pPr>
            <w:r w:rsidRPr="00CF46F7">
              <w:rPr>
                <w:rFonts w:ascii="Times New Roman" w:hAnsi="Times New Roman" w:eastAsia="Calibri"/>
                <w:b/>
                <w:snapToGrid/>
                <w:szCs w:val="22"/>
              </w:rPr>
              <w:t>Total Annual Opportunity Cost (dollars) ***</w:t>
            </w:r>
          </w:p>
        </w:tc>
      </w:tr>
      <w:tr w:rsidRPr="00CF46F7" w:rsidR="0061124A" w:rsidTr="004C4310">
        <w:trPr>
          <w:trHeight w:val="599"/>
        </w:trPr>
        <w:tc>
          <w:tcPr>
            <w:tcW w:w="1458"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sidRPr="00CF46F7">
              <w:rPr>
                <w:rFonts w:ascii="Times New Roman" w:hAnsi="Times New Roman" w:eastAsia="Calibri"/>
                <w:snapToGrid/>
                <w:szCs w:val="22"/>
              </w:rPr>
              <w:lastRenderedPageBreak/>
              <w:t>SSA-1021 (Paper version)</w:t>
            </w:r>
          </w:p>
        </w:tc>
        <w:tc>
          <w:tcPr>
            <w:tcW w:w="1530" w:type="dxa"/>
            <w:shd w:val="clear" w:color="auto" w:fill="auto"/>
          </w:tcPr>
          <w:p w:rsidRPr="00CF46F7" w:rsidR="0061124A" w:rsidP="004C4310" w:rsidRDefault="0061124A">
            <w:pPr>
              <w:widowControl/>
              <w:spacing w:line="276" w:lineRule="auto"/>
              <w:rPr>
                <w:rFonts w:ascii="Times New Roman" w:hAnsi="Times New Roman" w:eastAsia="Calibri"/>
                <w:snapToGrid/>
                <w:szCs w:val="22"/>
                <w:highlight w:val="yellow"/>
              </w:rPr>
            </w:pPr>
            <w:r w:rsidRPr="00CF46F7">
              <w:rPr>
                <w:rFonts w:ascii="Times New Roman" w:hAnsi="Times New Roman" w:eastAsia="Calibri"/>
                <w:snapToGrid/>
                <w:szCs w:val="22"/>
              </w:rPr>
              <w:t>2,872</w:t>
            </w:r>
          </w:p>
        </w:tc>
        <w:tc>
          <w:tcPr>
            <w:tcW w:w="1350" w:type="dxa"/>
            <w:shd w:val="clear" w:color="auto" w:fill="auto"/>
          </w:tcPr>
          <w:p w:rsidRPr="00CF46F7" w:rsidR="0061124A" w:rsidP="004C4310" w:rsidRDefault="0061124A">
            <w:pPr>
              <w:widowControl/>
              <w:tabs>
                <w:tab w:val="left" w:pos="1350"/>
              </w:tabs>
              <w:autoSpaceDE w:val="0"/>
              <w:autoSpaceDN w:val="0"/>
              <w:adjustRightInd w:val="0"/>
              <w:spacing w:line="276" w:lineRule="auto"/>
              <w:rPr>
                <w:rFonts w:ascii="Times New Roman" w:hAnsi="Times New Roman" w:eastAsia="Calibri"/>
                <w:snapToGrid/>
                <w:szCs w:val="22"/>
              </w:rPr>
            </w:pPr>
            <w:r w:rsidRPr="00CF46F7">
              <w:rPr>
                <w:rFonts w:ascii="Times New Roman" w:hAnsi="Times New Roman" w:eastAsia="Calibri"/>
                <w:snapToGrid/>
                <w:szCs w:val="22"/>
              </w:rPr>
              <w:t>1</w:t>
            </w: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sidRPr="00CF46F7">
              <w:rPr>
                <w:rFonts w:ascii="Times New Roman" w:hAnsi="Times New Roman" w:eastAsia="Calibri"/>
                <w:snapToGrid/>
                <w:szCs w:val="22"/>
              </w:rPr>
              <w:t>10</w:t>
            </w: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snapToGrid/>
                <w:szCs w:val="22"/>
                <w:highlight w:val="yellow"/>
              </w:rPr>
            </w:pPr>
            <w:r w:rsidRPr="00CF46F7">
              <w:rPr>
                <w:rFonts w:ascii="Times New Roman" w:hAnsi="Times New Roman" w:eastAsia="Calibri"/>
                <w:snapToGrid/>
                <w:szCs w:val="22"/>
              </w:rPr>
              <w:t>479</w:t>
            </w:r>
          </w:p>
        </w:tc>
        <w:tc>
          <w:tcPr>
            <w:tcW w:w="144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Pr>
                <w:rFonts w:ascii="Times New Roman" w:hAnsi="Times New Roman" w:eastAsia="Calibri"/>
                <w:snapToGrid/>
                <w:szCs w:val="22"/>
              </w:rPr>
              <w:t>$25.72</w:t>
            </w:r>
            <w:r w:rsidRPr="00CF46F7">
              <w:rPr>
                <w:rFonts w:ascii="Times New Roman" w:hAnsi="Times New Roman" w:eastAsia="Calibri"/>
                <w:snapToGrid/>
                <w:szCs w:val="22"/>
              </w:rPr>
              <w:t>*</w:t>
            </w:r>
          </w:p>
        </w:tc>
        <w:tc>
          <w:tcPr>
            <w:tcW w:w="1530" w:type="dxa"/>
            <w:shd w:val="clear" w:color="auto" w:fill="auto"/>
          </w:tcPr>
          <w:p w:rsidRPr="00CF46F7" w:rsidR="0061124A" w:rsidP="004C4310" w:rsidRDefault="0061124A">
            <w:pPr>
              <w:widowControl/>
              <w:autoSpaceDE w:val="0"/>
              <w:autoSpaceDN w:val="0"/>
              <w:adjustRightInd w:val="0"/>
              <w:spacing w:line="276" w:lineRule="auto"/>
              <w:rPr>
                <w:rFonts w:ascii="Times New Roman" w:hAnsi="Times New Roman" w:eastAsia="Calibri"/>
                <w:snapToGrid/>
                <w:szCs w:val="22"/>
              </w:rPr>
            </w:pPr>
            <w:r w:rsidRPr="00CF46F7">
              <w:rPr>
                <w:rFonts w:ascii="Times New Roman" w:hAnsi="Times New Roman" w:eastAsia="Calibri"/>
                <w:snapToGrid/>
                <w:szCs w:val="22"/>
              </w:rPr>
              <w:t>0</w:t>
            </w:r>
          </w:p>
        </w:tc>
        <w:tc>
          <w:tcPr>
            <w:tcW w:w="1529" w:type="dxa"/>
            <w:shd w:val="clear" w:color="auto" w:fill="auto"/>
          </w:tcPr>
          <w:p w:rsidRPr="00CF46F7" w:rsidR="0061124A" w:rsidP="004C4310" w:rsidRDefault="0061124A">
            <w:pPr>
              <w:widowControl/>
              <w:autoSpaceDE w:val="0"/>
              <w:autoSpaceDN w:val="0"/>
              <w:adjustRightInd w:val="0"/>
              <w:spacing w:line="276" w:lineRule="auto"/>
              <w:rPr>
                <w:rFonts w:ascii="Times New Roman" w:hAnsi="Times New Roman" w:eastAsia="Calibri"/>
                <w:snapToGrid/>
                <w:szCs w:val="22"/>
              </w:rPr>
            </w:pPr>
            <w:r>
              <w:rPr>
                <w:rFonts w:ascii="Times New Roman" w:hAnsi="Times New Roman" w:eastAsia="Calibri"/>
                <w:snapToGrid/>
                <w:szCs w:val="22"/>
              </w:rPr>
              <w:t>$12,320</w:t>
            </w:r>
            <w:r w:rsidRPr="00CF46F7">
              <w:rPr>
                <w:rFonts w:ascii="Times New Roman" w:hAnsi="Times New Roman" w:eastAsia="Calibri"/>
                <w:snapToGrid/>
                <w:szCs w:val="22"/>
              </w:rPr>
              <w:t>***</w:t>
            </w:r>
          </w:p>
        </w:tc>
      </w:tr>
      <w:tr w:rsidRPr="00CF46F7" w:rsidR="0061124A" w:rsidTr="004C4310">
        <w:trPr>
          <w:trHeight w:val="833"/>
        </w:trPr>
        <w:tc>
          <w:tcPr>
            <w:tcW w:w="1458"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sidRPr="00CF46F7">
              <w:rPr>
                <w:rFonts w:ascii="Times New Roman" w:hAnsi="Times New Roman" w:eastAsia="Calibri"/>
                <w:snapToGrid/>
                <w:szCs w:val="22"/>
              </w:rPr>
              <w:t>SSA-1021 (Intranet version: MAPS)</w:t>
            </w:r>
          </w:p>
        </w:tc>
        <w:tc>
          <w:tcPr>
            <w:tcW w:w="1530" w:type="dxa"/>
            <w:shd w:val="clear" w:color="auto" w:fill="auto"/>
          </w:tcPr>
          <w:p w:rsidRPr="00CF46F7" w:rsidR="0061124A" w:rsidP="004C4310" w:rsidRDefault="0061124A">
            <w:pPr>
              <w:widowControl/>
              <w:spacing w:line="276" w:lineRule="auto"/>
              <w:rPr>
                <w:rFonts w:ascii="Times New Roman" w:hAnsi="Times New Roman" w:eastAsia="Calibri"/>
                <w:snapToGrid/>
                <w:szCs w:val="22"/>
                <w:highlight w:val="yellow"/>
              </w:rPr>
            </w:pPr>
            <w:r w:rsidRPr="00CF46F7">
              <w:rPr>
                <w:rFonts w:ascii="Times New Roman" w:hAnsi="Times New Roman" w:eastAsia="Calibri"/>
                <w:snapToGrid/>
                <w:szCs w:val="22"/>
              </w:rPr>
              <w:t>9,691</w:t>
            </w:r>
          </w:p>
        </w:tc>
        <w:tc>
          <w:tcPr>
            <w:tcW w:w="1350" w:type="dxa"/>
            <w:shd w:val="clear" w:color="auto" w:fill="auto"/>
          </w:tcPr>
          <w:p w:rsidRPr="00CF46F7" w:rsidR="0061124A" w:rsidP="004C4310" w:rsidRDefault="0061124A">
            <w:pPr>
              <w:widowControl/>
              <w:tabs>
                <w:tab w:val="left" w:pos="1350"/>
              </w:tabs>
              <w:autoSpaceDE w:val="0"/>
              <w:autoSpaceDN w:val="0"/>
              <w:adjustRightInd w:val="0"/>
              <w:spacing w:line="276" w:lineRule="auto"/>
              <w:rPr>
                <w:rFonts w:ascii="Times New Roman" w:hAnsi="Times New Roman" w:eastAsia="Calibri"/>
                <w:snapToGrid/>
                <w:szCs w:val="22"/>
              </w:rPr>
            </w:pPr>
            <w:r w:rsidRPr="00CF46F7">
              <w:rPr>
                <w:rFonts w:ascii="Times New Roman" w:hAnsi="Times New Roman" w:eastAsia="Calibri"/>
                <w:snapToGrid/>
                <w:szCs w:val="22"/>
              </w:rPr>
              <w:t>1</w:t>
            </w: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sidRPr="00CF46F7">
              <w:rPr>
                <w:rFonts w:ascii="Times New Roman" w:hAnsi="Times New Roman" w:eastAsia="Calibri"/>
                <w:snapToGrid/>
                <w:szCs w:val="22"/>
              </w:rPr>
              <w:t>10</w:t>
            </w: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snapToGrid/>
                <w:szCs w:val="22"/>
                <w:highlight w:val="yellow"/>
              </w:rPr>
            </w:pPr>
            <w:r w:rsidRPr="00CF46F7">
              <w:rPr>
                <w:rFonts w:ascii="Times New Roman" w:hAnsi="Times New Roman" w:eastAsia="Calibri"/>
                <w:snapToGrid/>
                <w:szCs w:val="22"/>
              </w:rPr>
              <w:t>1</w:t>
            </w:r>
            <w:r>
              <w:rPr>
                <w:rFonts w:ascii="Times New Roman" w:hAnsi="Times New Roman" w:eastAsia="Calibri"/>
                <w:snapToGrid/>
                <w:szCs w:val="22"/>
              </w:rPr>
              <w:t>,</w:t>
            </w:r>
            <w:r w:rsidRPr="00CF46F7">
              <w:rPr>
                <w:rFonts w:ascii="Times New Roman" w:hAnsi="Times New Roman" w:eastAsia="Calibri"/>
                <w:snapToGrid/>
                <w:szCs w:val="22"/>
              </w:rPr>
              <w:t>615</w:t>
            </w:r>
          </w:p>
        </w:tc>
        <w:tc>
          <w:tcPr>
            <w:tcW w:w="144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r>
              <w:rPr>
                <w:rFonts w:ascii="Times New Roman" w:hAnsi="Times New Roman" w:eastAsia="Calibri"/>
                <w:snapToGrid/>
                <w:szCs w:val="22"/>
              </w:rPr>
              <w:t>$25.72</w:t>
            </w:r>
            <w:r w:rsidRPr="00CF46F7">
              <w:rPr>
                <w:rFonts w:ascii="Times New Roman" w:hAnsi="Times New Roman" w:eastAsia="Calibri"/>
                <w:snapToGrid/>
                <w:szCs w:val="22"/>
              </w:rPr>
              <w:t>*</w:t>
            </w:r>
          </w:p>
        </w:tc>
        <w:tc>
          <w:tcPr>
            <w:tcW w:w="1530" w:type="dxa"/>
            <w:shd w:val="clear" w:color="auto" w:fill="auto"/>
          </w:tcPr>
          <w:p w:rsidRPr="00CF46F7" w:rsidR="0061124A" w:rsidP="004C4310" w:rsidRDefault="0061124A">
            <w:pPr>
              <w:widowControl/>
              <w:autoSpaceDE w:val="0"/>
              <w:autoSpaceDN w:val="0"/>
              <w:adjustRightInd w:val="0"/>
              <w:spacing w:line="276" w:lineRule="auto"/>
              <w:rPr>
                <w:rFonts w:ascii="Times New Roman" w:hAnsi="Times New Roman" w:eastAsia="Calibri"/>
                <w:snapToGrid/>
                <w:szCs w:val="22"/>
              </w:rPr>
            </w:pPr>
            <w:r w:rsidRPr="00CF46F7">
              <w:rPr>
                <w:rFonts w:ascii="Times New Roman" w:hAnsi="Times New Roman" w:eastAsia="Calibri"/>
                <w:snapToGrid/>
                <w:szCs w:val="22"/>
              </w:rPr>
              <w:t>24**</w:t>
            </w:r>
          </w:p>
        </w:tc>
        <w:tc>
          <w:tcPr>
            <w:tcW w:w="1529" w:type="dxa"/>
            <w:shd w:val="clear" w:color="auto" w:fill="auto"/>
          </w:tcPr>
          <w:p w:rsidRPr="00CF46F7" w:rsidR="0061124A" w:rsidP="004C4310" w:rsidRDefault="0061124A">
            <w:pPr>
              <w:widowControl/>
              <w:autoSpaceDE w:val="0"/>
              <w:autoSpaceDN w:val="0"/>
              <w:adjustRightInd w:val="0"/>
              <w:rPr>
                <w:rFonts w:ascii="Times New Roman" w:hAnsi="Times New Roman" w:eastAsia="Calibri"/>
                <w:snapToGrid/>
                <w:szCs w:val="22"/>
              </w:rPr>
            </w:pPr>
            <w:r>
              <w:rPr>
                <w:rFonts w:ascii="Times New Roman" w:hAnsi="Times New Roman" w:eastAsia="Calibri"/>
                <w:snapToGrid/>
                <w:szCs w:val="22"/>
              </w:rPr>
              <w:t>$141,229</w:t>
            </w:r>
            <w:r w:rsidRPr="00CF46F7">
              <w:rPr>
                <w:rFonts w:ascii="Times New Roman" w:hAnsi="Times New Roman" w:eastAsia="Calibri"/>
                <w:snapToGrid/>
                <w:szCs w:val="22"/>
              </w:rPr>
              <w:t>***</w:t>
            </w:r>
          </w:p>
        </w:tc>
      </w:tr>
      <w:tr w:rsidRPr="00CF46F7" w:rsidR="0061124A" w:rsidTr="004C4310">
        <w:trPr>
          <w:trHeight w:val="203"/>
        </w:trPr>
        <w:tc>
          <w:tcPr>
            <w:tcW w:w="1458" w:type="dxa"/>
            <w:shd w:val="clear" w:color="auto" w:fill="auto"/>
          </w:tcPr>
          <w:p w:rsidRPr="00CF46F7" w:rsidR="0061124A" w:rsidP="004C4310" w:rsidRDefault="0061124A">
            <w:pPr>
              <w:widowControl/>
              <w:spacing w:line="276" w:lineRule="auto"/>
              <w:rPr>
                <w:rFonts w:ascii="Times New Roman" w:hAnsi="Times New Roman" w:eastAsia="Calibri"/>
                <w:b/>
                <w:snapToGrid/>
                <w:szCs w:val="22"/>
              </w:rPr>
            </w:pPr>
            <w:r w:rsidRPr="00CF46F7">
              <w:rPr>
                <w:rFonts w:ascii="Times New Roman" w:hAnsi="Times New Roman" w:eastAsia="Calibri"/>
                <w:b/>
                <w:snapToGrid/>
                <w:szCs w:val="22"/>
              </w:rPr>
              <w:t>Totals</w:t>
            </w:r>
          </w:p>
        </w:tc>
        <w:tc>
          <w:tcPr>
            <w:tcW w:w="1530" w:type="dxa"/>
            <w:shd w:val="clear" w:color="auto" w:fill="auto"/>
          </w:tcPr>
          <w:p w:rsidRPr="00CF46F7" w:rsidR="0061124A" w:rsidP="004C4310" w:rsidRDefault="0061124A">
            <w:pPr>
              <w:widowControl/>
              <w:spacing w:line="276" w:lineRule="auto"/>
              <w:rPr>
                <w:rFonts w:ascii="Times New Roman" w:hAnsi="Times New Roman" w:eastAsia="Calibri"/>
                <w:b/>
                <w:snapToGrid/>
                <w:szCs w:val="22"/>
              </w:rPr>
            </w:pPr>
            <w:r w:rsidRPr="00CF46F7">
              <w:rPr>
                <w:rFonts w:ascii="Times New Roman" w:hAnsi="Times New Roman" w:eastAsia="Calibri"/>
                <w:b/>
                <w:snapToGrid/>
                <w:szCs w:val="22"/>
              </w:rPr>
              <w:t>12,563</w:t>
            </w:r>
          </w:p>
        </w:tc>
        <w:tc>
          <w:tcPr>
            <w:tcW w:w="135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p>
        </w:tc>
        <w:tc>
          <w:tcPr>
            <w:tcW w:w="1260" w:type="dxa"/>
            <w:shd w:val="clear" w:color="auto" w:fill="auto"/>
          </w:tcPr>
          <w:p w:rsidRPr="00CF46F7" w:rsidR="0061124A" w:rsidP="004C4310" w:rsidRDefault="0061124A">
            <w:pPr>
              <w:widowControl/>
              <w:spacing w:line="276" w:lineRule="auto"/>
              <w:rPr>
                <w:rFonts w:ascii="Times New Roman" w:hAnsi="Times New Roman" w:eastAsia="Calibri"/>
                <w:b/>
                <w:snapToGrid/>
                <w:szCs w:val="22"/>
              </w:rPr>
            </w:pPr>
            <w:r w:rsidRPr="00CF46F7">
              <w:rPr>
                <w:rFonts w:ascii="Times New Roman" w:hAnsi="Times New Roman" w:eastAsia="Calibri"/>
                <w:b/>
                <w:snapToGrid/>
                <w:szCs w:val="22"/>
              </w:rPr>
              <w:t>2,094</w:t>
            </w:r>
          </w:p>
        </w:tc>
        <w:tc>
          <w:tcPr>
            <w:tcW w:w="1440" w:type="dxa"/>
            <w:shd w:val="clear" w:color="auto" w:fill="auto"/>
          </w:tcPr>
          <w:p w:rsidRPr="00CF46F7" w:rsidR="0061124A" w:rsidP="004C4310" w:rsidRDefault="0061124A">
            <w:pPr>
              <w:widowControl/>
              <w:spacing w:line="276" w:lineRule="auto"/>
              <w:rPr>
                <w:rFonts w:ascii="Times New Roman" w:hAnsi="Times New Roman" w:eastAsia="Calibri"/>
                <w:snapToGrid/>
                <w:szCs w:val="22"/>
              </w:rPr>
            </w:pPr>
          </w:p>
        </w:tc>
        <w:tc>
          <w:tcPr>
            <w:tcW w:w="1530" w:type="dxa"/>
            <w:shd w:val="clear" w:color="auto" w:fill="auto"/>
          </w:tcPr>
          <w:p w:rsidRPr="00CF46F7" w:rsidR="0061124A" w:rsidP="004C4310" w:rsidRDefault="0061124A">
            <w:pPr>
              <w:widowControl/>
              <w:autoSpaceDE w:val="0"/>
              <w:autoSpaceDN w:val="0"/>
              <w:adjustRightInd w:val="0"/>
              <w:spacing w:line="276" w:lineRule="auto"/>
              <w:rPr>
                <w:rFonts w:ascii="Times New Roman" w:hAnsi="Times New Roman" w:eastAsia="Calibri"/>
                <w:snapToGrid/>
                <w:szCs w:val="22"/>
              </w:rPr>
            </w:pPr>
          </w:p>
        </w:tc>
        <w:tc>
          <w:tcPr>
            <w:tcW w:w="1529" w:type="dxa"/>
            <w:shd w:val="clear" w:color="auto" w:fill="auto"/>
          </w:tcPr>
          <w:p w:rsidRPr="00CF46F7" w:rsidR="0061124A" w:rsidP="004C4310" w:rsidRDefault="0061124A">
            <w:pPr>
              <w:widowControl/>
              <w:autoSpaceDE w:val="0"/>
              <w:autoSpaceDN w:val="0"/>
              <w:adjustRightInd w:val="0"/>
              <w:spacing w:line="276" w:lineRule="auto"/>
              <w:rPr>
                <w:rFonts w:ascii="Times New Roman" w:hAnsi="Times New Roman" w:eastAsia="Calibri"/>
                <w:b/>
                <w:snapToGrid/>
                <w:szCs w:val="22"/>
              </w:rPr>
            </w:pPr>
            <w:r w:rsidRPr="00CF46F7">
              <w:rPr>
                <w:rFonts w:ascii="Times New Roman" w:hAnsi="Times New Roman" w:eastAsia="Calibri"/>
                <w:b/>
                <w:snapToGrid/>
                <w:szCs w:val="22"/>
              </w:rPr>
              <w:t>$</w:t>
            </w:r>
            <w:r>
              <w:rPr>
                <w:rFonts w:ascii="Times New Roman" w:hAnsi="Times New Roman" w:eastAsia="Calibri"/>
                <w:b/>
                <w:snapToGrid/>
                <w:szCs w:val="22"/>
              </w:rPr>
              <w:t>153,549</w:t>
            </w:r>
            <w:r w:rsidRPr="00CF46F7">
              <w:rPr>
                <w:rFonts w:ascii="Times New Roman" w:hAnsi="Times New Roman" w:eastAsia="Calibri"/>
                <w:b/>
                <w:snapToGrid/>
                <w:szCs w:val="22"/>
              </w:rPr>
              <w:t>***</w:t>
            </w:r>
          </w:p>
        </w:tc>
      </w:tr>
    </w:tbl>
    <w:p w:rsidR="0061124A" w:rsidP="0061124A" w:rsidRDefault="0061124A">
      <w:pPr>
        <w:pStyle w:val="ListParagraph"/>
        <w:ind w:left="1080"/>
        <w:rPr>
          <w:rFonts w:ascii="Times New Roman" w:hAnsi="Times New Roman" w:eastAsia="SimSun"/>
          <w:color w:val="0000FF"/>
          <w:u w:val="single"/>
          <w:lang w:eastAsia="ar-SA"/>
        </w:rPr>
      </w:pPr>
      <w:r w:rsidRPr="00CF46F7">
        <w:rPr>
          <w:rFonts w:ascii="Times New Roman" w:hAnsi="Times New Roman"/>
        </w:rPr>
        <w:t>* We based this figure on average</w:t>
      </w:r>
      <w:r w:rsidRPr="00CF46F7">
        <w:rPr>
          <w:rFonts w:ascii="Times New Roman" w:hAnsi="Times New Roman"/>
          <w:color w:val="0000FF"/>
        </w:rPr>
        <w:t xml:space="preserve"> </w:t>
      </w:r>
      <w:r w:rsidRPr="00CF46F7">
        <w:rPr>
          <w:rFonts w:ascii="Times New Roman" w:hAnsi="Times New Roman"/>
        </w:rPr>
        <w:t xml:space="preserve">U.S. worker’s hourly wages; State and local government worker’s salaries; and attorney representative payee wages, as reported by Bureau of Labor Statistics data. </w:t>
      </w:r>
      <w:r w:rsidRPr="00CF46F7">
        <w:rPr>
          <w:rFonts w:ascii="Times New Roman" w:hAnsi="Times New Roman" w:eastAsia="SimSun"/>
          <w:lang w:eastAsia="ar-SA"/>
        </w:rPr>
        <w:t>.</w:t>
      </w:r>
      <w:r w:rsidRPr="00CF46F7">
        <w:rPr>
          <w:rFonts w:ascii="Times New Roman" w:hAnsi="Times New Roman" w:eastAsia="SimSun"/>
          <w:color w:val="000000"/>
          <w:lang w:eastAsia="ar-SA"/>
        </w:rPr>
        <w:t>(</w:t>
      </w:r>
      <w:hyperlink w:history="1" r:id="rId8">
        <w:r w:rsidRPr="00CF46F7">
          <w:rPr>
            <w:rFonts w:ascii="Times New Roman" w:hAnsi="Times New Roman" w:eastAsia="SimSun"/>
            <w:color w:val="0000FF"/>
            <w:u w:val="single"/>
            <w:lang w:eastAsia="ar-SA"/>
          </w:rPr>
          <w:t>https://www.bls.gov/oes/current/oes_nat.htm</w:t>
        </w:r>
      </w:hyperlink>
      <w:r w:rsidRPr="00CF46F7">
        <w:rPr>
          <w:rFonts w:ascii="Times New Roman" w:hAnsi="Times New Roman" w:eastAsia="SimSun"/>
          <w:color w:val="0000FF"/>
          <w:u w:val="single"/>
          <w:lang w:eastAsia="ar-SA"/>
        </w:rPr>
        <w:t>)</w:t>
      </w:r>
    </w:p>
    <w:p w:rsidR="0061124A" w:rsidP="0061124A" w:rsidRDefault="009711E6">
      <w:pPr>
        <w:pStyle w:val="ListParagraph"/>
        <w:ind w:left="1080"/>
        <w:rPr>
          <w:rFonts w:ascii="Times New Roman" w:hAnsi="Times New Roman"/>
        </w:rPr>
      </w:pPr>
      <w:r w:rsidRPr="00CF46F7">
        <w:rPr>
          <w:rFonts w:ascii="Times New Roman" w:hAnsi="Times New Roman"/>
        </w:rPr>
        <w:t>** We based this figure on the average FY 2020 wait times for field offices, based on SSA’s current management information data.</w:t>
      </w:r>
    </w:p>
    <w:p w:rsidR="009711E6" w:rsidP="0061124A" w:rsidRDefault="009711E6">
      <w:pPr>
        <w:pStyle w:val="ListParagraph"/>
        <w:ind w:left="1080"/>
        <w:rPr>
          <w:rFonts w:ascii="Times New Roman" w:hAnsi="Times New Roman"/>
          <w:b/>
        </w:rPr>
      </w:pPr>
      <w:r w:rsidRPr="00CF46F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F46F7">
        <w:rPr>
          <w:rFonts w:ascii="Times New Roman" w:hAnsi="Times New Roman"/>
          <w:b/>
          <w:u w:val="single"/>
        </w:rPr>
        <w:t>There is no actual charge to respondents to complete the application</w:t>
      </w:r>
      <w:r w:rsidRPr="00CF46F7">
        <w:rPr>
          <w:rFonts w:ascii="Times New Roman" w:hAnsi="Times New Roman"/>
        </w:rPr>
        <w:t>.</w:t>
      </w:r>
    </w:p>
    <w:p w:rsidR="0061124A" w:rsidP="0061124A" w:rsidRDefault="0061124A">
      <w:pPr>
        <w:pStyle w:val="ListParagraph"/>
        <w:ind w:left="1080"/>
        <w:rPr>
          <w:rFonts w:ascii="Times New Roman" w:hAnsi="Times New Roman"/>
          <w:b/>
          <w:u w:val="single"/>
        </w:rPr>
      </w:pPr>
    </w:p>
    <w:p w:rsidR="009711E6" w:rsidP="0061124A" w:rsidRDefault="009711E6">
      <w:pPr>
        <w:pStyle w:val="ListParagraph"/>
        <w:ind w:left="1080"/>
        <w:rPr>
          <w:rFonts w:ascii="Times New Roman" w:hAnsi="Times New Roman" w:eastAsia="SimSun"/>
          <w:snapToGrid/>
          <w:lang w:eastAsia="ar-SA"/>
        </w:rPr>
      </w:pPr>
      <w:r w:rsidRPr="00C16A28">
        <w:rPr>
          <w:rFonts w:ascii="Times New Roman" w:hAnsi="Times New Roman" w:eastAsia="SimSun"/>
          <w:snapToGrid/>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W w:w="8730"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1620"/>
        <w:gridCol w:w="1620"/>
        <w:gridCol w:w="1620"/>
        <w:gridCol w:w="1890"/>
      </w:tblGrid>
      <w:tr w:rsidRPr="00C16A28" w:rsidR="009711E6" w:rsidTr="009711E6">
        <w:trPr>
          <w:trHeight w:val="1502"/>
        </w:trPr>
        <w:tc>
          <w:tcPr>
            <w:tcW w:w="198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Total Number of Respondents Who Visit a Field Office</w:t>
            </w:r>
          </w:p>
        </w:tc>
        <w:tc>
          <w:tcPr>
            <w:tcW w:w="162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Frequency of Response</w:t>
            </w:r>
          </w:p>
        </w:tc>
        <w:tc>
          <w:tcPr>
            <w:tcW w:w="162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Average One-Way Travel Time to a Field Office (minutes)</w:t>
            </w:r>
          </w:p>
        </w:tc>
        <w:tc>
          <w:tcPr>
            <w:tcW w:w="162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Estimated Total Travel Time to a Field Office (hours)</w:t>
            </w:r>
          </w:p>
        </w:tc>
        <w:tc>
          <w:tcPr>
            <w:tcW w:w="189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Total Annual Opportunity Cost for Travel Time (dollars)****</w:t>
            </w:r>
          </w:p>
        </w:tc>
      </w:tr>
      <w:tr w:rsidRPr="00C16A28" w:rsidR="009711E6" w:rsidTr="009711E6">
        <w:trPr>
          <w:trHeight w:val="332"/>
        </w:trPr>
        <w:tc>
          <w:tcPr>
            <w:tcW w:w="1980" w:type="dxa"/>
            <w:shd w:val="clear" w:color="auto" w:fill="auto"/>
          </w:tcPr>
          <w:p w:rsidRPr="00C16A28" w:rsidR="009711E6" w:rsidP="004C4310" w:rsidRDefault="009711E6">
            <w:pPr>
              <w:widowControl/>
              <w:rPr>
                <w:rFonts w:ascii="Times New Roman" w:hAnsi="Times New Roman" w:eastAsia="SimSun"/>
                <w:snapToGrid/>
                <w:sz w:val="22"/>
                <w:szCs w:val="22"/>
                <w:lang w:eastAsia="ar-SA"/>
              </w:rPr>
            </w:pPr>
            <w:r w:rsidRPr="00E1485D">
              <w:rPr>
                <w:rFonts w:ascii="Times New Roman" w:hAnsi="Times New Roman" w:eastAsia="SimSun"/>
                <w:snapToGrid/>
                <w:sz w:val="22"/>
                <w:szCs w:val="22"/>
                <w:lang w:eastAsia="ar-SA"/>
              </w:rPr>
              <w:t>9,691</w:t>
            </w:r>
          </w:p>
        </w:tc>
        <w:tc>
          <w:tcPr>
            <w:tcW w:w="1620" w:type="dxa"/>
            <w:shd w:val="clear" w:color="auto" w:fill="auto"/>
          </w:tcPr>
          <w:p w:rsidRPr="00C16A28" w:rsidR="009711E6" w:rsidP="004C4310" w:rsidRDefault="009711E6">
            <w:pPr>
              <w:widowControl/>
              <w:jc w:val="right"/>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1</w:t>
            </w:r>
          </w:p>
        </w:tc>
        <w:tc>
          <w:tcPr>
            <w:tcW w:w="1620" w:type="dxa"/>
            <w:shd w:val="clear" w:color="auto" w:fill="auto"/>
          </w:tcPr>
          <w:p w:rsidRPr="00C16A28" w:rsidR="009711E6" w:rsidP="004C4310" w:rsidRDefault="009711E6">
            <w:pPr>
              <w:widowControl/>
              <w:jc w:val="right"/>
              <w:rPr>
                <w:rFonts w:ascii="Times New Roman" w:hAnsi="Times New Roman" w:eastAsia="SimSun"/>
                <w:snapToGrid/>
                <w:sz w:val="22"/>
                <w:szCs w:val="22"/>
                <w:lang w:eastAsia="ar-SA"/>
              </w:rPr>
            </w:pPr>
            <w:r w:rsidRPr="00E1485D">
              <w:rPr>
                <w:rFonts w:ascii="Times New Roman" w:hAnsi="Times New Roman" w:eastAsia="SimSun"/>
                <w:snapToGrid/>
                <w:sz w:val="22"/>
                <w:szCs w:val="22"/>
                <w:lang w:eastAsia="ar-SA"/>
              </w:rPr>
              <w:t>10</w:t>
            </w:r>
          </w:p>
        </w:tc>
        <w:tc>
          <w:tcPr>
            <w:tcW w:w="1620" w:type="dxa"/>
            <w:shd w:val="clear" w:color="auto" w:fill="auto"/>
          </w:tcPr>
          <w:p w:rsidRPr="00C16A28" w:rsidR="009711E6" w:rsidP="004C4310" w:rsidRDefault="009711E6">
            <w:pPr>
              <w:widowControl/>
              <w:jc w:val="right"/>
              <w:rPr>
                <w:rFonts w:ascii="Times New Roman" w:hAnsi="Times New Roman" w:eastAsia="SimSun"/>
                <w:snapToGrid/>
                <w:sz w:val="22"/>
                <w:szCs w:val="22"/>
                <w:lang w:eastAsia="ar-SA"/>
              </w:rPr>
            </w:pPr>
            <w:r w:rsidRPr="00E1485D">
              <w:rPr>
                <w:rFonts w:ascii="Times New Roman" w:hAnsi="Times New Roman" w:eastAsia="SimSun"/>
                <w:snapToGrid/>
                <w:sz w:val="22"/>
                <w:szCs w:val="22"/>
                <w:lang w:eastAsia="ar-SA"/>
              </w:rPr>
              <w:t>1,615</w:t>
            </w:r>
          </w:p>
        </w:tc>
        <w:tc>
          <w:tcPr>
            <w:tcW w:w="1890" w:type="dxa"/>
            <w:shd w:val="clear" w:color="auto" w:fill="auto"/>
          </w:tcPr>
          <w:p w:rsidRPr="00C16A28" w:rsidR="009711E6" w:rsidP="004C4310" w:rsidRDefault="009711E6">
            <w:pPr>
              <w:widowControl/>
              <w:jc w:val="right"/>
              <w:rPr>
                <w:rFonts w:ascii="Times New Roman" w:hAnsi="Times New Roman" w:eastAsia="SimSun"/>
                <w:snapToGrid/>
                <w:sz w:val="22"/>
                <w:szCs w:val="22"/>
                <w:lang w:eastAsia="ar-SA"/>
              </w:rPr>
            </w:pPr>
            <w:r w:rsidRPr="00C16A28">
              <w:rPr>
                <w:rFonts w:ascii="Times New Roman" w:hAnsi="Times New Roman" w:eastAsia="SimSun"/>
                <w:snapToGrid/>
                <w:sz w:val="22"/>
                <w:szCs w:val="22"/>
                <w:lang w:eastAsia="ar-SA"/>
              </w:rPr>
              <w:t>$</w:t>
            </w:r>
            <w:r w:rsidRPr="00E1485D">
              <w:rPr>
                <w:rFonts w:ascii="Times New Roman" w:hAnsi="Times New Roman" w:eastAsia="SimSun"/>
                <w:snapToGrid/>
                <w:sz w:val="22"/>
                <w:szCs w:val="22"/>
                <w:lang w:eastAsia="ar-SA"/>
              </w:rPr>
              <w:t>141,229</w:t>
            </w:r>
          </w:p>
        </w:tc>
      </w:tr>
    </w:tbl>
    <w:p w:rsidR="009711E6" w:rsidP="0061124A" w:rsidRDefault="009711E6">
      <w:pPr>
        <w:pStyle w:val="ListParagraph"/>
        <w:ind w:left="1080"/>
        <w:rPr>
          <w:rFonts w:ascii="Times New Roman" w:hAnsi="Times New Roman" w:eastAsia="SimSun"/>
          <w:snapToGrid/>
          <w:lang w:eastAsia="ar-SA"/>
        </w:rPr>
      </w:pPr>
      <w:r w:rsidRPr="00C16A28">
        <w:rPr>
          <w:rFonts w:ascii="Times New Roman" w:hAnsi="Times New Roman" w:eastAsia="SimSun"/>
          <w:snapToGrid/>
          <w:lang w:eastAsia="ar-SA"/>
        </w:rPr>
        <w:t>****We based this dollar amount on the Average Theoretical Hourly Cost Amount in dollars shown on the burden chart above.</w:t>
      </w:r>
    </w:p>
    <w:p w:rsidR="009711E6" w:rsidP="0061124A" w:rsidRDefault="009711E6">
      <w:pPr>
        <w:pStyle w:val="ListParagraph"/>
        <w:ind w:left="1080"/>
        <w:rPr>
          <w:rFonts w:ascii="Times New Roman" w:hAnsi="Times New Roman" w:eastAsia="SimSun"/>
          <w:snapToGrid/>
          <w:lang w:eastAsia="ar-SA"/>
        </w:rPr>
      </w:pPr>
      <w:r w:rsidRPr="00C16A28">
        <w:rPr>
          <w:rFonts w:ascii="Times New Roman" w:hAnsi="Times New Roman" w:eastAsia="SimSun"/>
          <w:snapToGrid/>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eastAsia="SimSun"/>
          <w:snapToGrid/>
          <w:lang w:eastAsia="ar-SA"/>
        </w:rPr>
        <w:t>.</w:t>
      </w:r>
    </w:p>
    <w:p w:rsidR="009711E6" w:rsidP="0061124A" w:rsidRDefault="009711E6">
      <w:pPr>
        <w:pStyle w:val="ListParagraph"/>
        <w:ind w:left="1080"/>
        <w:rPr>
          <w:rFonts w:ascii="Times New Roman" w:hAnsi="Times New Roman" w:eastAsia="SimSun"/>
          <w:snapToGrid/>
          <w:lang w:eastAsia="ar-SA"/>
        </w:rPr>
      </w:pPr>
      <w:r w:rsidRPr="00C16A28">
        <w:rPr>
          <w:rFonts w:ascii="Times New Roman" w:hAnsi="Times New Roman" w:eastAsia="SimSun"/>
          <w:snapToGrid/>
          <w:lang w:eastAsia="ar-SA"/>
        </w:rPr>
        <w:t xml:space="preserve">NOTE:  We included the total total opportunity cost estimate from this chart in our calculations when showing the total time and opportunity cost estimates in the </w:t>
      </w:r>
      <w:r w:rsidRPr="00C16A28">
        <w:rPr>
          <w:rFonts w:ascii="Times New Roman" w:hAnsi="Times New Roman" w:eastAsia="SimSun"/>
          <w:snapToGrid/>
          <w:lang w:eastAsia="ar-SA"/>
        </w:rPr>
        <w:lastRenderedPageBreak/>
        <w:t>paragraph below.</w:t>
      </w:r>
    </w:p>
    <w:p w:rsidR="009711E6" w:rsidP="0061124A" w:rsidRDefault="009711E6">
      <w:pPr>
        <w:pStyle w:val="ListParagraph"/>
        <w:ind w:left="1080"/>
        <w:rPr>
          <w:rFonts w:ascii="Times New Roman" w:hAnsi="Times New Roman"/>
          <w:b/>
          <w:u w:val="single"/>
        </w:rPr>
      </w:pPr>
      <w:r w:rsidRPr="00C16A28">
        <w:rPr>
          <w:rFonts w:ascii="Times New Roman" w:hAnsi="Times New Roman" w:eastAsia="SimSun"/>
          <w:snapToGrid/>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C16A28">
        <w:rPr>
          <w:rFonts w:ascii="Times New Roman" w:hAnsi="Times New Roman" w:eastAsia="SimSun"/>
          <w:snapToGrid/>
          <w:lang w:eastAsia="ar-SA"/>
        </w:rPr>
        <w:t>instructions, gathering the facts, and answering the questions</w:t>
      </w:r>
      <w:r w:rsidRPr="00C16A28">
        <w:rPr>
          <w:rFonts w:ascii="Times New Roman" w:hAnsi="Times New Roman" w:eastAsia="SimSun"/>
          <w:snapToGrid/>
          <w:color w:val="000000"/>
          <w:lang w:eastAsia="ar-SA"/>
        </w:rPr>
        <w:t xml:space="preserve">.  Based on our current management information data, the current burden information we provided is accurate.  </w:t>
      </w:r>
      <w:r w:rsidRPr="00C16A28">
        <w:rPr>
          <w:rFonts w:ascii="Times New Roman" w:hAnsi="Times New Roman" w:eastAsia="SimSun"/>
          <w:snapToGrid/>
          <w:lang w:eastAsia="ar-SA"/>
        </w:rPr>
        <w:t xml:space="preserve">The total burden for this collection instrument is </w:t>
      </w:r>
      <w:r>
        <w:rPr>
          <w:rFonts w:ascii="Times New Roman" w:hAnsi="Times New Roman" w:eastAsia="SimSun"/>
          <w:b/>
          <w:snapToGrid/>
          <w:lang w:eastAsia="ar-SA"/>
        </w:rPr>
        <w:t>2.094</w:t>
      </w:r>
      <w:r w:rsidRPr="00C16A28">
        <w:rPr>
          <w:rFonts w:ascii="Times New Roman" w:hAnsi="Times New Roman" w:eastAsia="SimSun"/>
          <w:snapToGrid/>
          <w:lang w:eastAsia="ar-SA"/>
        </w:rPr>
        <w:t xml:space="preserve"> burden hours (reflecting SSA management information data), which results in an associated theoretical (not actual) opportunity cost financial burden of </w:t>
      </w:r>
      <w:r w:rsidRPr="00C16A28">
        <w:rPr>
          <w:rFonts w:ascii="Times New Roman" w:hAnsi="Times New Roman" w:eastAsia="SimSun"/>
          <w:b/>
          <w:snapToGrid/>
          <w:lang w:eastAsia="ar-SA"/>
        </w:rPr>
        <w:t>$</w:t>
      </w:r>
      <w:r>
        <w:rPr>
          <w:rFonts w:ascii="Times New Roman" w:hAnsi="Times New Roman" w:eastAsia="Calibri"/>
          <w:b/>
          <w:snapToGrid/>
          <w:szCs w:val="22"/>
        </w:rPr>
        <w:t>294,778</w:t>
      </w:r>
      <w:r w:rsidRPr="00C16A28">
        <w:rPr>
          <w:rFonts w:ascii="Times New Roman" w:hAnsi="Times New Roman" w:eastAsia="SimSun"/>
          <w:snapToGrid/>
          <w:lang w:eastAsia="ar-SA"/>
        </w:rPr>
        <w:t>.  SSA does not charge respondents to complete our applications</w:t>
      </w:r>
      <w:r>
        <w:rPr>
          <w:rFonts w:ascii="Times New Roman" w:hAnsi="Times New Roman" w:eastAsia="SimSun"/>
          <w:snapToGrid/>
          <w:lang w:eastAsia="ar-SA"/>
        </w:rPr>
        <w:t>.</w:t>
      </w:r>
    </w:p>
    <w:p w:rsidR="009711E6" w:rsidP="0061124A"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sidRPr="00386BFC">
        <w:rPr>
          <w:rFonts w:ascii="Times New Roman" w:hAnsi="Times New Roman"/>
          <w:b/>
        </w:rPr>
        <w:t>Annual</w:t>
      </w:r>
      <w:r w:rsidRPr="00386BFC">
        <w:rPr>
          <w:rFonts w:ascii="Times New Roman" w:hAnsi="Times New Roman"/>
        </w:rPr>
        <w:t xml:space="preserve"> </w:t>
      </w:r>
      <w:r w:rsidRPr="00386BFC">
        <w:rPr>
          <w:rFonts w:ascii="Times New Roman" w:hAnsi="Times New Roman"/>
          <w:b/>
        </w:rPr>
        <w:t>Cost to the Respondents (Other)</w:t>
      </w:r>
    </w:p>
    <w:p w:rsidR="009711E6" w:rsidP="009711E6" w:rsidRDefault="009711E6">
      <w:pPr>
        <w:pStyle w:val="ListParagraph"/>
        <w:ind w:left="1080"/>
        <w:rPr>
          <w:rFonts w:ascii="Times New Roman" w:hAnsi="Times New Roman"/>
          <w:b/>
        </w:rPr>
      </w:pPr>
      <w:r w:rsidRPr="00386BFC">
        <w:rPr>
          <w:rFonts w:ascii="Times New Roman" w:hAnsi="Times New Roman"/>
        </w:rPr>
        <w:t>This collection does not impose a known cost burden on the respondents</w:t>
      </w:r>
      <w:r>
        <w:rPr>
          <w:rFonts w:ascii="Times New Roman" w:hAnsi="Times New Roman"/>
        </w:rPr>
        <w:t>.</w:t>
      </w:r>
    </w:p>
    <w:p w:rsidR="009711E6" w:rsidP="009711E6"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sidRPr="00E86DEF">
        <w:rPr>
          <w:rFonts w:ascii="Times New Roman" w:hAnsi="Times New Roman"/>
          <w:b/>
        </w:rPr>
        <w:t>Annual Cost To Federal Government</w:t>
      </w:r>
    </w:p>
    <w:p w:rsidR="009711E6" w:rsidP="009711E6" w:rsidRDefault="009711E6">
      <w:pPr>
        <w:pStyle w:val="ListParagraph"/>
        <w:ind w:left="1080"/>
        <w:rPr>
          <w:rFonts w:ascii="Times New Roman" w:hAnsi="Times New Roman"/>
          <w:b/>
        </w:rPr>
      </w:pPr>
      <w:r w:rsidRPr="00EB4A9D">
        <w:rPr>
          <w:rFonts w:ascii="Times New Roman" w:hAnsi="Times New Roman"/>
        </w:rPr>
        <w:t xml:space="preserve">The annual cost to the Federal Government for this </w:t>
      </w:r>
      <w:r>
        <w:rPr>
          <w:rFonts w:ascii="Times New Roman" w:hAnsi="Times New Roman"/>
        </w:rPr>
        <w:t xml:space="preserve">IC is approximately </w:t>
      </w:r>
      <w:r w:rsidRPr="009D09D0">
        <w:rPr>
          <w:rFonts w:ascii="Times New Roman" w:hAnsi="Times New Roman"/>
          <w:b/>
        </w:rPr>
        <w:t>$</w:t>
      </w:r>
      <w:r>
        <w:rPr>
          <w:rFonts w:ascii="Times New Roman" w:hAnsi="Times New Roman"/>
          <w:b/>
        </w:rPr>
        <w:t>3,322,606.</w:t>
      </w:r>
    </w:p>
    <w:p w:rsidR="009711E6" w:rsidP="009711E6" w:rsidRDefault="009711E6">
      <w:pPr>
        <w:pStyle w:val="ListParagraph"/>
        <w:ind w:left="1080"/>
        <w:rPr>
          <w:rFonts w:ascii="Times New Roman" w:hAnsi="Times New Roman"/>
          <w:b/>
        </w:rPr>
      </w:pPr>
    </w:p>
    <w:tbl>
      <w:tblPr>
        <w:tblW w:w="8361"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88"/>
        <w:gridCol w:w="3087"/>
        <w:gridCol w:w="2186"/>
      </w:tblGrid>
      <w:tr w:rsidRPr="00556545" w:rsidR="009711E6" w:rsidTr="009711E6">
        <w:trPr>
          <w:trHeight w:val="251"/>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b/>
                <w:bCs/>
                <w:snapToGrid/>
                <w:color w:val="000000"/>
              </w:rPr>
            </w:pPr>
            <w:r w:rsidRPr="00556545">
              <w:rPr>
                <w:rFonts w:ascii="Times New Roman" w:hAnsi="Times New Roman" w:eastAsia="Calibri"/>
                <w:b/>
                <w:bCs/>
                <w:snapToGrid/>
                <w:color w:val="000000"/>
              </w:rPr>
              <w:t>Description of Cost Factor</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b/>
                <w:bCs/>
                <w:snapToGrid/>
                <w:color w:val="000000"/>
              </w:rPr>
            </w:pPr>
            <w:r w:rsidRPr="00556545">
              <w:rPr>
                <w:rFonts w:ascii="Times New Roman" w:hAnsi="Times New Roman" w:eastAsia="Calibri"/>
                <w:b/>
                <w:bCs/>
                <w:snapToGrid/>
                <w:color w:val="000000"/>
              </w:rPr>
              <w:t>Methodology for Estimating Cost</w:t>
            </w:r>
          </w:p>
        </w:tc>
        <w:tc>
          <w:tcPr>
            <w:tcW w:w="2186"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b/>
                <w:bCs/>
                <w:snapToGrid/>
                <w:color w:val="000000"/>
              </w:rPr>
            </w:pPr>
            <w:r w:rsidRPr="00556545">
              <w:rPr>
                <w:rFonts w:ascii="Times New Roman" w:hAnsi="Times New Roman" w:eastAsia="Calibri"/>
                <w:b/>
                <w:bCs/>
                <w:snapToGrid/>
                <w:color w:val="000000"/>
              </w:rPr>
              <w:t>Cost in Dollars*</w:t>
            </w:r>
          </w:p>
        </w:tc>
      </w:tr>
      <w:tr w:rsidRPr="00556545" w:rsidR="009711E6" w:rsidTr="009711E6">
        <w:trPr>
          <w:trHeight w:val="240"/>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Designing and Printing the Form</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Design Cost + Printing Cost</w:t>
            </w: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snapToGrid/>
                <w:color w:val="000000"/>
              </w:rPr>
            </w:pPr>
            <w:r w:rsidRPr="00A47814">
              <w:rPr>
                <w:rFonts w:ascii="Times New Roman" w:hAnsi="Times New Roman" w:eastAsia="Calibri"/>
                <w:snapToGrid/>
                <w:color w:val="000000"/>
              </w:rPr>
              <w:t>$507</w:t>
            </w:r>
          </w:p>
        </w:tc>
      </w:tr>
      <w:tr w:rsidRPr="00556545" w:rsidR="009711E6" w:rsidTr="009711E6">
        <w:trPr>
          <w:trHeight w:val="503"/>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Distributing, Shipping, and Material Costs for the Form</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Distribution + Shipping + Material Cost</w:t>
            </w:r>
          </w:p>
        </w:tc>
        <w:tc>
          <w:tcPr>
            <w:tcW w:w="2186" w:type="dxa"/>
            <w:tcMar>
              <w:top w:w="0" w:type="dxa"/>
              <w:left w:w="108" w:type="dxa"/>
              <w:bottom w:w="0" w:type="dxa"/>
              <w:right w:w="108" w:type="dxa"/>
            </w:tcMar>
          </w:tcPr>
          <w:p w:rsidRPr="00556545" w:rsidR="009711E6" w:rsidP="00B26EFD" w:rsidRDefault="00B26EFD">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w:t>
            </w:r>
            <w:r w:rsidRPr="00A47814" w:rsidR="009711E6">
              <w:rPr>
                <w:rFonts w:ascii="Times New Roman" w:hAnsi="Times New Roman" w:eastAsia="Calibri"/>
                <w:snapToGrid/>
                <w:color w:val="000000"/>
              </w:rPr>
              <w:t>0</w:t>
            </w:r>
          </w:p>
        </w:tc>
      </w:tr>
      <w:tr w:rsidRPr="00556545" w:rsidR="009711E6" w:rsidTr="009711E6">
        <w:trPr>
          <w:trHeight w:val="754"/>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GS-9 employee x # of responses x processing time</w:t>
            </w:r>
          </w:p>
        </w:tc>
        <w:tc>
          <w:tcPr>
            <w:tcW w:w="2186" w:type="dxa"/>
            <w:tcMar>
              <w:top w:w="0" w:type="dxa"/>
              <w:left w:w="108" w:type="dxa"/>
              <w:bottom w:w="0" w:type="dxa"/>
              <w:right w:w="108" w:type="dxa"/>
            </w:tcMar>
          </w:tcPr>
          <w:p w:rsidRPr="00556545" w:rsidR="009711E6" w:rsidP="00B26EFD" w:rsidRDefault="00B26EFD">
            <w:pPr>
              <w:widowControl/>
              <w:tabs>
                <w:tab w:val="center" w:pos="985"/>
              </w:tabs>
              <w:contextualSpacing/>
              <w:jc w:val="right"/>
              <w:rPr>
                <w:rFonts w:ascii="Times New Roman" w:hAnsi="Times New Roman" w:eastAsia="Calibri"/>
                <w:snapToGrid/>
                <w:color w:val="000000"/>
              </w:rPr>
            </w:pPr>
            <w:r>
              <w:rPr>
                <w:rFonts w:ascii="Times New Roman" w:hAnsi="Times New Roman" w:eastAsia="Calibri"/>
                <w:snapToGrid/>
                <w:color w:val="000000"/>
              </w:rPr>
              <w:t>$3,140,75</w:t>
            </w:r>
            <w:r w:rsidRPr="00A47814" w:rsidR="009711E6">
              <w:rPr>
                <w:rFonts w:ascii="Times New Roman" w:hAnsi="Times New Roman" w:eastAsia="Calibri"/>
                <w:snapToGrid/>
                <w:color w:val="000000"/>
              </w:rPr>
              <w:tab/>
            </w:r>
          </w:p>
        </w:tc>
      </w:tr>
      <w:tr w:rsidRPr="00556545" w:rsidR="009711E6" w:rsidTr="009711E6">
        <w:trPr>
          <w:trHeight w:val="492"/>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Full-Time Equivalent Costs</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Out of pocket costs + Other expenses for providing this service</w:t>
            </w: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snapToGrid/>
                <w:color w:val="000000"/>
              </w:rPr>
            </w:pPr>
            <w:r w:rsidRPr="00A47814">
              <w:rPr>
                <w:rFonts w:ascii="Times New Roman" w:hAnsi="Times New Roman" w:eastAsia="Calibri"/>
                <w:snapToGrid/>
                <w:color w:val="000000"/>
              </w:rPr>
              <w:t>$169,551</w:t>
            </w:r>
          </w:p>
        </w:tc>
      </w:tr>
      <w:tr w:rsidRPr="00556545" w:rsidR="009711E6" w:rsidTr="009711E6">
        <w:trPr>
          <w:trHeight w:val="754"/>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Systems Development, Updating, and Maintenance</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GS-9 employee x man hours for development, updating, maintenance</w:t>
            </w: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snapToGrid/>
                <w:color w:val="000000"/>
              </w:rPr>
            </w:pPr>
            <w:r w:rsidRPr="00A47814">
              <w:rPr>
                <w:rFonts w:ascii="Times New Roman" w:hAnsi="Times New Roman" w:eastAsia="Calibri"/>
                <w:snapToGrid/>
                <w:color w:val="000000"/>
              </w:rPr>
              <w:t>$11,798</w:t>
            </w:r>
          </w:p>
        </w:tc>
      </w:tr>
      <w:tr w:rsidRPr="00556545" w:rsidR="009711E6" w:rsidTr="009711E6">
        <w:trPr>
          <w:trHeight w:val="251"/>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Quantifiable IT Costs</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Any additional IT costs</w:t>
            </w: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p>
        </w:tc>
      </w:tr>
      <w:tr w:rsidRPr="00556545" w:rsidR="009711E6" w:rsidTr="009711E6">
        <w:trPr>
          <w:trHeight w:val="240"/>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Other</w:t>
            </w:r>
          </w:p>
        </w:tc>
        <w:tc>
          <w:tcPr>
            <w:tcW w:w="3087"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snapToGrid/>
                <w:color w:val="000000"/>
              </w:rPr>
            </w:pPr>
            <w:r w:rsidRPr="00556545">
              <w:rPr>
                <w:rFonts w:ascii="Times New Roman" w:hAnsi="Times New Roman" w:eastAsia="Calibri"/>
                <w:snapToGrid/>
                <w:color w:val="000000"/>
              </w:rPr>
              <w:t>[Component may add as needed]</w:t>
            </w: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p>
        </w:tc>
      </w:tr>
      <w:tr w:rsidRPr="00556545" w:rsidR="009711E6" w:rsidTr="009711E6">
        <w:trPr>
          <w:trHeight w:val="251"/>
        </w:trPr>
        <w:tc>
          <w:tcPr>
            <w:tcW w:w="3088" w:type="dxa"/>
            <w:tcMar>
              <w:top w:w="0" w:type="dxa"/>
              <w:left w:w="108" w:type="dxa"/>
              <w:bottom w:w="0" w:type="dxa"/>
              <w:right w:w="108" w:type="dxa"/>
            </w:tcMar>
            <w:hideMark/>
          </w:tcPr>
          <w:p w:rsidRPr="00556545" w:rsidR="009711E6" w:rsidP="004C4310" w:rsidRDefault="009711E6">
            <w:pPr>
              <w:widowControl/>
              <w:contextualSpacing/>
              <w:rPr>
                <w:rFonts w:ascii="Times New Roman" w:hAnsi="Times New Roman" w:eastAsia="Calibri"/>
                <w:b/>
                <w:snapToGrid/>
                <w:color w:val="000000"/>
              </w:rPr>
            </w:pPr>
            <w:r w:rsidRPr="00556545">
              <w:rPr>
                <w:rFonts w:ascii="Times New Roman" w:hAnsi="Times New Roman" w:eastAsia="Calibri"/>
                <w:b/>
                <w:snapToGrid/>
                <w:color w:val="000000"/>
              </w:rPr>
              <w:t>Total</w:t>
            </w:r>
          </w:p>
        </w:tc>
        <w:tc>
          <w:tcPr>
            <w:tcW w:w="3087" w:type="dxa"/>
            <w:tcMar>
              <w:top w:w="0" w:type="dxa"/>
              <w:left w:w="108" w:type="dxa"/>
              <w:bottom w:w="0" w:type="dxa"/>
              <w:right w:w="108" w:type="dxa"/>
            </w:tcMar>
          </w:tcPr>
          <w:p w:rsidRPr="00556545" w:rsidR="009711E6" w:rsidP="004C4310" w:rsidRDefault="009711E6">
            <w:pPr>
              <w:widowControl/>
              <w:contextualSpacing/>
              <w:rPr>
                <w:rFonts w:ascii="Times New Roman" w:hAnsi="Times New Roman" w:eastAsia="Calibri"/>
                <w:snapToGrid/>
                <w:color w:val="000000"/>
              </w:rPr>
            </w:pPr>
          </w:p>
        </w:tc>
        <w:tc>
          <w:tcPr>
            <w:tcW w:w="2186" w:type="dxa"/>
            <w:tcMar>
              <w:top w:w="0" w:type="dxa"/>
              <w:left w:w="108" w:type="dxa"/>
              <w:bottom w:w="0" w:type="dxa"/>
              <w:right w:w="108" w:type="dxa"/>
            </w:tcMar>
          </w:tcPr>
          <w:p w:rsidRPr="00556545" w:rsidR="009711E6" w:rsidP="00B26EFD" w:rsidRDefault="009711E6">
            <w:pPr>
              <w:widowControl/>
              <w:contextualSpacing/>
              <w:jc w:val="right"/>
              <w:rPr>
                <w:rFonts w:ascii="Times New Roman" w:hAnsi="Times New Roman" w:eastAsia="Calibri"/>
                <w:b/>
                <w:snapToGrid/>
                <w:color w:val="000000"/>
              </w:rPr>
            </w:pPr>
            <w:r w:rsidRPr="00A47814">
              <w:rPr>
                <w:rFonts w:ascii="Times New Roman" w:hAnsi="Times New Roman" w:eastAsia="Calibri"/>
                <w:b/>
                <w:snapToGrid/>
                <w:color w:val="000000"/>
              </w:rPr>
              <w:t>$3,322,606</w:t>
            </w:r>
          </w:p>
        </w:tc>
      </w:tr>
    </w:tbl>
    <w:p w:rsidR="009711E6" w:rsidP="009711E6" w:rsidRDefault="009711E6">
      <w:pPr>
        <w:pStyle w:val="ListParagraph"/>
        <w:ind w:left="1080"/>
        <w:rPr>
          <w:rFonts w:ascii="Times New Roman" w:hAnsi="Times New Roman" w:eastAsia="Calibri"/>
          <w:snapToGrid/>
          <w:color w:val="000000"/>
        </w:rPr>
      </w:pPr>
      <w:r w:rsidRPr="00CD5E5C">
        <w:rPr>
          <w:rFonts w:ascii="Times New Roman" w:hAnsi="Times New Roman" w:eastAsia="Calibri"/>
          <w:snapToGrid/>
          <w:color w:val="000000"/>
        </w:rPr>
        <w:t>* We have inserted a $0 amount for cost factors that do not apply to this collection.</w:t>
      </w:r>
    </w:p>
    <w:p w:rsidR="009711E6" w:rsidP="009711E6" w:rsidRDefault="009711E6">
      <w:pPr>
        <w:pStyle w:val="ListParagraph"/>
        <w:ind w:left="1080"/>
        <w:rPr>
          <w:rFonts w:ascii="Times New Roman" w:hAnsi="Times New Roman"/>
          <w:b/>
        </w:rPr>
      </w:pPr>
    </w:p>
    <w:p w:rsidR="009711E6" w:rsidP="009711E6" w:rsidRDefault="009711E6">
      <w:pPr>
        <w:pStyle w:val="ListParagraph"/>
        <w:ind w:left="1080"/>
        <w:rPr>
          <w:rFonts w:ascii="Times New Roman" w:hAnsi="Times New Roman" w:eastAsia="Calibri"/>
          <w:snapToGrid/>
          <w:color w:val="000000"/>
        </w:rPr>
      </w:pPr>
      <w:r w:rsidRPr="00CD5E5C">
        <w:rPr>
          <w:rFonts w:ascii="Times New Roman" w:hAnsi="Times New Roman" w:eastAsia="Calibri"/>
          <w:snapToGrid/>
          <w:color w:val="000000"/>
        </w:rPr>
        <w:t xml:space="preserve">SSA is unable to break down the costs to the Federal government further than we already have.  </w:t>
      </w:r>
      <w:r w:rsidR="00B26EFD">
        <w:rPr>
          <w:rFonts w:ascii="Times New Roman" w:hAnsi="Times New Roman" w:eastAsia="Calibri"/>
          <w:snapToGrid/>
          <w:color w:val="000000"/>
        </w:rPr>
        <w:t>I</w:t>
      </w:r>
      <w:bookmarkStart w:name="_GoBack" w:id="0"/>
      <w:bookmarkEnd w:id="0"/>
      <w:r w:rsidRPr="00CD5E5C">
        <w:rPr>
          <w:rFonts w:ascii="Times New Roman" w:hAnsi="Times New Roman" w:eastAsia="Calibri"/>
          <w:snapToGrid/>
          <w:color w:val="000000"/>
        </w:rPr>
        <w:t xml:space="preserve">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w:t>
      </w:r>
      <w:r w:rsidRPr="00CD5E5C">
        <w:rPr>
          <w:rFonts w:ascii="Times New Roman" w:hAnsi="Times New Roman" w:eastAsia="Calibri"/>
          <w:snapToGrid/>
          <w:color w:val="000000"/>
        </w:rPr>
        <w:lastRenderedPageBreak/>
        <w:t>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eastAsia="Calibri"/>
          <w:snapToGrid/>
          <w:color w:val="000000"/>
        </w:rPr>
        <w:t>.</w:t>
      </w:r>
    </w:p>
    <w:p w:rsidR="009711E6" w:rsidP="009711E6"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9711E6" w:rsidP="009711E6" w:rsidRDefault="009711E6">
      <w:pPr>
        <w:pStyle w:val="ListParagraph"/>
        <w:ind w:left="1080"/>
        <w:rPr>
          <w:rFonts w:ascii="Times New Roman" w:hAnsi="Times New Roman"/>
          <w:b/>
        </w:rPr>
      </w:pPr>
      <w:r w:rsidRPr="005B20A3">
        <w:rPr>
          <w:rFonts w:ascii="Times New Roman" w:hAnsi="Times New Roman"/>
        </w:rPr>
        <w:t>When</w:t>
      </w:r>
      <w:r>
        <w:rPr>
          <w:rFonts w:ascii="Times New Roman" w:hAnsi="Times New Roman"/>
        </w:rPr>
        <w:t xml:space="preserve"> we last cleared this IC in 2017</w:t>
      </w:r>
      <w:r w:rsidRPr="005B20A3">
        <w:rPr>
          <w:rFonts w:ascii="Times New Roman" w:hAnsi="Times New Roman"/>
        </w:rPr>
        <w:t>, the burden was</w:t>
      </w:r>
      <w:r>
        <w:rPr>
          <w:rFonts w:ascii="Times New Roman" w:hAnsi="Times New Roman"/>
        </w:rPr>
        <w:t xml:space="preserve"> 2,387</w:t>
      </w:r>
      <w:r w:rsidRPr="005B20A3">
        <w:rPr>
          <w:rFonts w:ascii="Times New Roman" w:hAnsi="Times New Roman"/>
        </w:rPr>
        <w:t xml:space="preserve"> hours.  However, we are currently reporting a burden of</w:t>
      </w:r>
      <w:r>
        <w:rPr>
          <w:rFonts w:ascii="Times New Roman" w:hAnsi="Times New Roman"/>
        </w:rPr>
        <w:t xml:space="preserve"> 2,094 hours.  This change stems a decrease</w:t>
      </w:r>
      <w:r w:rsidRPr="005B20A3">
        <w:rPr>
          <w:rFonts w:ascii="Times New Roman" w:hAnsi="Times New Roman"/>
        </w:rPr>
        <w:t xml:space="preserve"> in the number of responses from</w:t>
      </w:r>
      <w:r>
        <w:rPr>
          <w:rFonts w:ascii="Times New Roman" w:hAnsi="Times New Roman"/>
        </w:rPr>
        <w:t xml:space="preserve"> 14,320 to 12,563</w:t>
      </w:r>
      <w:r w:rsidRPr="005B20A3">
        <w:rPr>
          <w:rFonts w:ascii="Times New Roman" w:hAnsi="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rPr>
        <w:t>.</w:t>
      </w:r>
    </w:p>
    <w:p w:rsidR="009711E6" w:rsidP="009711E6"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Pr="009711E6" w:rsidR="009711E6" w:rsidP="009711E6" w:rsidRDefault="009711E6">
      <w:pPr>
        <w:pStyle w:val="ListParagraph"/>
        <w:ind w:left="1080"/>
        <w:rPr>
          <w:rFonts w:ascii="Times New Roman" w:hAnsi="Times New Roman"/>
          <w:b/>
        </w:rPr>
      </w:pPr>
      <w:r w:rsidRPr="009711E6">
        <w:rPr>
          <w:rFonts w:ascii="Times New Roman" w:hAnsi="Times New Roman"/>
        </w:rPr>
        <w:t>SSA will not publish the results of the information collection.</w:t>
      </w:r>
    </w:p>
    <w:p w:rsidR="009711E6" w:rsidP="009711E6"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Pr>
          <w:rFonts w:ascii="Times New Roman" w:hAnsi="Times New Roman"/>
          <w:b/>
        </w:rPr>
        <w:t>Displaying the OMB Approval Expiration Date</w:t>
      </w:r>
    </w:p>
    <w:p w:rsidRPr="009711E6" w:rsidR="009711E6" w:rsidP="009711E6" w:rsidRDefault="009711E6">
      <w:pPr>
        <w:pStyle w:val="ListParagraph"/>
        <w:ind w:left="1080"/>
        <w:rPr>
          <w:rFonts w:ascii="Times New Roman" w:hAnsi="Times New Roman"/>
          <w:bCs/>
          <w:iCs/>
        </w:rPr>
      </w:pPr>
      <w:r w:rsidRPr="009711E6">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9711E6" w:rsidP="009711E6" w:rsidRDefault="009711E6">
      <w:pPr>
        <w:pStyle w:val="ListParagraph"/>
        <w:ind w:left="1080"/>
        <w:rPr>
          <w:rFonts w:ascii="Times New Roman" w:hAnsi="Times New Roman"/>
          <w:b/>
          <w:u w:val="single"/>
        </w:rPr>
      </w:pPr>
    </w:p>
    <w:p w:rsidRPr="009711E6" w:rsidR="004F402C" w:rsidP="001E0498" w:rsidRDefault="009711E6">
      <w:pPr>
        <w:pStyle w:val="ListParagraph"/>
        <w:numPr>
          <w:ilvl w:val="0"/>
          <w:numId w:val="2"/>
        </w:numPr>
        <w:rPr>
          <w:rFonts w:ascii="Times New Roman" w:hAnsi="Times New Roman"/>
          <w:b/>
          <w:u w:val="single"/>
        </w:rPr>
      </w:pPr>
      <w:r w:rsidRPr="00BC7F42">
        <w:rPr>
          <w:rFonts w:ascii="Times New Roman" w:hAnsi="Times New Roman"/>
          <w:b/>
        </w:rPr>
        <w:t>Exceptions to Certification Statement</w:t>
      </w:r>
    </w:p>
    <w:p w:rsidRPr="001E0498" w:rsidR="009711E6" w:rsidP="001E0498" w:rsidRDefault="009711E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080"/>
        <w:rPr>
          <w:rFonts w:ascii="Times New Roman" w:hAnsi="Times New Roman"/>
          <w:b w:val="0"/>
          <w:bCs w:val="0"/>
          <w:i w:val="0"/>
          <w:iCs w:val="0"/>
        </w:rPr>
      </w:pPr>
      <w:r w:rsidRPr="00410CDE">
        <w:rPr>
          <w:rFonts w:ascii="Times New Roman" w:hAnsi="Times New Roman"/>
          <w:b w:val="0"/>
          <w:bCs w:val="0"/>
          <w:i w:val="0"/>
          <w:iCs w:val="0"/>
        </w:rPr>
        <w:t xml:space="preserve">SSA is not requesting an exception to the certification requirements at </w:t>
      </w:r>
      <w:r w:rsidRPr="001E0498">
        <w:rPr>
          <w:rFonts w:ascii="Times New Roman" w:hAnsi="Times New Roman"/>
          <w:b w:val="0"/>
        </w:rPr>
        <w:t xml:space="preserve">5 CFR 1320.9 </w:t>
      </w:r>
      <w:r w:rsidRPr="001E0498">
        <w:rPr>
          <w:rFonts w:ascii="Times New Roman" w:hAnsi="Times New Roman"/>
          <w:b w:val="0"/>
          <w:i w:val="0"/>
        </w:rPr>
        <w:t>and related provisions at</w:t>
      </w:r>
      <w:r w:rsidRPr="001E0498">
        <w:rPr>
          <w:rFonts w:ascii="Times New Roman" w:hAnsi="Times New Roman"/>
          <w:b w:val="0"/>
        </w:rPr>
        <w:t xml:space="preserve"> 5 CFR 1320.8(b)(3).</w:t>
      </w:r>
    </w:p>
    <w:p w:rsidR="004F402C" w:rsidP="004F402C" w:rsidRDefault="004F402C">
      <w:pPr>
        <w:pStyle w:val="ListParagraph"/>
        <w:rPr>
          <w:rFonts w:ascii="Times New Roman" w:hAnsi="Times New Roman"/>
          <w:b/>
          <w:u w:val="single"/>
        </w:rPr>
      </w:pPr>
    </w:p>
    <w:p w:rsidRPr="001E0498" w:rsidR="0041131C" w:rsidP="001E0498" w:rsidRDefault="00A45D82">
      <w:pPr>
        <w:pStyle w:val="ListParagraph"/>
        <w:numPr>
          <w:ilvl w:val="0"/>
          <w:numId w:val="1"/>
        </w:numPr>
        <w:rPr>
          <w:rFonts w:ascii="Times New Roman" w:hAnsi="Times New Roman"/>
          <w:b/>
          <w:u w:val="single"/>
        </w:rPr>
      </w:pPr>
      <w:r w:rsidRPr="001E0498">
        <w:rPr>
          <w:rFonts w:ascii="Times New Roman" w:hAnsi="Times New Roman"/>
          <w:b/>
          <w:u w:val="single"/>
        </w:rPr>
        <w:t>Collections of Information Employing Statistical Methods</w:t>
      </w:r>
    </w:p>
    <w:p w:rsidR="00AD0C0C" w:rsidP="001E0498" w:rsidRDefault="00DA3272">
      <w:pPr>
        <w:ind w:left="720" w:firstLine="360"/>
        <w:rPr>
          <w:rFonts w:ascii="Times New Roman" w:hAnsi="Times New Roman"/>
        </w:rPr>
      </w:pPr>
      <w:r w:rsidRPr="00DA3272">
        <w:rPr>
          <w:rFonts w:ascii="Times New Roman" w:hAnsi="Times New Roman"/>
        </w:rPr>
        <w:t>SSA does not use statistical methods for this information collection.</w:t>
      </w: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353ACC" w:rsidRDefault="00AD0C0C">
      <w:pPr>
        <w:pStyle w:val="Heading1"/>
        <w:jc w:val="center"/>
        <w:rPr>
          <w:rFonts w:ascii="Times New Roman" w:hAnsi="Times New Roman" w:cs="Times New Roman"/>
        </w:rPr>
      </w:pPr>
    </w:p>
    <w:p w:rsidR="00AD0C0C" w:rsidP="008E43CA" w:rsidRDefault="00AD0C0C">
      <w:pPr>
        <w:pStyle w:val="Heading1"/>
        <w:rPr>
          <w:rFonts w:ascii="Times New Roman" w:hAnsi="Times New Roman" w:cs="Times New Roman"/>
        </w:rPr>
      </w:pPr>
    </w:p>
    <w:p w:rsidR="00AD0C0C" w:rsidP="008E43CA" w:rsidRDefault="00AD0C0C">
      <w:pPr>
        <w:pStyle w:val="Heading1"/>
        <w:rPr>
          <w:rFonts w:ascii="Courier" w:hAnsi="Courier" w:cs="Times New Roman"/>
          <w:b w:val="0"/>
          <w:bCs w:val="0"/>
        </w:rPr>
      </w:pPr>
    </w:p>
    <w:p w:rsidRPr="008E43CA" w:rsidR="0062070C" w:rsidP="0062070C" w:rsidRDefault="0062070C"/>
    <w:sectPr w:rsidRPr="008E43CA" w:rsidR="0062070C" w:rsidSect="00CD5E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15" w:rsidRDefault="00B11815">
      <w:r>
        <w:separator/>
      </w:r>
    </w:p>
  </w:endnote>
  <w:endnote w:type="continuationSeparator" w:id="0">
    <w:p w:rsidR="00B11815" w:rsidRDefault="00B1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157" w:rsidRDefault="00012157">
    <w:pPr>
      <w:pStyle w:val="Footer"/>
      <w:jc w:val="center"/>
    </w:pPr>
    <w:r>
      <w:fldChar w:fldCharType="begin"/>
    </w:r>
    <w:r>
      <w:instrText xml:space="preserve"> PAGE   \* MERGEFORMAT </w:instrText>
    </w:r>
    <w:r>
      <w:fldChar w:fldCharType="separate"/>
    </w:r>
    <w:r w:rsidR="00B26EFD">
      <w:rPr>
        <w:noProof/>
      </w:rPr>
      <w:t>5</w:t>
    </w:r>
    <w:r>
      <w:rPr>
        <w:noProof/>
      </w:rPr>
      <w:fldChar w:fldCharType="end"/>
    </w:r>
  </w:p>
  <w:p w:rsidR="00EE23E5" w:rsidRDefault="00EE23E5" w:rsidP="00EE23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15" w:rsidRDefault="00B11815">
      <w:r>
        <w:separator/>
      </w:r>
    </w:p>
  </w:footnote>
  <w:footnote w:type="continuationSeparator" w:id="0">
    <w:p w:rsidR="00B11815" w:rsidRDefault="00B1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6868"/>
    <w:multiLevelType w:val="hybridMultilevel"/>
    <w:tmpl w:val="05B4202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7553E"/>
    <w:multiLevelType w:val="hybridMultilevel"/>
    <w:tmpl w:val="FFF64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716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2157"/>
    <w:rsid w:val="00017ED0"/>
    <w:rsid w:val="000222A7"/>
    <w:rsid w:val="00025216"/>
    <w:rsid w:val="00025D75"/>
    <w:rsid w:val="0002677F"/>
    <w:rsid w:val="00031F57"/>
    <w:rsid w:val="00046A60"/>
    <w:rsid w:val="00063A05"/>
    <w:rsid w:val="0006715D"/>
    <w:rsid w:val="00067D4E"/>
    <w:rsid w:val="0007189E"/>
    <w:rsid w:val="00077720"/>
    <w:rsid w:val="00077E0E"/>
    <w:rsid w:val="00086E84"/>
    <w:rsid w:val="000958AA"/>
    <w:rsid w:val="000A6AE3"/>
    <w:rsid w:val="000B2B68"/>
    <w:rsid w:val="000B3B12"/>
    <w:rsid w:val="000C151C"/>
    <w:rsid w:val="000C1D18"/>
    <w:rsid w:val="000C26E2"/>
    <w:rsid w:val="000D03AE"/>
    <w:rsid w:val="000D5F5C"/>
    <w:rsid w:val="001062B6"/>
    <w:rsid w:val="0011285B"/>
    <w:rsid w:val="0011339C"/>
    <w:rsid w:val="00121032"/>
    <w:rsid w:val="00122EE2"/>
    <w:rsid w:val="00123231"/>
    <w:rsid w:val="00127980"/>
    <w:rsid w:val="00133DF1"/>
    <w:rsid w:val="00146275"/>
    <w:rsid w:val="0015576E"/>
    <w:rsid w:val="00157730"/>
    <w:rsid w:val="00192897"/>
    <w:rsid w:val="0019416D"/>
    <w:rsid w:val="001970BA"/>
    <w:rsid w:val="001A3317"/>
    <w:rsid w:val="001A645B"/>
    <w:rsid w:val="001A65F9"/>
    <w:rsid w:val="001B056C"/>
    <w:rsid w:val="001B7CF4"/>
    <w:rsid w:val="001C1878"/>
    <w:rsid w:val="001C6D3A"/>
    <w:rsid w:val="001D0B21"/>
    <w:rsid w:val="001E0498"/>
    <w:rsid w:val="001E1076"/>
    <w:rsid w:val="001E1FA0"/>
    <w:rsid w:val="00202C06"/>
    <w:rsid w:val="002038A7"/>
    <w:rsid w:val="00203C90"/>
    <w:rsid w:val="0021594A"/>
    <w:rsid w:val="002321B0"/>
    <w:rsid w:val="00235072"/>
    <w:rsid w:val="00235618"/>
    <w:rsid w:val="00240E6E"/>
    <w:rsid w:val="00245D5E"/>
    <w:rsid w:val="00246836"/>
    <w:rsid w:val="002559CA"/>
    <w:rsid w:val="0026052B"/>
    <w:rsid w:val="002644E5"/>
    <w:rsid w:val="00276AAF"/>
    <w:rsid w:val="002801F8"/>
    <w:rsid w:val="0028354E"/>
    <w:rsid w:val="00283C7F"/>
    <w:rsid w:val="002868F2"/>
    <w:rsid w:val="00287B91"/>
    <w:rsid w:val="002A4C30"/>
    <w:rsid w:val="002B0820"/>
    <w:rsid w:val="002B5578"/>
    <w:rsid w:val="002C5A18"/>
    <w:rsid w:val="002C68EA"/>
    <w:rsid w:val="002D440A"/>
    <w:rsid w:val="002E18CF"/>
    <w:rsid w:val="002E1C0F"/>
    <w:rsid w:val="002E335E"/>
    <w:rsid w:val="002F1C11"/>
    <w:rsid w:val="00302545"/>
    <w:rsid w:val="00302610"/>
    <w:rsid w:val="003176E1"/>
    <w:rsid w:val="00331821"/>
    <w:rsid w:val="00333D3D"/>
    <w:rsid w:val="003465DC"/>
    <w:rsid w:val="003469CA"/>
    <w:rsid w:val="00353ACC"/>
    <w:rsid w:val="0036696D"/>
    <w:rsid w:val="0038050B"/>
    <w:rsid w:val="00385A1C"/>
    <w:rsid w:val="00386BFC"/>
    <w:rsid w:val="003B15EC"/>
    <w:rsid w:val="003B2DD5"/>
    <w:rsid w:val="003B30B4"/>
    <w:rsid w:val="003B7F09"/>
    <w:rsid w:val="003C10BD"/>
    <w:rsid w:val="003C1E94"/>
    <w:rsid w:val="003E145C"/>
    <w:rsid w:val="003E1CAA"/>
    <w:rsid w:val="00405548"/>
    <w:rsid w:val="00410CDE"/>
    <w:rsid w:val="0041131C"/>
    <w:rsid w:val="00411F64"/>
    <w:rsid w:val="00416900"/>
    <w:rsid w:val="00417D1B"/>
    <w:rsid w:val="00425F90"/>
    <w:rsid w:val="004317CB"/>
    <w:rsid w:val="00441A93"/>
    <w:rsid w:val="00443B06"/>
    <w:rsid w:val="00443DED"/>
    <w:rsid w:val="00447EE9"/>
    <w:rsid w:val="0045065A"/>
    <w:rsid w:val="004509AD"/>
    <w:rsid w:val="00460EDF"/>
    <w:rsid w:val="00475350"/>
    <w:rsid w:val="00481B44"/>
    <w:rsid w:val="00484662"/>
    <w:rsid w:val="004915B5"/>
    <w:rsid w:val="004A62D7"/>
    <w:rsid w:val="004B09F2"/>
    <w:rsid w:val="004E0743"/>
    <w:rsid w:val="004E146D"/>
    <w:rsid w:val="004F2F53"/>
    <w:rsid w:val="004F402C"/>
    <w:rsid w:val="004F5EDE"/>
    <w:rsid w:val="0050197F"/>
    <w:rsid w:val="005040EC"/>
    <w:rsid w:val="00506486"/>
    <w:rsid w:val="00507801"/>
    <w:rsid w:val="0051619C"/>
    <w:rsid w:val="00516A8A"/>
    <w:rsid w:val="00537F9C"/>
    <w:rsid w:val="0054490A"/>
    <w:rsid w:val="00544A9A"/>
    <w:rsid w:val="00556545"/>
    <w:rsid w:val="005604E2"/>
    <w:rsid w:val="0056163C"/>
    <w:rsid w:val="0057173C"/>
    <w:rsid w:val="005721D4"/>
    <w:rsid w:val="005769D8"/>
    <w:rsid w:val="00593A36"/>
    <w:rsid w:val="00594895"/>
    <w:rsid w:val="00594CB3"/>
    <w:rsid w:val="005A1198"/>
    <w:rsid w:val="005B15E5"/>
    <w:rsid w:val="005C2C39"/>
    <w:rsid w:val="005D3EEE"/>
    <w:rsid w:val="005D4107"/>
    <w:rsid w:val="005E4140"/>
    <w:rsid w:val="005E4F21"/>
    <w:rsid w:val="005F208A"/>
    <w:rsid w:val="006002DD"/>
    <w:rsid w:val="006013A3"/>
    <w:rsid w:val="0061124A"/>
    <w:rsid w:val="006160ED"/>
    <w:rsid w:val="0062070C"/>
    <w:rsid w:val="00623B9E"/>
    <w:rsid w:val="00626C22"/>
    <w:rsid w:val="00631F1B"/>
    <w:rsid w:val="0063304D"/>
    <w:rsid w:val="00637AF5"/>
    <w:rsid w:val="00640A26"/>
    <w:rsid w:val="00663881"/>
    <w:rsid w:val="00664553"/>
    <w:rsid w:val="006806E1"/>
    <w:rsid w:val="0069667B"/>
    <w:rsid w:val="006A7284"/>
    <w:rsid w:val="006B1082"/>
    <w:rsid w:val="006B173F"/>
    <w:rsid w:val="006B17EF"/>
    <w:rsid w:val="006B297F"/>
    <w:rsid w:val="006B5827"/>
    <w:rsid w:val="006C2BD7"/>
    <w:rsid w:val="006C4B2E"/>
    <w:rsid w:val="006E21CB"/>
    <w:rsid w:val="006F2B8B"/>
    <w:rsid w:val="006F4D0F"/>
    <w:rsid w:val="006F7B11"/>
    <w:rsid w:val="0070479A"/>
    <w:rsid w:val="0070480A"/>
    <w:rsid w:val="00704901"/>
    <w:rsid w:val="00712F1B"/>
    <w:rsid w:val="0071317A"/>
    <w:rsid w:val="0071437B"/>
    <w:rsid w:val="007245C9"/>
    <w:rsid w:val="007256B3"/>
    <w:rsid w:val="00731FDC"/>
    <w:rsid w:val="00742B56"/>
    <w:rsid w:val="00745462"/>
    <w:rsid w:val="00776D5A"/>
    <w:rsid w:val="00791B0E"/>
    <w:rsid w:val="007949B7"/>
    <w:rsid w:val="00795BAB"/>
    <w:rsid w:val="007A08D1"/>
    <w:rsid w:val="007A2DEE"/>
    <w:rsid w:val="007B007C"/>
    <w:rsid w:val="007B3DDB"/>
    <w:rsid w:val="007B4288"/>
    <w:rsid w:val="007B74AB"/>
    <w:rsid w:val="007C5ED7"/>
    <w:rsid w:val="007D061D"/>
    <w:rsid w:val="007D22EB"/>
    <w:rsid w:val="007E17BD"/>
    <w:rsid w:val="007E1B2A"/>
    <w:rsid w:val="008058E7"/>
    <w:rsid w:val="00806984"/>
    <w:rsid w:val="00810485"/>
    <w:rsid w:val="00814772"/>
    <w:rsid w:val="00824D72"/>
    <w:rsid w:val="00825B97"/>
    <w:rsid w:val="0084775D"/>
    <w:rsid w:val="0086463A"/>
    <w:rsid w:val="008754ED"/>
    <w:rsid w:val="00891CA8"/>
    <w:rsid w:val="00892E12"/>
    <w:rsid w:val="00896BDB"/>
    <w:rsid w:val="008B6774"/>
    <w:rsid w:val="008B7603"/>
    <w:rsid w:val="008C161A"/>
    <w:rsid w:val="008D158E"/>
    <w:rsid w:val="008D31F8"/>
    <w:rsid w:val="008E3A3A"/>
    <w:rsid w:val="008E43CA"/>
    <w:rsid w:val="00906892"/>
    <w:rsid w:val="00911920"/>
    <w:rsid w:val="009252AB"/>
    <w:rsid w:val="00933070"/>
    <w:rsid w:val="00944F58"/>
    <w:rsid w:val="00951258"/>
    <w:rsid w:val="00952C5B"/>
    <w:rsid w:val="00955EC4"/>
    <w:rsid w:val="0096349E"/>
    <w:rsid w:val="009711E6"/>
    <w:rsid w:val="009748B6"/>
    <w:rsid w:val="00975DD8"/>
    <w:rsid w:val="009852AB"/>
    <w:rsid w:val="009A0B16"/>
    <w:rsid w:val="009A4740"/>
    <w:rsid w:val="009C5FA0"/>
    <w:rsid w:val="009C6DC8"/>
    <w:rsid w:val="009D09D0"/>
    <w:rsid w:val="009E3C50"/>
    <w:rsid w:val="009F0BCE"/>
    <w:rsid w:val="009F23D6"/>
    <w:rsid w:val="009F7BB3"/>
    <w:rsid w:val="00A26A15"/>
    <w:rsid w:val="00A337E4"/>
    <w:rsid w:val="00A33C65"/>
    <w:rsid w:val="00A34222"/>
    <w:rsid w:val="00A45D82"/>
    <w:rsid w:val="00A47814"/>
    <w:rsid w:val="00A504DE"/>
    <w:rsid w:val="00A56091"/>
    <w:rsid w:val="00A651A7"/>
    <w:rsid w:val="00A67D76"/>
    <w:rsid w:val="00A706B8"/>
    <w:rsid w:val="00A90F01"/>
    <w:rsid w:val="00A95408"/>
    <w:rsid w:val="00AA06A4"/>
    <w:rsid w:val="00AA0858"/>
    <w:rsid w:val="00AA0C27"/>
    <w:rsid w:val="00AB0CA7"/>
    <w:rsid w:val="00AC39FD"/>
    <w:rsid w:val="00AD0977"/>
    <w:rsid w:val="00AD0C0C"/>
    <w:rsid w:val="00AD0F0C"/>
    <w:rsid w:val="00AE0527"/>
    <w:rsid w:val="00AE4CB3"/>
    <w:rsid w:val="00AF3BEA"/>
    <w:rsid w:val="00B007C5"/>
    <w:rsid w:val="00B01D57"/>
    <w:rsid w:val="00B11815"/>
    <w:rsid w:val="00B26EFD"/>
    <w:rsid w:val="00B27CEA"/>
    <w:rsid w:val="00B40790"/>
    <w:rsid w:val="00B41948"/>
    <w:rsid w:val="00B46EE1"/>
    <w:rsid w:val="00B57117"/>
    <w:rsid w:val="00B63FB7"/>
    <w:rsid w:val="00B6703E"/>
    <w:rsid w:val="00B67210"/>
    <w:rsid w:val="00B741F6"/>
    <w:rsid w:val="00B81758"/>
    <w:rsid w:val="00B92550"/>
    <w:rsid w:val="00B9687D"/>
    <w:rsid w:val="00BA1653"/>
    <w:rsid w:val="00BA401A"/>
    <w:rsid w:val="00BB17F2"/>
    <w:rsid w:val="00BB1F8E"/>
    <w:rsid w:val="00BB4E9D"/>
    <w:rsid w:val="00BC0AD2"/>
    <w:rsid w:val="00BC5531"/>
    <w:rsid w:val="00BC7F42"/>
    <w:rsid w:val="00BE1744"/>
    <w:rsid w:val="00BF026F"/>
    <w:rsid w:val="00C0290B"/>
    <w:rsid w:val="00C02F90"/>
    <w:rsid w:val="00C16A28"/>
    <w:rsid w:val="00C22097"/>
    <w:rsid w:val="00C241A2"/>
    <w:rsid w:val="00C25FDC"/>
    <w:rsid w:val="00C3371C"/>
    <w:rsid w:val="00C34A91"/>
    <w:rsid w:val="00C377BC"/>
    <w:rsid w:val="00C5104E"/>
    <w:rsid w:val="00C60E61"/>
    <w:rsid w:val="00C67C8A"/>
    <w:rsid w:val="00C67F83"/>
    <w:rsid w:val="00C829D4"/>
    <w:rsid w:val="00C91F3B"/>
    <w:rsid w:val="00C941E2"/>
    <w:rsid w:val="00C94863"/>
    <w:rsid w:val="00C97C8B"/>
    <w:rsid w:val="00CA0B15"/>
    <w:rsid w:val="00CA59D5"/>
    <w:rsid w:val="00CA5F75"/>
    <w:rsid w:val="00CA6CAE"/>
    <w:rsid w:val="00CB10A2"/>
    <w:rsid w:val="00CB7253"/>
    <w:rsid w:val="00CB7557"/>
    <w:rsid w:val="00CC0832"/>
    <w:rsid w:val="00CC5843"/>
    <w:rsid w:val="00CC72E6"/>
    <w:rsid w:val="00CD07B4"/>
    <w:rsid w:val="00CD5E5C"/>
    <w:rsid w:val="00CD667A"/>
    <w:rsid w:val="00CD73F7"/>
    <w:rsid w:val="00CE23C1"/>
    <w:rsid w:val="00CE53D8"/>
    <w:rsid w:val="00CE63AA"/>
    <w:rsid w:val="00CF46F7"/>
    <w:rsid w:val="00CF7305"/>
    <w:rsid w:val="00D0011E"/>
    <w:rsid w:val="00D03E8A"/>
    <w:rsid w:val="00D337E1"/>
    <w:rsid w:val="00D42EFE"/>
    <w:rsid w:val="00D44900"/>
    <w:rsid w:val="00D541F6"/>
    <w:rsid w:val="00D5531A"/>
    <w:rsid w:val="00D678F8"/>
    <w:rsid w:val="00D76394"/>
    <w:rsid w:val="00D91FA5"/>
    <w:rsid w:val="00DA3272"/>
    <w:rsid w:val="00DA7C23"/>
    <w:rsid w:val="00DB107B"/>
    <w:rsid w:val="00DB1DB4"/>
    <w:rsid w:val="00DB527A"/>
    <w:rsid w:val="00DD494D"/>
    <w:rsid w:val="00DE6186"/>
    <w:rsid w:val="00E0137B"/>
    <w:rsid w:val="00E065DA"/>
    <w:rsid w:val="00E1485D"/>
    <w:rsid w:val="00E3164F"/>
    <w:rsid w:val="00E35C0F"/>
    <w:rsid w:val="00E437C5"/>
    <w:rsid w:val="00E75DB0"/>
    <w:rsid w:val="00E80456"/>
    <w:rsid w:val="00E86DEF"/>
    <w:rsid w:val="00E86E88"/>
    <w:rsid w:val="00E956F3"/>
    <w:rsid w:val="00EB4A9D"/>
    <w:rsid w:val="00EC7EFD"/>
    <w:rsid w:val="00ED36D8"/>
    <w:rsid w:val="00EE23E5"/>
    <w:rsid w:val="00EE6086"/>
    <w:rsid w:val="00EF4071"/>
    <w:rsid w:val="00EF765F"/>
    <w:rsid w:val="00F028DE"/>
    <w:rsid w:val="00F0585C"/>
    <w:rsid w:val="00F107B7"/>
    <w:rsid w:val="00F11F57"/>
    <w:rsid w:val="00F14BA8"/>
    <w:rsid w:val="00F15EF8"/>
    <w:rsid w:val="00F16909"/>
    <w:rsid w:val="00F23B02"/>
    <w:rsid w:val="00F250F5"/>
    <w:rsid w:val="00F36E53"/>
    <w:rsid w:val="00F4316C"/>
    <w:rsid w:val="00F46176"/>
    <w:rsid w:val="00F5149E"/>
    <w:rsid w:val="00F519BB"/>
    <w:rsid w:val="00F56449"/>
    <w:rsid w:val="00F56A74"/>
    <w:rsid w:val="00F57AD9"/>
    <w:rsid w:val="00F60291"/>
    <w:rsid w:val="00F80307"/>
    <w:rsid w:val="00F832E5"/>
    <w:rsid w:val="00F870A3"/>
    <w:rsid w:val="00F91762"/>
    <w:rsid w:val="00F9405B"/>
    <w:rsid w:val="00FA0FE2"/>
    <w:rsid w:val="00FA2FAA"/>
    <w:rsid w:val="00FA34E8"/>
    <w:rsid w:val="00FA7D4E"/>
    <w:rsid w:val="00FB6964"/>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AA6E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84"/>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EE23E5"/>
    <w:rPr>
      <w:rFonts w:ascii="Courier" w:eastAsia="Times New Roman" w:hAnsi="Courier"/>
      <w:snapToGrid w:val="0"/>
      <w:sz w:val="24"/>
      <w:szCs w:val="24"/>
    </w:rPr>
  </w:style>
  <w:style w:type="table" w:customStyle="1" w:styleId="TableGrid1">
    <w:name w:val="Table Grid1"/>
    <w:basedOn w:val="TableNormal"/>
    <w:next w:val="TableGrid"/>
    <w:uiPriority w:val="39"/>
    <w:rsid w:val="00C16A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6A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2797998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96265494">
      <w:bodyDiv w:val="1"/>
      <w:marLeft w:val="0"/>
      <w:marRight w:val="0"/>
      <w:marTop w:val="0"/>
      <w:marBottom w:val="0"/>
      <w:divBdr>
        <w:top w:val="none" w:sz="0" w:space="0" w:color="auto"/>
        <w:left w:val="none" w:sz="0" w:space="0" w:color="auto"/>
        <w:bottom w:val="none" w:sz="0" w:space="0" w:color="auto"/>
        <w:right w:val="none" w:sz="0" w:space="0" w:color="auto"/>
      </w:divBdr>
    </w:div>
    <w:div w:id="169614807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7FE0-BD17-4842-A9E9-8AB30A1C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2020-10-06T19:21:00Z</dcterms:created>
  <dcterms:modified xsi:type="dcterms:W3CDTF">2020-10-06T19:21:00Z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-1140692804</vt:i4>
  </property>
  <property fmtid="{D5CDD505-2E9C-101B-9397-08002B2CF9AE}" pid="3" name="_NewReviewCycle">
    <vt:lpwstr/>
  </property>
  <property fmtid="{D5CDD505-2E9C-101B-9397-08002B2CF9AE}" pid="4" name="_ReviewingToolsShownOnce">
    <vt:lpwstr/>
  </property>
</Properties>
</file>