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1BF3" w:rsidP="00CE1BF3" w:rsidRDefault="00CE1BF3" w14:paraId="173C2FA4" w14:textId="77777777">
      <w:pPr>
        <w:rPr>
          <w:b/>
        </w:rPr>
      </w:pPr>
    </w:p>
    <w:p w:rsidRPr="002C4F75" w:rsidR="006C0719" w:rsidP="006C0719" w:rsidRDefault="006C0719" w14:paraId="1FF82089" w14:textId="77777777">
      <w:pPr>
        <w:pStyle w:val="ReportCover-Title"/>
        <w:jc w:val="center"/>
        <w:rPr>
          <w:rFonts w:ascii="Arial" w:hAnsi="Arial" w:cs="Arial"/>
          <w:color w:val="auto"/>
        </w:rPr>
      </w:pPr>
      <w:r>
        <w:rPr>
          <w:rFonts w:ascii="Arial" w:hAnsi="Arial" w:eastAsia="Arial Unicode MS" w:cs="Arial"/>
          <w:noProof/>
          <w:color w:val="auto"/>
        </w:rPr>
        <w:t>Youth Empowerment Information, Data Collection, and Exploration on Avoidance of Sex (IDEAS)</w:t>
      </w:r>
    </w:p>
    <w:p w:rsidRPr="00B13297" w:rsidR="006C0719" w:rsidP="006C0719" w:rsidRDefault="006C0719" w14:paraId="0D04F64C" w14:textId="77777777">
      <w:pPr>
        <w:pStyle w:val="ReportCover-Title"/>
        <w:rPr>
          <w:rFonts w:ascii="Arial" w:hAnsi="Arial" w:cs="Arial"/>
          <w:color w:val="auto"/>
        </w:rPr>
      </w:pPr>
    </w:p>
    <w:p w:rsidRPr="00B13297" w:rsidR="006C0719" w:rsidP="006C0719" w:rsidRDefault="006C0719" w14:paraId="126982E0" w14:textId="77777777">
      <w:pPr>
        <w:pStyle w:val="ReportCover-Title"/>
        <w:rPr>
          <w:rFonts w:ascii="Arial" w:hAnsi="Arial" w:cs="Arial"/>
          <w:color w:val="auto"/>
        </w:rPr>
      </w:pPr>
    </w:p>
    <w:p w:rsidRPr="00B13297" w:rsidR="006C0719" w:rsidP="006C0719" w:rsidRDefault="006C0719" w14:paraId="74CE86DD" w14:textId="77777777">
      <w:pPr>
        <w:pStyle w:val="ReportCover-Title"/>
        <w:jc w:val="center"/>
        <w:rPr>
          <w:rFonts w:ascii="Arial" w:hAnsi="Arial" w:cs="Arial"/>
          <w:color w:val="auto"/>
          <w:sz w:val="32"/>
          <w:szCs w:val="32"/>
        </w:rPr>
      </w:pPr>
      <w:r w:rsidRPr="00B13297">
        <w:rPr>
          <w:rFonts w:ascii="Arial" w:hAnsi="Arial" w:cs="Arial"/>
          <w:color w:val="auto"/>
          <w:sz w:val="32"/>
          <w:szCs w:val="32"/>
        </w:rPr>
        <w:t>OMB Information Collection Request</w:t>
      </w:r>
    </w:p>
    <w:p w:rsidRPr="00B13297" w:rsidR="006C0719" w:rsidP="006C0719" w:rsidRDefault="006C0719" w14:paraId="3218D508" w14:textId="77777777">
      <w:pPr>
        <w:pStyle w:val="ReportCover-Title"/>
        <w:jc w:val="center"/>
        <w:rPr>
          <w:rFonts w:ascii="Arial" w:hAnsi="Arial" w:cs="Arial"/>
          <w:color w:val="auto"/>
          <w:sz w:val="32"/>
          <w:szCs w:val="32"/>
        </w:rPr>
      </w:pPr>
      <w:r w:rsidRPr="00B13297">
        <w:rPr>
          <w:rFonts w:ascii="Arial" w:hAnsi="Arial" w:cs="Arial"/>
          <w:color w:val="auto"/>
          <w:sz w:val="32"/>
          <w:szCs w:val="32"/>
        </w:rPr>
        <w:t xml:space="preserve">0970 </w:t>
      </w:r>
      <w:r>
        <w:rPr>
          <w:rFonts w:ascii="Arial" w:hAnsi="Arial" w:cs="Arial"/>
          <w:color w:val="auto"/>
          <w:sz w:val="32"/>
          <w:szCs w:val="32"/>
        </w:rPr>
        <w:t>–</w:t>
      </w:r>
      <w:r w:rsidRPr="00B13297">
        <w:rPr>
          <w:rFonts w:ascii="Arial" w:hAnsi="Arial" w:cs="Arial"/>
          <w:color w:val="auto"/>
          <w:sz w:val="32"/>
          <w:szCs w:val="32"/>
        </w:rPr>
        <w:t xml:space="preserve"> </w:t>
      </w:r>
      <w:r>
        <w:rPr>
          <w:rFonts w:ascii="Arial" w:hAnsi="Arial" w:cs="Arial"/>
          <w:color w:val="auto"/>
          <w:sz w:val="32"/>
          <w:szCs w:val="32"/>
        </w:rPr>
        <w:t>New Collection</w:t>
      </w:r>
    </w:p>
    <w:p w:rsidRPr="00B13297" w:rsidR="006C0719" w:rsidP="006C0719" w:rsidRDefault="006C0719" w14:paraId="7DB15A69" w14:textId="77777777">
      <w:pPr>
        <w:rPr>
          <w:rFonts w:ascii="Arial" w:hAnsi="Arial" w:cs="Arial"/>
        </w:rPr>
      </w:pPr>
    </w:p>
    <w:p w:rsidRPr="00B13297" w:rsidR="006C0719" w:rsidP="006C0719" w:rsidRDefault="006C0719" w14:paraId="17E66B6D" w14:textId="77777777">
      <w:pPr>
        <w:pStyle w:val="ReportCover-Date"/>
        <w:jc w:val="center"/>
        <w:rPr>
          <w:rFonts w:ascii="Arial" w:hAnsi="Arial" w:cs="Arial"/>
          <w:color w:val="auto"/>
        </w:rPr>
      </w:pPr>
    </w:p>
    <w:p w:rsidRPr="00B13297" w:rsidR="006C0719" w:rsidP="006C0719" w:rsidRDefault="006C0719" w14:paraId="7DB4030B"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Pr="00B13297" w:rsidR="006C0719" w:rsidP="006C0719" w:rsidRDefault="006C0719" w14:paraId="7DE5C403" w14:textId="0AAC0CD4">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 xml:space="preserve">Part </w:t>
      </w:r>
      <w:r w:rsidR="003C753D">
        <w:rPr>
          <w:rFonts w:ascii="Arial" w:hAnsi="Arial" w:cs="Arial"/>
          <w:color w:val="auto"/>
          <w:sz w:val="48"/>
          <w:szCs w:val="48"/>
        </w:rPr>
        <w:t>B</w:t>
      </w:r>
    </w:p>
    <w:p w:rsidRPr="00B13297" w:rsidR="006C0719" w:rsidP="006C0719" w:rsidRDefault="006E2E49" w14:paraId="729DB394" w14:textId="782526FB">
      <w:pPr>
        <w:pStyle w:val="ReportCover-Date"/>
        <w:jc w:val="center"/>
        <w:rPr>
          <w:rFonts w:ascii="Arial" w:hAnsi="Arial" w:cs="Arial"/>
          <w:color w:val="auto"/>
        </w:rPr>
      </w:pPr>
      <w:r>
        <w:rPr>
          <w:rFonts w:ascii="Arial" w:hAnsi="Arial" w:cs="Arial"/>
          <w:color w:val="auto"/>
        </w:rPr>
        <w:t xml:space="preserve">August </w:t>
      </w:r>
      <w:r w:rsidR="006C0719">
        <w:rPr>
          <w:rFonts w:ascii="Arial" w:hAnsi="Arial" w:cs="Arial"/>
          <w:color w:val="auto"/>
        </w:rPr>
        <w:t>2020</w:t>
      </w:r>
    </w:p>
    <w:p w:rsidRPr="00B13297" w:rsidR="006C0719" w:rsidP="006C0719" w:rsidRDefault="006C0719" w14:paraId="26FF24C9" w14:textId="77777777">
      <w:pPr>
        <w:spacing w:after="0" w:line="240" w:lineRule="auto"/>
        <w:jc w:val="center"/>
        <w:rPr>
          <w:rFonts w:ascii="Arial" w:hAnsi="Arial" w:cs="Arial"/>
        </w:rPr>
      </w:pPr>
    </w:p>
    <w:p w:rsidRPr="00B13297" w:rsidR="006C0719" w:rsidP="006C0719" w:rsidRDefault="006C0719" w14:paraId="2532FBC7" w14:textId="77777777">
      <w:pPr>
        <w:spacing w:after="0" w:line="240" w:lineRule="auto"/>
        <w:jc w:val="center"/>
        <w:rPr>
          <w:rFonts w:ascii="Arial" w:hAnsi="Arial" w:cs="Arial"/>
        </w:rPr>
      </w:pPr>
      <w:r w:rsidRPr="00B13297">
        <w:rPr>
          <w:rFonts w:ascii="Arial" w:hAnsi="Arial" w:cs="Arial"/>
        </w:rPr>
        <w:t>Submitted By:</w:t>
      </w:r>
    </w:p>
    <w:p w:rsidRPr="00B13297" w:rsidR="006C0719" w:rsidP="006C0719" w:rsidRDefault="006C0719" w14:paraId="2FF1C315" w14:textId="77777777">
      <w:pPr>
        <w:spacing w:after="0" w:line="240" w:lineRule="auto"/>
        <w:jc w:val="center"/>
        <w:rPr>
          <w:rFonts w:ascii="Arial" w:hAnsi="Arial" w:cs="Arial"/>
        </w:rPr>
      </w:pPr>
      <w:r w:rsidRPr="00B13297">
        <w:rPr>
          <w:rFonts w:ascii="Arial" w:hAnsi="Arial" w:cs="Arial"/>
        </w:rPr>
        <w:t>Office of Planning, Research</w:t>
      </w:r>
      <w:r>
        <w:rPr>
          <w:rFonts w:ascii="Arial" w:hAnsi="Arial" w:cs="Arial"/>
        </w:rPr>
        <w:t>,</w:t>
      </w:r>
      <w:r w:rsidRPr="00B13297">
        <w:rPr>
          <w:rFonts w:ascii="Arial" w:hAnsi="Arial" w:cs="Arial"/>
        </w:rPr>
        <w:t xml:space="preserve"> and Evaluation</w:t>
      </w:r>
    </w:p>
    <w:p w:rsidRPr="00B13297" w:rsidR="006C0719" w:rsidP="006C0719" w:rsidRDefault="006C0719" w14:paraId="68D5C289" w14:textId="77777777">
      <w:pPr>
        <w:spacing w:after="0" w:line="240" w:lineRule="auto"/>
        <w:jc w:val="center"/>
        <w:rPr>
          <w:rFonts w:ascii="Arial" w:hAnsi="Arial" w:cs="Arial"/>
        </w:rPr>
      </w:pPr>
      <w:bookmarkStart w:name="_Hlk29875050" w:id="0"/>
      <w:r w:rsidRPr="00B13297">
        <w:rPr>
          <w:rFonts w:ascii="Arial" w:hAnsi="Arial" w:cs="Arial"/>
        </w:rPr>
        <w:t xml:space="preserve">Administration for Children and Families </w:t>
      </w:r>
      <w:r>
        <w:rPr>
          <w:rFonts w:ascii="Arial" w:hAnsi="Arial" w:cs="Arial"/>
        </w:rPr>
        <w:t>(ACF</w:t>
      </w:r>
      <w:bookmarkEnd w:id="0"/>
      <w:r>
        <w:rPr>
          <w:rFonts w:ascii="Arial" w:hAnsi="Arial" w:cs="Arial"/>
        </w:rPr>
        <w:t>)</w:t>
      </w:r>
    </w:p>
    <w:p w:rsidRPr="00B13297" w:rsidR="006C0719" w:rsidP="006C0719" w:rsidRDefault="006C0719" w14:paraId="6B94EDAA" w14:textId="77777777">
      <w:pPr>
        <w:spacing w:after="0" w:line="240" w:lineRule="auto"/>
        <w:jc w:val="center"/>
        <w:rPr>
          <w:rFonts w:ascii="Arial" w:hAnsi="Arial" w:cs="Arial"/>
        </w:rPr>
      </w:pPr>
      <w:r w:rsidRPr="00B13297">
        <w:rPr>
          <w:rFonts w:ascii="Arial" w:hAnsi="Arial" w:cs="Arial"/>
        </w:rPr>
        <w:t>U.S. Department of Health and Human Services</w:t>
      </w:r>
    </w:p>
    <w:p w:rsidRPr="00B13297" w:rsidR="006C0719" w:rsidP="006C0719" w:rsidRDefault="006C0719" w14:paraId="4B6E822D" w14:textId="77777777">
      <w:pPr>
        <w:spacing w:after="0" w:line="240" w:lineRule="auto"/>
        <w:jc w:val="center"/>
        <w:rPr>
          <w:rFonts w:ascii="Arial" w:hAnsi="Arial" w:cs="Arial"/>
        </w:rPr>
      </w:pPr>
    </w:p>
    <w:p w:rsidRPr="00B13297" w:rsidR="006C0719" w:rsidP="006C0719" w:rsidRDefault="006C0719" w14:paraId="6984D615" w14:textId="77777777">
      <w:pPr>
        <w:spacing w:after="0" w:line="240" w:lineRule="auto"/>
        <w:jc w:val="center"/>
        <w:rPr>
          <w:rFonts w:ascii="Arial" w:hAnsi="Arial" w:cs="Arial"/>
        </w:rPr>
      </w:pPr>
      <w:r w:rsidRPr="00B13297">
        <w:rPr>
          <w:rFonts w:ascii="Arial" w:hAnsi="Arial" w:cs="Arial"/>
        </w:rPr>
        <w:t>4</w:t>
      </w:r>
      <w:r w:rsidRPr="007825E8">
        <w:rPr>
          <w:rFonts w:ascii="Arial" w:hAnsi="Arial" w:cs="Arial"/>
        </w:rPr>
        <w:t>th</w:t>
      </w:r>
      <w:r w:rsidRPr="00B13297">
        <w:rPr>
          <w:rFonts w:ascii="Arial" w:hAnsi="Arial" w:cs="Arial"/>
        </w:rPr>
        <w:t xml:space="preserve"> Floor, Mary E. Switzer Building</w:t>
      </w:r>
    </w:p>
    <w:p w:rsidRPr="00B13297" w:rsidR="006C0719" w:rsidP="006C0719" w:rsidRDefault="006C0719" w14:paraId="2815C663" w14:textId="77777777">
      <w:pPr>
        <w:spacing w:after="0" w:line="240" w:lineRule="auto"/>
        <w:jc w:val="center"/>
        <w:rPr>
          <w:rFonts w:ascii="Arial" w:hAnsi="Arial" w:cs="Arial"/>
        </w:rPr>
      </w:pPr>
      <w:r w:rsidRPr="00B13297">
        <w:rPr>
          <w:rFonts w:ascii="Arial" w:hAnsi="Arial" w:cs="Arial"/>
        </w:rPr>
        <w:t>330 C Street, SW</w:t>
      </w:r>
    </w:p>
    <w:p w:rsidRPr="00B13297" w:rsidR="006C0719" w:rsidP="006C0719" w:rsidRDefault="006C0719" w14:paraId="666886E0" w14:textId="77777777">
      <w:pPr>
        <w:spacing w:after="0" w:line="240" w:lineRule="auto"/>
        <w:jc w:val="center"/>
        <w:rPr>
          <w:rFonts w:ascii="Arial" w:hAnsi="Arial" w:cs="Arial"/>
        </w:rPr>
      </w:pPr>
      <w:r w:rsidRPr="00B13297">
        <w:rPr>
          <w:rFonts w:ascii="Arial" w:hAnsi="Arial" w:cs="Arial"/>
        </w:rPr>
        <w:t>Washington, DC 20201</w:t>
      </w:r>
    </w:p>
    <w:p w:rsidRPr="00B13297" w:rsidR="006C0719" w:rsidP="006C0719" w:rsidRDefault="006C0719" w14:paraId="530B2115" w14:textId="77777777">
      <w:pPr>
        <w:spacing w:after="0" w:line="240" w:lineRule="auto"/>
        <w:jc w:val="center"/>
        <w:rPr>
          <w:rFonts w:ascii="Arial" w:hAnsi="Arial" w:cs="Arial"/>
        </w:rPr>
      </w:pPr>
    </w:p>
    <w:p w:rsidR="006C0719" w:rsidP="006C0719" w:rsidRDefault="006C0719" w14:paraId="6D00F712" w14:textId="44556072">
      <w:pPr>
        <w:spacing w:after="0" w:line="240" w:lineRule="auto"/>
        <w:jc w:val="center"/>
        <w:rPr>
          <w:rFonts w:ascii="Arial" w:hAnsi="Arial" w:cs="Arial"/>
        </w:rPr>
      </w:pPr>
      <w:r w:rsidRPr="00B13297">
        <w:rPr>
          <w:rFonts w:ascii="Arial" w:hAnsi="Arial" w:cs="Arial"/>
        </w:rPr>
        <w:t>Project Officer:</w:t>
      </w:r>
    </w:p>
    <w:p w:rsidR="006C0719" w:rsidP="006C0719" w:rsidRDefault="006C0719" w14:paraId="59136293" w14:textId="7215BF54">
      <w:pPr>
        <w:spacing w:after="0" w:line="240" w:lineRule="auto"/>
        <w:jc w:val="center"/>
        <w:rPr>
          <w:rFonts w:ascii="Arial" w:hAnsi="Arial" w:cs="Arial"/>
          <w:szCs w:val="24"/>
        </w:rPr>
      </w:pPr>
      <w:r w:rsidRPr="00381F6C">
        <w:rPr>
          <w:rFonts w:ascii="Arial" w:hAnsi="Arial" w:cs="Arial"/>
          <w:szCs w:val="24"/>
        </w:rPr>
        <w:t>Caryn Blitz</w:t>
      </w:r>
    </w:p>
    <w:p w:rsidRPr="005579E4" w:rsidR="003C753D" w:rsidP="003C753D" w:rsidRDefault="006C0719" w14:paraId="65B93970" w14:textId="77777777">
      <w:pPr>
        <w:jc w:val="center"/>
        <w:rPr>
          <w:rFonts w:ascii="Times New Roman" w:hAnsi="Times New Roman"/>
          <w:b/>
          <w:sz w:val="32"/>
          <w:szCs w:val="32"/>
        </w:rPr>
      </w:pPr>
      <w:r>
        <w:rPr>
          <w:rFonts w:ascii="Arial" w:hAnsi="Arial" w:cs="Arial"/>
          <w:szCs w:val="24"/>
        </w:rPr>
        <w:br w:type="page"/>
      </w:r>
      <w:r w:rsidRPr="005579E4" w:rsidR="003C753D">
        <w:rPr>
          <w:rFonts w:ascii="Times New Roman" w:hAnsi="Times New Roman"/>
          <w:b/>
          <w:sz w:val="32"/>
          <w:szCs w:val="32"/>
        </w:rPr>
        <w:lastRenderedPageBreak/>
        <w:t>Part B</w:t>
      </w:r>
    </w:p>
    <w:p w:rsidR="003C753D" w:rsidP="00CE1BF3" w:rsidRDefault="003C753D" w14:paraId="0DDD695D" w14:textId="77777777">
      <w:pPr>
        <w:pStyle w:val="H2"/>
        <w:tabs>
          <w:tab w:val="clear" w:pos="432"/>
          <w:tab w:val="left" w:pos="630"/>
        </w:tabs>
        <w:ind w:left="630" w:hanging="630"/>
      </w:pPr>
      <w:r w:rsidRPr="00CE1BF3">
        <w:t>B1.</w:t>
      </w:r>
      <w:r w:rsidRPr="00CE1BF3">
        <w:tab/>
        <w:t>Objectives</w:t>
      </w:r>
    </w:p>
    <w:p w:rsidR="003C753D" w:rsidP="00CE1BF3" w:rsidRDefault="003C753D" w14:paraId="021FC8F0" w14:textId="77777777">
      <w:pPr>
        <w:pStyle w:val="H3"/>
      </w:pPr>
      <w:r w:rsidRPr="0072072F">
        <w:t>Study Objectives</w:t>
      </w:r>
    </w:p>
    <w:p w:rsidR="003C753D" w:rsidP="00CE1BF3" w:rsidRDefault="003C753D" w14:paraId="186C62DA" w14:textId="77777777">
      <w:pPr>
        <w:pStyle w:val="Paragraph"/>
      </w:pPr>
      <w:r w:rsidRPr="008A7AB2">
        <w:t>The Youth Empowerment</w:t>
      </w:r>
      <w:r>
        <w:t xml:space="preserve"> Information, Data Collection, and Exploration on Avoidance of Sex (IDEAS)</w:t>
      </w:r>
      <w:r w:rsidRPr="008A7AB2">
        <w:t xml:space="preserve"> project</w:t>
      </w:r>
      <w:r>
        <w:t xml:space="preserve"> </w:t>
      </w:r>
      <w:r w:rsidRPr="008A7AB2">
        <w:t xml:space="preserve">is a descriptive study </w:t>
      </w:r>
      <w:r>
        <w:t>designed</w:t>
      </w:r>
      <w:r w:rsidRPr="008A7AB2">
        <w:t xml:space="preserve"> to identify strategies and approaches that resonate with youth and empower them to make healthy and informed decisions related to sexual risk avoidance, teen pregnancy prevention, and their </w:t>
      </w:r>
      <w:r>
        <w:t xml:space="preserve">own </w:t>
      </w:r>
      <w:r w:rsidRPr="008A7AB2">
        <w:t>well-being.</w:t>
      </w:r>
      <w:r w:rsidRPr="0060037B">
        <w:t xml:space="preserve"> </w:t>
      </w:r>
      <w:r>
        <w:t>This is a one-time data collection effort</w:t>
      </w:r>
      <w:r w:rsidRPr="008A7AB2">
        <w:t xml:space="preserve"> </w:t>
      </w:r>
      <w:r>
        <w:t>using</w:t>
      </w:r>
      <w:r w:rsidRPr="008A7AB2">
        <w:t xml:space="preserve"> </w:t>
      </w:r>
      <w:r>
        <w:t xml:space="preserve">four </w:t>
      </w:r>
      <w:r w:rsidRPr="008A7AB2">
        <w:t>survey</w:t>
      </w:r>
      <w:r>
        <w:t xml:space="preserve"> instruments:</w:t>
      </w:r>
      <w:r w:rsidRPr="008A7AB2">
        <w:t xml:space="preserve"> a Youth Survey (ages 14 to 1</w:t>
      </w:r>
      <w:r>
        <w:t>8</w:t>
      </w:r>
      <w:r w:rsidRPr="008A7AB2">
        <w:t>)</w:t>
      </w:r>
      <w:r>
        <w:t xml:space="preserve"> split into Part 1 and Part 2, a</w:t>
      </w:r>
      <w:r w:rsidRPr="008A7AB2">
        <w:t xml:space="preserve"> </w:t>
      </w:r>
      <w:r>
        <w:t>Y</w:t>
      </w:r>
      <w:r w:rsidRPr="008A7AB2">
        <w:t xml:space="preserve">oung </w:t>
      </w:r>
      <w:r>
        <w:t>A</w:t>
      </w:r>
      <w:r w:rsidRPr="008A7AB2">
        <w:t>dult</w:t>
      </w:r>
      <w:r>
        <w:t xml:space="preserve"> Survey</w:t>
      </w:r>
      <w:r w:rsidRPr="008A7AB2">
        <w:t xml:space="preserve"> (ages 1</w:t>
      </w:r>
      <w:r>
        <w:t>9</w:t>
      </w:r>
      <w:r w:rsidRPr="008A7AB2">
        <w:t xml:space="preserve"> to 24), and a Parent Survey of parents of youth ages 14 to 1</w:t>
      </w:r>
      <w:r>
        <w:t xml:space="preserve">8. </w:t>
      </w:r>
    </w:p>
    <w:p w:rsidR="003C753D" w:rsidP="00CE1BF3" w:rsidRDefault="003C753D" w14:paraId="1118F980" w14:textId="77777777">
      <w:pPr>
        <w:pStyle w:val="Paragraph"/>
      </w:pPr>
      <w:r>
        <w:t>The data collected from the surveys will:</w:t>
      </w:r>
    </w:p>
    <w:p w:rsidR="003C753D" w:rsidP="00CE1BF3" w:rsidRDefault="003C753D" w14:paraId="062865BE" w14:textId="77777777">
      <w:pPr>
        <w:pStyle w:val="ListBullet"/>
      </w:pPr>
      <w:r>
        <w:t xml:space="preserve">Provide the Administration for Children and Families (ACF) with current information from youth and parents on topics such as </w:t>
      </w:r>
      <w:bookmarkStart w:name="_Hlk40259449" w:id="1"/>
      <w:r>
        <w:t>communication between youth and parents, attitudes and beliefs about life event sequencing and youth sexual behaviors, and education on topics such as sexual behavior and health and well-being</w:t>
      </w:r>
      <w:bookmarkEnd w:id="1"/>
      <w:r>
        <w:t xml:space="preserve">. </w:t>
      </w:r>
    </w:p>
    <w:p w:rsidR="003C753D" w:rsidP="00CE1BF3" w:rsidRDefault="003C753D" w14:paraId="56D3CD04" w14:textId="4E129850">
      <w:pPr>
        <w:pStyle w:val="ListBullet"/>
      </w:pPr>
      <w:r>
        <w:t>I</w:t>
      </w:r>
      <w:r w:rsidR="009E5D75">
        <w:t xml:space="preserve">nform </w:t>
      </w:r>
      <w:r w:rsidRPr="00613002">
        <w:t>ACF’s efforts to develop and refine programs, tailor educational messages to youth, and empower parents and other adults to help youth avoid or cease sexual risk behaviors.</w:t>
      </w:r>
      <w:r>
        <w:t xml:space="preserve"> </w:t>
      </w:r>
    </w:p>
    <w:p w:rsidRPr="004E1F65" w:rsidR="003C753D" w:rsidP="004B0B60" w:rsidRDefault="003C753D" w14:paraId="394A63FE" w14:textId="7D01C28E">
      <w:pPr>
        <w:pStyle w:val="H3"/>
      </w:pPr>
      <w:r>
        <w:t xml:space="preserve">Generalizability of Results </w:t>
      </w:r>
    </w:p>
    <w:p w:rsidR="003C753D" w:rsidP="004B0B60" w:rsidRDefault="003C753D" w14:paraId="75EAD5B8" w14:textId="6F018B03">
      <w:pPr>
        <w:pStyle w:val="Paragraph"/>
        <w:rPr>
          <w:rFonts w:cstheme="minorHAnsi"/>
          <w:color w:val="000000"/>
        </w:rPr>
      </w:pPr>
      <w:r w:rsidRPr="00B96EE7">
        <w:t xml:space="preserve">This study is intended to produce </w:t>
      </w:r>
      <w:r>
        <w:t xml:space="preserve">internally valid, descriptive </w:t>
      </w:r>
      <w:r w:rsidRPr="00B96EE7">
        <w:t xml:space="preserve">estimates </w:t>
      </w:r>
      <w:r>
        <w:t xml:space="preserve">that </w:t>
      </w:r>
      <w:r w:rsidR="00310ED1">
        <w:t xml:space="preserve">only </w:t>
      </w:r>
      <w:r>
        <w:t>reflect the knowledge and opinions of the AmeriSpeak panel participants,</w:t>
      </w:r>
      <w:r w:rsidRPr="00B96EE7">
        <w:t xml:space="preserve"> </w:t>
      </w:r>
      <w:r>
        <w:t xml:space="preserve">and </w:t>
      </w:r>
      <w:r w:rsidRPr="00B96EE7">
        <w:t xml:space="preserve">not to promote statistical generalization </w:t>
      </w:r>
      <w:r>
        <w:t xml:space="preserve">to the national population. </w:t>
      </w:r>
    </w:p>
    <w:p w:rsidRPr="00DF1291" w:rsidR="003C753D" w:rsidP="004B0B60" w:rsidRDefault="003C753D" w14:paraId="153F6A17" w14:textId="77777777">
      <w:pPr>
        <w:pStyle w:val="H3"/>
      </w:pPr>
      <w:r>
        <w:t xml:space="preserve">Appropriateness of Study Design and Methods for Planned Uses </w:t>
      </w:r>
    </w:p>
    <w:p w:rsidR="003C753D" w:rsidP="00067118" w:rsidRDefault="003C753D" w14:paraId="34AA715D" w14:textId="36E57070">
      <w:pPr>
        <w:pStyle w:val="Paragraph"/>
      </w:pPr>
      <w:r>
        <w:t xml:space="preserve">The data collected with the survey instruments will </w:t>
      </w:r>
      <w:r w:rsidR="003C4012">
        <w:t>inform current and future Adolescent Pregnancy Prevention and Sexual Risk Avoidance Education programs, both within and outside ACF</w:t>
      </w:r>
      <w:r>
        <w:t>. We intend to conduct subgroup analyses by demographics such as region of the United States, gender, and age</w:t>
      </w:r>
      <w:r w:rsidR="004C0672">
        <w:t xml:space="preserve">. </w:t>
      </w:r>
      <w:r w:rsidR="006F5B5F">
        <w:t>Therefore,</w:t>
      </w:r>
      <w:r w:rsidR="004C0672">
        <w:t xml:space="preserve"> NORC’s AmeriSpeak panel, which approximates a representative sample of the U</w:t>
      </w:r>
      <w:r w:rsidR="006F5B5F">
        <w:t>.S. p</w:t>
      </w:r>
      <w:r w:rsidR="004C0672">
        <w:t xml:space="preserve">opulation is a convenient way to reach the target population for this study (see Attachment </w:t>
      </w:r>
      <w:r w:rsidR="00964574">
        <w:t>D</w:t>
      </w:r>
      <w:r w:rsidR="00993CC5">
        <w:t>:</w:t>
      </w:r>
      <w:r w:rsidR="004C0672">
        <w:t xml:space="preserve"> </w:t>
      </w:r>
      <w:r w:rsidRPr="00C83CD6" w:rsidR="004C0672">
        <w:rPr>
          <w:i/>
        </w:rPr>
        <w:t>Technical Overview of</w:t>
      </w:r>
      <w:r w:rsidR="00AE02A7">
        <w:rPr>
          <w:i/>
        </w:rPr>
        <w:t xml:space="preserve"> the</w:t>
      </w:r>
      <w:r w:rsidRPr="00C83CD6" w:rsidR="004C0672">
        <w:rPr>
          <w:i/>
        </w:rPr>
        <w:t xml:space="preserve"> </w:t>
      </w:r>
      <w:r w:rsidR="00F30A51">
        <w:rPr>
          <w:i/>
        </w:rPr>
        <w:t xml:space="preserve">AmeriSpeak </w:t>
      </w:r>
      <w:r w:rsidRPr="00C83CD6" w:rsidR="004C0672">
        <w:rPr>
          <w:i/>
        </w:rPr>
        <w:t>Panel</w:t>
      </w:r>
      <w:r w:rsidR="004C0672">
        <w:t xml:space="preserve"> and Section B2). </w:t>
      </w:r>
      <w:r w:rsidR="006F5B5F">
        <w:t xml:space="preserve">We intend to use the AmeriSpeak panel to generate exploratory evidence that would not be considered representative of the nation at large. </w:t>
      </w:r>
      <w:r w:rsidR="004C0672">
        <w:t>We</w:t>
      </w:r>
      <w:r>
        <w:t xml:space="preserve"> </w:t>
      </w:r>
      <w:r w:rsidR="006F5B5F">
        <w:t xml:space="preserve">will </w:t>
      </w:r>
      <w:r>
        <w:t xml:space="preserve">give appropriate caveats because of the exploratory nature of the study and the use of online panel data. </w:t>
      </w:r>
    </w:p>
    <w:p w:rsidRPr="005C7E12" w:rsidR="00993CC5" w:rsidP="00993CC5" w:rsidRDefault="00993CC5" w14:paraId="54DE38BA" w14:textId="77777777">
      <w:pPr>
        <w:spacing w:before="100" w:beforeAutospacing="1" w:after="100" w:afterAutospacing="1" w:line="240" w:lineRule="auto"/>
        <w:rPr>
          <w:rFonts w:cstheme="minorHAnsi"/>
        </w:rPr>
      </w:pPr>
      <w:r w:rsidRPr="005C7E12">
        <w:rPr>
          <w:rFonts w:cstheme="minorHAnsi"/>
        </w:rPr>
        <w:t xml:space="preserve">As noted in Supporting Statement A, this information is not intended to be used as the principal basis for public policy decisions and is not expected to meet the threshold of influential or highly influential scientific information.   </w:t>
      </w:r>
    </w:p>
    <w:p w:rsidR="00993CC5" w:rsidP="00067118" w:rsidRDefault="00993CC5" w14:paraId="2FF80A83" w14:textId="77777777">
      <w:pPr>
        <w:pStyle w:val="Paragraph"/>
      </w:pPr>
    </w:p>
    <w:p w:rsidRPr="00DF1291" w:rsidR="003C753D" w:rsidP="00067118" w:rsidRDefault="003C753D" w14:paraId="685AD34F" w14:textId="77777777">
      <w:pPr>
        <w:pStyle w:val="H2"/>
        <w:tabs>
          <w:tab w:val="clear" w:pos="432"/>
          <w:tab w:val="left" w:pos="630"/>
        </w:tabs>
        <w:ind w:left="630" w:hanging="630"/>
        <w:rPr>
          <w:rFonts w:cstheme="minorHAnsi"/>
          <w:color w:val="000000"/>
        </w:rPr>
      </w:pPr>
      <w:r w:rsidRPr="00067118">
        <w:t>B2.</w:t>
      </w:r>
      <w:r w:rsidRPr="00067118">
        <w:tab/>
        <w:t>Methods and Design</w:t>
      </w:r>
    </w:p>
    <w:p w:rsidR="003C753D" w:rsidP="00067118" w:rsidRDefault="003C753D" w14:paraId="7F696998" w14:textId="77777777">
      <w:pPr>
        <w:pStyle w:val="H3"/>
      </w:pPr>
      <w:r>
        <w:t xml:space="preserve">Target Population </w:t>
      </w:r>
      <w:r w:rsidRPr="00DF1291">
        <w:t xml:space="preserve"> </w:t>
      </w:r>
    </w:p>
    <w:p w:rsidR="003C753D" w:rsidP="00067118" w:rsidRDefault="003C753D" w14:paraId="0A04DBA4" w14:textId="77777777">
      <w:pPr>
        <w:pStyle w:val="Paragraph"/>
      </w:pPr>
      <w:r>
        <w:t>The target populations for this study are driven by the analytic goals. We plan to conduct analyses with three populations, all recruited through the AmeriSpeak Research Panel. The three populations are:</w:t>
      </w:r>
    </w:p>
    <w:p w:rsidR="003C753D" w:rsidP="00067118" w:rsidRDefault="003C753D" w14:paraId="776AD9F2" w14:textId="77777777">
      <w:pPr>
        <w:pStyle w:val="ListBullet"/>
      </w:pPr>
      <w:r>
        <w:t>Parents</w:t>
      </w:r>
      <w:r>
        <w:rPr>
          <w:rStyle w:val="FootnoteReference"/>
        </w:rPr>
        <w:footnoteReference w:id="2"/>
      </w:r>
      <w:r>
        <w:t xml:space="preserve"> of youth ages 14</w:t>
      </w:r>
      <w:r w:rsidRPr="00DB0585">
        <w:rPr>
          <w:rFonts w:cstheme="minorHAnsi"/>
        </w:rPr>
        <w:t>–</w:t>
      </w:r>
      <w:r>
        <w:t>18, living in the United States, who speak English or Spanish</w:t>
      </w:r>
    </w:p>
    <w:p w:rsidR="003C753D" w:rsidP="00067118" w:rsidRDefault="003C753D" w14:paraId="59382208" w14:textId="77777777">
      <w:pPr>
        <w:pStyle w:val="ListBullet"/>
      </w:pPr>
      <w:r>
        <w:t>Youth ages 14</w:t>
      </w:r>
      <w:r w:rsidRPr="00DB0585">
        <w:rPr>
          <w:rFonts w:cstheme="minorHAnsi"/>
        </w:rPr>
        <w:t>–</w:t>
      </w:r>
      <w:r>
        <w:t xml:space="preserve">18, living in the United States, who speak English or Spanish </w:t>
      </w:r>
    </w:p>
    <w:p w:rsidR="003C753D" w:rsidP="00067118" w:rsidRDefault="003C753D" w14:paraId="597E7654" w14:textId="77777777">
      <w:pPr>
        <w:pStyle w:val="ListBullet"/>
      </w:pPr>
      <w:r>
        <w:t>Young adults ages 19</w:t>
      </w:r>
      <w:r w:rsidRPr="00DB0585">
        <w:rPr>
          <w:rFonts w:cstheme="minorHAnsi"/>
        </w:rPr>
        <w:t>–</w:t>
      </w:r>
      <w:r>
        <w:t>24, living in the United States, who speak English or Spanish</w:t>
      </w:r>
    </w:p>
    <w:p w:rsidR="003C753D" w:rsidP="00067118" w:rsidRDefault="003C753D" w14:paraId="68A54518" w14:textId="77777777">
      <w:pPr>
        <w:pStyle w:val="ParagraphContinued"/>
      </w:pPr>
      <w:r>
        <w:t>We also plan to conduct a set of dyad analyses matching parents’ data with their children’s data to compare the responses of the two groups on similar survey questions.</w:t>
      </w:r>
    </w:p>
    <w:p w:rsidR="003C753D" w:rsidP="00067118" w:rsidRDefault="003C753D" w14:paraId="0DEC0663" w14:textId="20042FBE">
      <w:pPr>
        <w:pStyle w:val="Paragraph"/>
      </w:pPr>
      <w:r>
        <w:t>Table B2.1 indicates the target population size in NORC’s AmeriSpeak panel for each population of interest. Because the youth sample is developed directly from the parent sample and may include both youth who are in the panel and youth who are not in the panel, the number in the table is an estimate based on NORC’s experience with this age group.</w:t>
      </w:r>
      <w:r w:rsidR="00ED0509">
        <w:t xml:space="preserve"> Sampling procedures are discussed further below. </w:t>
      </w:r>
    </w:p>
    <w:p w:rsidR="003C753D" w:rsidP="00067118" w:rsidRDefault="003C753D" w14:paraId="32BD6107" w14:textId="77777777">
      <w:pPr>
        <w:pStyle w:val="H3"/>
      </w:pPr>
      <w:r>
        <w:t xml:space="preserve">Sampling </w:t>
      </w:r>
    </w:p>
    <w:p w:rsidR="003C753D" w:rsidP="00067118" w:rsidRDefault="003C753D" w14:paraId="26400C15" w14:textId="323283A0">
      <w:pPr>
        <w:pStyle w:val="Paragraph"/>
      </w:pPr>
      <w:bookmarkStart w:name="_Hlk36713212" w:id="2"/>
      <w:r>
        <w:t xml:space="preserve">The Youth (both parts), Young Adult, and Parent </w:t>
      </w:r>
      <w:r w:rsidR="00714A88">
        <w:t>S</w:t>
      </w:r>
      <w:r>
        <w:t xml:space="preserve">urveys will be administered online using NORC’s AmeriSpeak research panel and will use a multi-stage sampling method that varies by the target population. Sampling begins with NORC’s creation of the AmeriSpeak Panel, as described below. Then, for the </w:t>
      </w:r>
      <w:r w:rsidR="00714A88">
        <w:t>P</w:t>
      </w:r>
      <w:r>
        <w:t xml:space="preserve">arent and </w:t>
      </w:r>
      <w:r w:rsidR="00714A88">
        <w:t>Y</w:t>
      </w:r>
      <w:r>
        <w:t xml:space="preserve">outh </w:t>
      </w:r>
      <w:r w:rsidR="00714A88">
        <w:t>S</w:t>
      </w:r>
      <w:r>
        <w:t>urveys, sampling takes place first at the panel level by selecting all panel households in the target population</w:t>
      </w:r>
      <w:r w:rsidR="00997AFF">
        <w:t>. This step is</w:t>
      </w:r>
      <w:r>
        <w:t xml:space="preserve"> </w:t>
      </w:r>
      <w:r w:rsidRPr="005B0534">
        <w:t xml:space="preserve">followed by </w:t>
      </w:r>
      <w:r>
        <w:t>within-</w:t>
      </w:r>
      <w:r w:rsidRPr="005B0534">
        <w:t>panel</w:t>
      </w:r>
      <w:r w:rsidRPr="00DB0585">
        <w:rPr>
          <w:rFonts w:cstheme="minorHAnsi"/>
        </w:rPr>
        <w:t>–</w:t>
      </w:r>
      <w:r w:rsidRPr="005B0534">
        <w:t>level</w:t>
      </w:r>
      <w:r w:rsidR="00ED0509">
        <w:t xml:space="preserve">, random </w:t>
      </w:r>
      <w:r w:rsidRPr="005B0534">
        <w:t xml:space="preserve">sampling of </w:t>
      </w:r>
      <w:r>
        <w:t>one</w:t>
      </w:r>
      <w:r w:rsidRPr="005B0534">
        <w:t xml:space="preserve"> parent</w:t>
      </w:r>
      <w:r>
        <w:t xml:space="preserve"> (if a known two-parent home)</w:t>
      </w:r>
      <w:r w:rsidR="00436765">
        <w:t xml:space="preserve"> as well as</w:t>
      </w:r>
      <w:r>
        <w:t xml:space="preserve"> within-household</w:t>
      </w:r>
      <w:r w:rsidR="00ED0509">
        <w:t>, random</w:t>
      </w:r>
      <w:r>
        <w:t xml:space="preserve"> sampling of the youth based on household rostering of all youth who live in the household and fit the eligibility criteria for the Youth Survey</w:t>
      </w:r>
      <w:r w:rsidR="00ED0509">
        <w:t xml:space="preserve"> (within-household sampling procedures are discussed further below).</w:t>
      </w:r>
      <w:r>
        <w:t xml:space="preserve"> For the Young Adult Survey, sampling takes place only at the panel level, with all eligible young adults in the panel selected for this survey. </w:t>
      </w:r>
      <w:bookmarkEnd w:id="2"/>
      <w:r>
        <w:t>The stages of sampling are described in detail next.</w:t>
      </w:r>
    </w:p>
    <w:p w:rsidR="00BC748F" w:rsidP="00067118" w:rsidRDefault="003C753D" w14:paraId="007D0ABB" w14:textId="791F597D">
      <w:pPr>
        <w:pStyle w:val="Paragraph"/>
        <w:rPr>
          <w:rFonts w:cs="Arial"/>
        </w:rPr>
      </w:pPr>
      <w:bookmarkStart w:name="_Hlk36715259" w:id="3"/>
      <w:r w:rsidRPr="008669D9">
        <w:rPr>
          <w:b/>
          <w:bCs/>
        </w:rPr>
        <w:t>NORC’s AmeriSpeak Panel Sampling Procedures</w:t>
      </w:r>
      <w:r>
        <w:t xml:space="preserve">. The AmeriSpeak panel is constructed from NORC’s National Frame, an area probability sample used for other NORC surveys such as the General Social Survey (GSS). Building of </w:t>
      </w:r>
      <w:r w:rsidRPr="00CE3747">
        <w:t xml:space="preserve">NORC’s National Frame begins with an area </w:t>
      </w:r>
      <w:r w:rsidRPr="00CE3747">
        <w:lastRenderedPageBreak/>
        <w:t xml:space="preserve">probability sample </w:t>
      </w:r>
      <w:r>
        <w:t xml:space="preserve">that is </w:t>
      </w:r>
      <w:r w:rsidRPr="00CE3747">
        <w:t>constructed using a two-stage probability sample design.</w:t>
      </w:r>
      <w:r w:rsidRPr="00CE3747">
        <w:rPr>
          <w:rStyle w:val="FootnoteReference"/>
        </w:rPr>
        <w:footnoteReference w:id="3"/>
      </w:r>
      <w:r w:rsidRPr="00CE3747">
        <w:rPr>
          <w:vertAlign w:val="superscript"/>
        </w:rPr>
        <w:t xml:space="preserve"> </w:t>
      </w:r>
      <w:r>
        <w:t>Made up of</w:t>
      </w:r>
      <w:r w:rsidRPr="00CE3747">
        <w:rPr>
          <w:rFonts w:cs="Arial"/>
        </w:rPr>
        <w:t xml:space="preserve"> almost 3 million households</w:t>
      </w:r>
      <w:r>
        <w:rPr>
          <w:rFonts w:cs="Arial"/>
        </w:rPr>
        <w:t xml:space="preserve"> </w:t>
      </w:r>
      <w:r w:rsidRPr="00CE3747">
        <w:rPr>
          <w:rFonts w:cs="Arial"/>
        </w:rPr>
        <w:t>in all 50 states and the District of Columbia</w:t>
      </w:r>
      <w:r>
        <w:rPr>
          <w:rFonts w:cs="Arial"/>
        </w:rPr>
        <w:t>,</w:t>
      </w:r>
      <w:r w:rsidRPr="00CE3747">
        <w:rPr>
          <w:rFonts w:cs="Arial"/>
        </w:rPr>
        <w:t xml:space="preserve"> </w:t>
      </w:r>
      <w:r>
        <w:rPr>
          <w:rFonts w:cs="Arial"/>
        </w:rPr>
        <w:t>the frame also includes</w:t>
      </w:r>
      <w:r w:rsidRPr="00CE3747">
        <w:rPr>
          <w:rFonts w:cs="Arial"/>
        </w:rPr>
        <w:t xml:space="preserve"> over 80,000 rural households </w:t>
      </w:r>
      <w:r>
        <w:rPr>
          <w:rFonts w:cs="Arial"/>
        </w:rPr>
        <w:t xml:space="preserve">whose information is </w:t>
      </w:r>
      <w:r w:rsidRPr="00CE3747">
        <w:rPr>
          <w:rFonts w:cs="Arial"/>
        </w:rPr>
        <w:t xml:space="preserve">not available </w:t>
      </w:r>
      <w:r>
        <w:rPr>
          <w:rFonts w:cs="Arial"/>
        </w:rPr>
        <w:t>in</w:t>
      </w:r>
      <w:r w:rsidRPr="00CE3747">
        <w:rPr>
          <w:rFonts w:cs="Arial"/>
        </w:rPr>
        <w:t xml:space="preserve"> the U</w:t>
      </w:r>
      <w:r>
        <w:rPr>
          <w:rFonts w:cs="Arial"/>
        </w:rPr>
        <w:t>.</w:t>
      </w:r>
      <w:r w:rsidRPr="00CE3747">
        <w:rPr>
          <w:rFonts w:cs="Arial"/>
        </w:rPr>
        <w:t>S</w:t>
      </w:r>
      <w:r>
        <w:rPr>
          <w:rFonts w:cs="Arial"/>
        </w:rPr>
        <w:t>.</w:t>
      </w:r>
      <w:r w:rsidRPr="00CE3747">
        <w:rPr>
          <w:rFonts w:cs="Arial"/>
        </w:rPr>
        <w:t xml:space="preserve"> Postal Service Delivery Sequence File (USPS DSF)</w:t>
      </w:r>
      <w:r>
        <w:rPr>
          <w:rFonts w:cs="Arial"/>
        </w:rPr>
        <w:t xml:space="preserve">, but who are </w:t>
      </w:r>
      <w:r w:rsidRPr="00CE3747">
        <w:rPr>
          <w:rFonts w:cs="Arial"/>
        </w:rPr>
        <w:t xml:space="preserve">identified by </w:t>
      </w:r>
      <w:r>
        <w:rPr>
          <w:rFonts w:cs="Arial"/>
        </w:rPr>
        <w:t xml:space="preserve">NORC field staff through </w:t>
      </w:r>
      <w:r w:rsidRPr="00CE3747">
        <w:rPr>
          <w:rFonts w:cs="Arial"/>
        </w:rPr>
        <w:t>direct listing</w:t>
      </w:r>
      <w:r>
        <w:rPr>
          <w:rFonts w:cs="Arial"/>
        </w:rPr>
        <w:t xml:space="preserve">. </w:t>
      </w:r>
    </w:p>
    <w:p w:rsidR="003C753D" w:rsidP="00067118" w:rsidRDefault="003C753D" w14:paraId="10E30AD3" w14:textId="69B74BD9">
      <w:pPr>
        <w:pStyle w:val="Paragraph"/>
      </w:pPr>
      <w:r w:rsidRPr="00CE3747">
        <w:t>The AmeriSpeak panel</w:t>
      </w:r>
      <w:r>
        <w:t xml:space="preserve"> is created by sampling and recruiting</w:t>
      </w:r>
      <w:r w:rsidRPr="00CE3747">
        <w:t xml:space="preserve"> </w:t>
      </w:r>
      <w:r>
        <w:t xml:space="preserve">households from </w:t>
      </w:r>
      <w:r w:rsidRPr="00CE3747">
        <w:t>NORC’s National Frame of addresses using probability-based sampling in conjunction with mail, telephone, and in-person</w:t>
      </w:r>
      <w:r>
        <w:t xml:space="preserve"> (face-to-face)</w:t>
      </w:r>
      <w:r w:rsidRPr="00CE3747">
        <w:t xml:space="preserve"> contacts. </w:t>
      </w:r>
      <w:r>
        <w:t>The panel also recruits from an</w:t>
      </w:r>
      <w:r w:rsidRPr="00CE3747">
        <w:t xml:space="preserve"> address-based sample from the USPS delivery sequence file in four states </w:t>
      </w:r>
      <w:r w:rsidRPr="00981E8B">
        <w:t>where the NORC National Frame has inadequate sample size. Once a household is recruited, NORC works with the primary household</w:t>
      </w:r>
      <w:r>
        <w:t>-</w:t>
      </w:r>
      <w:r w:rsidRPr="00981E8B">
        <w:t>level respondent to recruit other, within-household members into the panel. Thus</w:t>
      </w:r>
      <w:r>
        <w:t xml:space="preserve">, the AmeriSpeak panel will not necessarily include every member of every household in the panel. However, recruited households can add household members into the panel at any time, which will be useful for the purposes of the Youth Survey and the within-household sampling procedures (described below). Table B2.1 shows the total population for each of the </w:t>
      </w:r>
      <w:r w:rsidR="00113AF0">
        <w:t xml:space="preserve">Youth Empowerment </w:t>
      </w:r>
      <w:r>
        <w:t>IDEA</w:t>
      </w:r>
      <w:r w:rsidR="00113AF0">
        <w:t>S project</w:t>
      </w:r>
      <w:r>
        <w:t xml:space="preserve"> survey target groups in NORC’s AmeriSpeak </w:t>
      </w:r>
      <w:r w:rsidR="00B901FE">
        <w:t>p</w:t>
      </w:r>
      <w:r>
        <w:t>anel.</w:t>
      </w:r>
    </w:p>
    <w:p w:rsidR="00067118" w:rsidP="003C753D" w:rsidRDefault="00067118" w14:paraId="3BA5DA75" w14:textId="77777777">
      <w:pPr>
        <w:pStyle w:val="MarkforTableHeading"/>
        <w:sectPr w:rsidR="00067118" w:rsidSect="006C0719">
          <w:headerReference w:type="default" r:id="rId11"/>
          <w:footerReference w:type="default" r:id="rId12"/>
          <w:headerReference w:type="first" r:id="rId13"/>
          <w:footerReference w:type="first" r:id="rId14"/>
          <w:type w:val="continuous"/>
          <w:pgSz w:w="12240" w:h="15840" w:code="1"/>
          <w:pgMar w:top="1440" w:right="1440" w:bottom="1440" w:left="1440" w:header="720" w:footer="720" w:gutter="0"/>
          <w:pgNumType w:start="1"/>
          <w:cols w:space="360"/>
          <w:titlePg/>
          <w:docGrid w:linePitch="360"/>
        </w:sectPr>
      </w:pPr>
      <w:bookmarkStart w:name="_Hlk36715240" w:id="4"/>
      <w:bookmarkEnd w:id="3"/>
    </w:p>
    <w:p w:rsidRPr="0052331E" w:rsidR="003C753D" w:rsidP="009468B5" w:rsidRDefault="003C753D" w14:paraId="71230D74" w14:textId="37E5C2B0">
      <w:pPr>
        <w:pStyle w:val="TableTitle"/>
      </w:pPr>
      <w:r>
        <w:lastRenderedPageBreak/>
        <w:t>Table B2.1</w:t>
      </w:r>
      <w:r w:rsidRPr="00074F86">
        <w:t>.</w:t>
      </w:r>
      <w:r>
        <w:t xml:space="preserve"> </w:t>
      </w:r>
      <w:r w:rsidR="00113AF0">
        <w:t xml:space="preserve">Youth Empowerment </w:t>
      </w:r>
      <w:r>
        <w:t>IDEAS</w:t>
      </w:r>
      <w:r w:rsidR="00113AF0">
        <w:t xml:space="preserve"> project:</w:t>
      </w:r>
      <w:r>
        <w:t xml:space="preserve"> </w:t>
      </w:r>
      <w:r w:rsidR="00113AF0">
        <w:t>S</w:t>
      </w:r>
      <w:r>
        <w:t>urvey target populations in NORC’s AmeriSpeak panel</w:t>
      </w:r>
    </w:p>
    <w:tbl>
      <w:tblPr>
        <w:tblW w:w="4183" w:type="pct"/>
        <w:tblBorders>
          <w:bottom w:val="single" w:color="auto" w:sz="8" w:space="0"/>
        </w:tblBorders>
        <w:tblLook w:val="04A0" w:firstRow="1" w:lastRow="0" w:firstColumn="1" w:lastColumn="0" w:noHBand="0" w:noVBand="1"/>
      </w:tblPr>
      <w:tblGrid>
        <w:gridCol w:w="2965"/>
        <w:gridCol w:w="4866"/>
      </w:tblGrid>
      <w:tr w:rsidRPr="008556EB" w:rsidR="00BC748F" w:rsidTr="00BC748F" w14:paraId="5DDDD780" w14:textId="77777777">
        <w:trPr>
          <w:trHeight w:val="521"/>
        </w:trPr>
        <w:tc>
          <w:tcPr>
            <w:tcW w:w="1893" w:type="pct"/>
            <w:shd w:val="clear" w:color="auto" w:fill="046B5C" w:themeFill="text2"/>
            <w:vAlign w:val="bottom"/>
          </w:tcPr>
          <w:p w:rsidRPr="008556EB" w:rsidR="00BC748F" w:rsidP="009468B5" w:rsidRDefault="00BC748F" w14:paraId="68C812F3" w14:textId="77777777">
            <w:pPr>
              <w:pStyle w:val="TableHeaderLeft"/>
            </w:pPr>
            <w:r w:rsidRPr="008556EB">
              <w:t>Respondent</w:t>
            </w:r>
          </w:p>
        </w:tc>
        <w:tc>
          <w:tcPr>
            <w:tcW w:w="3107" w:type="pct"/>
            <w:shd w:val="clear" w:color="auto" w:fill="046B5C" w:themeFill="text2"/>
          </w:tcPr>
          <w:p w:rsidR="00BC748F" w:rsidP="009468B5" w:rsidRDefault="00BC748F" w14:paraId="36FE8916" w14:textId="77777777">
            <w:pPr>
              <w:pStyle w:val="TableHeaderCenter"/>
            </w:pPr>
            <w:r>
              <w:t>Eligible sample in AmeriSpeak panel</w:t>
            </w:r>
          </w:p>
        </w:tc>
      </w:tr>
      <w:tr w:rsidRPr="008556EB" w:rsidR="00BC748F" w:rsidTr="00BC748F" w14:paraId="1B03AC65" w14:textId="77777777">
        <w:tc>
          <w:tcPr>
            <w:tcW w:w="1893" w:type="pct"/>
            <w:shd w:val="clear" w:color="auto" w:fill="auto"/>
          </w:tcPr>
          <w:p w:rsidRPr="008556EB" w:rsidR="00BC748F" w:rsidP="009468B5" w:rsidRDefault="00BC748F" w14:paraId="22A1206B" w14:textId="77777777">
            <w:pPr>
              <w:pStyle w:val="TableTextLeft"/>
            </w:pPr>
            <w:r w:rsidRPr="008556EB">
              <w:t>Parents of youth ages 14</w:t>
            </w:r>
            <w:r w:rsidRPr="00DB0585">
              <w:rPr>
                <w:rFonts w:cstheme="minorHAnsi"/>
              </w:rPr>
              <w:t>–</w:t>
            </w:r>
            <w:r w:rsidRPr="008556EB">
              <w:t>1</w:t>
            </w:r>
            <w:r>
              <w:t>8</w:t>
            </w:r>
          </w:p>
        </w:tc>
        <w:tc>
          <w:tcPr>
            <w:tcW w:w="3107" w:type="pct"/>
          </w:tcPr>
          <w:p w:rsidR="00BC748F" w:rsidP="009468B5" w:rsidRDefault="00BC748F" w14:paraId="419F6572" w14:textId="75049806">
            <w:pPr>
              <w:pStyle w:val="TableTextCentered"/>
            </w:pPr>
            <w:r>
              <w:t>4,586</w:t>
            </w:r>
          </w:p>
        </w:tc>
      </w:tr>
      <w:tr w:rsidRPr="008556EB" w:rsidR="00BC748F" w:rsidTr="00BC748F" w14:paraId="162F746A" w14:textId="77777777">
        <w:tc>
          <w:tcPr>
            <w:tcW w:w="1893" w:type="pct"/>
            <w:shd w:val="clear" w:color="auto" w:fill="E0D4B5" w:themeFill="background2"/>
          </w:tcPr>
          <w:p w:rsidRPr="008556EB" w:rsidR="00BC748F" w:rsidP="009468B5" w:rsidRDefault="00BC748F" w14:paraId="76F95A55" w14:textId="77777777">
            <w:pPr>
              <w:pStyle w:val="TableTextLeft"/>
            </w:pPr>
            <w:r>
              <w:t>Youth ages 14</w:t>
            </w:r>
            <w:r w:rsidRPr="00DB0585">
              <w:rPr>
                <w:rFonts w:cstheme="minorHAnsi"/>
              </w:rPr>
              <w:t>–</w:t>
            </w:r>
            <w:r>
              <w:t>18</w:t>
            </w:r>
          </w:p>
        </w:tc>
        <w:tc>
          <w:tcPr>
            <w:tcW w:w="3107" w:type="pct"/>
            <w:shd w:val="clear" w:color="auto" w:fill="E0D4B5" w:themeFill="background2"/>
          </w:tcPr>
          <w:p w:rsidR="00BC748F" w:rsidP="009468B5" w:rsidRDefault="00BA15CD" w14:paraId="6A4FE5CA" w14:textId="3CB852FE">
            <w:pPr>
              <w:pStyle w:val="TableTextCentered"/>
            </w:pPr>
            <w:r>
              <w:t xml:space="preserve">Up to </w:t>
            </w:r>
            <w:r w:rsidRPr="00981E8B" w:rsidR="00BC748F">
              <w:t>1,240</w:t>
            </w:r>
            <w:r w:rsidRPr="009468B5" w:rsidR="00BC748F">
              <w:rPr>
                <w:vertAlign w:val="superscript"/>
              </w:rPr>
              <w:t>a</w:t>
            </w:r>
          </w:p>
        </w:tc>
      </w:tr>
      <w:tr w:rsidRPr="008556EB" w:rsidR="00BC748F" w:rsidTr="00BC748F" w14:paraId="43521375" w14:textId="77777777">
        <w:tc>
          <w:tcPr>
            <w:tcW w:w="1893" w:type="pct"/>
            <w:shd w:val="clear" w:color="auto" w:fill="auto"/>
          </w:tcPr>
          <w:p w:rsidRPr="008556EB" w:rsidR="00BC748F" w:rsidP="009468B5" w:rsidRDefault="00BC748F" w14:paraId="3591CDEA" w14:textId="77777777">
            <w:pPr>
              <w:pStyle w:val="TableTextLeft"/>
            </w:pPr>
            <w:r>
              <w:t>Young adults ages 19</w:t>
            </w:r>
            <w:r w:rsidRPr="00DB0585">
              <w:rPr>
                <w:rFonts w:cstheme="minorHAnsi"/>
              </w:rPr>
              <w:t>–</w:t>
            </w:r>
            <w:r>
              <w:t>24</w:t>
            </w:r>
          </w:p>
        </w:tc>
        <w:tc>
          <w:tcPr>
            <w:tcW w:w="3107" w:type="pct"/>
          </w:tcPr>
          <w:p w:rsidR="00BC748F" w:rsidP="009468B5" w:rsidRDefault="00BC748F" w14:paraId="3FBCA6A6" w14:textId="77777777">
            <w:pPr>
              <w:pStyle w:val="TableTextCentered"/>
            </w:pPr>
            <w:r w:rsidRPr="00295165">
              <w:t>3,</w:t>
            </w:r>
            <w:r>
              <w:t>183</w:t>
            </w:r>
          </w:p>
        </w:tc>
      </w:tr>
    </w:tbl>
    <w:p w:rsidR="003C753D" w:rsidP="009468B5" w:rsidRDefault="009468B5" w14:paraId="3EC15196" w14:textId="70DF801F">
      <w:pPr>
        <w:pStyle w:val="TableFootnote"/>
      </w:pPr>
      <w:r w:rsidRPr="009468B5">
        <w:rPr>
          <w:vertAlign w:val="superscript"/>
        </w:rPr>
        <w:t>a</w:t>
      </w:r>
      <w:r w:rsidR="009112D5">
        <w:rPr>
          <w:vertAlign w:val="superscript"/>
        </w:rPr>
        <w:t xml:space="preserve"> </w:t>
      </w:r>
      <w:r w:rsidRPr="001938F0" w:rsidR="003C753D">
        <w:t>Youth sample will be developed</w:t>
      </w:r>
      <w:r w:rsidR="003C753D">
        <w:t xml:space="preserve"> by randomly sampling one eligible youth from a household roster within the Parent Survey. Some of the youth sampled will be part of the AmeriSpeak panel. Others will not be in the </w:t>
      </w:r>
      <w:r w:rsidR="00310ED1">
        <w:t>panel but</w:t>
      </w:r>
      <w:r w:rsidR="003C753D">
        <w:t xml:space="preserve"> will still be sampled and</w:t>
      </w:r>
      <w:r>
        <w:t xml:space="preserve"> </w:t>
      </w:r>
      <w:r w:rsidR="003C753D">
        <w:t>invited to participate in the Youth Survey.</w:t>
      </w:r>
      <w:r w:rsidR="00BA15CD">
        <w:t xml:space="preserve"> The total sample size for the Youth Survey </w:t>
      </w:r>
      <w:r w:rsidR="00A250CD">
        <w:t xml:space="preserve">both in and out of the AmeriSpeak Panel </w:t>
      </w:r>
      <w:r w:rsidR="00BA15CD">
        <w:t>is 1,240</w:t>
      </w:r>
      <w:r w:rsidR="003C753D">
        <w:t>.</w:t>
      </w:r>
    </w:p>
    <w:bookmarkEnd w:id="4"/>
    <w:p w:rsidR="003C753D" w:rsidP="0005152D" w:rsidRDefault="003C753D" w14:paraId="21A69AF1" w14:textId="3A1864C4">
      <w:pPr>
        <w:pStyle w:val="ParagraphContinued"/>
      </w:pPr>
      <w:r w:rsidRPr="006C365C">
        <w:rPr>
          <w:b/>
          <w:bCs/>
        </w:rPr>
        <w:t>Within</w:t>
      </w:r>
      <w:r>
        <w:rPr>
          <w:b/>
          <w:bCs/>
        </w:rPr>
        <w:t>-</w:t>
      </w:r>
      <w:r w:rsidRPr="006C365C">
        <w:rPr>
          <w:b/>
          <w:bCs/>
        </w:rPr>
        <w:t>Household Sampling for Parent and Youth Surveys</w:t>
      </w:r>
      <w:r>
        <w:t>. The Parent Survey will include all 4,586 AmeriSpeak households with at least one panel member who lives in the United States, who speaks English or Spanish, and who is a parent of a youth age 14</w:t>
      </w:r>
      <w:r w:rsidRPr="00DB0585">
        <w:rPr>
          <w:rFonts w:cstheme="minorHAnsi"/>
        </w:rPr>
        <w:t>–</w:t>
      </w:r>
      <w:r>
        <w:t xml:space="preserve">18 living in the same household. More than one parent in a household may be in the AmeriSpeak panel. Ahead of data collection, we will select the parents for the Parent Survey. In two-parent households when both parents are known panel members, we will randomly sample one </w:t>
      </w:r>
      <w:r w:rsidR="004A3E89">
        <w:t xml:space="preserve">parent </w:t>
      </w:r>
      <w:r>
        <w:t xml:space="preserve">to receive the Parent Survey invitation.  </w:t>
      </w:r>
    </w:p>
    <w:p w:rsidR="003C753D" w:rsidP="0005152D" w:rsidRDefault="003C753D" w14:paraId="0F92E0A0" w14:textId="69D0A12F">
      <w:pPr>
        <w:pStyle w:val="Paragraph"/>
      </w:pPr>
      <w:r>
        <w:t xml:space="preserve">To </w:t>
      </w:r>
      <w:r w:rsidR="002E1F8D">
        <w:t xml:space="preserve">identify eligible </w:t>
      </w:r>
      <w:r>
        <w:t>youth for the Youth Survey, the Parent Survey roster</w:t>
      </w:r>
      <w:r w:rsidR="002E1F8D">
        <w:t>s all youth ages 14-18 living</w:t>
      </w:r>
      <w:r w:rsidR="00462F5C">
        <w:t xml:space="preserve"> at least half time</w:t>
      </w:r>
      <w:r w:rsidR="002E1F8D">
        <w:t xml:space="preserve"> in the</w:t>
      </w:r>
      <w:r w:rsidR="005D23CA">
        <w:t xml:space="preserve"> parent respondent’s</w:t>
      </w:r>
      <w:r w:rsidR="002E1F8D">
        <w:t xml:space="preserve"> household</w:t>
      </w:r>
      <w:r w:rsidR="005D23CA">
        <w:t>, requesting the</w:t>
      </w:r>
      <w:r w:rsidR="00547272">
        <w:t xml:space="preserve"> youth’s</w:t>
      </w:r>
      <w:r>
        <w:t xml:space="preserve"> first name</w:t>
      </w:r>
      <w:r w:rsidR="00547272">
        <w:t>,</w:t>
      </w:r>
      <w:r>
        <w:t xml:space="preserve"> age</w:t>
      </w:r>
      <w:r w:rsidR="005D23CA">
        <w:t xml:space="preserve">, and </w:t>
      </w:r>
      <w:r>
        <w:t>their relationship to the parent respondent.</w:t>
      </w:r>
      <w:r w:rsidR="00547272">
        <w:t xml:space="preserve"> One youth per household will be selected for the Youth Survey.</w:t>
      </w:r>
      <w:r>
        <w:t xml:space="preserve"> If the household contains more than one youth meeting the requirements for the target population, the</w:t>
      </w:r>
      <w:r w:rsidR="00D24308">
        <w:t xml:space="preserve"> web</w:t>
      </w:r>
      <w:r>
        <w:t xml:space="preserve"> survey </w:t>
      </w:r>
      <w:r w:rsidR="00462F5C">
        <w:t xml:space="preserve">will use </w:t>
      </w:r>
      <w:r>
        <w:t>an algorithm to randomly select one</w:t>
      </w:r>
      <w:r w:rsidR="00547272">
        <w:t xml:space="preserve"> </w:t>
      </w:r>
      <w:r w:rsidR="00462F5C">
        <w:t>youth for the study</w:t>
      </w:r>
      <w:r>
        <w:t>. At the end of the Parent Survey, parents will be asked to provide consent to contact the sampled youth by email for the Youth Survey. Through this process, we will create the sample for the Youth Survey. The youth sampling cannot be done before the Parent Survey is completed</w:t>
      </w:r>
      <w:r w:rsidR="002C0E8A">
        <w:t xml:space="preserve"> because 1) parental consent is required to proceed with the Youth Survey, and 2)</w:t>
      </w:r>
      <w:r>
        <w:t xml:space="preserve"> not all members of a household are in the panel, and those who are, may have had a living arrangement change (for example, moved out) between the time they were recruited into the panel and the time of the survey invitation for this study. As noted, some youth will be members of the AmeriSpeak panel, and others will not. We will attempt to conduct the survey with all sampled youth, even those not currently listed as panel members. </w:t>
      </w:r>
      <w:r w:rsidR="00D24308">
        <w:t>We anticipate a total sample of 1,240 youth.</w:t>
      </w:r>
    </w:p>
    <w:p w:rsidR="003C753D" w:rsidP="0005152D" w:rsidRDefault="003C753D" w14:paraId="10C02222" w14:textId="7B69615C">
      <w:pPr>
        <w:pStyle w:val="Paragraph"/>
      </w:pPr>
      <w:r>
        <w:rPr>
          <w:b/>
          <w:bCs/>
        </w:rPr>
        <w:t>Sampling Young Adults</w:t>
      </w:r>
      <w:r>
        <w:t>. The Young Adult Survey will be a census of all adults ages 19</w:t>
      </w:r>
      <w:r w:rsidRPr="00DB0585">
        <w:rPr>
          <w:rFonts w:cstheme="minorHAnsi"/>
        </w:rPr>
        <w:t>–</w:t>
      </w:r>
      <w:r>
        <w:t>24 in the AmeriSpeak panel</w:t>
      </w:r>
      <w:r w:rsidR="00AD06E3">
        <w:t xml:space="preserve"> who live in the United States and </w:t>
      </w:r>
      <w:r w:rsidR="009C7121">
        <w:t xml:space="preserve">speak </w:t>
      </w:r>
      <w:r w:rsidR="00AD06E3">
        <w:t>English or Spanish</w:t>
      </w:r>
      <w:r>
        <w:t xml:space="preserve">, for a total of 3,183 panel members. </w:t>
      </w:r>
    </w:p>
    <w:p w:rsidR="003C753D" w:rsidP="0005152D" w:rsidRDefault="003C753D" w14:paraId="35EA3B2F" w14:textId="03C48116">
      <w:pPr>
        <w:pStyle w:val="Paragraph"/>
      </w:pPr>
      <w:r w:rsidRPr="00D37EB1">
        <w:rPr>
          <w:b/>
          <w:bCs/>
        </w:rPr>
        <w:t>NORC’s AmeriSpeak Panel Response Rate.</w:t>
      </w:r>
      <w:r w:rsidRPr="00CE3747">
        <w:t xml:space="preserve"> NORC has formally documented the</w:t>
      </w:r>
      <w:r>
        <w:t xml:space="preserve"> response rate </w:t>
      </w:r>
      <w:r w:rsidR="00D24308">
        <w:t>of</w:t>
      </w:r>
      <w:r>
        <w:t xml:space="preserve"> recruitment efforts for the AmeriSpeak household-level panel (Montgomery et al. 2016).</w:t>
      </w:r>
      <w:r w:rsidRPr="00CE3747">
        <w:t xml:space="preserve"> </w:t>
      </w:r>
      <w:r>
        <w:t xml:space="preserve">Using the </w:t>
      </w:r>
      <w:r w:rsidRPr="00CE3747">
        <w:t>American Association of Public Opinion Research (AAPOR) response rate</w:t>
      </w:r>
      <w:r>
        <w:t xml:space="preserve"> 3</w:t>
      </w:r>
      <w:r w:rsidRPr="00CE3747">
        <w:t xml:space="preserve"> </w:t>
      </w:r>
      <w:r>
        <w:t>(</w:t>
      </w:r>
      <w:r w:rsidRPr="00CE3747">
        <w:t>RR3</w:t>
      </w:r>
      <w:r>
        <w:t>)</w:t>
      </w:r>
      <w:r w:rsidRPr="00CE3747">
        <w:t xml:space="preserve"> </w:t>
      </w:r>
      <w:r>
        <w:lastRenderedPageBreak/>
        <w:t xml:space="preserve">calculation, the </w:t>
      </w:r>
      <w:r w:rsidRPr="00CE3747">
        <w:t>2014</w:t>
      </w:r>
      <w:r w:rsidRPr="00DB0585">
        <w:rPr>
          <w:rFonts w:cstheme="minorHAnsi"/>
        </w:rPr>
        <w:t>–</w:t>
      </w:r>
      <w:r w:rsidRPr="00CE3747">
        <w:t>2018</w:t>
      </w:r>
      <w:r>
        <w:t xml:space="preserve"> panel has a </w:t>
      </w:r>
      <w:r w:rsidRPr="00CE3747">
        <w:t xml:space="preserve">weighted </w:t>
      </w:r>
      <w:r>
        <w:t>household recruitment response rate of</w:t>
      </w:r>
      <w:r w:rsidRPr="00CE3747">
        <w:t xml:space="preserve"> 34.2</w:t>
      </w:r>
      <w:r>
        <w:t xml:space="preserve"> percent</w:t>
      </w:r>
      <w:r w:rsidRPr="00CE3747">
        <w:t xml:space="preserve">. </w:t>
      </w:r>
      <w:r>
        <w:t>NORC collects b</w:t>
      </w:r>
      <w:r w:rsidRPr="00CE3747">
        <w:t xml:space="preserve">asic demographic information such as age, gender, and race/ethnicity for all AmeriSpeak </w:t>
      </w:r>
      <w:r w:rsidR="009C7121">
        <w:t>p</w:t>
      </w:r>
      <w:r w:rsidRPr="00CE3747">
        <w:t>anel members</w:t>
      </w:r>
      <w:r>
        <w:t xml:space="preserve"> at recruitment</w:t>
      </w:r>
      <w:r w:rsidRPr="00CE3747">
        <w:t xml:space="preserve">, which allows </w:t>
      </w:r>
      <w:r>
        <w:t>for</w:t>
      </w:r>
      <w:r w:rsidRPr="00CE3747">
        <w:t xml:space="preserve"> sampling </w:t>
      </w:r>
      <w:r>
        <w:t>of</w:t>
      </w:r>
      <w:r w:rsidRPr="00CE3747">
        <w:t xml:space="preserve"> targeted populations in specific studies</w:t>
      </w:r>
      <w:r w:rsidRPr="00A50975">
        <w:rPr>
          <w:rFonts w:cstheme="minorHAnsi"/>
        </w:rPr>
        <w:t>—</w:t>
      </w:r>
      <w:r>
        <w:t xml:space="preserve">such as </w:t>
      </w:r>
      <w:r w:rsidR="00113AF0">
        <w:t xml:space="preserve">this </w:t>
      </w:r>
      <w:r>
        <w:t>project with its targeted populations of interest</w:t>
      </w:r>
      <w:r w:rsidRPr="00CE3747">
        <w:t>.</w:t>
      </w:r>
      <w:r>
        <w:t xml:space="preserve"> </w:t>
      </w:r>
    </w:p>
    <w:p w:rsidR="003C753D" w:rsidP="00303203" w:rsidRDefault="003C753D" w14:paraId="2A29A72B" w14:textId="77777777">
      <w:pPr>
        <w:pStyle w:val="H2"/>
        <w:tabs>
          <w:tab w:val="clear" w:pos="432"/>
          <w:tab w:val="left" w:pos="630"/>
        </w:tabs>
        <w:ind w:left="630" w:hanging="630"/>
        <w:rPr>
          <w:rFonts w:cstheme="minorHAnsi"/>
          <w:bCs/>
          <w:color w:val="000000"/>
        </w:rPr>
      </w:pPr>
      <w:r w:rsidRPr="00303203">
        <w:t>B3.</w:t>
      </w:r>
      <w:r w:rsidRPr="00303203">
        <w:tab/>
        <w:t>Design of Data Collection Instruments</w:t>
      </w:r>
    </w:p>
    <w:p w:rsidR="003C753D" w:rsidP="00303203" w:rsidRDefault="003C753D" w14:paraId="1AFEE2AE" w14:textId="77777777">
      <w:pPr>
        <w:pStyle w:val="H3"/>
      </w:pPr>
      <w:r>
        <w:t>Development of Data Collection Instrument(s)</w:t>
      </w:r>
    </w:p>
    <w:p w:rsidR="003C753D" w:rsidP="00303203" w:rsidRDefault="003C753D" w14:paraId="3F4B00AE" w14:textId="71D8F859">
      <w:pPr>
        <w:pStyle w:val="Paragraph"/>
      </w:pPr>
      <w:r>
        <w:t xml:space="preserve">When designing the Parent, Youth and Young Adult </w:t>
      </w:r>
      <w:r w:rsidR="0071441D">
        <w:t>S</w:t>
      </w:r>
      <w:r>
        <w:t xml:space="preserve">urveys, the study team reviewed 11 national </w:t>
      </w:r>
      <w:bookmarkStart w:name="_Hlk34736461" w:id="5"/>
      <w:r>
        <w:t>or regional, public health and public opinion surveys</w:t>
      </w:r>
      <w:bookmarkEnd w:id="5"/>
      <w:r>
        <w:t xml:space="preserve"> and 8 research and evaluation instruments that were all used before and that cover topics relevant to adolescent decision making and risk behavior </w:t>
      </w:r>
      <w:r w:rsidRPr="00217016">
        <w:t>(</w:t>
      </w:r>
      <w:r w:rsidR="0071441D">
        <w:t>s</w:t>
      </w:r>
      <w:r w:rsidRPr="00217016">
        <w:t xml:space="preserve">ee Attachment </w:t>
      </w:r>
      <w:r w:rsidR="0072015F">
        <w:t>A</w:t>
      </w:r>
      <w:r w:rsidR="00F7023A">
        <w:t>:</w:t>
      </w:r>
      <w:r w:rsidR="006E2E49">
        <w:t xml:space="preserve"> </w:t>
      </w:r>
      <w:r w:rsidRPr="004462B3" w:rsidR="006E2E49">
        <w:rPr>
          <w:i/>
          <w:iCs/>
        </w:rPr>
        <w:t>Research Questions, Sources, and Item</w:t>
      </w:r>
      <w:r w:rsidRPr="004462B3" w:rsidDel="000D2EBB" w:rsidR="006E2E49">
        <w:rPr>
          <w:i/>
          <w:iCs/>
        </w:rPr>
        <w:t xml:space="preserve"> </w:t>
      </w:r>
      <w:r w:rsidRPr="004462B3" w:rsidR="006E2E49">
        <w:rPr>
          <w:i/>
          <w:iCs/>
        </w:rPr>
        <w:t>Crosswalk</w:t>
      </w:r>
      <w:r w:rsidR="006E2E49">
        <w:t>).</w:t>
      </w:r>
      <w:r w:rsidR="00F7023A">
        <w:t xml:space="preserve"> </w:t>
      </w:r>
      <w:r w:rsidR="006E2E49">
        <w:t xml:space="preserve"> </w:t>
      </w:r>
    </w:p>
    <w:p w:rsidR="003C753D" w:rsidP="00303203" w:rsidRDefault="003C753D" w14:paraId="3B65FA63" w14:textId="77777777">
      <w:pPr>
        <w:pStyle w:val="Paragraph"/>
      </w:pPr>
      <w:r>
        <w:t xml:space="preserve">Although the study team drew items in the IDEAS instruments from these existing surveys, our process for developing the item pool identified question constructs that existing items lacked. After subject matter experts and ACF leaders reviewed the instruments, the study team modified some previously used items and added new items that fit the goals of the IDEAS project better. </w:t>
      </w:r>
      <w:r w:rsidRPr="00217016">
        <w:t>Attachment A shows</w:t>
      </w:r>
      <w:r>
        <w:t xml:space="preserve"> how questions across the three survey instruments were mapped to research questions and study objectives.</w:t>
      </w:r>
    </w:p>
    <w:p w:rsidR="003C753D" w:rsidP="00303203" w:rsidRDefault="003C753D" w14:paraId="52438660" w14:textId="30F2417F">
      <w:pPr>
        <w:pStyle w:val="Paragraph"/>
      </w:pPr>
      <w:r>
        <w:t>Due to the number of new or modified items on the instruments, and to decrease the chance for measurement error, the</w:t>
      </w:r>
      <w:r w:rsidR="008441D4">
        <w:t xml:space="preserve"> full</w:t>
      </w:r>
      <w:r>
        <w:t xml:space="preserve"> surveys were pre-tested with more than nine people, and thus required OMB clearance. These pre-tests were conducted under generic OMB clearance, </w:t>
      </w:r>
      <w:r w:rsidRPr="00454CD3">
        <w:rPr>
          <w:rFonts w:eastAsia="Arial Unicode MS" w:cstheme="minorHAnsi"/>
          <w:noProof/>
        </w:rPr>
        <w:t xml:space="preserve">Pre-testing of Evaluation Data Collection Activities </w:t>
      </w:r>
      <w:r>
        <w:rPr>
          <w:rFonts w:eastAsia="Arial Unicode MS" w:cstheme="minorHAnsi"/>
          <w:noProof/>
        </w:rPr>
        <w:t>(0970-0355)</w:t>
      </w:r>
      <w:r w:rsidRPr="00EF08F0">
        <w:t xml:space="preserve"> to </w:t>
      </w:r>
      <w:r>
        <w:t>get</w:t>
      </w:r>
      <w:r w:rsidRPr="00EF08F0">
        <w:t xml:space="preserve"> feedback</w:t>
      </w:r>
      <w:r>
        <w:t xml:space="preserve"> on</w:t>
      </w:r>
      <w:r w:rsidRPr="00EF08F0">
        <w:t xml:space="preserve"> the clarity and completeness of the questions and response options</w:t>
      </w:r>
      <w:r w:rsidR="00F24542">
        <w:t>, as well as overall timing for instrument completion</w:t>
      </w:r>
      <w:r w:rsidRPr="00EF08F0">
        <w:t xml:space="preserve">. Many of the items </w:t>
      </w:r>
      <w:r w:rsidRPr="00855735">
        <w:t xml:space="preserve">included in the </w:t>
      </w:r>
      <w:r>
        <w:t>surveys</w:t>
      </w:r>
      <w:r w:rsidRPr="00B80727">
        <w:t xml:space="preserve"> have been</w:t>
      </w:r>
      <w:r>
        <w:t xml:space="preserve"> </w:t>
      </w:r>
      <w:r w:rsidRPr="00B80727">
        <w:t xml:space="preserve">tested </w:t>
      </w:r>
      <w:r>
        <w:t xml:space="preserve">before </w:t>
      </w:r>
      <w:r w:rsidRPr="00B80727">
        <w:t xml:space="preserve">and used in other national-level studies, such as the National Survey of Family Growth </w:t>
      </w:r>
      <w:r w:rsidRPr="005B0D93">
        <w:t xml:space="preserve">and the National Survey of Adolescents and Parents, or in other </w:t>
      </w:r>
      <w:r w:rsidR="00BB12A4">
        <w:t>HHS</w:t>
      </w:r>
      <w:r w:rsidRPr="005B0D93">
        <w:t xml:space="preserve"> studies, including STREAMS and</w:t>
      </w:r>
      <w:r>
        <w:t xml:space="preserve"> the Federal Evaluation of</w:t>
      </w:r>
      <w:r w:rsidRPr="00B80727">
        <w:t xml:space="preserve"> </w:t>
      </w:r>
      <w:r w:rsidRPr="00074F86">
        <w:rPr>
          <w:i/>
        </w:rPr>
        <w:t>Making Proud Choices!</w:t>
      </w:r>
      <w:r w:rsidRPr="00B80727">
        <w:t xml:space="preserve"> </w:t>
      </w:r>
      <w:r>
        <w:t>Therefore, the pre-test</w:t>
      </w:r>
      <w:r w:rsidR="008441D4">
        <w:t xml:space="preserve"> primarily</w:t>
      </w:r>
      <w:r w:rsidRPr="00B80727">
        <w:t xml:space="preserve"> focus</w:t>
      </w:r>
      <w:r>
        <w:t>ed</w:t>
      </w:r>
      <w:r w:rsidRPr="00B80727">
        <w:t xml:space="preserve"> on questions developed specifically for this study </w:t>
      </w:r>
      <w:r>
        <w:t xml:space="preserve">and probed </w:t>
      </w:r>
      <w:r w:rsidRPr="00B80727">
        <w:t>for input about any questions</w:t>
      </w:r>
      <w:r>
        <w:t xml:space="preserve"> or response options</w:t>
      </w:r>
      <w:r w:rsidRPr="00B80727">
        <w:t xml:space="preserve"> that </w:t>
      </w:r>
      <w:r>
        <w:t>pre-test</w:t>
      </w:r>
      <w:r w:rsidRPr="00B80727">
        <w:t xml:space="preserve"> participants found confusing or difficult to answer.</w:t>
      </w:r>
    </w:p>
    <w:p w:rsidR="003C753D" w:rsidP="00303203" w:rsidRDefault="003C753D" w14:paraId="0386E59F" w14:textId="66A89A9F">
      <w:pPr>
        <w:pStyle w:val="Paragraph"/>
      </w:pPr>
      <w:r>
        <w:t>An iterative process was used for the pre-testing. Across the three instruments, a total of 173 pre-tests were conducted across two rounds of testing in three geographically diverse locations: Bethesda, Maryland; Dallas, Texas; and Kansas City, Missouri. The pre-testing took place in small group sessions with a total of three sessions for each survey instrument at each location (totaling nine groups per location, per round). After each round of pre-testing, the survey instruments were revised based on the findings. There were three or four people in each session, and sessions lasted around 90 minutes to two hours</w:t>
      </w:r>
      <w:r w:rsidRPr="00B80727">
        <w:t>.</w:t>
      </w:r>
      <w:r>
        <w:t xml:space="preserve"> </w:t>
      </w:r>
      <w:r w:rsidRPr="00B80727">
        <w:t xml:space="preserve">Participants </w:t>
      </w:r>
      <w:r>
        <w:t xml:space="preserve">independently </w:t>
      </w:r>
      <w:r w:rsidRPr="00B80727">
        <w:t>complete</w:t>
      </w:r>
      <w:r>
        <w:t>d</w:t>
      </w:r>
      <w:r w:rsidRPr="00B80727">
        <w:t xml:space="preserve"> </w:t>
      </w:r>
      <w:r>
        <w:t>a paper version of the survey during the first part of each session</w:t>
      </w:r>
      <w:r w:rsidRPr="00074F86">
        <w:t xml:space="preserve">. After completing the survey, the participants </w:t>
      </w:r>
      <w:r>
        <w:t>engaged</w:t>
      </w:r>
      <w:r w:rsidRPr="00074F86">
        <w:t xml:space="preserve"> in a small-group debriefing session to discuss particular questions of concern </w:t>
      </w:r>
      <w:r>
        <w:t xml:space="preserve">as </w:t>
      </w:r>
      <w:r w:rsidRPr="00074F86">
        <w:t xml:space="preserve">predetermined by the instrument design team, </w:t>
      </w:r>
      <w:r>
        <w:t>along</w:t>
      </w:r>
      <w:r w:rsidRPr="00074F86">
        <w:t xml:space="preserve"> </w:t>
      </w:r>
      <w:r>
        <w:t xml:space="preserve">with </w:t>
      </w:r>
      <w:r w:rsidRPr="00074F86">
        <w:t xml:space="preserve">other questions that </w:t>
      </w:r>
      <w:r w:rsidRPr="00074F86">
        <w:lastRenderedPageBreak/>
        <w:t xml:space="preserve">respondents found unclear or problematic. </w:t>
      </w:r>
      <w:r w:rsidRPr="005B0D93">
        <w:t>The</w:t>
      </w:r>
      <w:r>
        <w:t xml:space="preserve"> respondents</w:t>
      </w:r>
      <w:r w:rsidRPr="005B0D93">
        <w:t xml:space="preserve"> </w:t>
      </w:r>
      <w:r w:rsidR="0089333C">
        <w:t>across</w:t>
      </w:r>
      <w:r w:rsidRPr="005B0D93" w:rsidR="0089333C">
        <w:t xml:space="preserve"> </w:t>
      </w:r>
      <w:r w:rsidRPr="005B0D93">
        <w:t xml:space="preserve">all </w:t>
      </w:r>
      <w:r>
        <w:t>pre-test</w:t>
      </w:r>
      <w:r w:rsidRPr="005B0D93">
        <w:t xml:space="preserve">s </w:t>
      </w:r>
      <w:r>
        <w:t>included</w:t>
      </w:r>
      <w:r w:rsidRPr="005B0D93">
        <w:t xml:space="preserve"> males and females, vari</w:t>
      </w:r>
      <w:r>
        <w:t>ed</w:t>
      </w:r>
      <w:r w:rsidRPr="005B0D93">
        <w:t xml:space="preserve"> in </w:t>
      </w:r>
      <w:r>
        <w:t xml:space="preserve">their </w:t>
      </w:r>
      <w:r w:rsidRPr="005B0D93">
        <w:t>age</w:t>
      </w:r>
      <w:r>
        <w:t>s</w:t>
      </w:r>
      <w:r w:rsidRPr="005B0D93">
        <w:t xml:space="preserve">, and </w:t>
      </w:r>
      <w:r>
        <w:t xml:space="preserve">had </w:t>
      </w:r>
      <w:r w:rsidRPr="005B0D93">
        <w:t xml:space="preserve">a mix of racial and ethnic backgrounds. </w:t>
      </w:r>
    </w:p>
    <w:p w:rsidR="003C753D" w:rsidP="00303203" w:rsidRDefault="003C753D" w14:paraId="6923C8F2" w14:textId="77777777">
      <w:pPr>
        <w:pStyle w:val="Paragraph"/>
      </w:pPr>
      <w:r>
        <w:t xml:space="preserve">The results from the first round of pre-testing, along with revisions from ACF leadership, led to wording changes on several of the new or modified items. The changes clarified the meaning of items to ensure all respondents interpreted them the same way and that all respondents thought there was a choice that accurately reflected their attitudes and beliefs. The revised instruments were tested in the second round. Round 2 pre-test feedback resulted in modest wording changes to improve clarity, and once those changes were implemented, the resulting instruments became the final version of the instruments. </w:t>
      </w:r>
    </w:p>
    <w:p w:rsidR="003C753D" w:rsidP="00303203" w:rsidRDefault="003C753D" w14:paraId="77BE7B62" w14:textId="77777777">
      <w:pPr>
        <w:pStyle w:val="H2"/>
        <w:tabs>
          <w:tab w:val="clear" w:pos="432"/>
          <w:tab w:val="left" w:pos="630"/>
        </w:tabs>
        <w:ind w:left="630" w:hanging="630"/>
        <w:rPr>
          <w:rFonts w:cstheme="minorHAnsi"/>
          <w:color w:val="000000"/>
        </w:rPr>
      </w:pPr>
      <w:r w:rsidRPr="00303203">
        <w:t xml:space="preserve">B4. </w:t>
      </w:r>
      <w:r w:rsidRPr="00303203">
        <w:tab/>
        <w:t>Collection of Data and Quality Control</w:t>
      </w:r>
    </w:p>
    <w:p w:rsidR="003C753D" w:rsidP="00303203" w:rsidRDefault="003C753D" w14:paraId="61905A02" w14:textId="52423783">
      <w:pPr>
        <w:pStyle w:val="Paragraph"/>
      </w:pPr>
      <w:r>
        <w:t xml:space="preserve">The </w:t>
      </w:r>
      <w:r w:rsidR="00305E88">
        <w:t xml:space="preserve">majority of the </w:t>
      </w:r>
      <w:r>
        <w:t>survey sample</w:t>
      </w:r>
      <w:r w:rsidR="00305E88">
        <w:t xml:space="preserve"> member</w:t>
      </w:r>
      <w:r>
        <w:t>s are composed of a group of panel participants who have agreed to be on call for multiple survey data collections. As discussed in Section B1, we propose using the AmeriSpeak panel, developed and maintained by NORC at the University of Chicago. ACF has contracted with Mathematica for work on this study, and Mathematica will coordinate data collection activities with NORC. Data collection will run for about four months, starting shortly after OMB approval. All data will be collected through instruments programmed as web-based surveys. Details on the data collection plan for each instrument are provided below.</w:t>
      </w:r>
    </w:p>
    <w:p w:rsidRPr="008501F4" w:rsidR="003C753D" w:rsidP="00303203" w:rsidRDefault="003C753D" w14:paraId="79D9DEDB" w14:textId="77777777">
      <w:pPr>
        <w:pStyle w:val="H3"/>
      </w:pPr>
      <w:r>
        <w:t>Parent</w:t>
      </w:r>
      <w:r w:rsidRPr="00035C4E">
        <w:t xml:space="preserve"> </w:t>
      </w:r>
      <w:r w:rsidRPr="008501F4">
        <w:t>Survey</w:t>
      </w:r>
      <w:r>
        <w:t xml:space="preserve"> and Young Adult Survey (Instrument 1 and Instrument 4)</w:t>
      </w:r>
    </w:p>
    <w:p w:rsidR="003C753D" w:rsidP="00A33B08" w:rsidRDefault="00F32710" w14:paraId="3647797C" w14:textId="6AAB3DBF">
      <w:pPr>
        <w:pStyle w:val="Paragraph"/>
      </w:pPr>
      <w:r>
        <w:t xml:space="preserve">As discussed in Supporting Statement A, </w:t>
      </w:r>
      <w:r w:rsidR="00384862">
        <w:t>S</w:t>
      </w:r>
      <w:r>
        <w:t>ection A2</w:t>
      </w:r>
      <w:r w:rsidR="00A84D76">
        <w:t xml:space="preserve">, </w:t>
      </w:r>
      <w:r w:rsidR="003C753D">
        <w:t xml:space="preserve">participants have already </w:t>
      </w:r>
      <w:r w:rsidR="00A84D76">
        <w:t xml:space="preserve">been recruited and </w:t>
      </w:r>
      <w:r w:rsidR="003C753D">
        <w:t xml:space="preserve">consented </w:t>
      </w:r>
      <w:r w:rsidR="00A84D76">
        <w:t>by NORC to participate</w:t>
      </w:r>
      <w:r w:rsidR="003C753D">
        <w:t xml:space="preserve"> in the </w:t>
      </w:r>
      <w:proofErr w:type="spellStart"/>
      <w:r w:rsidR="003C753D">
        <w:t>AmeriSpeak</w:t>
      </w:r>
      <w:proofErr w:type="spellEnd"/>
      <w:r w:rsidR="003C753D">
        <w:t xml:space="preserve"> Panel</w:t>
      </w:r>
      <w:r w:rsidR="00A84D76">
        <w:t>.</w:t>
      </w:r>
      <w:r w:rsidR="003C753D">
        <w:t xml:space="preserve"> </w:t>
      </w:r>
      <w:r w:rsidR="002E1F8D">
        <w:t xml:space="preserve">Therefore, </w:t>
      </w:r>
      <w:r w:rsidR="003C753D">
        <w:t>data collection for Instruments 1 and 4 will begin with an email sent to all parent panel members with youth ages 14</w:t>
      </w:r>
      <w:r w:rsidRPr="00DB0585" w:rsidR="003C753D">
        <w:rPr>
          <w:rFonts w:cstheme="minorHAnsi"/>
        </w:rPr>
        <w:t>–</w:t>
      </w:r>
      <w:r w:rsidR="003C753D">
        <w:t>18 and all young adults in the panel ages 19</w:t>
      </w:r>
      <w:r w:rsidRPr="00DB0585" w:rsidR="003C753D">
        <w:rPr>
          <w:rFonts w:cstheme="minorHAnsi"/>
        </w:rPr>
        <w:t>–</w:t>
      </w:r>
      <w:r w:rsidR="003C753D">
        <w:t>24, notifying them of a new survey to complete</w:t>
      </w:r>
      <w:r>
        <w:t xml:space="preserve"> (see Attachment E: </w:t>
      </w:r>
      <w:r w:rsidRPr="004462B3">
        <w:rPr>
          <w:i/>
          <w:iCs/>
        </w:rPr>
        <w:t>Survey Invitation Emails</w:t>
      </w:r>
      <w:r>
        <w:t>)</w:t>
      </w:r>
      <w:r w:rsidR="003C753D">
        <w:t>. Parents and young adults will access their survey via a link in the notification email.</w:t>
      </w:r>
      <w:r w:rsidRPr="00B273D3" w:rsidR="003C753D">
        <w:t xml:space="preserve"> </w:t>
      </w:r>
      <w:r w:rsidR="003C753D">
        <w:t xml:space="preserve">The invitation email and all subsequent contacts with the panel participants </w:t>
      </w:r>
      <w:r w:rsidR="00BB3CC7">
        <w:t xml:space="preserve">will be </w:t>
      </w:r>
      <w:r w:rsidR="003C753D">
        <w:t>handled by NORC in collaboration with Mathematica. Panelists can</w:t>
      </w:r>
      <w:r w:rsidRPr="00B273D3" w:rsidR="003C753D">
        <w:t xml:space="preserve"> also </w:t>
      </w:r>
      <w:r w:rsidR="003C753D">
        <w:t xml:space="preserve">view their survey invitation </w:t>
      </w:r>
      <w:r w:rsidRPr="00B273D3" w:rsidR="003C753D">
        <w:t>at the online member portal or on the AmeriSpeak app.</w:t>
      </w:r>
      <w:r w:rsidR="002E1F8D">
        <w:t xml:space="preserve"> Prior to beginning the survey, all participants will be required to provide their consent for participation in the survey.</w:t>
      </w:r>
      <w:r w:rsidR="003C753D">
        <w:t xml:space="preserve"> Nonrespondents will receive email follow</w:t>
      </w:r>
      <w:r w:rsidR="00305E88">
        <w:t>-</w:t>
      </w:r>
      <w:r w:rsidR="003C753D">
        <w:t xml:space="preserve">up reminders throughout </w:t>
      </w:r>
      <w:r w:rsidRPr="00035C4E" w:rsidR="003C753D">
        <w:t xml:space="preserve">the </w:t>
      </w:r>
      <w:r w:rsidR="003C753D">
        <w:t>four-</w:t>
      </w:r>
      <w:r w:rsidRPr="00035C4E" w:rsidR="003C753D">
        <w:t>month</w:t>
      </w:r>
      <w:r w:rsidR="003C753D">
        <w:t xml:space="preserve"> data collection period. Panel members who, at the time of panel recruitment, have opted into receiving text message alerts will receive reminders through that format as well. R</w:t>
      </w:r>
      <w:r w:rsidRPr="00AE1399" w:rsidR="003C753D">
        <w:t>eminder calls will be made to encourage panel members to complete their survey via the web</w:t>
      </w:r>
      <w:r w:rsidR="004008A9">
        <w:t xml:space="preserve"> and if they wish to complete the survey by telephone at that time they may do so</w:t>
      </w:r>
      <w:r w:rsidRPr="00AE1399" w:rsidR="003C753D">
        <w:t>.</w:t>
      </w:r>
      <w:r w:rsidR="003C753D">
        <w:t xml:space="preserve"> Nonrespondents will also receive a postcard encouraging and reminding them to complete the survey. All reminder email, postcard, text, and phone scripts are in </w:t>
      </w:r>
      <w:r w:rsidRPr="00217016" w:rsidR="003C753D">
        <w:t xml:space="preserve">Attachment </w:t>
      </w:r>
      <w:r w:rsidR="00964574">
        <w:t>F</w:t>
      </w:r>
      <w:r w:rsidR="00BB3CC7">
        <w:t>:</w:t>
      </w:r>
      <w:r w:rsidR="006E2E49">
        <w:t xml:space="preserve"> </w:t>
      </w:r>
      <w:r w:rsidRPr="004462B3" w:rsidR="006E2E49">
        <w:rPr>
          <w:i/>
          <w:iCs/>
        </w:rPr>
        <w:t>Survey Nonresponse Reminder</w:t>
      </w:r>
      <w:r w:rsidRPr="004462B3" w:rsidR="0061675C">
        <w:rPr>
          <w:i/>
          <w:iCs/>
        </w:rPr>
        <w:t>s</w:t>
      </w:r>
      <w:r w:rsidR="006E2E49">
        <w:t>.</w:t>
      </w:r>
      <w:r w:rsidR="00BB3CC7">
        <w:t xml:space="preserve"> </w:t>
      </w:r>
      <w:r w:rsidR="006E2E49">
        <w:rPr>
          <w:i/>
        </w:rPr>
        <w:t xml:space="preserve">  </w:t>
      </w:r>
      <w:r w:rsidR="003C753D">
        <w:t xml:space="preserve">  </w:t>
      </w:r>
    </w:p>
    <w:p w:rsidR="003C753D" w:rsidP="00A33B08" w:rsidRDefault="003C753D" w14:paraId="6F0C62AF" w14:textId="77777777">
      <w:pPr>
        <w:pStyle w:val="Paragraph"/>
      </w:pPr>
      <w:r>
        <w:t xml:space="preserve">The Parent Survey is expected to take </w:t>
      </w:r>
      <w:r w:rsidRPr="003139CE">
        <w:t>20</w:t>
      </w:r>
      <w:r>
        <w:t xml:space="preserve"> minutes to complete.</w:t>
      </w:r>
      <w:r w:rsidRPr="00561E74">
        <w:t xml:space="preserve"> </w:t>
      </w:r>
      <w:r>
        <w:t xml:space="preserve">The Young Adult survey is expected to take 35 minutes to complete. </w:t>
      </w:r>
    </w:p>
    <w:p w:rsidRPr="00597BDE" w:rsidR="003C753D" w:rsidP="00A33B08" w:rsidRDefault="003C753D" w14:paraId="4932CF35" w14:textId="77777777">
      <w:pPr>
        <w:pStyle w:val="H3"/>
      </w:pPr>
      <w:r w:rsidRPr="00597BDE">
        <w:lastRenderedPageBreak/>
        <w:t xml:space="preserve">Part 1 Youth Survey (Instrument </w:t>
      </w:r>
      <w:r>
        <w:t>2</w:t>
      </w:r>
      <w:r w:rsidRPr="00597BDE">
        <w:t>)</w:t>
      </w:r>
    </w:p>
    <w:p w:rsidR="003C753D" w:rsidP="00A33B08" w:rsidRDefault="003C753D" w14:paraId="3D43F301" w14:textId="5F89609F">
      <w:pPr>
        <w:pStyle w:val="Paragraph"/>
      </w:pPr>
      <w:r>
        <w:t>Due to the sensitive nature of the topics on the Youth Survey (Part 1 and Part 2), parental consent will be obtained in the Parent Survey for the sampled youth, at which point the parent will also be asked to provide an email address</w:t>
      </w:r>
      <w:r w:rsidR="00085DA7">
        <w:t xml:space="preserve"> </w:t>
      </w:r>
      <w:r w:rsidR="00C47C37">
        <w:t>and phone number</w:t>
      </w:r>
      <w:r>
        <w:t xml:space="preserve"> for the Youth Survey invitation. Parental consent will be part of the Parent Survey instrument; see Instrument 1, </w:t>
      </w:r>
      <w:r w:rsidRPr="00FB3EEF">
        <w:t xml:space="preserve">Item </w:t>
      </w:r>
      <w:r w:rsidR="00F945AB">
        <w:t xml:space="preserve">J1 </w:t>
      </w:r>
      <w:r>
        <w:t>for specific wording.</w:t>
      </w:r>
    </w:p>
    <w:p w:rsidR="003C753D" w:rsidP="00F94F15" w:rsidRDefault="003C753D" w14:paraId="72CE4387" w14:textId="7BE081DB">
      <w:pPr>
        <w:pStyle w:val="Paragraph"/>
      </w:pPr>
      <w:r>
        <w:t>An invitation to Part 1 of the Youth Survey will be sent by email to all youth ages 14</w:t>
      </w:r>
      <w:r w:rsidRPr="00DB0585">
        <w:rPr>
          <w:rFonts w:cstheme="minorHAnsi"/>
        </w:rPr>
        <w:t>–</w:t>
      </w:r>
      <w:r>
        <w:t xml:space="preserve">18 whose parents gave consent (Attachment </w:t>
      </w:r>
      <w:r w:rsidR="00964574">
        <w:t>E</w:t>
      </w:r>
      <w:r w:rsidR="00BB3CC7">
        <w:t xml:space="preserve">: </w:t>
      </w:r>
      <w:r w:rsidRPr="0061675C" w:rsidR="00676F90">
        <w:rPr>
          <w:i/>
        </w:rPr>
        <w:t>Survey Invitation Emails</w:t>
      </w:r>
      <w:r>
        <w:t>). The invitation email will notify the youth of a survey to complete and will contain a direct link to it. Survey nonrespondents will receive follow-up emails, texts if they have opted in to receive them, and reminder telephone call</w:t>
      </w:r>
      <w:r w:rsidR="00C47C37">
        <w:t>s</w:t>
      </w:r>
      <w:r>
        <w:t>, along with a postcard mailed to their address (</w:t>
      </w:r>
      <w:r w:rsidRPr="00217016">
        <w:t xml:space="preserve">Attachment </w:t>
      </w:r>
      <w:r w:rsidR="00964574">
        <w:t>F</w:t>
      </w:r>
      <w:r w:rsidR="00676F90">
        <w:t xml:space="preserve">: </w:t>
      </w:r>
      <w:r w:rsidRPr="004462B3" w:rsidR="00676F90">
        <w:rPr>
          <w:i/>
          <w:iCs/>
        </w:rPr>
        <w:t>Survey Nonresponse Reminders</w:t>
      </w:r>
      <w:r w:rsidRPr="00217016">
        <w:t xml:space="preserve">). </w:t>
      </w:r>
      <w:r w:rsidR="004008A9">
        <w:t xml:space="preserve">Similar to the Parent and Young Adult survey, at the time of reminder calls if the youth wishes to complete the survey by phone they can do so. </w:t>
      </w:r>
      <w:r w:rsidRPr="00217016">
        <w:t>Data</w:t>
      </w:r>
      <w:r>
        <w:t xml:space="preserve"> collection for the Youth Survey will start shortly after the fielding of the Parent Survey, to allow time for all the parents to give consent, which will trigger the release of the Youth Survey. Part 1 of the Youth Survey is expected to take 20 minutes to complete. At the start of the Youth Survey, respondents will either be asked for their assent to participate (see Instrument 2, </w:t>
      </w:r>
      <w:r w:rsidRPr="00FB3EEF">
        <w:t xml:space="preserve">Item </w:t>
      </w:r>
      <w:r w:rsidR="00EA3607">
        <w:t xml:space="preserve">I.1 </w:t>
      </w:r>
      <w:r>
        <w:t>for specific wording). The assent and consent items describe the</w:t>
      </w:r>
      <w:r w:rsidRPr="00683AEA">
        <w:t xml:space="preserve"> survey topics, risks of participation, and their rights as a research subject</w:t>
      </w:r>
      <w:r>
        <w:t>.</w:t>
      </w:r>
    </w:p>
    <w:p w:rsidRPr="007D4509" w:rsidR="003C753D" w:rsidP="00F94F15" w:rsidRDefault="003C753D" w14:paraId="6E018DE6" w14:textId="6EE29CDA">
      <w:pPr>
        <w:pStyle w:val="H3"/>
      </w:pPr>
      <w:r w:rsidRPr="00035C4E">
        <w:t xml:space="preserve">Part </w:t>
      </w:r>
      <w:r>
        <w:t>2</w:t>
      </w:r>
      <w:r w:rsidRPr="00035C4E">
        <w:t xml:space="preserve"> Youth Survey</w:t>
      </w:r>
      <w:r>
        <w:t xml:space="preserve"> (Instrument 3)</w:t>
      </w:r>
    </w:p>
    <w:p w:rsidR="003C753D" w:rsidP="00F94F15" w:rsidRDefault="003C753D" w14:paraId="4CAD9422" w14:textId="06A83F6D">
      <w:pPr>
        <w:pStyle w:val="Paragraph"/>
      </w:pPr>
      <w:r>
        <w:t>An email invitation will be sent for the second part of the Youth Survey to all youth ages 14</w:t>
      </w:r>
      <w:r w:rsidRPr="00DB0585">
        <w:rPr>
          <w:rFonts w:cstheme="minorHAnsi"/>
        </w:rPr>
        <w:t>–</w:t>
      </w:r>
      <w:r>
        <w:t>18 whose parents gave consent, regardless of whether the youth completed Part 1</w:t>
      </w:r>
      <w:r w:rsidR="00676F90">
        <w:t xml:space="preserve"> (Attachment E: </w:t>
      </w:r>
      <w:r w:rsidRPr="004462B3" w:rsidR="00676F90">
        <w:rPr>
          <w:i/>
          <w:iCs/>
        </w:rPr>
        <w:t>Survey Invitation Emails</w:t>
      </w:r>
      <w:r w:rsidR="00676F90">
        <w:t>)</w:t>
      </w:r>
      <w:r>
        <w:t xml:space="preserve">. Data collection for Part 2 of the survey will begin about four weeks after we send the email notification for Part 1. </w:t>
      </w:r>
      <w:r w:rsidR="00AD06E3">
        <w:t>All sampled youth will receive a</w:t>
      </w:r>
      <w:r w:rsidR="00A24BB3">
        <w:t xml:space="preserve">n email </w:t>
      </w:r>
      <w:r w:rsidR="00AD06E3">
        <w:t>notification to complete Part 2</w:t>
      </w:r>
      <w:r w:rsidR="00A24BB3">
        <w:t xml:space="preserve"> which will contain a link to their survey. </w:t>
      </w:r>
      <w:r>
        <w:t>The data collection procedures noted for Part 1 will be followed for Part 2, including all nonresponse follow-up activities</w:t>
      </w:r>
      <w:r w:rsidR="00FD10F9">
        <w:t xml:space="preserve"> (specifically, follow-up emails, texts if they have opted in, and reminder telephone call</w:t>
      </w:r>
      <w:r w:rsidR="00C47C37">
        <w:t>s</w:t>
      </w:r>
      <w:r w:rsidR="00FD10F9">
        <w:t>)</w:t>
      </w:r>
      <w:r>
        <w:t xml:space="preserve">. We expect the Part 2 survey to have a lower response rate than Part 1, and consequently have fewer completed cases, due to sample attrition. Part 2 of the Youth Survey will take 20 minutes to complete. The Youth </w:t>
      </w:r>
      <w:r w:rsidR="003F783B">
        <w:t>Survey a</w:t>
      </w:r>
      <w:r>
        <w:t>ssent items and demographic questions will only be asked of sample members who did not complete Part 1.</w:t>
      </w:r>
    </w:p>
    <w:p w:rsidRPr="00561E74" w:rsidR="003C753D" w:rsidP="00F94F15" w:rsidRDefault="003C753D" w14:paraId="3A18C5A0" w14:textId="77777777">
      <w:pPr>
        <w:pStyle w:val="H3"/>
      </w:pPr>
      <w:r>
        <w:t>Quality Control</w:t>
      </w:r>
    </w:p>
    <w:p w:rsidR="00F5599E" w:rsidP="00F94F15" w:rsidRDefault="00F5599E" w14:paraId="085B0E48" w14:textId="59FAA6E1">
      <w:pPr>
        <w:pStyle w:val="Paragraph"/>
      </w:pPr>
      <w:r>
        <w:t xml:space="preserve">Prior to the start of data collection, the programmed web-survey instrument will undergo a thorough, two-stage testing process. First, the instrument design and data collection team at Mathematica will carefully review the instruments to ensure programming has been conducted as specified and that the web-based instruments work exactly as expected. Next, </w:t>
      </w:r>
      <w:r w:rsidR="002A641F">
        <w:t>a quality control</w:t>
      </w:r>
      <w:r>
        <w:t xml:space="preserve"> programming team will conduct instrument stress testing, where hundreds of cases will be randomly generated to follow all skip logic and other assumptions programmed for the </w:t>
      </w:r>
      <w:r>
        <w:lastRenderedPageBreak/>
        <w:t>instrument</w:t>
      </w:r>
      <w:r w:rsidR="002A641F">
        <w:t>s</w:t>
      </w:r>
      <w:r>
        <w:t xml:space="preserve">. The programming team will write </w:t>
      </w:r>
      <w:r w:rsidR="002A641F">
        <w:t>additional code to verify the accuracy of all skip logic using this randomly generated data.</w:t>
      </w:r>
    </w:p>
    <w:p w:rsidRPr="003D1E91" w:rsidR="003C753D" w:rsidP="00F94F15" w:rsidRDefault="003C753D" w14:paraId="63626CD4" w14:textId="5848B7E7">
      <w:pPr>
        <w:pStyle w:val="Paragraph"/>
        <w:rPr>
          <w:rFonts w:cstheme="minorHAnsi"/>
          <w:color w:val="000000"/>
        </w:rPr>
      </w:pPr>
      <w:r>
        <w:t xml:space="preserve">As part of the </w:t>
      </w:r>
      <w:r w:rsidR="00113AF0">
        <w:t xml:space="preserve">Youth Empowerment </w:t>
      </w:r>
      <w:r>
        <w:t>IDEAS</w:t>
      </w:r>
      <w:r w:rsidR="00113AF0">
        <w:t xml:space="preserve"> project</w:t>
      </w:r>
      <w:r>
        <w:t xml:space="preserve"> data collection procedures, the AmeriSpeak panel will use a “soft launch” during the initial fielding of the surveys. In the first few days of data collection, each survey will be released to 10 percent of the full selected sample. During this period, Mathematica will review all survey </w:t>
      </w:r>
      <w:r w:rsidR="00AA3880">
        <w:t>responses</w:t>
      </w:r>
      <w:r>
        <w:t>, conducting a thorough review of the frequencies to ensure no technical issues exist before releasing the surveys to the full sample.</w:t>
      </w:r>
    </w:p>
    <w:p w:rsidR="003C753D" w:rsidP="00F94F15" w:rsidRDefault="003C753D" w14:paraId="64CA9C53" w14:textId="77777777">
      <w:pPr>
        <w:pStyle w:val="H2"/>
        <w:tabs>
          <w:tab w:val="clear" w:pos="432"/>
          <w:tab w:val="left" w:pos="630"/>
        </w:tabs>
        <w:ind w:left="630" w:hanging="630"/>
        <w:rPr>
          <w:rFonts w:cstheme="minorHAnsi"/>
          <w:color w:val="000000"/>
        </w:rPr>
      </w:pPr>
      <w:r w:rsidRPr="00F94F15">
        <w:t>B5.</w:t>
      </w:r>
      <w:r w:rsidRPr="00F94F15">
        <w:tab/>
        <w:t>Response Rates and Potential Nonresponse Bias</w:t>
      </w:r>
    </w:p>
    <w:p w:rsidRPr="007C2EE0" w:rsidR="003C753D" w:rsidP="00F94F15" w:rsidRDefault="003C753D" w14:paraId="4BDC11B7" w14:textId="77777777">
      <w:pPr>
        <w:pStyle w:val="H3"/>
      </w:pPr>
      <w:r>
        <w:t>Response Rates</w:t>
      </w:r>
    </w:p>
    <w:p w:rsidR="003C753D" w:rsidP="00F94F15" w:rsidRDefault="003C753D" w14:paraId="2A6C42DA" w14:textId="2438278F">
      <w:pPr>
        <w:pStyle w:val="Paragraph"/>
      </w:pPr>
      <w:r>
        <w:t xml:space="preserve">Once participants are recruited into the AmeriSpeak panel, NORC uses </w:t>
      </w:r>
      <w:r w:rsidRPr="00CE3747">
        <w:t xml:space="preserve">rigorous methods to maximize </w:t>
      </w:r>
      <w:r>
        <w:t xml:space="preserve">their </w:t>
      </w:r>
      <w:r w:rsidRPr="00CE3747">
        <w:t xml:space="preserve">survey response rates and maintain </w:t>
      </w:r>
      <w:r>
        <w:t xml:space="preserve">their </w:t>
      </w:r>
      <w:r w:rsidRPr="00CE3747">
        <w:t xml:space="preserve">cooperation. </w:t>
      </w:r>
      <w:r w:rsidR="00C930FA">
        <w:t xml:space="preserve">The follow-up methods planned for the </w:t>
      </w:r>
      <w:r w:rsidR="00113AF0">
        <w:t xml:space="preserve">Youth Empowerment </w:t>
      </w:r>
      <w:r w:rsidR="00C930FA">
        <w:t>IDEAS</w:t>
      </w:r>
      <w:r w:rsidR="00113AF0">
        <w:t xml:space="preserve"> project</w:t>
      </w:r>
      <w:r w:rsidR="00C930FA">
        <w:t xml:space="preserve"> surveys are described in Section B4.</w:t>
      </w:r>
      <w:bookmarkStart w:name="_Hlk37245950" w:id="6"/>
      <w:r w:rsidR="00085DA7">
        <w:t xml:space="preserve"> </w:t>
      </w:r>
      <w:bookmarkEnd w:id="6"/>
      <w:r>
        <w:t xml:space="preserve">To </w:t>
      </w:r>
      <w:r w:rsidR="00C930FA">
        <w:t xml:space="preserve">additionally </w:t>
      </w:r>
      <w:r>
        <w:t xml:space="preserve">improve response rates, survey respondents receive AmeriPoints for their participation in surveys, which can be redeemed for cash or physical goods (see </w:t>
      </w:r>
      <w:r w:rsidR="00904E6F">
        <w:t xml:space="preserve">Supporting Statement Part A, </w:t>
      </w:r>
      <w:r>
        <w:t xml:space="preserve">Section A9). NORC maintains strict rules to limit respondent burden and reduce the risk of panel fatigue. On average, AmeriSpeak panel members typically participate in AmeriSpeak web-based or phone-based studies two to three times a month. </w:t>
      </w:r>
    </w:p>
    <w:p w:rsidR="003C753D" w:rsidP="00F94F15" w:rsidRDefault="003C753D" w14:paraId="164D6496" w14:textId="63DC1AB4">
      <w:pPr>
        <w:pStyle w:val="Paragraph"/>
      </w:pPr>
      <w:r>
        <w:t>Table B5 shows for each data collection instrument the respondent type, the n</w:t>
      </w:r>
      <w:r w:rsidRPr="00526712">
        <w:t xml:space="preserve">umber of </w:t>
      </w:r>
      <w:r>
        <w:t>e</w:t>
      </w:r>
      <w:r w:rsidRPr="00526712">
        <w:t xml:space="preserve">ligible </w:t>
      </w:r>
      <w:r>
        <w:t>AmeriSpeak p</w:t>
      </w:r>
      <w:r w:rsidRPr="00526712">
        <w:t xml:space="preserve">anel </w:t>
      </w:r>
      <w:r>
        <w:t>m</w:t>
      </w:r>
      <w:r w:rsidRPr="00526712">
        <w:t xml:space="preserve">embers </w:t>
      </w:r>
      <w:r>
        <w:t>i</w:t>
      </w:r>
      <w:r w:rsidRPr="00526712">
        <w:t>nvited to</w:t>
      </w:r>
      <w:r>
        <w:t xml:space="preserve"> participate in the survey</w:t>
      </w:r>
      <w:r w:rsidRPr="00526712">
        <w:t xml:space="preserve">, </w:t>
      </w:r>
      <w:r>
        <w:t>the expected survey response rates, the e</w:t>
      </w:r>
      <w:r w:rsidRPr="00526712">
        <w:t xml:space="preserve">stimated </w:t>
      </w:r>
      <w:r>
        <w:t>n</w:t>
      </w:r>
      <w:r w:rsidRPr="00526712">
        <w:t xml:space="preserve">umber of </w:t>
      </w:r>
      <w:r>
        <w:t>c</w:t>
      </w:r>
      <w:r w:rsidRPr="00526712">
        <w:t xml:space="preserve">ompletes, and </w:t>
      </w:r>
      <w:r>
        <w:t>the final expected c</w:t>
      </w:r>
      <w:r w:rsidRPr="00526712">
        <w:t xml:space="preserve">ooperation </w:t>
      </w:r>
      <w:r>
        <w:t>r</w:t>
      </w:r>
      <w:r w:rsidRPr="00526712">
        <w:t>ate</w:t>
      </w:r>
      <w:r>
        <w:t>, which takes into account the panel’s household-level recruitment response rate. As discussed in Section B</w:t>
      </w:r>
      <w:r w:rsidR="002E5EFC">
        <w:t>2</w:t>
      </w:r>
      <w:r>
        <w:t xml:space="preserve">, the </w:t>
      </w:r>
      <w:r w:rsidRPr="00CE3747">
        <w:t>AAPOR wei</w:t>
      </w:r>
      <w:r>
        <w:t>ghted</w:t>
      </w:r>
      <w:r w:rsidRPr="00CE3747">
        <w:t xml:space="preserve"> RR3 for the 2014</w:t>
      </w:r>
      <w:r w:rsidRPr="00DB0585">
        <w:rPr>
          <w:rFonts w:cstheme="minorHAnsi"/>
        </w:rPr>
        <w:t>–</w:t>
      </w:r>
      <w:r w:rsidRPr="00CE3747">
        <w:t>2018 panel recruitment is 34.2</w:t>
      </w:r>
      <w:r>
        <w:t xml:space="preserve"> percent</w:t>
      </w:r>
      <w:r w:rsidRPr="00CE3747">
        <w:t>.</w:t>
      </w:r>
      <w:r>
        <w:t xml:space="preserve"> The number of eligible youth invited to participate assumes 80 percent of Parent Survey participants consent for their teen to participate in the Youth Survey. </w:t>
      </w:r>
    </w:p>
    <w:p w:rsidR="00255472" w:rsidRDefault="00255472" w14:paraId="2FDCAA1D" w14:textId="77777777">
      <w:pPr>
        <w:spacing w:line="240" w:lineRule="auto"/>
        <w:rPr>
          <w:rFonts w:asciiTheme="majorHAnsi" w:hAnsiTheme="majorHAnsi"/>
          <w:b/>
          <w:sz w:val="22"/>
        </w:rPr>
      </w:pPr>
      <w:r>
        <w:br w:type="page"/>
      </w:r>
    </w:p>
    <w:p w:rsidRPr="00021BEF" w:rsidR="003C753D" w:rsidP="00DD19B1" w:rsidRDefault="003C753D" w14:paraId="32189B98" w14:textId="4EE7EF56">
      <w:pPr>
        <w:pStyle w:val="TableTitle"/>
      </w:pPr>
      <w:r>
        <w:lastRenderedPageBreak/>
        <w:t>Table B5</w:t>
      </w:r>
      <w:r w:rsidR="00966AFE">
        <w:t>.</w:t>
      </w:r>
      <w:r>
        <w:t xml:space="preserve"> </w:t>
      </w:r>
      <w:r w:rsidRPr="00526712">
        <w:t xml:space="preserve">Eligible </w:t>
      </w:r>
      <w:r>
        <w:t>p</w:t>
      </w:r>
      <w:r w:rsidRPr="00526712">
        <w:t>opulation</w:t>
      </w:r>
      <w:r>
        <w:t xml:space="preserve"> in panel</w:t>
      </w:r>
      <w:r w:rsidRPr="00526712">
        <w:t xml:space="preserve">, </w:t>
      </w:r>
      <w:r>
        <w:t>n</w:t>
      </w:r>
      <w:r w:rsidRPr="00526712">
        <w:t xml:space="preserve">umber of </w:t>
      </w:r>
      <w:r>
        <w:t>e</w:t>
      </w:r>
      <w:r w:rsidRPr="00526712">
        <w:t xml:space="preserve">ligible </w:t>
      </w:r>
      <w:r>
        <w:t>p</w:t>
      </w:r>
      <w:r w:rsidRPr="00526712">
        <w:t xml:space="preserve">anel </w:t>
      </w:r>
      <w:r>
        <w:t>m</w:t>
      </w:r>
      <w:r w:rsidRPr="00526712">
        <w:t xml:space="preserve">embers </w:t>
      </w:r>
      <w:r>
        <w:t>invited to take survey</w:t>
      </w:r>
      <w:r w:rsidRPr="00526712">
        <w:t>,</w:t>
      </w:r>
      <w:r>
        <w:t xml:space="preserve"> estimated survey cooperation rate, e</w:t>
      </w:r>
      <w:r w:rsidRPr="00526712">
        <w:t xml:space="preserve">stimated </w:t>
      </w:r>
      <w:r>
        <w:t>number of completes,</w:t>
      </w:r>
      <w:r w:rsidRPr="00526712">
        <w:t xml:space="preserve"> and </w:t>
      </w:r>
      <w:r>
        <w:t>final expected survey response rate, by data collection instrument.</w:t>
      </w:r>
    </w:p>
    <w:tbl>
      <w:tblPr>
        <w:tblW w:w="5096" w:type="pct"/>
        <w:tblBorders>
          <w:bottom w:val="single" w:color="auto" w:sz="8" w:space="0"/>
        </w:tblBorders>
        <w:tblLook w:val="04A0" w:firstRow="1" w:lastRow="0" w:firstColumn="1" w:lastColumn="0" w:noHBand="0" w:noVBand="1"/>
      </w:tblPr>
      <w:tblGrid>
        <w:gridCol w:w="1282"/>
        <w:gridCol w:w="1357"/>
        <w:gridCol w:w="1257"/>
        <w:gridCol w:w="1223"/>
        <w:gridCol w:w="1247"/>
        <w:gridCol w:w="1107"/>
        <w:gridCol w:w="2067"/>
      </w:tblGrid>
      <w:tr w:rsidRPr="00636E8B" w:rsidR="00636E8B" w:rsidTr="000D33EF" w14:paraId="28D70329" w14:textId="77777777">
        <w:trPr>
          <w:trHeight w:val="521"/>
        </w:trPr>
        <w:tc>
          <w:tcPr>
            <w:tcW w:w="682" w:type="pct"/>
            <w:shd w:val="clear" w:color="auto" w:fill="046B5C" w:themeFill="text2"/>
            <w:vAlign w:val="bottom"/>
          </w:tcPr>
          <w:p w:rsidRPr="00636E8B" w:rsidR="003C753D" w:rsidP="00636E8B" w:rsidRDefault="003C753D" w14:paraId="7515EC89" w14:textId="77777777">
            <w:pPr>
              <w:pStyle w:val="TableHeaderLeft"/>
              <w:rPr>
                <w:sz w:val="18"/>
                <w:szCs w:val="18"/>
              </w:rPr>
            </w:pPr>
            <w:r w:rsidRPr="00636E8B">
              <w:rPr>
                <w:sz w:val="18"/>
                <w:szCs w:val="18"/>
              </w:rPr>
              <w:t>Data collection instrument</w:t>
            </w:r>
          </w:p>
        </w:tc>
        <w:tc>
          <w:tcPr>
            <w:tcW w:w="672" w:type="pct"/>
            <w:shd w:val="clear" w:color="auto" w:fill="046B5C" w:themeFill="text2"/>
            <w:vAlign w:val="bottom"/>
          </w:tcPr>
          <w:p w:rsidRPr="00636E8B" w:rsidR="003C753D" w:rsidP="00636E8B" w:rsidRDefault="003C753D" w14:paraId="65202733" w14:textId="3CDCD56D">
            <w:pPr>
              <w:pStyle w:val="TableHeaderCenter"/>
              <w:rPr>
                <w:sz w:val="18"/>
                <w:szCs w:val="18"/>
              </w:rPr>
            </w:pPr>
            <w:r w:rsidRPr="00636E8B">
              <w:rPr>
                <w:sz w:val="18"/>
                <w:szCs w:val="18"/>
              </w:rPr>
              <w:t>Respondent</w:t>
            </w:r>
            <w:r w:rsidR="00B91F37">
              <w:rPr>
                <w:sz w:val="18"/>
                <w:szCs w:val="18"/>
              </w:rPr>
              <w:t>s</w:t>
            </w:r>
          </w:p>
        </w:tc>
        <w:tc>
          <w:tcPr>
            <w:tcW w:w="659" w:type="pct"/>
            <w:shd w:val="clear" w:color="auto" w:fill="046B5C" w:themeFill="text2"/>
            <w:vAlign w:val="bottom"/>
          </w:tcPr>
          <w:p w:rsidRPr="00636E8B" w:rsidR="003C753D" w:rsidP="00636E8B" w:rsidRDefault="003C753D" w14:paraId="1D8CAADE" w14:textId="0A7EDBDB">
            <w:pPr>
              <w:pStyle w:val="TableHeaderCenter"/>
              <w:rPr>
                <w:sz w:val="18"/>
                <w:szCs w:val="18"/>
              </w:rPr>
            </w:pPr>
            <w:r w:rsidRPr="00636E8B">
              <w:rPr>
                <w:sz w:val="18"/>
                <w:szCs w:val="18"/>
              </w:rPr>
              <w:t xml:space="preserve">Eligible </w:t>
            </w:r>
            <w:r w:rsidR="009B07BB">
              <w:rPr>
                <w:sz w:val="18"/>
                <w:szCs w:val="18"/>
              </w:rPr>
              <w:t>number of households</w:t>
            </w:r>
            <w:r w:rsidRPr="00636E8B">
              <w:rPr>
                <w:sz w:val="18"/>
                <w:szCs w:val="18"/>
              </w:rPr>
              <w:t xml:space="preserve"> in the AmeriSpeak panel (number)</w:t>
            </w:r>
          </w:p>
        </w:tc>
        <w:tc>
          <w:tcPr>
            <w:tcW w:w="651" w:type="pct"/>
            <w:shd w:val="clear" w:color="auto" w:fill="046B5C" w:themeFill="text2"/>
            <w:vAlign w:val="bottom"/>
          </w:tcPr>
          <w:p w:rsidRPr="00636E8B" w:rsidR="003C753D" w:rsidP="00636E8B" w:rsidRDefault="003C753D" w14:paraId="3883CA3C" w14:textId="32D5A690">
            <w:pPr>
              <w:pStyle w:val="TableHeaderCenter"/>
              <w:rPr>
                <w:sz w:val="18"/>
                <w:szCs w:val="18"/>
              </w:rPr>
            </w:pPr>
            <w:r w:rsidRPr="00636E8B">
              <w:rPr>
                <w:sz w:val="18"/>
                <w:szCs w:val="18"/>
              </w:rPr>
              <w:t xml:space="preserve">Eligible </w:t>
            </w:r>
            <w:r w:rsidR="008A3566">
              <w:rPr>
                <w:sz w:val="18"/>
                <w:szCs w:val="18"/>
              </w:rPr>
              <w:t>sample</w:t>
            </w:r>
            <w:r w:rsidRPr="00636E8B" w:rsidR="008A3566">
              <w:rPr>
                <w:sz w:val="18"/>
                <w:szCs w:val="18"/>
              </w:rPr>
              <w:t xml:space="preserve"> </w:t>
            </w:r>
            <w:r w:rsidRPr="00636E8B">
              <w:rPr>
                <w:sz w:val="18"/>
                <w:szCs w:val="18"/>
              </w:rPr>
              <w:t>members invited to complete the survey (number)</w:t>
            </w:r>
          </w:p>
        </w:tc>
        <w:tc>
          <w:tcPr>
            <w:tcW w:w="654" w:type="pct"/>
            <w:shd w:val="clear" w:color="auto" w:fill="046B5C" w:themeFill="text2"/>
            <w:vAlign w:val="bottom"/>
          </w:tcPr>
          <w:p w:rsidRPr="00636E8B" w:rsidR="003C753D" w:rsidP="00636E8B" w:rsidRDefault="003C753D" w14:paraId="32F2337E" w14:textId="77777777">
            <w:pPr>
              <w:pStyle w:val="TableHeaderCenter"/>
              <w:rPr>
                <w:sz w:val="18"/>
                <w:szCs w:val="18"/>
              </w:rPr>
            </w:pPr>
            <w:r w:rsidRPr="00636E8B">
              <w:rPr>
                <w:sz w:val="18"/>
                <w:szCs w:val="18"/>
              </w:rPr>
              <w:t>Survey cooperation rate</w:t>
            </w:r>
            <w:r w:rsidRPr="00636E8B">
              <w:rPr>
                <w:sz w:val="18"/>
                <w:szCs w:val="18"/>
              </w:rPr>
              <w:br/>
              <w:t>(% invited and expected to complete)</w:t>
            </w:r>
          </w:p>
        </w:tc>
        <w:tc>
          <w:tcPr>
            <w:tcW w:w="580" w:type="pct"/>
            <w:shd w:val="clear" w:color="auto" w:fill="046B5C" w:themeFill="text2"/>
            <w:vAlign w:val="bottom"/>
          </w:tcPr>
          <w:p w:rsidRPr="00636E8B" w:rsidR="003C753D" w:rsidP="00636E8B" w:rsidRDefault="003C753D" w14:paraId="10AE3E7F" w14:textId="6605A92C">
            <w:pPr>
              <w:pStyle w:val="TableHeaderCenter"/>
              <w:rPr>
                <w:sz w:val="18"/>
                <w:szCs w:val="18"/>
              </w:rPr>
            </w:pPr>
            <w:r w:rsidRPr="00636E8B">
              <w:rPr>
                <w:sz w:val="18"/>
                <w:szCs w:val="18"/>
              </w:rPr>
              <w:t>Estimated number of completes</w:t>
            </w:r>
          </w:p>
        </w:tc>
        <w:tc>
          <w:tcPr>
            <w:tcW w:w="1102" w:type="pct"/>
            <w:shd w:val="clear" w:color="auto" w:fill="046B5C" w:themeFill="text2"/>
            <w:vAlign w:val="bottom"/>
          </w:tcPr>
          <w:p w:rsidRPr="00636E8B" w:rsidR="003C753D" w:rsidP="00636E8B" w:rsidRDefault="003C753D" w14:paraId="07A039D3" w14:textId="77777777">
            <w:pPr>
              <w:pStyle w:val="TableHeaderCenter"/>
              <w:rPr>
                <w:sz w:val="18"/>
                <w:szCs w:val="18"/>
              </w:rPr>
            </w:pPr>
            <w:r w:rsidRPr="00636E8B">
              <w:rPr>
                <w:sz w:val="18"/>
                <w:szCs w:val="18"/>
              </w:rPr>
              <w:t>Final response rate (panel response rate</w:t>
            </w:r>
            <w:r w:rsidRPr="00636E8B">
              <w:rPr>
                <w:sz w:val="18"/>
                <w:szCs w:val="18"/>
                <w:vertAlign w:val="superscript"/>
              </w:rPr>
              <w:t>a</w:t>
            </w:r>
            <w:r w:rsidRPr="00636E8B">
              <w:rPr>
                <w:sz w:val="18"/>
                <w:szCs w:val="18"/>
              </w:rPr>
              <w:t xml:space="preserve"> * survey cooperation rate)</w:t>
            </w:r>
          </w:p>
        </w:tc>
      </w:tr>
      <w:tr w:rsidRPr="00636E8B" w:rsidR="000D33EF" w:rsidTr="000D33EF" w14:paraId="798784E4" w14:textId="77777777">
        <w:tc>
          <w:tcPr>
            <w:tcW w:w="682" w:type="pct"/>
            <w:shd w:val="clear" w:color="auto" w:fill="auto"/>
          </w:tcPr>
          <w:p w:rsidRPr="00636E8B" w:rsidR="003C753D" w:rsidP="00636E8B" w:rsidRDefault="003C753D" w14:paraId="5BA0F583" w14:textId="77777777">
            <w:pPr>
              <w:pStyle w:val="TableText"/>
              <w:spacing w:before="60"/>
              <w:rPr>
                <w:szCs w:val="18"/>
              </w:rPr>
            </w:pPr>
            <w:r w:rsidRPr="00636E8B">
              <w:rPr>
                <w:szCs w:val="18"/>
              </w:rPr>
              <w:t>(1) Parent Survey</w:t>
            </w:r>
          </w:p>
        </w:tc>
        <w:tc>
          <w:tcPr>
            <w:tcW w:w="672" w:type="pct"/>
            <w:shd w:val="clear" w:color="auto" w:fill="auto"/>
          </w:tcPr>
          <w:p w:rsidRPr="00636E8B" w:rsidR="003C753D" w:rsidP="00636E8B" w:rsidRDefault="003C753D" w14:paraId="48F79694" w14:textId="63CC424D">
            <w:pPr>
              <w:pStyle w:val="TableText"/>
              <w:spacing w:before="60"/>
              <w:rPr>
                <w:szCs w:val="18"/>
              </w:rPr>
            </w:pPr>
            <w:r w:rsidRPr="00636E8B">
              <w:rPr>
                <w:szCs w:val="18"/>
              </w:rPr>
              <w:t>Parent</w:t>
            </w:r>
            <w:r w:rsidR="00010296">
              <w:rPr>
                <w:szCs w:val="18"/>
              </w:rPr>
              <w:t>s</w:t>
            </w:r>
            <w:r w:rsidRPr="00636E8B">
              <w:rPr>
                <w:szCs w:val="18"/>
              </w:rPr>
              <w:t xml:space="preserve"> of youth age 14</w:t>
            </w:r>
            <w:r w:rsidRPr="00636E8B">
              <w:rPr>
                <w:rFonts w:cstheme="minorHAnsi"/>
                <w:szCs w:val="18"/>
              </w:rPr>
              <w:t>–</w:t>
            </w:r>
            <w:r w:rsidRPr="00636E8B">
              <w:rPr>
                <w:szCs w:val="18"/>
              </w:rPr>
              <w:t>18 in the research panel</w:t>
            </w:r>
          </w:p>
        </w:tc>
        <w:tc>
          <w:tcPr>
            <w:tcW w:w="659" w:type="pct"/>
            <w:shd w:val="clear" w:color="auto" w:fill="auto"/>
          </w:tcPr>
          <w:p w:rsidRPr="00636E8B" w:rsidR="003C753D" w:rsidP="00636E8B" w:rsidRDefault="003C753D" w14:paraId="5D588C7F" w14:textId="77777777">
            <w:pPr>
              <w:pStyle w:val="TableTextCentered"/>
              <w:rPr>
                <w:sz w:val="18"/>
                <w:szCs w:val="18"/>
              </w:rPr>
            </w:pPr>
            <w:r w:rsidRPr="00636E8B">
              <w:rPr>
                <w:sz w:val="18"/>
                <w:szCs w:val="18"/>
              </w:rPr>
              <w:t>4,586</w:t>
            </w:r>
          </w:p>
        </w:tc>
        <w:tc>
          <w:tcPr>
            <w:tcW w:w="651" w:type="pct"/>
            <w:shd w:val="clear" w:color="auto" w:fill="auto"/>
          </w:tcPr>
          <w:p w:rsidRPr="00636E8B" w:rsidR="003C753D" w:rsidP="00636E8B" w:rsidRDefault="003C753D" w14:paraId="2912D116" w14:textId="77777777">
            <w:pPr>
              <w:pStyle w:val="TableTextCentered"/>
              <w:rPr>
                <w:sz w:val="18"/>
                <w:szCs w:val="18"/>
              </w:rPr>
            </w:pPr>
            <w:r w:rsidRPr="00636E8B">
              <w:rPr>
                <w:sz w:val="18"/>
                <w:szCs w:val="18"/>
              </w:rPr>
              <w:t>4,586</w:t>
            </w:r>
          </w:p>
        </w:tc>
        <w:tc>
          <w:tcPr>
            <w:tcW w:w="654" w:type="pct"/>
          </w:tcPr>
          <w:p w:rsidRPr="00636E8B" w:rsidR="003C753D" w:rsidP="00636E8B" w:rsidRDefault="00D019E4" w14:paraId="51EBF083" w14:textId="4963B781">
            <w:pPr>
              <w:pStyle w:val="TableTextCentered"/>
              <w:rPr>
                <w:sz w:val="18"/>
                <w:szCs w:val="18"/>
              </w:rPr>
            </w:pPr>
            <w:r w:rsidRPr="00F5599E">
              <w:rPr>
                <w:sz w:val="18"/>
                <w:szCs w:val="18"/>
              </w:rPr>
              <w:t>3</w:t>
            </w:r>
            <w:r w:rsidR="00187EAE">
              <w:rPr>
                <w:sz w:val="18"/>
                <w:szCs w:val="18"/>
              </w:rPr>
              <w:t>3.8</w:t>
            </w:r>
            <w:r w:rsidRPr="00F5599E" w:rsidR="003C753D">
              <w:rPr>
                <w:sz w:val="18"/>
                <w:szCs w:val="18"/>
              </w:rPr>
              <w:t>%</w:t>
            </w:r>
          </w:p>
        </w:tc>
        <w:tc>
          <w:tcPr>
            <w:tcW w:w="580" w:type="pct"/>
          </w:tcPr>
          <w:p w:rsidRPr="00636E8B" w:rsidR="003C753D" w:rsidP="00636E8B" w:rsidRDefault="003C753D" w14:paraId="6376C248" w14:textId="6780A1F1">
            <w:pPr>
              <w:pStyle w:val="TableTextDecimal"/>
              <w:framePr w:wrap="notBeside"/>
              <w:rPr>
                <w:sz w:val="18"/>
                <w:szCs w:val="18"/>
                <w:highlight w:val="yellow"/>
              </w:rPr>
            </w:pPr>
            <w:r w:rsidRPr="007561A5">
              <w:rPr>
                <w:sz w:val="18"/>
                <w:szCs w:val="18"/>
              </w:rPr>
              <w:t>1,</w:t>
            </w:r>
            <w:r w:rsidRPr="007561A5" w:rsidR="006F5B5F">
              <w:rPr>
                <w:sz w:val="18"/>
                <w:szCs w:val="18"/>
              </w:rPr>
              <w:t>55</w:t>
            </w:r>
            <w:r w:rsidR="009B07BB">
              <w:rPr>
                <w:sz w:val="18"/>
                <w:szCs w:val="18"/>
              </w:rPr>
              <w:t>0</w:t>
            </w:r>
          </w:p>
        </w:tc>
        <w:tc>
          <w:tcPr>
            <w:tcW w:w="1102" w:type="pct"/>
          </w:tcPr>
          <w:p w:rsidRPr="00636E8B" w:rsidR="003C753D" w:rsidP="00636E8B" w:rsidRDefault="003C753D" w14:paraId="5E082530" w14:textId="4BC7F3CA">
            <w:pPr>
              <w:pStyle w:val="TableText"/>
              <w:spacing w:before="60"/>
              <w:rPr>
                <w:szCs w:val="18"/>
              </w:rPr>
            </w:pPr>
            <w:r w:rsidRPr="00636E8B">
              <w:rPr>
                <w:szCs w:val="18"/>
              </w:rPr>
              <w:t xml:space="preserve">(34.2 * </w:t>
            </w:r>
            <w:r w:rsidR="002F443E">
              <w:rPr>
                <w:szCs w:val="18"/>
              </w:rPr>
              <w:t>33.8</w:t>
            </w:r>
            <w:r w:rsidRPr="00636E8B">
              <w:rPr>
                <w:szCs w:val="18"/>
              </w:rPr>
              <w:t>) = 1</w:t>
            </w:r>
            <w:r w:rsidR="00255472">
              <w:rPr>
                <w:szCs w:val="18"/>
              </w:rPr>
              <w:t>1</w:t>
            </w:r>
            <w:r w:rsidRPr="00636E8B">
              <w:rPr>
                <w:szCs w:val="18"/>
              </w:rPr>
              <w:t>.</w:t>
            </w:r>
            <w:r w:rsidR="002F443E">
              <w:rPr>
                <w:szCs w:val="18"/>
              </w:rPr>
              <w:t>56</w:t>
            </w:r>
            <w:r w:rsidRPr="00636E8B">
              <w:rPr>
                <w:szCs w:val="18"/>
              </w:rPr>
              <w:t>%</w:t>
            </w:r>
          </w:p>
        </w:tc>
      </w:tr>
      <w:tr w:rsidRPr="00636E8B" w:rsidR="000D33EF" w:rsidTr="009B07BB" w14:paraId="679ACFFB" w14:textId="77777777">
        <w:trPr>
          <w:trHeight w:val="959"/>
        </w:trPr>
        <w:tc>
          <w:tcPr>
            <w:tcW w:w="682" w:type="pct"/>
            <w:shd w:val="clear" w:color="auto" w:fill="E0D4B5" w:themeFill="background2"/>
          </w:tcPr>
          <w:p w:rsidRPr="00636E8B" w:rsidR="003C753D" w:rsidP="00636E8B" w:rsidRDefault="003C753D" w14:paraId="5F021297" w14:textId="77777777">
            <w:pPr>
              <w:pStyle w:val="TableText"/>
              <w:spacing w:before="60"/>
              <w:rPr>
                <w:szCs w:val="18"/>
              </w:rPr>
            </w:pPr>
            <w:r w:rsidRPr="00636E8B">
              <w:rPr>
                <w:szCs w:val="18"/>
              </w:rPr>
              <w:t>(2) Part 1 Youth Survey</w:t>
            </w:r>
            <w:r w:rsidRPr="00636E8B">
              <w:rPr>
                <w:szCs w:val="18"/>
                <w:vertAlign w:val="superscript"/>
              </w:rPr>
              <w:t>b</w:t>
            </w:r>
          </w:p>
        </w:tc>
        <w:tc>
          <w:tcPr>
            <w:tcW w:w="672" w:type="pct"/>
            <w:shd w:val="clear" w:color="auto" w:fill="E0D4B5" w:themeFill="background2"/>
          </w:tcPr>
          <w:p w:rsidRPr="00636E8B" w:rsidR="003C753D" w:rsidP="00636E8B" w:rsidRDefault="003C753D" w14:paraId="6D901D1E" w14:textId="77777777">
            <w:pPr>
              <w:pStyle w:val="TableText"/>
              <w:spacing w:before="60"/>
              <w:rPr>
                <w:szCs w:val="18"/>
              </w:rPr>
            </w:pPr>
            <w:r w:rsidRPr="00636E8B">
              <w:rPr>
                <w:szCs w:val="18"/>
              </w:rPr>
              <w:t>Youth ages 14</w:t>
            </w:r>
            <w:r w:rsidRPr="00636E8B">
              <w:rPr>
                <w:rFonts w:cstheme="minorHAnsi"/>
                <w:szCs w:val="18"/>
              </w:rPr>
              <w:t>–</w:t>
            </w:r>
            <w:r w:rsidRPr="00636E8B">
              <w:rPr>
                <w:szCs w:val="18"/>
              </w:rPr>
              <w:t xml:space="preserve">18 in the research panel </w:t>
            </w:r>
          </w:p>
        </w:tc>
        <w:tc>
          <w:tcPr>
            <w:tcW w:w="659" w:type="pct"/>
            <w:shd w:val="clear" w:color="auto" w:fill="E0D4B5" w:themeFill="background2"/>
          </w:tcPr>
          <w:p w:rsidRPr="00636E8B" w:rsidR="003C753D" w:rsidP="00636E8B" w:rsidRDefault="002C0E8A" w14:paraId="4CBA082D" w14:textId="1D008DAA">
            <w:pPr>
              <w:pStyle w:val="TableTextCentered"/>
              <w:rPr>
                <w:sz w:val="18"/>
                <w:szCs w:val="18"/>
                <w:highlight w:val="yellow"/>
              </w:rPr>
            </w:pPr>
            <w:r>
              <w:rPr>
                <w:sz w:val="18"/>
                <w:szCs w:val="18"/>
              </w:rPr>
              <w:t>4,586</w:t>
            </w:r>
          </w:p>
        </w:tc>
        <w:tc>
          <w:tcPr>
            <w:tcW w:w="651" w:type="pct"/>
            <w:shd w:val="clear" w:color="auto" w:fill="E0D4B5" w:themeFill="background2"/>
          </w:tcPr>
          <w:p w:rsidRPr="00636E8B" w:rsidR="003C753D" w:rsidP="00636E8B" w:rsidRDefault="00401CEF" w14:paraId="17D87EFE" w14:textId="573A55E3">
            <w:pPr>
              <w:pStyle w:val="TableTextCentered"/>
              <w:rPr>
                <w:sz w:val="18"/>
                <w:szCs w:val="18"/>
                <w:highlight w:val="yellow"/>
              </w:rPr>
            </w:pPr>
            <w:r w:rsidRPr="00636E8B">
              <w:rPr>
                <w:sz w:val="18"/>
                <w:szCs w:val="18"/>
              </w:rPr>
              <w:t>1,</w:t>
            </w:r>
            <w:r>
              <w:rPr>
                <w:sz w:val="18"/>
                <w:szCs w:val="18"/>
              </w:rPr>
              <w:t>240</w:t>
            </w:r>
          </w:p>
        </w:tc>
        <w:tc>
          <w:tcPr>
            <w:tcW w:w="654" w:type="pct"/>
            <w:shd w:val="clear" w:color="auto" w:fill="E0D4B5" w:themeFill="background2"/>
          </w:tcPr>
          <w:p w:rsidRPr="00636E8B" w:rsidR="003C753D" w:rsidP="00636E8B" w:rsidRDefault="002C0E8A" w14:paraId="678C852D" w14:textId="50E072A9">
            <w:pPr>
              <w:pStyle w:val="TableTextCentered"/>
              <w:rPr>
                <w:sz w:val="18"/>
                <w:szCs w:val="18"/>
              </w:rPr>
            </w:pPr>
            <w:r>
              <w:rPr>
                <w:sz w:val="18"/>
                <w:szCs w:val="18"/>
              </w:rPr>
              <w:t>5</w:t>
            </w:r>
            <w:r w:rsidR="00187EAE">
              <w:rPr>
                <w:sz w:val="18"/>
                <w:szCs w:val="18"/>
              </w:rPr>
              <w:t>4.</w:t>
            </w:r>
            <w:r w:rsidR="002F443E">
              <w:rPr>
                <w:sz w:val="18"/>
                <w:szCs w:val="18"/>
              </w:rPr>
              <w:t>4</w:t>
            </w:r>
            <w:r w:rsidRPr="00F5599E" w:rsidR="003C753D">
              <w:rPr>
                <w:sz w:val="18"/>
                <w:szCs w:val="18"/>
              </w:rPr>
              <w:t>%</w:t>
            </w:r>
          </w:p>
        </w:tc>
        <w:tc>
          <w:tcPr>
            <w:tcW w:w="580" w:type="pct"/>
            <w:shd w:val="clear" w:color="auto" w:fill="E0D4B5" w:themeFill="background2"/>
          </w:tcPr>
          <w:p w:rsidRPr="00636E8B" w:rsidR="003C753D" w:rsidP="00636E8B" w:rsidRDefault="00164D39" w14:paraId="14DE0450" w14:textId="5740EA9E">
            <w:pPr>
              <w:pStyle w:val="TableTextDecimal"/>
              <w:framePr w:wrap="notBeside"/>
              <w:rPr>
                <w:sz w:val="18"/>
                <w:szCs w:val="18"/>
                <w:highlight w:val="yellow"/>
              </w:rPr>
            </w:pPr>
            <w:r w:rsidRPr="007561A5">
              <w:rPr>
                <w:sz w:val="18"/>
                <w:szCs w:val="18"/>
              </w:rPr>
              <w:t>67</w:t>
            </w:r>
            <w:r w:rsidR="009B07BB">
              <w:rPr>
                <w:sz w:val="18"/>
                <w:szCs w:val="18"/>
              </w:rPr>
              <w:t>5</w:t>
            </w:r>
          </w:p>
        </w:tc>
        <w:tc>
          <w:tcPr>
            <w:tcW w:w="1102" w:type="pct"/>
            <w:shd w:val="clear" w:color="auto" w:fill="E0D4B5" w:themeFill="background2"/>
          </w:tcPr>
          <w:p w:rsidRPr="00636E8B" w:rsidR="003C753D" w:rsidP="00636E8B" w:rsidRDefault="003C753D" w14:paraId="2458394C" w14:textId="3BDCED74">
            <w:pPr>
              <w:pStyle w:val="TableText"/>
              <w:spacing w:before="60"/>
              <w:rPr>
                <w:szCs w:val="18"/>
              </w:rPr>
            </w:pPr>
            <w:r w:rsidRPr="00636E8B">
              <w:rPr>
                <w:szCs w:val="18"/>
              </w:rPr>
              <w:t xml:space="preserve">(34.2 * </w:t>
            </w:r>
            <w:r w:rsidR="002F443E">
              <w:rPr>
                <w:szCs w:val="18"/>
              </w:rPr>
              <w:t>54.4</w:t>
            </w:r>
            <w:r w:rsidRPr="00636E8B">
              <w:rPr>
                <w:szCs w:val="18"/>
              </w:rPr>
              <w:t xml:space="preserve">) = </w:t>
            </w:r>
            <w:r w:rsidR="0075596F">
              <w:rPr>
                <w:szCs w:val="18"/>
              </w:rPr>
              <w:t>18.61</w:t>
            </w:r>
            <w:r w:rsidRPr="00636E8B">
              <w:rPr>
                <w:szCs w:val="18"/>
              </w:rPr>
              <w:t>%</w:t>
            </w:r>
          </w:p>
        </w:tc>
      </w:tr>
      <w:tr w:rsidRPr="00636E8B" w:rsidR="000D33EF" w:rsidTr="000D33EF" w14:paraId="1FAC0F67" w14:textId="77777777">
        <w:tc>
          <w:tcPr>
            <w:tcW w:w="682" w:type="pct"/>
            <w:shd w:val="clear" w:color="auto" w:fill="auto"/>
          </w:tcPr>
          <w:p w:rsidRPr="00636E8B" w:rsidR="003C753D" w:rsidP="00636E8B" w:rsidRDefault="003C753D" w14:paraId="3929B2F1" w14:textId="77777777">
            <w:pPr>
              <w:pStyle w:val="TableText"/>
              <w:spacing w:before="60"/>
              <w:rPr>
                <w:b/>
                <w:szCs w:val="18"/>
              </w:rPr>
            </w:pPr>
            <w:r w:rsidRPr="00636E8B">
              <w:rPr>
                <w:szCs w:val="18"/>
              </w:rPr>
              <w:t>(3) Part 2 Youth Survey</w:t>
            </w:r>
            <w:r w:rsidRPr="00636E8B">
              <w:rPr>
                <w:szCs w:val="18"/>
                <w:vertAlign w:val="superscript"/>
              </w:rPr>
              <w:t>b</w:t>
            </w:r>
          </w:p>
        </w:tc>
        <w:tc>
          <w:tcPr>
            <w:tcW w:w="672" w:type="pct"/>
            <w:shd w:val="clear" w:color="auto" w:fill="auto"/>
          </w:tcPr>
          <w:p w:rsidRPr="00636E8B" w:rsidR="003C753D" w:rsidP="00636E8B" w:rsidRDefault="003C753D" w14:paraId="0FC28A77" w14:textId="77777777">
            <w:pPr>
              <w:pStyle w:val="TableText"/>
              <w:spacing w:before="60"/>
              <w:rPr>
                <w:szCs w:val="18"/>
              </w:rPr>
            </w:pPr>
            <w:r w:rsidRPr="00636E8B">
              <w:rPr>
                <w:szCs w:val="18"/>
              </w:rPr>
              <w:t>Youth ages 14</w:t>
            </w:r>
            <w:r w:rsidRPr="00636E8B">
              <w:rPr>
                <w:rFonts w:cstheme="minorHAnsi"/>
                <w:szCs w:val="18"/>
              </w:rPr>
              <w:t>–</w:t>
            </w:r>
            <w:r w:rsidRPr="00636E8B">
              <w:rPr>
                <w:szCs w:val="18"/>
              </w:rPr>
              <w:t>18 in the research panel</w:t>
            </w:r>
          </w:p>
        </w:tc>
        <w:tc>
          <w:tcPr>
            <w:tcW w:w="659" w:type="pct"/>
            <w:shd w:val="clear" w:color="auto" w:fill="auto"/>
          </w:tcPr>
          <w:p w:rsidRPr="00636E8B" w:rsidR="003C753D" w:rsidP="00636E8B" w:rsidRDefault="002C0E8A" w14:paraId="3546B293" w14:textId="7C410752">
            <w:pPr>
              <w:pStyle w:val="TableTextCentered"/>
              <w:rPr>
                <w:sz w:val="18"/>
                <w:szCs w:val="18"/>
              </w:rPr>
            </w:pPr>
            <w:r>
              <w:rPr>
                <w:sz w:val="18"/>
                <w:szCs w:val="18"/>
              </w:rPr>
              <w:t>4,586</w:t>
            </w:r>
          </w:p>
        </w:tc>
        <w:tc>
          <w:tcPr>
            <w:tcW w:w="651" w:type="pct"/>
            <w:shd w:val="clear" w:color="auto" w:fill="auto"/>
          </w:tcPr>
          <w:p w:rsidRPr="00636E8B" w:rsidR="003C753D" w:rsidP="00636E8B" w:rsidRDefault="00401CEF" w14:paraId="743D85D8" w14:textId="726FA421">
            <w:pPr>
              <w:pStyle w:val="TableTextCentered"/>
              <w:rPr>
                <w:sz w:val="18"/>
                <w:szCs w:val="18"/>
              </w:rPr>
            </w:pPr>
            <w:r w:rsidRPr="00636E8B">
              <w:rPr>
                <w:sz w:val="18"/>
                <w:szCs w:val="18"/>
              </w:rPr>
              <w:t>1,</w:t>
            </w:r>
            <w:r>
              <w:rPr>
                <w:sz w:val="18"/>
                <w:szCs w:val="18"/>
              </w:rPr>
              <w:t>240</w:t>
            </w:r>
          </w:p>
        </w:tc>
        <w:tc>
          <w:tcPr>
            <w:tcW w:w="654" w:type="pct"/>
          </w:tcPr>
          <w:p w:rsidRPr="00636E8B" w:rsidR="003C753D" w:rsidP="00636E8B" w:rsidRDefault="002C0E8A" w14:paraId="7744A481" w14:textId="258E4865">
            <w:pPr>
              <w:pStyle w:val="TableTextCentered"/>
              <w:rPr>
                <w:sz w:val="18"/>
                <w:szCs w:val="18"/>
              </w:rPr>
            </w:pPr>
            <w:r>
              <w:rPr>
                <w:sz w:val="18"/>
                <w:szCs w:val="18"/>
              </w:rPr>
              <w:t>4</w:t>
            </w:r>
            <w:r w:rsidR="002F443E">
              <w:rPr>
                <w:sz w:val="18"/>
                <w:szCs w:val="18"/>
              </w:rPr>
              <w:t>7.6</w:t>
            </w:r>
            <w:r w:rsidRPr="00F5599E" w:rsidR="003C753D">
              <w:rPr>
                <w:sz w:val="18"/>
                <w:szCs w:val="18"/>
              </w:rPr>
              <w:t>%</w:t>
            </w:r>
            <w:r w:rsidRPr="00F5599E" w:rsidR="003C753D">
              <w:rPr>
                <w:sz w:val="18"/>
                <w:szCs w:val="18"/>
                <w:vertAlign w:val="superscript"/>
              </w:rPr>
              <w:t>c</w:t>
            </w:r>
          </w:p>
        </w:tc>
        <w:tc>
          <w:tcPr>
            <w:tcW w:w="580" w:type="pct"/>
            <w:shd w:val="clear" w:color="auto" w:fill="auto"/>
          </w:tcPr>
          <w:p w:rsidRPr="00636E8B" w:rsidR="003C753D" w:rsidP="00636E8B" w:rsidRDefault="00164D39" w14:paraId="1F67DE94" w14:textId="50D2B8FD">
            <w:pPr>
              <w:pStyle w:val="TableTextDecimal"/>
              <w:framePr w:wrap="notBeside"/>
              <w:rPr>
                <w:sz w:val="18"/>
                <w:szCs w:val="18"/>
                <w:highlight w:val="yellow"/>
              </w:rPr>
            </w:pPr>
            <w:r>
              <w:rPr>
                <w:sz w:val="18"/>
                <w:szCs w:val="18"/>
              </w:rPr>
              <w:t>5</w:t>
            </w:r>
            <w:r w:rsidR="009B07BB">
              <w:rPr>
                <w:sz w:val="18"/>
                <w:szCs w:val="18"/>
              </w:rPr>
              <w:t>90</w:t>
            </w:r>
          </w:p>
        </w:tc>
        <w:tc>
          <w:tcPr>
            <w:tcW w:w="1102" w:type="pct"/>
          </w:tcPr>
          <w:p w:rsidRPr="00636E8B" w:rsidR="003C753D" w:rsidP="00636E8B" w:rsidRDefault="003C753D" w14:paraId="6ED29507" w14:textId="69255A6F">
            <w:pPr>
              <w:pStyle w:val="TableText"/>
              <w:spacing w:before="60"/>
              <w:rPr>
                <w:szCs w:val="18"/>
              </w:rPr>
            </w:pPr>
            <w:r w:rsidRPr="00636E8B">
              <w:rPr>
                <w:szCs w:val="18"/>
              </w:rPr>
              <w:t xml:space="preserve">(34.2 * </w:t>
            </w:r>
            <w:r w:rsidR="002C0E8A">
              <w:rPr>
                <w:szCs w:val="18"/>
              </w:rPr>
              <w:t>4</w:t>
            </w:r>
            <w:r w:rsidR="002F443E">
              <w:rPr>
                <w:szCs w:val="18"/>
              </w:rPr>
              <w:t>7</w:t>
            </w:r>
            <w:r w:rsidRPr="00636E8B">
              <w:rPr>
                <w:szCs w:val="18"/>
              </w:rPr>
              <w:t>.</w:t>
            </w:r>
            <w:r w:rsidR="002F443E">
              <w:rPr>
                <w:szCs w:val="18"/>
              </w:rPr>
              <w:t>6</w:t>
            </w:r>
            <w:r w:rsidRPr="00636E8B">
              <w:rPr>
                <w:szCs w:val="18"/>
              </w:rPr>
              <w:t xml:space="preserve">) = </w:t>
            </w:r>
            <w:r w:rsidR="009B07BB">
              <w:rPr>
                <w:szCs w:val="18"/>
              </w:rPr>
              <w:t>16.</w:t>
            </w:r>
            <w:r w:rsidR="0075596F">
              <w:rPr>
                <w:szCs w:val="18"/>
              </w:rPr>
              <w:t>28</w:t>
            </w:r>
            <w:r w:rsidRPr="00636E8B">
              <w:rPr>
                <w:szCs w:val="18"/>
              </w:rPr>
              <w:t>%</w:t>
            </w:r>
          </w:p>
        </w:tc>
      </w:tr>
      <w:tr w:rsidRPr="00636E8B" w:rsidR="000D33EF" w:rsidTr="00785E9F" w14:paraId="337B7F59" w14:textId="77777777">
        <w:tc>
          <w:tcPr>
            <w:tcW w:w="682" w:type="pct"/>
            <w:shd w:val="clear" w:color="auto" w:fill="E0D4B5" w:themeFill="background2"/>
          </w:tcPr>
          <w:p w:rsidRPr="00636E8B" w:rsidR="003C753D" w:rsidP="00636E8B" w:rsidRDefault="003C753D" w14:paraId="26D79E96" w14:textId="77777777">
            <w:pPr>
              <w:pStyle w:val="TableText"/>
              <w:spacing w:before="60"/>
              <w:rPr>
                <w:szCs w:val="18"/>
              </w:rPr>
            </w:pPr>
            <w:r w:rsidRPr="00636E8B">
              <w:rPr>
                <w:szCs w:val="18"/>
              </w:rPr>
              <w:t>(4) Young Adult Survey</w:t>
            </w:r>
          </w:p>
        </w:tc>
        <w:tc>
          <w:tcPr>
            <w:tcW w:w="672" w:type="pct"/>
            <w:shd w:val="clear" w:color="auto" w:fill="E0D4B5" w:themeFill="background2"/>
          </w:tcPr>
          <w:p w:rsidRPr="00636E8B" w:rsidR="003C753D" w:rsidP="00636E8B" w:rsidRDefault="003C753D" w14:paraId="38EBB4DD" w14:textId="77777777">
            <w:pPr>
              <w:pStyle w:val="TableText"/>
              <w:spacing w:before="60"/>
              <w:rPr>
                <w:szCs w:val="18"/>
              </w:rPr>
            </w:pPr>
            <w:r w:rsidRPr="00636E8B">
              <w:rPr>
                <w:szCs w:val="18"/>
              </w:rPr>
              <w:t>Young adults ages 19</w:t>
            </w:r>
            <w:r w:rsidRPr="00636E8B">
              <w:rPr>
                <w:rFonts w:cstheme="minorHAnsi"/>
                <w:szCs w:val="18"/>
              </w:rPr>
              <w:t>–</w:t>
            </w:r>
            <w:r w:rsidRPr="00636E8B">
              <w:rPr>
                <w:szCs w:val="18"/>
              </w:rPr>
              <w:t>24 in the research panel</w:t>
            </w:r>
          </w:p>
        </w:tc>
        <w:tc>
          <w:tcPr>
            <w:tcW w:w="659" w:type="pct"/>
            <w:shd w:val="clear" w:color="auto" w:fill="E0D4B5" w:themeFill="background2"/>
          </w:tcPr>
          <w:p w:rsidRPr="00636E8B" w:rsidR="003C753D" w:rsidDel="003E17B4" w:rsidP="00636E8B" w:rsidRDefault="003C753D" w14:paraId="458649FE" w14:textId="77777777">
            <w:pPr>
              <w:pStyle w:val="TableTextCentered"/>
              <w:rPr>
                <w:sz w:val="18"/>
                <w:szCs w:val="18"/>
              </w:rPr>
            </w:pPr>
            <w:r w:rsidRPr="00636E8B">
              <w:rPr>
                <w:sz w:val="18"/>
                <w:szCs w:val="18"/>
              </w:rPr>
              <w:t>3,183</w:t>
            </w:r>
          </w:p>
        </w:tc>
        <w:tc>
          <w:tcPr>
            <w:tcW w:w="651" w:type="pct"/>
            <w:shd w:val="clear" w:color="auto" w:fill="E0D4B5" w:themeFill="background2"/>
          </w:tcPr>
          <w:p w:rsidRPr="00636E8B" w:rsidR="003C753D" w:rsidP="00636E8B" w:rsidRDefault="003C753D" w14:paraId="4BD16898" w14:textId="77777777">
            <w:pPr>
              <w:pStyle w:val="TableTextCentered"/>
              <w:rPr>
                <w:sz w:val="18"/>
                <w:szCs w:val="18"/>
              </w:rPr>
            </w:pPr>
            <w:r w:rsidRPr="00636E8B">
              <w:rPr>
                <w:sz w:val="18"/>
                <w:szCs w:val="18"/>
              </w:rPr>
              <w:t>3,183</w:t>
            </w:r>
          </w:p>
        </w:tc>
        <w:tc>
          <w:tcPr>
            <w:tcW w:w="654" w:type="pct"/>
            <w:shd w:val="clear" w:color="auto" w:fill="E0D4B5" w:themeFill="background2"/>
          </w:tcPr>
          <w:p w:rsidRPr="00636E8B" w:rsidR="003C753D" w:rsidP="00636E8B" w:rsidRDefault="003C753D" w14:paraId="3BA66875" w14:textId="712C2EEC">
            <w:pPr>
              <w:pStyle w:val="TableTextCentered"/>
              <w:rPr>
                <w:sz w:val="18"/>
                <w:szCs w:val="18"/>
              </w:rPr>
            </w:pPr>
            <w:r w:rsidRPr="00F5599E">
              <w:rPr>
                <w:sz w:val="18"/>
                <w:szCs w:val="18"/>
              </w:rPr>
              <w:t>24</w:t>
            </w:r>
            <w:r w:rsidR="002F443E">
              <w:rPr>
                <w:sz w:val="18"/>
                <w:szCs w:val="18"/>
              </w:rPr>
              <w:t>.3</w:t>
            </w:r>
            <w:r w:rsidRPr="00F5599E">
              <w:rPr>
                <w:sz w:val="18"/>
                <w:szCs w:val="18"/>
              </w:rPr>
              <w:t>%</w:t>
            </w:r>
          </w:p>
        </w:tc>
        <w:tc>
          <w:tcPr>
            <w:tcW w:w="580" w:type="pct"/>
            <w:shd w:val="clear" w:color="auto" w:fill="E0D4B5" w:themeFill="background2"/>
          </w:tcPr>
          <w:p w:rsidRPr="00636E8B" w:rsidR="003C753D" w:rsidP="00636E8B" w:rsidRDefault="003C753D" w14:paraId="7A023727" w14:textId="603AF7B7">
            <w:pPr>
              <w:pStyle w:val="TableTextDecimal"/>
              <w:framePr w:wrap="notBeside"/>
              <w:rPr>
                <w:sz w:val="18"/>
                <w:szCs w:val="18"/>
                <w:highlight w:val="yellow"/>
              </w:rPr>
            </w:pPr>
            <w:r w:rsidRPr="00636E8B">
              <w:rPr>
                <w:sz w:val="18"/>
                <w:szCs w:val="18"/>
              </w:rPr>
              <w:t>7</w:t>
            </w:r>
            <w:r w:rsidR="00164D39">
              <w:rPr>
                <w:sz w:val="18"/>
                <w:szCs w:val="18"/>
              </w:rPr>
              <w:t>7</w:t>
            </w:r>
            <w:r w:rsidR="009B07BB">
              <w:rPr>
                <w:sz w:val="18"/>
                <w:szCs w:val="18"/>
              </w:rPr>
              <w:t>5</w:t>
            </w:r>
          </w:p>
        </w:tc>
        <w:tc>
          <w:tcPr>
            <w:tcW w:w="1102" w:type="pct"/>
            <w:shd w:val="clear" w:color="auto" w:fill="E0D4B5" w:themeFill="background2"/>
          </w:tcPr>
          <w:p w:rsidRPr="00636E8B" w:rsidR="003C753D" w:rsidDel="00431066" w:rsidP="00636E8B" w:rsidRDefault="003C753D" w14:paraId="420ACD87" w14:textId="23070D19">
            <w:pPr>
              <w:pStyle w:val="TableText"/>
              <w:spacing w:before="60"/>
              <w:rPr>
                <w:szCs w:val="18"/>
              </w:rPr>
            </w:pPr>
            <w:r w:rsidRPr="00636E8B">
              <w:rPr>
                <w:szCs w:val="18"/>
              </w:rPr>
              <w:t>(34.2 * 24</w:t>
            </w:r>
            <w:r w:rsidR="002C0E8A">
              <w:rPr>
                <w:szCs w:val="18"/>
              </w:rPr>
              <w:t>.</w:t>
            </w:r>
            <w:r w:rsidR="002F443E">
              <w:rPr>
                <w:szCs w:val="18"/>
              </w:rPr>
              <w:t>3</w:t>
            </w:r>
            <w:r w:rsidRPr="00636E8B">
              <w:rPr>
                <w:szCs w:val="18"/>
              </w:rPr>
              <w:t>) = 8.</w:t>
            </w:r>
            <w:r w:rsidR="0075596F">
              <w:rPr>
                <w:szCs w:val="18"/>
              </w:rPr>
              <w:t>3</w:t>
            </w:r>
            <w:r w:rsidR="009B07BB">
              <w:rPr>
                <w:szCs w:val="18"/>
              </w:rPr>
              <w:t>1</w:t>
            </w:r>
            <w:r w:rsidRPr="00636E8B">
              <w:rPr>
                <w:szCs w:val="18"/>
              </w:rPr>
              <w:t>%</w:t>
            </w:r>
          </w:p>
        </w:tc>
      </w:tr>
    </w:tbl>
    <w:p w:rsidRPr="00636E8B" w:rsidR="003C753D" w:rsidP="00636E8B" w:rsidRDefault="003C753D" w14:paraId="23D141DD" w14:textId="490CB797">
      <w:pPr>
        <w:pStyle w:val="TableFootnote"/>
        <w:rPr>
          <w:sz w:val="18"/>
          <w:szCs w:val="18"/>
        </w:rPr>
      </w:pPr>
      <w:r w:rsidRPr="00636E8B">
        <w:rPr>
          <w:sz w:val="18"/>
          <w:szCs w:val="18"/>
          <w:vertAlign w:val="superscript"/>
        </w:rPr>
        <w:t xml:space="preserve">a </w:t>
      </w:r>
      <w:r w:rsidRPr="00636E8B">
        <w:rPr>
          <w:sz w:val="18"/>
          <w:szCs w:val="18"/>
        </w:rPr>
        <w:t xml:space="preserve">The household-level panel </w:t>
      </w:r>
      <w:r w:rsidR="008A3566">
        <w:rPr>
          <w:sz w:val="18"/>
          <w:szCs w:val="18"/>
        </w:rPr>
        <w:t xml:space="preserve">recruitment </w:t>
      </w:r>
      <w:r w:rsidRPr="00636E8B">
        <w:rPr>
          <w:sz w:val="18"/>
          <w:szCs w:val="18"/>
        </w:rPr>
        <w:t>response rate is 34.2 percent.</w:t>
      </w:r>
    </w:p>
    <w:p w:rsidRPr="00636E8B" w:rsidR="003C753D" w:rsidP="00636E8B" w:rsidRDefault="003C753D" w14:paraId="2DD88E88" w14:textId="01DB235A">
      <w:pPr>
        <w:pStyle w:val="TableFootnote"/>
        <w:rPr>
          <w:sz w:val="18"/>
          <w:szCs w:val="18"/>
        </w:rPr>
      </w:pPr>
      <w:r w:rsidRPr="00636E8B">
        <w:rPr>
          <w:sz w:val="18"/>
          <w:szCs w:val="18"/>
          <w:vertAlign w:val="superscript"/>
        </w:rPr>
        <w:t>b</w:t>
      </w:r>
      <w:r w:rsidR="009B07BB">
        <w:rPr>
          <w:sz w:val="18"/>
          <w:szCs w:val="18"/>
          <w:vertAlign w:val="superscript"/>
        </w:rPr>
        <w:t xml:space="preserve"> </w:t>
      </w:r>
      <w:r w:rsidR="009B07BB">
        <w:rPr>
          <w:sz w:val="18"/>
          <w:szCs w:val="18"/>
        </w:rPr>
        <w:t>Based on NORC’s experience conducting surveys with the panel participants, w</w:t>
      </w:r>
      <w:r w:rsidRPr="00636E8B">
        <w:rPr>
          <w:sz w:val="18"/>
          <w:szCs w:val="18"/>
        </w:rPr>
        <w:t xml:space="preserve">e assume that of the 4,586 parents invited to complete the survey, </w:t>
      </w:r>
      <w:r w:rsidR="0075596F">
        <w:rPr>
          <w:sz w:val="18"/>
          <w:szCs w:val="18"/>
        </w:rPr>
        <w:t>33.8</w:t>
      </w:r>
      <w:r w:rsidRPr="00636E8B" w:rsidR="0075596F">
        <w:rPr>
          <w:sz w:val="18"/>
          <w:szCs w:val="18"/>
        </w:rPr>
        <w:t xml:space="preserve"> </w:t>
      </w:r>
      <w:r w:rsidRPr="00636E8B">
        <w:rPr>
          <w:sz w:val="18"/>
          <w:szCs w:val="18"/>
        </w:rPr>
        <w:t>percent (1,</w:t>
      </w:r>
      <w:r w:rsidR="002A641F">
        <w:rPr>
          <w:sz w:val="18"/>
          <w:szCs w:val="18"/>
        </w:rPr>
        <w:t>55</w:t>
      </w:r>
      <w:r w:rsidR="009B07BB">
        <w:rPr>
          <w:sz w:val="18"/>
          <w:szCs w:val="18"/>
        </w:rPr>
        <w:t>0</w:t>
      </w:r>
      <w:r w:rsidRPr="00636E8B">
        <w:rPr>
          <w:sz w:val="18"/>
          <w:szCs w:val="18"/>
        </w:rPr>
        <w:t>) will complete it. Parents must provide consent for all youth ages 14</w:t>
      </w:r>
      <w:r w:rsidRPr="00636E8B">
        <w:rPr>
          <w:rFonts w:cstheme="minorHAnsi"/>
          <w:sz w:val="18"/>
          <w:szCs w:val="18"/>
        </w:rPr>
        <w:t>–</w:t>
      </w:r>
      <w:r w:rsidRPr="00636E8B">
        <w:rPr>
          <w:sz w:val="18"/>
          <w:szCs w:val="18"/>
        </w:rPr>
        <w:t xml:space="preserve">18. </w:t>
      </w:r>
      <w:r w:rsidR="009B07BB">
        <w:rPr>
          <w:sz w:val="18"/>
          <w:szCs w:val="18"/>
        </w:rPr>
        <w:t>NORC</w:t>
      </w:r>
      <w:r w:rsidRPr="00636E8B">
        <w:rPr>
          <w:sz w:val="18"/>
          <w:szCs w:val="18"/>
        </w:rPr>
        <w:t xml:space="preserve"> assume</w:t>
      </w:r>
      <w:r w:rsidR="009B07BB">
        <w:rPr>
          <w:sz w:val="18"/>
          <w:szCs w:val="18"/>
        </w:rPr>
        <w:t>s, based on prior studies using their teen panel,</w:t>
      </w:r>
      <w:r w:rsidRPr="00636E8B">
        <w:rPr>
          <w:sz w:val="18"/>
          <w:szCs w:val="18"/>
        </w:rPr>
        <w:t xml:space="preserve"> that of the 1,</w:t>
      </w:r>
      <w:r w:rsidR="009B07BB">
        <w:rPr>
          <w:sz w:val="18"/>
          <w:szCs w:val="18"/>
        </w:rPr>
        <w:t>550</w:t>
      </w:r>
      <w:r w:rsidRPr="00636E8B">
        <w:rPr>
          <w:sz w:val="18"/>
          <w:szCs w:val="18"/>
        </w:rPr>
        <w:t xml:space="preserve"> parent completes, 80 percent (1,</w:t>
      </w:r>
      <w:r w:rsidR="009B07BB">
        <w:rPr>
          <w:sz w:val="18"/>
          <w:szCs w:val="18"/>
        </w:rPr>
        <w:t>240</w:t>
      </w:r>
      <w:r w:rsidRPr="00636E8B">
        <w:rPr>
          <w:sz w:val="18"/>
          <w:szCs w:val="18"/>
        </w:rPr>
        <w:t>) will provide consent allowing us to contact their child to participate. Youth Survey Parts 1 and 2 will be sent to all 1,</w:t>
      </w:r>
      <w:r w:rsidR="009B07BB">
        <w:rPr>
          <w:sz w:val="18"/>
          <w:szCs w:val="18"/>
        </w:rPr>
        <w:t>240</w:t>
      </w:r>
      <w:r w:rsidRPr="00636E8B">
        <w:rPr>
          <w:sz w:val="18"/>
          <w:szCs w:val="18"/>
        </w:rPr>
        <w:t xml:space="preserve"> consented youth.</w:t>
      </w:r>
    </w:p>
    <w:p w:rsidRPr="00D908CA" w:rsidR="003C753D" w:rsidP="00636E8B" w:rsidRDefault="00636E8B" w14:paraId="67E0C9AD" w14:textId="36ECA590">
      <w:pPr>
        <w:pStyle w:val="TableFootnote"/>
      </w:pPr>
      <w:r w:rsidRPr="00636E8B">
        <w:rPr>
          <w:sz w:val="18"/>
          <w:szCs w:val="18"/>
          <w:vertAlign w:val="superscript"/>
        </w:rPr>
        <w:t>c</w:t>
      </w:r>
      <w:r w:rsidRPr="00636E8B" w:rsidR="003C753D">
        <w:rPr>
          <w:sz w:val="18"/>
          <w:szCs w:val="18"/>
          <w:vertAlign w:val="superscript"/>
        </w:rPr>
        <w:t xml:space="preserve"> </w:t>
      </w:r>
      <w:r w:rsidRPr="00636E8B" w:rsidR="003C753D">
        <w:rPr>
          <w:sz w:val="18"/>
          <w:szCs w:val="18"/>
        </w:rPr>
        <w:t>We anticipate a lower response to the Youth Survey Part 2 due to attrition.</w:t>
      </w:r>
    </w:p>
    <w:p w:rsidR="003C753D" w:rsidP="00DD19B1" w:rsidRDefault="003C753D" w14:paraId="1EDBE55B" w14:textId="77777777">
      <w:pPr>
        <w:pStyle w:val="H3"/>
        <w:spacing w:before="240"/>
      </w:pPr>
      <w:r>
        <w:t>Nonresponse</w:t>
      </w:r>
    </w:p>
    <w:p w:rsidR="003C753D" w:rsidP="00DD19B1" w:rsidRDefault="003C753D" w14:paraId="74FA83DC" w14:textId="77777777">
      <w:pPr>
        <w:pStyle w:val="Paragraph"/>
      </w:pPr>
      <w:r>
        <w:t xml:space="preserve">A number of procedures will be used to reduce, assess, and handle nonresponse at the case (survey) level and item level, including using best practices in survey design, and implementing a responsive design approach to reduce survey-level nonresponse and mitigate nonresponse bias. </w:t>
      </w:r>
    </w:p>
    <w:p w:rsidRPr="00FF56F2" w:rsidR="003C753D" w:rsidP="00DD19B1" w:rsidRDefault="003C753D" w14:paraId="5555D7DF" w14:textId="344F155B">
      <w:pPr>
        <w:pStyle w:val="Paragraph"/>
        <w:rPr>
          <w:rFonts w:cstheme="minorHAnsi"/>
          <w:szCs w:val="24"/>
        </w:rPr>
      </w:pPr>
      <w:r w:rsidRPr="00FF56F2">
        <w:rPr>
          <w:rFonts w:cstheme="minorHAnsi"/>
          <w:b/>
          <w:szCs w:val="24"/>
        </w:rPr>
        <w:t>Survey design’s use of best practices to reduce survey- and item-level nonresponse.</w:t>
      </w:r>
      <w:r w:rsidRPr="00FF56F2">
        <w:rPr>
          <w:rFonts w:cstheme="minorHAnsi"/>
          <w:b/>
          <w:bCs/>
          <w:iCs/>
          <w:color w:val="000000"/>
          <w:szCs w:val="24"/>
        </w:rPr>
        <w:t xml:space="preserve"> </w:t>
      </w:r>
      <w:r w:rsidRPr="00FF56F2">
        <w:rPr>
          <w:rFonts w:cstheme="minorHAnsi"/>
          <w:szCs w:val="24"/>
        </w:rPr>
        <w:t xml:space="preserve">Research indicates that people are less likely to participate in surveys with sensitive topics (Tourangeau et al. 2010; Lind et al. 2013), and that item nonresponse increases for sensitive questions (Tourangeau and Yan 2007). Consequently, the surveys will be web-based, a format that is familiar to the panel participants and, because of the anonymity associated with this mode, is ideal for the sensitive questions asked in the survey (Tourangeau et al. 2000). Web surveys give this population of busy parents, young adults, and youth the flexibility to complete the survey when it is convenient to participate through their computer, tablet, or smartphone. During data collection, we will use best practices for following up with nonrespondents, including </w:t>
      </w:r>
      <w:r w:rsidRPr="00FF56F2">
        <w:rPr>
          <w:rFonts w:cstheme="minorHAnsi"/>
          <w:szCs w:val="24"/>
        </w:rPr>
        <w:lastRenderedPageBreak/>
        <w:t>multiple reminder emails, a mailed postcard, and telephone reminders</w:t>
      </w:r>
      <w:r w:rsidR="00F32710">
        <w:rPr>
          <w:rFonts w:cstheme="minorHAnsi"/>
          <w:szCs w:val="24"/>
        </w:rPr>
        <w:t xml:space="preserve"> (see Attachment F: </w:t>
      </w:r>
      <w:r w:rsidRPr="004462B3" w:rsidR="00F32710">
        <w:rPr>
          <w:rFonts w:cstheme="minorHAnsi"/>
          <w:i/>
          <w:iCs/>
          <w:szCs w:val="24"/>
        </w:rPr>
        <w:t>Survey Nonresponse Reminders</w:t>
      </w:r>
      <w:r w:rsidR="00F32710">
        <w:rPr>
          <w:rFonts w:cstheme="minorHAnsi"/>
          <w:szCs w:val="24"/>
        </w:rPr>
        <w:t>)</w:t>
      </w:r>
      <w:r w:rsidRPr="00FF56F2">
        <w:rPr>
          <w:rFonts w:cstheme="minorHAnsi"/>
          <w:szCs w:val="24"/>
        </w:rPr>
        <w:t xml:space="preserve">. </w:t>
      </w:r>
    </w:p>
    <w:p w:rsidRPr="00FF56F2" w:rsidR="003C753D" w:rsidP="00DD19B1" w:rsidRDefault="003C753D" w14:paraId="59476F36" w14:textId="77777777">
      <w:pPr>
        <w:pStyle w:val="Paragraph"/>
        <w:rPr>
          <w:rFonts w:cstheme="minorHAnsi"/>
          <w:szCs w:val="24"/>
        </w:rPr>
      </w:pPr>
      <w:r w:rsidRPr="00FF56F2">
        <w:rPr>
          <w:rFonts w:cstheme="minorHAnsi"/>
          <w:szCs w:val="24"/>
        </w:rPr>
        <w:t>Survey length can negatively impact response rates, with longer survey instruments increasing nonresponse and, potentially, nonresponse bias (Brick and Tourangeau 2017). During the survey design process, the research team sought to keep the instruments brief. Following pre-testing, the team further reduced the length of the surveys and broke the longest survey, the Youth Survey instrument, into two parts to be taken at separate times, with the explicit goal of mitigating survey nonresponse due to survey length.</w:t>
      </w:r>
    </w:p>
    <w:p w:rsidRPr="00FF56F2" w:rsidR="003C753D" w:rsidP="00DD19B1" w:rsidRDefault="003C753D" w14:paraId="2482455B" w14:textId="34823281">
      <w:pPr>
        <w:pStyle w:val="Paragraph"/>
        <w:rPr>
          <w:rFonts w:cstheme="minorHAnsi"/>
          <w:szCs w:val="24"/>
        </w:rPr>
      </w:pPr>
      <w:r w:rsidRPr="00FF56F2">
        <w:rPr>
          <w:rFonts w:cstheme="minorHAnsi"/>
          <w:b/>
          <w:szCs w:val="24"/>
        </w:rPr>
        <w:t>Using responsive design to reduce nonresponse bias.</w:t>
      </w:r>
      <w:r w:rsidRPr="00FF56F2">
        <w:rPr>
          <w:rFonts w:cstheme="minorHAnsi"/>
          <w:szCs w:val="24"/>
        </w:rPr>
        <w:t xml:space="preserve"> Well established in the literature as responsive or adaptive design (Groves and Heeringa 2006; Wagner 2008; Schouten and Calinescu 2010; Couper and Wagner 2011), the approach relies on heavily (daily or weekly) reviewing paradata and live survey response data during data collection</w:t>
      </w:r>
      <w:r w:rsidR="00A24BB3">
        <w:rPr>
          <w:rFonts w:cstheme="minorHAnsi"/>
          <w:szCs w:val="24"/>
        </w:rPr>
        <w:t xml:space="preserve">. </w:t>
      </w:r>
      <w:r w:rsidRPr="00FF56F2">
        <w:rPr>
          <w:rFonts w:cstheme="minorHAnsi"/>
          <w:szCs w:val="24"/>
        </w:rPr>
        <w:t xml:space="preserve"> </w:t>
      </w:r>
      <w:r w:rsidR="00A24BB3">
        <w:rPr>
          <w:rFonts w:cstheme="minorHAnsi"/>
          <w:szCs w:val="24"/>
        </w:rPr>
        <w:t>The review of these data drive</w:t>
      </w:r>
      <w:r w:rsidRPr="00FF56F2">
        <w:rPr>
          <w:rFonts w:cstheme="minorHAnsi"/>
          <w:szCs w:val="24"/>
        </w:rPr>
        <w:t xml:space="preserve"> decisions on the need for interventions or varying approaches, with a goal of (1) ensuring enough completed cases by subgroups for analyses, and (2) decreasing the overall survey nonresponse bias. Throughout the data collection period, incoming key demographic data on age, gender, educational attainment, and race/ethnicity will be monitored to determine whether subgroups are participating at different rates and if nonresponse bias may be occurring. These data will be compared to the demographic percentages in the panel to determine whether changes to the data collection approach or an intervention aimed at increasing response for subgroups are necessary to reduce or mitigate the impact of nonresponse bias. If response bias is detected during data collection, we will implement immediate changes to the data collection protocol focusing on those subgroups with lower response rates, including more intensive and tailored follow-up</w:t>
      </w:r>
      <w:r w:rsidR="000C1A46">
        <w:rPr>
          <w:rFonts w:cstheme="minorHAnsi"/>
          <w:szCs w:val="24"/>
        </w:rPr>
        <w:t>, including telephone follow</w:t>
      </w:r>
      <w:r w:rsidR="008A76FD">
        <w:rPr>
          <w:rFonts w:cstheme="minorHAnsi"/>
          <w:szCs w:val="24"/>
        </w:rPr>
        <w:t>-</w:t>
      </w:r>
      <w:r w:rsidR="000C1A46">
        <w:rPr>
          <w:rFonts w:cstheme="minorHAnsi"/>
          <w:szCs w:val="24"/>
        </w:rPr>
        <w:t>up,</w:t>
      </w:r>
      <w:r w:rsidRPr="00FF56F2">
        <w:rPr>
          <w:rFonts w:cstheme="minorHAnsi"/>
          <w:szCs w:val="24"/>
        </w:rPr>
        <w:t xml:space="preserve"> with specific nonrespondent cases that, if completed, would balance the response rate and reduce the possibility of nonresponse bias by key demographic subgroups. </w:t>
      </w:r>
    </w:p>
    <w:p w:rsidR="003C753D" w:rsidP="00DD19B1" w:rsidRDefault="003C753D" w14:paraId="343EA46D" w14:textId="2842069C">
      <w:pPr>
        <w:pStyle w:val="Paragraph"/>
        <w:rPr>
          <w:rFonts w:cstheme="minorHAnsi"/>
        </w:rPr>
      </w:pPr>
      <w:bookmarkStart w:name="_Hlk36734124" w:id="7"/>
      <w:r w:rsidRPr="00A25462">
        <w:rPr>
          <w:rFonts w:cstheme="minorHAnsi"/>
          <w:b/>
        </w:rPr>
        <w:t xml:space="preserve">Item nonresponse. </w:t>
      </w:r>
      <w:bookmarkEnd w:id="7"/>
      <w:r w:rsidRPr="00A25462">
        <w:rPr>
          <w:rFonts w:cstheme="minorHAnsi"/>
        </w:rPr>
        <w:t>As shown in Table A11</w:t>
      </w:r>
      <w:r>
        <w:rPr>
          <w:rFonts w:cstheme="minorHAnsi"/>
        </w:rPr>
        <w:t xml:space="preserve"> of Supporting Statement Part A</w:t>
      </w:r>
      <w:r w:rsidRPr="00A25462">
        <w:rPr>
          <w:rFonts w:cstheme="minorHAnsi"/>
        </w:rPr>
        <w:t xml:space="preserve">, </w:t>
      </w:r>
      <w:r>
        <w:rPr>
          <w:rFonts w:cstheme="minorHAnsi"/>
        </w:rPr>
        <w:t xml:space="preserve">the Youth Survey contains </w:t>
      </w:r>
      <w:r w:rsidRPr="00A25462">
        <w:rPr>
          <w:rFonts w:cstheme="minorHAnsi"/>
        </w:rPr>
        <w:t>most of the sensitive survey questions</w:t>
      </w:r>
      <w:r>
        <w:rPr>
          <w:rFonts w:cstheme="minorHAnsi"/>
        </w:rPr>
        <w:t>. Compared with computer-assisted telephone interviewing, the w</w:t>
      </w:r>
      <w:r w:rsidRPr="00A25462">
        <w:rPr>
          <w:rFonts w:cstheme="minorHAnsi"/>
        </w:rPr>
        <w:t xml:space="preserve">eb mode tends to yield </w:t>
      </w:r>
      <w:r>
        <w:rPr>
          <w:rFonts w:cstheme="minorHAnsi"/>
        </w:rPr>
        <w:t>higher</w:t>
      </w:r>
      <w:r w:rsidRPr="00A25462">
        <w:rPr>
          <w:rFonts w:cstheme="minorHAnsi"/>
        </w:rPr>
        <w:t xml:space="preserve"> </w:t>
      </w:r>
      <w:r>
        <w:rPr>
          <w:rFonts w:cstheme="minorHAnsi"/>
        </w:rPr>
        <w:t xml:space="preserve">overall </w:t>
      </w:r>
      <w:r w:rsidRPr="00A25462">
        <w:rPr>
          <w:rFonts w:cstheme="minorHAnsi"/>
        </w:rPr>
        <w:t>level</w:t>
      </w:r>
      <w:r>
        <w:rPr>
          <w:rFonts w:cstheme="minorHAnsi"/>
        </w:rPr>
        <w:t>s</w:t>
      </w:r>
      <w:r w:rsidRPr="00A25462">
        <w:rPr>
          <w:rFonts w:cstheme="minorHAnsi"/>
        </w:rPr>
        <w:t xml:space="preserve"> of reporting</w:t>
      </w:r>
      <w:r>
        <w:rPr>
          <w:rFonts w:cstheme="minorHAnsi"/>
        </w:rPr>
        <w:t>,</w:t>
      </w:r>
      <w:r w:rsidRPr="00A25462">
        <w:rPr>
          <w:rFonts w:cstheme="minorHAnsi"/>
        </w:rPr>
        <w:t xml:space="preserve"> and </w:t>
      </w:r>
      <w:r>
        <w:rPr>
          <w:rFonts w:cstheme="minorHAnsi"/>
        </w:rPr>
        <w:t xml:space="preserve">more </w:t>
      </w:r>
      <w:r w:rsidRPr="00A25462">
        <w:rPr>
          <w:rFonts w:cstheme="minorHAnsi"/>
        </w:rPr>
        <w:t xml:space="preserve">accuracy </w:t>
      </w:r>
      <w:r>
        <w:rPr>
          <w:rFonts w:cstheme="minorHAnsi"/>
        </w:rPr>
        <w:t>in reporting</w:t>
      </w:r>
      <w:r w:rsidRPr="00A25462">
        <w:rPr>
          <w:rFonts w:cstheme="minorHAnsi"/>
        </w:rPr>
        <w:t xml:space="preserve"> sensitive information (Kreuter et al. 2008). </w:t>
      </w:r>
      <w:r w:rsidR="000C1A46">
        <w:rPr>
          <w:rFonts w:cstheme="minorHAnsi"/>
        </w:rPr>
        <w:t xml:space="preserve">We anticipate item-level response rates will be high </w:t>
      </w:r>
      <w:r w:rsidR="009A6952">
        <w:rPr>
          <w:rFonts w:cstheme="minorHAnsi"/>
        </w:rPr>
        <w:t xml:space="preserve">as most items in the surveys are not sensitive. </w:t>
      </w:r>
      <w:r>
        <w:rPr>
          <w:rFonts w:cstheme="minorHAnsi"/>
        </w:rPr>
        <w:t>To</w:t>
      </w:r>
      <w:r w:rsidRPr="00A25462">
        <w:rPr>
          <w:rFonts w:cstheme="minorHAnsi"/>
        </w:rPr>
        <w:t xml:space="preserve"> encourage response to sensitive items, the web</w:t>
      </w:r>
      <w:r>
        <w:rPr>
          <w:rFonts w:cstheme="minorHAnsi"/>
        </w:rPr>
        <w:t>-</w:t>
      </w:r>
      <w:r w:rsidRPr="00A25462">
        <w:rPr>
          <w:rFonts w:cstheme="minorHAnsi"/>
        </w:rPr>
        <w:t>programmed survey instruments will contain soft checks</w:t>
      </w:r>
      <w:r w:rsidR="002239B6">
        <w:rPr>
          <w:rFonts w:cstheme="minorHAnsi"/>
        </w:rPr>
        <w:t xml:space="preserve">, as described in Section B7.  </w:t>
      </w:r>
      <w:r w:rsidRPr="00A25462">
        <w:rPr>
          <w:rFonts w:cstheme="minorHAnsi"/>
        </w:rPr>
        <w:t xml:space="preserve"> </w:t>
      </w:r>
      <w:r w:rsidR="002239B6">
        <w:rPr>
          <w:rFonts w:cstheme="minorHAnsi"/>
        </w:rPr>
        <w:t xml:space="preserve"> </w:t>
      </w:r>
      <w:r w:rsidRPr="00A25462">
        <w:rPr>
          <w:rFonts w:cstheme="minorHAnsi"/>
        </w:rPr>
        <w:t xml:space="preserve">  </w:t>
      </w:r>
    </w:p>
    <w:p w:rsidRPr="00DF1291" w:rsidR="003C753D" w:rsidP="00DD19B1" w:rsidRDefault="003C753D" w14:paraId="68E35DA5" w14:textId="77777777">
      <w:pPr>
        <w:pStyle w:val="H2"/>
        <w:tabs>
          <w:tab w:val="clear" w:pos="432"/>
          <w:tab w:val="left" w:pos="630"/>
        </w:tabs>
        <w:ind w:left="630" w:hanging="630"/>
      </w:pPr>
      <w:r w:rsidRPr="00DD19B1">
        <w:t>B6. Production of Estimates and Projections</w:t>
      </w:r>
      <w:r w:rsidRPr="00DF1291">
        <w:t xml:space="preserve"> </w:t>
      </w:r>
    </w:p>
    <w:p w:rsidR="003C753D" w:rsidP="00DD19B1" w:rsidRDefault="003C753D" w14:paraId="758C6432" w14:textId="1B812D62">
      <w:pPr>
        <w:pStyle w:val="Paragraph"/>
      </w:pPr>
      <w:r>
        <w:t>Although the objective</w:t>
      </w:r>
      <w:r w:rsidR="004A7B9B">
        <w:t>s</w:t>
      </w:r>
      <w:r>
        <w:t xml:space="preserve"> of the </w:t>
      </w:r>
      <w:r w:rsidR="004A7B9B">
        <w:t>Youth</w:t>
      </w:r>
      <w:r w:rsidR="00113AF0">
        <w:t xml:space="preserve"> Empowerment</w:t>
      </w:r>
      <w:r w:rsidR="004A7B9B">
        <w:t xml:space="preserve"> IDEAS project </w:t>
      </w:r>
      <w:r>
        <w:t xml:space="preserve">do </w:t>
      </w:r>
      <w:bookmarkStart w:name="_Hlk40079244" w:id="8"/>
      <w:r>
        <w:t xml:space="preserve">not include deriving national prevalence rates based on the survey data, it will be valuable and important to </w:t>
      </w:r>
      <w:r w:rsidR="005E4FB3">
        <w:t xml:space="preserve">examine any variation in results across </w:t>
      </w:r>
      <w:r>
        <w:t xml:space="preserve">key subgroups of age, gender, and geographic region of the United States. No weighting procedures will be conducted that attempt to represent </w:t>
      </w:r>
      <w:r w:rsidR="005E4FB3">
        <w:t xml:space="preserve">a </w:t>
      </w:r>
      <w:r>
        <w:t>national population</w:t>
      </w:r>
      <w:bookmarkEnd w:id="8"/>
      <w:r>
        <w:t xml:space="preserve">. </w:t>
      </w:r>
      <w:r w:rsidR="00BF3BEE">
        <w:t xml:space="preserve">The data collected from the survey instruments will be used to provide ACF with </w:t>
      </w:r>
      <w:r w:rsidR="00BF3BEE">
        <w:lastRenderedPageBreak/>
        <w:t>information to help refine and guide program development in the area of adolescent pregnancy prevention</w:t>
      </w:r>
      <w:r w:rsidR="002239B6">
        <w:t xml:space="preserve"> and will not be</w:t>
      </w:r>
      <w:r w:rsidRPr="009139B3" w:rsidR="00BF3BEE">
        <w:rPr>
          <w:rFonts w:cs="Calibri"/>
        </w:rPr>
        <w:t xml:space="preserve"> used as the principal basis for public policy decisions.</w:t>
      </w:r>
    </w:p>
    <w:p w:rsidRPr="00F85D35" w:rsidR="003C753D" w:rsidP="00DD19B1" w:rsidRDefault="003C753D" w14:paraId="07FC0129" w14:textId="77777777">
      <w:pPr>
        <w:pStyle w:val="H2"/>
        <w:tabs>
          <w:tab w:val="clear" w:pos="432"/>
          <w:tab w:val="left" w:pos="630"/>
        </w:tabs>
        <w:ind w:left="630" w:hanging="630"/>
        <w:rPr>
          <w:b/>
        </w:rPr>
      </w:pPr>
      <w:r w:rsidRPr="00DD19B1">
        <w:t>B7.</w:t>
      </w:r>
      <w:r w:rsidRPr="00DF1291">
        <w:t xml:space="preserve"> </w:t>
      </w:r>
      <w:r w:rsidRPr="00DD19B1">
        <w:t>Data Handling and Analysis</w:t>
      </w:r>
    </w:p>
    <w:p w:rsidRPr="007B6CA2" w:rsidR="003C753D" w:rsidP="00DD19B1" w:rsidRDefault="003C753D" w14:paraId="69C52F73" w14:textId="77777777">
      <w:pPr>
        <w:pStyle w:val="H3"/>
      </w:pPr>
      <w:r w:rsidRPr="007B6CA2">
        <w:t>Data Handling</w:t>
      </w:r>
    </w:p>
    <w:p w:rsidRPr="008E6F6A" w:rsidR="003C753D" w:rsidP="00DD19B1" w:rsidRDefault="003C753D" w14:paraId="4CBA3966" w14:textId="08046957">
      <w:pPr>
        <w:pStyle w:val="Paragraph"/>
      </w:pPr>
      <w:r w:rsidRPr="008E6F6A">
        <w:t>The surveys</w:t>
      </w:r>
      <w:r w:rsidR="00113AF0">
        <w:t xml:space="preserve"> for the Youth Empowerment IDEAS project</w:t>
      </w:r>
      <w:r w:rsidRPr="008E6F6A">
        <w:t xml:space="preserve"> will collect data through close</w:t>
      </w:r>
      <w:r>
        <w:t>d</w:t>
      </w:r>
      <w:r w:rsidRPr="008E6F6A">
        <w:t>-ended questions about behavior, attitudes, opinions</w:t>
      </w:r>
      <w:r w:rsidR="003E2762">
        <w:t>,</w:t>
      </w:r>
      <w:r w:rsidRPr="008E6F6A">
        <w:t xml:space="preserve"> and beliefs. The web program will increase data quality </w:t>
      </w:r>
      <w:r>
        <w:t>by implementing</w:t>
      </w:r>
      <w:r w:rsidRPr="008E6F6A">
        <w:t xml:space="preserve"> soft and hard checks. Soft checks will occur if a respondent leaves a question blank. The</w:t>
      </w:r>
      <w:r>
        <w:t xml:space="preserve"> respondent</w:t>
      </w:r>
      <w:r w:rsidRPr="008E6F6A">
        <w:t xml:space="preserve"> will be notified that they have not responded to the question and will be allowed to either provide a response or continue without a response if they so choose. Unlikely responses that would be deemed out of range for a continuous variable will also trigger a soft check so the respondent </w:t>
      </w:r>
      <w:r>
        <w:t xml:space="preserve">can </w:t>
      </w:r>
      <w:r w:rsidRPr="008E6F6A">
        <w:t>confirm the out</w:t>
      </w:r>
      <w:r>
        <w:t>-</w:t>
      </w:r>
      <w:r w:rsidRPr="008E6F6A">
        <w:t>of</w:t>
      </w:r>
      <w:r>
        <w:t>-</w:t>
      </w:r>
      <w:r w:rsidRPr="008E6F6A">
        <w:t xml:space="preserve">range response. Hard checks will be implemented as another data quality check. Hard checks will not allow impossible responses. For example, for items that instruct respondents to “Select one response only,” the program will not allow </w:t>
      </w:r>
      <w:r>
        <w:t>more than one</w:t>
      </w:r>
      <w:r w:rsidRPr="008E6F6A">
        <w:t xml:space="preserve"> response to be selected. Additionally, the web programming will route respondents only to questions that apply </w:t>
      </w:r>
      <w:r>
        <w:t xml:space="preserve">to them </w:t>
      </w:r>
      <w:r w:rsidRPr="008E6F6A">
        <w:t xml:space="preserve">based on </w:t>
      </w:r>
      <w:r>
        <w:t>their earlier</w:t>
      </w:r>
      <w:r w:rsidRPr="008E6F6A">
        <w:t xml:space="preserve"> responses. For example, parents will only be asked follow</w:t>
      </w:r>
      <w:r>
        <w:t>-</w:t>
      </w:r>
      <w:r w:rsidRPr="008E6F6A">
        <w:t xml:space="preserve">up questions about why they did not have a conversation with their child </w:t>
      </w:r>
      <w:r>
        <w:t>about</w:t>
      </w:r>
      <w:r w:rsidRPr="008E6F6A">
        <w:t xml:space="preserve"> a certain topic if they report never speaking to the</w:t>
      </w:r>
      <w:r>
        <w:t>ir child</w:t>
      </w:r>
      <w:r w:rsidRPr="008E6F6A">
        <w:t xml:space="preserve"> about the topic in the </w:t>
      </w:r>
      <w:r>
        <w:t>earlier</w:t>
      </w:r>
      <w:r w:rsidRPr="008E6F6A">
        <w:t xml:space="preserve"> item. </w:t>
      </w:r>
    </w:p>
    <w:p w:rsidRPr="00533885" w:rsidR="003C753D" w:rsidP="00DD19B1" w:rsidRDefault="003C753D" w14:paraId="1F38EA1B" w14:textId="77777777">
      <w:pPr>
        <w:pStyle w:val="Paragraph"/>
        <w:rPr>
          <w:rFonts w:cstheme="minorHAnsi"/>
          <w:bCs/>
          <w:color w:val="000000"/>
        </w:rPr>
      </w:pPr>
      <w:r w:rsidRPr="008E6F6A">
        <w:t>On each survey instrument, several items contain an “other</w:t>
      </w:r>
      <w:r>
        <w:t>,</w:t>
      </w:r>
      <w:r w:rsidRPr="008E6F6A">
        <w:t xml:space="preserve"> specify</w:t>
      </w:r>
      <w:r>
        <w:t>.</w:t>
      </w:r>
      <w:r w:rsidRPr="008E6F6A">
        <w:t xml:space="preserve">” </w:t>
      </w:r>
      <w:r>
        <w:t>R</w:t>
      </w:r>
      <w:r w:rsidRPr="008E6F6A">
        <w:t>espondent</w:t>
      </w:r>
      <w:r>
        <w:t>s</w:t>
      </w:r>
      <w:r w:rsidRPr="008E6F6A">
        <w:t xml:space="preserve"> may type in their own response</w:t>
      </w:r>
      <w:r>
        <w:t>s</w:t>
      </w:r>
      <w:r w:rsidRPr="008E6F6A">
        <w:t xml:space="preserve"> </w:t>
      </w:r>
      <w:r>
        <w:t xml:space="preserve">here </w:t>
      </w:r>
      <w:r w:rsidRPr="008E6F6A">
        <w:t>if none of the closed-ended responses apply. These responses will be reviewed by the data collection team</w:t>
      </w:r>
      <w:r>
        <w:t>, who will</w:t>
      </w:r>
      <w:r w:rsidRPr="008E6F6A">
        <w:t xml:space="preserve"> back</w:t>
      </w:r>
      <w:r>
        <w:t>-</w:t>
      </w:r>
      <w:r w:rsidRPr="008E6F6A">
        <w:t xml:space="preserve">code </w:t>
      </w:r>
      <w:r>
        <w:t xml:space="preserve">them </w:t>
      </w:r>
      <w:r w:rsidRPr="008E6F6A">
        <w:t xml:space="preserve">to </w:t>
      </w:r>
      <w:r>
        <w:t xml:space="preserve">any applicable </w:t>
      </w:r>
      <w:r w:rsidRPr="008E6F6A">
        <w:t xml:space="preserve">existing response options. During this coding stage, if existing response options do not apply, new response options may be created if </w:t>
      </w:r>
      <w:r>
        <w:t xml:space="preserve">there are </w:t>
      </w:r>
      <w:r w:rsidRPr="008E6F6A">
        <w:t xml:space="preserve">enough </w:t>
      </w:r>
      <w:r>
        <w:t xml:space="preserve">equivalent </w:t>
      </w:r>
      <w:r w:rsidRPr="008E6F6A">
        <w:t xml:space="preserve">write-in responses </w:t>
      </w:r>
      <w:r>
        <w:t xml:space="preserve">to </w:t>
      </w:r>
      <w:r w:rsidRPr="008E6F6A">
        <w:t>warrant a new code</w:t>
      </w:r>
      <w:r>
        <w:rPr>
          <w:rFonts w:cstheme="minorHAnsi"/>
          <w:bCs/>
          <w:color w:val="000000"/>
        </w:rPr>
        <w:t>.</w:t>
      </w:r>
    </w:p>
    <w:p w:rsidR="003C753D" w:rsidP="00DD19B1" w:rsidRDefault="003C753D" w14:paraId="0A8BA41C" w14:textId="77777777">
      <w:pPr>
        <w:pStyle w:val="H3"/>
      </w:pPr>
      <w:r w:rsidRPr="007B6CA2">
        <w:t>Data Analysis</w:t>
      </w:r>
    </w:p>
    <w:p w:rsidRPr="0057258F" w:rsidR="003C753D" w:rsidP="00DD19B1" w:rsidRDefault="003C753D" w14:paraId="2A237C59" w14:textId="77777777">
      <w:pPr>
        <w:pStyle w:val="Paragraph"/>
      </w:pPr>
      <w:r w:rsidRPr="0080335D">
        <w:t xml:space="preserve">Nearly all the survey data will be categorical or dichotomous (for example, </w:t>
      </w:r>
      <w:r>
        <w:t>whether</w:t>
      </w:r>
      <w:r w:rsidRPr="0080335D">
        <w:t xml:space="preserve"> youth have</w:t>
      </w:r>
      <w:r>
        <w:t xml:space="preserve"> ever </w:t>
      </w:r>
      <w:r w:rsidRPr="0080335D">
        <w:t>discussed various topics with a parent</w:t>
      </w:r>
      <w:r>
        <w:t>), and for these data we</w:t>
      </w:r>
      <w:r w:rsidRPr="0080335D">
        <w:t xml:space="preserve"> will calculate percentage</w:t>
      </w:r>
      <w:r>
        <w:t>s</w:t>
      </w:r>
      <w:r w:rsidRPr="0080335D">
        <w:t xml:space="preserve">. </w:t>
      </w:r>
      <w:r>
        <w:t xml:space="preserve">For </w:t>
      </w:r>
      <w:r w:rsidRPr="0080335D">
        <w:t>continuous variables (for example, respondent age)</w:t>
      </w:r>
      <w:r>
        <w:t>, we will calculate means. E</w:t>
      </w:r>
      <w:r w:rsidRPr="0080335D">
        <w:t>stimates</w:t>
      </w:r>
      <w:r>
        <w:t xml:space="preserve"> will be tabulated</w:t>
      </w:r>
      <w:r w:rsidRPr="0080335D">
        <w:t xml:space="preserve"> separately for subgroups of interest, such as younger and older youth</w:t>
      </w:r>
      <w:r>
        <w:t>, males and females, and people in different regions.</w:t>
      </w:r>
      <w:r w:rsidRPr="0080335D">
        <w:t xml:space="preserve"> </w:t>
      </w:r>
      <w:r>
        <w:t>C</w:t>
      </w:r>
      <w:r w:rsidRPr="0080335D">
        <w:t>ompar</w:t>
      </w:r>
      <w:r>
        <w:t>isons</w:t>
      </w:r>
      <w:r w:rsidRPr="0080335D">
        <w:t xml:space="preserve"> between the parent</w:t>
      </w:r>
      <w:r>
        <w:t xml:space="preserve">, </w:t>
      </w:r>
      <w:r w:rsidRPr="0080335D">
        <w:t>youth</w:t>
      </w:r>
      <w:r>
        <w:t>, and young adult</w:t>
      </w:r>
      <w:r w:rsidRPr="0080335D">
        <w:t xml:space="preserve"> </w:t>
      </w:r>
      <w:r>
        <w:t>will be examined on survey questions that are the same across instruments</w:t>
      </w:r>
      <w:r w:rsidRPr="0080335D">
        <w:t>.</w:t>
      </w:r>
      <w:r>
        <w:t xml:space="preserve"> We will also conduct analyses on parent/youth dyads to better understand whether parents and their youth have similar or different opinions, experiences, and perspectives. </w:t>
      </w:r>
    </w:p>
    <w:p w:rsidRPr="007B6CA2" w:rsidR="003C753D" w:rsidP="00DD19B1" w:rsidRDefault="003C753D" w14:paraId="1F3F8247" w14:textId="77777777">
      <w:pPr>
        <w:pStyle w:val="H3"/>
      </w:pPr>
      <w:r>
        <w:t>Data Use</w:t>
      </w:r>
    </w:p>
    <w:p w:rsidRPr="00972713" w:rsidR="003C753D" w:rsidP="00DD19B1" w:rsidRDefault="00C81C22" w14:paraId="62759324" w14:textId="491BB799">
      <w:pPr>
        <w:pStyle w:val="Paragraph"/>
      </w:pPr>
      <w:r>
        <w:t xml:space="preserve">The primary purpose of the estimates produced from the Youth </w:t>
      </w:r>
      <w:r w:rsidR="00113AF0">
        <w:t xml:space="preserve">Empowerment </w:t>
      </w:r>
      <w:r>
        <w:t>IDEAS</w:t>
      </w:r>
      <w:r w:rsidR="00113AF0">
        <w:t xml:space="preserve"> project</w:t>
      </w:r>
      <w:r>
        <w:t xml:space="preserve"> survey data will be </w:t>
      </w:r>
      <w:r w:rsidR="008A76FD">
        <w:t xml:space="preserve">to inform current and future Adolescent Pregnancy Prevention and Sexual </w:t>
      </w:r>
      <w:r w:rsidR="008A76FD">
        <w:lastRenderedPageBreak/>
        <w:t>Risk Avoidance Education</w:t>
      </w:r>
      <w:r>
        <w:t xml:space="preserve"> program</w:t>
      </w:r>
      <w:r w:rsidR="008A76FD">
        <w:t>s</w:t>
      </w:r>
      <w:r>
        <w:t>. ACF may also write practitioner-focused short reports or briefs that help share what was learned with program providers.</w:t>
      </w:r>
      <w:r w:rsidRPr="00D73086" w:rsidR="003C753D">
        <w:t xml:space="preserve"> A codebook will be provided to ACF, along with a memo describing and documenting the methodological approaches used for the study.</w:t>
      </w:r>
    </w:p>
    <w:p w:rsidRPr="00DF1291" w:rsidR="003C753D" w:rsidP="00DD19B1" w:rsidRDefault="003C753D" w14:paraId="70BEE450" w14:textId="047D4EA0">
      <w:pPr>
        <w:pStyle w:val="H2"/>
        <w:tabs>
          <w:tab w:val="clear" w:pos="432"/>
          <w:tab w:val="left" w:pos="630"/>
        </w:tabs>
        <w:ind w:left="630" w:hanging="630"/>
        <w:rPr>
          <w:rFonts w:cstheme="minorHAnsi"/>
        </w:rPr>
      </w:pPr>
      <w:r w:rsidRPr="00DD19B1">
        <w:t>B8. Contact Person(s)</w:t>
      </w:r>
      <w:r w:rsidRPr="00DF1291">
        <w:rPr>
          <w:rFonts w:cstheme="minorHAnsi"/>
        </w:rPr>
        <w:t xml:space="preserve"> </w:t>
      </w:r>
    </w:p>
    <w:p w:rsidR="003C753D" w:rsidP="00DD19B1" w:rsidRDefault="003C753D" w14:paraId="3897B355" w14:textId="3AD9C24C">
      <w:pPr>
        <w:pStyle w:val="ParagraphContinued"/>
      </w:pPr>
      <w:r>
        <w:t>To develop the Parent</w:t>
      </w:r>
      <w:r w:rsidR="008A76FD">
        <w:t>, Young Adult,</w:t>
      </w:r>
      <w:r>
        <w:t xml:space="preserve"> and Youth Surveys, ACF contracted with Mathematica. Mathematica will lead the data collection activities described in this I</w:t>
      </w:r>
      <w:r w:rsidR="008A76FD">
        <w:t>CR</w:t>
      </w:r>
      <w:r>
        <w:t>. Table B8 lists the individuals responsible for instrument design, data collection, and the statistical aspects of the surveys, and includes their affiliation and email address.</w:t>
      </w:r>
    </w:p>
    <w:p w:rsidR="003C753D" w:rsidP="00DD19B1" w:rsidRDefault="003C753D" w14:paraId="2EC7866B" w14:textId="563E0759">
      <w:pPr>
        <w:pStyle w:val="TableTitle"/>
      </w:pPr>
      <w:r>
        <w:t>Table B8. Individuals responsible for survey development and data collection procedures</w:t>
      </w:r>
    </w:p>
    <w:tbl>
      <w:tblPr>
        <w:tblW w:w="9350" w:type="dxa"/>
        <w:tblBorders>
          <w:bottom w:val="single" w:color="auto" w:sz="4" w:space="0"/>
        </w:tblBorders>
        <w:tblLayout w:type="fixed"/>
        <w:tblLook w:val="0400" w:firstRow="0" w:lastRow="0" w:firstColumn="0" w:lastColumn="0" w:noHBand="0" w:noVBand="1"/>
      </w:tblPr>
      <w:tblGrid>
        <w:gridCol w:w="1973"/>
        <w:gridCol w:w="4322"/>
        <w:gridCol w:w="3055"/>
      </w:tblGrid>
      <w:tr w:rsidR="003C753D" w:rsidTr="00785E9F" w14:paraId="675B7628" w14:textId="77777777">
        <w:tc>
          <w:tcPr>
            <w:tcW w:w="1973" w:type="dxa"/>
            <w:shd w:val="clear" w:color="auto" w:fill="046B5C" w:themeFill="text2"/>
          </w:tcPr>
          <w:p w:rsidR="003C753D" w:rsidP="00785E9F" w:rsidRDefault="003C753D" w14:paraId="377C75BD" w14:textId="77777777">
            <w:pPr>
              <w:pStyle w:val="TableHeaderLeft"/>
            </w:pPr>
            <w:r>
              <w:t>Name</w:t>
            </w:r>
          </w:p>
        </w:tc>
        <w:tc>
          <w:tcPr>
            <w:tcW w:w="4322" w:type="dxa"/>
            <w:shd w:val="clear" w:color="auto" w:fill="046B5C" w:themeFill="text2"/>
          </w:tcPr>
          <w:p w:rsidR="003C753D" w:rsidP="00785E9F" w:rsidRDefault="003C753D" w14:paraId="3CBD9659" w14:textId="77777777">
            <w:pPr>
              <w:pStyle w:val="TableHeaderCenter"/>
            </w:pPr>
            <w:r>
              <w:t>Affiliation</w:t>
            </w:r>
          </w:p>
        </w:tc>
        <w:tc>
          <w:tcPr>
            <w:tcW w:w="3055" w:type="dxa"/>
            <w:shd w:val="clear" w:color="auto" w:fill="046B5C" w:themeFill="text2"/>
          </w:tcPr>
          <w:p w:rsidR="003C753D" w:rsidP="00785E9F" w:rsidRDefault="003C753D" w14:paraId="503DA122" w14:textId="77777777">
            <w:pPr>
              <w:pStyle w:val="TableHeaderCenter"/>
            </w:pPr>
            <w:r>
              <w:t>Email address</w:t>
            </w:r>
          </w:p>
        </w:tc>
      </w:tr>
      <w:tr w:rsidR="003C753D" w:rsidTr="00785E9F" w14:paraId="0360CC29" w14:textId="77777777">
        <w:tc>
          <w:tcPr>
            <w:tcW w:w="1973" w:type="dxa"/>
            <w:shd w:val="clear" w:color="auto" w:fill="auto"/>
          </w:tcPr>
          <w:p w:rsidR="003C753D" w:rsidP="00785E9F" w:rsidRDefault="003C753D" w14:paraId="3AD0D072" w14:textId="77777777">
            <w:pPr>
              <w:pStyle w:val="TableText"/>
              <w:spacing w:before="60"/>
            </w:pPr>
            <w:r>
              <w:t>Caryn Blitz</w:t>
            </w:r>
          </w:p>
        </w:tc>
        <w:tc>
          <w:tcPr>
            <w:tcW w:w="4322" w:type="dxa"/>
            <w:shd w:val="clear" w:color="auto" w:fill="auto"/>
          </w:tcPr>
          <w:p w:rsidR="003C753D" w:rsidP="00785E9F" w:rsidRDefault="003C753D" w14:paraId="77D97F2D" w14:textId="77777777">
            <w:pPr>
              <w:pStyle w:val="TableText"/>
              <w:spacing w:before="60"/>
            </w:pPr>
            <w:r>
              <w:t>Office of Planning, Research, and Evaluation</w:t>
            </w:r>
          </w:p>
          <w:p w:rsidR="003C753D" w:rsidP="00785E9F" w:rsidRDefault="003C753D" w14:paraId="6DF0D269" w14:textId="77777777">
            <w:pPr>
              <w:pStyle w:val="TableText"/>
              <w:spacing w:before="60"/>
            </w:pPr>
            <w:r>
              <w:t>Administration for Children and Families</w:t>
            </w:r>
          </w:p>
          <w:p w:rsidR="003C753D" w:rsidP="00785E9F" w:rsidRDefault="003C753D" w14:paraId="4AC50A18" w14:textId="77777777">
            <w:pPr>
              <w:pStyle w:val="TableText"/>
              <w:spacing w:before="60"/>
            </w:pPr>
            <w:r>
              <w:t>U.S. Department of Health and Human Services</w:t>
            </w:r>
          </w:p>
        </w:tc>
        <w:tc>
          <w:tcPr>
            <w:tcW w:w="3055" w:type="dxa"/>
          </w:tcPr>
          <w:p w:rsidR="003C753D" w:rsidP="00785E9F" w:rsidRDefault="003C753D" w14:paraId="04210F9E" w14:textId="77777777">
            <w:pPr>
              <w:pStyle w:val="TableText"/>
              <w:spacing w:before="60"/>
            </w:pPr>
            <w:r>
              <w:t>Caryn.Blitz@acf.hhs.gov</w:t>
            </w:r>
          </w:p>
        </w:tc>
      </w:tr>
      <w:tr w:rsidR="003C753D" w:rsidTr="00785E9F" w14:paraId="3A746936" w14:textId="77777777">
        <w:tc>
          <w:tcPr>
            <w:tcW w:w="1973" w:type="dxa"/>
            <w:shd w:val="clear" w:color="auto" w:fill="E0D4B5" w:themeFill="background2"/>
          </w:tcPr>
          <w:p w:rsidR="003C753D" w:rsidP="00785E9F" w:rsidRDefault="003C753D" w14:paraId="3384F75E" w14:textId="77777777">
            <w:pPr>
              <w:pStyle w:val="TableText"/>
              <w:spacing w:before="60"/>
            </w:pPr>
            <w:r>
              <w:t>Kathleen McCoy</w:t>
            </w:r>
          </w:p>
        </w:tc>
        <w:tc>
          <w:tcPr>
            <w:tcW w:w="4322" w:type="dxa"/>
            <w:shd w:val="clear" w:color="auto" w:fill="E0D4B5" w:themeFill="background2"/>
          </w:tcPr>
          <w:p w:rsidR="003C753D" w:rsidP="00785E9F" w:rsidRDefault="003C753D" w14:paraId="0F12AD04" w14:textId="77777777">
            <w:pPr>
              <w:pStyle w:val="TableText"/>
              <w:spacing w:before="60"/>
            </w:pPr>
            <w:r w:rsidRPr="004C60D9">
              <w:t>Business Strategy Consultants Staff</w:t>
            </w:r>
            <w:r>
              <w:t>, Office of Planning, Research, and Evaluation</w:t>
            </w:r>
          </w:p>
          <w:p w:rsidR="003C753D" w:rsidP="00785E9F" w:rsidRDefault="003C753D" w14:paraId="5A841A17" w14:textId="77777777">
            <w:pPr>
              <w:pStyle w:val="TableText"/>
              <w:spacing w:before="60"/>
            </w:pPr>
            <w:r>
              <w:t>Administration for Children and Families</w:t>
            </w:r>
          </w:p>
          <w:p w:rsidR="003C753D" w:rsidP="00785E9F" w:rsidRDefault="003C753D" w14:paraId="18E9C192" w14:textId="77777777">
            <w:pPr>
              <w:pStyle w:val="TableText"/>
              <w:spacing w:before="60"/>
            </w:pPr>
            <w:r>
              <w:t xml:space="preserve">U.S. Department of Health and Human Services </w:t>
            </w:r>
          </w:p>
        </w:tc>
        <w:tc>
          <w:tcPr>
            <w:tcW w:w="3055" w:type="dxa"/>
            <w:shd w:val="clear" w:color="auto" w:fill="E0D4B5" w:themeFill="background2"/>
          </w:tcPr>
          <w:p w:rsidR="003C753D" w:rsidP="00785E9F" w:rsidRDefault="003C753D" w14:paraId="5AB3B004" w14:textId="77777777">
            <w:pPr>
              <w:pStyle w:val="TableText"/>
              <w:spacing w:before="60"/>
            </w:pPr>
            <w:r>
              <w:t>Kathleen.McCoy@acf.hhs.gov</w:t>
            </w:r>
          </w:p>
        </w:tc>
      </w:tr>
      <w:tr w:rsidR="003C753D" w:rsidTr="00785E9F" w14:paraId="4FCF0214" w14:textId="77777777">
        <w:tc>
          <w:tcPr>
            <w:tcW w:w="1973" w:type="dxa"/>
            <w:shd w:val="clear" w:color="auto" w:fill="auto"/>
          </w:tcPr>
          <w:p w:rsidR="003C753D" w:rsidP="00785E9F" w:rsidRDefault="003C753D" w14:paraId="1EF51BB4" w14:textId="77777777">
            <w:pPr>
              <w:pStyle w:val="TableText"/>
              <w:spacing w:before="60"/>
            </w:pPr>
            <w:r>
              <w:t>Susan Zief</w:t>
            </w:r>
          </w:p>
        </w:tc>
        <w:tc>
          <w:tcPr>
            <w:tcW w:w="4322" w:type="dxa"/>
            <w:shd w:val="clear" w:color="auto" w:fill="auto"/>
          </w:tcPr>
          <w:p w:rsidR="003C753D" w:rsidP="00785E9F" w:rsidRDefault="003C753D" w14:paraId="3C348F20" w14:textId="77777777">
            <w:pPr>
              <w:pStyle w:val="TableText"/>
              <w:spacing w:before="60"/>
            </w:pPr>
            <w:r>
              <w:t>Mathematica</w:t>
            </w:r>
          </w:p>
        </w:tc>
        <w:tc>
          <w:tcPr>
            <w:tcW w:w="3055" w:type="dxa"/>
          </w:tcPr>
          <w:p w:rsidR="003C753D" w:rsidP="00785E9F" w:rsidRDefault="003C753D" w14:paraId="47638415" w14:textId="77777777">
            <w:pPr>
              <w:pStyle w:val="TableText"/>
              <w:spacing w:before="60"/>
            </w:pPr>
            <w:r>
              <w:t>SZief@mathematica-mpr.com</w:t>
            </w:r>
          </w:p>
        </w:tc>
      </w:tr>
      <w:tr w:rsidR="003C753D" w:rsidTr="00785E9F" w14:paraId="03C268A0" w14:textId="77777777">
        <w:tc>
          <w:tcPr>
            <w:tcW w:w="1973" w:type="dxa"/>
            <w:shd w:val="clear" w:color="auto" w:fill="E0D4B5" w:themeFill="background2"/>
          </w:tcPr>
          <w:p w:rsidR="003C753D" w:rsidP="00785E9F" w:rsidRDefault="003C753D" w14:paraId="538F9B0C" w14:textId="77777777">
            <w:pPr>
              <w:pStyle w:val="TableText"/>
              <w:spacing w:before="60"/>
            </w:pPr>
            <w:r>
              <w:t>Tiffany Waits</w:t>
            </w:r>
          </w:p>
        </w:tc>
        <w:tc>
          <w:tcPr>
            <w:tcW w:w="4322" w:type="dxa"/>
            <w:shd w:val="clear" w:color="auto" w:fill="E0D4B5" w:themeFill="background2"/>
          </w:tcPr>
          <w:p w:rsidR="003C753D" w:rsidP="00785E9F" w:rsidRDefault="003C753D" w14:paraId="473BF6C6" w14:textId="77777777">
            <w:pPr>
              <w:pStyle w:val="TableText"/>
              <w:spacing w:before="60"/>
            </w:pPr>
            <w:r>
              <w:t>Mathematica</w:t>
            </w:r>
          </w:p>
        </w:tc>
        <w:tc>
          <w:tcPr>
            <w:tcW w:w="3055" w:type="dxa"/>
            <w:shd w:val="clear" w:color="auto" w:fill="E0D4B5" w:themeFill="background2"/>
          </w:tcPr>
          <w:p w:rsidR="003C753D" w:rsidP="00785E9F" w:rsidRDefault="003C753D" w14:paraId="6276D47B" w14:textId="77777777">
            <w:pPr>
              <w:pStyle w:val="TableText"/>
              <w:spacing w:before="60"/>
            </w:pPr>
            <w:r>
              <w:t>TWaits@mathematica-mpr.com</w:t>
            </w:r>
          </w:p>
        </w:tc>
      </w:tr>
      <w:tr w:rsidR="003C753D" w:rsidTr="00785E9F" w14:paraId="781A2D8B" w14:textId="77777777">
        <w:tc>
          <w:tcPr>
            <w:tcW w:w="1973" w:type="dxa"/>
            <w:shd w:val="clear" w:color="auto" w:fill="auto"/>
          </w:tcPr>
          <w:p w:rsidR="003C753D" w:rsidP="00785E9F" w:rsidRDefault="003C753D" w14:paraId="543471DA" w14:textId="77777777">
            <w:pPr>
              <w:pStyle w:val="TableText"/>
              <w:spacing w:before="60"/>
            </w:pPr>
            <w:r>
              <w:t>Eric Grau</w:t>
            </w:r>
          </w:p>
        </w:tc>
        <w:tc>
          <w:tcPr>
            <w:tcW w:w="4322" w:type="dxa"/>
            <w:shd w:val="clear" w:color="auto" w:fill="auto"/>
          </w:tcPr>
          <w:p w:rsidR="003C753D" w:rsidP="00785E9F" w:rsidRDefault="003C753D" w14:paraId="7B00AD15" w14:textId="77777777">
            <w:pPr>
              <w:pStyle w:val="TableText"/>
              <w:spacing w:before="60"/>
            </w:pPr>
            <w:r>
              <w:t>Mathematica</w:t>
            </w:r>
          </w:p>
        </w:tc>
        <w:tc>
          <w:tcPr>
            <w:tcW w:w="3055" w:type="dxa"/>
          </w:tcPr>
          <w:p w:rsidR="003C753D" w:rsidP="00785E9F" w:rsidRDefault="003C753D" w14:paraId="63FCE641" w14:textId="77777777">
            <w:pPr>
              <w:pStyle w:val="TableText"/>
              <w:spacing w:before="60"/>
            </w:pPr>
            <w:r>
              <w:t>EGrau@mathematica-mpr.com</w:t>
            </w:r>
          </w:p>
        </w:tc>
      </w:tr>
      <w:tr w:rsidR="003C753D" w:rsidTr="00785E9F" w14:paraId="23A63E09" w14:textId="77777777">
        <w:tc>
          <w:tcPr>
            <w:tcW w:w="1973" w:type="dxa"/>
            <w:shd w:val="clear" w:color="auto" w:fill="E0D4B5" w:themeFill="background2"/>
          </w:tcPr>
          <w:p w:rsidR="003C753D" w:rsidP="00785E9F" w:rsidRDefault="003C753D" w14:paraId="1F5216D9" w14:textId="77777777">
            <w:pPr>
              <w:pStyle w:val="TableText"/>
              <w:spacing w:before="60"/>
            </w:pPr>
            <w:r>
              <w:t>Sarah Forrestal</w:t>
            </w:r>
          </w:p>
        </w:tc>
        <w:tc>
          <w:tcPr>
            <w:tcW w:w="4322" w:type="dxa"/>
            <w:shd w:val="clear" w:color="auto" w:fill="E0D4B5" w:themeFill="background2"/>
          </w:tcPr>
          <w:p w:rsidR="003C753D" w:rsidP="00785E9F" w:rsidRDefault="003C753D" w14:paraId="2B43454C" w14:textId="77777777">
            <w:pPr>
              <w:pStyle w:val="TableText"/>
              <w:spacing w:before="60"/>
            </w:pPr>
            <w:r>
              <w:t>Mathematica</w:t>
            </w:r>
          </w:p>
        </w:tc>
        <w:tc>
          <w:tcPr>
            <w:tcW w:w="3055" w:type="dxa"/>
            <w:shd w:val="clear" w:color="auto" w:fill="E0D4B5" w:themeFill="background2"/>
          </w:tcPr>
          <w:p w:rsidR="003C753D" w:rsidP="00785E9F" w:rsidRDefault="003C753D" w14:paraId="4EC62C81" w14:textId="77777777">
            <w:pPr>
              <w:pStyle w:val="TableText"/>
              <w:spacing w:before="60"/>
            </w:pPr>
            <w:r>
              <w:t>SForrestal@mathematica-mpr.com</w:t>
            </w:r>
          </w:p>
        </w:tc>
      </w:tr>
      <w:tr w:rsidR="003C753D" w:rsidTr="00785E9F" w14:paraId="54C4A4DA" w14:textId="77777777">
        <w:tc>
          <w:tcPr>
            <w:tcW w:w="1973" w:type="dxa"/>
            <w:shd w:val="clear" w:color="auto" w:fill="auto"/>
          </w:tcPr>
          <w:p w:rsidR="003C753D" w:rsidP="00785E9F" w:rsidRDefault="003C753D" w14:paraId="3BA6ABB2" w14:textId="77777777">
            <w:pPr>
              <w:pStyle w:val="TableText"/>
              <w:spacing w:before="60"/>
            </w:pPr>
            <w:r>
              <w:t>Jennifer Walzer</w:t>
            </w:r>
          </w:p>
        </w:tc>
        <w:tc>
          <w:tcPr>
            <w:tcW w:w="4322" w:type="dxa"/>
            <w:shd w:val="clear" w:color="auto" w:fill="auto"/>
          </w:tcPr>
          <w:p w:rsidR="003C753D" w:rsidP="00785E9F" w:rsidRDefault="003C753D" w14:paraId="0415AFFF" w14:textId="77777777">
            <w:pPr>
              <w:pStyle w:val="TableText"/>
              <w:spacing w:before="60"/>
            </w:pPr>
            <w:r>
              <w:t>Mathematica</w:t>
            </w:r>
          </w:p>
        </w:tc>
        <w:tc>
          <w:tcPr>
            <w:tcW w:w="3055" w:type="dxa"/>
          </w:tcPr>
          <w:p w:rsidR="003C753D" w:rsidP="00785E9F" w:rsidRDefault="003C753D" w14:paraId="4F0D856E" w14:textId="77777777">
            <w:pPr>
              <w:pStyle w:val="TableText"/>
              <w:spacing w:before="60"/>
            </w:pPr>
            <w:r>
              <w:t>JWalzer@mathematica-mpr.com</w:t>
            </w:r>
          </w:p>
        </w:tc>
      </w:tr>
    </w:tbl>
    <w:p w:rsidR="003C753D" w:rsidP="003C753D" w:rsidRDefault="003C753D" w14:paraId="16F51B83" w14:textId="77777777">
      <w:pPr>
        <w:spacing w:after="0" w:line="240" w:lineRule="auto"/>
        <w:rPr>
          <w:b/>
        </w:rPr>
      </w:pPr>
    </w:p>
    <w:p w:rsidR="003C753D" w:rsidP="003C753D" w:rsidRDefault="003C753D" w14:paraId="542D1BAC" w14:textId="77777777">
      <w:pPr>
        <w:spacing w:after="120" w:line="240" w:lineRule="auto"/>
        <w:rPr>
          <w:b/>
        </w:rPr>
      </w:pPr>
      <w:r>
        <w:rPr>
          <w:b/>
        </w:rPr>
        <w:t>Attachments</w:t>
      </w:r>
    </w:p>
    <w:p w:rsidR="003C753D" w:rsidP="00DD19B1" w:rsidRDefault="003C753D" w14:paraId="618B8055" w14:textId="7B350C86">
      <w:pPr>
        <w:pStyle w:val="Paragraph"/>
      </w:pPr>
      <w:r>
        <w:t>Attachment A</w:t>
      </w:r>
      <w:r>
        <w:tab/>
      </w:r>
      <w:bookmarkStart w:name="_Hlk47441270" w:id="9"/>
      <w:r>
        <w:t>Research Question</w:t>
      </w:r>
      <w:r w:rsidR="000D2EBB">
        <w:t>s</w:t>
      </w:r>
      <w:r w:rsidR="00E33916">
        <w:t>,</w:t>
      </w:r>
      <w:r w:rsidR="000D2EBB">
        <w:t xml:space="preserve"> Sources, and Item</w:t>
      </w:r>
      <w:r w:rsidDel="000D2EBB" w:rsidR="000D2EBB">
        <w:t xml:space="preserve"> </w:t>
      </w:r>
      <w:r>
        <w:t>Crosswalk</w:t>
      </w:r>
      <w:bookmarkEnd w:id="9"/>
    </w:p>
    <w:p w:rsidR="00B978BE" w:rsidP="00DD19B1" w:rsidRDefault="003C753D" w14:paraId="3D45D29B" w14:textId="36E0CCED">
      <w:pPr>
        <w:pStyle w:val="Paragraph"/>
      </w:pPr>
      <w:r>
        <w:t xml:space="preserve">Attachment </w:t>
      </w:r>
      <w:r w:rsidR="000D2EBB">
        <w:t>B</w:t>
      </w:r>
      <w:r>
        <w:tab/>
        <w:t>60-Day Federal Register Notice</w:t>
      </w:r>
      <w:r w:rsidR="00710991">
        <w:t>s</w:t>
      </w:r>
    </w:p>
    <w:p w:rsidR="003C753D" w:rsidP="00DD19B1" w:rsidRDefault="003C753D" w14:paraId="19738F39" w14:textId="76B24BB9">
      <w:pPr>
        <w:pStyle w:val="Paragraph"/>
      </w:pPr>
      <w:r>
        <w:t xml:space="preserve">Attachment </w:t>
      </w:r>
      <w:r w:rsidR="00964574">
        <w:t>C</w:t>
      </w:r>
      <w:r>
        <w:tab/>
        <w:t>AmeriSpeak Privacy Statement</w:t>
      </w:r>
    </w:p>
    <w:p w:rsidR="003C753D" w:rsidP="00DD19B1" w:rsidRDefault="003C753D" w14:paraId="014A4C9C" w14:textId="2527F71A">
      <w:pPr>
        <w:pStyle w:val="Paragraph"/>
      </w:pPr>
      <w:r>
        <w:t xml:space="preserve">Attachment </w:t>
      </w:r>
      <w:r w:rsidR="00964574">
        <w:t>D</w:t>
      </w:r>
      <w:r>
        <w:tab/>
        <w:t xml:space="preserve">Technical Overview of </w:t>
      </w:r>
      <w:r w:rsidR="00AE02A7">
        <w:t xml:space="preserve">the </w:t>
      </w:r>
      <w:r>
        <w:t>AmeriSpeak Panel</w:t>
      </w:r>
    </w:p>
    <w:p w:rsidR="003C753D" w:rsidP="00DD19B1" w:rsidRDefault="003C753D" w14:paraId="652141C2" w14:textId="6E9FCA40">
      <w:pPr>
        <w:pStyle w:val="Paragraph"/>
      </w:pPr>
      <w:r w:rsidRPr="00E420EF">
        <w:t xml:space="preserve">Attachment </w:t>
      </w:r>
      <w:r w:rsidR="00964574">
        <w:t>E</w:t>
      </w:r>
      <w:r w:rsidRPr="00E420EF">
        <w:tab/>
      </w:r>
      <w:r w:rsidR="00BF3BEE">
        <w:t xml:space="preserve">Survey </w:t>
      </w:r>
      <w:r>
        <w:t>Invitation Emails</w:t>
      </w:r>
    </w:p>
    <w:p w:rsidR="003C753D" w:rsidP="00046DA9" w:rsidRDefault="003C753D" w14:paraId="47E49F3B" w14:textId="54B99B4E">
      <w:pPr>
        <w:pStyle w:val="Paragraph"/>
        <w:ind w:left="1728" w:hanging="1728"/>
      </w:pPr>
      <w:r>
        <w:t xml:space="preserve">Attachment </w:t>
      </w:r>
      <w:r w:rsidR="00964574">
        <w:t>F</w:t>
      </w:r>
      <w:r>
        <w:tab/>
      </w:r>
      <w:r w:rsidR="00DD19B1">
        <w:tab/>
      </w:r>
      <w:r>
        <w:t>Survey Nonresponse Reminders</w:t>
      </w:r>
    </w:p>
    <w:p w:rsidR="00AB4554" w:rsidP="00046DA9" w:rsidRDefault="00AB4554" w14:paraId="46F556E1" w14:textId="4E2E30E5">
      <w:pPr>
        <w:pStyle w:val="Paragraph"/>
        <w:ind w:left="1728" w:hanging="1728"/>
      </w:pPr>
      <w:bookmarkStart w:name="_Hlk47441727" w:id="10"/>
      <w:r>
        <w:t>Attachment G</w:t>
      </w:r>
      <w:r>
        <w:tab/>
      </w:r>
      <w:r w:rsidRPr="00A66E1B" w:rsidR="00F30A51">
        <w:t>Individuals Submitting Public Comments Through Grassroots Messages</w:t>
      </w:r>
    </w:p>
    <w:p w:rsidR="004462B3" w:rsidP="00046DA9" w:rsidRDefault="004462B3" w14:paraId="5D169E40" w14:textId="7A2D452B">
      <w:pPr>
        <w:pStyle w:val="Paragraph"/>
        <w:ind w:left="1728" w:hanging="1728"/>
      </w:pPr>
    </w:p>
    <w:p w:rsidR="004462B3" w:rsidP="004462B3" w:rsidRDefault="004462B3" w14:paraId="64A148E9" w14:textId="77777777">
      <w:pPr>
        <w:spacing w:after="120" w:line="240" w:lineRule="auto"/>
        <w:rPr>
          <w:b/>
        </w:rPr>
      </w:pPr>
      <w:r>
        <w:rPr>
          <w:b/>
        </w:rPr>
        <w:lastRenderedPageBreak/>
        <w:t>Instruments</w:t>
      </w:r>
      <w:bookmarkStart w:name="_GoBack" w:id="11"/>
      <w:bookmarkEnd w:id="11"/>
    </w:p>
    <w:p w:rsidR="004462B3" w:rsidP="004462B3" w:rsidRDefault="004462B3" w14:paraId="1A770357" w14:textId="77777777">
      <w:pPr>
        <w:spacing w:after="0" w:line="240" w:lineRule="auto"/>
        <w:rPr>
          <w:b/>
        </w:rPr>
      </w:pPr>
    </w:p>
    <w:p w:rsidR="004462B3" w:rsidP="004462B3" w:rsidRDefault="004462B3" w14:paraId="62C7DB46" w14:textId="77777777">
      <w:pPr>
        <w:pStyle w:val="Paragraph"/>
      </w:pPr>
      <w:r>
        <w:t>Instrument 1</w:t>
      </w:r>
      <w:r>
        <w:tab/>
        <w:t>IDEAS Parent Survey</w:t>
      </w:r>
    </w:p>
    <w:p w:rsidR="004462B3" w:rsidP="004462B3" w:rsidRDefault="004462B3" w14:paraId="2833EEE3" w14:textId="77777777">
      <w:pPr>
        <w:pStyle w:val="Paragraph"/>
      </w:pPr>
      <w:r>
        <w:t>Instrument 2 IDEAS Youth Survey Part 1</w:t>
      </w:r>
    </w:p>
    <w:p w:rsidR="004462B3" w:rsidP="004462B3" w:rsidRDefault="004462B3" w14:paraId="6B6047DD" w14:textId="77777777">
      <w:pPr>
        <w:pStyle w:val="Paragraph"/>
      </w:pPr>
      <w:r>
        <w:t>Instrument 3 IDEAS Youth Survey Part 2</w:t>
      </w:r>
    </w:p>
    <w:p w:rsidR="004462B3" w:rsidP="004462B3" w:rsidRDefault="004462B3" w14:paraId="67B1DB79" w14:textId="77777777">
      <w:pPr>
        <w:pStyle w:val="Paragraph"/>
      </w:pPr>
      <w:r>
        <w:t>Instrument 4 IDEAS Young Adult Survey</w:t>
      </w:r>
    </w:p>
    <w:p w:rsidRPr="00F30A51" w:rsidR="004462B3" w:rsidP="00046DA9" w:rsidRDefault="004462B3" w14:paraId="35C37842" w14:textId="77777777">
      <w:pPr>
        <w:pStyle w:val="Paragraph"/>
        <w:ind w:left="1728" w:hanging="1728"/>
      </w:pPr>
    </w:p>
    <w:bookmarkEnd w:id="10"/>
    <w:p w:rsidR="00DD19B1" w:rsidP="00DD19B1" w:rsidRDefault="00DD19B1" w14:paraId="3A7551A6" w14:textId="77777777">
      <w:pPr>
        <w:pStyle w:val="H3"/>
      </w:pPr>
    </w:p>
    <w:p w:rsidR="00046DA9" w:rsidP="00DD19B1" w:rsidRDefault="00046DA9" w14:paraId="5FB1709C" w14:textId="38F8C39E">
      <w:pPr>
        <w:pStyle w:val="H3"/>
        <w:sectPr w:rsidR="00046DA9" w:rsidSect="00067118">
          <w:pgSz w:w="12240" w:h="15840" w:code="1"/>
          <w:pgMar w:top="1440" w:right="1440" w:bottom="1440" w:left="1440" w:header="720" w:footer="720" w:gutter="0"/>
          <w:cols w:space="360"/>
          <w:titlePg/>
          <w:docGrid w:linePitch="360"/>
        </w:sectPr>
      </w:pPr>
    </w:p>
    <w:p w:rsidRPr="00AF564E" w:rsidR="003C753D" w:rsidP="00471DAF" w:rsidRDefault="00DD19B1" w14:paraId="0986B78F" w14:textId="251CDF5B">
      <w:pPr>
        <w:pStyle w:val="H2"/>
        <w:tabs>
          <w:tab w:val="clear" w:pos="432"/>
          <w:tab w:val="left" w:pos="630"/>
        </w:tabs>
        <w:ind w:left="630" w:hanging="630"/>
      </w:pPr>
      <w:r w:rsidRPr="00AF564E">
        <w:lastRenderedPageBreak/>
        <w:t>References</w:t>
      </w:r>
    </w:p>
    <w:p w:rsidR="003C753D" w:rsidP="00DD19B1" w:rsidRDefault="003C753D" w14:paraId="103CA08D" w14:textId="77777777">
      <w:pPr>
        <w:pStyle w:val="References"/>
        <w:spacing w:after="120"/>
      </w:pPr>
      <w:r w:rsidRPr="00F0284B">
        <w:t>Brick, J.M.</w:t>
      </w:r>
      <w:r>
        <w:t xml:space="preserve">, </w:t>
      </w:r>
      <w:r w:rsidRPr="00F0284B">
        <w:t xml:space="preserve">and </w:t>
      </w:r>
      <w:r>
        <w:t xml:space="preserve">R. </w:t>
      </w:r>
      <w:r w:rsidRPr="00F0284B">
        <w:t xml:space="preserve">Tourangeau. </w:t>
      </w:r>
      <w:r>
        <w:t>“</w:t>
      </w:r>
      <w:r w:rsidRPr="00F0284B">
        <w:t xml:space="preserve">Responsive </w:t>
      </w:r>
      <w:r w:rsidRPr="00DD19B1">
        <w:t>Designs for Reducing Nonresponse Bias</w:t>
      </w:r>
      <w:r w:rsidRPr="00F0284B">
        <w:t>.</w:t>
      </w:r>
      <w:r>
        <w:t>”</w:t>
      </w:r>
      <w:r w:rsidRPr="00F0284B">
        <w:t xml:space="preserve"> </w:t>
      </w:r>
      <w:r w:rsidRPr="00DD19B1">
        <w:t>Journal of Official Statistics</w:t>
      </w:r>
      <w:r w:rsidRPr="00F0284B">
        <w:t xml:space="preserve">, </w:t>
      </w:r>
      <w:r>
        <w:t>v</w:t>
      </w:r>
      <w:r w:rsidRPr="00F0284B">
        <w:t xml:space="preserve">ol. 33, </w:t>
      </w:r>
      <w:r>
        <w:t>n</w:t>
      </w:r>
      <w:r w:rsidRPr="00F0284B">
        <w:t>o.</w:t>
      </w:r>
      <w:r>
        <w:t xml:space="preserve"> </w:t>
      </w:r>
      <w:r w:rsidRPr="00F0284B">
        <w:t>3</w:t>
      </w:r>
      <w:r>
        <w:t>,</w:t>
      </w:r>
      <w:r w:rsidRPr="00F0284B">
        <w:t xml:space="preserve"> </w:t>
      </w:r>
      <w:r>
        <w:t xml:space="preserve">2017, pp. </w:t>
      </w:r>
      <w:r w:rsidRPr="00F0284B">
        <w:t>735</w:t>
      </w:r>
      <w:r w:rsidRPr="00DD19B1">
        <w:t>–</w:t>
      </w:r>
      <w:r w:rsidRPr="00F0284B">
        <w:t xml:space="preserve">752. </w:t>
      </w:r>
    </w:p>
    <w:p w:rsidRPr="00F0284B" w:rsidR="003C753D" w:rsidP="00DD19B1" w:rsidRDefault="003C753D" w14:paraId="00E7EC29" w14:textId="77777777">
      <w:pPr>
        <w:pStyle w:val="References"/>
        <w:spacing w:after="120"/>
      </w:pPr>
      <w:r>
        <w:t xml:space="preserve">Couper, M.P., and Wagner, J. “Using Paradata and Responsive Design to Manage Survey Nonresponse.” </w:t>
      </w:r>
      <w:r w:rsidRPr="00DD19B1">
        <w:t>ISI 58th World Statistical Congress</w:t>
      </w:r>
      <w:r>
        <w:t>, Dublin, Ireland, 2011.</w:t>
      </w:r>
    </w:p>
    <w:p w:rsidRPr="00F0284B" w:rsidR="003C753D" w:rsidP="00DD19B1" w:rsidRDefault="003C753D" w14:paraId="5C5B9771" w14:textId="0F6FAD4D">
      <w:pPr>
        <w:pStyle w:val="References"/>
        <w:spacing w:after="120"/>
      </w:pPr>
      <w:r w:rsidRPr="00F0284B">
        <w:t>Dahlhamer</w:t>
      </w:r>
      <w:r>
        <w:t>,</w:t>
      </w:r>
      <w:r w:rsidRPr="00F0284B">
        <w:t xml:space="preserve"> J</w:t>
      </w:r>
      <w:r>
        <w:t>.</w:t>
      </w:r>
      <w:r w:rsidRPr="00F0284B">
        <w:t>M</w:t>
      </w:r>
      <w:r>
        <w:t>.</w:t>
      </w:r>
      <w:r w:rsidRPr="00F0284B">
        <w:t xml:space="preserve">, </w:t>
      </w:r>
      <w:r>
        <w:t xml:space="preserve">A.M. </w:t>
      </w:r>
      <w:r w:rsidRPr="00F0284B">
        <w:t>Galinsky</w:t>
      </w:r>
      <w:r>
        <w:t xml:space="preserve">, </w:t>
      </w:r>
      <w:r w:rsidRPr="00F0284B">
        <w:t>S</w:t>
      </w:r>
      <w:r>
        <w:t>.</w:t>
      </w:r>
      <w:r w:rsidRPr="00F0284B">
        <w:t>S</w:t>
      </w:r>
      <w:r>
        <w:t>.</w:t>
      </w:r>
      <w:r w:rsidRPr="00F0284B">
        <w:t xml:space="preserve"> Joestl, and </w:t>
      </w:r>
      <w:r>
        <w:t xml:space="preserve">B.W. </w:t>
      </w:r>
      <w:r w:rsidRPr="00F0284B">
        <w:t xml:space="preserve">Ward. </w:t>
      </w:r>
      <w:r>
        <w:t>“</w:t>
      </w:r>
      <w:r w:rsidRPr="00F0284B">
        <w:t xml:space="preserve">Sexual </w:t>
      </w:r>
      <w:r>
        <w:t>O</w:t>
      </w:r>
      <w:r w:rsidRPr="00F0284B">
        <w:t xml:space="preserve">rientation in the 2013 National Health Interview Survey: A </w:t>
      </w:r>
      <w:r>
        <w:t>Q</w:t>
      </w:r>
      <w:r w:rsidRPr="00F0284B">
        <w:t xml:space="preserve">uality </w:t>
      </w:r>
      <w:r>
        <w:t>A</w:t>
      </w:r>
      <w:r w:rsidRPr="00F0284B">
        <w:t>ssessment.</w:t>
      </w:r>
      <w:r>
        <w:t>”</w:t>
      </w:r>
      <w:r w:rsidRPr="00F0284B">
        <w:t xml:space="preserve"> </w:t>
      </w:r>
      <w:r w:rsidRPr="00DD19B1">
        <w:t>Vital Health Statistics</w:t>
      </w:r>
      <w:r>
        <w:t>, vol.</w:t>
      </w:r>
      <w:r w:rsidRPr="00F0284B">
        <w:t xml:space="preserve"> 2</w:t>
      </w:r>
      <w:r>
        <w:t xml:space="preserve">, no. </w:t>
      </w:r>
      <w:r w:rsidRPr="00F0284B">
        <w:t>169</w:t>
      </w:r>
      <w:r>
        <w:t>,</w:t>
      </w:r>
      <w:r w:rsidRPr="00F0284B">
        <w:t xml:space="preserve"> 2014.</w:t>
      </w:r>
    </w:p>
    <w:p w:rsidR="003C753D" w:rsidP="00DD19B1" w:rsidRDefault="003C753D" w14:paraId="40CDACE2" w14:textId="77777777">
      <w:pPr>
        <w:pStyle w:val="References"/>
        <w:spacing w:after="120"/>
      </w:pPr>
      <w:r w:rsidRPr="00F0284B">
        <w:t>Dennis, J.M</w:t>
      </w:r>
      <w:r>
        <w:t>.</w:t>
      </w:r>
      <w:r w:rsidRPr="00F0284B">
        <w:t xml:space="preserve"> </w:t>
      </w:r>
      <w:r>
        <w:t>“</w:t>
      </w:r>
      <w:r w:rsidRPr="00F0284B">
        <w:t xml:space="preserve">Technical </w:t>
      </w:r>
      <w:r>
        <w:t>O</w:t>
      </w:r>
      <w:r w:rsidRPr="00F0284B">
        <w:t xml:space="preserve">verview of the AmeriSpeak panel: NORC’s </w:t>
      </w:r>
      <w:r>
        <w:t>P</w:t>
      </w:r>
      <w:r w:rsidRPr="00F0284B">
        <w:t>robability-</w:t>
      </w:r>
      <w:r>
        <w:t>B</w:t>
      </w:r>
      <w:r w:rsidRPr="00F0284B">
        <w:t xml:space="preserve">ased </w:t>
      </w:r>
      <w:r>
        <w:t>R</w:t>
      </w:r>
      <w:r w:rsidRPr="00F0284B">
        <w:t xml:space="preserve">esearch </w:t>
      </w:r>
      <w:r>
        <w:t>P</w:t>
      </w:r>
      <w:r w:rsidRPr="00F0284B">
        <w:t>anel.</w:t>
      </w:r>
      <w:r>
        <w:t>”</w:t>
      </w:r>
      <w:r w:rsidRPr="00F0284B">
        <w:t xml:space="preserve"> </w:t>
      </w:r>
      <w:r>
        <w:t xml:space="preserve">Available at </w:t>
      </w:r>
      <w:r w:rsidRPr="00F0284B">
        <w:t>AmeriSpeak.norc.org. 2017</w:t>
      </w:r>
      <w:r>
        <w:t>. Accessed April 6, 2020.</w:t>
      </w:r>
    </w:p>
    <w:p w:rsidRPr="00F0284B" w:rsidR="003C753D" w:rsidP="00DD19B1" w:rsidRDefault="003C753D" w14:paraId="2D6E2F72" w14:textId="77777777">
      <w:pPr>
        <w:pStyle w:val="References"/>
        <w:spacing w:after="120"/>
      </w:pPr>
      <w:r>
        <w:t xml:space="preserve">Groves, R.M., and S.G. Heeringa. “Responsive Design for Household Surveys” Tools for Actively Controlling Survey Errors and Costs.” </w:t>
      </w:r>
      <w:r w:rsidRPr="00DD19B1">
        <w:t>Journal of the Royal Statistical Society. Series A (Statistics in Society)</w:t>
      </w:r>
      <w:r>
        <w:t>, vol. 169, no. 3, 2006, pp. 439-457.</w:t>
      </w:r>
    </w:p>
    <w:p w:rsidRPr="00F0284B" w:rsidR="003C753D" w:rsidP="00DD19B1" w:rsidRDefault="003C753D" w14:paraId="771EFDFB" w14:textId="77777777">
      <w:pPr>
        <w:pStyle w:val="References"/>
        <w:spacing w:after="120"/>
      </w:pPr>
      <w:r w:rsidRPr="00F0284B">
        <w:t xml:space="preserve">Kreuter, F., </w:t>
      </w:r>
      <w:r>
        <w:t xml:space="preserve">S. </w:t>
      </w:r>
      <w:r w:rsidRPr="00F0284B">
        <w:t xml:space="preserve">Presser, </w:t>
      </w:r>
      <w:r>
        <w:t>and R.</w:t>
      </w:r>
      <w:r w:rsidRPr="00F0284B">
        <w:t xml:space="preserve"> Tourangeau</w:t>
      </w:r>
      <w:r>
        <w:t>. “Social Desirability Bias in CATI, IVR</w:t>
      </w:r>
      <w:r w:rsidRPr="00F0284B">
        <w:t xml:space="preserve">, and </w:t>
      </w:r>
      <w:r>
        <w:t>W</w:t>
      </w:r>
      <w:r w:rsidRPr="00F0284B">
        <w:t xml:space="preserve">eb </w:t>
      </w:r>
      <w:r>
        <w:t>S</w:t>
      </w:r>
      <w:r w:rsidRPr="00F0284B">
        <w:t>urveys</w:t>
      </w:r>
      <w:r>
        <w:t>:</w:t>
      </w:r>
      <w:r w:rsidRPr="00F0284B">
        <w:t xml:space="preserve"> </w:t>
      </w:r>
      <w:r>
        <w:t>T</w:t>
      </w:r>
      <w:r w:rsidRPr="00F0284B">
        <w:t xml:space="preserve">he Effects </w:t>
      </w:r>
      <w:r>
        <w:t>o</w:t>
      </w:r>
      <w:r w:rsidRPr="00F0284B">
        <w:t xml:space="preserve">f Mode </w:t>
      </w:r>
      <w:r>
        <w:t>a</w:t>
      </w:r>
      <w:r w:rsidRPr="00F0284B">
        <w:t>nd Question Sensitivity.</w:t>
      </w:r>
      <w:r>
        <w:t>”</w:t>
      </w:r>
      <w:r w:rsidRPr="00F0284B">
        <w:t> </w:t>
      </w:r>
      <w:r w:rsidRPr="00DD19B1">
        <w:t>Public Opinion Quarterly</w:t>
      </w:r>
      <w:r w:rsidRPr="00F0284B">
        <w:t>, </w:t>
      </w:r>
      <w:r>
        <w:t xml:space="preserve">vol. </w:t>
      </w:r>
      <w:r w:rsidRPr="00187F72">
        <w:t>72</w:t>
      </w:r>
      <w:r>
        <w:t>, no. 5</w:t>
      </w:r>
      <w:r w:rsidRPr="00F0284B">
        <w:t xml:space="preserve">, </w:t>
      </w:r>
      <w:r>
        <w:t xml:space="preserve">2008, pp. </w:t>
      </w:r>
      <w:r w:rsidRPr="00F0284B">
        <w:t>847</w:t>
      </w:r>
      <w:r w:rsidRPr="00DD19B1">
        <w:t>–</w:t>
      </w:r>
      <w:r w:rsidRPr="00F0284B">
        <w:t>865.</w:t>
      </w:r>
    </w:p>
    <w:p w:rsidR="003C753D" w:rsidP="00DD19B1" w:rsidRDefault="003C753D" w14:paraId="7B0270A7" w14:textId="77777777">
      <w:pPr>
        <w:pStyle w:val="References"/>
        <w:spacing w:after="120"/>
      </w:pPr>
      <w:r w:rsidRPr="00F0284B">
        <w:t xml:space="preserve">Lind, L., </w:t>
      </w:r>
      <w:r>
        <w:t xml:space="preserve">M. </w:t>
      </w:r>
      <w:r w:rsidRPr="00F0284B">
        <w:t xml:space="preserve">Schober, </w:t>
      </w:r>
      <w:r>
        <w:t>F.</w:t>
      </w:r>
      <w:r w:rsidRPr="00F0284B">
        <w:t xml:space="preserve"> Conrad, and </w:t>
      </w:r>
      <w:r>
        <w:t xml:space="preserve">H. </w:t>
      </w:r>
      <w:r w:rsidRPr="00F0284B">
        <w:t xml:space="preserve">Reichert. </w:t>
      </w:r>
      <w:r>
        <w:t>“</w:t>
      </w:r>
      <w:r w:rsidRPr="00F0284B">
        <w:t xml:space="preserve">Why Do Survey Respondents Disclose More When Computers Ask </w:t>
      </w:r>
      <w:r>
        <w:t>t</w:t>
      </w:r>
      <w:r w:rsidRPr="00F0284B">
        <w:t>he Questions?</w:t>
      </w:r>
      <w:r>
        <w:t>”</w:t>
      </w:r>
      <w:r w:rsidRPr="00F0284B">
        <w:t xml:space="preserve"> </w:t>
      </w:r>
      <w:r w:rsidRPr="00DD19B1">
        <w:t>Public Opinion Quarterly</w:t>
      </w:r>
      <w:r>
        <w:t>,</w:t>
      </w:r>
      <w:r w:rsidRPr="00F0284B">
        <w:t xml:space="preserve"> </w:t>
      </w:r>
      <w:r>
        <w:t xml:space="preserve">vol. </w:t>
      </w:r>
      <w:r w:rsidRPr="00F0284B">
        <w:t>77</w:t>
      </w:r>
      <w:r>
        <w:t xml:space="preserve">, no. </w:t>
      </w:r>
      <w:r w:rsidRPr="00F0284B">
        <w:t>4</w:t>
      </w:r>
      <w:r>
        <w:t>,</w:t>
      </w:r>
      <w:r w:rsidRPr="00F0284B">
        <w:t xml:space="preserve"> </w:t>
      </w:r>
      <w:r>
        <w:t xml:space="preserve">2013, pp. </w:t>
      </w:r>
      <w:r w:rsidRPr="00F0284B">
        <w:t>888</w:t>
      </w:r>
      <w:r w:rsidRPr="00DD19B1">
        <w:t>–</w:t>
      </w:r>
      <w:r w:rsidRPr="00F0284B">
        <w:t>935.</w:t>
      </w:r>
    </w:p>
    <w:p w:rsidR="003C753D" w:rsidP="00DD19B1" w:rsidRDefault="003C753D" w14:paraId="27A8BB38" w14:textId="77777777">
      <w:pPr>
        <w:pStyle w:val="References"/>
        <w:spacing w:after="120"/>
      </w:pPr>
      <w:r>
        <w:t xml:space="preserve">Montgomery, R., J.M. Dennis, and N. Ganesh. “Response Rate Calculation Methodology for Recruitment of a Two-Phase Probability-Based Panel: The Case of AmeriSpeak.” NORC at the University of Chicago: AmeriSpeak Research, 2016. Available at </w:t>
      </w:r>
      <w:hyperlink w:history="1" r:id="rId15">
        <w:r w:rsidRPr="00DD19B1">
          <w:t>http://d3qi0qp55mx5f5.cloudfront.net/amerispeak/i/research/WhitePaper_ResponseRateCalculation_AmeriSpeak_2016.pdf</w:t>
        </w:r>
      </w:hyperlink>
    </w:p>
    <w:p w:rsidR="003C753D" w:rsidP="00DD19B1" w:rsidRDefault="003C753D" w14:paraId="0F231343" w14:textId="77777777">
      <w:pPr>
        <w:pStyle w:val="References"/>
        <w:spacing w:after="120"/>
      </w:pPr>
      <w:r>
        <w:t xml:space="preserve">Schouten, B., Calinescu, M., and A. Luiten. “Optimizing Quality of Response Through Adaptive Survey Designs.” </w:t>
      </w:r>
      <w:r w:rsidRPr="00DD19B1">
        <w:t>Statistics Netherlands</w:t>
      </w:r>
      <w:r>
        <w:t xml:space="preserve">, vol. 11, 2011, pp. 1-27. </w:t>
      </w:r>
    </w:p>
    <w:p w:rsidR="003C753D" w:rsidP="00DD19B1" w:rsidRDefault="003C753D" w14:paraId="4FA6A27E" w14:textId="77777777">
      <w:pPr>
        <w:pStyle w:val="References"/>
        <w:spacing w:after="120"/>
      </w:pPr>
      <w:r w:rsidRPr="00F0284B">
        <w:t xml:space="preserve">Tourangeau, R., </w:t>
      </w:r>
      <w:r>
        <w:t xml:space="preserve">R.M. </w:t>
      </w:r>
      <w:r w:rsidRPr="00F0284B">
        <w:t xml:space="preserve">Groves, and </w:t>
      </w:r>
      <w:r>
        <w:t xml:space="preserve">C. </w:t>
      </w:r>
      <w:r w:rsidRPr="00F0284B">
        <w:t>Redline</w:t>
      </w:r>
      <w:r>
        <w:t>.</w:t>
      </w:r>
      <w:r w:rsidRPr="00F0284B">
        <w:t xml:space="preserve"> </w:t>
      </w:r>
      <w:r>
        <w:t>“</w:t>
      </w:r>
      <w:r w:rsidRPr="00F0284B">
        <w:t xml:space="preserve">Sensitive Topics </w:t>
      </w:r>
      <w:r>
        <w:t>a</w:t>
      </w:r>
      <w:r w:rsidRPr="00F0284B">
        <w:t xml:space="preserve">nd Reluctant Respondents: Demonstrating </w:t>
      </w:r>
      <w:r>
        <w:t>a</w:t>
      </w:r>
      <w:r w:rsidRPr="00F0284B">
        <w:t xml:space="preserve"> Link Between Nonresponse Bias </w:t>
      </w:r>
      <w:r>
        <w:t>a</w:t>
      </w:r>
      <w:r w:rsidRPr="00F0284B">
        <w:t>nd Measurement Error.</w:t>
      </w:r>
      <w:r>
        <w:t>”</w:t>
      </w:r>
      <w:r w:rsidRPr="00F0284B">
        <w:t xml:space="preserve"> </w:t>
      </w:r>
      <w:r w:rsidRPr="00DD19B1">
        <w:t>Public Opinion Quarterly,</w:t>
      </w:r>
      <w:r w:rsidRPr="00F0284B">
        <w:t xml:space="preserve"> </w:t>
      </w:r>
      <w:r>
        <w:t xml:space="preserve">vol. </w:t>
      </w:r>
      <w:r w:rsidRPr="00F0284B">
        <w:t>74</w:t>
      </w:r>
      <w:r>
        <w:t xml:space="preserve">, 2010, pp. </w:t>
      </w:r>
      <w:r w:rsidRPr="00F0284B">
        <w:t>41</w:t>
      </w:r>
      <w:r w:rsidRPr="00DD19B1">
        <w:t>3–</w:t>
      </w:r>
      <w:r w:rsidRPr="00F0284B">
        <w:t xml:space="preserve">432. </w:t>
      </w:r>
    </w:p>
    <w:p w:rsidR="003C753D" w:rsidP="00DD19B1" w:rsidRDefault="003C753D" w14:paraId="46B49B9B" w14:textId="77777777">
      <w:pPr>
        <w:pStyle w:val="References"/>
        <w:spacing w:after="120"/>
      </w:pPr>
      <w:r w:rsidRPr="004875F6">
        <w:t xml:space="preserve">Tourangeau, R., L. J. Rips, </w:t>
      </w:r>
      <w:r>
        <w:t>and K.</w:t>
      </w:r>
      <w:r w:rsidRPr="004875F6">
        <w:t xml:space="preserve"> Rasinski. </w:t>
      </w:r>
      <w:r w:rsidRPr="00DD19B1">
        <w:t>The Psychology of Survey Response</w:t>
      </w:r>
      <w:r w:rsidRPr="004875F6">
        <w:t xml:space="preserve">. </w:t>
      </w:r>
      <w:r>
        <w:t xml:space="preserve">New York: </w:t>
      </w:r>
      <w:r w:rsidRPr="004875F6">
        <w:t>Cambridge University Press</w:t>
      </w:r>
      <w:r>
        <w:t>,</w:t>
      </w:r>
      <w:r w:rsidRPr="00A96518">
        <w:t xml:space="preserve"> </w:t>
      </w:r>
      <w:r w:rsidRPr="004875F6">
        <w:t>2000.</w:t>
      </w:r>
    </w:p>
    <w:p w:rsidR="003C753D" w:rsidP="00DD19B1" w:rsidRDefault="003C753D" w14:paraId="19C26F5D" w14:textId="77777777">
      <w:pPr>
        <w:pStyle w:val="References"/>
        <w:spacing w:after="120"/>
      </w:pPr>
      <w:r w:rsidRPr="00F0284B">
        <w:t xml:space="preserve">Tourangeau, R., and </w:t>
      </w:r>
      <w:r>
        <w:t xml:space="preserve">T. </w:t>
      </w:r>
      <w:r w:rsidRPr="00F0284B">
        <w:t xml:space="preserve">Yan. </w:t>
      </w:r>
      <w:r>
        <w:t>“</w:t>
      </w:r>
      <w:r w:rsidRPr="00F0284B">
        <w:t xml:space="preserve">Sensitive </w:t>
      </w:r>
      <w:r>
        <w:t>Q</w:t>
      </w:r>
      <w:r w:rsidRPr="00F0284B">
        <w:t xml:space="preserve">uestions in </w:t>
      </w:r>
      <w:r>
        <w:t>S</w:t>
      </w:r>
      <w:r w:rsidRPr="00F0284B">
        <w:t>urveys.</w:t>
      </w:r>
      <w:r>
        <w:t>”</w:t>
      </w:r>
      <w:r w:rsidRPr="00F0284B">
        <w:t xml:space="preserve"> </w:t>
      </w:r>
      <w:r w:rsidRPr="00DD19B1">
        <w:t>Psychological Bulletin</w:t>
      </w:r>
      <w:r w:rsidRPr="00F0284B">
        <w:t xml:space="preserve">, </w:t>
      </w:r>
      <w:r>
        <w:t xml:space="preserve">vol. </w:t>
      </w:r>
      <w:r w:rsidRPr="00F0284B">
        <w:t xml:space="preserve">133, </w:t>
      </w:r>
      <w:r>
        <w:t xml:space="preserve">2007, pp. </w:t>
      </w:r>
      <w:r w:rsidRPr="00F0284B">
        <w:t>859</w:t>
      </w:r>
      <w:r w:rsidRPr="00DD19B1">
        <w:t>–</w:t>
      </w:r>
      <w:r w:rsidRPr="00F0284B">
        <w:t>883.</w:t>
      </w:r>
    </w:p>
    <w:p w:rsidRPr="00DD19B1" w:rsidR="006C0719" w:rsidP="00DD19B1" w:rsidRDefault="003C753D" w14:paraId="4759FF7D" w14:textId="1BDE0A03">
      <w:pPr>
        <w:pStyle w:val="References"/>
        <w:spacing w:after="120"/>
      </w:pPr>
      <w:r>
        <w:t xml:space="preserve">Wagner, J. </w:t>
      </w:r>
      <w:r w:rsidRPr="00DD19B1">
        <w:t>Adaptive Survey Design to Reduce Nonresponse Bias.</w:t>
      </w:r>
      <w:r>
        <w:t xml:space="preserve"> Ann Arbor, MI: University of Michigan Ph.D. thesis, 2008</w:t>
      </w:r>
      <w:r w:rsidR="00DD19B1">
        <w:t>.</w:t>
      </w:r>
    </w:p>
    <w:sectPr w:rsidRPr="00DD19B1" w:rsidR="006C0719" w:rsidSect="00067118">
      <w:pgSz w:w="12240" w:h="15840" w:code="1"/>
      <w:pgMar w:top="1440" w:right="1440" w:bottom="1440" w:left="1440" w:header="720" w:footer="720" w:gutter="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BA3437" w14:textId="77777777" w:rsidR="00A127D3" w:rsidRPr="00D37B98" w:rsidRDefault="00A127D3" w:rsidP="00820339">
      <w:r w:rsidRPr="00D37B98">
        <w:t>Endnotes</w:t>
      </w:r>
    </w:p>
  </w:endnote>
  <w:endnote w:type="continuationSeparator" w:id="0">
    <w:p w14:paraId="12BC9A21" w14:textId="77777777" w:rsidR="00A127D3" w:rsidRPr="00D37B98" w:rsidRDefault="00A127D3" w:rsidP="00BF08C3">
      <w:pPr>
        <w:pStyle w:val="FootnoteSep"/>
      </w:pPr>
    </w:p>
  </w:endnote>
  <w:endnote w:type="continuationNotice" w:id="1">
    <w:p w14:paraId="688A64E0" w14:textId="77777777" w:rsidR="00A127D3" w:rsidRPr="00D37B98" w:rsidRDefault="00A127D3" w:rsidP="00C747B5">
      <w:r w:rsidRPr="00D37B98">
        <w:t>(continued)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Zilla Slab SemiBold">
    <w:altName w:val="Times New Roman"/>
    <w:panose1 w:val="00000000000000000000"/>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B5E9F" w14:textId="44F4AE87" w:rsidR="00DB1AAF" w:rsidRDefault="00DB1AAF" w:rsidP="006C0719">
    <w:pPr>
      <w:pStyle w:val="Footer"/>
      <w:jc w:val="right"/>
    </w:pPr>
    <w:r w:rsidRPr="00967B6B">
      <w:fldChar w:fldCharType="begin"/>
    </w:r>
    <w:r w:rsidRPr="00967B6B">
      <w:instrText xml:space="preserve"> PAGE </w:instrText>
    </w:r>
    <w:r w:rsidRPr="00967B6B">
      <w:fldChar w:fldCharType="separate"/>
    </w:r>
    <w:r w:rsidR="00AB67E8">
      <w:rPr>
        <w:noProof/>
      </w:rPr>
      <w:t>13</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988F1" w14:textId="7A530B0C" w:rsidR="00DB1AAF" w:rsidRDefault="00DB1AAF" w:rsidP="00067118">
    <w:pPr>
      <w:pStyle w:val="Footer"/>
      <w:jc w:val="right"/>
    </w:pPr>
    <w:r w:rsidRPr="00067118">
      <w:rPr>
        <w:noProof/>
      </w:rPr>
      <w:fldChar w:fldCharType="begin"/>
    </w:r>
    <w:r w:rsidRPr="00067118">
      <w:rPr>
        <w:noProof/>
      </w:rPr>
      <w:instrText xml:space="preserve"> PAGE </w:instrText>
    </w:r>
    <w:r w:rsidRPr="00067118">
      <w:rPr>
        <w:noProof/>
      </w:rPr>
      <w:fldChar w:fldCharType="separate"/>
    </w:r>
    <w:r w:rsidR="00AB67E8">
      <w:rPr>
        <w:noProof/>
      </w:rPr>
      <w:t>14</w:t>
    </w:r>
    <w:r w:rsidRPr="00067118">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8119B5" w14:textId="77777777" w:rsidR="00A127D3" w:rsidRPr="00D37B98" w:rsidRDefault="00A127D3" w:rsidP="00CC0E68">
      <w:pPr>
        <w:pStyle w:val="FootnoteSep"/>
      </w:pPr>
      <w:r w:rsidRPr="00D37B98">
        <w:separator/>
      </w:r>
    </w:p>
  </w:footnote>
  <w:footnote w:type="continuationSeparator" w:id="0">
    <w:p w14:paraId="3DA571A0" w14:textId="77777777" w:rsidR="00A127D3" w:rsidRPr="00D37B98" w:rsidRDefault="00A127D3" w:rsidP="007F094C">
      <w:pPr>
        <w:pStyle w:val="FootnoteSep"/>
      </w:pPr>
    </w:p>
    <w:p w14:paraId="0F04D62D" w14:textId="77777777" w:rsidR="00A127D3" w:rsidRPr="00D37B98" w:rsidRDefault="00A127D3" w:rsidP="007F094C">
      <w:pPr>
        <w:pStyle w:val="FootnoteText"/>
      </w:pPr>
      <w:r w:rsidRPr="00D37B98">
        <w:t>(continued)</w:t>
      </w:r>
    </w:p>
  </w:footnote>
  <w:footnote w:type="continuationNotice" w:id="1">
    <w:p w14:paraId="5E6CF98D" w14:textId="77777777" w:rsidR="00A127D3" w:rsidRPr="00D37B98" w:rsidRDefault="00A127D3" w:rsidP="00DF35D6">
      <w:pPr>
        <w:pStyle w:val="FootnoteText"/>
      </w:pPr>
      <w:r w:rsidRPr="00D37B98">
        <w:t>(continued)</w:t>
      </w:r>
    </w:p>
  </w:footnote>
  <w:footnote w:id="2">
    <w:p w14:paraId="33732FDF" w14:textId="77777777" w:rsidR="00DB1AAF" w:rsidRDefault="00DB1AAF" w:rsidP="003C753D">
      <w:pPr>
        <w:pStyle w:val="FootnoteText"/>
      </w:pPr>
      <w:r>
        <w:rPr>
          <w:rStyle w:val="FootnoteReference"/>
        </w:rPr>
        <w:footnoteRef/>
      </w:r>
      <w:r>
        <w:t xml:space="preserve"> Parents are defined as parents or guardians with biological children or children they are responsible for, such as stepchildren, adopted children, and foster children.</w:t>
      </w:r>
    </w:p>
  </w:footnote>
  <w:footnote w:id="3">
    <w:p w14:paraId="65005C0B" w14:textId="77777777" w:rsidR="00DB1AAF" w:rsidRPr="00DC40B5" w:rsidRDefault="00DB1AAF" w:rsidP="003C753D">
      <w:pPr>
        <w:pStyle w:val="FootnoteText"/>
      </w:pPr>
      <w:r w:rsidRPr="00DC40B5">
        <w:rPr>
          <w:rStyle w:val="FootnoteReference"/>
        </w:rPr>
        <w:footnoteRef/>
      </w:r>
      <w:r w:rsidRPr="00DC40B5">
        <w:t xml:space="preserve"> </w:t>
      </w:r>
      <w:r>
        <w:t xml:space="preserve">NORC at the University of Chicago: 2010 National Sample Frame. Available at </w:t>
      </w:r>
      <w:hyperlink r:id="rId1" w:history="1">
        <w:r w:rsidRPr="00BA2C48">
          <w:rPr>
            <w:rStyle w:val="Hyperlink"/>
          </w:rPr>
          <w:t>http://www.norc.org/Research/Projects/Pages/2010-national-sample-frame.aspx</w:t>
        </w:r>
      </w:hyperlink>
      <w:r>
        <w:rPr>
          <w:rStyle w:val="Hyperlink"/>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B3B61" w14:textId="77777777" w:rsidR="00DB1AAF" w:rsidRPr="000D7D44" w:rsidRDefault="00DB1AAF" w:rsidP="006C0719">
    <w:pPr>
      <w:pStyle w:val="Header"/>
      <w:jc w:val="center"/>
      <w:rPr>
        <w:b/>
      </w:rPr>
    </w:pPr>
    <w:r>
      <w:rPr>
        <w:b/>
      </w:rPr>
      <w:t xml:space="preserve">Alternative </w:t>
    </w:r>
    <w:r w:rsidRPr="000D7D44">
      <w:rPr>
        <w:b/>
      </w:rPr>
      <w:t xml:space="preserve">Supporting Statement Instructions for Information Collections Designed for </w:t>
    </w:r>
  </w:p>
  <w:p w14:paraId="3FD1C3FE" w14:textId="77777777" w:rsidR="00DB1AAF" w:rsidRDefault="00DB1AAF" w:rsidP="006C0719">
    <w:pPr>
      <w:pStyle w:val="Header"/>
      <w:jc w:val="center"/>
    </w:pPr>
    <w:r w:rsidRPr="000D7D44">
      <w:rPr>
        <w:b/>
      </w:rPr>
      <w:t xml:space="preserve">Research, </w:t>
    </w:r>
    <w:r>
      <w:rPr>
        <w:b/>
      </w:rPr>
      <w:t xml:space="preserve">Public Health </w:t>
    </w:r>
    <w:r w:rsidRPr="000D7D44">
      <w:rPr>
        <w:b/>
      </w:rPr>
      <w:t>Surveillance, and Program Evaluation Purposes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B711D" w14:textId="77777777" w:rsidR="00DB1AAF" w:rsidRPr="000D7D44" w:rsidRDefault="00DB1AAF" w:rsidP="00067118">
    <w:pPr>
      <w:pStyle w:val="Header"/>
      <w:jc w:val="center"/>
      <w:rPr>
        <w:b/>
      </w:rPr>
    </w:pPr>
    <w:r>
      <w:rPr>
        <w:b/>
      </w:rPr>
      <w:t xml:space="preserve">Alternative </w:t>
    </w:r>
    <w:r w:rsidRPr="000D7D44">
      <w:rPr>
        <w:b/>
      </w:rPr>
      <w:t xml:space="preserve">Supporting Statement Instructions for Information Collections Designed for </w:t>
    </w:r>
  </w:p>
  <w:p w14:paraId="08D48D23" w14:textId="3CCCDF91" w:rsidR="00DB1AAF" w:rsidRDefault="00DB1AAF" w:rsidP="00067118">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9872C2CE"/>
    <w:lvl w:ilvl="0">
      <w:start w:val="1"/>
      <w:numFmt w:val="decimal"/>
      <w:pStyle w:val="ListNumber3"/>
      <w:lvlText w:val="%1."/>
      <w:lvlJc w:val="left"/>
      <w:pPr>
        <w:tabs>
          <w:tab w:val="num" w:pos="1080"/>
        </w:tabs>
        <w:ind w:left="1080" w:hanging="360"/>
      </w:pPr>
      <w:rPr>
        <w:rFonts w:hint="default"/>
        <w:b/>
        <w:i w:val="0"/>
      </w:rPr>
    </w:lvl>
  </w:abstractNum>
  <w:abstractNum w:abstractNumId="1" w15:restartNumberingAfterBreak="0">
    <w:nsid w:val="FFFFFF7F"/>
    <w:multiLevelType w:val="singleLevel"/>
    <w:tmpl w:val="8F6C9AB6"/>
    <w:lvl w:ilvl="0">
      <w:start w:val="1"/>
      <w:numFmt w:val="decimal"/>
      <w:pStyle w:val="ListNumber2"/>
      <w:lvlText w:val="%1."/>
      <w:lvlJc w:val="left"/>
      <w:pPr>
        <w:tabs>
          <w:tab w:val="num" w:pos="720"/>
        </w:tabs>
        <w:ind w:left="720" w:hanging="360"/>
      </w:pPr>
      <w:rPr>
        <w:rFonts w:hint="default"/>
        <w:b/>
        <w:i w:val="0"/>
      </w:rPr>
    </w:lvl>
  </w:abstractNum>
  <w:abstractNum w:abstractNumId="2" w15:restartNumberingAfterBreak="0">
    <w:nsid w:val="FFFFFF80"/>
    <w:multiLevelType w:val="singleLevel"/>
    <w:tmpl w:val="4CEC7622"/>
    <w:lvl w:ilvl="0">
      <w:start w:val="1"/>
      <w:numFmt w:val="bullet"/>
      <w:pStyle w:val="ListBullet5"/>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CFA6BD88"/>
    <w:lvl w:ilvl="0">
      <w:start w:val="1"/>
      <w:numFmt w:val="bullet"/>
      <w:pStyle w:val="ListBullet3"/>
      <w:lvlText w:val="o"/>
      <w:lvlJc w:val="left"/>
      <w:pPr>
        <w:ind w:left="1224" w:hanging="360"/>
      </w:pPr>
      <w:rPr>
        <w:rFonts w:ascii="Courier New" w:hAnsi="Courier New" w:cs="Courier New" w:hint="default"/>
      </w:rPr>
    </w:lvl>
  </w:abstractNum>
  <w:abstractNum w:abstractNumId="5" w15:restartNumberingAfterBreak="0">
    <w:nsid w:val="FFFFFF88"/>
    <w:multiLevelType w:val="singleLevel"/>
    <w:tmpl w:val="38C40216"/>
    <w:lvl w:ilvl="0">
      <w:start w:val="1"/>
      <w:numFmt w:val="decimal"/>
      <w:pStyle w:val="ListNumber"/>
      <w:lvlText w:val="%1."/>
      <w:lvlJc w:val="left"/>
      <w:pPr>
        <w:tabs>
          <w:tab w:val="num" w:pos="360"/>
        </w:tabs>
        <w:ind w:left="360" w:hanging="360"/>
      </w:pPr>
      <w:rPr>
        <w:rFonts w:hint="default"/>
        <w:b/>
        <w:i w:val="0"/>
      </w:rPr>
    </w:lvl>
  </w:abstractNum>
  <w:abstractNum w:abstractNumId="6" w15:restartNumberingAfterBreak="0">
    <w:nsid w:val="03434939"/>
    <w:multiLevelType w:val="hybridMultilevel"/>
    <w:tmpl w:val="A302247E"/>
    <w:lvl w:ilvl="0" w:tplc="EA623CB6">
      <w:start w:val="1"/>
      <w:numFmt w:val="bullet"/>
      <w:pStyle w:val="TableListBullet"/>
      <w:lvlText w:val=""/>
      <w:lvlJc w:val="left"/>
      <w:pPr>
        <w:ind w:left="648" w:hanging="360"/>
      </w:pPr>
      <w:rPr>
        <w:rFonts w:ascii="Symbol" w:hAnsi="Symbol" w:hint="default"/>
        <w:color w:val="0B2949" w:themeColor="accent1"/>
        <w:sz w:val="18"/>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pStyle w:val="Outline2"/>
      <w:lvlText w:val="%2."/>
      <w:lvlJc w:val="left"/>
      <w:pPr>
        <w:tabs>
          <w:tab w:val="num" w:pos="576"/>
        </w:tabs>
        <w:ind w:left="432" w:hanging="432"/>
      </w:pPr>
      <w:rPr>
        <w:rFonts w:hint="default"/>
        <w:color w:val="046B5C"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046B5C"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9" w15:restartNumberingAfterBreak="0">
    <w:nsid w:val="175F4639"/>
    <w:multiLevelType w:val="hybridMultilevel"/>
    <w:tmpl w:val="C156B4BC"/>
    <w:lvl w:ilvl="0" w:tplc="16DC7AB2">
      <w:start w:val="1"/>
      <w:numFmt w:val="bullet"/>
      <w:pStyle w:val="ListBullet2"/>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7523B58"/>
    <w:multiLevelType w:val="hybridMultilevel"/>
    <w:tmpl w:val="8292C136"/>
    <w:lvl w:ilvl="0" w:tplc="DA00BB14">
      <w:start w:val="1"/>
      <w:numFmt w:val="lowerLetter"/>
      <w:pStyle w:val="ListAlpha3"/>
      <w:lvlText w:val="%1."/>
      <w:lvlJc w:val="left"/>
      <w:pPr>
        <w:ind w:left="720" w:hanging="360"/>
      </w:pPr>
      <w:rPr>
        <w:rFonts w:asciiTheme="minorHAnsi" w:hAnsiTheme="min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2" w15:restartNumberingAfterBreak="0">
    <w:nsid w:val="31F9697E"/>
    <w:multiLevelType w:val="hybridMultilevel"/>
    <w:tmpl w:val="268629A8"/>
    <w:lvl w:ilvl="0" w:tplc="62F00942">
      <w:start w:val="1"/>
      <w:numFmt w:val="bullet"/>
      <w:pStyle w:val="SidebarListBullet"/>
      <w:lvlText w:val=""/>
      <w:lvlJc w:val="left"/>
      <w:pPr>
        <w:ind w:left="720" w:hanging="360"/>
      </w:pPr>
      <w:rPr>
        <w:rFonts w:ascii="Symbol" w:hAnsi="Symbol" w:hint="default"/>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8C583D"/>
    <w:multiLevelType w:val="hybridMultilevel"/>
    <w:tmpl w:val="CCBA8132"/>
    <w:lvl w:ilvl="0" w:tplc="CA628E66">
      <w:start w:val="1"/>
      <w:numFmt w:val="decimal"/>
      <w:pStyle w:val="SidebarListNumber"/>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5139A7"/>
    <w:multiLevelType w:val="hybridMultilevel"/>
    <w:tmpl w:val="53FC523A"/>
    <w:lvl w:ilvl="0" w:tplc="D5128DD6">
      <w:start w:val="1"/>
      <w:numFmt w:val="upperLetter"/>
      <w:pStyle w:val="ListAlpha"/>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655E4D"/>
    <w:multiLevelType w:val="hybridMultilevel"/>
    <w:tmpl w:val="14E4EE8A"/>
    <w:lvl w:ilvl="0" w:tplc="6E08891C">
      <w:start w:val="1"/>
      <w:numFmt w:val="decimal"/>
      <w:pStyle w:val="Feature2ListNumbered"/>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686931"/>
    <w:multiLevelType w:val="hybridMultilevel"/>
    <w:tmpl w:val="90464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3C71D0"/>
    <w:multiLevelType w:val="hybridMultilevel"/>
    <w:tmpl w:val="B0F2D4B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6B7525"/>
    <w:multiLevelType w:val="hybridMultilevel"/>
    <w:tmpl w:val="C8481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EB47FF"/>
    <w:multiLevelType w:val="multilevel"/>
    <w:tmpl w:val="8C34344C"/>
    <w:lvl w:ilvl="0">
      <w:start w:val="1"/>
      <w:numFmt w:val="decimal"/>
      <w:pStyle w:val="ESListNumber"/>
      <w:lvlText w:val="%1."/>
      <w:lvlJc w:val="left"/>
      <w:pPr>
        <w:ind w:left="360" w:hanging="360"/>
      </w:pPr>
      <w:rPr>
        <w:rFonts w:hint="default"/>
        <w:b/>
        <w:color w:val="046B5C"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046B5C"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8F742F3"/>
    <w:multiLevelType w:val="hybridMultilevel"/>
    <w:tmpl w:val="2A3A7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EF2967"/>
    <w:multiLevelType w:val="multilevel"/>
    <w:tmpl w:val="B3E27970"/>
    <w:lvl w:ilvl="0">
      <w:start w:val="1"/>
      <w:numFmt w:val="decimal"/>
      <w:pStyle w:val="List"/>
      <w:lvlText w:val="%1."/>
      <w:lvlJc w:val="left"/>
      <w:pPr>
        <w:ind w:left="360" w:hanging="360"/>
      </w:pPr>
      <w:rPr>
        <w:rFonts w:hint="default"/>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3074D7C"/>
    <w:multiLevelType w:val="hybridMultilevel"/>
    <w:tmpl w:val="40BA8840"/>
    <w:lvl w:ilvl="0" w:tplc="9D0C7684">
      <w:start w:val="1"/>
      <w:numFmt w:val="bullet"/>
      <w:pStyle w:val="Feature2ListBullet"/>
      <w:lvlText w:val=""/>
      <w:lvlJc w:val="left"/>
      <w:pPr>
        <w:ind w:left="806" w:hanging="360"/>
      </w:pPr>
      <w:rPr>
        <w:rFonts w:ascii="Symbol" w:hAnsi="Symbol" w:hint="default"/>
        <w:b/>
        <w:i w:val="0"/>
        <w:color w:val="0B2949" w:themeColor="accent1"/>
        <w:sz w:val="20"/>
        <w:u w:color="0B2949" w:themeColor="accent1"/>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5" w15:restartNumberingAfterBreak="0">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F61678"/>
    <w:multiLevelType w:val="hybridMultilevel"/>
    <w:tmpl w:val="D19284A2"/>
    <w:lvl w:ilvl="0" w:tplc="6A664B00">
      <w:start w:val="1"/>
      <w:numFmt w:val="decimal"/>
      <w:pStyle w:val="TableListNumber"/>
      <w:lvlText w:val="%1."/>
      <w:lvlJc w:val="left"/>
      <w:pPr>
        <w:ind w:left="533" w:hanging="360"/>
      </w:pPr>
      <w:rPr>
        <w:rFonts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151E68"/>
    <w:multiLevelType w:val="hybridMultilevel"/>
    <w:tmpl w:val="A1B6496E"/>
    <w:lvl w:ilvl="0" w:tplc="915C009C">
      <w:start w:val="1"/>
      <w:numFmt w:val="lowerLetter"/>
      <w:pStyle w:val="ListAlpha2"/>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20478C"/>
    <w:multiLevelType w:val="hybridMultilevel"/>
    <w:tmpl w:val="26862F5A"/>
    <w:lvl w:ilvl="0" w:tplc="1180C2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F7087D"/>
    <w:multiLevelType w:val="hybridMultilevel"/>
    <w:tmpl w:val="D37E062C"/>
    <w:lvl w:ilvl="0" w:tplc="10E69776">
      <w:start w:val="1"/>
      <w:numFmt w:val="bullet"/>
      <w:pStyle w:val="ESListBullet"/>
      <w:lvlText w:val=""/>
      <w:lvlJc w:val="left"/>
      <w:pPr>
        <w:ind w:left="720" w:hanging="360"/>
      </w:pPr>
      <w:rPr>
        <w:rFonts w:ascii="Symbol" w:hAnsi="Symbol" w:hint="default"/>
        <w:b/>
        <w:i w:val="0"/>
        <w:color w:val="046B5C" w:themeColor="text2"/>
        <w:sz w:val="20"/>
        <w:u w:color="0B2949"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1"/>
  </w:num>
  <w:num w:numId="3">
    <w:abstractNumId w:val="12"/>
  </w:num>
  <w:num w:numId="4">
    <w:abstractNumId w:val="13"/>
  </w:num>
  <w:num w:numId="5">
    <w:abstractNumId w:val="29"/>
  </w:num>
  <w:num w:numId="6">
    <w:abstractNumId w:val="28"/>
  </w:num>
  <w:num w:numId="7">
    <w:abstractNumId w:val="9"/>
  </w:num>
  <w:num w:numId="8">
    <w:abstractNumId w:val="4"/>
  </w:num>
  <w:num w:numId="9">
    <w:abstractNumId w:val="3"/>
  </w:num>
  <w:num w:numId="10">
    <w:abstractNumId w:val="2"/>
  </w:num>
  <w:num w:numId="11">
    <w:abstractNumId w:val="5"/>
  </w:num>
  <w:num w:numId="12">
    <w:abstractNumId w:val="1"/>
  </w:num>
  <w:num w:numId="13">
    <w:abstractNumId w:val="0"/>
  </w:num>
  <w:num w:numId="14">
    <w:abstractNumId w:val="20"/>
  </w:num>
  <w:num w:numId="15">
    <w:abstractNumId w:val="8"/>
  </w:num>
  <w:num w:numId="16">
    <w:abstractNumId w:val="7"/>
  </w:num>
  <w:num w:numId="17">
    <w:abstractNumId w:val="15"/>
  </w:num>
  <w:num w:numId="18">
    <w:abstractNumId w:val="14"/>
  </w:num>
  <w:num w:numId="19">
    <w:abstractNumId w:val="27"/>
  </w:num>
  <w:num w:numId="20">
    <w:abstractNumId w:val="10"/>
  </w:num>
  <w:num w:numId="21">
    <w:abstractNumId w:val="22"/>
  </w:num>
  <w:num w:numId="22">
    <w:abstractNumId w:val="23"/>
  </w:num>
  <w:num w:numId="23">
    <w:abstractNumId w:val="19"/>
  </w:num>
  <w:num w:numId="24">
    <w:abstractNumId w:val="26"/>
  </w:num>
  <w:num w:numId="25">
    <w:abstractNumId w:val="6"/>
  </w:num>
  <w:num w:numId="26">
    <w:abstractNumId w:val="17"/>
  </w:num>
  <w:num w:numId="27">
    <w:abstractNumId w:val="30"/>
  </w:num>
  <w:num w:numId="28">
    <w:abstractNumId w:val="25"/>
  </w:num>
  <w:num w:numId="29">
    <w:abstractNumId w:val="18"/>
  </w:num>
  <w:num w:numId="30">
    <w:abstractNumId w:val="16"/>
  </w:num>
  <w:num w:numId="31">
    <w:abstractNumId w:val="2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embedTrueTypeFonts/>
  <w:saveSubsetFonts/>
  <w:proofState w:spelling="clean" w:grammar="clean"/>
  <w:attachedTemplate r:id="rId1"/>
  <w:stylePaneFormatFilter w:val="D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1"/>
  <w:stylePaneSortMethod w:val="0000"/>
  <w:trackRevisions/>
  <w:documentProtection w:formatting="1" w:enforcement="0"/>
  <w:styleLockTheme/>
  <w:styleLockQFSet/>
  <w:defaultTabStop w:val="432"/>
  <w:clickAndTypeStyle w:val="Paragraph"/>
  <w:characterSpacingControl w:val="doNotCompress"/>
  <w:hdrShapeDefaults>
    <o:shapedefaults v:ext="edit" spidmax="1843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719"/>
    <w:rsid w:val="00000897"/>
    <w:rsid w:val="00001766"/>
    <w:rsid w:val="000030B1"/>
    <w:rsid w:val="0000627C"/>
    <w:rsid w:val="00006ED7"/>
    <w:rsid w:val="000072FC"/>
    <w:rsid w:val="00010235"/>
    <w:rsid w:val="00010296"/>
    <w:rsid w:val="00010689"/>
    <w:rsid w:val="00010CEE"/>
    <w:rsid w:val="000111F2"/>
    <w:rsid w:val="000121FA"/>
    <w:rsid w:val="0001369C"/>
    <w:rsid w:val="000136EC"/>
    <w:rsid w:val="000150F7"/>
    <w:rsid w:val="0001569E"/>
    <w:rsid w:val="0001587F"/>
    <w:rsid w:val="00015F6D"/>
    <w:rsid w:val="00016B08"/>
    <w:rsid w:val="00016D34"/>
    <w:rsid w:val="00017549"/>
    <w:rsid w:val="000212FC"/>
    <w:rsid w:val="0002151F"/>
    <w:rsid w:val="000221F4"/>
    <w:rsid w:val="00022505"/>
    <w:rsid w:val="00022A0A"/>
    <w:rsid w:val="0002322B"/>
    <w:rsid w:val="000234AB"/>
    <w:rsid w:val="0002754E"/>
    <w:rsid w:val="00030E11"/>
    <w:rsid w:val="0003153C"/>
    <w:rsid w:val="000320C1"/>
    <w:rsid w:val="0003265D"/>
    <w:rsid w:val="00032E4E"/>
    <w:rsid w:val="00034667"/>
    <w:rsid w:val="00034DB2"/>
    <w:rsid w:val="000351DD"/>
    <w:rsid w:val="00035329"/>
    <w:rsid w:val="00036E7F"/>
    <w:rsid w:val="00037249"/>
    <w:rsid w:val="0003737C"/>
    <w:rsid w:val="00040B2C"/>
    <w:rsid w:val="00041E74"/>
    <w:rsid w:val="000423BE"/>
    <w:rsid w:val="00042419"/>
    <w:rsid w:val="00042464"/>
    <w:rsid w:val="00042FA8"/>
    <w:rsid w:val="000432F5"/>
    <w:rsid w:val="00043329"/>
    <w:rsid w:val="00043B27"/>
    <w:rsid w:val="00044069"/>
    <w:rsid w:val="00046A1A"/>
    <w:rsid w:val="00046DA9"/>
    <w:rsid w:val="00047BDD"/>
    <w:rsid w:val="00047D5D"/>
    <w:rsid w:val="00050C43"/>
    <w:rsid w:val="00050C88"/>
    <w:rsid w:val="0005152D"/>
    <w:rsid w:val="00052A32"/>
    <w:rsid w:val="00056BC1"/>
    <w:rsid w:val="00057425"/>
    <w:rsid w:val="000575D5"/>
    <w:rsid w:val="000578A2"/>
    <w:rsid w:val="000578BB"/>
    <w:rsid w:val="00060579"/>
    <w:rsid w:val="00061707"/>
    <w:rsid w:val="0006299E"/>
    <w:rsid w:val="00063334"/>
    <w:rsid w:val="000633AA"/>
    <w:rsid w:val="00063DE2"/>
    <w:rsid w:val="00064DA3"/>
    <w:rsid w:val="000658E6"/>
    <w:rsid w:val="00066C7C"/>
    <w:rsid w:val="00067018"/>
    <w:rsid w:val="00067118"/>
    <w:rsid w:val="000671DF"/>
    <w:rsid w:val="0006743A"/>
    <w:rsid w:val="00067AEE"/>
    <w:rsid w:val="0007041A"/>
    <w:rsid w:val="000706D8"/>
    <w:rsid w:val="00072851"/>
    <w:rsid w:val="00074FEB"/>
    <w:rsid w:val="000777DB"/>
    <w:rsid w:val="00077878"/>
    <w:rsid w:val="00081356"/>
    <w:rsid w:val="000834E0"/>
    <w:rsid w:val="00083A0A"/>
    <w:rsid w:val="00083FF8"/>
    <w:rsid w:val="000845AF"/>
    <w:rsid w:val="000855BD"/>
    <w:rsid w:val="00085DA7"/>
    <w:rsid w:val="00086066"/>
    <w:rsid w:val="00090441"/>
    <w:rsid w:val="000908DF"/>
    <w:rsid w:val="00091160"/>
    <w:rsid w:val="0009143A"/>
    <w:rsid w:val="00092241"/>
    <w:rsid w:val="00094195"/>
    <w:rsid w:val="000943C5"/>
    <w:rsid w:val="00095543"/>
    <w:rsid w:val="00095E87"/>
    <w:rsid w:val="00096E64"/>
    <w:rsid w:val="000972E1"/>
    <w:rsid w:val="000A0B8D"/>
    <w:rsid w:val="000A1DAD"/>
    <w:rsid w:val="000A2181"/>
    <w:rsid w:val="000A2330"/>
    <w:rsid w:val="000A2F18"/>
    <w:rsid w:val="000A3AF1"/>
    <w:rsid w:val="000A54AF"/>
    <w:rsid w:val="000A5A8D"/>
    <w:rsid w:val="000A6591"/>
    <w:rsid w:val="000A6746"/>
    <w:rsid w:val="000A6BE1"/>
    <w:rsid w:val="000A758A"/>
    <w:rsid w:val="000A7604"/>
    <w:rsid w:val="000A7FB4"/>
    <w:rsid w:val="000B1D6B"/>
    <w:rsid w:val="000B25E1"/>
    <w:rsid w:val="000B521D"/>
    <w:rsid w:val="000B555A"/>
    <w:rsid w:val="000B764C"/>
    <w:rsid w:val="000C178D"/>
    <w:rsid w:val="000C185F"/>
    <w:rsid w:val="000C1A46"/>
    <w:rsid w:val="000C262B"/>
    <w:rsid w:val="000C2E3B"/>
    <w:rsid w:val="000C413E"/>
    <w:rsid w:val="000C53A3"/>
    <w:rsid w:val="000C5EA2"/>
    <w:rsid w:val="000C7D4D"/>
    <w:rsid w:val="000D07D3"/>
    <w:rsid w:val="000D09AA"/>
    <w:rsid w:val="000D2B3B"/>
    <w:rsid w:val="000D2EBB"/>
    <w:rsid w:val="000D33EF"/>
    <w:rsid w:val="000D46B8"/>
    <w:rsid w:val="000D5B34"/>
    <w:rsid w:val="000D5E30"/>
    <w:rsid w:val="000D6D88"/>
    <w:rsid w:val="000D751A"/>
    <w:rsid w:val="000D7604"/>
    <w:rsid w:val="000E0694"/>
    <w:rsid w:val="000E06A9"/>
    <w:rsid w:val="000E1C2B"/>
    <w:rsid w:val="000E2169"/>
    <w:rsid w:val="000E2D16"/>
    <w:rsid w:val="000E4C3F"/>
    <w:rsid w:val="000E5219"/>
    <w:rsid w:val="000E531C"/>
    <w:rsid w:val="000F197A"/>
    <w:rsid w:val="000F22CB"/>
    <w:rsid w:val="000F487F"/>
    <w:rsid w:val="000F5259"/>
    <w:rsid w:val="000F5457"/>
    <w:rsid w:val="000F5DFB"/>
    <w:rsid w:val="000F677B"/>
    <w:rsid w:val="000F6D4E"/>
    <w:rsid w:val="0010008A"/>
    <w:rsid w:val="0010048B"/>
    <w:rsid w:val="001004A7"/>
    <w:rsid w:val="00100511"/>
    <w:rsid w:val="00100710"/>
    <w:rsid w:val="00100B38"/>
    <w:rsid w:val="00100D22"/>
    <w:rsid w:val="001015E2"/>
    <w:rsid w:val="00101FF2"/>
    <w:rsid w:val="0010238D"/>
    <w:rsid w:val="0010256D"/>
    <w:rsid w:val="0010292D"/>
    <w:rsid w:val="00103C77"/>
    <w:rsid w:val="00106BE4"/>
    <w:rsid w:val="0011108E"/>
    <w:rsid w:val="001119F8"/>
    <w:rsid w:val="00112A5E"/>
    <w:rsid w:val="00113AF0"/>
    <w:rsid w:val="00113CC8"/>
    <w:rsid w:val="001168E7"/>
    <w:rsid w:val="00116BD8"/>
    <w:rsid w:val="00117892"/>
    <w:rsid w:val="001215A9"/>
    <w:rsid w:val="00122C2C"/>
    <w:rsid w:val="00123A87"/>
    <w:rsid w:val="001244B1"/>
    <w:rsid w:val="0012514E"/>
    <w:rsid w:val="0012589E"/>
    <w:rsid w:val="00126560"/>
    <w:rsid w:val="00127D82"/>
    <w:rsid w:val="0013059D"/>
    <w:rsid w:val="00130C03"/>
    <w:rsid w:val="001311F7"/>
    <w:rsid w:val="0013184F"/>
    <w:rsid w:val="00131D22"/>
    <w:rsid w:val="00131F00"/>
    <w:rsid w:val="0013346F"/>
    <w:rsid w:val="001349E2"/>
    <w:rsid w:val="00134A06"/>
    <w:rsid w:val="00134FD9"/>
    <w:rsid w:val="00135328"/>
    <w:rsid w:val="00135EB7"/>
    <w:rsid w:val="001364CF"/>
    <w:rsid w:val="0013709C"/>
    <w:rsid w:val="00137AFA"/>
    <w:rsid w:val="00137B02"/>
    <w:rsid w:val="00142411"/>
    <w:rsid w:val="00144A6C"/>
    <w:rsid w:val="0014646C"/>
    <w:rsid w:val="0014674C"/>
    <w:rsid w:val="00146CE3"/>
    <w:rsid w:val="00147515"/>
    <w:rsid w:val="00147A74"/>
    <w:rsid w:val="001526E2"/>
    <w:rsid w:val="00154DF1"/>
    <w:rsid w:val="0015529D"/>
    <w:rsid w:val="00155D06"/>
    <w:rsid w:val="00155EA2"/>
    <w:rsid w:val="00156212"/>
    <w:rsid w:val="0015713C"/>
    <w:rsid w:val="00157CA2"/>
    <w:rsid w:val="00161B9D"/>
    <w:rsid w:val="00161DA5"/>
    <w:rsid w:val="001649D5"/>
    <w:rsid w:val="00164BC2"/>
    <w:rsid w:val="00164D39"/>
    <w:rsid w:val="0016651A"/>
    <w:rsid w:val="00166AD3"/>
    <w:rsid w:val="001675A3"/>
    <w:rsid w:val="00167EB1"/>
    <w:rsid w:val="001711C1"/>
    <w:rsid w:val="00171E2D"/>
    <w:rsid w:val="001739F1"/>
    <w:rsid w:val="0017416C"/>
    <w:rsid w:val="0017499B"/>
    <w:rsid w:val="00174E4D"/>
    <w:rsid w:val="00175356"/>
    <w:rsid w:val="001754FE"/>
    <w:rsid w:val="00176C98"/>
    <w:rsid w:val="00177107"/>
    <w:rsid w:val="00181AC8"/>
    <w:rsid w:val="00182CF1"/>
    <w:rsid w:val="00183600"/>
    <w:rsid w:val="0018379A"/>
    <w:rsid w:val="00184421"/>
    <w:rsid w:val="00184E72"/>
    <w:rsid w:val="00185CEF"/>
    <w:rsid w:val="00186C9D"/>
    <w:rsid w:val="001871ED"/>
    <w:rsid w:val="00187EAE"/>
    <w:rsid w:val="00191FD5"/>
    <w:rsid w:val="001921A4"/>
    <w:rsid w:val="00192E41"/>
    <w:rsid w:val="00194A0E"/>
    <w:rsid w:val="001969F1"/>
    <w:rsid w:val="00196E5A"/>
    <w:rsid w:val="00197503"/>
    <w:rsid w:val="0019769F"/>
    <w:rsid w:val="001A136E"/>
    <w:rsid w:val="001A1BDB"/>
    <w:rsid w:val="001A1D2C"/>
    <w:rsid w:val="001A2E81"/>
    <w:rsid w:val="001A3252"/>
    <w:rsid w:val="001A3781"/>
    <w:rsid w:val="001A5123"/>
    <w:rsid w:val="001B107D"/>
    <w:rsid w:val="001B1B81"/>
    <w:rsid w:val="001B1E5B"/>
    <w:rsid w:val="001B322A"/>
    <w:rsid w:val="001B4842"/>
    <w:rsid w:val="001B5E5A"/>
    <w:rsid w:val="001B72EA"/>
    <w:rsid w:val="001B762F"/>
    <w:rsid w:val="001B78EA"/>
    <w:rsid w:val="001C031B"/>
    <w:rsid w:val="001C19D6"/>
    <w:rsid w:val="001C44FA"/>
    <w:rsid w:val="001C5EB8"/>
    <w:rsid w:val="001C6506"/>
    <w:rsid w:val="001C7FBE"/>
    <w:rsid w:val="001D09AA"/>
    <w:rsid w:val="001D3544"/>
    <w:rsid w:val="001D39AA"/>
    <w:rsid w:val="001D39EC"/>
    <w:rsid w:val="001D418D"/>
    <w:rsid w:val="001D661F"/>
    <w:rsid w:val="001D71DF"/>
    <w:rsid w:val="001D7B65"/>
    <w:rsid w:val="001E0620"/>
    <w:rsid w:val="001E1B66"/>
    <w:rsid w:val="001E36F4"/>
    <w:rsid w:val="001E6246"/>
    <w:rsid w:val="001E6A60"/>
    <w:rsid w:val="001E6E5A"/>
    <w:rsid w:val="001E79E7"/>
    <w:rsid w:val="001F21CD"/>
    <w:rsid w:val="001F5515"/>
    <w:rsid w:val="001F571B"/>
    <w:rsid w:val="002000FB"/>
    <w:rsid w:val="002012DB"/>
    <w:rsid w:val="00201E7E"/>
    <w:rsid w:val="00203C28"/>
    <w:rsid w:val="00203E3B"/>
    <w:rsid w:val="00204AB9"/>
    <w:rsid w:val="00204B23"/>
    <w:rsid w:val="002050B7"/>
    <w:rsid w:val="0020747A"/>
    <w:rsid w:val="002075C7"/>
    <w:rsid w:val="00207EF8"/>
    <w:rsid w:val="00211FFA"/>
    <w:rsid w:val="00213DF6"/>
    <w:rsid w:val="002140C3"/>
    <w:rsid w:val="0021452A"/>
    <w:rsid w:val="00214E0B"/>
    <w:rsid w:val="00215C5A"/>
    <w:rsid w:val="00215E4D"/>
    <w:rsid w:val="002166BC"/>
    <w:rsid w:val="00217A31"/>
    <w:rsid w:val="00217FA0"/>
    <w:rsid w:val="002204CD"/>
    <w:rsid w:val="00221020"/>
    <w:rsid w:val="00222316"/>
    <w:rsid w:val="002239B6"/>
    <w:rsid w:val="00224D9D"/>
    <w:rsid w:val="00225954"/>
    <w:rsid w:val="00225A35"/>
    <w:rsid w:val="00226D01"/>
    <w:rsid w:val="0022714B"/>
    <w:rsid w:val="002272CB"/>
    <w:rsid w:val="002273EC"/>
    <w:rsid w:val="00227E6B"/>
    <w:rsid w:val="00231607"/>
    <w:rsid w:val="0023638D"/>
    <w:rsid w:val="00236484"/>
    <w:rsid w:val="00245F71"/>
    <w:rsid w:val="00246468"/>
    <w:rsid w:val="00247945"/>
    <w:rsid w:val="0025023C"/>
    <w:rsid w:val="0025070E"/>
    <w:rsid w:val="00250848"/>
    <w:rsid w:val="00250D2A"/>
    <w:rsid w:val="00251C7D"/>
    <w:rsid w:val="0025248B"/>
    <w:rsid w:val="002542CB"/>
    <w:rsid w:val="00254846"/>
    <w:rsid w:val="00254C89"/>
    <w:rsid w:val="00254E2D"/>
    <w:rsid w:val="00255472"/>
    <w:rsid w:val="00255AAE"/>
    <w:rsid w:val="00256D04"/>
    <w:rsid w:val="0026025C"/>
    <w:rsid w:val="002606D9"/>
    <w:rsid w:val="00260EB6"/>
    <w:rsid w:val="00261382"/>
    <w:rsid w:val="00261A27"/>
    <w:rsid w:val="00264782"/>
    <w:rsid w:val="00265EFA"/>
    <w:rsid w:val="0026713B"/>
    <w:rsid w:val="00271C83"/>
    <w:rsid w:val="0027245E"/>
    <w:rsid w:val="00272B66"/>
    <w:rsid w:val="002733A4"/>
    <w:rsid w:val="00276031"/>
    <w:rsid w:val="00276353"/>
    <w:rsid w:val="0028039E"/>
    <w:rsid w:val="00280DC8"/>
    <w:rsid w:val="002817A6"/>
    <w:rsid w:val="002830E3"/>
    <w:rsid w:val="00283304"/>
    <w:rsid w:val="0028360E"/>
    <w:rsid w:val="00284837"/>
    <w:rsid w:val="00284896"/>
    <w:rsid w:val="002857D5"/>
    <w:rsid w:val="002869EF"/>
    <w:rsid w:val="0029011D"/>
    <w:rsid w:val="0029042C"/>
    <w:rsid w:val="00290858"/>
    <w:rsid w:val="0029211D"/>
    <w:rsid w:val="00292A7F"/>
    <w:rsid w:val="00294B21"/>
    <w:rsid w:val="00297266"/>
    <w:rsid w:val="002A00E4"/>
    <w:rsid w:val="002A1180"/>
    <w:rsid w:val="002A11DC"/>
    <w:rsid w:val="002A1ED1"/>
    <w:rsid w:val="002A2064"/>
    <w:rsid w:val="002A2262"/>
    <w:rsid w:val="002A22CB"/>
    <w:rsid w:val="002A2483"/>
    <w:rsid w:val="002A2808"/>
    <w:rsid w:val="002A3D5D"/>
    <w:rsid w:val="002A4F27"/>
    <w:rsid w:val="002A5FD5"/>
    <w:rsid w:val="002A641F"/>
    <w:rsid w:val="002A64F9"/>
    <w:rsid w:val="002A6552"/>
    <w:rsid w:val="002A722C"/>
    <w:rsid w:val="002A7FDE"/>
    <w:rsid w:val="002B0E82"/>
    <w:rsid w:val="002B25CD"/>
    <w:rsid w:val="002B2F7B"/>
    <w:rsid w:val="002B3AC4"/>
    <w:rsid w:val="002B4998"/>
    <w:rsid w:val="002B4FB4"/>
    <w:rsid w:val="002B508A"/>
    <w:rsid w:val="002B50B6"/>
    <w:rsid w:val="002B532F"/>
    <w:rsid w:val="002B71CD"/>
    <w:rsid w:val="002B72E0"/>
    <w:rsid w:val="002B76AB"/>
    <w:rsid w:val="002B7C37"/>
    <w:rsid w:val="002C0508"/>
    <w:rsid w:val="002C0B37"/>
    <w:rsid w:val="002C0C0D"/>
    <w:rsid w:val="002C0E8A"/>
    <w:rsid w:val="002C1507"/>
    <w:rsid w:val="002C2601"/>
    <w:rsid w:val="002C3CA5"/>
    <w:rsid w:val="002C40A9"/>
    <w:rsid w:val="002C4BF2"/>
    <w:rsid w:val="002C598D"/>
    <w:rsid w:val="002C682B"/>
    <w:rsid w:val="002C71CA"/>
    <w:rsid w:val="002D048E"/>
    <w:rsid w:val="002D2085"/>
    <w:rsid w:val="002D262A"/>
    <w:rsid w:val="002D3B71"/>
    <w:rsid w:val="002D4133"/>
    <w:rsid w:val="002D5049"/>
    <w:rsid w:val="002D5970"/>
    <w:rsid w:val="002D6763"/>
    <w:rsid w:val="002D7B94"/>
    <w:rsid w:val="002E06F1"/>
    <w:rsid w:val="002E183E"/>
    <w:rsid w:val="002E1F8D"/>
    <w:rsid w:val="002E226E"/>
    <w:rsid w:val="002E3E35"/>
    <w:rsid w:val="002E413E"/>
    <w:rsid w:val="002E422F"/>
    <w:rsid w:val="002E5E67"/>
    <w:rsid w:val="002E5EFC"/>
    <w:rsid w:val="002E6A72"/>
    <w:rsid w:val="002E714D"/>
    <w:rsid w:val="002F04B1"/>
    <w:rsid w:val="002F0A27"/>
    <w:rsid w:val="002F1AEA"/>
    <w:rsid w:val="002F297B"/>
    <w:rsid w:val="002F4173"/>
    <w:rsid w:val="002F443E"/>
    <w:rsid w:val="002F58FD"/>
    <w:rsid w:val="002F6E35"/>
    <w:rsid w:val="002F7E96"/>
    <w:rsid w:val="003006AB"/>
    <w:rsid w:val="00300B4E"/>
    <w:rsid w:val="00301809"/>
    <w:rsid w:val="0030242C"/>
    <w:rsid w:val="003025D2"/>
    <w:rsid w:val="00302890"/>
    <w:rsid w:val="00303203"/>
    <w:rsid w:val="0030386B"/>
    <w:rsid w:val="0030563D"/>
    <w:rsid w:val="00305E88"/>
    <w:rsid w:val="0030651C"/>
    <w:rsid w:val="00306F1E"/>
    <w:rsid w:val="003079E9"/>
    <w:rsid w:val="00310CBE"/>
    <w:rsid w:val="00310ED1"/>
    <w:rsid w:val="00311A51"/>
    <w:rsid w:val="003122C7"/>
    <w:rsid w:val="003157B6"/>
    <w:rsid w:val="00315DEC"/>
    <w:rsid w:val="00315F8F"/>
    <w:rsid w:val="003165C8"/>
    <w:rsid w:val="00317399"/>
    <w:rsid w:val="0031740A"/>
    <w:rsid w:val="00317D7F"/>
    <w:rsid w:val="00317DD3"/>
    <w:rsid w:val="00317E6D"/>
    <w:rsid w:val="00317FDB"/>
    <w:rsid w:val="003208B3"/>
    <w:rsid w:val="00321145"/>
    <w:rsid w:val="00322713"/>
    <w:rsid w:val="00323036"/>
    <w:rsid w:val="00323195"/>
    <w:rsid w:val="00324098"/>
    <w:rsid w:val="003250D8"/>
    <w:rsid w:val="00325FF2"/>
    <w:rsid w:val="00326958"/>
    <w:rsid w:val="003275D0"/>
    <w:rsid w:val="0033012A"/>
    <w:rsid w:val="003308C3"/>
    <w:rsid w:val="00331ADC"/>
    <w:rsid w:val="00333857"/>
    <w:rsid w:val="0033626E"/>
    <w:rsid w:val="003369A7"/>
    <w:rsid w:val="0033765D"/>
    <w:rsid w:val="00337684"/>
    <w:rsid w:val="00337D81"/>
    <w:rsid w:val="00341682"/>
    <w:rsid w:val="00342537"/>
    <w:rsid w:val="003426BF"/>
    <w:rsid w:val="00345556"/>
    <w:rsid w:val="003456F6"/>
    <w:rsid w:val="00345FBF"/>
    <w:rsid w:val="00346E5F"/>
    <w:rsid w:val="00346F07"/>
    <w:rsid w:val="00347115"/>
    <w:rsid w:val="00347636"/>
    <w:rsid w:val="003478DB"/>
    <w:rsid w:val="00347977"/>
    <w:rsid w:val="003502D0"/>
    <w:rsid w:val="00350B2A"/>
    <w:rsid w:val="003545DB"/>
    <w:rsid w:val="0035526C"/>
    <w:rsid w:val="003556EF"/>
    <w:rsid w:val="003569CA"/>
    <w:rsid w:val="00357B5C"/>
    <w:rsid w:val="00360C86"/>
    <w:rsid w:val="00360D65"/>
    <w:rsid w:val="0036230B"/>
    <w:rsid w:val="00362522"/>
    <w:rsid w:val="00363298"/>
    <w:rsid w:val="00363410"/>
    <w:rsid w:val="00363A19"/>
    <w:rsid w:val="00364C25"/>
    <w:rsid w:val="003656C4"/>
    <w:rsid w:val="00366F93"/>
    <w:rsid w:val="00367401"/>
    <w:rsid w:val="00370490"/>
    <w:rsid w:val="00370940"/>
    <w:rsid w:val="00370BC5"/>
    <w:rsid w:val="00370D5B"/>
    <w:rsid w:val="00372523"/>
    <w:rsid w:val="003732D3"/>
    <w:rsid w:val="003743AD"/>
    <w:rsid w:val="00376F39"/>
    <w:rsid w:val="00381437"/>
    <w:rsid w:val="00381D30"/>
    <w:rsid w:val="003822BC"/>
    <w:rsid w:val="00383AF2"/>
    <w:rsid w:val="003845F2"/>
    <w:rsid w:val="00384862"/>
    <w:rsid w:val="00384A00"/>
    <w:rsid w:val="00384E5E"/>
    <w:rsid w:val="0038698E"/>
    <w:rsid w:val="00387C3D"/>
    <w:rsid w:val="003921CA"/>
    <w:rsid w:val="00392614"/>
    <w:rsid w:val="00394544"/>
    <w:rsid w:val="003946B6"/>
    <w:rsid w:val="00394DAA"/>
    <w:rsid w:val="003954AE"/>
    <w:rsid w:val="003969F2"/>
    <w:rsid w:val="00396FD7"/>
    <w:rsid w:val="003979C7"/>
    <w:rsid w:val="00397B3F"/>
    <w:rsid w:val="003A0C7A"/>
    <w:rsid w:val="003A0DAE"/>
    <w:rsid w:val="003A16DA"/>
    <w:rsid w:val="003A3ADA"/>
    <w:rsid w:val="003A4B66"/>
    <w:rsid w:val="003A501E"/>
    <w:rsid w:val="003A63C1"/>
    <w:rsid w:val="003A67C3"/>
    <w:rsid w:val="003A71E2"/>
    <w:rsid w:val="003A745F"/>
    <w:rsid w:val="003B11F7"/>
    <w:rsid w:val="003B1491"/>
    <w:rsid w:val="003B32AF"/>
    <w:rsid w:val="003B451B"/>
    <w:rsid w:val="003B4C48"/>
    <w:rsid w:val="003B65A1"/>
    <w:rsid w:val="003B6EBB"/>
    <w:rsid w:val="003B7A1A"/>
    <w:rsid w:val="003C0204"/>
    <w:rsid w:val="003C07E9"/>
    <w:rsid w:val="003C1235"/>
    <w:rsid w:val="003C2F77"/>
    <w:rsid w:val="003C3464"/>
    <w:rsid w:val="003C38EC"/>
    <w:rsid w:val="003C3D79"/>
    <w:rsid w:val="003C4012"/>
    <w:rsid w:val="003C556C"/>
    <w:rsid w:val="003C5824"/>
    <w:rsid w:val="003C5D9A"/>
    <w:rsid w:val="003C683A"/>
    <w:rsid w:val="003C753D"/>
    <w:rsid w:val="003C7CEC"/>
    <w:rsid w:val="003D036E"/>
    <w:rsid w:val="003D095B"/>
    <w:rsid w:val="003D166D"/>
    <w:rsid w:val="003D1AD9"/>
    <w:rsid w:val="003D1EB9"/>
    <w:rsid w:val="003D2BC0"/>
    <w:rsid w:val="003D3D84"/>
    <w:rsid w:val="003D5ECD"/>
    <w:rsid w:val="003D5F58"/>
    <w:rsid w:val="003D6449"/>
    <w:rsid w:val="003D6733"/>
    <w:rsid w:val="003E1047"/>
    <w:rsid w:val="003E1520"/>
    <w:rsid w:val="003E21DB"/>
    <w:rsid w:val="003E2762"/>
    <w:rsid w:val="003E2B32"/>
    <w:rsid w:val="003E30C6"/>
    <w:rsid w:val="003E3505"/>
    <w:rsid w:val="003E418E"/>
    <w:rsid w:val="003E5A0C"/>
    <w:rsid w:val="003E7979"/>
    <w:rsid w:val="003F1529"/>
    <w:rsid w:val="003F3340"/>
    <w:rsid w:val="003F4A95"/>
    <w:rsid w:val="003F4ADD"/>
    <w:rsid w:val="003F64A6"/>
    <w:rsid w:val="003F678A"/>
    <w:rsid w:val="003F7027"/>
    <w:rsid w:val="003F783B"/>
    <w:rsid w:val="003F7D6D"/>
    <w:rsid w:val="0040000C"/>
    <w:rsid w:val="004008A9"/>
    <w:rsid w:val="00400AC2"/>
    <w:rsid w:val="004019B4"/>
    <w:rsid w:val="00401CEF"/>
    <w:rsid w:val="0040320A"/>
    <w:rsid w:val="004043FA"/>
    <w:rsid w:val="00405454"/>
    <w:rsid w:val="00405CC3"/>
    <w:rsid w:val="00406760"/>
    <w:rsid w:val="00410C38"/>
    <w:rsid w:val="00412225"/>
    <w:rsid w:val="00413560"/>
    <w:rsid w:val="00413779"/>
    <w:rsid w:val="0041401A"/>
    <w:rsid w:val="0041434A"/>
    <w:rsid w:val="00414588"/>
    <w:rsid w:val="00414709"/>
    <w:rsid w:val="004152B5"/>
    <w:rsid w:val="0042280C"/>
    <w:rsid w:val="00424526"/>
    <w:rsid w:val="00424ED2"/>
    <w:rsid w:val="0042556D"/>
    <w:rsid w:val="00425714"/>
    <w:rsid w:val="00430A83"/>
    <w:rsid w:val="00431084"/>
    <w:rsid w:val="004317F0"/>
    <w:rsid w:val="00432A48"/>
    <w:rsid w:val="00432C4E"/>
    <w:rsid w:val="004337A1"/>
    <w:rsid w:val="00435539"/>
    <w:rsid w:val="00436765"/>
    <w:rsid w:val="00436B58"/>
    <w:rsid w:val="00436BEA"/>
    <w:rsid w:val="00436CFC"/>
    <w:rsid w:val="00437868"/>
    <w:rsid w:val="00440176"/>
    <w:rsid w:val="00440198"/>
    <w:rsid w:val="004406E3"/>
    <w:rsid w:val="0044335E"/>
    <w:rsid w:val="00444916"/>
    <w:rsid w:val="004462B3"/>
    <w:rsid w:val="00446C1B"/>
    <w:rsid w:val="00451B33"/>
    <w:rsid w:val="00453033"/>
    <w:rsid w:val="004533DB"/>
    <w:rsid w:val="0045369E"/>
    <w:rsid w:val="004538AF"/>
    <w:rsid w:val="00455627"/>
    <w:rsid w:val="00455D47"/>
    <w:rsid w:val="004579FE"/>
    <w:rsid w:val="0046209A"/>
    <w:rsid w:val="004620D9"/>
    <w:rsid w:val="004620FF"/>
    <w:rsid w:val="00462212"/>
    <w:rsid w:val="00462F5C"/>
    <w:rsid w:val="00464B7F"/>
    <w:rsid w:val="004655C1"/>
    <w:rsid w:val="00465789"/>
    <w:rsid w:val="00465EAD"/>
    <w:rsid w:val="004662C5"/>
    <w:rsid w:val="00467686"/>
    <w:rsid w:val="00471DAF"/>
    <w:rsid w:val="00471EE5"/>
    <w:rsid w:val="00472E39"/>
    <w:rsid w:val="0047458A"/>
    <w:rsid w:val="004749C2"/>
    <w:rsid w:val="0047529D"/>
    <w:rsid w:val="00477C89"/>
    <w:rsid w:val="00477D80"/>
    <w:rsid w:val="00480779"/>
    <w:rsid w:val="0048264F"/>
    <w:rsid w:val="00483AB1"/>
    <w:rsid w:val="00483AF4"/>
    <w:rsid w:val="004862AF"/>
    <w:rsid w:val="004867C2"/>
    <w:rsid w:val="0049195D"/>
    <w:rsid w:val="00491AB9"/>
    <w:rsid w:val="00491AC4"/>
    <w:rsid w:val="0049231C"/>
    <w:rsid w:val="00492D69"/>
    <w:rsid w:val="004934BE"/>
    <w:rsid w:val="0049383D"/>
    <w:rsid w:val="004945FF"/>
    <w:rsid w:val="00495D2D"/>
    <w:rsid w:val="00495DE3"/>
    <w:rsid w:val="00496EDF"/>
    <w:rsid w:val="0049723D"/>
    <w:rsid w:val="004A0870"/>
    <w:rsid w:val="004A2DEA"/>
    <w:rsid w:val="004A3377"/>
    <w:rsid w:val="004A3984"/>
    <w:rsid w:val="004A3E89"/>
    <w:rsid w:val="004A4430"/>
    <w:rsid w:val="004A4935"/>
    <w:rsid w:val="004A7B9B"/>
    <w:rsid w:val="004B0024"/>
    <w:rsid w:val="004B0B60"/>
    <w:rsid w:val="004B2B73"/>
    <w:rsid w:val="004B38B6"/>
    <w:rsid w:val="004B39BF"/>
    <w:rsid w:val="004B3CF0"/>
    <w:rsid w:val="004B47D3"/>
    <w:rsid w:val="004B4ABE"/>
    <w:rsid w:val="004B5267"/>
    <w:rsid w:val="004B5934"/>
    <w:rsid w:val="004B5D0A"/>
    <w:rsid w:val="004B6A25"/>
    <w:rsid w:val="004C0672"/>
    <w:rsid w:val="004C11A8"/>
    <w:rsid w:val="004C2622"/>
    <w:rsid w:val="004C2DBD"/>
    <w:rsid w:val="004C37D2"/>
    <w:rsid w:val="004C4617"/>
    <w:rsid w:val="004C46F2"/>
    <w:rsid w:val="004C498B"/>
    <w:rsid w:val="004C6127"/>
    <w:rsid w:val="004C65B3"/>
    <w:rsid w:val="004C67B1"/>
    <w:rsid w:val="004C7472"/>
    <w:rsid w:val="004C7804"/>
    <w:rsid w:val="004D0C1F"/>
    <w:rsid w:val="004D1EAA"/>
    <w:rsid w:val="004D2643"/>
    <w:rsid w:val="004D2C35"/>
    <w:rsid w:val="004D3B77"/>
    <w:rsid w:val="004D486F"/>
    <w:rsid w:val="004D59B4"/>
    <w:rsid w:val="004D6B97"/>
    <w:rsid w:val="004D7A00"/>
    <w:rsid w:val="004D7BF5"/>
    <w:rsid w:val="004E049B"/>
    <w:rsid w:val="004E084A"/>
    <w:rsid w:val="004E14C9"/>
    <w:rsid w:val="004E1976"/>
    <w:rsid w:val="004E6247"/>
    <w:rsid w:val="004E69F7"/>
    <w:rsid w:val="004E7409"/>
    <w:rsid w:val="004E74D1"/>
    <w:rsid w:val="004F2BAC"/>
    <w:rsid w:val="004F36C4"/>
    <w:rsid w:val="004F426B"/>
    <w:rsid w:val="004F688E"/>
    <w:rsid w:val="004F6CC1"/>
    <w:rsid w:val="004F715B"/>
    <w:rsid w:val="004F78AA"/>
    <w:rsid w:val="00500104"/>
    <w:rsid w:val="0050038C"/>
    <w:rsid w:val="005025EF"/>
    <w:rsid w:val="00504724"/>
    <w:rsid w:val="00504770"/>
    <w:rsid w:val="00505804"/>
    <w:rsid w:val="00506F79"/>
    <w:rsid w:val="00507D47"/>
    <w:rsid w:val="00510612"/>
    <w:rsid w:val="00511D22"/>
    <w:rsid w:val="00513298"/>
    <w:rsid w:val="00514028"/>
    <w:rsid w:val="00514D43"/>
    <w:rsid w:val="0051500F"/>
    <w:rsid w:val="00515157"/>
    <w:rsid w:val="00515443"/>
    <w:rsid w:val="00516C40"/>
    <w:rsid w:val="00517655"/>
    <w:rsid w:val="00517C6B"/>
    <w:rsid w:val="00520526"/>
    <w:rsid w:val="00521EAD"/>
    <w:rsid w:val="0052467D"/>
    <w:rsid w:val="00524C1C"/>
    <w:rsid w:val="005257EC"/>
    <w:rsid w:val="00526576"/>
    <w:rsid w:val="00526631"/>
    <w:rsid w:val="00526D08"/>
    <w:rsid w:val="0053051B"/>
    <w:rsid w:val="00530DA4"/>
    <w:rsid w:val="00533392"/>
    <w:rsid w:val="00533800"/>
    <w:rsid w:val="0053482F"/>
    <w:rsid w:val="005350B0"/>
    <w:rsid w:val="00535221"/>
    <w:rsid w:val="0053540D"/>
    <w:rsid w:val="00537E01"/>
    <w:rsid w:val="005400FC"/>
    <w:rsid w:val="00540352"/>
    <w:rsid w:val="005403E8"/>
    <w:rsid w:val="00541B7F"/>
    <w:rsid w:val="005437C5"/>
    <w:rsid w:val="005439A6"/>
    <w:rsid w:val="00547150"/>
    <w:rsid w:val="00547272"/>
    <w:rsid w:val="0054746F"/>
    <w:rsid w:val="00550A98"/>
    <w:rsid w:val="00550DF2"/>
    <w:rsid w:val="00550E33"/>
    <w:rsid w:val="00551D48"/>
    <w:rsid w:val="005547CA"/>
    <w:rsid w:val="00555F68"/>
    <w:rsid w:val="005576F8"/>
    <w:rsid w:val="005608FA"/>
    <w:rsid w:val="00560989"/>
    <w:rsid w:val="00560D9D"/>
    <w:rsid w:val="00561604"/>
    <w:rsid w:val="00563C42"/>
    <w:rsid w:val="0056685F"/>
    <w:rsid w:val="00566962"/>
    <w:rsid w:val="00566C57"/>
    <w:rsid w:val="005720EB"/>
    <w:rsid w:val="0057453B"/>
    <w:rsid w:val="00580A6C"/>
    <w:rsid w:val="0058289A"/>
    <w:rsid w:val="005837E2"/>
    <w:rsid w:val="0058515F"/>
    <w:rsid w:val="00585F60"/>
    <w:rsid w:val="005860D2"/>
    <w:rsid w:val="00586D96"/>
    <w:rsid w:val="005903AC"/>
    <w:rsid w:val="00591A61"/>
    <w:rsid w:val="00591E9E"/>
    <w:rsid w:val="00592360"/>
    <w:rsid w:val="00592471"/>
    <w:rsid w:val="005924BB"/>
    <w:rsid w:val="005937EB"/>
    <w:rsid w:val="00595FE7"/>
    <w:rsid w:val="005969EC"/>
    <w:rsid w:val="00597042"/>
    <w:rsid w:val="005970FF"/>
    <w:rsid w:val="005975FE"/>
    <w:rsid w:val="005A151B"/>
    <w:rsid w:val="005A1B02"/>
    <w:rsid w:val="005A22F7"/>
    <w:rsid w:val="005A2504"/>
    <w:rsid w:val="005A2943"/>
    <w:rsid w:val="005A3F78"/>
    <w:rsid w:val="005A4085"/>
    <w:rsid w:val="005A42E8"/>
    <w:rsid w:val="005A4B51"/>
    <w:rsid w:val="005A7D7E"/>
    <w:rsid w:val="005A7F69"/>
    <w:rsid w:val="005B0538"/>
    <w:rsid w:val="005B0854"/>
    <w:rsid w:val="005B197E"/>
    <w:rsid w:val="005B39F1"/>
    <w:rsid w:val="005B3BFB"/>
    <w:rsid w:val="005B3EA6"/>
    <w:rsid w:val="005B4ABF"/>
    <w:rsid w:val="005B5D0B"/>
    <w:rsid w:val="005B7BE0"/>
    <w:rsid w:val="005B7C88"/>
    <w:rsid w:val="005C0390"/>
    <w:rsid w:val="005C080F"/>
    <w:rsid w:val="005C17ED"/>
    <w:rsid w:val="005C1ED1"/>
    <w:rsid w:val="005C2E96"/>
    <w:rsid w:val="005C36A3"/>
    <w:rsid w:val="005C3CA9"/>
    <w:rsid w:val="005C3E29"/>
    <w:rsid w:val="005C4010"/>
    <w:rsid w:val="005C40D5"/>
    <w:rsid w:val="005C40E0"/>
    <w:rsid w:val="005C44A3"/>
    <w:rsid w:val="005C4F15"/>
    <w:rsid w:val="005C5000"/>
    <w:rsid w:val="005C59F7"/>
    <w:rsid w:val="005C769D"/>
    <w:rsid w:val="005C7AA5"/>
    <w:rsid w:val="005D019B"/>
    <w:rsid w:val="005D15BA"/>
    <w:rsid w:val="005D1BB8"/>
    <w:rsid w:val="005D1DEB"/>
    <w:rsid w:val="005D23CA"/>
    <w:rsid w:val="005D267D"/>
    <w:rsid w:val="005D3846"/>
    <w:rsid w:val="005D469E"/>
    <w:rsid w:val="005D51C5"/>
    <w:rsid w:val="005D5D21"/>
    <w:rsid w:val="005D76B1"/>
    <w:rsid w:val="005E05E4"/>
    <w:rsid w:val="005E0B04"/>
    <w:rsid w:val="005E0CF7"/>
    <w:rsid w:val="005E26DF"/>
    <w:rsid w:val="005E2B24"/>
    <w:rsid w:val="005E2B5A"/>
    <w:rsid w:val="005E2CC4"/>
    <w:rsid w:val="005E2D7A"/>
    <w:rsid w:val="005E422A"/>
    <w:rsid w:val="005E454D"/>
    <w:rsid w:val="005E4997"/>
    <w:rsid w:val="005E4ED2"/>
    <w:rsid w:val="005E4FB3"/>
    <w:rsid w:val="005E57B4"/>
    <w:rsid w:val="005F28ED"/>
    <w:rsid w:val="005F38CB"/>
    <w:rsid w:val="005F4977"/>
    <w:rsid w:val="005F5DC1"/>
    <w:rsid w:val="005F62FF"/>
    <w:rsid w:val="005F6F8C"/>
    <w:rsid w:val="005F7ADD"/>
    <w:rsid w:val="005F7FEA"/>
    <w:rsid w:val="006001F5"/>
    <w:rsid w:val="006002E5"/>
    <w:rsid w:val="00600BB1"/>
    <w:rsid w:val="00602925"/>
    <w:rsid w:val="00603371"/>
    <w:rsid w:val="00603734"/>
    <w:rsid w:val="00605562"/>
    <w:rsid w:val="00605890"/>
    <w:rsid w:val="00606B26"/>
    <w:rsid w:val="006075CC"/>
    <w:rsid w:val="006102CB"/>
    <w:rsid w:val="00610914"/>
    <w:rsid w:val="00611B78"/>
    <w:rsid w:val="006128DF"/>
    <w:rsid w:val="0061294C"/>
    <w:rsid w:val="00614AE3"/>
    <w:rsid w:val="00615050"/>
    <w:rsid w:val="0061557F"/>
    <w:rsid w:val="00615C7C"/>
    <w:rsid w:val="00616421"/>
    <w:rsid w:val="0061675C"/>
    <w:rsid w:val="00616DE6"/>
    <w:rsid w:val="00617071"/>
    <w:rsid w:val="00620A97"/>
    <w:rsid w:val="006216B0"/>
    <w:rsid w:val="00622372"/>
    <w:rsid w:val="0062270C"/>
    <w:rsid w:val="00623E13"/>
    <w:rsid w:val="0062545D"/>
    <w:rsid w:val="00630443"/>
    <w:rsid w:val="006314E5"/>
    <w:rsid w:val="00633570"/>
    <w:rsid w:val="006339C5"/>
    <w:rsid w:val="00633E77"/>
    <w:rsid w:val="00635973"/>
    <w:rsid w:val="00635B44"/>
    <w:rsid w:val="00635E91"/>
    <w:rsid w:val="00635F4A"/>
    <w:rsid w:val="0063644E"/>
    <w:rsid w:val="00636D6D"/>
    <w:rsid w:val="00636E8B"/>
    <w:rsid w:val="006371A1"/>
    <w:rsid w:val="00637B5E"/>
    <w:rsid w:val="006404FF"/>
    <w:rsid w:val="00640B2A"/>
    <w:rsid w:val="00640C52"/>
    <w:rsid w:val="00642C43"/>
    <w:rsid w:val="00643C16"/>
    <w:rsid w:val="00645B8E"/>
    <w:rsid w:val="00645DD6"/>
    <w:rsid w:val="006527F4"/>
    <w:rsid w:val="00652FED"/>
    <w:rsid w:val="0065714B"/>
    <w:rsid w:val="006574D3"/>
    <w:rsid w:val="006578A2"/>
    <w:rsid w:val="0066062F"/>
    <w:rsid w:val="00661A89"/>
    <w:rsid w:val="00661FB8"/>
    <w:rsid w:val="0066273C"/>
    <w:rsid w:val="006634B8"/>
    <w:rsid w:val="00663D7A"/>
    <w:rsid w:val="00667A0D"/>
    <w:rsid w:val="00667CC9"/>
    <w:rsid w:val="00667D81"/>
    <w:rsid w:val="00671099"/>
    <w:rsid w:val="0067112C"/>
    <w:rsid w:val="0067358F"/>
    <w:rsid w:val="0067395C"/>
    <w:rsid w:val="00674F1E"/>
    <w:rsid w:val="00676A56"/>
    <w:rsid w:val="00676F90"/>
    <w:rsid w:val="0067759F"/>
    <w:rsid w:val="00680571"/>
    <w:rsid w:val="0068098F"/>
    <w:rsid w:val="00680C6A"/>
    <w:rsid w:val="00681596"/>
    <w:rsid w:val="00681BE0"/>
    <w:rsid w:val="00681C48"/>
    <w:rsid w:val="0068215C"/>
    <w:rsid w:val="0068230E"/>
    <w:rsid w:val="00684C89"/>
    <w:rsid w:val="00685078"/>
    <w:rsid w:val="00686132"/>
    <w:rsid w:val="00686D92"/>
    <w:rsid w:val="00687C16"/>
    <w:rsid w:val="006923E9"/>
    <w:rsid w:val="00692CCF"/>
    <w:rsid w:val="00692DA3"/>
    <w:rsid w:val="00693672"/>
    <w:rsid w:val="0069471D"/>
    <w:rsid w:val="006952EC"/>
    <w:rsid w:val="006977E6"/>
    <w:rsid w:val="0069799C"/>
    <w:rsid w:val="00697E5B"/>
    <w:rsid w:val="006A01E7"/>
    <w:rsid w:val="006A05B3"/>
    <w:rsid w:val="006A0BB4"/>
    <w:rsid w:val="006A465C"/>
    <w:rsid w:val="006A4FFC"/>
    <w:rsid w:val="006A5866"/>
    <w:rsid w:val="006A6D7D"/>
    <w:rsid w:val="006A73F8"/>
    <w:rsid w:val="006B06A0"/>
    <w:rsid w:val="006B1180"/>
    <w:rsid w:val="006B2425"/>
    <w:rsid w:val="006B2483"/>
    <w:rsid w:val="006B24FB"/>
    <w:rsid w:val="006B4E3F"/>
    <w:rsid w:val="006B566C"/>
    <w:rsid w:val="006B652D"/>
    <w:rsid w:val="006B6D4A"/>
    <w:rsid w:val="006C0719"/>
    <w:rsid w:val="006C133A"/>
    <w:rsid w:val="006C17D4"/>
    <w:rsid w:val="006C2620"/>
    <w:rsid w:val="006C3304"/>
    <w:rsid w:val="006C60B7"/>
    <w:rsid w:val="006C7076"/>
    <w:rsid w:val="006C742B"/>
    <w:rsid w:val="006C77E9"/>
    <w:rsid w:val="006C7956"/>
    <w:rsid w:val="006D03BB"/>
    <w:rsid w:val="006D08E8"/>
    <w:rsid w:val="006D0B3E"/>
    <w:rsid w:val="006D21C0"/>
    <w:rsid w:val="006D21FF"/>
    <w:rsid w:val="006D3D09"/>
    <w:rsid w:val="006D3DC9"/>
    <w:rsid w:val="006D4CD1"/>
    <w:rsid w:val="006D5A5E"/>
    <w:rsid w:val="006D680C"/>
    <w:rsid w:val="006E1848"/>
    <w:rsid w:val="006E188F"/>
    <w:rsid w:val="006E2E49"/>
    <w:rsid w:val="006E3944"/>
    <w:rsid w:val="006E3BD4"/>
    <w:rsid w:val="006E4164"/>
    <w:rsid w:val="006E5B0A"/>
    <w:rsid w:val="006E653D"/>
    <w:rsid w:val="006E7E08"/>
    <w:rsid w:val="006E7EFC"/>
    <w:rsid w:val="006F197E"/>
    <w:rsid w:val="006F244C"/>
    <w:rsid w:val="006F25E9"/>
    <w:rsid w:val="006F265F"/>
    <w:rsid w:val="006F2E75"/>
    <w:rsid w:val="006F3FEB"/>
    <w:rsid w:val="006F4AFC"/>
    <w:rsid w:val="006F5B5F"/>
    <w:rsid w:val="006F730C"/>
    <w:rsid w:val="006F73F3"/>
    <w:rsid w:val="00700DDD"/>
    <w:rsid w:val="00701BE0"/>
    <w:rsid w:val="00701CB6"/>
    <w:rsid w:val="00702CA7"/>
    <w:rsid w:val="00702EB1"/>
    <w:rsid w:val="00702F11"/>
    <w:rsid w:val="007031B1"/>
    <w:rsid w:val="007043FD"/>
    <w:rsid w:val="0070522D"/>
    <w:rsid w:val="007059C2"/>
    <w:rsid w:val="00705A9E"/>
    <w:rsid w:val="0070661C"/>
    <w:rsid w:val="00707736"/>
    <w:rsid w:val="00710991"/>
    <w:rsid w:val="00711B96"/>
    <w:rsid w:val="007126CA"/>
    <w:rsid w:val="0071441D"/>
    <w:rsid w:val="00714A88"/>
    <w:rsid w:val="00714DC4"/>
    <w:rsid w:val="00714F54"/>
    <w:rsid w:val="00715A86"/>
    <w:rsid w:val="00715F5E"/>
    <w:rsid w:val="00716DB7"/>
    <w:rsid w:val="00717DC2"/>
    <w:rsid w:val="0072015F"/>
    <w:rsid w:val="00720243"/>
    <w:rsid w:val="007204B6"/>
    <w:rsid w:val="00721808"/>
    <w:rsid w:val="007222A0"/>
    <w:rsid w:val="007222AC"/>
    <w:rsid w:val="00722B8F"/>
    <w:rsid w:val="00722E39"/>
    <w:rsid w:val="007236A9"/>
    <w:rsid w:val="0072387B"/>
    <w:rsid w:val="0072409B"/>
    <w:rsid w:val="00724C19"/>
    <w:rsid w:val="00727D40"/>
    <w:rsid w:val="007332C1"/>
    <w:rsid w:val="00733369"/>
    <w:rsid w:val="007337CF"/>
    <w:rsid w:val="007339E2"/>
    <w:rsid w:val="00735339"/>
    <w:rsid w:val="007356A8"/>
    <w:rsid w:val="007356BE"/>
    <w:rsid w:val="00737AD5"/>
    <w:rsid w:val="00737D75"/>
    <w:rsid w:val="0074528A"/>
    <w:rsid w:val="0074753F"/>
    <w:rsid w:val="0075185C"/>
    <w:rsid w:val="007518A9"/>
    <w:rsid w:val="0075488B"/>
    <w:rsid w:val="00755640"/>
    <w:rsid w:val="0075596F"/>
    <w:rsid w:val="00755FCC"/>
    <w:rsid w:val="00756044"/>
    <w:rsid w:val="007561A5"/>
    <w:rsid w:val="00756878"/>
    <w:rsid w:val="00756E06"/>
    <w:rsid w:val="00760831"/>
    <w:rsid w:val="007614D4"/>
    <w:rsid w:val="00761C9D"/>
    <w:rsid w:val="00761DA6"/>
    <w:rsid w:val="0076287B"/>
    <w:rsid w:val="00762A79"/>
    <w:rsid w:val="0076425E"/>
    <w:rsid w:val="00764A19"/>
    <w:rsid w:val="00765254"/>
    <w:rsid w:val="00767FDD"/>
    <w:rsid w:val="007700B1"/>
    <w:rsid w:val="00770FF8"/>
    <w:rsid w:val="007712DF"/>
    <w:rsid w:val="00771F36"/>
    <w:rsid w:val="00774030"/>
    <w:rsid w:val="00775B80"/>
    <w:rsid w:val="0077716D"/>
    <w:rsid w:val="00780ABA"/>
    <w:rsid w:val="00780B38"/>
    <w:rsid w:val="00781F52"/>
    <w:rsid w:val="007825D9"/>
    <w:rsid w:val="0078307E"/>
    <w:rsid w:val="007837E6"/>
    <w:rsid w:val="00784B25"/>
    <w:rsid w:val="00785381"/>
    <w:rsid w:val="00785C49"/>
    <w:rsid w:val="00785E9F"/>
    <w:rsid w:val="007864BA"/>
    <w:rsid w:val="00786CD1"/>
    <w:rsid w:val="0078705B"/>
    <w:rsid w:val="00787CE7"/>
    <w:rsid w:val="007901F2"/>
    <w:rsid w:val="00790BDE"/>
    <w:rsid w:val="00790C2A"/>
    <w:rsid w:val="0079430F"/>
    <w:rsid w:val="00795782"/>
    <w:rsid w:val="00795EA5"/>
    <w:rsid w:val="007963EB"/>
    <w:rsid w:val="007973F5"/>
    <w:rsid w:val="00797613"/>
    <w:rsid w:val="007A1493"/>
    <w:rsid w:val="007A1FBB"/>
    <w:rsid w:val="007A251B"/>
    <w:rsid w:val="007A2C23"/>
    <w:rsid w:val="007A2D95"/>
    <w:rsid w:val="007A2E39"/>
    <w:rsid w:val="007A4712"/>
    <w:rsid w:val="007A4FD7"/>
    <w:rsid w:val="007A5028"/>
    <w:rsid w:val="007A5593"/>
    <w:rsid w:val="007A725D"/>
    <w:rsid w:val="007A7C48"/>
    <w:rsid w:val="007B09F7"/>
    <w:rsid w:val="007B0F0B"/>
    <w:rsid w:val="007B1192"/>
    <w:rsid w:val="007B1305"/>
    <w:rsid w:val="007B1E87"/>
    <w:rsid w:val="007B45CA"/>
    <w:rsid w:val="007B4944"/>
    <w:rsid w:val="007B55E8"/>
    <w:rsid w:val="007B6BC1"/>
    <w:rsid w:val="007B717C"/>
    <w:rsid w:val="007C0174"/>
    <w:rsid w:val="007C0596"/>
    <w:rsid w:val="007C2B84"/>
    <w:rsid w:val="007C306D"/>
    <w:rsid w:val="007C3B5B"/>
    <w:rsid w:val="007C6B92"/>
    <w:rsid w:val="007C7719"/>
    <w:rsid w:val="007D0F98"/>
    <w:rsid w:val="007D11D6"/>
    <w:rsid w:val="007D153B"/>
    <w:rsid w:val="007D1AA4"/>
    <w:rsid w:val="007D276C"/>
    <w:rsid w:val="007D2AD5"/>
    <w:rsid w:val="007D50B7"/>
    <w:rsid w:val="007D5481"/>
    <w:rsid w:val="007D57BF"/>
    <w:rsid w:val="007D6AE7"/>
    <w:rsid w:val="007D6CFB"/>
    <w:rsid w:val="007E0767"/>
    <w:rsid w:val="007E1607"/>
    <w:rsid w:val="007E250B"/>
    <w:rsid w:val="007E2AEF"/>
    <w:rsid w:val="007E2C04"/>
    <w:rsid w:val="007E3339"/>
    <w:rsid w:val="007E574B"/>
    <w:rsid w:val="007E5750"/>
    <w:rsid w:val="007E6923"/>
    <w:rsid w:val="007F094C"/>
    <w:rsid w:val="007F1800"/>
    <w:rsid w:val="007F2667"/>
    <w:rsid w:val="007F67DB"/>
    <w:rsid w:val="007F7423"/>
    <w:rsid w:val="00801FB0"/>
    <w:rsid w:val="0080264C"/>
    <w:rsid w:val="00805791"/>
    <w:rsid w:val="008059AC"/>
    <w:rsid w:val="008065F4"/>
    <w:rsid w:val="00806E56"/>
    <w:rsid w:val="00807D1C"/>
    <w:rsid w:val="008100DC"/>
    <w:rsid w:val="00811638"/>
    <w:rsid w:val="00811AAC"/>
    <w:rsid w:val="00811DC7"/>
    <w:rsid w:val="008121A5"/>
    <w:rsid w:val="00813494"/>
    <w:rsid w:val="00814AE7"/>
    <w:rsid w:val="00815382"/>
    <w:rsid w:val="0081552D"/>
    <w:rsid w:val="00817D55"/>
    <w:rsid w:val="00820339"/>
    <w:rsid w:val="00821341"/>
    <w:rsid w:val="00821511"/>
    <w:rsid w:val="008220C7"/>
    <w:rsid w:val="00826389"/>
    <w:rsid w:val="00830296"/>
    <w:rsid w:val="00831A8E"/>
    <w:rsid w:val="008321D0"/>
    <w:rsid w:val="008323AA"/>
    <w:rsid w:val="00832756"/>
    <w:rsid w:val="00833B51"/>
    <w:rsid w:val="008400E5"/>
    <w:rsid w:val="008403EE"/>
    <w:rsid w:val="008405D8"/>
    <w:rsid w:val="00841251"/>
    <w:rsid w:val="00841793"/>
    <w:rsid w:val="00841F5E"/>
    <w:rsid w:val="008441D4"/>
    <w:rsid w:val="00844769"/>
    <w:rsid w:val="00844C1A"/>
    <w:rsid w:val="00844E31"/>
    <w:rsid w:val="008453D2"/>
    <w:rsid w:val="00845C96"/>
    <w:rsid w:val="00846BC9"/>
    <w:rsid w:val="0085028F"/>
    <w:rsid w:val="008504B5"/>
    <w:rsid w:val="00850C5B"/>
    <w:rsid w:val="00850F24"/>
    <w:rsid w:val="00851086"/>
    <w:rsid w:val="00851288"/>
    <w:rsid w:val="008525E3"/>
    <w:rsid w:val="00852D7A"/>
    <w:rsid w:val="008535C9"/>
    <w:rsid w:val="008540D9"/>
    <w:rsid w:val="00854CC7"/>
    <w:rsid w:val="00854FD1"/>
    <w:rsid w:val="00855C5D"/>
    <w:rsid w:val="0086065C"/>
    <w:rsid w:val="0086075B"/>
    <w:rsid w:val="00861991"/>
    <w:rsid w:val="00861B5B"/>
    <w:rsid w:val="00862429"/>
    <w:rsid w:val="008637D9"/>
    <w:rsid w:val="0086422A"/>
    <w:rsid w:val="008656E7"/>
    <w:rsid w:val="00865AD4"/>
    <w:rsid w:val="00865E7D"/>
    <w:rsid w:val="00865E87"/>
    <w:rsid w:val="00866084"/>
    <w:rsid w:val="0086608E"/>
    <w:rsid w:val="00867722"/>
    <w:rsid w:val="00867D4E"/>
    <w:rsid w:val="00872A9C"/>
    <w:rsid w:val="00875FF2"/>
    <w:rsid w:val="00876CC9"/>
    <w:rsid w:val="00876D8D"/>
    <w:rsid w:val="0087754C"/>
    <w:rsid w:val="00877B02"/>
    <w:rsid w:val="008813AB"/>
    <w:rsid w:val="0088174A"/>
    <w:rsid w:val="0088246A"/>
    <w:rsid w:val="00882E5C"/>
    <w:rsid w:val="008835B0"/>
    <w:rsid w:val="00883C7F"/>
    <w:rsid w:val="00884466"/>
    <w:rsid w:val="00884C49"/>
    <w:rsid w:val="00886363"/>
    <w:rsid w:val="008867EB"/>
    <w:rsid w:val="00887FE4"/>
    <w:rsid w:val="00890969"/>
    <w:rsid w:val="00891A0F"/>
    <w:rsid w:val="0089333C"/>
    <w:rsid w:val="008949C3"/>
    <w:rsid w:val="00894F98"/>
    <w:rsid w:val="00895ABA"/>
    <w:rsid w:val="00895F6F"/>
    <w:rsid w:val="0089611E"/>
    <w:rsid w:val="00897391"/>
    <w:rsid w:val="00897B37"/>
    <w:rsid w:val="008A0724"/>
    <w:rsid w:val="008A1353"/>
    <w:rsid w:val="008A180A"/>
    <w:rsid w:val="008A1ABB"/>
    <w:rsid w:val="008A3566"/>
    <w:rsid w:val="008A47D0"/>
    <w:rsid w:val="008A4A37"/>
    <w:rsid w:val="008A4DB8"/>
    <w:rsid w:val="008A62DE"/>
    <w:rsid w:val="008A6D22"/>
    <w:rsid w:val="008A705A"/>
    <w:rsid w:val="008A76FD"/>
    <w:rsid w:val="008A7823"/>
    <w:rsid w:val="008A7FC9"/>
    <w:rsid w:val="008B07B5"/>
    <w:rsid w:val="008B09D6"/>
    <w:rsid w:val="008B170C"/>
    <w:rsid w:val="008B2BAC"/>
    <w:rsid w:val="008B37FE"/>
    <w:rsid w:val="008B41C9"/>
    <w:rsid w:val="008B4482"/>
    <w:rsid w:val="008B453C"/>
    <w:rsid w:val="008B4E7B"/>
    <w:rsid w:val="008B5ADA"/>
    <w:rsid w:val="008B5D18"/>
    <w:rsid w:val="008B6772"/>
    <w:rsid w:val="008B7940"/>
    <w:rsid w:val="008C0044"/>
    <w:rsid w:val="008C08D9"/>
    <w:rsid w:val="008C16FA"/>
    <w:rsid w:val="008C249E"/>
    <w:rsid w:val="008C2A21"/>
    <w:rsid w:val="008C39E1"/>
    <w:rsid w:val="008C42DA"/>
    <w:rsid w:val="008C4DE4"/>
    <w:rsid w:val="008C5D23"/>
    <w:rsid w:val="008C5D52"/>
    <w:rsid w:val="008C64B5"/>
    <w:rsid w:val="008C792F"/>
    <w:rsid w:val="008D19C5"/>
    <w:rsid w:val="008D1C7B"/>
    <w:rsid w:val="008D2677"/>
    <w:rsid w:val="008D30DC"/>
    <w:rsid w:val="008D56F0"/>
    <w:rsid w:val="008D5B44"/>
    <w:rsid w:val="008D680C"/>
    <w:rsid w:val="008D6AB9"/>
    <w:rsid w:val="008D703D"/>
    <w:rsid w:val="008E0151"/>
    <w:rsid w:val="008E0C76"/>
    <w:rsid w:val="008E10F9"/>
    <w:rsid w:val="008E2336"/>
    <w:rsid w:val="008E284A"/>
    <w:rsid w:val="008E320E"/>
    <w:rsid w:val="008E3B75"/>
    <w:rsid w:val="008E3DD6"/>
    <w:rsid w:val="008E4CFF"/>
    <w:rsid w:val="008E725C"/>
    <w:rsid w:val="008E731E"/>
    <w:rsid w:val="008F0425"/>
    <w:rsid w:val="008F10E3"/>
    <w:rsid w:val="008F14AE"/>
    <w:rsid w:val="008F1A2F"/>
    <w:rsid w:val="008F2984"/>
    <w:rsid w:val="008F4205"/>
    <w:rsid w:val="008F4781"/>
    <w:rsid w:val="008F7311"/>
    <w:rsid w:val="008F7DA8"/>
    <w:rsid w:val="00900ECE"/>
    <w:rsid w:val="00901CA4"/>
    <w:rsid w:val="00903834"/>
    <w:rsid w:val="00903B17"/>
    <w:rsid w:val="00903DBF"/>
    <w:rsid w:val="00903E62"/>
    <w:rsid w:val="00904E6F"/>
    <w:rsid w:val="009059B9"/>
    <w:rsid w:val="00905EF1"/>
    <w:rsid w:val="009105BB"/>
    <w:rsid w:val="00910B00"/>
    <w:rsid w:val="009112D5"/>
    <w:rsid w:val="009118A4"/>
    <w:rsid w:val="00912202"/>
    <w:rsid w:val="0091313F"/>
    <w:rsid w:val="00913D32"/>
    <w:rsid w:val="00914549"/>
    <w:rsid w:val="009147A0"/>
    <w:rsid w:val="009157C5"/>
    <w:rsid w:val="00916365"/>
    <w:rsid w:val="009164D1"/>
    <w:rsid w:val="0091670C"/>
    <w:rsid w:val="0091711A"/>
    <w:rsid w:val="009174DF"/>
    <w:rsid w:val="00917F77"/>
    <w:rsid w:val="0092292E"/>
    <w:rsid w:val="00922BB1"/>
    <w:rsid w:val="00924646"/>
    <w:rsid w:val="009250ED"/>
    <w:rsid w:val="009259C2"/>
    <w:rsid w:val="00927390"/>
    <w:rsid w:val="009305DB"/>
    <w:rsid w:val="0093082A"/>
    <w:rsid w:val="00931483"/>
    <w:rsid w:val="009315B2"/>
    <w:rsid w:val="0093204A"/>
    <w:rsid w:val="00932372"/>
    <w:rsid w:val="00932E4E"/>
    <w:rsid w:val="009335D7"/>
    <w:rsid w:val="00935598"/>
    <w:rsid w:val="00936D08"/>
    <w:rsid w:val="00940BA2"/>
    <w:rsid w:val="00941D38"/>
    <w:rsid w:val="00942B85"/>
    <w:rsid w:val="00943019"/>
    <w:rsid w:val="009431DB"/>
    <w:rsid w:val="0094376A"/>
    <w:rsid w:val="0094411D"/>
    <w:rsid w:val="00944938"/>
    <w:rsid w:val="00944C5E"/>
    <w:rsid w:val="0094572A"/>
    <w:rsid w:val="0094602B"/>
    <w:rsid w:val="009468B5"/>
    <w:rsid w:val="0094785F"/>
    <w:rsid w:val="00947CE5"/>
    <w:rsid w:val="0095140B"/>
    <w:rsid w:val="00953AC8"/>
    <w:rsid w:val="00954EA7"/>
    <w:rsid w:val="0095537B"/>
    <w:rsid w:val="009555B9"/>
    <w:rsid w:val="00955648"/>
    <w:rsid w:val="0095642D"/>
    <w:rsid w:val="0095788D"/>
    <w:rsid w:val="00960ACF"/>
    <w:rsid w:val="00961584"/>
    <w:rsid w:val="00962492"/>
    <w:rsid w:val="009625E7"/>
    <w:rsid w:val="00964574"/>
    <w:rsid w:val="00964824"/>
    <w:rsid w:val="00964B48"/>
    <w:rsid w:val="00966594"/>
    <w:rsid w:val="00966AFE"/>
    <w:rsid w:val="00967B6B"/>
    <w:rsid w:val="00970A65"/>
    <w:rsid w:val="00972C11"/>
    <w:rsid w:val="009760C5"/>
    <w:rsid w:val="009766F4"/>
    <w:rsid w:val="00976BF5"/>
    <w:rsid w:val="00976BFD"/>
    <w:rsid w:val="00977817"/>
    <w:rsid w:val="00977CAE"/>
    <w:rsid w:val="00980C74"/>
    <w:rsid w:val="00981855"/>
    <w:rsid w:val="0098190D"/>
    <w:rsid w:val="00981FE2"/>
    <w:rsid w:val="00982052"/>
    <w:rsid w:val="00982410"/>
    <w:rsid w:val="009839B2"/>
    <w:rsid w:val="00983BD8"/>
    <w:rsid w:val="0098466E"/>
    <w:rsid w:val="00985274"/>
    <w:rsid w:val="00990E56"/>
    <w:rsid w:val="00991F32"/>
    <w:rsid w:val="0099200E"/>
    <w:rsid w:val="00993CC5"/>
    <w:rsid w:val="00994DBB"/>
    <w:rsid w:val="00995758"/>
    <w:rsid w:val="00995AE9"/>
    <w:rsid w:val="00995B57"/>
    <w:rsid w:val="00995D54"/>
    <w:rsid w:val="00995FBC"/>
    <w:rsid w:val="00997425"/>
    <w:rsid w:val="009978B9"/>
    <w:rsid w:val="00997AFF"/>
    <w:rsid w:val="00997F37"/>
    <w:rsid w:val="009A2CE3"/>
    <w:rsid w:val="009A34A4"/>
    <w:rsid w:val="009A3547"/>
    <w:rsid w:val="009A38A7"/>
    <w:rsid w:val="009A40DC"/>
    <w:rsid w:val="009A485D"/>
    <w:rsid w:val="009A5344"/>
    <w:rsid w:val="009A5A51"/>
    <w:rsid w:val="009A5B76"/>
    <w:rsid w:val="009A608D"/>
    <w:rsid w:val="009A6952"/>
    <w:rsid w:val="009A7765"/>
    <w:rsid w:val="009B07BB"/>
    <w:rsid w:val="009B11C3"/>
    <w:rsid w:val="009B1937"/>
    <w:rsid w:val="009B62DE"/>
    <w:rsid w:val="009B69E2"/>
    <w:rsid w:val="009B6CDF"/>
    <w:rsid w:val="009B6D8C"/>
    <w:rsid w:val="009B76DA"/>
    <w:rsid w:val="009C0672"/>
    <w:rsid w:val="009C1001"/>
    <w:rsid w:val="009C134A"/>
    <w:rsid w:val="009C13E5"/>
    <w:rsid w:val="009C17F5"/>
    <w:rsid w:val="009C2BFA"/>
    <w:rsid w:val="009C31D8"/>
    <w:rsid w:val="009C31E5"/>
    <w:rsid w:val="009C4062"/>
    <w:rsid w:val="009C40AE"/>
    <w:rsid w:val="009C4446"/>
    <w:rsid w:val="009C5725"/>
    <w:rsid w:val="009C7076"/>
    <w:rsid w:val="009C7121"/>
    <w:rsid w:val="009C7271"/>
    <w:rsid w:val="009C73FF"/>
    <w:rsid w:val="009C7817"/>
    <w:rsid w:val="009D2212"/>
    <w:rsid w:val="009D361D"/>
    <w:rsid w:val="009D42A2"/>
    <w:rsid w:val="009D4563"/>
    <w:rsid w:val="009D4D05"/>
    <w:rsid w:val="009D523A"/>
    <w:rsid w:val="009D58E7"/>
    <w:rsid w:val="009D5A2E"/>
    <w:rsid w:val="009E0D63"/>
    <w:rsid w:val="009E2852"/>
    <w:rsid w:val="009E480D"/>
    <w:rsid w:val="009E5649"/>
    <w:rsid w:val="009E5D75"/>
    <w:rsid w:val="009E62C6"/>
    <w:rsid w:val="009E6743"/>
    <w:rsid w:val="009E69BF"/>
    <w:rsid w:val="009E6C29"/>
    <w:rsid w:val="009E715C"/>
    <w:rsid w:val="009E756D"/>
    <w:rsid w:val="009E7C89"/>
    <w:rsid w:val="009F108B"/>
    <w:rsid w:val="009F11EC"/>
    <w:rsid w:val="009F2901"/>
    <w:rsid w:val="009F29B1"/>
    <w:rsid w:val="009F33C2"/>
    <w:rsid w:val="009F3544"/>
    <w:rsid w:val="009F385E"/>
    <w:rsid w:val="009F45A2"/>
    <w:rsid w:val="009F48D5"/>
    <w:rsid w:val="009F5E06"/>
    <w:rsid w:val="009F7B4E"/>
    <w:rsid w:val="009F7C3C"/>
    <w:rsid w:val="00A01047"/>
    <w:rsid w:val="00A032C9"/>
    <w:rsid w:val="00A0412D"/>
    <w:rsid w:val="00A041C1"/>
    <w:rsid w:val="00A045AA"/>
    <w:rsid w:val="00A06422"/>
    <w:rsid w:val="00A064A6"/>
    <w:rsid w:val="00A06FEE"/>
    <w:rsid w:val="00A107AF"/>
    <w:rsid w:val="00A11D29"/>
    <w:rsid w:val="00A11DA8"/>
    <w:rsid w:val="00A127AB"/>
    <w:rsid w:val="00A127D3"/>
    <w:rsid w:val="00A136BB"/>
    <w:rsid w:val="00A152DB"/>
    <w:rsid w:val="00A15820"/>
    <w:rsid w:val="00A15916"/>
    <w:rsid w:val="00A1651E"/>
    <w:rsid w:val="00A16BE0"/>
    <w:rsid w:val="00A16D35"/>
    <w:rsid w:val="00A20844"/>
    <w:rsid w:val="00A2183B"/>
    <w:rsid w:val="00A219A4"/>
    <w:rsid w:val="00A21FA3"/>
    <w:rsid w:val="00A22176"/>
    <w:rsid w:val="00A23043"/>
    <w:rsid w:val="00A238DD"/>
    <w:rsid w:val="00A24040"/>
    <w:rsid w:val="00A2470A"/>
    <w:rsid w:val="00A2490D"/>
    <w:rsid w:val="00A24BB3"/>
    <w:rsid w:val="00A250CD"/>
    <w:rsid w:val="00A25328"/>
    <w:rsid w:val="00A25844"/>
    <w:rsid w:val="00A265A2"/>
    <w:rsid w:val="00A26E0C"/>
    <w:rsid w:val="00A270F8"/>
    <w:rsid w:val="00A30134"/>
    <w:rsid w:val="00A30C7E"/>
    <w:rsid w:val="00A311C2"/>
    <w:rsid w:val="00A31286"/>
    <w:rsid w:val="00A31CF9"/>
    <w:rsid w:val="00A33B08"/>
    <w:rsid w:val="00A343A5"/>
    <w:rsid w:val="00A3685A"/>
    <w:rsid w:val="00A3715B"/>
    <w:rsid w:val="00A40FBE"/>
    <w:rsid w:val="00A4147C"/>
    <w:rsid w:val="00A429B3"/>
    <w:rsid w:val="00A4374B"/>
    <w:rsid w:val="00A469D3"/>
    <w:rsid w:val="00A46F87"/>
    <w:rsid w:val="00A4771A"/>
    <w:rsid w:val="00A50C3A"/>
    <w:rsid w:val="00A5278D"/>
    <w:rsid w:val="00A529AB"/>
    <w:rsid w:val="00A56E8B"/>
    <w:rsid w:val="00A60166"/>
    <w:rsid w:val="00A60379"/>
    <w:rsid w:val="00A6059F"/>
    <w:rsid w:val="00A606CF"/>
    <w:rsid w:val="00A60E94"/>
    <w:rsid w:val="00A61779"/>
    <w:rsid w:val="00A62554"/>
    <w:rsid w:val="00A66515"/>
    <w:rsid w:val="00A66A4E"/>
    <w:rsid w:val="00A66D86"/>
    <w:rsid w:val="00A66E1B"/>
    <w:rsid w:val="00A70CCD"/>
    <w:rsid w:val="00A70EF5"/>
    <w:rsid w:val="00A7122B"/>
    <w:rsid w:val="00A71716"/>
    <w:rsid w:val="00A71EFE"/>
    <w:rsid w:val="00A72D9F"/>
    <w:rsid w:val="00A73E40"/>
    <w:rsid w:val="00A73E64"/>
    <w:rsid w:val="00A74AFC"/>
    <w:rsid w:val="00A81CC8"/>
    <w:rsid w:val="00A81E86"/>
    <w:rsid w:val="00A8232C"/>
    <w:rsid w:val="00A84D76"/>
    <w:rsid w:val="00A863A0"/>
    <w:rsid w:val="00A86760"/>
    <w:rsid w:val="00A8684E"/>
    <w:rsid w:val="00A8774A"/>
    <w:rsid w:val="00A900BC"/>
    <w:rsid w:val="00A90B5D"/>
    <w:rsid w:val="00A91332"/>
    <w:rsid w:val="00A91E60"/>
    <w:rsid w:val="00A92089"/>
    <w:rsid w:val="00A960CD"/>
    <w:rsid w:val="00A96CD2"/>
    <w:rsid w:val="00A9733B"/>
    <w:rsid w:val="00AA1231"/>
    <w:rsid w:val="00AA174B"/>
    <w:rsid w:val="00AA2AF7"/>
    <w:rsid w:val="00AA3667"/>
    <w:rsid w:val="00AA3880"/>
    <w:rsid w:val="00AA3B05"/>
    <w:rsid w:val="00AA48CA"/>
    <w:rsid w:val="00AA6A81"/>
    <w:rsid w:val="00AA6D03"/>
    <w:rsid w:val="00AA73A4"/>
    <w:rsid w:val="00AA745B"/>
    <w:rsid w:val="00AA795E"/>
    <w:rsid w:val="00AA7B42"/>
    <w:rsid w:val="00AA7CAA"/>
    <w:rsid w:val="00AB2E0C"/>
    <w:rsid w:val="00AB348C"/>
    <w:rsid w:val="00AB4554"/>
    <w:rsid w:val="00AB496C"/>
    <w:rsid w:val="00AB5464"/>
    <w:rsid w:val="00AB67E8"/>
    <w:rsid w:val="00AB6CF4"/>
    <w:rsid w:val="00AB7AB9"/>
    <w:rsid w:val="00AB7DAD"/>
    <w:rsid w:val="00AC04C0"/>
    <w:rsid w:val="00AC1155"/>
    <w:rsid w:val="00AC25F1"/>
    <w:rsid w:val="00AC44C3"/>
    <w:rsid w:val="00AC4887"/>
    <w:rsid w:val="00AC4B69"/>
    <w:rsid w:val="00AC5EA5"/>
    <w:rsid w:val="00AC603E"/>
    <w:rsid w:val="00AC611B"/>
    <w:rsid w:val="00AC62B4"/>
    <w:rsid w:val="00AC72B5"/>
    <w:rsid w:val="00AD06E3"/>
    <w:rsid w:val="00AD0933"/>
    <w:rsid w:val="00AD2206"/>
    <w:rsid w:val="00AD24F3"/>
    <w:rsid w:val="00AD2E6C"/>
    <w:rsid w:val="00AD3751"/>
    <w:rsid w:val="00AD48BB"/>
    <w:rsid w:val="00AD610A"/>
    <w:rsid w:val="00AE02A7"/>
    <w:rsid w:val="00AE0740"/>
    <w:rsid w:val="00AE189E"/>
    <w:rsid w:val="00AE3DBB"/>
    <w:rsid w:val="00AE7959"/>
    <w:rsid w:val="00AF0321"/>
    <w:rsid w:val="00AF0545"/>
    <w:rsid w:val="00AF096C"/>
    <w:rsid w:val="00AF122A"/>
    <w:rsid w:val="00AF1BF2"/>
    <w:rsid w:val="00AF213E"/>
    <w:rsid w:val="00B000BE"/>
    <w:rsid w:val="00B00781"/>
    <w:rsid w:val="00B00BB4"/>
    <w:rsid w:val="00B01117"/>
    <w:rsid w:val="00B01CB5"/>
    <w:rsid w:val="00B022EC"/>
    <w:rsid w:val="00B023D9"/>
    <w:rsid w:val="00B02C9E"/>
    <w:rsid w:val="00B0306F"/>
    <w:rsid w:val="00B03A85"/>
    <w:rsid w:val="00B04655"/>
    <w:rsid w:val="00B04A06"/>
    <w:rsid w:val="00B04DDB"/>
    <w:rsid w:val="00B10864"/>
    <w:rsid w:val="00B11994"/>
    <w:rsid w:val="00B11C13"/>
    <w:rsid w:val="00B11F80"/>
    <w:rsid w:val="00B134C1"/>
    <w:rsid w:val="00B14E89"/>
    <w:rsid w:val="00B15A6C"/>
    <w:rsid w:val="00B15DD1"/>
    <w:rsid w:val="00B176FD"/>
    <w:rsid w:val="00B2005E"/>
    <w:rsid w:val="00B21CE9"/>
    <w:rsid w:val="00B23C6F"/>
    <w:rsid w:val="00B242B8"/>
    <w:rsid w:val="00B260D7"/>
    <w:rsid w:val="00B2655F"/>
    <w:rsid w:val="00B30F06"/>
    <w:rsid w:val="00B324BD"/>
    <w:rsid w:val="00B325F4"/>
    <w:rsid w:val="00B326CD"/>
    <w:rsid w:val="00B331F4"/>
    <w:rsid w:val="00B33BD4"/>
    <w:rsid w:val="00B35F5B"/>
    <w:rsid w:val="00B36705"/>
    <w:rsid w:val="00B36DC0"/>
    <w:rsid w:val="00B42423"/>
    <w:rsid w:val="00B4412B"/>
    <w:rsid w:val="00B45465"/>
    <w:rsid w:val="00B45B86"/>
    <w:rsid w:val="00B4797D"/>
    <w:rsid w:val="00B508F9"/>
    <w:rsid w:val="00B5109B"/>
    <w:rsid w:val="00B518EB"/>
    <w:rsid w:val="00B52403"/>
    <w:rsid w:val="00B52D18"/>
    <w:rsid w:val="00B54262"/>
    <w:rsid w:val="00B548E2"/>
    <w:rsid w:val="00B57089"/>
    <w:rsid w:val="00B57DCF"/>
    <w:rsid w:val="00B6037C"/>
    <w:rsid w:val="00B60B19"/>
    <w:rsid w:val="00B63046"/>
    <w:rsid w:val="00B6347C"/>
    <w:rsid w:val="00B63CCD"/>
    <w:rsid w:val="00B6459C"/>
    <w:rsid w:val="00B64B69"/>
    <w:rsid w:val="00B64D50"/>
    <w:rsid w:val="00B65178"/>
    <w:rsid w:val="00B67F11"/>
    <w:rsid w:val="00B70475"/>
    <w:rsid w:val="00B713DB"/>
    <w:rsid w:val="00B71594"/>
    <w:rsid w:val="00B72C2C"/>
    <w:rsid w:val="00B73D4C"/>
    <w:rsid w:val="00B748EB"/>
    <w:rsid w:val="00B74927"/>
    <w:rsid w:val="00B74F38"/>
    <w:rsid w:val="00B75176"/>
    <w:rsid w:val="00B7768D"/>
    <w:rsid w:val="00B80400"/>
    <w:rsid w:val="00B82AF9"/>
    <w:rsid w:val="00B83B64"/>
    <w:rsid w:val="00B841B1"/>
    <w:rsid w:val="00B848FA"/>
    <w:rsid w:val="00B85084"/>
    <w:rsid w:val="00B86534"/>
    <w:rsid w:val="00B86735"/>
    <w:rsid w:val="00B86797"/>
    <w:rsid w:val="00B86E7E"/>
    <w:rsid w:val="00B871D7"/>
    <w:rsid w:val="00B87E70"/>
    <w:rsid w:val="00B901FE"/>
    <w:rsid w:val="00B90615"/>
    <w:rsid w:val="00B9069A"/>
    <w:rsid w:val="00B90E1D"/>
    <w:rsid w:val="00B91A94"/>
    <w:rsid w:val="00B91F37"/>
    <w:rsid w:val="00B921AA"/>
    <w:rsid w:val="00B93DE1"/>
    <w:rsid w:val="00B949A7"/>
    <w:rsid w:val="00B960BF"/>
    <w:rsid w:val="00B973C9"/>
    <w:rsid w:val="00B978BE"/>
    <w:rsid w:val="00B97B3F"/>
    <w:rsid w:val="00BA0343"/>
    <w:rsid w:val="00BA15CD"/>
    <w:rsid w:val="00BA15E3"/>
    <w:rsid w:val="00BA36B1"/>
    <w:rsid w:val="00BA3DD6"/>
    <w:rsid w:val="00BA49D0"/>
    <w:rsid w:val="00BA5E2C"/>
    <w:rsid w:val="00BA6AE5"/>
    <w:rsid w:val="00BA6ED4"/>
    <w:rsid w:val="00BA79D9"/>
    <w:rsid w:val="00BB000E"/>
    <w:rsid w:val="00BB076D"/>
    <w:rsid w:val="00BB12A4"/>
    <w:rsid w:val="00BB1396"/>
    <w:rsid w:val="00BB3CC7"/>
    <w:rsid w:val="00BB3F9C"/>
    <w:rsid w:val="00BB4F8E"/>
    <w:rsid w:val="00BB515A"/>
    <w:rsid w:val="00BB5302"/>
    <w:rsid w:val="00BB5573"/>
    <w:rsid w:val="00BB5649"/>
    <w:rsid w:val="00BB6C6D"/>
    <w:rsid w:val="00BB74AC"/>
    <w:rsid w:val="00BB7576"/>
    <w:rsid w:val="00BC0683"/>
    <w:rsid w:val="00BC1F0A"/>
    <w:rsid w:val="00BC2562"/>
    <w:rsid w:val="00BC3468"/>
    <w:rsid w:val="00BC37EE"/>
    <w:rsid w:val="00BC40E8"/>
    <w:rsid w:val="00BC4D7E"/>
    <w:rsid w:val="00BC59DF"/>
    <w:rsid w:val="00BC748F"/>
    <w:rsid w:val="00BD21E4"/>
    <w:rsid w:val="00BD2CC8"/>
    <w:rsid w:val="00BD32AD"/>
    <w:rsid w:val="00BD5019"/>
    <w:rsid w:val="00BD6543"/>
    <w:rsid w:val="00BD6FFF"/>
    <w:rsid w:val="00BE10B9"/>
    <w:rsid w:val="00BE18A5"/>
    <w:rsid w:val="00BE1F5D"/>
    <w:rsid w:val="00BE2144"/>
    <w:rsid w:val="00BE2356"/>
    <w:rsid w:val="00BE239D"/>
    <w:rsid w:val="00BE266D"/>
    <w:rsid w:val="00BE33C8"/>
    <w:rsid w:val="00BE46E2"/>
    <w:rsid w:val="00BE590A"/>
    <w:rsid w:val="00BE61F0"/>
    <w:rsid w:val="00BE6894"/>
    <w:rsid w:val="00BE7BD0"/>
    <w:rsid w:val="00BE7E07"/>
    <w:rsid w:val="00BF08C3"/>
    <w:rsid w:val="00BF0920"/>
    <w:rsid w:val="00BF1CB1"/>
    <w:rsid w:val="00BF1CE7"/>
    <w:rsid w:val="00BF39D4"/>
    <w:rsid w:val="00BF3BEE"/>
    <w:rsid w:val="00BF3F82"/>
    <w:rsid w:val="00BF5B09"/>
    <w:rsid w:val="00BF7326"/>
    <w:rsid w:val="00BF7690"/>
    <w:rsid w:val="00C0117E"/>
    <w:rsid w:val="00C01B00"/>
    <w:rsid w:val="00C0314A"/>
    <w:rsid w:val="00C03960"/>
    <w:rsid w:val="00C040E8"/>
    <w:rsid w:val="00C05380"/>
    <w:rsid w:val="00C071D5"/>
    <w:rsid w:val="00C1333C"/>
    <w:rsid w:val="00C13383"/>
    <w:rsid w:val="00C138B9"/>
    <w:rsid w:val="00C139DD"/>
    <w:rsid w:val="00C14871"/>
    <w:rsid w:val="00C1763C"/>
    <w:rsid w:val="00C214A0"/>
    <w:rsid w:val="00C2165E"/>
    <w:rsid w:val="00C22C89"/>
    <w:rsid w:val="00C24491"/>
    <w:rsid w:val="00C247F2"/>
    <w:rsid w:val="00C24D6A"/>
    <w:rsid w:val="00C2583C"/>
    <w:rsid w:val="00C2798C"/>
    <w:rsid w:val="00C3200A"/>
    <w:rsid w:val="00C34B4F"/>
    <w:rsid w:val="00C4007D"/>
    <w:rsid w:val="00C409BE"/>
    <w:rsid w:val="00C41170"/>
    <w:rsid w:val="00C4142C"/>
    <w:rsid w:val="00C4292D"/>
    <w:rsid w:val="00C44D41"/>
    <w:rsid w:val="00C45A45"/>
    <w:rsid w:val="00C45D90"/>
    <w:rsid w:val="00C46DC5"/>
    <w:rsid w:val="00C47A9D"/>
    <w:rsid w:val="00C47C37"/>
    <w:rsid w:val="00C50508"/>
    <w:rsid w:val="00C50AC7"/>
    <w:rsid w:val="00C51094"/>
    <w:rsid w:val="00C52A39"/>
    <w:rsid w:val="00C536C6"/>
    <w:rsid w:val="00C5662D"/>
    <w:rsid w:val="00C56C17"/>
    <w:rsid w:val="00C5757F"/>
    <w:rsid w:val="00C57D24"/>
    <w:rsid w:val="00C622A4"/>
    <w:rsid w:val="00C6237A"/>
    <w:rsid w:val="00C62485"/>
    <w:rsid w:val="00C62837"/>
    <w:rsid w:val="00C6450B"/>
    <w:rsid w:val="00C648C6"/>
    <w:rsid w:val="00C651AB"/>
    <w:rsid w:val="00C673AC"/>
    <w:rsid w:val="00C67A63"/>
    <w:rsid w:val="00C73783"/>
    <w:rsid w:val="00C746D8"/>
    <w:rsid w:val="00C747B5"/>
    <w:rsid w:val="00C7488A"/>
    <w:rsid w:val="00C749D7"/>
    <w:rsid w:val="00C74D8D"/>
    <w:rsid w:val="00C76B9C"/>
    <w:rsid w:val="00C810FB"/>
    <w:rsid w:val="00C8196A"/>
    <w:rsid w:val="00C81C15"/>
    <w:rsid w:val="00C81C22"/>
    <w:rsid w:val="00C81CE4"/>
    <w:rsid w:val="00C82077"/>
    <w:rsid w:val="00C82A82"/>
    <w:rsid w:val="00C83353"/>
    <w:rsid w:val="00C83CD6"/>
    <w:rsid w:val="00C849F7"/>
    <w:rsid w:val="00C864ED"/>
    <w:rsid w:val="00C90816"/>
    <w:rsid w:val="00C90FA2"/>
    <w:rsid w:val="00C920BD"/>
    <w:rsid w:val="00C930FA"/>
    <w:rsid w:val="00C93CB2"/>
    <w:rsid w:val="00C946A9"/>
    <w:rsid w:val="00C94B60"/>
    <w:rsid w:val="00C95148"/>
    <w:rsid w:val="00C960F8"/>
    <w:rsid w:val="00C971DE"/>
    <w:rsid w:val="00C97723"/>
    <w:rsid w:val="00CA1D74"/>
    <w:rsid w:val="00CA1FFC"/>
    <w:rsid w:val="00CA24E3"/>
    <w:rsid w:val="00CA6471"/>
    <w:rsid w:val="00CA6B34"/>
    <w:rsid w:val="00CA73BC"/>
    <w:rsid w:val="00CA7F45"/>
    <w:rsid w:val="00CB0678"/>
    <w:rsid w:val="00CB176A"/>
    <w:rsid w:val="00CB1CB6"/>
    <w:rsid w:val="00CB2F97"/>
    <w:rsid w:val="00CB3552"/>
    <w:rsid w:val="00CB38F4"/>
    <w:rsid w:val="00CB4AFD"/>
    <w:rsid w:val="00CB5665"/>
    <w:rsid w:val="00CB5AC8"/>
    <w:rsid w:val="00CB6E83"/>
    <w:rsid w:val="00CB77C1"/>
    <w:rsid w:val="00CC05FF"/>
    <w:rsid w:val="00CC0E68"/>
    <w:rsid w:val="00CC1B89"/>
    <w:rsid w:val="00CC2514"/>
    <w:rsid w:val="00CC27EA"/>
    <w:rsid w:val="00CC2B56"/>
    <w:rsid w:val="00CC3E1F"/>
    <w:rsid w:val="00CC44F1"/>
    <w:rsid w:val="00CC5CB4"/>
    <w:rsid w:val="00CC5DBD"/>
    <w:rsid w:val="00CC6326"/>
    <w:rsid w:val="00CC6CF7"/>
    <w:rsid w:val="00CC7ACF"/>
    <w:rsid w:val="00CD0091"/>
    <w:rsid w:val="00CD0D49"/>
    <w:rsid w:val="00CD148B"/>
    <w:rsid w:val="00CD30C4"/>
    <w:rsid w:val="00CD3139"/>
    <w:rsid w:val="00CE0D92"/>
    <w:rsid w:val="00CE1BF3"/>
    <w:rsid w:val="00CE25C7"/>
    <w:rsid w:val="00CE265A"/>
    <w:rsid w:val="00CE347E"/>
    <w:rsid w:val="00CE3541"/>
    <w:rsid w:val="00CE55BF"/>
    <w:rsid w:val="00CE5A12"/>
    <w:rsid w:val="00CE614C"/>
    <w:rsid w:val="00CE63C4"/>
    <w:rsid w:val="00CF2998"/>
    <w:rsid w:val="00CF429F"/>
    <w:rsid w:val="00CF5650"/>
    <w:rsid w:val="00CF6E72"/>
    <w:rsid w:val="00CF773F"/>
    <w:rsid w:val="00CF7C68"/>
    <w:rsid w:val="00D002D4"/>
    <w:rsid w:val="00D00365"/>
    <w:rsid w:val="00D019E4"/>
    <w:rsid w:val="00D0310F"/>
    <w:rsid w:val="00D036C9"/>
    <w:rsid w:val="00D04B5A"/>
    <w:rsid w:val="00D05881"/>
    <w:rsid w:val="00D0594F"/>
    <w:rsid w:val="00D05BD4"/>
    <w:rsid w:val="00D05E9E"/>
    <w:rsid w:val="00D0749C"/>
    <w:rsid w:val="00D10363"/>
    <w:rsid w:val="00D10755"/>
    <w:rsid w:val="00D12350"/>
    <w:rsid w:val="00D13A18"/>
    <w:rsid w:val="00D13F95"/>
    <w:rsid w:val="00D1436A"/>
    <w:rsid w:val="00D1475F"/>
    <w:rsid w:val="00D14A93"/>
    <w:rsid w:val="00D14BA0"/>
    <w:rsid w:val="00D154AE"/>
    <w:rsid w:val="00D15E8A"/>
    <w:rsid w:val="00D170E4"/>
    <w:rsid w:val="00D1716D"/>
    <w:rsid w:val="00D1745F"/>
    <w:rsid w:val="00D17BAD"/>
    <w:rsid w:val="00D20136"/>
    <w:rsid w:val="00D206F1"/>
    <w:rsid w:val="00D20757"/>
    <w:rsid w:val="00D210A4"/>
    <w:rsid w:val="00D21444"/>
    <w:rsid w:val="00D22F15"/>
    <w:rsid w:val="00D23A03"/>
    <w:rsid w:val="00D23F7B"/>
    <w:rsid w:val="00D24308"/>
    <w:rsid w:val="00D264C3"/>
    <w:rsid w:val="00D3011C"/>
    <w:rsid w:val="00D30483"/>
    <w:rsid w:val="00D307C9"/>
    <w:rsid w:val="00D30DCF"/>
    <w:rsid w:val="00D31F31"/>
    <w:rsid w:val="00D3206B"/>
    <w:rsid w:val="00D32D01"/>
    <w:rsid w:val="00D32E30"/>
    <w:rsid w:val="00D3381D"/>
    <w:rsid w:val="00D33843"/>
    <w:rsid w:val="00D339BF"/>
    <w:rsid w:val="00D3411D"/>
    <w:rsid w:val="00D343B9"/>
    <w:rsid w:val="00D3624D"/>
    <w:rsid w:val="00D36A2A"/>
    <w:rsid w:val="00D37AD2"/>
    <w:rsid w:val="00D37B98"/>
    <w:rsid w:val="00D426AD"/>
    <w:rsid w:val="00D42775"/>
    <w:rsid w:val="00D429AE"/>
    <w:rsid w:val="00D44594"/>
    <w:rsid w:val="00D44A26"/>
    <w:rsid w:val="00D46CC5"/>
    <w:rsid w:val="00D50222"/>
    <w:rsid w:val="00D50DC3"/>
    <w:rsid w:val="00D5361E"/>
    <w:rsid w:val="00D539DB"/>
    <w:rsid w:val="00D53C62"/>
    <w:rsid w:val="00D53E3B"/>
    <w:rsid w:val="00D541E7"/>
    <w:rsid w:val="00D557BA"/>
    <w:rsid w:val="00D55C8D"/>
    <w:rsid w:val="00D55D7C"/>
    <w:rsid w:val="00D57999"/>
    <w:rsid w:val="00D600BE"/>
    <w:rsid w:val="00D6022B"/>
    <w:rsid w:val="00D62771"/>
    <w:rsid w:val="00D63059"/>
    <w:rsid w:val="00D67B2E"/>
    <w:rsid w:val="00D67E65"/>
    <w:rsid w:val="00D702C0"/>
    <w:rsid w:val="00D71080"/>
    <w:rsid w:val="00D71154"/>
    <w:rsid w:val="00D71B98"/>
    <w:rsid w:val="00D7233D"/>
    <w:rsid w:val="00D747A6"/>
    <w:rsid w:val="00D752CB"/>
    <w:rsid w:val="00D76336"/>
    <w:rsid w:val="00D77EF0"/>
    <w:rsid w:val="00D83BA1"/>
    <w:rsid w:val="00D849EE"/>
    <w:rsid w:val="00D8540F"/>
    <w:rsid w:val="00D854D7"/>
    <w:rsid w:val="00D85759"/>
    <w:rsid w:val="00D864BC"/>
    <w:rsid w:val="00D8659F"/>
    <w:rsid w:val="00D868B1"/>
    <w:rsid w:val="00D90602"/>
    <w:rsid w:val="00D91212"/>
    <w:rsid w:val="00D91773"/>
    <w:rsid w:val="00D91BC8"/>
    <w:rsid w:val="00D9439C"/>
    <w:rsid w:val="00D94702"/>
    <w:rsid w:val="00D9514E"/>
    <w:rsid w:val="00D95182"/>
    <w:rsid w:val="00D96BA6"/>
    <w:rsid w:val="00DA0E7C"/>
    <w:rsid w:val="00DA1FCD"/>
    <w:rsid w:val="00DA37FA"/>
    <w:rsid w:val="00DA4B35"/>
    <w:rsid w:val="00DA4E74"/>
    <w:rsid w:val="00DA5BF6"/>
    <w:rsid w:val="00DA647E"/>
    <w:rsid w:val="00DA7C8A"/>
    <w:rsid w:val="00DB0CFD"/>
    <w:rsid w:val="00DB1AAF"/>
    <w:rsid w:val="00DB2324"/>
    <w:rsid w:val="00DB376C"/>
    <w:rsid w:val="00DB3AAC"/>
    <w:rsid w:val="00DB73CB"/>
    <w:rsid w:val="00DC02C5"/>
    <w:rsid w:val="00DC0518"/>
    <w:rsid w:val="00DC1EF2"/>
    <w:rsid w:val="00DC1F96"/>
    <w:rsid w:val="00DC2044"/>
    <w:rsid w:val="00DC2710"/>
    <w:rsid w:val="00DC57DB"/>
    <w:rsid w:val="00DC77A2"/>
    <w:rsid w:val="00DC7A7B"/>
    <w:rsid w:val="00DD003E"/>
    <w:rsid w:val="00DD053B"/>
    <w:rsid w:val="00DD0B4F"/>
    <w:rsid w:val="00DD0E35"/>
    <w:rsid w:val="00DD19B1"/>
    <w:rsid w:val="00DD202A"/>
    <w:rsid w:val="00DD2445"/>
    <w:rsid w:val="00DD2ADB"/>
    <w:rsid w:val="00DD3509"/>
    <w:rsid w:val="00DE061D"/>
    <w:rsid w:val="00DE0735"/>
    <w:rsid w:val="00DE19EA"/>
    <w:rsid w:val="00DE1CB2"/>
    <w:rsid w:val="00DE222B"/>
    <w:rsid w:val="00DE4BDB"/>
    <w:rsid w:val="00DE4FC5"/>
    <w:rsid w:val="00DE59A6"/>
    <w:rsid w:val="00DE658D"/>
    <w:rsid w:val="00DE6C82"/>
    <w:rsid w:val="00DE770B"/>
    <w:rsid w:val="00DF0E87"/>
    <w:rsid w:val="00DF1BD9"/>
    <w:rsid w:val="00DF2B65"/>
    <w:rsid w:val="00DF3111"/>
    <w:rsid w:val="00DF35D6"/>
    <w:rsid w:val="00DF3B4C"/>
    <w:rsid w:val="00DF4330"/>
    <w:rsid w:val="00DF483A"/>
    <w:rsid w:val="00DF4F75"/>
    <w:rsid w:val="00DF5A17"/>
    <w:rsid w:val="00DF683E"/>
    <w:rsid w:val="00DF7006"/>
    <w:rsid w:val="00E006E2"/>
    <w:rsid w:val="00E01280"/>
    <w:rsid w:val="00E02289"/>
    <w:rsid w:val="00E03B42"/>
    <w:rsid w:val="00E03DB4"/>
    <w:rsid w:val="00E03E22"/>
    <w:rsid w:val="00E04596"/>
    <w:rsid w:val="00E04B3E"/>
    <w:rsid w:val="00E064EB"/>
    <w:rsid w:val="00E0689D"/>
    <w:rsid w:val="00E07B09"/>
    <w:rsid w:val="00E11464"/>
    <w:rsid w:val="00E11C69"/>
    <w:rsid w:val="00E127B5"/>
    <w:rsid w:val="00E1303D"/>
    <w:rsid w:val="00E141D5"/>
    <w:rsid w:val="00E151AD"/>
    <w:rsid w:val="00E15AD4"/>
    <w:rsid w:val="00E16443"/>
    <w:rsid w:val="00E201D3"/>
    <w:rsid w:val="00E202FA"/>
    <w:rsid w:val="00E20B59"/>
    <w:rsid w:val="00E2156C"/>
    <w:rsid w:val="00E218CA"/>
    <w:rsid w:val="00E224B1"/>
    <w:rsid w:val="00E226CD"/>
    <w:rsid w:val="00E228AB"/>
    <w:rsid w:val="00E23370"/>
    <w:rsid w:val="00E2458E"/>
    <w:rsid w:val="00E253D5"/>
    <w:rsid w:val="00E25645"/>
    <w:rsid w:val="00E31818"/>
    <w:rsid w:val="00E3317D"/>
    <w:rsid w:val="00E33916"/>
    <w:rsid w:val="00E33ACF"/>
    <w:rsid w:val="00E361D2"/>
    <w:rsid w:val="00E371B7"/>
    <w:rsid w:val="00E37474"/>
    <w:rsid w:val="00E4054A"/>
    <w:rsid w:val="00E4096D"/>
    <w:rsid w:val="00E40ADE"/>
    <w:rsid w:val="00E419B5"/>
    <w:rsid w:val="00E41FF2"/>
    <w:rsid w:val="00E4225A"/>
    <w:rsid w:val="00E42570"/>
    <w:rsid w:val="00E445EB"/>
    <w:rsid w:val="00E4482D"/>
    <w:rsid w:val="00E4570B"/>
    <w:rsid w:val="00E45AFB"/>
    <w:rsid w:val="00E463A9"/>
    <w:rsid w:val="00E47181"/>
    <w:rsid w:val="00E50C9B"/>
    <w:rsid w:val="00E51B2D"/>
    <w:rsid w:val="00E53EA8"/>
    <w:rsid w:val="00E55240"/>
    <w:rsid w:val="00E56206"/>
    <w:rsid w:val="00E570C9"/>
    <w:rsid w:val="00E57389"/>
    <w:rsid w:val="00E57A14"/>
    <w:rsid w:val="00E62115"/>
    <w:rsid w:val="00E6337E"/>
    <w:rsid w:val="00E634EA"/>
    <w:rsid w:val="00E64671"/>
    <w:rsid w:val="00E64897"/>
    <w:rsid w:val="00E64DCA"/>
    <w:rsid w:val="00E65167"/>
    <w:rsid w:val="00E655FB"/>
    <w:rsid w:val="00E6629F"/>
    <w:rsid w:val="00E67484"/>
    <w:rsid w:val="00E67AF9"/>
    <w:rsid w:val="00E712DF"/>
    <w:rsid w:val="00E7133C"/>
    <w:rsid w:val="00E71EDC"/>
    <w:rsid w:val="00E736E1"/>
    <w:rsid w:val="00E742E4"/>
    <w:rsid w:val="00E74508"/>
    <w:rsid w:val="00E74717"/>
    <w:rsid w:val="00E74D69"/>
    <w:rsid w:val="00E75C15"/>
    <w:rsid w:val="00E77099"/>
    <w:rsid w:val="00E77931"/>
    <w:rsid w:val="00E77EEF"/>
    <w:rsid w:val="00E80134"/>
    <w:rsid w:val="00E80366"/>
    <w:rsid w:val="00E81DAA"/>
    <w:rsid w:val="00E81F24"/>
    <w:rsid w:val="00E82AF6"/>
    <w:rsid w:val="00E83239"/>
    <w:rsid w:val="00E8362B"/>
    <w:rsid w:val="00E8480C"/>
    <w:rsid w:val="00E85747"/>
    <w:rsid w:val="00E85F06"/>
    <w:rsid w:val="00E87474"/>
    <w:rsid w:val="00E87484"/>
    <w:rsid w:val="00E877DB"/>
    <w:rsid w:val="00E907AB"/>
    <w:rsid w:val="00E90DDC"/>
    <w:rsid w:val="00E9274D"/>
    <w:rsid w:val="00E949E4"/>
    <w:rsid w:val="00E96D49"/>
    <w:rsid w:val="00E97154"/>
    <w:rsid w:val="00E97688"/>
    <w:rsid w:val="00E97A54"/>
    <w:rsid w:val="00E97C26"/>
    <w:rsid w:val="00EA103F"/>
    <w:rsid w:val="00EA1F2B"/>
    <w:rsid w:val="00EA21FD"/>
    <w:rsid w:val="00EA2F43"/>
    <w:rsid w:val="00EA3607"/>
    <w:rsid w:val="00EA3723"/>
    <w:rsid w:val="00EA5841"/>
    <w:rsid w:val="00EA7592"/>
    <w:rsid w:val="00EA7ADD"/>
    <w:rsid w:val="00EB0240"/>
    <w:rsid w:val="00EB0B27"/>
    <w:rsid w:val="00EB0F2C"/>
    <w:rsid w:val="00EB10F6"/>
    <w:rsid w:val="00EB175C"/>
    <w:rsid w:val="00EB1F74"/>
    <w:rsid w:val="00EB2BE2"/>
    <w:rsid w:val="00EB302F"/>
    <w:rsid w:val="00EB3903"/>
    <w:rsid w:val="00EB459E"/>
    <w:rsid w:val="00EB67BC"/>
    <w:rsid w:val="00EB7A57"/>
    <w:rsid w:val="00EB7B14"/>
    <w:rsid w:val="00EC0400"/>
    <w:rsid w:val="00EC1162"/>
    <w:rsid w:val="00EC1625"/>
    <w:rsid w:val="00EC1987"/>
    <w:rsid w:val="00EC1999"/>
    <w:rsid w:val="00EC1CC1"/>
    <w:rsid w:val="00EC22FC"/>
    <w:rsid w:val="00EC3987"/>
    <w:rsid w:val="00EC442F"/>
    <w:rsid w:val="00EC45B0"/>
    <w:rsid w:val="00EC4A25"/>
    <w:rsid w:val="00ED0509"/>
    <w:rsid w:val="00ED0A7C"/>
    <w:rsid w:val="00ED31C1"/>
    <w:rsid w:val="00ED3863"/>
    <w:rsid w:val="00ED38BF"/>
    <w:rsid w:val="00ED634D"/>
    <w:rsid w:val="00ED6AF8"/>
    <w:rsid w:val="00EE11F8"/>
    <w:rsid w:val="00EE25F5"/>
    <w:rsid w:val="00EE2CBC"/>
    <w:rsid w:val="00EE3C1D"/>
    <w:rsid w:val="00EE4ABD"/>
    <w:rsid w:val="00EE5540"/>
    <w:rsid w:val="00EE61F6"/>
    <w:rsid w:val="00EF0F8B"/>
    <w:rsid w:val="00EF14AC"/>
    <w:rsid w:val="00EF1DD4"/>
    <w:rsid w:val="00EF2082"/>
    <w:rsid w:val="00EF24DA"/>
    <w:rsid w:val="00EF3978"/>
    <w:rsid w:val="00EF48FE"/>
    <w:rsid w:val="00EF57F5"/>
    <w:rsid w:val="00EF6742"/>
    <w:rsid w:val="00EF6B9D"/>
    <w:rsid w:val="00EF783A"/>
    <w:rsid w:val="00F00728"/>
    <w:rsid w:val="00F01204"/>
    <w:rsid w:val="00F01778"/>
    <w:rsid w:val="00F0273F"/>
    <w:rsid w:val="00F02B63"/>
    <w:rsid w:val="00F02E67"/>
    <w:rsid w:val="00F03166"/>
    <w:rsid w:val="00F03A1B"/>
    <w:rsid w:val="00F03DC2"/>
    <w:rsid w:val="00F04524"/>
    <w:rsid w:val="00F0490D"/>
    <w:rsid w:val="00F054A3"/>
    <w:rsid w:val="00F05908"/>
    <w:rsid w:val="00F07599"/>
    <w:rsid w:val="00F1029B"/>
    <w:rsid w:val="00F12333"/>
    <w:rsid w:val="00F133AF"/>
    <w:rsid w:val="00F148D2"/>
    <w:rsid w:val="00F14FDC"/>
    <w:rsid w:val="00F15763"/>
    <w:rsid w:val="00F1596D"/>
    <w:rsid w:val="00F177B9"/>
    <w:rsid w:val="00F219E2"/>
    <w:rsid w:val="00F220AC"/>
    <w:rsid w:val="00F22995"/>
    <w:rsid w:val="00F22A01"/>
    <w:rsid w:val="00F2315C"/>
    <w:rsid w:val="00F24542"/>
    <w:rsid w:val="00F30A51"/>
    <w:rsid w:val="00F318F6"/>
    <w:rsid w:val="00F326A0"/>
    <w:rsid w:val="00F32710"/>
    <w:rsid w:val="00F34043"/>
    <w:rsid w:val="00F35093"/>
    <w:rsid w:val="00F366FB"/>
    <w:rsid w:val="00F41FD3"/>
    <w:rsid w:val="00F4239F"/>
    <w:rsid w:val="00F43593"/>
    <w:rsid w:val="00F439F6"/>
    <w:rsid w:val="00F44272"/>
    <w:rsid w:val="00F44410"/>
    <w:rsid w:val="00F453A2"/>
    <w:rsid w:val="00F45D13"/>
    <w:rsid w:val="00F50035"/>
    <w:rsid w:val="00F5006A"/>
    <w:rsid w:val="00F51B77"/>
    <w:rsid w:val="00F51F3E"/>
    <w:rsid w:val="00F553C3"/>
    <w:rsid w:val="00F5599E"/>
    <w:rsid w:val="00F567E2"/>
    <w:rsid w:val="00F57185"/>
    <w:rsid w:val="00F6063A"/>
    <w:rsid w:val="00F60738"/>
    <w:rsid w:val="00F60FBE"/>
    <w:rsid w:val="00F61242"/>
    <w:rsid w:val="00F61634"/>
    <w:rsid w:val="00F619D2"/>
    <w:rsid w:val="00F6274E"/>
    <w:rsid w:val="00F63647"/>
    <w:rsid w:val="00F63CB5"/>
    <w:rsid w:val="00F6584B"/>
    <w:rsid w:val="00F66DDE"/>
    <w:rsid w:val="00F673F9"/>
    <w:rsid w:val="00F67D4B"/>
    <w:rsid w:val="00F70118"/>
    <w:rsid w:val="00F7023A"/>
    <w:rsid w:val="00F70F84"/>
    <w:rsid w:val="00F71927"/>
    <w:rsid w:val="00F724DC"/>
    <w:rsid w:val="00F7501C"/>
    <w:rsid w:val="00F756FE"/>
    <w:rsid w:val="00F75802"/>
    <w:rsid w:val="00F770B2"/>
    <w:rsid w:val="00F80050"/>
    <w:rsid w:val="00F80A85"/>
    <w:rsid w:val="00F81B78"/>
    <w:rsid w:val="00F81C42"/>
    <w:rsid w:val="00F82993"/>
    <w:rsid w:val="00F83DB1"/>
    <w:rsid w:val="00F83EEC"/>
    <w:rsid w:val="00F84488"/>
    <w:rsid w:val="00F84AFB"/>
    <w:rsid w:val="00F85145"/>
    <w:rsid w:val="00F85583"/>
    <w:rsid w:val="00F85B51"/>
    <w:rsid w:val="00F86634"/>
    <w:rsid w:val="00F86E99"/>
    <w:rsid w:val="00F878AA"/>
    <w:rsid w:val="00F90D55"/>
    <w:rsid w:val="00F9196F"/>
    <w:rsid w:val="00F91A8D"/>
    <w:rsid w:val="00F92064"/>
    <w:rsid w:val="00F9218C"/>
    <w:rsid w:val="00F93A13"/>
    <w:rsid w:val="00F9455B"/>
    <w:rsid w:val="00F945AB"/>
    <w:rsid w:val="00F94E17"/>
    <w:rsid w:val="00F94F15"/>
    <w:rsid w:val="00F957AF"/>
    <w:rsid w:val="00F97419"/>
    <w:rsid w:val="00FA03B3"/>
    <w:rsid w:val="00FA0D64"/>
    <w:rsid w:val="00FA0F17"/>
    <w:rsid w:val="00FA32F9"/>
    <w:rsid w:val="00FA3AD6"/>
    <w:rsid w:val="00FA46A1"/>
    <w:rsid w:val="00FA48BE"/>
    <w:rsid w:val="00FA5E83"/>
    <w:rsid w:val="00FA728D"/>
    <w:rsid w:val="00FA73CD"/>
    <w:rsid w:val="00FB0194"/>
    <w:rsid w:val="00FB0524"/>
    <w:rsid w:val="00FB0EB3"/>
    <w:rsid w:val="00FB3EEF"/>
    <w:rsid w:val="00FB4FAB"/>
    <w:rsid w:val="00FB77E2"/>
    <w:rsid w:val="00FC0CD5"/>
    <w:rsid w:val="00FC1A97"/>
    <w:rsid w:val="00FC1BDF"/>
    <w:rsid w:val="00FC2831"/>
    <w:rsid w:val="00FC3144"/>
    <w:rsid w:val="00FC4336"/>
    <w:rsid w:val="00FC43CE"/>
    <w:rsid w:val="00FC4623"/>
    <w:rsid w:val="00FC50A5"/>
    <w:rsid w:val="00FC5AE3"/>
    <w:rsid w:val="00FC5B72"/>
    <w:rsid w:val="00FC5D22"/>
    <w:rsid w:val="00FC6324"/>
    <w:rsid w:val="00FC6A08"/>
    <w:rsid w:val="00FC7E5C"/>
    <w:rsid w:val="00FC7F31"/>
    <w:rsid w:val="00FD10F9"/>
    <w:rsid w:val="00FD16C7"/>
    <w:rsid w:val="00FD1F7E"/>
    <w:rsid w:val="00FD2D04"/>
    <w:rsid w:val="00FD327B"/>
    <w:rsid w:val="00FD55CE"/>
    <w:rsid w:val="00FD6D54"/>
    <w:rsid w:val="00FD70FD"/>
    <w:rsid w:val="00FD7163"/>
    <w:rsid w:val="00FD7ED2"/>
    <w:rsid w:val="00FE02D5"/>
    <w:rsid w:val="00FE1900"/>
    <w:rsid w:val="00FE1C9D"/>
    <w:rsid w:val="00FE2657"/>
    <w:rsid w:val="00FE3270"/>
    <w:rsid w:val="00FE32C2"/>
    <w:rsid w:val="00FE44E4"/>
    <w:rsid w:val="00FE480E"/>
    <w:rsid w:val="00FE5257"/>
    <w:rsid w:val="00FE5405"/>
    <w:rsid w:val="00FE74B2"/>
    <w:rsid w:val="00FE7DA9"/>
    <w:rsid w:val="00FF2616"/>
    <w:rsid w:val="00FF374D"/>
    <w:rsid w:val="00FF3E29"/>
    <w:rsid w:val="00FF4446"/>
    <w:rsid w:val="00FF56F2"/>
    <w:rsid w:val="00FF6E3F"/>
    <w:rsid w:val="00FF783A"/>
    <w:rsid w:val="00FF7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4E2C0D27"/>
  <w15:docId w15:val="{16E469BB-8BEA-49B3-A1B3-BA1121627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locked="1" w:semiHidden="1" w:unhideWhenUsed="1"/>
    <w:lsdException w:name="index 1" w:semiHidden="1" w:uiPriority="1" w:unhideWhenUsed="1"/>
    <w:lsdException w:name="index 2" w:semiHidden="1" w:uiPriority="1" w:unhideWhenUsed="1"/>
    <w:lsdException w:name="index 3" w:semiHidden="1" w:uiPriority="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1" w:unhideWhenUsed="1" w:qFormat="1"/>
    <w:lsdException w:name="annotation text" w:semiHidden="1" w:uiPriority="0" w:unhideWhenUsed="1"/>
    <w:lsdException w:name="header" w:semiHidden="1" w:uiPriority="1" w:unhideWhenUsed="1" w:qFormat="1"/>
    <w:lsdException w:name="footer" w:semiHidden="1" w:uiPriority="1" w:unhideWhenUsed="1" w:qFormat="1"/>
    <w:lsdException w:name="index heading" w:semiHidden="1" w:unhideWhenUsed="1"/>
    <w:lsdException w:name="caption" w:semiHidden="1" w:uiPriority="1"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iPriority="1" w:unhideWhenUsed="1"/>
    <w:lsdException w:name="List Number" w:semiHidden="1" w:uiPriority="1" w:unhideWhenUsed="1"/>
    <w:lsdException w:name="List 2" w:semiHidden="1" w:uiPriority="1" w:unhideWhenUsed="1"/>
    <w:lsdException w:name="List 3" w:semiHidden="1" w:uiPriority="1" w:unhideWhenUsed="1"/>
    <w:lsdException w:name="List 4" w:semiHidden="1" w:unhideWhenUsed="1"/>
    <w:lsdException w:name="List 5" w:semiHidden="1" w:unhideWhenUsed="1"/>
    <w:lsdException w:name="List Bullet 2" w:semiHidden="1" w:uiPriority="1" w:unhideWhenUsed="1"/>
    <w:lsdException w:name="List Bullet 3" w:semiHidden="1" w:uiPriority="1" w:unhideWhenUsed="1"/>
    <w:lsdException w:name="List Bullet 4" w:semiHidden="1" w:unhideWhenUsed="1"/>
    <w:lsdException w:name="List Bullet 5" w:semiHidden="1" w:unhideWhenUsed="1"/>
    <w:lsdException w:name="List Number 2" w:semiHidden="1" w:uiPriority="1" w:unhideWhenUsed="1"/>
    <w:lsdException w:name="List Number 3" w:semiHidden="1" w:uiPriority="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iPriority="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1" w:unhideWhenUsed="1"/>
    <w:lsdException w:name="List Continue 2" w:semiHidden="1" w:uiPriority="1" w:unhideWhenUsed="1"/>
    <w:lsdException w:name="List Continue 3" w:semiHidden="1" w:uiPriority="1" w:unhideWhenUsed="1"/>
    <w:lsdException w:name="List Continue 4" w:semiHidden="1" w:uiPriority="1" w:unhideWhenUsed="1"/>
    <w:lsdException w:name="List Continue 5" w:semiHidden="1" w:unhideWhenUsed="1"/>
    <w:lsdException w:name="Message Header" w:semiHidden="1" w:unhideWhenUsed="1"/>
    <w:lsdException w:name="Subtitle" w:uiPriority="1" w:qFormat="1"/>
    <w:lsdException w:name="Salutation" w:semiHidden="1" w:uiPriority="1" w:unhideWhenUsed="1"/>
    <w:lsdException w:name="Date" w:semiHidden="1" w:uiPriority="1" w:unhideWhenUsed="1"/>
    <w:lsdException w:name="Body Text First Indent" w:semiHidden="1" w:unhideWhenUsed="1"/>
    <w:lsdException w:name="Body Text First Indent 2" w:semiHidden="1" w:unhideWhenUsed="1"/>
    <w:lsdException w:name="Note Heading" w:uiPriority="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semiHidden="1" w:uiPriority="22" w:qFormat="1"/>
    <w:lsdException w:name="Emphasis" w:uiPriority="1"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locked="1"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1"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98" w:qFormat="1"/>
    <w:lsdException w:name="Intense Emphasis" w:locked="1" w:semiHidden="1" w:unhideWhenUsed="1" w:qFormat="1"/>
    <w:lsdException w:name="Subtle Reference" w:semiHidden="1" w:uiPriority="98" w:qFormat="1"/>
    <w:lsdException w:name="Intense Reference" w:locked="1" w:semiHidden="1" w:unhideWhenUsed="1" w:qFormat="1"/>
    <w:lsdException w:name="Book Title" w:semiHidden="1" w:uiPriority="98" w:qFormat="1"/>
    <w:lsdException w:name="Bibliography" w:semiHidden="1" w:uiPriority="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B1396"/>
    <w:pPr>
      <w:spacing w:line="264" w:lineRule="auto"/>
    </w:pPr>
    <w:rPr>
      <w:rFonts w:asciiTheme="minorHAnsi" w:eastAsia="Times New Roman" w:hAnsiTheme="minorHAnsi" w:cs="Times New Roman"/>
      <w:szCs w:val="20"/>
    </w:rPr>
  </w:style>
  <w:style w:type="paragraph" w:styleId="Heading1">
    <w:name w:val="heading 1"/>
    <w:basedOn w:val="Normal"/>
    <w:next w:val="Paragraph"/>
    <w:link w:val="Heading1Char"/>
    <w:uiPriority w:val="9"/>
    <w:qFormat/>
    <w:rsid w:val="000C53A3"/>
    <w:pPr>
      <w:keepNext/>
      <w:tabs>
        <w:tab w:val="left" w:pos="432"/>
      </w:tabs>
      <w:spacing w:before="240" w:line="400" w:lineRule="exact"/>
      <w:ind w:left="432" w:hanging="432"/>
      <w:outlineLvl w:val="0"/>
    </w:pPr>
    <w:rPr>
      <w:rFonts w:asciiTheme="majorHAnsi" w:hAnsiTheme="majorHAnsi"/>
      <w:b/>
      <w:caps/>
      <w:color w:val="046B5C" w:themeColor="text2"/>
      <w:sz w:val="32"/>
    </w:rPr>
  </w:style>
  <w:style w:type="paragraph" w:styleId="Heading2">
    <w:name w:val="heading 2"/>
    <w:basedOn w:val="Normal"/>
    <w:next w:val="Paragraph"/>
    <w:link w:val="Heading2Char"/>
    <w:uiPriority w:val="9"/>
    <w:semiHidden/>
    <w:qFormat/>
    <w:rsid w:val="000C53A3"/>
    <w:pPr>
      <w:keepNext/>
      <w:tabs>
        <w:tab w:val="left" w:pos="432"/>
      </w:tabs>
      <w:spacing w:before="240" w:after="120" w:line="360" w:lineRule="exact"/>
      <w:ind w:left="432" w:hanging="432"/>
      <w:outlineLvl w:val="1"/>
    </w:pPr>
    <w:rPr>
      <w:rFonts w:asciiTheme="majorHAnsi" w:hAnsiTheme="majorHAnsi"/>
      <w:color w:val="046B5C" w:themeColor="text2"/>
      <w:sz w:val="28"/>
    </w:rPr>
  </w:style>
  <w:style w:type="paragraph" w:styleId="Heading3">
    <w:name w:val="heading 3"/>
    <w:basedOn w:val="Normal"/>
    <w:next w:val="Paragraph"/>
    <w:link w:val="Heading3Char"/>
    <w:uiPriority w:val="9"/>
    <w:semiHidden/>
    <w:qFormat/>
    <w:rsid w:val="00770FF8"/>
    <w:pPr>
      <w:keepNext/>
      <w:tabs>
        <w:tab w:val="left" w:pos="432"/>
      </w:tabs>
      <w:spacing w:before="80" w:after="160"/>
      <w:ind w:left="432" w:hanging="432"/>
      <w:outlineLvl w:val="2"/>
    </w:pPr>
    <w:rPr>
      <w:b/>
    </w:rPr>
  </w:style>
  <w:style w:type="paragraph" w:styleId="Heading4">
    <w:name w:val="heading 4"/>
    <w:basedOn w:val="Normal"/>
    <w:next w:val="Paragraph"/>
    <w:link w:val="Heading4Char"/>
    <w:uiPriority w:val="9"/>
    <w:qFormat/>
    <w:rsid w:val="001711C1"/>
    <w:pPr>
      <w:keepNext/>
      <w:tabs>
        <w:tab w:val="left" w:pos="432"/>
      </w:tabs>
      <w:spacing w:before="80" w:after="160"/>
      <w:ind w:left="432" w:hanging="432"/>
      <w:outlineLvl w:val="3"/>
    </w:pPr>
    <w:rPr>
      <w:color w:val="046B5C" w:themeColor="text2"/>
    </w:rPr>
  </w:style>
  <w:style w:type="paragraph" w:styleId="Heading5">
    <w:name w:val="heading 5"/>
    <w:basedOn w:val="Paragraph"/>
    <w:next w:val="Paragraph"/>
    <w:link w:val="Heading5Char"/>
    <w:uiPriority w:val="99"/>
    <w:semiHidden/>
    <w:rsid w:val="000C53A3"/>
    <w:pPr>
      <w:spacing w:line="360" w:lineRule="auto"/>
      <w:outlineLvl w:val="4"/>
    </w:pPr>
  </w:style>
  <w:style w:type="paragraph" w:styleId="Heading6">
    <w:name w:val="heading 6"/>
    <w:basedOn w:val="Normal"/>
    <w:next w:val="Normal"/>
    <w:link w:val="Heading6Char"/>
    <w:uiPriority w:val="99"/>
    <w:semiHidden/>
    <w:rsid w:val="002B76AB"/>
    <w:pPr>
      <w:keepNext/>
      <w:numPr>
        <w:ilvl w:val="5"/>
        <w:numId w:val="2"/>
      </w:numPr>
      <w:spacing w:after="120"/>
      <w:outlineLvl w:val="5"/>
    </w:pPr>
  </w:style>
  <w:style w:type="paragraph" w:styleId="Heading7">
    <w:name w:val="heading 7"/>
    <w:basedOn w:val="Normal"/>
    <w:next w:val="Normal"/>
    <w:link w:val="Heading7Char"/>
    <w:uiPriority w:val="99"/>
    <w:semiHidden/>
    <w:rsid w:val="002B76AB"/>
    <w:pPr>
      <w:keepNext/>
      <w:numPr>
        <w:ilvl w:val="6"/>
        <w:numId w:val="2"/>
      </w:numPr>
      <w:spacing w:after="120"/>
      <w:outlineLvl w:val="6"/>
    </w:pPr>
  </w:style>
  <w:style w:type="paragraph" w:styleId="Heading8">
    <w:name w:val="heading 8"/>
    <w:basedOn w:val="Normal"/>
    <w:next w:val="Normal"/>
    <w:link w:val="Heading8Char"/>
    <w:uiPriority w:val="99"/>
    <w:semiHidden/>
    <w:rsid w:val="002B76AB"/>
    <w:pPr>
      <w:keepNext/>
      <w:numPr>
        <w:ilvl w:val="7"/>
        <w:numId w:val="2"/>
      </w:numPr>
      <w:spacing w:after="120"/>
      <w:outlineLvl w:val="7"/>
    </w:pPr>
  </w:style>
  <w:style w:type="paragraph" w:styleId="Heading9">
    <w:name w:val="heading 9"/>
    <w:aliases w:val="Heading 9 (business proposal only)"/>
    <w:basedOn w:val="Normal"/>
    <w:next w:val="Normal"/>
    <w:link w:val="Heading9Char"/>
    <w:uiPriority w:val="99"/>
    <w:semiHidden/>
    <w:rsid w:val="002B76AB"/>
    <w:pPr>
      <w:keepNext/>
      <w:numPr>
        <w:ilvl w:val="8"/>
        <w:numId w:val="2"/>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rPr>
      <w:rFonts w:ascii="Tahoma" w:hAnsi="Tahoma" w:cs="Tahoma"/>
      <w:sz w:val="16"/>
      <w:szCs w:val="16"/>
    </w:rPr>
  </w:style>
  <w:style w:type="paragraph" w:customStyle="1" w:styleId="Acknowledgment">
    <w:name w:val="Acknowledgment"/>
    <w:basedOn w:val="ESH1"/>
    <w:next w:val="Normal"/>
    <w:uiPriority w:val="1"/>
    <w:qFormat/>
    <w:rsid w:val="00280DC8"/>
    <w:pPr>
      <w:spacing w:before="600"/>
    </w:pPr>
    <w:rPr>
      <w:caps w:val="0"/>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styleId="Date">
    <w:name w:val="Date"/>
    <w:basedOn w:val="Normal"/>
    <w:next w:val="Normal"/>
    <w:link w:val="DateChar"/>
    <w:uiPriority w:val="1"/>
    <w:unhideWhenUsed/>
    <w:rsid w:val="00F86634"/>
    <w:pPr>
      <w:tabs>
        <w:tab w:val="right" w:pos="9360"/>
        <w:tab w:val="right" w:pos="10800"/>
      </w:tabs>
    </w:pPr>
    <w:rPr>
      <w:rFonts w:asciiTheme="majorHAnsi" w:hAnsiTheme="majorHAnsi"/>
      <w:b/>
    </w:rPr>
  </w:style>
  <w:style w:type="character" w:customStyle="1" w:styleId="DateChar">
    <w:name w:val="Date Char"/>
    <w:basedOn w:val="DefaultParagraphFont"/>
    <w:link w:val="Date"/>
    <w:uiPriority w:val="1"/>
    <w:rsid w:val="00F86634"/>
    <w:rPr>
      <w:rFonts w:asciiTheme="majorHAnsi" w:eastAsia="Times New Roman" w:hAnsiTheme="majorHAnsi" w:cs="Times New Roman"/>
      <w:b/>
      <w:szCs w:val="20"/>
    </w:rPr>
  </w:style>
  <w:style w:type="paragraph" w:styleId="EndnoteText">
    <w:name w:val="endnote text"/>
    <w:basedOn w:val="Normal"/>
    <w:link w:val="EndnoteTextChar"/>
    <w:semiHidden/>
    <w:unhideWhenUsed/>
    <w:rsid w:val="00261382"/>
    <w:pPr>
      <w:spacing w:after="80"/>
    </w:pPr>
    <w:rPr>
      <w:sz w:val="20"/>
    </w:rPr>
  </w:style>
  <w:style w:type="paragraph" w:customStyle="1" w:styleId="Center">
    <w:name w:val="Center"/>
    <w:basedOn w:val="Normal"/>
    <w:semiHidden/>
    <w:unhideWhenUsed/>
    <w:rsid w:val="002E3E35"/>
    <w:pPr>
      <w:jc w:val="center"/>
    </w:pPr>
  </w:style>
  <w:style w:type="paragraph" w:styleId="ListBullet">
    <w:name w:val="List Bullet"/>
    <w:basedOn w:val="Normal"/>
    <w:uiPriority w:val="1"/>
    <w:unhideWhenUsed/>
    <w:rsid w:val="00A81CC8"/>
    <w:pPr>
      <w:numPr>
        <w:numId w:val="6"/>
      </w:numPr>
      <w:spacing w:before="120" w:after="120"/>
      <w:ind w:left="360"/>
    </w:pPr>
  </w:style>
  <w:style w:type="character" w:customStyle="1" w:styleId="EndnoteTextChar">
    <w:name w:val="Endnote Text Char"/>
    <w:basedOn w:val="DefaultParagraphFont"/>
    <w:link w:val="EndnoteText"/>
    <w:semiHidden/>
    <w:rsid w:val="00261382"/>
    <w:rPr>
      <w:rFonts w:asciiTheme="minorHAnsi" w:eastAsia="Times New Roman" w:hAnsiTheme="minorHAnsi" w:cs="Times New Roman"/>
      <w:sz w:val="20"/>
      <w:szCs w:val="20"/>
    </w:rPr>
  </w:style>
  <w:style w:type="paragraph" w:styleId="ListNumber">
    <w:name w:val="List Number"/>
    <w:basedOn w:val="Normal"/>
    <w:uiPriority w:val="1"/>
    <w:unhideWhenUsed/>
    <w:rsid w:val="00B74927"/>
    <w:pPr>
      <w:numPr>
        <w:numId w:val="11"/>
      </w:numPr>
      <w:spacing w:before="120" w:after="120"/>
    </w:pPr>
  </w:style>
  <w:style w:type="paragraph" w:styleId="Footer">
    <w:name w:val="footer"/>
    <w:basedOn w:val="Normal"/>
    <w:link w:val="FooterChar"/>
    <w:uiPriority w:val="1"/>
    <w:qFormat/>
    <w:rsid w:val="00126560"/>
    <w:pPr>
      <w:tabs>
        <w:tab w:val="center" w:pos="4320"/>
        <w:tab w:val="right" w:pos="9360"/>
      </w:tabs>
      <w:spacing w:after="80"/>
    </w:pPr>
    <w:rPr>
      <w:rFonts w:ascii="Arial" w:hAnsi="Arial"/>
      <w:sz w:val="20"/>
    </w:rPr>
  </w:style>
  <w:style w:type="character" w:customStyle="1" w:styleId="FooterChar">
    <w:name w:val="Footer Char"/>
    <w:basedOn w:val="DefaultParagraphFont"/>
    <w:link w:val="Footer"/>
    <w:uiPriority w:val="1"/>
    <w:rsid w:val="00126560"/>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CA1D74"/>
    <w:rPr>
      <w:rFonts w:asciiTheme="minorHAnsi" w:hAnsiTheme="minorHAnsi"/>
      <w:color w:val="auto"/>
      <w:spacing w:val="0"/>
      <w:position w:val="0"/>
      <w:sz w:val="24"/>
      <w:u w:color="000080"/>
      <w:effect w:val="none"/>
      <w:vertAlign w:val="superscript"/>
    </w:rPr>
  </w:style>
  <w:style w:type="paragraph" w:styleId="FootnoteText">
    <w:name w:val="footnote text"/>
    <w:aliases w:val="Footnote Text2,F"/>
    <w:basedOn w:val="Normal"/>
    <w:link w:val="FootnoteTextChar"/>
    <w:uiPriority w:val="1"/>
    <w:qFormat/>
    <w:rsid w:val="00995758"/>
    <w:pPr>
      <w:tabs>
        <w:tab w:val="left" w:pos="173"/>
      </w:tabs>
      <w:spacing w:after="60" w:line="250" w:lineRule="exact"/>
      <w:ind w:left="173" w:hanging="173"/>
    </w:pPr>
    <w:rPr>
      <w:sz w:val="20"/>
    </w:rPr>
  </w:style>
  <w:style w:type="character" w:customStyle="1" w:styleId="FootnoteTextChar">
    <w:name w:val="Footnote Text Char"/>
    <w:aliases w:val="Footnote Text2 Char,F Char"/>
    <w:basedOn w:val="DefaultParagraphFont"/>
    <w:link w:val="FootnoteText"/>
    <w:uiPriority w:val="1"/>
    <w:rsid w:val="00995758"/>
    <w:rPr>
      <w:rFonts w:asciiTheme="minorHAnsi" w:eastAsia="Times New Roman" w:hAnsiTheme="minorHAnsi" w:cs="Times New Roman"/>
      <w:sz w:val="20"/>
      <w:szCs w:val="20"/>
    </w:rPr>
  </w:style>
  <w:style w:type="paragraph" w:styleId="Header">
    <w:name w:val="header"/>
    <w:basedOn w:val="Normal"/>
    <w:link w:val="HeaderChar"/>
    <w:uiPriority w:val="1"/>
    <w:qFormat/>
    <w:rsid w:val="00FC7E5C"/>
    <w:pPr>
      <w:tabs>
        <w:tab w:val="right" w:pos="9360"/>
      </w:tabs>
      <w:spacing w:after="360"/>
      <w:contextualSpacing/>
    </w:pPr>
    <w:rPr>
      <w:rFonts w:asciiTheme="majorHAnsi" w:hAnsiTheme="majorHAnsi"/>
      <w:color w:val="0B2949" w:themeColor="accent1"/>
      <w:sz w:val="20"/>
    </w:rPr>
  </w:style>
  <w:style w:type="character" w:customStyle="1" w:styleId="HeaderChar">
    <w:name w:val="Header Char"/>
    <w:basedOn w:val="DefaultParagraphFont"/>
    <w:link w:val="Header"/>
    <w:uiPriority w:val="1"/>
    <w:rsid w:val="00FC7E5C"/>
    <w:rPr>
      <w:rFonts w:asciiTheme="majorHAnsi" w:eastAsia="Times New Roman" w:hAnsiTheme="majorHAnsi" w:cs="Times New Roman"/>
      <w:color w:val="0B2949" w:themeColor="accent1"/>
      <w:sz w:val="20"/>
      <w:szCs w:val="20"/>
    </w:rPr>
  </w:style>
  <w:style w:type="character" w:customStyle="1" w:styleId="Heading1Char">
    <w:name w:val="Heading 1 Char"/>
    <w:basedOn w:val="DefaultParagraphFont"/>
    <w:link w:val="Heading1"/>
    <w:uiPriority w:val="9"/>
    <w:rsid w:val="00B52403"/>
    <w:rPr>
      <w:rFonts w:asciiTheme="majorHAnsi" w:eastAsia="Times New Roman" w:hAnsiTheme="majorHAnsi" w:cs="Times New Roman"/>
      <w:b/>
      <w:caps/>
      <w:color w:val="046B5C" w:themeColor="text2"/>
      <w:sz w:val="32"/>
      <w:szCs w:val="20"/>
    </w:rPr>
  </w:style>
  <w:style w:type="character" w:customStyle="1" w:styleId="Heading2Char">
    <w:name w:val="Heading 2 Char"/>
    <w:basedOn w:val="DefaultParagraphFont"/>
    <w:link w:val="Heading2"/>
    <w:uiPriority w:val="9"/>
    <w:semiHidden/>
    <w:rsid w:val="00B52403"/>
    <w:rPr>
      <w:rFonts w:asciiTheme="majorHAnsi" w:eastAsia="Times New Roman" w:hAnsiTheme="majorHAnsi" w:cs="Times New Roman"/>
      <w:color w:val="046B5C" w:themeColor="text2"/>
      <w:sz w:val="28"/>
      <w:szCs w:val="20"/>
    </w:rPr>
  </w:style>
  <w:style w:type="paragraph" w:styleId="Index1">
    <w:name w:val="index 1"/>
    <w:basedOn w:val="Normal"/>
    <w:next w:val="Normal"/>
    <w:autoRedefine/>
    <w:uiPriority w:val="1"/>
    <w:semiHidden/>
    <w:unhideWhenUsed/>
    <w:rsid w:val="0098190D"/>
    <w:pPr>
      <w:ind w:left="240" w:hanging="240"/>
    </w:pPr>
  </w:style>
  <w:style w:type="character" w:customStyle="1" w:styleId="Heading3Char">
    <w:name w:val="Heading 3 Char"/>
    <w:basedOn w:val="DefaultParagraphFont"/>
    <w:link w:val="Heading3"/>
    <w:uiPriority w:val="9"/>
    <w:rsid w:val="00B52403"/>
    <w:rPr>
      <w:rFonts w:asciiTheme="minorHAnsi" w:eastAsia="Times New Roman" w:hAnsiTheme="minorHAnsi" w:cs="Times New Roman"/>
      <w:b/>
      <w:szCs w:val="20"/>
    </w:rPr>
  </w:style>
  <w:style w:type="paragraph" w:styleId="Index2">
    <w:name w:val="index 2"/>
    <w:basedOn w:val="Normal"/>
    <w:next w:val="Normal"/>
    <w:autoRedefine/>
    <w:uiPriority w:val="1"/>
    <w:semiHidden/>
    <w:unhideWhenUsed/>
    <w:rsid w:val="0098190D"/>
    <w:pPr>
      <w:ind w:left="480" w:hanging="240"/>
    </w:pPr>
  </w:style>
  <w:style w:type="character" w:customStyle="1" w:styleId="Heading4Char">
    <w:name w:val="Heading 4 Char"/>
    <w:basedOn w:val="DefaultParagraphFont"/>
    <w:link w:val="Heading4"/>
    <w:uiPriority w:val="9"/>
    <w:rsid w:val="00B52403"/>
    <w:rPr>
      <w:rFonts w:asciiTheme="minorHAnsi" w:eastAsia="Times New Roman" w:hAnsiTheme="minorHAnsi" w:cs="Times New Roman"/>
      <w:color w:val="046B5C" w:themeColor="text2"/>
      <w:szCs w:val="20"/>
    </w:rPr>
  </w:style>
  <w:style w:type="character" w:customStyle="1" w:styleId="Heading5Char">
    <w:name w:val="Heading 5 Char"/>
    <w:basedOn w:val="DefaultParagraphFont"/>
    <w:link w:val="Heading5"/>
    <w:uiPriority w:val="99"/>
    <w:semiHidden/>
    <w:rsid w:val="000C53A3"/>
    <w:rPr>
      <w:rFonts w:asciiTheme="minorHAnsi" w:eastAsia="Times New Roman" w:hAnsiTheme="minorHAnsi" w:cs="Times New Roman"/>
      <w:szCs w:val="20"/>
    </w:rPr>
  </w:style>
  <w:style w:type="character" w:customStyle="1" w:styleId="Heading6Char">
    <w:name w:val="Heading 6 Char"/>
    <w:basedOn w:val="DefaultParagraphFont"/>
    <w:link w:val="Heading6"/>
    <w:uiPriority w:val="99"/>
    <w:semiHidden/>
    <w:rsid w:val="006D21C0"/>
    <w:rPr>
      <w:rFonts w:asciiTheme="minorHAnsi" w:eastAsia="Times New Roman" w:hAnsiTheme="minorHAnsi" w:cs="Times New Roman"/>
      <w:szCs w:val="20"/>
    </w:rPr>
  </w:style>
  <w:style w:type="character" w:customStyle="1" w:styleId="Heading7Char">
    <w:name w:val="Heading 7 Char"/>
    <w:basedOn w:val="DefaultParagraphFont"/>
    <w:link w:val="Heading7"/>
    <w:uiPriority w:val="99"/>
    <w:semiHidden/>
    <w:rsid w:val="006D21C0"/>
    <w:rPr>
      <w:rFonts w:asciiTheme="minorHAnsi" w:eastAsia="Times New Roman" w:hAnsiTheme="minorHAnsi" w:cs="Times New Roman"/>
      <w:szCs w:val="20"/>
    </w:rPr>
  </w:style>
  <w:style w:type="character" w:customStyle="1" w:styleId="Heading8Char">
    <w:name w:val="Heading 8 Char"/>
    <w:basedOn w:val="DefaultParagraphFont"/>
    <w:link w:val="Heading8"/>
    <w:uiPriority w:val="99"/>
    <w:semiHidden/>
    <w:rsid w:val="006D21C0"/>
    <w:rPr>
      <w:rFonts w:asciiTheme="minorHAnsi" w:eastAsia="Times New Roman" w:hAnsiTheme="minorHAnsi" w:cs="Times New Roman"/>
      <w:szCs w:val="20"/>
    </w:rPr>
  </w:style>
  <w:style w:type="character" w:customStyle="1" w:styleId="Heading9Char">
    <w:name w:val="Heading 9 Char"/>
    <w:aliases w:val="Heading 9 (business proposal only) Char"/>
    <w:basedOn w:val="DefaultParagraphFont"/>
    <w:link w:val="Heading9"/>
    <w:uiPriority w:val="99"/>
    <w:semiHidden/>
    <w:rsid w:val="006D21C0"/>
    <w:rPr>
      <w:rFonts w:asciiTheme="minorHAnsi" w:eastAsia="Times New Roman" w:hAnsiTheme="minorHAnsi" w:cs="Times New Roman"/>
      <w:szCs w:val="20"/>
    </w:rPr>
  </w:style>
  <w:style w:type="paragraph" w:customStyle="1" w:styleId="AppendixTitle">
    <w:name w:val="Appendix Title"/>
    <w:basedOn w:val="Acknowledgment"/>
    <w:next w:val="Normal"/>
    <w:uiPriority w:val="1"/>
    <w:qFormat/>
    <w:rsid w:val="00246468"/>
    <w:pPr>
      <w:spacing w:line="450" w:lineRule="exact"/>
      <w:ind w:left="0" w:firstLine="0"/>
      <w:jc w:val="center"/>
    </w:pPr>
    <w:rPr>
      <w:b w:val="0"/>
    </w:rPr>
  </w:style>
  <w:style w:type="paragraph" w:customStyle="1" w:styleId="AttachmentTitle">
    <w:name w:val="Attachment Title"/>
    <w:basedOn w:val="AppendixTitle"/>
    <w:next w:val="Normal"/>
    <w:uiPriority w:val="1"/>
    <w:qFormat/>
    <w:rsid w:val="00246468"/>
  </w:style>
  <w:style w:type="paragraph" w:customStyle="1" w:styleId="ExhibitTitle">
    <w:name w:val="Exhibit Title"/>
    <w:basedOn w:val="TableTitle"/>
    <w:next w:val="Paragraph"/>
    <w:uiPriority w:val="1"/>
    <w:qFormat/>
    <w:rsid w:val="000B764C"/>
  </w:style>
  <w:style w:type="paragraph" w:customStyle="1" w:styleId="TableTitle">
    <w:name w:val="Table Title"/>
    <w:basedOn w:val="Normal"/>
    <w:next w:val="Paragraph"/>
    <w:uiPriority w:val="1"/>
    <w:qFormat/>
    <w:rsid w:val="000F487F"/>
    <w:pPr>
      <w:keepNext/>
      <w:spacing w:before="360" w:after="60"/>
    </w:pPr>
    <w:rPr>
      <w:rFonts w:asciiTheme="majorHAnsi" w:hAnsiTheme="majorHAnsi"/>
      <w:b/>
      <w:sz w:val="22"/>
    </w:rPr>
  </w:style>
  <w:style w:type="paragraph" w:customStyle="1" w:styleId="FigureTitle">
    <w:name w:val="Figure Title"/>
    <w:basedOn w:val="TableTitle"/>
    <w:next w:val="Paragraph"/>
    <w:uiPriority w:val="1"/>
    <w:qFormat/>
    <w:rsid w:val="004867C2"/>
  </w:style>
  <w:style w:type="numbering" w:customStyle="1" w:styleId="MPROutline">
    <w:name w:val="MPROutline"/>
    <w:uiPriority w:val="99"/>
    <w:rsid w:val="002E3E35"/>
    <w:pPr>
      <w:numPr>
        <w:numId w:val="1"/>
      </w:numPr>
    </w:pPr>
  </w:style>
  <w:style w:type="character" w:customStyle="1" w:styleId="MTEquationSection">
    <w:name w:val="MTEquationSection"/>
    <w:basedOn w:val="DefaultParagraphFont"/>
    <w:uiPriority w:val="1"/>
    <w:rsid w:val="000B764C"/>
    <w:rPr>
      <w:rFonts w:ascii="Arial" w:hAnsi="Arial"/>
      <w:vanish/>
      <w:color w:val="auto"/>
      <w:sz w:val="18"/>
    </w:rPr>
  </w:style>
  <w:style w:type="paragraph" w:customStyle="1" w:styleId="Normalcontinued">
    <w:name w:val="Normal (continued)"/>
    <w:basedOn w:val="Normal"/>
    <w:next w:val="Normal"/>
    <w:uiPriority w:val="2"/>
    <w:qFormat/>
    <w:rsid w:val="000B764C"/>
  </w:style>
  <w:style w:type="paragraph" w:customStyle="1" w:styleId="Paragraph">
    <w:name w:val="Paragraph"/>
    <w:basedOn w:val="Normal"/>
    <w:uiPriority w:val="1"/>
    <w:qFormat/>
    <w:rsid w:val="00BB1396"/>
  </w:style>
  <w:style w:type="paragraph" w:customStyle="1" w:styleId="ParagraphContinued">
    <w:name w:val="Paragraph Continued"/>
    <w:basedOn w:val="Paragraph"/>
    <w:next w:val="Paragraph"/>
    <w:uiPriority w:val="1"/>
    <w:qFormat/>
    <w:rsid w:val="00BB1396"/>
    <w:pPr>
      <w:spacing w:before="240"/>
    </w:pPr>
  </w:style>
  <w:style w:type="paragraph" w:customStyle="1" w:styleId="TableTextRight">
    <w:name w:val="Table Text Right"/>
    <w:basedOn w:val="TableTextLeft"/>
    <w:uiPriority w:val="1"/>
    <w:qFormat/>
    <w:rsid w:val="009174DF"/>
    <w:pPr>
      <w:jc w:val="right"/>
    </w:pPr>
  </w:style>
  <w:style w:type="paragraph" w:customStyle="1" w:styleId="Outline">
    <w:name w:val="Outline"/>
    <w:basedOn w:val="Normal"/>
    <w:next w:val="Paragraph"/>
    <w:uiPriority w:val="1"/>
    <w:unhideWhenUsed/>
    <w:qFormat/>
    <w:rsid w:val="000C53A3"/>
    <w:pPr>
      <w:keepNext/>
      <w:pageBreakBefore/>
      <w:numPr>
        <w:numId w:val="15"/>
      </w:numPr>
      <w:tabs>
        <w:tab w:val="left" w:pos="432"/>
      </w:tabs>
      <w:spacing w:before="240" w:line="400" w:lineRule="exact"/>
      <w:outlineLvl w:val="1"/>
    </w:pPr>
    <w:rPr>
      <w:rFonts w:asciiTheme="majorHAnsi" w:hAnsiTheme="majorHAnsi"/>
      <w:b/>
      <w:caps/>
      <w:color w:val="046B5C" w:themeColor="text2"/>
      <w:sz w:val="32"/>
    </w:rPr>
  </w:style>
  <w:style w:type="character" w:styleId="PageNumber">
    <w:name w:val="page number"/>
    <w:basedOn w:val="DefaultParagraphFont"/>
    <w:uiPriority w:val="99"/>
    <w:qFormat/>
    <w:rsid w:val="00F85583"/>
    <w:rPr>
      <w:rFonts w:ascii="Arial" w:hAnsi="Arial"/>
      <w:color w:val="auto"/>
      <w:sz w:val="20"/>
      <w:bdr w:val="none" w:sz="0" w:space="0" w:color="auto"/>
    </w:rPr>
  </w:style>
  <w:style w:type="paragraph" w:customStyle="1" w:styleId="References">
    <w:name w:val="References"/>
    <w:basedOn w:val="Normal"/>
    <w:uiPriority w:val="1"/>
    <w:qFormat/>
    <w:rsid w:val="008F14AE"/>
    <w:pPr>
      <w:keepLines/>
      <w:spacing w:after="60"/>
      <w:ind w:left="432" w:hanging="432"/>
    </w:pPr>
  </w:style>
  <w:style w:type="paragraph" w:customStyle="1" w:styleId="TableFootnote">
    <w:name w:val="Table Footnote"/>
    <w:uiPriority w:val="1"/>
    <w:qFormat/>
    <w:rsid w:val="00E64897"/>
    <w:pPr>
      <w:tabs>
        <w:tab w:val="left" w:pos="1080"/>
      </w:tabs>
      <w:spacing w:before="60" w:after="60"/>
    </w:pPr>
    <w:rPr>
      <w:rFonts w:asciiTheme="majorHAnsi" w:eastAsia="Times New Roman" w:hAnsiTheme="majorHAnsi" w:cs="Times New Roman"/>
      <w:sz w:val="20"/>
      <w:szCs w:val="20"/>
    </w:rPr>
  </w:style>
  <w:style w:type="paragraph" w:customStyle="1" w:styleId="TableHeaderLeft">
    <w:name w:val="Table Header Left"/>
    <w:basedOn w:val="TableTextLeft"/>
    <w:next w:val="TableTextLeft"/>
    <w:uiPriority w:val="1"/>
    <w:qFormat/>
    <w:rsid w:val="00EC1987"/>
    <w:pPr>
      <w:spacing w:before="120"/>
    </w:pPr>
    <w:rPr>
      <w:b/>
      <w:color w:val="FFFFFF" w:themeColor="background1"/>
    </w:rPr>
  </w:style>
  <w:style w:type="paragraph" w:customStyle="1" w:styleId="TableHeaderCenter">
    <w:name w:val="Table Header Center"/>
    <w:basedOn w:val="TableHeaderLeft"/>
    <w:uiPriority w:val="1"/>
    <w:qFormat/>
    <w:rsid w:val="003C5D9A"/>
    <w:pPr>
      <w:jc w:val="center"/>
      <w:textboxTightWrap w:val="allLines"/>
    </w:pPr>
  </w:style>
  <w:style w:type="paragraph" w:styleId="TableofFigures">
    <w:name w:val="table of figures"/>
    <w:basedOn w:val="Normal"/>
    <w:next w:val="Normal"/>
    <w:uiPriority w:val="99"/>
    <w:unhideWhenUsed/>
    <w:rsid w:val="000A5A8D"/>
    <w:pPr>
      <w:tabs>
        <w:tab w:val="right" w:leader="dot" w:pos="9360"/>
      </w:tabs>
      <w:spacing w:after="180" w:line="240" w:lineRule="exact"/>
      <w:ind w:left="720" w:right="720" w:hanging="720"/>
    </w:pPr>
    <w:rPr>
      <w:rFonts w:ascii="Arial" w:hAnsi="Arial"/>
      <w:sz w:val="20"/>
    </w:rPr>
  </w:style>
  <w:style w:type="paragraph" w:customStyle="1" w:styleId="TableTextLeft">
    <w:name w:val="Table Text Left"/>
    <w:basedOn w:val="Normal"/>
    <w:uiPriority w:val="1"/>
    <w:qFormat/>
    <w:rsid w:val="009174DF"/>
    <w:pPr>
      <w:spacing w:after="60" w:line="240" w:lineRule="auto"/>
    </w:pPr>
    <w:rPr>
      <w:rFonts w:asciiTheme="majorHAnsi" w:hAnsiTheme="majorHAnsi"/>
      <w:sz w:val="20"/>
    </w:rPr>
  </w:style>
  <w:style w:type="paragraph" w:customStyle="1" w:styleId="ExhibitSource">
    <w:name w:val="Exhibit Source"/>
    <w:uiPriority w:val="1"/>
    <w:qFormat/>
    <w:rsid w:val="006C742B"/>
    <w:pPr>
      <w:spacing w:before="60" w:after="0"/>
      <w:ind w:left="720" w:hanging="720"/>
    </w:pPr>
    <w:rPr>
      <w:rFonts w:asciiTheme="majorHAnsi" w:eastAsia="Times New Roman" w:hAnsiTheme="majorHAnsi" w:cs="Times New Roman"/>
      <w:sz w:val="20"/>
      <w:szCs w:val="20"/>
    </w:rPr>
  </w:style>
  <w:style w:type="paragraph" w:customStyle="1" w:styleId="ExhibitSignificance">
    <w:name w:val="Exhibit Significance"/>
    <w:basedOn w:val="Normal"/>
    <w:uiPriority w:val="1"/>
    <w:qFormat/>
    <w:rsid w:val="006C742B"/>
    <w:pPr>
      <w:tabs>
        <w:tab w:val="right" w:pos="360"/>
        <w:tab w:val="left" w:pos="540"/>
      </w:tabs>
      <w:spacing w:before="240" w:after="0" w:line="240" w:lineRule="auto"/>
      <w:ind w:left="547" w:hanging="547"/>
      <w:contextualSpacing/>
    </w:pPr>
    <w:rPr>
      <w:rFonts w:asciiTheme="majorHAnsi" w:hAnsiTheme="majorHAnsi"/>
      <w:sz w:val="20"/>
    </w:rPr>
  </w:style>
  <w:style w:type="paragraph" w:customStyle="1" w:styleId="TableSpace">
    <w:name w:val="TableSpace"/>
    <w:basedOn w:val="ExhibitSource"/>
    <w:next w:val="TableFootnote"/>
    <w:semiHidden/>
    <w:qFormat/>
    <w:rsid w:val="002E3E35"/>
  </w:style>
  <w:style w:type="paragraph" w:styleId="Title">
    <w:name w:val="Title"/>
    <w:basedOn w:val="Normal"/>
    <w:next w:val="Normal"/>
    <w:link w:val="TitleChar"/>
    <w:uiPriority w:val="1"/>
    <w:qFormat/>
    <w:rsid w:val="004F426B"/>
    <w:pPr>
      <w:spacing w:before="240" w:line="560" w:lineRule="exact"/>
      <w:outlineLvl w:val="0"/>
    </w:pPr>
    <w:rPr>
      <w:rFonts w:asciiTheme="majorHAnsi" w:hAnsiTheme="majorHAnsi"/>
      <w:color w:val="046B5C" w:themeColor="text2"/>
      <w:sz w:val="44"/>
    </w:rPr>
  </w:style>
  <w:style w:type="character" w:customStyle="1" w:styleId="TitleChar">
    <w:name w:val="Title Char"/>
    <w:basedOn w:val="DefaultParagraphFont"/>
    <w:link w:val="Title"/>
    <w:uiPriority w:val="1"/>
    <w:rsid w:val="004F426B"/>
    <w:rPr>
      <w:rFonts w:asciiTheme="majorHAnsi" w:eastAsia="Times New Roman" w:hAnsiTheme="majorHAnsi" w:cs="Times New Roman"/>
      <w:color w:val="046B5C" w:themeColor="text2"/>
      <w:sz w:val="44"/>
      <w:szCs w:val="20"/>
    </w:rPr>
  </w:style>
  <w:style w:type="paragraph" w:styleId="TOC1">
    <w:name w:val="toc 1"/>
    <w:next w:val="TOC2"/>
    <w:autoRedefine/>
    <w:uiPriority w:val="39"/>
    <w:qFormat/>
    <w:rsid w:val="00BB3F9C"/>
    <w:pPr>
      <w:tabs>
        <w:tab w:val="right" w:leader="dot" w:pos="9360"/>
      </w:tabs>
      <w:spacing w:after="180" w:line="240" w:lineRule="exact"/>
      <w:ind w:left="432" w:right="720" w:hanging="432"/>
    </w:pPr>
    <w:rPr>
      <w:rFonts w:ascii="Arial" w:eastAsia="Times New Roman" w:hAnsi="Arial" w:cs="Times New Roman"/>
      <w:noProof/>
      <w:sz w:val="20"/>
      <w:szCs w:val="20"/>
    </w:rPr>
  </w:style>
  <w:style w:type="paragraph" w:styleId="TOC2">
    <w:name w:val="toc 2"/>
    <w:next w:val="Normal"/>
    <w:autoRedefine/>
    <w:uiPriority w:val="39"/>
    <w:qFormat/>
    <w:rsid w:val="00D50222"/>
    <w:pPr>
      <w:tabs>
        <w:tab w:val="right" w:leader="dot" w:pos="9360"/>
      </w:tabs>
      <w:spacing w:after="180" w:line="240" w:lineRule="exact"/>
      <w:ind w:left="864" w:right="720" w:hanging="432"/>
    </w:pPr>
    <w:rPr>
      <w:rFonts w:ascii="Arial" w:eastAsia="Times New Roman" w:hAnsi="Arial" w:cs="Times New Roman"/>
      <w:noProof/>
      <w:sz w:val="20"/>
      <w:szCs w:val="20"/>
    </w:rPr>
  </w:style>
  <w:style w:type="paragraph" w:styleId="TOC3">
    <w:name w:val="toc 3"/>
    <w:basedOn w:val="TOC2"/>
    <w:autoRedefine/>
    <w:uiPriority w:val="39"/>
    <w:qFormat/>
    <w:rsid w:val="00D50222"/>
    <w:pPr>
      <w:spacing w:after="120"/>
      <w:ind w:left="1296"/>
    </w:pPr>
  </w:style>
  <w:style w:type="paragraph" w:styleId="TOC4">
    <w:name w:val="toc 4"/>
    <w:next w:val="Normal"/>
    <w:autoRedefine/>
    <w:uiPriority w:val="39"/>
    <w:unhideWhenUsed/>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unhideWhenUsed/>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uiPriority w:val="1"/>
    <w:qFormat/>
    <w:rsid w:val="006314E5"/>
    <w:pPr>
      <w:spacing w:after="100"/>
      <w:jc w:val="right"/>
    </w:pPr>
    <w:rPr>
      <w:rFonts w:asciiTheme="majorHAnsi" w:eastAsia="Times New Roman" w:hAnsiTheme="majorHAnsi" w:cs="Times New Roman"/>
      <w:noProof/>
      <w:sz w:val="20"/>
      <w:szCs w:val="19"/>
    </w:rPr>
  </w:style>
  <w:style w:type="table" w:styleId="LightList">
    <w:name w:val="Light List"/>
    <w:basedOn w:val="TableNormal"/>
    <w:uiPriority w:val="61"/>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0D46B8"/>
    <w:pPr>
      <w:spacing w:before="40" w:after="20"/>
      <w:textboxTightWrap w:val="allLines"/>
    </w:pPr>
    <w:rPr>
      <w:rFonts w:ascii="Arial" w:hAnsi="Arial"/>
      <w:sz w:val="18"/>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cBorders>
        <w:shd w:val="clear" w:color="auto" w:fill="046B5C" w:themeFill="text2"/>
        <w:vAlign w:val="bottom"/>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046B5C" w:themeFill="text2"/>
      </w:tcPr>
    </w:tblStylePr>
    <w:tblStylePr w:type="seCell">
      <w:pPr>
        <w:jc w:val="left"/>
      </w:pPr>
      <w:tblPr/>
      <w:tcPr>
        <w:vAlign w:val="center"/>
      </w:tcPr>
    </w:tblStylePr>
  </w:style>
  <w:style w:type="table" w:styleId="TableGrid">
    <w:name w:val="Table Grid"/>
    <w:basedOn w:val="TableNormal"/>
    <w:uiPriority w:val="59"/>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1"/>
    <w:qFormat/>
    <w:rsid w:val="001D71DF"/>
    <w:pPr>
      <w:spacing w:before="240" w:after="60"/>
      <w:ind w:left="1260" w:hanging="1260"/>
    </w:pPr>
  </w:style>
  <w:style w:type="paragraph" w:styleId="Index3">
    <w:name w:val="index 3"/>
    <w:basedOn w:val="Normal"/>
    <w:next w:val="Normal"/>
    <w:autoRedefine/>
    <w:uiPriority w:val="1"/>
    <w:semiHidden/>
    <w:unhideWhenUsed/>
    <w:rsid w:val="0098190D"/>
    <w:pPr>
      <w:ind w:left="720" w:hanging="240"/>
    </w:pPr>
  </w:style>
  <w:style w:type="paragraph" w:customStyle="1" w:styleId="Introduction">
    <w:name w:val="Introduction"/>
    <w:basedOn w:val="ESSidebar"/>
    <w:uiPriority w:val="1"/>
    <w:qFormat/>
    <w:rsid w:val="007C306D"/>
  </w:style>
  <w:style w:type="paragraph" w:customStyle="1" w:styleId="Feature1Title">
    <w:name w:val="Feature1 Title"/>
    <w:basedOn w:val="Normal"/>
    <w:uiPriority w:val="1"/>
    <w:qFormat/>
    <w:rsid w:val="000C53A3"/>
    <w:pPr>
      <w:keepNext/>
      <w:keepLines/>
      <w:pBdr>
        <w:top w:val="single" w:sz="24" w:space="1" w:color="0B2949" w:themeColor="accent1"/>
        <w:bottom w:val="single" w:sz="24" w:space="1" w:color="0B2949" w:themeColor="accent1"/>
      </w:pBdr>
      <w:shd w:val="clear" w:color="auto" w:fill="0B2949" w:themeFill="accent1"/>
      <w:tabs>
        <w:tab w:val="left" w:pos="173"/>
        <w:tab w:val="left" w:pos="432"/>
      </w:tabs>
      <w:spacing w:before="240" w:line="400" w:lineRule="exact"/>
      <w:ind w:left="432" w:hanging="432"/>
    </w:pPr>
    <w:rPr>
      <w:rFonts w:asciiTheme="majorHAnsi" w:hAnsiTheme="majorHAnsi"/>
      <w:b/>
      <w:color w:val="FFFFFF" w:themeColor="background1"/>
      <w:sz w:val="32"/>
    </w:rPr>
  </w:style>
  <w:style w:type="paragraph" w:customStyle="1" w:styleId="Feature1Head">
    <w:name w:val="Feature1 Head"/>
    <w:basedOn w:val="Normal"/>
    <w:uiPriority w:val="1"/>
    <w:qFormat/>
    <w:rsid w:val="000C53A3"/>
    <w:pPr>
      <w:keepNext/>
      <w:tabs>
        <w:tab w:val="left" w:pos="432"/>
      </w:tabs>
      <w:spacing w:before="240" w:after="0" w:line="360" w:lineRule="exact"/>
      <w:outlineLvl w:val="2"/>
    </w:pPr>
    <w:rPr>
      <w:rFonts w:asciiTheme="majorHAnsi" w:hAnsiTheme="majorHAnsi"/>
      <w:color w:val="046B5C" w:themeColor="text2"/>
      <w:sz w:val="28"/>
    </w:rPr>
  </w:style>
  <w:style w:type="paragraph" w:customStyle="1" w:styleId="Feature1ListHead">
    <w:name w:val="Feature1 List Head"/>
    <w:basedOn w:val="Normal"/>
    <w:uiPriority w:val="1"/>
    <w:qFormat/>
    <w:rsid w:val="000C53A3"/>
    <w:pPr>
      <w:keepNext/>
      <w:tabs>
        <w:tab w:val="left" w:pos="432"/>
      </w:tabs>
      <w:spacing w:before="80" w:after="160"/>
      <w:ind w:left="432" w:hanging="432"/>
      <w:outlineLvl w:val="3"/>
    </w:pPr>
    <w:rPr>
      <w:b/>
    </w:rPr>
  </w:style>
  <w:style w:type="paragraph" w:customStyle="1" w:styleId="Feature1">
    <w:name w:val="Feature1"/>
    <w:basedOn w:val="Paragraph"/>
    <w:uiPriority w:val="1"/>
    <w:qFormat/>
    <w:rsid w:val="00762A79"/>
    <w:pPr>
      <w:spacing w:before="120" w:after="0"/>
    </w:pPr>
    <w:rPr>
      <w:color w:val="000000" w:themeColor="text1"/>
      <w:sz w:val="20"/>
    </w:rPr>
  </w:style>
  <w:style w:type="character" w:customStyle="1" w:styleId="Bold">
    <w:name w:val="Bold"/>
    <w:basedOn w:val="DefaultParagraphFont"/>
    <w:qFormat/>
    <w:rsid w:val="006A0BB4"/>
    <w:rPr>
      <w:b/>
    </w:rPr>
  </w:style>
  <w:style w:type="character" w:customStyle="1" w:styleId="BoldItalic">
    <w:name w:val="Bold Italic"/>
    <w:basedOn w:val="DefaultParagraphFont"/>
    <w:qFormat/>
    <w:rsid w:val="006A0BB4"/>
    <w:rPr>
      <w:b/>
      <w:i/>
    </w:rPr>
  </w:style>
  <w:style w:type="character" w:customStyle="1" w:styleId="Default">
    <w:name w:val="Default"/>
    <w:basedOn w:val="DefaultParagraphFont"/>
    <w:qFormat/>
    <w:rsid w:val="006A0BB4"/>
  </w:style>
  <w:style w:type="character" w:customStyle="1" w:styleId="HighlightBlue">
    <w:name w:val="Highlight Blue"/>
    <w:basedOn w:val="DefaultParagraphFont"/>
    <w:uiPriority w:val="98"/>
    <w:qFormat/>
    <w:rsid w:val="001B5E5A"/>
    <w:rPr>
      <w:bdr w:val="none" w:sz="0" w:space="0" w:color="auto"/>
      <w:shd w:val="clear" w:color="auto" w:fill="B1F4FD"/>
    </w:rPr>
  </w:style>
  <w:style w:type="character" w:customStyle="1" w:styleId="HighlightYellow">
    <w:name w:val="Highlight Yellow"/>
    <w:basedOn w:val="DefaultParagraphFont"/>
    <w:uiPriority w:val="98"/>
    <w:qFormat/>
    <w:rsid w:val="001B5E5A"/>
    <w:rPr>
      <w:bdr w:val="none" w:sz="0" w:space="0" w:color="auto"/>
      <w:shd w:val="clear" w:color="auto" w:fill="FFFF00"/>
    </w:rPr>
  </w:style>
  <w:style w:type="character" w:customStyle="1" w:styleId="Italic">
    <w:name w:val="Italic"/>
    <w:basedOn w:val="DefaultParagraphFont"/>
    <w:qFormat/>
    <w:rsid w:val="00942B85"/>
    <w:rPr>
      <w:i/>
    </w:rPr>
  </w:style>
  <w:style w:type="character" w:customStyle="1" w:styleId="Runin">
    <w:name w:val="Run in"/>
    <w:basedOn w:val="DefaultParagraphFont"/>
    <w:qFormat/>
    <w:rsid w:val="00101FF2"/>
    <w:rPr>
      <w:b/>
      <w:i w:val="0"/>
      <w:color w:val="0B2949" w:themeColor="accent1"/>
    </w:rPr>
  </w:style>
  <w:style w:type="character" w:customStyle="1" w:styleId="TableTextTight">
    <w:name w:val="Table Text Tight"/>
    <w:qFormat/>
    <w:rsid w:val="009A40DC"/>
    <w:rPr>
      <w:sz w:val="16"/>
    </w:rPr>
  </w:style>
  <w:style w:type="paragraph" w:customStyle="1" w:styleId="Anchor">
    <w:name w:val="Anchor"/>
    <w:uiPriority w:val="1"/>
    <w:qFormat/>
    <w:rsid w:val="0094572A"/>
    <w:pPr>
      <w:spacing w:line="20" w:lineRule="exact"/>
    </w:pPr>
    <w:rPr>
      <w:rFonts w:ascii="Arial" w:eastAsia="Times New Roman" w:hAnsi="Arial" w:cs="Times New Roman"/>
      <w:noProof/>
      <w:color w:val="FFFFFF" w:themeColor="background1"/>
      <w:sz w:val="2"/>
      <w:szCs w:val="20"/>
      <w:vertAlign w:val="superscript"/>
    </w:rPr>
  </w:style>
  <w:style w:type="paragraph" w:customStyle="1" w:styleId="Banner">
    <w:name w:val="Banner"/>
    <w:basedOn w:val="Normal"/>
    <w:uiPriority w:val="1"/>
    <w:qFormat/>
    <w:rsid w:val="00CE25C7"/>
    <w:pPr>
      <w:pBdr>
        <w:top w:val="single" w:sz="48" w:space="1" w:color="0B2949" w:themeColor="accent1"/>
        <w:bottom w:val="single" w:sz="48" w:space="1" w:color="0B2949" w:themeColor="accent1"/>
        <w:right w:val="single" w:sz="48" w:space="4" w:color="0B2949" w:themeColor="accent1"/>
      </w:pBdr>
      <w:shd w:val="clear" w:color="auto" w:fill="0B2949" w:themeFill="accent1"/>
      <w:tabs>
        <w:tab w:val="left" w:pos="187"/>
      </w:tabs>
      <w:spacing w:after="184" w:line="600" w:lineRule="exact"/>
      <w:ind w:left="187" w:hanging="187"/>
    </w:pPr>
    <w:rPr>
      <w:rFonts w:asciiTheme="majorHAnsi" w:hAnsiTheme="majorHAnsi"/>
      <w:b/>
      <w:color w:val="FFFFFF" w:themeColor="background1"/>
      <w:sz w:val="48"/>
    </w:rPr>
  </w:style>
  <w:style w:type="paragraph" w:styleId="Bibliography">
    <w:name w:val="Bibliography"/>
    <w:basedOn w:val="Normal"/>
    <w:next w:val="Normal"/>
    <w:uiPriority w:val="1"/>
    <w:rsid w:val="003B7A1A"/>
    <w:pPr>
      <w:spacing w:before="80" w:after="60"/>
    </w:pPr>
  </w:style>
  <w:style w:type="paragraph" w:styleId="Caption">
    <w:name w:val="caption"/>
    <w:basedOn w:val="Normal"/>
    <w:next w:val="Normal"/>
    <w:uiPriority w:val="1"/>
    <w:qFormat/>
    <w:rsid w:val="008D1C7B"/>
    <w:pPr>
      <w:spacing w:after="200" w:line="260" w:lineRule="exact"/>
    </w:pPr>
    <w:rPr>
      <w:iCs/>
      <w:sz w:val="18"/>
      <w:szCs w:val="18"/>
    </w:rPr>
  </w:style>
  <w:style w:type="paragraph" w:styleId="Closing">
    <w:name w:val="Closing"/>
    <w:basedOn w:val="Normal"/>
    <w:link w:val="ClosingChar"/>
    <w:uiPriority w:val="99"/>
    <w:unhideWhenUsed/>
    <w:rsid w:val="00520526"/>
    <w:pPr>
      <w:ind w:left="4320"/>
      <w:contextualSpacing/>
    </w:pPr>
  </w:style>
  <w:style w:type="character" w:customStyle="1" w:styleId="ClosingChar">
    <w:name w:val="Closing Char"/>
    <w:basedOn w:val="DefaultParagraphFont"/>
    <w:link w:val="Closing"/>
    <w:uiPriority w:val="99"/>
    <w:rsid w:val="00520526"/>
    <w:rPr>
      <w:rFonts w:asciiTheme="minorHAnsi" w:eastAsia="Times New Roman" w:hAnsiTheme="minorHAnsi" w:cs="Times New Roman"/>
      <w:szCs w:val="20"/>
    </w:rPr>
  </w:style>
  <w:style w:type="paragraph" w:styleId="CommentText">
    <w:name w:val="annotation text"/>
    <w:basedOn w:val="Normal"/>
    <w:link w:val="CommentTextChar"/>
    <w:unhideWhenUsed/>
    <w:rsid w:val="008D1C7B"/>
    <w:rPr>
      <w:sz w:val="20"/>
    </w:rPr>
  </w:style>
  <w:style w:type="character" w:customStyle="1" w:styleId="CommentTextChar">
    <w:name w:val="Comment Text Char"/>
    <w:basedOn w:val="DefaultParagraphFont"/>
    <w:link w:val="CommentText"/>
    <w:rsid w:val="008D1C7B"/>
    <w:rPr>
      <w:rFonts w:asciiTheme="minorHAnsi" w:eastAsia="Times New Roman" w:hAnsiTheme="minorHAnsi" w:cs="Times New Roman"/>
      <w:sz w:val="20"/>
      <w:szCs w:val="20"/>
    </w:rPr>
  </w:style>
  <w:style w:type="paragraph" w:styleId="CommentSubject">
    <w:name w:val="annotation subject"/>
    <w:basedOn w:val="CommentText"/>
    <w:next w:val="CommentText"/>
    <w:link w:val="CommentSubjectChar"/>
    <w:uiPriority w:val="99"/>
    <w:semiHidden/>
    <w:unhideWhenUsed/>
    <w:rsid w:val="008D1C7B"/>
    <w:rPr>
      <w:b/>
      <w:bCs/>
    </w:rPr>
  </w:style>
  <w:style w:type="character" w:customStyle="1" w:styleId="CommentSubjectChar">
    <w:name w:val="Comment Subject Char"/>
    <w:basedOn w:val="CommentTextChar"/>
    <w:link w:val="CommentSubject"/>
    <w:uiPriority w:val="99"/>
    <w:semiHidden/>
    <w:rsid w:val="008D1C7B"/>
    <w:rPr>
      <w:rFonts w:asciiTheme="minorHAnsi" w:eastAsia="Times New Roman" w:hAnsiTheme="minorHAnsi" w:cs="Times New Roman"/>
      <w:b/>
      <w:bCs/>
      <w:sz w:val="20"/>
      <w:szCs w:val="20"/>
    </w:rPr>
  </w:style>
  <w:style w:type="character" w:styleId="CommentReference">
    <w:name w:val="annotation reference"/>
    <w:basedOn w:val="DefaultParagraphFont"/>
    <w:unhideWhenUsed/>
    <w:rsid w:val="008D1C7B"/>
    <w:rPr>
      <w:rFonts w:asciiTheme="minorHAnsi" w:hAnsiTheme="minorHAnsi"/>
      <w:sz w:val="16"/>
      <w:szCs w:val="16"/>
    </w:rPr>
  </w:style>
  <w:style w:type="paragraph" w:styleId="ListBullet2">
    <w:name w:val="List Bullet 2"/>
    <w:basedOn w:val="Normal"/>
    <w:uiPriority w:val="1"/>
    <w:unhideWhenUsed/>
    <w:rsid w:val="006D08E8"/>
    <w:pPr>
      <w:numPr>
        <w:numId w:val="7"/>
      </w:numPr>
      <w:tabs>
        <w:tab w:val="left" w:pos="432"/>
      </w:tabs>
      <w:spacing w:before="120" w:after="120"/>
      <w:ind w:left="720"/>
    </w:pPr>
  </w:style>
  <w:style w:type="paragraph" w:customStyle="1" w:styleId="Feature1ListBullet">
    <w:name w:val="Feature1 List Bullet"/>
    <w:basedOn w:val="ListBullet"/>
    <w:uiPriority w:val="1"/>
    <w:qFormat/>
    <w:rsid w:val="008A47D0"/>
    <w:pPr>
      <w:spacing w:after="0"/>
      <w:contextualSpacing/>
    </w:pPr>
    <w:rPr>
      <w:sz w:val="20"/>
    </w:rPr>
  </w:style>
  <w:style w:type="paragraph" w:customStyle="1" w:styleId="Feature1ListNumbered">
    <w:name w:val="Feature1 List Numbered"/>
    <w:basedOn w:val="ListNumber"/>
    <w:uiPriority w:val="1"/>
    <w:qFormat/>
    <w:rsid w:val="008A47D0"/>
    <w:pPr>
      <w:spacing w:after="0"/>
      <w:contextualSpacing/>
    </w:pPr>
    <w:rPr>
      <w:sz w:val="20"/>
    </w:rPr>
  </w:style>
  <w:style w:type="paragraph" w:customStyle="1" w:styleId="Feature20">
    <w:name w:val="Feature2"/>
    <w:basedOn w:val="Feature1"/>
    <w:uiPriority w:val="1"/>
    <w:qFormat/>
    <w:rsid w:val="006C742B"/>
    <w:rPr>
      <w:rFonts w:asciiTheme="majorHAnsi" w:hAnsiTheme="majorHAnsi"/>
    </w:rPr>
  </w:style>
  <w:style w:type="paragraph" w:customStyle="1" w:styleId="Feature2ListBullet">
    <w:name w:val="Feature2 List Bullet"/>
    <w:basedOn w:val="Feature1ListBullet"/>
    <w:uiPriority w:val="1"/>
    <w:qFormat/>
    <w:rsid w:val="00DF2B65"/>
    <w:pPr>
      <w:numPr>
        <w:numId w:val="22"/>
      </w:numPr>
    </w:pPr>
    <w:rPr>
      <w:rFonts w:asciiTheme="majorHAnsi" w:hAnsiTheme="majorHAnsi"/>
    </w:rPr>
  </w:style>
  <w:style w:type="paragraph" w:customStyle="1" w:styleId="Feature2Head">
    <w:name w:val="Feature2 Head"/>
    <w:basedOn w:val="Feature1Head"/>
    <w:uiPriority w:val="1"/>
    <w:qFormat/>
    <w:rsid w:val="005C080F"/>
    <w:rPr>
      <w:b/>
      <w:color w:val="0B2949" w:themeColor="accent1"/>
    </w:rPr>
  </w:style>
  <w:style w:type="paragraph" w:customStyle="1" w:styleId="Feature2ListHead">
    <w:name w:val="Feature2 List Head"/>
    <w:basedOn w:val="Feature1ListHead"/>
    <w:uiPriority w:val="1"/>
    <w:qFormat/>
    <w:rsid w:val="00F366FB"/>
    <w:rPr>
      <w:rFonts w:asciiTheme="majorHAnsi" w:hAnsiTheme="majorHAnsi"/>
      <w:sz w:val="20"/>
    </w:rPr>
  </w:style>
  <w:style w:type="paragraph" w:customStyle="1" w:styleId="Feature2ListNumbered">
    <w:name w:val="Feature2 List Numbered"/>
    <w:basedOn w:val="Feature20"/>
    <w:uiPriority w:val="1"/>
    <w:qFormat/>
    <w:rsid w:val="00A238DD"/>
    <w:pPr>
      <w:numPr>
        <w:numId w:val="17"/>
      </w:numPr>
    </w:pPr>
  </w:style>
  <w:style w:type="paragraph" w:customStyle="1" w:styleId="Feature2Title">
    <w:name w:val="Feature2 Title"/>
    <w:basedOn w:val="Feature1Title"/>
    <w:uiPriority w:val="1"/>
    <w:qFormat/>
    <w:rsid w:val="00A90B5D"/>
    <w:pPr>
      <w:pBdr>
        <w:top w:val="single" w:sz="8" w:space="1" w:color="046B5C" w:themeColor="text2"/>
        <w:bottom w:val="dotted" w:sz="6" w:space="3" w:color="046B5C" w:themeColor="text2"/>
      </w:pBdr>
      <w:shd w:val="clear" w:color="auto" w:fill="auto"/>
      <w:ind w:left="0" w:firstLine="0"/>
    </w:pPr>
    <w:rPr>
      <w:color w:val="0B2949" w:themeColor="accent1"/>
    </w:rPr>
  </w:style>
  <w:style w:type="paragraph" w:styleId="List">
    <w:name w:val="List"/>
    <w:basedOn w:val="Normal"/>
    <w:uiPriority w:val="1"/>
    <w:unhideWhenUsed/>
    <w:rsid w:val="00405454"/>
    <w:pPr>
      <w:numPr>
        <w:numId w:val="21"/>
      </w:numPr>
      <w:spacing w:before="120" w:after="120"/>
    </w:pPr>
  </w:style>
  <w:style w:type="paragraph" w:styleId="List2">
    <w:name w:val="List 2"/>
    <w:basedOn w:val="Normal"/>
    <w:uiPriority w:val="1"/>
    <w:unhideWhenUsed/>
    <w:rsid w:val="006D08E8"/>
    <w:pPr>
      <w:numPr>
        <w:ilvl w:val="1"/>
        <w:numId w:val="21"/>
      </w:numPr>
      <w:spacing w:before="120" w:after="120"/>
    </w:pPr>
  </w:style>
  <w:style w:type="paragraph" w:styleId="List3">
    <w:name w:val="List 3"/>
    <w:basedOn w:val="Normal"/>
    <w:uiPriority w:val="1"/>
    <w:unhideWhenUsed/>
    <w:rsid w:val="006D08E8"/>
    <w:pPr>
      <w:numPr>
        <w:ilvl w:val="2"/>
        <w:numId w:val="21"/>
      </w:numPr>
      <w:spacing w:before="120" w:after="120"/>
    </w:pPr>
  </w:style>
  <w:style w:type="paragraph" w:styleId="List4">
    <w:name w:val="List 4"/>
    <w:basedOn w:val="Normal"/>
    <w:uiPriority w:val="99"/>
    <w:unhideWhenUsed/>
    <w:rsid w:val="00D307C9"/>
    <w:pPr>
      <w:numPr>
        <w:ilvl w:val="3"/>
        <w:numId w:val="21"/>
      </w:numPr>
      <w:spacing w:before="120" w:after="120"/>
      <w:contextualSpacing/>
    </w:pPr>
  </w:style>
  <w:style w:type="paragraph" w:styleId="List5">
    <w:name w:val="List 5"/>
    <w:basedOn w:val="Normal"/>
    <w:uiPriority w:val="99"/>
    <w:unhideWhenUsed/>
    <w:rsid w:val="00855C5D"/>
    <w:pPr>
      <w:numPr>
        <w:ilvl w:val="4"/>
        <w:numId w:val="21"/>
      </w:numPr>
      <w:contextualSpacing/>
    </w:pPr>
  </w:style>
  <w:style w:type="paragraph" w:styleId="ListBullet3">
    <w:name w:val="List Bullet 3"/>
    <w:basedOn w:val="Normal"/>
    <w:uiPriority w:val="1"/>
    <w:unhideWhenUsed/>
    <w:rsid w:val="0010008A"/>
    <w:pPr>
      <w:numPr>
        <w:numId w:val="8"/>
      </w:numPr>
      <w:tabs>
        <w:tab w:val="left" w:pos="432"/>
      </w:tabs>
      <w:spacing w:before="120" w:after="120"/>
      <w:ind w:left="1166"/>
    </w:pPr>
  </w:style>
  <w:style w:type="paragraph" w:styleId="ListContinue">
    <w:name w:val="List Continue"/>
    <w:basedOn w:val="Normal"/>
    <w:uiPriority w:val="1"/>
    <w:unhideWhenUsed/>
    <w:rsid w:val="006D08E8"/>
    <w:pPr>
      <w:spacing w:before="120" w:after="120"/>
      <w:ind w:left="360"/>
    </w:pPr>
  </w:style>
  <w:style w:type="paragraph" w:styleId="ListContinue2">
    <w:name w:val="List Continue 2"/>
    <w:basedOn w:val="Normal"/>
    <w:uiPriority w:val="1"/>
    <w:unhideWhenUsed/>
    <w:rsid w:val="006D08E8"/>
    <w:pPr>
      <w:spacing w:before="120" w:after="120"/>
      <w:ind w:left="720"/>
    </w:pPr>
  </w:style>
  <w:style w:type="paragraph" w:styleId="ListContinue3">
    <w:name w:val="List Continue 3"/>
    <w:basedOn w:val="Normal"/>
    <w:uiPriority w:val="1"/>
    <w:unhideWhenUsed/>
    <w:rsid w:val="00995AE9"/>
    <w:pPr>
      <w:spacing w:before="120" w:after="120"/>
      <w:ind w:left="1080"/>
    </w:pPr>
  </w:style>
  <w:style w:type="paragraph" w:styleId="ListBullet4">
    <w:name w:val="List Bullet 4"/>
    <w:basedOn w:val="Normal"/>
    <w:uiPriority w:val="99"/>
    <w:unhideWhenUsed/>
    <w:rsid w:val="001E0620"/>
    <w:pPr>
      <w:numPr>
        <w:numId w:val="9"/>
      </w:numPr>
      <w:contextualSpacing/>
    </w:pPr>
  </w:style>
  <w:style w:type="paragraph" w:styleId="ListBullet5">
    <w:name w:val="List Bullet 5"/>
    <w:basedOn w:val="Normal"/>
    <w:uiPriority w:val="99"/>
    <w:unhideWhenUsed/>
    <w:rsid w:val="001E0620"/>
    <w:pPr>
      <w:numPr>
        <w:numId w:val="10"/>
      </w:numPr>
      <w:contextualSpacing/>
    </w:pPr>
  </w:style>
  <w:style w:type="paragraph" w:styleId="ListNumber2">
    <w:name w:val="List Number 2"/>
    <w:basedOn w:val="Normal"/>
    <w:uiPriority w:val="1"/>
    <w:unhideWhenUsed/>
    <w:rsid w:val="00B74927"/>
    <w:pPr>
      <w:numPr>
        <w:numId w:val="12"/>
      </w:numPr>
      <w:spacing w:before="120" w:after="120"/>
    </w:pPr>
  </w:style>
  <w:style w:type="paragraph" w:styleId="ListNumber3">
    <w:name w:val="List Number 3"/>
    <w:basedOn w:val="Normal"/>
    <w:uiPriority w:val="1"/>
    <w:unhideWhenUsed/>
    <w:rsid w:val="00B74927"/>
    <w:pPr>
      <w:numPr>
        <w:numId w:val="13"/>
      </w:numPr>
      <w:spacing w:before="120" w:after="120"/>
    </w:pPr>
  </w:style>
  <w:style w:type="paragraph" w:customStyle="1" w:styleId="Outline2">
    <w:name w:val="Outline 2"/>
    <w:basedOn w:val="Normal"/>
    <w:next w:val="Paragraph"/>
    <w:uiPriority w:val="1"/>
    <w:unhideWhenUsed/>
    <w:qFormat/>
    <w:rsid w:val="000C53A3"/>
    <w:pPr>
      <w:keepNext/>
      <w:keepLines/>
      <w:numPr>
        <w:ilvl w:val="1"/>
        <w:numId w:val="15"/>
      </w:numPr>
      <w:tabs>
        <w:tab w:val="left" w:pos="432"/>
      </w:tabs>
      <w:spacing w:before="240" w:after="120" w:line="360" w:lineRule="exact"/>
      <w:outlineLvl w:val="2"/>
    </w:pPr>
    <w:rPr>
      <w:rFonts w:asciiTheme="majorHAnsi" w:hAnsiTheme="majorHAnsi"/>
      <w:color w:val="046B5C" w:themeColor="text2"/>
      <w:sz w:val="28"/>
    </w:rPr>
  </w:style>
  <w:style w:type="paragraph" w:customStyle="1" w:styleId="Outline3">
    <w:name w:val="Outline 3"/>
    <w:basedOn w:val="Normal"/>
    <w:uiPriority w:val="1"/>
    <w:unhideWhenUsed/>
    <w:qFormat/>
    <w:rsid w:val="000C53A3"/>
    <w:pPr>
      <w:keepNext/>
      <w:keepLines/>
      <w:numPr>
        <w:ilvl w:val="2"/>
        <w:numId w:val="15"/>
      </w:numPr>
      <w:tabs>
        <w:tab w:val="left" w:pos="432"/>
      </w:tabs>
      <w:spacing w:before="80" w:after="160"/>
      <w:outlineLvl w:val="3"/>
    </w:pPr>
    <w:rPr>
      <w:b/>
      <w:i/>
    </w:rPr>
  </w:style>
  <w:style w:type="paragraph" w:customStyle="1" w:styleId="Outline4">
    <w:name w:val="Outline 4"/>
    <w:basedOn w:val="Normal"/>
    <w:next w:val="Paragraph"/>
    <w:uiPriority w:val="1"/>
    <w:unhideWhenUsed/>
    <w:qFormat/>
    <w:rsid w:val="000C53A3"/>
    <w:pPr>
      <w:keepNext/>
      <w:keepLines/>
      <w:numPr>
        <w:ilvl w:val="3"/>
        <w:numId w:val="15"/>
      </w:numPr>
      <w:tabs>
        <w:tab w:val="left" w:pos="432"/>
      </w:tabs>
      <w:spacing w:before="80" w:after="160"/>
      <w:outlineLvl w:val="4"/>
    </w:pPr>
    <w:rPr>
      <w:color w:val="046B5C" w:themeColor="text2"/>
    </w:rPr>
  </w:style>
  <w:style w:type="paragraph" w:styleId="Quote">
    <w:name w:val="Quote"/>
    <w:basedOn w:val="Normal"/>
    <w:next w:val="Normal"/>
    <w:link w:val="QuoteChar"/>
    <w:uiPriority w:val="1"/>
    <w:qFormat/>
    <w:rsid w:val="00EE61F6"/>
    <w:pPr>
      <w:spacing w:before="60" w:after="60" w:line="300" w:lineRule="exact"/>
    </w:pPr>
    <w:rPr>
      <w:i/>
      <w:iCs/>
      <w:color w:val="000000" w:themeColor="text1"/>
      <w:sz w:val="20"/>
    </w:rPr>
  </w:style>
  <w:style w:type="character" w:customStyle="1" w:styleId="QuoteChar">
    <w:name w:val="Quote Char"/>
    <w:basedOn w:val="DefaultParagraphFont"/>
    <w:link w:val="Quote"/>
    <w:uiPriority w:val="1"/>
    <w:rsid w:val="00EE61F6"/>
    <w:rPr>
      <w:rFonts w:asciiTheme="minorHAnsi" w:eastAsia="Times New Roman" w:hAnsiTheme="minorHAnsi" w:cs="Times New Roman"/>
      <w:i/>
      <w:iCs/>
      <w:color w:val="000000" w:themeColor="text1"/>
      <w:sz w:val="20"/>
      <w:szCs w:val="20"/>
    </w:rPr>
  </w:style>
  <w:style w:type="paragraph" w:customStyle="1" w:styleId="QuoteAttribution">
    <w:name w:val="Quote Attribution"/>
    <w:basedOn w:val="Quote"/>
    <w:uiPriority w:val="1"/>
    <w:qFormat/>
    <w:rsid w:val="00844E31"/>
    <w:pPr>
      <w:spacing w:before="120"/>
      <w:jc w:val="right"/>
    </w:pPr>
    <w:rPr>
      <w:i w:val="0"/>
    </w:rPr>
  </w:style>
  <w:style w:type="paragraph" w:styleId="Salutation">
    <w:name w:val="Salutation"/>
    <w:basedOn w:val="Normal"/>
    <w:next w:val="Normal"/>
    <w:link w:val="SalutationChar"/>
    <w:uiPriority w:val="1"/>
    <w:unhideWhenUsed/>
    <w:rsid w:val="00520526"/>
    <w:pPr>
      <w:tabs>
        <w:tab w:val="left" w:pos="1620"/>
      </w:tabs>
      <w:spacing w:before="240" w:after="360" w:line="276" w:lineRule="auto"/>
    </w:pPr>
  </w:style>
  <w:style w:type="character" w:customStyle="1" w:styleId="SalutationChar">
    <w:name w:val="Salutation Char"/>
    <w:basedOn w:val="DefaultParagraphFont"/>
    <w:link w:val="Salutation"/>
    <w:uiPriority w:val="1"/>
    <w:rsid w:val="00520526"/>
    <w:rPr>
      <w:rFonts w:asciiTheme="minorHAnsi" w:eastAsia="Times New Roman" w:hAnsiTheme="minorHAnsi" w:cs="Times New Roman"/>
      <w:szCs w:val="20"/>
    </w:rPr>
  </w:style>
  <w:style w:type="paragraph" w:styleId="Signature">
    <w:name w:val="Signature"/>
    <w:basedOn w:val="Normal"/>
    <w:link w:val="SignatureChar"/>
    <w:uiPriority w:val="1"/>
    <w:unhideWhenUsed/>
    <w:rsid w:val="00A15916"/>
    <w:pPr>
      <w:ind w:left="4320"/>
    </w:pPr>
  </w:style>
  <w:style w:type="character" w:customStyle="1" w:styleId="SignatureChar">
    <w:name w:val="Signature Char"/>
    <w:basedOn w:val="DefaultParagraphFont"/>
    <w:link w:val="Signature"/>
    <w:uiPriority w:val="1"/>
    <w:rsid w:val="003D1AD9"/>
    <w:rPr>
      <w:rFonts w:asciiTheme="minorHAnsi" w:eastAsia="Times New Roman" w:hAnsiTheme="minorHAnsi" w:cs="Times New Roman"/>
      <w:szCs w:val="20"/>
    </w:rPr>
  </w:style>
  <w:style w:type="paragraph" w:customStyle="1" w:styleId="LogoAnchor">
    <w:name w:val="Logo_Anchor"/>
    <w:basedOn w:val="Normal"/>
    <w:uiPriority w:val="1"/>
    <w:qFormat/>
    <w:rsid w:val="00E97A54"/>
    <w:pPr>
      <w:spacing w:before="240"/>
      <w:jc w:val="center"/>
    </w:pPr>
    <w:rPr>
      <w:sz w:val="4"/>
    </w:rPr>
  </w:style>
  <w:style w:type="paragraph" w:customStyle="1" w:styleId="SidebarHead">
    <w:name w:val="Sidebar Head"/>
    <w:basedOn w:val="Normal"/>
    <w:uiPriority w:val="1"/>
    <w:qFormat/>
    <w:rsid w:val="007126CA"/>
    <w:pPr>
      <w:keepNext/>
      <w:tabs>
        <w:tab w:val="left" w:pos="432"/>
      </w:tabs>
      <w:spacing w:before="120" w:after="40"/>
      <w:contextualSpacing/>
      <w:outlineLvl w:val="1"/>
    </w:pPr>
    <w:rPr>
      <w:rFonts w:asciiTheme="majorHAnsi" w:hAnsiTheme="majorHAnsi"/>
      <w:b/>
      <w:color w:val="000000" w:themeColor="text1"/>
      <w:sz w:val="20"/>
    </w:rPr>
  </w:style>
  <w:style w:type="paragraph" w:customStyle="1" w:styleId="Sidebar">
    <w:name w:val="Sidebar"/>
    <w:basedOn w:val="Normal"/>
    <w:uiPriority w:val="1"/>
    <w:qFormat/>
    <w:rsid w:val="006C742B"/>
    <w:pPr>
      <w:tabs>
        <w:tab w:val="left" w:pos="792"/>
      </w:tabs>
      <w:spacing w:after="60"/>
    </w:pPr>
    <w:rPr>
      <w:rFonts w:asciiTheme="majorHAnsi" w:hAnsiTheme="majorHAnsi" w:cs="Arial"/>
      <w:color w:val="000000" w:themeColor="text1"/>
      <w:spacing w:val="-4"/>
      <w:sz w:val="20"/>
    </w:rPr>
  </w:style>
  <w:style w:type="character" w:styleId="Hyperlink">
    <w:name w:val="Hyperlink"/>
    <w:basedOn w:val="DefaultParagraphFont"/>
    <w:uiPriority w:val="99"/>
    <w:unhideWhenUsed/>
    <w:rsid w:val="00E97A54"/>
    <w:rPr>
      <w:color w:val="0563C1" w:themeColor="hyperlink"/>
      <w:u w:val="single"/>
    </w:rPr>
  </w:style>
  <w:style w:type="paragraph" w:customStyle="1" w:styleId="SidebarListBullet">
    <w:name w:val="Sidebar List Bullet"/>
    <w:basedOn w:val="Sidebar"/>
    <w:uiPriority w:val="1"/>
    <w:qFormat/>
    <w:rsid w:val="00903E62"/>
    <w:pPr>
      <w:numPr>
        <w:numId w:val="3"/>
      </w:numPr>
      <w:tabs>
        <w:tab w:val="clear" w:pos="792"/>
        <w:tab w:val="left" w:pos="540"/>
      </w:tabs>
      <w:ind w:left="288" w:hanging="288"/>
    </w:pPr>
    <w:rPr>
      <w:color w:val="000000"/>
      <w:szCs w:val="21"/>
    </w:rPr>
  </w:style>
  <w:style w:type="paragraph" w:customStyle="1" w:styleId="SidebarListNumber">
    <w:name w:val="Sidebar List Number"/>
    <w:basedOn w:val="Sidebar"/>
    <w:uiPriority w:val="1"/>
    <w:qFormat/>
    <w:rsid w:val="00903E62"/>
    <w:pPr>
      <w:numPr>
        <w:numId w:val="4"/>
      </w:numPr>
      <w:tabs>
        <w:tab w:val="clear" w:pos="792"/>
      </w:tabs>
      <w:ind w:left="288" w:hanging="288"/>
    </w:pPr>
    <w:rPr>
      <w:color w:val="000000"/>
      <w:szCs w:val="21"/>
    </w:rPr>
  </w:style>
  <w:style w:type="paragraph" w:customStyle="1" w:styleId="SidebarTitle">
    <w:name w:val="Sidebar Title"/>
    <w:basedOn w:val="SidebarHead"/>
    <w:qFormat/>
    <w:rsid w:val="00A90B5D"/>
    <w:pPr>
      <w:pBdr>
        <w:bottom w:val="single" w:sz="6" w:space="2" w:color="000000" w:themeColor="text1"/>
      </w:pBdr>
      <w:spacing w:before="0"/>
      <w:jc w:val="center"/>
      <w:outlineLvl w:val="9"/>
    </w:pPr>
    <w:rPr>
      <w:sz w:val="22"/>
    </w:rPr>
  </w:style>
  <w:style w:type="paragraph" w:customStyle="1" w:styleId="Byline">
    <w:name w:val="Byline"/>
    <w:basedOn w:val="QuoteAttribution"/>
    <w:uiPriority w:val="1"/>
    <w:qFormat/>
    <w:rsid w:val="009E5649"/>
    <w:rPr>
      <w:rFonts w:asciiTheme="majorHAnsi" w:hAnsiTheme="majorHAnsi"/>
      <w:b/>
    </w:rPr>
  </w:style>
  <w:style w:type="paragraph" w:customStyle="1" w:styleId="Author">
    <w:name w:val="Author"/>
    <w:basedOn w:val="Byline"/>
    <w:uiPriority w:val="1"/>
    <w:qFormat/>
    <w:rsid w:val="004C46F2"/>
    <w:pPr>
      <w:jc w:val="left"/>
    </w:pPr>
  </w:style>
  <w:style w:type="paragraph" w:customStyle="1" w:styleId="TableTextCentered">
    <w:name w:val="Table Text Centered"/>
    <w:basedOn w:val="TableTextLeft"/>
    <w:uiPriority w:val="1"/>
    <w:qFormat/>
    <w:rsid w:val="009174DF"/>
    <w:pPr>
      <w:jc w:val="center"/>
    </w:pPr>
  </w:style>
  <w:style w:type="paragraph" w:customStyle="1" w:styleId="TableTextDecimal">
    <w:name w:val="Table Text Decimal"/>
    <w:basedOn w:val="TableTextLeft"/>
    <w:uiPriority w:val="1"/>
    <w:qFormat/>
    <w:rsid w:val="006C742B"/>
    <w:pPr>
      <w:framePr w:hSpace="187" w:vSpace="43" w:wrap="notBeside" w:vAnchor="text" w:hAnchor="margin" w:y="44"/>
      <w:tabs>
        <w:tab w:val="decimal" w:pos="716"/>
      </w:tabs>
      <w:textboxTightWrap w:val="allLines"/>
    </w:pPr>
  </w:style>
  <w:style w:type="paragraph" w:customStyle="1" w:styleId="TableRowHead">
    <w:name w:val="Table Row Head"/>
    <w:basedOn w:val="TableHeaderLeft"/>
    <w:uiPriority w:val="1"/>
    <w:qFormat/>
    <w:rsid w:val="00775B80"/>
    <w:pPr>
      <w:keepNext/>
      <w:spacing w:before="60" w:after="40"/>
    </w:pPr>
    <w:rPr>
      <w:color w:val="auto"/>
    </w:rPr>
  </w:style>
  <w:style w:type="paragraph" w:customStyle="1" w:styleId="Pubinfo">
    <w:name w:val="Pubinfo"/>
    <w:basedOn w:val="Byline"/>
    <w:uiPriority w:val="1"/>
    <w:qFormat/>
    <w:rsid w:val="00D00365"/>
    <w:pPr>
      <w:spacing w:before="0" w:after="120"/>
      <w:jc w:val="left"/>
    </w:pPr>
    <w:rPr>
      <w:b w:val="0"/>
    </w:rPr>
  </w:style>
  <w:style w:type="paragraph" w:customStyle="1" w:styleId="PubinfoHead">
    <w:name w:val="Pubinfo Head"/>
    <w:basedOn w:val="Pubinfo"/>
    <w:uiPriority w:val="1"/>
    <w:qFormat/>
    <w:rsid w:val="0061557F"/>
    <w:pPr>
      <w:spacing w:after="240"/>
    </w:pPr>
    <w:rPr>
      <w:b/>
    </w:rPr>
  </w:style>
  <w:style w:type="paragraph" w:customStyle="1" w:styleId="PubinfoList">
    <w:name w:val="Pubinfo List"/>
    <w:basedOn w:val="PubinfoHead"/>
    <w:uiPriority w:val="1"/>
    <w:qFormat/>
    <w:rsid w:val="00072851"/>
    <w:pPr>
      <w:spacing w:before="60" w:after="60"/>
      <w:ind w:left="432" w:hanging="432"/>
    </w:pPr>
    <w:rPr>
      <w:rFonts w:asciiTheme="minorHAnsi" w:hAnsiTheme="minorHAnsi"/>
      <w:b w:val="0"/>
    </w:rPr>
  </w:style>
  <w:style w:type="character" w:customStyle="1" w:styleId="Superscript">
    <w:name w:val="Superscript"/>
    <w:basedOn w:val="DefaultParagraphFont"/>
    <w:qFormat/>
    <w:rsid w:val="00E04596"/>
    <w:rPr>
      <w:vertAlign w:val="superscript"/>
    </w:rPr>
  </w:style>
  <w:style w:type="character" w:customStyle="1" w:styleId="Subscript">
    <w:name w:val="Subscript"/>
    <w:basedOn w:val="DefaultParagraphFont"/>
    <w:qFormat/>
    <w:rsid w:val="00E04596"/>
    <w:rPr>
      <w:vertAlign w:val="subscript"/>
    </w:rPr>
  </w:style>
  <w:style w:type="character" w:customStyle="1" w:styleId="Underline">
    <w:name w:val="Underline"/>
    <w:basedOn w:val="DefaultParagraphFont"/>
    <w:qFormat/>
    <w:rsid w:val="00BB5302"/>
    <w:rPr>
      <w:u w:val="single"/>
    </w:rPr>
  </w:style>
  <w:style w:type="paragraph" w:customStyle="1" w:styleId="ExhibitFootnote">
    <w:name w:val="Exhibit Footnote"/>
    <w:basedOn w:val="ExhibitSource"/>
    <w:uiPriority w:val="1"/>
    <w:qFormat/>
    <w:rsid w:val="006C742B"/>
    <w:pPr>
      <w:ind w:left="0" w:firstLine="0"/>
    </w:pPr>
  </w:style>
  <w:style w:type="paragraph" w:customStyle="1" w:styleId="ListHead">
    <w:name w:val="List Head"/>
    <w:basedOn w:val="Normal"/>
    <w:uiPriority w:val="1"/>
    <w:qFormat/>
    <w:rsid w:val="000C53A3"/>
    <w:pPr>
      <w:keepNext/>
      <w:tabs>
        <w:tab w:val="left" w:pos="432"/>
      </w:tabs>
      <w:spacing w:before="360" w:after="120"/>
      <w:ind w:left="432" w:hanging="432"/>
    </w:pPr>
    <w:rPr>
      <w:b/>
      <w:color w:val="046B5C" w:themeColor="text2"/>
    </w:rPr>
  </w:style>
  <w:style w:type="paragraph" w:styleId="NoSpacing">
    <w:name w:val="No Spacing"/>
    <w:link w:val="NoSpacingChar"/>
    <w:uiPriority w:val="1"/>
    <w:qFormat/>
    <w:rsid w:val="006C742B"/>
    <w:pPr>
      <w:spacing w:after="0"/>
    </w:pPr>
    <w:rPr>
      <w:rFonts w:asciiTheme="minorHAnsi" w:hAnsiTheme="minorHAnsi"/>
      <w:sz w:val="22"/>
      <w:szCs w:val="22"/>
    </w:rPr>
  </w:style>
  <w:style w:type="character" w:customStyle="1" w:styleId="NoSpacingChar">
    <w:name w:val="No Spacing Char"/>
    <w:basedOn w:val="DefaultParagraphFont"/>
    <w:link w:val="NoSpacing"/>
    <w:uiPriority w:val="1"/>
    <w:rsid w:val="006C742B"/>
    <w:rPr>
      <w:rFonts w:asciiTheme="minorHAnsi" w:hAnsiTheme="minorHAnsi"/>
      <w:sz w:val="22"/>
      <w:szCs w:val="22"/>
    </w:rPr>
  </w:style>
  <w:style w:type="paragraph" w:styleId="NoteHeading">
    <w:name w:val="Note Heading"/>
    <w:basedOn w:val="Feature2Head"/>
    <w:next w:val="Normal"/>
    <w:link w:val="NoteHeadingChar"/>
    <w:uiPriority w:val="1"/>
    <w:rsid w:val="007E2AEF"/>
    <w:pPr>
      <w:spacing w:before="0"/>
    </w:pPr>
    <w:rPr>
      <w:caps/>
      <w:sz w:val="20"/>
    </w:rPr>
  </w:style>
  <w:style w:type="character" w:customStyle="1" w:styleId="NoteHeadingChar">
    <w:name w:val="Note Heading Char"/>
    <w:basedOn w:val="DefaultParagraphFont"/>
    <w:link w:val="NoteHeading"/>
    <w:uiPriority w:val="1"/>
    <w:rsid w:val="007E2AEF"/>
    <w:rPr>
      <w:rFonts w:asciiTheme="majorHAnsi" w:eastAsia="Times New Roman" w:hAnsiTheme="majorHAnsi" w:cs="Times New Roman"/>
      <w:b/>
      <w:caps/>
      <w:color w:val="0B2949" w:themeColor="accent1"/>
      <w:sz w:val="20"/>
      <w:szCs w:val="20"/>
    </w:rPr>
  </w:style>
  <w:style w:type="paragraph" w:customStyle="1" w:styleId="Notes">
    <w:name w:val="Notes"/>
    <w:basedOn w:val="Normal"/>
    <w:uiPriority w:val="1"/>
    <w:qFormat/>
    <w:rsid w:val="007A4712"/>
    <w:pPr>
      <w:spacing w:after="60"/>
    </w:pPr>
    <w:rPr>
      <w:rFonts w:asciiTheme="majorHAnsi" w:hAnsiTheme="majorHAnsi"/>
      <w:color w:val="046B5C" w:themeColor="text2"/>
      <w:sz w:val="20"/>
    </w:rPr>
  </w:style>
  <w:style w:type="paragraph" w:customStyle="1" w:styleId="PubinfoNumber">
    <w:name w:val="Pubinfo Number"/>
    <w:basedOn w:val="Pubinfo"/>
    <w:uiPriority w:val="1"/>
    <w:qFormat/>
    <w:rsid w:val="00072851"/>
  </w:style>
  <w:style w:type="paragraph" w:customStyle="1" w:styleId="PubinfoCategory">
    <w:name w:val="Pubinfo Category"/>
    <w:basedOn w:val="PubinfoNumber"/>
    <w:uiPriority w:val="1"/>
    <w:qFormat/>
    <w:rsid w:val="00072851"/>
    <w:rPr>
      <w:rFonts w:cstheme="majorHAnsi"/>
      <w:b/>
      <w:smallCaps/>
    </w:rPr>
  </w:style>
  <w:style w:type="paragraph" w:customStyle="1" w:styleId="ESH1">
    <w:name w:val="ES H1"/>
    <w:basedOn w:val="Normal"/>
    <w:uiPriority w:val="1"/>
    <w:qFormat/>
    <w:rsid w:val="000C53A3"/>
    <w:pPr>
      <w:keepNext/>
      <w:pageBreakBefore/>
      <w:tabs>
        <w:tab w:val="left" w:pos="432"/>
      </w:tabs>
      <w:spacing w:before="240" w:line="370" w:lineRule="exact"/>
      <w:ind w:left="432" w:hanging="432"/>
      <w:outlineLvl w:val="1"/>
    </w:pPr>
    <w:rPr>
      <w:rFonts w:asciiTheme="majorHAnsi" w:hAnsiTheme="majorHAnsi"/>
      <w:b/>
      <w:caps/>
      <w:color w:val="046B5C" w:themeColor="text2"/>
      <w:sz w:val="32"/>
    </w:rPr>
  </w:style>
  <w:style w:type="paragraph" w:customStyle="1" w:styleId="ESListBullet">
    <w:name w:val="ES List Bullet"/>
    <w:basedOn w:val="Feature1ListBullet"/>
    <w:uiPriority w:val="1"/>
    <w:qFormat/>
    <w:rsid w:val="00BB1396"/>
    <w:pPr>
      <w:numPr>
        <w:numId w:val="5"/>
      </w:numPr>
      <w:ind w:left="360"/>
    </w:pPr>
    <w:rPr>
      <w:rFonts w:asciiTheme="majorHAnsi" w:hAnsiTheme="majorHAnsi"/>
      <w:color w:val="000000" w:themeColor="text1"/>
      <w:sz w:val="22"/>
    </w:rPr>
  </w:style>
  <w:style w:type="paragraph" w:customStyle="1" w:styleId="ESParagraph">
    <w:name w:val="ES Paragraph"/>
    <w:basedOn w:val="Paragraph"/>
    <w:uiPriority w:val="1"/>
    <w:qFormat/>
    <w:rsid w:val="00BB1396"/>
    <w:rPr>
      <w:rFonts w:asciiTheme="majorHAnsi" w:hAnsiTheme="majorHAnsi"/>
      <w:color w:val="000000" w:themeColor="text1"/>
      <w:sz w:val="22"/>
    </w:rPr>
  </w:style>
  <w:style w:type="paragraph" w:customStyle="1" w:styleId="TableSignificance">
    <w:name w:val="Table Significance"/>
    <w:basedOn w:val="TableFootnote"/>
    <w:uiPriority w:val="1"/>
    <w:qFormat/>
    <w:rsid w:val="00C849F7"/>
    <w:pPr>
      <w:tabs>
        <w:tab w:val="clear" w:pos="1080"/>
        <w:tab w:val="right" w:pos="360"/>
        <w:tab w:val="left" w:pos="540"/>
      </w:tabs>
      <w:ind w:left="533" w:hanging="720"/>
    </w:pPr>
  </w:style>
  <w:style w:type="paragraph" w:customStyle="1" w:styleId="ESSidebar">
    <w:name w:val="ES Sidebar"/>
    <w:basedOn w:val="Sidebar"/>
    <w:uiPriority w:val="1"/>
    <w:qFormat/>
    <w:rsid w:val="00603734"/>
  </w:style>
  <w:style w:type="paragraph" w:customStyle="1" w:styleId="FAQQuestion">
    <w:name w:val="FAQ Question"/>
    <w:basedOn w:val="Normal"/>
    <w:uiPriority w:val="1"/>
    <w:qFormat/>
    <w:rsid w:val="000C53A3"/>
    <w:pPr>
      <w:keepNext/>
      <w:numPr>
        <w:numId w:val="14"/>
      </w:numPr>
      <w:tabs>
        <w:tab w:val="left" w:pos="432"/>
      </w:tabs>
      <w:spacing w:before="240" w:after="360" w:line="360" w:lineRule="exact"/>
      <w:outlineLvl w:val="2"/>
    </w:pPr>
    <w:rPr>
      <w:rFonts w:asciiTheme="majorHAnsi" w:hAnsiTheme="majorHAnsi"/>
      <w:color w:val="0B2949" w:themeColor="accent1"/>
      <w:sz w:val="28"/>
    </w:rPr>
  </w:style>
  <w:style w:type="character" w:customStyle="1" w:styleId="BoldUnderline">
    <w:name w:val="Bold Underline"/>
    <w:basedOn w:val="DefaultParagraphFont"/>
    <w:qFormat/>
    <w:rsid w:val="00B15DD1"/>
    <w:rPr>
      <w:b/>
      <w:u w:val="single"/>
    </w:rPr>
  </w:style>
  <w:style w:type="paragraph" w:customStyle="1" w:styleId="LOF1">
    <w:name w:val="LOF 1"/>
    <w:basedOn w:val="TableofFigures"/>
    <w:uiPriority w:val="1"/>
    <w:qFormat/>
    <w:rsid w:val="00000897"/>
  </w:style>
  <w:style w:type="paragraph" w:styleId="TOCHeading">
    <w:name w:val="TOC Heading"/>
    <w:basedOn w:val="Heading1"/>
    <w:next w:val="Normal"/>
    <w:uiPriority w:val="39"/>
    <w:qFormat/>
    <w:rsid w:val="0019769F"/>
    <w:pPr>
      <w:keepLines/>
      <w:tabs>
        <w:tab w:val="clear" w:pos="432"/>
      </w:tabs>
      <w:spacing w:after="360" w:line="360" w:lineRule="exact"/>
      <w:outlineLvl w:val="9"/>
    </w:pPr>
    <w:rPr>
      <w:rFonts w:eastAsiaTheme="majorEastAsia" w:cstheme="majorBidi"/>
      <w:caps w:val="0"/>
      <w:color w:val="081E36" w:themeColor="accent1" w:themeShade="BF"/>
      <w:sz w:val="28"/>
      <w:szCs w:val="32"/>
    </w:rPr>
  </w:style>
  <w:style w:type="character" w:customStyle="1" w:styleId="8pt">
    <w:name w:val="8 pt"/>
    <w:basedOn w:val="DefaultParagraphFont"/>
    <w:uiPriority w:val="98"/>
    <w:semiHidden/>
    <w:qFormat/>
    <w:rsid w:val="001A3252"/>
    <w:rPr>
      <w:sz w:val="16"/>
    </w:rPr>
  </w:style>
  <w:style w:type="character" w:customStyle="1" w:styleId="9pt">
    <w:name w:val="9 pt"/>
    <w:basedOn w:val="DefaultParagraphFont"/>
    <w:uiPriority w:val="98"/>
    <w:semiHidden/>
    <w:qFormat/>
    <w:rsid w:val="001A3252"/>
    <w:rPr>
      <w:sz w:val="18"/>
    </w:rPr>
  </w:style>
  <w:style w:type="character" w:styleId="IntenseReference">
    <w:name w:val="Intense Reference"/>
    <w:basedOn w:val="DefaultParagraphFont"/>
    <w:uiPriority w:val="99"/>
    <w:unhideWhenUsed/>
    <w:qFormat/>
    <w:rsid w:val="00AE189E"/>
    <w:rPr>
      <w:b/>
      <w:bCs/>
      <w:smallCaps/>
      <w:color w:val="0B2949" w:themeColor="accent1"/>
      <w:spacing w:val="5"/>
    </w:rPr>
  </w:style>
  <w:style w:type="character" w:styleId="IntenseEmphasis">
    <w:name w:val="Intense Emphasis"/>
    <w:basedOn w:val="DefaultParagraphFont"/>
    <w:uiPriority w:val="99"/>
    <w:unhideWhenUsed/>
    <w:qFormat/>
    <w:rsid w:val="00AE189E"/>
    <w:rPr>
      <w:i/>
      <w:iCs/>
      <w:color w:val="0B2949" w:themeColor="accent1"/>
    </w:rPr>
  </w:style>
  <w:style w:type="paragraph" w:customStyle="1" w:styleId="Callout">
    <w:name w:val="Callout"/>
    <w:basedOn w:val="Feature2Head"/>
    <w:uiPriority w:val="1"/>
    <w:qFormat/>
    <w:rsid w:val="00C071D5"/>
  </w:style>
  <w:style w:type="paragraph" w:customStyle="1" w:styleId="FigureFootnote">
    <w:name w:val="Figure Footnote"/>
    <w:basedOn w:val="ExhibitFootnote"/>
    <w:uiPriority w:val="1"/>
    <w:qFormat/>
    <w:rsid w:val="00F366FB"/>
  </w:style>
  <w:style w:type="paragraph" w:customStyle="1" w:styleId="PubinfoDate">
    <w:name w:val="Pubinfo Date"/>
    <w:basedOn w:val="PubinfoHead"/>
    <w:uiPriority w:val="1"/>
    <w:qFormat/>
    <w:rsid w:val="000150F7"/>
  </w:style>
  <w:style w:type="character" w:styleId="EndnoteReference">
    <w:name w:val="endnote reference"/>
    <w:basedOn w:val="DefaultParagraphFont"/>
    <w:semiHidden/>
    <w:unhideWhenUsed/>
    <w:rsid w:val="003D036E"/>
    <w:rPr>
      <w:vertAlign w:val="superscript"/>
    </w:rPr>
  </w:style>
  <w:style w:type="paragraph" w:customStyle="1" w:styleId="FeatureEndRule">
    <w:name w:val="Feature End Rule"/>
    <w:basedOn w:val="Feature1ListBullet"/>
    <w:uiPriority w:val="1"/>
    <w:qFormat/>
    <w:rsid w:val="002D5049"/>
    <w:pPr>
      <w:numPr>
        <w:numId w:val="0"/>
      </w:numPr>
      <w:pBdr>
        <w:bottom w:val="single" w:sz="6" w:space="1" w:color="auto"/>
      </w:pBdr>
      <w:spacing w:after="360" w:line="40" w:lineRule="exact"/>
    </w:pPr>
    <w:rPr>
      <w:color w:val="FFFFFF" w:themeColor="background1"/>
      <w:sz w:val="4"/>
    </w:rPr>
  </w:style>
  <w:style w:type="numbering" w:customStyle="1" w:styleId="Feature2">
    <w:name w:val="Feature 2"/>
    <w:uiPriority w:val="99"/>
    <w:rsid w:val="004E6247"/>
    <w:pPr>
      <w:numPr>
        <w:numId w:val="16"/>
      </w:numPr>
    </w:pPr>
  </w:style>
  <w:style w:type="paragraph" w:customStyle="1" w:styleId="FootnoteSep">
    <w:name w:val="Footnote Sep"/>
    <w:basedOn w:val="Normal"/>
    <w:uiPriority w:val="1"/>
    <w:qFormat/>
    <w:rsid w:val="00CC0E68"/>
    <w:pPr>
      <w:pBdr>
        <w:top w:val="single" w:sz="4" w:space="1" w:color="046B5C" w:themeColor="text2"/>
      </w:pBdr>
      <w:spacing w:after="80" w:line="40" w:lineRule="exact"/>
    </w:pPr>
    <w:rPr>
      <w:color w:val="FFFFFF" w:themeColor="background1"/>
      <w:sz w:val="4"/>
    </w:rPr>
  </w:style>
  <w:style w:type="paragraph" w:customStyle="1" w:styleId="FigureSignificance">
    <w:name w:val="Figure Significance"/>
    <w:basedOn w:val="ExhibitSignificance"/>
    <w:uiPriority w:val="1"/>
    <w:qFormat/>
    <w:rsid w:val="00F366FB"/>
    <w:pPr>
      <w:spacing w:before="60"/>
    </w:pPr>
  </w:style>
  <w:style w:type="paragraph" w:customStyle="1" w:styleId="FigureSource">
    <w:name w:val="Figure Source"/>
    <w:basedOn w:val="ExhibitSource"/>
    <w:uiPriority w:val="1"/>
    <w:qFormat/>
    <w:rsid w:val="006C742B"/>
  </w:style>
  <w:style w:type="paragraph" w:customStyle="1" w:styleId="ListAlpha">
    <w:name w:val="List Alpha"/>
    <w:basedOn w:val="Normal"/>
    <w:uiPriority w:val="1"/>
    <w:qFormat/>
    <w:rsid w:val="00405454"/>
    <w:pPr>
      <w:numPr>
        <w:numId w:val="18"/>
      </w:numPr>
      <w:spacing w:before="120" w:after="120"/>
      <w:ind w:left="360"/>
      <w:contextualSpacing/>
    </w:pPr>
  </w:style>
  <w:style w:type="paragraph" w:customStyle="1" w:styleId="ListAlpha2">
    <w:name w:val="List Alpha 2"/>
    <w:basedOn w:val="Normal"/>
    <w:uiPriority w:val="1"/>
    <w:qFormat/>
    <w:rsid w:val="00405454"/>
    <w:pPr>
      <w:numPr>
        <w:numId w:val="19"/>
      </w:numPr>
      <w:spacing w:before="120" w:after="120"/>
      <w:contextualSpacing/>
    </w:pPr>
  </w:style>
  <w:style w:type="paragraph" w:customStyle="1" w:styleId="ListAlpha3">
    <w:name w:val="List Alpha 3"/>
    <w:basedOn w:val="Normal"/>
    <w:uiPriority w:val="1"/>
    <w:qFormat/>
    <w:rsid w:val="002E714D"/>
    <w:pPr>
      <w:numPr>
        <w:numId w:val="20"/>
      </w:numPr>
      <w:ind w:left="1170"/>
    </w:pPr>
  </w:style>
  <w:style w:type="character" w:customStyle="1" w:styleId="TitleSubtitle">
    <w:name w:val="Title_Subtitle"/>
    <w:basedOn w:val="DefaultParagraphFont"/>
    <w:uiPriority w:val="1"/>
    <w:qFormat/>
    <w:rsid w:val="00ED6AF8"/>
    <w:rPr>
      <w:rFonts w:asciiTheme="majorHAnsi" w:hAnsiTheme="majorHAnsi"/>
      <w:b/>
      <w:color w:val="046B5C" w:themeColor="text2"/>
    </w:rPr>
  </w:style>
  <w:style w:type="paragraph" w:customStyle="1" w:styleId="ESParagraphContinued">
    <w:name w:val="ES Paragraph Continued"/>
    <w:basedOn w:val="ESParagraph"/>
    <w:uiPriority w:val="1"/>
    <w:qFormat/>
    <w:rsid w:val="007C306D"/>
    <w:pPr>
      <w:spacing w:before="240"/>
    </w:pPr>
  </w:style>
  <w:style w:type="paragraph" w:customStyle="1" w:styleId="ESListNumber">
    <w:name w:val="ES List Number"/>
    <w:basedOn w:val="ESParagraph"/>
    <w:uiPriority w:val="1"/>
    <w:qFormat/>
    <w:rsid w:val="007C306D"/>
    <w:pPr>
      <w:numPr>
        <w:numId w:val="23"/>
      </w:numPr>
      <w:contextualSpacing/>
    </w:pPr>
  </w:style>
  <w:style w:type="paragraph" w:customStyle="1" w:styleId="TableSource">
    <w:name w:val="Table Source"/>
    <w:basedOn w:val="ExhibitSource"/>
    <w:uiPriority w:val="1"/>
    <w:qFormat/>
    <w:rsid w:val="00E64897"/>
    <w:pPr>
      <w:spacing w:after="60"/>
    </w:pPr>
  </w:style>
  <w:style w:type="paragraph" w:customStyle="1" w:styleId="SidebarBullet">
    <w:name w:val="Sidebar Bullet"/>
    <w:basedOn w:val="Sidebar"/>
    <w:qFormat/>
    <w:rsid w:val="0099200E"/>
    <w:pPr>
      <w:tabs>
        <w:tab w:val="clear" w:pos="792"/>
        <w:tab w:val="left" w:pos="540"/>
      </w:tabs>
      <w:ind w:left="288" w:hanging="288"/>
    </w:pPr>
    <w:rPr>
      <w:color w:val="000000"/>
      <w:szCs w:val="21"/>
    </w:rPr>
  </w:style>
  <w:style w:type="paragraph" w:customStyle="1" w:styleId="CoverTitle">
    <w:name w:val="Cover Title"/>
    <w:basedOn w:val="Normal"/>
    <w:qFormat/>
    <w:rsid w:val="00832756"/>
    <w:pPr>
      <w:suppressAutoHyphens/>
      <w:autoSpaceDE w:val="0"/>
      <w:autoSpaceDN w:val="0"/>
      <w:adjustRightInd w:val="0"/>
      <w:spacing w:before="360" w:after="720" w:line="240" w:lineRule="auto"/>
      <w:textAlignment w:val="center"/>
    </w:pPr>
    <w:rPr>
      <w:rFonts w:ascii="Arial" w:eastAsiaTheme="minorHAnsi" w:hAnsi="Arial" w:cs="Arial"/>
      <w:b/>
      <w:bCs/>
      <w:color w:val="FFFFFF" w:themeColor="background1"/>
      <w:spacing w:val="5"/>
      <w:sz w:val="44"/>
      <w:szCs w:val="44"/>
    </w:rPr>
  </w:style>
  <w:style w:type="paragraph" w:customStyle="1" w:styleId="CoverDate">
    <w:name w:val="Cover Date"/>
    <w:basedOn w:val="Date"/>
    <w:next w:val="CoverAuthor"/>
    <w:uiPriority w:val="1"/>
    <w:unhideWhenUsed/>
    <w:qFormat/>
    <w:rsid w:val="008E3B75"/>
    <w:pPr>
      <w:spacing w:before="720" w:after="290"/>
    </w:pPr>
    <w:rPr>
      <w:color w:val="0B2949" w:themeColor="accent1"/>
    </w:rPr>
  </w:style>
  <w:style w:type="paragraph" w:customStyle="1" w:styleId="CoverAuthor">
    <w:name w:val="Cover Author"/>
    <w:basedOn w:val="Normal"/>
    <w:qFormat/>
    <w:rsid w:val="00995B57"/>
    <w:pPr>
      <w:suppressAutoHyphens/>
      <w:autoSpaceDE w:val="0"/>
      <w:autoSpaceDN w:val="0"/>
      <w:adjustRightInd w:val="0"/>
      <w:spacing w:before="280" w:after="600" w:line="288" w:lineRule="auto"/>
      <w:contextualSpacing/>
      <w:textAlignment w:val="center"/>
    </w:pPr>
    <w:rPr>
      <w:rFonts w:ascii="Arial" w:eastAsiaTheme="minorHAnsi" w:hAnsi="Arial" w:cs="Arial"/>
      <w:color w:val="0B2949"/>
      <w:spacing w:val="2"/>
      <w:szCs w:val="24"/>
    </w:rPr>
  </w:style>
  <w:style w:type="paragraph" w:customStyle="1" w:styleId="CoverHead">
    <w:name w:val="Cover Head"/>
    <w:basedOn w:val="Normal"/>
    <w:qFormat/>
    <w:rsid w:val="00D53E3B"/>
    <w:pPr>
      <w:autoSpaceDE w:val="0"/>
      <w:autoSpaceDN w:val="0"/>
      <w:adjustRightInd w:val="0"/>
      <w:spacing w:after="90" w:line="276" w:lineRule="auto"/>
      <w:textAlignment w:val="center"/>
    </w:pPr>
    <w:rPr>
      <w:rFonts w:ascii="Georgia" w:eastAsiaTheme="minorHAnsi" w:hAnsi="Georgia" w:cs="Zilla Slab SemiBold"/>
      <w:b/>
      <w:bCs/>
      <w:color w:val="0B2949"/>
      <w:sz w:val="22"/>
      <w:szCs w:val="22"/>
    </w:rPr>
  </w:style>
  <w:style w:type="paragraph" w:customStyle="1" w:styleId="CoverText">
    <w:name w:val="Cover Text"/>
    <w:basedOn w:val="Normal"/>
    <w:qFormat/>
    <w:rsid w:val="00FA0D64"/>
    <w:pPr>
      <w:spacing w:after="300" w:line="276" w:lineRule="auto"/>
      <w:contextualSpacing/>
    </w:pPr>
    <w:rPr>
      <w:rFonts w:ascii="Georgia" w:eastAsiaTheme="minorHAnsi" w:hAnsi="Georgia" w:cstheme="minorBidi"/>
      <w:color w:val="0B2949"/>
      <w:sz w:val="20"/>
    </w:rPr>
  </w:style>
  <w:style w:type="paragraph" w:customStyle="1" w:styleId="ESH2">
    <w:name w:val="ES H2"/>
    <w:basedOn w:val="Normal"/>
    <w:uiPriority w:val="1"/>
    <w:qFormat/>
    <w:rsid w:val="000C53A3"/>
    <w:pPr>
      <w:keepNext/>
      <w:tabs>
        <w:tab w:val="left" w:pos="432"/>
      </w:tabs>
      <w:spacing w:before="240" w:after="120" w:line="360" w:lineRule="exact"/>
      <w:ind w:left="432" w:hanging="432"/>
      <w:outlineLvl w:val="2"/>
    </w:pPr>
    <w:rPr>
      <w:rFonts w:asciiTheme="majorHAnsi" w:hAnsiTheme="majorHAnsi"/>
      <w:color w:val="046B5C" w:themeColor="text2"/>
      <w:sz w:val="28"/>
    </w:rPr>
  </w:style>
  <w:style w:type="paragraph" w:customStyle="1" w:styleId="TableListNumber">
    <w:name w:val="Table List Number"/>
    <w:basedOn w:val="TableTextLeft"/>
    <w:uiPriority w:val="1"/>
    <w:qFormat/>
    <w:rsid w:val="00F619D2"/>
    <w:pPr>
      <w:numPr>
        <w:numId w:val="24"/>
      </w:numPr>
      <w:ind w:left="432" w:hanging="216"/>
      <w:textboxTightWrap w:val="allLines"/>
    </w:pPr>
  </w:style>
  <w:style w:type="paragraph" w:customStyle="1" w:styleId="TableListBullet">
    <w:name w:val="Table List Bullet"/>
    <w:basedOn w:val="TableTextLeft"/>
    <w:uiPriority w:val="1"/>
    <w:qFormat/>
    <w:rsid w:val="00D21444"/>
    <w:pPr>
      <w:numPr>
        <w:numId w:val="25"/>
      </w:numPr>
      <w:textboxTightWrap w:val="allLines"/>
    </w:pPr>
  </w:style>
  <w:style w:type="character" w:styleId="FollowedHyperlink">
    <w:name w:val="FollowedHyperlink"/>
    <w:basedOn w:val="DefaultParagraphFont"/>
    <w:unhideWhenUsed/>
    <w:rsid w:val="00041E74"/>
    <w:rPr>
      <w:color w:val="954F72" w:themeColor="followedHyperlink"/>
      <w:u w:val="single"/>
    </w:rPr>
  </w:style>
  <w:style w:type="paragraph" w:styleId="HTMLPreformatted">
    <w:name w:val="HTML Preformatted"/>
    <w:basedOn w:val="Normal"/>
    <w:link w:val="HTMLPreformattedChar"/>
    <w:uiPriority w:val="99"/>
    <w:unhideWhenUsed/>
    <w:rsid w:val="00041E74"/>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041E74"/>
    <w:rPr>
      <w:rFonts w:ascii="Consolas" w:eastAsia="Times New Roman" w:hAnsi="Consolas" w:cs="Times New Roman"/>
      <w:sz w:val="20"/>
      <w:szCs w:val="20"/>
    </w:rPr>
  </w:style>
  <w:style w:type="paragraph" w:customStyle="1" w:styleId="ParagraphHeading">
    <w:name w:val="Paragraph Heading"/>
    <w:basedOn w:val="Paragraph"/>
    <w:uiPriority w:val="1"/>
    <w:qFormat/>
    <w:rsid w:val="00E33ACF"/>
  </w:style>
  <w:style w:type="table" w:styleId="TableGridLight">
    <w:name w:val="Grid Table Light"/>
    <w:basedOn w:val="TableNormal"/>
    <w:uiPriority w:val="40"/>
    <w:rsid w:val="0069471D"/>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uiPriority w:val="1"/>
    <w:qFormat/>
    <w:rsid w:val="00BC59DF"/>
    <w:pPr>
      <w:spacing w:before="5120" w:after="0"/>
      <w:jc w:val="center"/>
    </w:pPr>
    <w:rPr>
      <w:b/>
    </w:rPr>
  </w:style>
  <w:style w:type="paragraph" w:customStyle="1" w:styleId="FooterLetterhead">
    <w:name w:val="Footer Letterhead"/>
    <w:basedOn w:val="Footer"/>
    <w:uiPriority w:val="1"/>
    <w:qFormat/>
    <w:rsid w:val="00342537"/>
    <w:pPr>
      <w:spacing w:before="360" w:after="0"/>
      <w:ind w:left="-1080" w:right="-1080"/>
      <w:contextualSpacing/>
      <w:jc w:val="center"/>
    </w:pPr>
    <w:rPr>
      <w:color w:val="0B2949" w:themeColor="accent1"/>
      <w:sz w:val="18"/>
    </w:rPr>
  </w:style>
  <w:style w:type="character" w:customStyle="1" w:styleId="LetterheadFooter">
    <w:name w:val="Letterhead Footer"/>
    <w:basedOn w:val="DefaultParagraphFont"/>
    <w:uiPriority w:val="1"/>
    <w:qFormat/>
    <w:rsid w:val="00F86634"/>
    <w:rPr>
      <w:i/>
      <w:color w:val="046B5C" w:themeColor="text2"/>
    </w:rPr>
  </w:style>
  <w:style w:type="paragraph" w:customStyle="1" w:styleId="BasicParagraph">
    <w:name w:val="[Basic Paragraph]"/>
    <w:basedOn w:val="Normal"/>
    <w:uiPriority w:val="99"/>
    <w:rsid w:val="00566962"/>
    <w:pPr>
      <w:autoSpaceDE w:val="0"/>
      <w:autoSpaceDN w:val="0"/>
      <w:adjustRightInd w:val="0"/>
      <w:spacing w:after="0" w:line="288" w:lineRule="auto"/>
      <w:textAlignment w:val="center"/>
    </w:pPr>
    <w:rPr>
      <w:rFonts w:ascii="MinionPro-Regular" w:eastAsiaTheme="minorHAnsi" w:hAnsi="MinionPro-Regular" w:cs="MinionPro-Regular"/>
      <w:color w:val="000000"/>
      <w:szCs w:val="24"/>
    </w:rPr>
  </w:style>
  <w:style w:type="table" w:customStyle="1" w:styleId="CoverTable">
    <w:name w:val="Cover Table"/>
    <w:basedOn w:val="TableNormal"/>
    <w:uiPriority w:val="99"/>
    <w:rsid w:val="00550DF2"/>
    <w:pPr>
      <w:spacing w:after="0"/>
    </w:pPr>
    <w:tblPr/>
    <w:tcPr>
      <w:noWrap/>
      <w:tcMar>
        <w:left w:w="0" w:type="dxa"/>
        <w:right w:w="0" w:type="dxa"/>
      </w:tcMar>
    </w:tcPr>
  </w:style>
  <w:style w:type="character" w:styleId="PlaceholderText">
    <w:name w:val="Placeholder Text"/>
    <w:basedOn w:val="DefaultParagraphFont"/>
    <w:uiPriority w:val="99"/>
    <w:semiHidden/>
    <w:rsid w:val="00B2005E"/>
    <w:rPr>
      <w:color w:val="808080"/>
    </w:rPr>
  </w:style>
  <w:style w:type="paragraph" w:customStyle="1" w:styleId="Addressee">
    <w:name w:val="Addressee"/>
    <w:basedOn w:val="Salutation"/>
    <w:uiPriority w:val="1"/>
    <w:qFormat/>
    <w:rsid w:val="00520526"/>
    <w:pPr>
      <w:spacing w:after="240" w:line="320" w:lineRule="exact"/>
    </w:pPr>
  </w:style>
  <w:style w:type="paragraph" w:customStyle="1" w:styleId="CoverSubtitle">
    <w:name w:val="Cover Subtitle"/>
    <w:basedOn w:val="CoverTitle"/>
    <w:uiPriority w:val="1"/>
    <w:qFormat/>
    <w:rsid w:val="00CB6E83"/>
    <w:pPr>
      <w:spacing w:before="720" w:after="240"/>
    </w:pPr>
    <w:rPr>
      <w:sz w:val="34"/>
    </w:rPr>
  </w:style>
  <w:style w:type="paragraph" w:styleId="TOC5">
    <w:name w:val="toc 5"/>
    <w:basedOn w:val="Normal"/>
    <w:next w:val="Normal"/>
    <w:autoRedefine/>
    <w:uiPriority w:val="39"/>
    <w:unhideWhenUsed/>
    <w:rsid w:val="00D31F31"/>
    <w:pPr>
      <w:spacing w:after="100"/>
      <w:ind w:left="960"/>
    </w:pPr>
  </w:style>
  <w:style w:type="paragraph" w:customStyle="1" w:styleId="H1">
    <w:name w:val="H1"/>
    <w:basedOn w:val="Heading1"/>
    <w:link w:val="H1Char"/>
    <w:uiPriority w:val="1"/>
    <w:qFormat/>
    <w:rsid w:val="00770FF8"/>
    <w:pPr>
      <w:outlineLvl w:val="1"/>
    </w:pPr>
  </w:style>
  <w:style w:type="paragraph" w:customStyle="1" w:styleId="H2">
    <w:name w:val="H2"/>
    <w:basedOn w:val="Heading2"/>
    <w:uiPriority w:val="1"/>
    <w:qFormat/>
    <w:rsid w:val="00770FF8"/>
    <w:pPr>
      <w:outlineLvl w:val="2"/>
    </w:pPr>
  </w:style>
  <w:style w:type="paragraph" w:customStyle="1" w:styleId="H3">
    <w:name w:val="H3"/>
    <w:basedOn w:val="Heading3"/>
    <w:uiPriority w:val="1"/>
    <w:qFormat/>
    <w:rsid w:val="00770FF8"/>
    <w:pPr>
      <w:outlineLvl w:val="3"/>
    </w:pPr>
  </w:style>
  <w:style w:type="paragraph" w:customStyle="1" w:styleId="H4">
    <w:name w:val="H4"/>
    <w:basedOn w:val="Heading4"/>
    <w:uiPriority w:val="1"/>
    <w:qFormat/>
    <w:rsid w:val="000F5457"/>
    <w:pPr>
      <w:outlineLvl w:val="4"/>
    </w:pPr>
  </w:style>
  <w:style w:type="paragraph" w:customStyle="1" w:styleId="SidebarNumber">
    <w:name w:val="Sidebar Number"/>
    <w:basedOn w:val="Sidebar"/>
    <w:qFormat/>
    <w:rsid w:val="00057425"/>
    <w:pPr>
      <w:tabs>
        <w:tab w:val="clear" w:pos="792"/>
      </w:tabs>
      <w:spacing w:line="250" w:lineRule="exact"/>
      <w:ind w:left="288" w:hanging="288"/>
    </w:pPr>
    <w:rPr>
      <w:color w:val="000000"/>
      <w:szCs w:val="21"/>
    </w:rPr>
  </w:style>
  <w:style w:type="character" w:customStyle="1" w:styleId="H1Char">
    <w:name w:val="H1 Char"/>
    <w:basedOn w:val="DefaultParagraphFont"/>
    <w:link w:val="H1"/>
    <w:uiPriority w:val="1"/>
    <w:rsid w:val="00057425"/>
    <w:rPr>
      <w:rFonts w:asciiTheme="majorHAnsi" w:eastAsia="Times New Roman" w:hAnsiTheme="majorHAnsi" w:cs="Times New Roman"/>
      <w:b/>
      <w:caps/>
      <w:color w:val="046B5C" w:themeColor="text2"/>
      <w:sz w:val="32"/>
      <w:szCs w:val="20"/>
    </w:rPr>
  </w:style>
  <w:style w:type="paragraph" w:styleId="NormalWeb">
    <w:name w:val="Normal (Web)"/>
    <w:basedOn w:val="Normal"/>
    <w:uiPriority w:val="99"/>
    <w:unhideWhenUsed/>
    <w:rsid w:val="006C0719"/>
    <w:pPr>
      <w:spacing w:before="100" w:beforeAutospacing="1" w:after="100" w:afterAutospacing="1" w:line="240" w:lineRule="auto"/>
    </w:pPr>
    <w:rPr>
      <w:rFonts w:ascii="Times New Roman" w:hAnsi="Times New Roman"/>
      <w:szCs w:val="24"/>
    </w:rPr>
  </w:style>
  <w:style w:type="character" w:customStyle="1" w:styleId="ListParagraphChar">
    <w:name w:val="List Paragraph Char"/>
    <w:link w:val="ListParagraph"/>
    <w:uiPriority w:val="1"/>
    <w:locked/>
    <w:rsid w:val="006C0719"/>
    <w:rPr>
      <w:rFonts w:asciiTheme="minorHAnsi" w:eastAsia="Times New Roman" w:hAnsiTheme="minorHAnsi" w:cs="Times New Roman"/>
      <w:szCs w:val="20"/>
    </w:rPr>
  </w:style>
  <w:style w:type="paragraph" w:styleId="Revision">
    <w:name w:val="Revision"/>
    <w:hidden/>
    <w:uiPriority w:val="99"/>
    <w:semiHidden/>
    <w:rsid w:val="006C0719"/>
    <w:pPr>
      <w:spacing w:after="0"/>
    </w:pPr>
    <w:rPr>
      <w:rFonts w:asciiTheme="minorHAnsi" w:eastAsiaTheme="minorHAnsi" w:hAnsiTheme="minorHAnsi"/>
      <w:sz w:val="22"/>
      <w:szCs w:val="22"/>
    </w:rPr>
  </w:style>
  <w:style w:type="paragraph" w:customStyle="1" w:styleId="ReportCover-Title">
    <w:name w:val="ReportCover-Title"/>
    <w:basedOn w:val="Normal"/>
    <w:rsid w:val="006C0719"/>
    <w:pPr>
      <w:spacing w:after="0" w:line="420" w:lineRule="exact"/>
    </w:pPr>
    <w:rPr>
      <w:rFonts w:ascii="Franklin Gothic Medium" w:hAnsi="Franklin Gothic Medium"/>
      <w:b/>
      <w:color w:val="003C79"/>
      <w:sz w:val="40"/>
      <w:szCs w:val="40"/>
    </w:rPr>
  </w:style>
  <w:style w:type="paragraph" w:customStyle="1" w:styleId="ReportCover-Date">
    <w:name w:val="ReportCover-Date"/>
    <w:basedOn w:val="Normal"/>
    <w:rsid w:val="006C0719"/>
    <w:pPr>
      <w:spacing w:after="840" w:line="260" w:lineRule="exact"/>
    </w:pPr>
    <w:rPr>
      <w:rFonts w:ascii="Franklin Gothic Medium" w:hAnsi="Franklin Gothic Medium"/>
      <w:b/>
      <w:color w:val="003C79"/>
    </w:rPr>
  </w:style>
  <w:style w:type="paragraph" w:customStyle="1" w:styleId="NormalSS">
    <w:name w:val="NormalSS"/>
    <w:basedOn w:val="Normal"/>
    <w:link w:val="NormalSSChar"/>
    <w:qFormat/>
    <w:rsid w:val="006C0719"/>
    <w:pPr>
      <w:tabs>
        <w:tab w:val="left" w:pos="432"/>
      </w:tabs>
      <w:spacing w:line="240" w:lineRule="auto"/>
      <w:ind w:firstLine="432"/>
      <w:jc w:val="both"/>
    </w:pPr>
    <w:rPr>
      <w:rFonts w:ascii="Garamond" w:hAnsi="Garamond"/>
      <w:szCs w:val="24"/>
    </w:rPr>
  </w:style>
  <w:style w:type="character" w:customStyle="1" w:styleId="NormalSSChar">
    <w:name w:val="NormalSS Char"/>
    <w:link w:val="NormalSS"/>
    <w:rsid w:val="006C0719"/>
    <w:rPr>
      <w:rFonts w:ascii="Garamond" w:eastAsia="Times New Roman" w:hAnsi="Garamond" w:cs="Times New Roman"/>
    </w:rPr>
  </w:style>
  <w:style w:type="paragraph" w:customStyle="1" w:styleId="MarkforTableHeading">
    <w:name w:val="Mark for Table Heading"/>
    <w:basedOn w:val="Normal"/>
    <w:next w:val="Normal"/>
    <w:qFormat/>
    <w:rsid w:val="006C0719"/>
    <w:pPr>
      <w:keepNext/>
      <w:tabs>
        <w:tab w:val="left" w:pos="432"/>
      </w:tabs>
      <w:spacing w:after="60" w:line="240" w:lineRule="auto"/>
      <w:jc w:val="both"/>
    </w:pPr>
    <w:rPr>
      <w:rFonts w:ascii="Arial" w:hAnsi="Arial"/>
      <w:b/>
      <w:sz w:val="18"/>
      <w:szCs w:val="24"/>
    </w:rPr>
  </w:style>
  <w:style w:type="paragraph" w:customStyle="1" w:styleId="TableText">
    <w:name w:val="Table Text"/>
    <w:basedOn w:val="NormalSS"/>
    <w:qFormat/>
    <w:rsid w:val="006C0719"/>
    <w:pPr>
      <w:tabs>
        <w:tab w:val="clear" w:pos="432"/>
      </w:tabs>
      <w:spacing w:after="0"/>
      <w:ind w:firstLine="0"/>
      <w:jc w:val="left"/>
    </w:pPr>
    <w:rPr>
      <w:rFonts w:ascii="Arial" w:hAnsi="Arial"/>
      <w:sz w:val="18"/>
    </w:rPr>
  </w:style>
  <w:style w:type="paragraph" w:customStyle="1" w:styleId="bodytext-gph">
    <w:name w:val="body text-gph"/>
    <w:link w:val="bodytext-gphChar"/>
    <w:rsid w:val="006C0719"/>
    <w:pPr>
      <w:spacing w:after="120" w:line="260" w:lineRule="atLeast"/>
      <w:ind w:left="360"/>
    </w:pPr>
    <w:rPr>
      <w:rFonts w:eastAsia="Times New Roman" w:cs="Times New Roman"/>
      <w:sz w:val="23"/>
      <w:szCs w:val="22"/>
    </w:rPr>
  </w:style>
  <w:style w:type="character" w:customStyle="1" w:styleId="bodytext-gphChar">
    <w:name w:val="body text-gph Char"/>
    <w:link w:val="bodytext-gph"/>
    <w:rsid w:val="006C0719"/>
    <w:rPr>
      <w:rFonts w:eastAsia="Times New Roman" w:cs="Times New Roman"/>
      <w:sz w:val="23"/>
      <w:szCs w:val="22"/>
    </w:rPr>
  </w:style>
  <w:style w:type="character" w:customStyle="1" w:styleId="UnresolvedMention1">
    <w:name w:val="Unresolved Mention1"/>
    <w:basedOn w:val="DefaultParagraphFont"/>
    <w:uiPriority w:val="99"/>
    <w:semiHidden/>
    <w:unhideWhenUsed/>
    <w:rsid w:val="006C0719"/>
    <w:rPr>
      <w:color w:val="605E5C"/>
      <w:shd w:val="clear" w:color="auto" w:fill="E1DFDD"/>
    </w:rPr>
  </w:style>
  <w:style w:type="character" w:styleId="Strong">
    <w:name w:val="Strong"/>
    <w:basedOn w:val="DefaultParagraphFont"/>
    <w:uiPriority w:val="22"/>
    <w:qFormat/>
    <w:rsid w:val="003C75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4615354">
      <w:bodyDiv w:val="1"/>
      <w:marLeft w:val="0"/>
      <w:marRight w:val="0"/>
      <w:marTop w:val="0"/>
      <w:marBottom w:val="0"/>
      <w:divBdr>
        <w:top w:val="none" w:sz="0" w:space="0" w:color="auto"/>
        <w:left w:val="none" w:sz="0" w:space="0" w:color="auto"/>
        <w:bottom w:val="none" w:sz="0" w:space="0" w:color="auto"/>
        <w:right w:val="none" w:sz="0" w:space="0" w:color="auto"/>
      </w:divBdr>
    </w:div>
    <w:div w:id="1475177894">
      <w:bodyDiv w:val="1"/>
      <w:marLeft w:val="0"/>
      <w:marRight w:val="0"/>
      <w:marTop w:val="0"/>
      <w:marBottom w:val="0"/>
      <w:divBdr>
        <w:top w:val="none" w:sz="0" w:space="0" w:color="auto"/>
        <w:left w:val="none" w:sz="0" w:space="0" w:color="auto"/>
        <w:bottom w:val="none" w:sz="0" w:space="0" w:color="auto"/>
        <w:right w:val="none" w:sz="0" w:space="0" w:color="auto"/>
      </w:divBdr>
    </w:div>
    <w:div w:id="181961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d3qi0qp55mx5f5.cloudfront.net/amerispeak/i/research/WhitePaper_ResponseRateCalculation_AmeriSpeak_2016.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norc.org/Research/Projects/Pages/2010-national-sample-frame.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D5A9EDD4C931429AE2AEC9275567A9" ma:contentTypeVersion="13" ma:contentTypeDescription="Create a new document." ma:contentTypeScope="" ma:versionID="23a43399335da685248e96707b6536bd">
  <xsd:schema xmlns:xsd="http://www.w3.org/2001/XMLSchema" xmlns:xs="http://www.w3.org/2001/XMLSchema" xmlns:p="http://schemas.microsoft.com/office/2006/metadata/properties" xmlns:ns1="http://schemas.microsoft.com/sharepoint/v3" xmlns:ns3="5309e048-1b4c-4f6d-b014-3d79d9de2e99" xmlns:ns4="3944bd3e-eb76-4a70-8423-067311227f76" targetNamespace="http://schemas.microsoft.com/office/2006/metadata/properties" ma:root="true" ma:fieldsID="8df3f63d7dcefd01c3a401c2a3dd6164" ns1:_="" ns3:_="" ns4:_="">
    <xsd:import namespace="http://schemas.microsoft.com/sharepoint/v3"/>
    <xsd:import namespace="5309e048-1b4c-4f6d-b014-3d79d9de2e99"/>
    <xsd:import namespace="3944bd3e-eb76-4a70-8423-067311227f7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09e048-1b4c-4f6d-b014-3d79d9de2e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44bd3e-eb76-4a70-8423-067311227f7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985825-A0E3-41F1-8EA5-2CCDEA987D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309e048-1b4c-4f6d-b014-3d79d9de2e99"/>
    <ds:schemaRef ds:uri="3944bd3e-eb76-4a70-8423-067311227f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BEF030-3AB5-49A1-894D-00C9203E2171}">
  <ds:schemaRefs>
    <ds:schemaRef ds:uri="http://purl.org/dc/elements/1.1/"/>
    <ds:schemaRef ds:uri="http://schemas.microsoft.com/office/2006/documentManagement/types"/>
    <ds:schemaRef ds:uri="http://purl.org/dc/terms/"/>
    <ds:schemaRef ds:uri="http://schemas.microsoft.com/sharepoint/v3"/>
    <ds:schemaRef ds:uri="http://schemas.microsoft.com/office/infopath/2007/PartnerControls"/>
    <ds:schemaRef ds:uri="http://purl.org/dc/dcmitype/"/>
    <ds:schemaRef ds:uri="http://schemas.openxmlformats.org/package/2006/metadata/core-properties"/>
    <ds:schemaRef ds:uri="3944bd3e-eb76-4a70-8423-067311227f76"/>
    <ds:schemaRef ds:uri="5309e048-1b4c-4f6d-b014-3d79d9de2e99"/>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8978E9A8-2CB0-474E-B4AB-C4F802D9A227}">
  <ds:schemaRefs>
    <ds:schemaRef ds:uri="http://schemas.microsoft.com/sharepoint/v3/contenttype/forms"/>
  </ds:schemaRefs>
</ds:datastoreItem>
</file>

<file path=customXml/itemProps4.xml><?xml version="1.0" encoding="utf-8"?>
<ds:datastoreItem xmlns:ds="http://schemas.openxmlformats.org/officeDocument/2006/customXml" ds:itemID="{B5B27927-5221-469C-862F-5DF62480D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Report.dotm</Template>
  <TotalTime>1121</TotalTime>
  <Pages>15</Pages>
  <Words>5176</Words>
  <Characters>29506</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Mathematica Standard Report Template</vt:lpstr>
    </vt:vector>
  </TitlesOfParts>
  <Manager>Addressee</Manager>
  <Company>Mathemaica, Inc</Company>
  <LinksUpToDate>false</LinksUpToDate>
  <CharactersWithSpaces>34613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Standard Report Template</dc:title>
  <dc:creator>Sclark</dc:creator>
  <cp:lastModifiedBy>Mathematica</cp:lastModifiedBy>
  <cp:revision>14</cp:revision>
  <cp:lastPrinted>2019-04-11T17:18:00Z</cp:lastPrinted>
  <dcterms:created xsi:type="dcterms:W3CDTF">2020-07-30T21:22:00Z</dcterms:created>
  <dcterms:modified xsi:type="dcterms:W3CDTF">2020-08-06T19:19:00Z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0x010100D9D5A9EDD4C931429AE2AEC9275567A9</vt:lpwstr>
  </property>
</Properties>
</file>